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FC" w:rsidRDefault="00E209FC" w:rsidP="00E209FC">
      <w:pPr>
        <w:pStyle w:val="Header"/>
      </w:pPr>
      <w:r>
        <w:ptab w:relativeTo="margin" w:alignment="center" w:leader="none"/>
      </w:r>
      <w:r w:rsidRPr="00F72014">
        <w:t xml:space="preserve"> </w:t>
      </w:r>
      <w:r>
        <w:object w:dxaOrig="1365" w:dyaOrig="1440">
          <v:shape id="_x0000_i1027" type="#_x0000_t75" style="width:61.2pt;height:64.8pt" o:ole="">
            <v:imagedata r:id="rId8" o:title=""/>
          </v:shape>
          <o:OLEObject Type="Embed" ProgID="Presentations.Drawing.13" ShapeID="_x0000_i1027" DrawAspect="Content" ObjectID="_1505298248" r:id="rId9"/>
        </w:object>
      </w:r>
      <w:r>
        <w:t xml:space="preserve"> </w:t>
      </w:r>
      <w:r>
        <w:ptab w:relativeTo="margin" w:alignment="right" w:leader="none"/>
      </w:r>
    </w:p>
    <w:p w:rsidR="00E209FC" w:rsidRDefault="00E209FC" w:rsidP="00E209FC">
      <w:pPr>
        <w:pStyle w:val="Header"/>
      </w:pPr>
    </w:p>
    <w:p w:rsidR="00E209FC" w:rsidRPr="006B210C" w:rsidRDefault="00E209FC" w:rsidP="00E209FC">
      <w:pPr>
        <w:jc w:val="center"/>
        <w:rPr>
          <w:b/>
        </w:rPr>
      </w:pPr>
      <w:r w:rsidRPr="006B210C">
        <w:rPr>
          <w:b/>
        </w:rPr>
        <w:t>SUPREME COURT OF CANADA</w:t>
      </w:r>
    </w:p>
    <w:p w:rsidR="00E209FC" w:rsidRDefault="00E209FC" w:rsidP="00E209F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209FC" w:rsidRPr="006B210C" w:rsidTr="00536CD0">
        <w:trPr>
          <w:cantSplit/>
        </w:trPr>
        <w:tc>
          <w:tcPr>
            <w:tcW w:w="6768" w:type="dxa"/>
          </w:tcPr>
          <w:p w:rsidR="00E209FC" w:rsidRPr="006B210C" w:rsidRDefault="00E209FC" w:rsidP="00536CD0">
            <w:r w:rsidRPr="006B210C">
              <w:rPr>
                <w:b/>
                <w:smallCaps/>
              </w:rPr>
              <w:t>Citation</w:t>
            </w:r>
            <w:r>
              <w:rPr>
                <w:b/>
                <w:smallCaps/>
              </w:rPr>
              <w:t>:</w:t>
            </w:r>
            <w:r w:rsidRPr="006B210C">
              <w:t xml:space="preserve"> </w:t>
            </w:r>
            <w:r w:rsidRPr="00503152">
              <w:t xml:space="preserve">Quebec (Attorney General) </w:t>
            </w:r>
            <w:r w:rsidRPr="00503152">
              <w:rPr>
                <w:i/>
              </w:rPr>
              <w:t>v.</w:t>
            </w:r>
            <w:r w:rsidRPr="00503152">
              <w:t xml:space="preserve"> Canada (Attorney General)</w:t>
            </w:r>
            <w:r>
              <w:t>, 2015 SCC 14, [2015] 1 S.C.R. 693</w:t>
            </w:r>
          </w:p>
        </w:tc>
        <w:tc>
          <w:tcPr>
            <w:tcW w:w="2808" w:type="dxa"/>
          </w:tcPr>
          <w:p w:rsidR="00E209FC" w:rsidRPr="006B210C" w:rsidRDefault="00E209FC" w:rsidP="00536CD0">
            <w:r w:rsidRPr="006B210C">
              <w:rPr>
                <w:b/>
                <w:smallCaps/>
              </w:rPr>
              <w:t>Date</w:t>
            </w:r>
            <w:r>
              <w:rPr>
                <w:b/>
                <w:smallCaps/>
              </w:rPr>
              <w:t>:</w:t>
            </w:r>
            <w:r w:rsidRPr="006B210C">
              <w:t xml:space="preserve"> </w:t>
            </w:r>
            <w:r>
              <w:t>20150327</w:t>
            </w:r>
          </w:p>
          <w:p w:rsidR="00E209FC" w:rsidRPr="006B210C" w:rsidRDefault="00E209FC" w:rsidP="00536CD0">
            <w:r w:rsidRPr="006B210C">
              <w:rPr>
                <w:b/>
                <w:smallCaps/>
              </w:rPr>
              <w:t>Docket</w:t>
            </w:r>
            <w:r>
              <w:rPr>
                <w:b/>
                <w:smallCaps/>
              </w:rPr>
              <w:t>:</w:t>
            </w:r>
            <w:r w:rsidRPr="006B210C">
              <w:t xml:space="preserve"> </w:t>
            </w:r>
            <w:r>
              <w:t>35448</w:t>
            </w:r>
          </w:p>
        </w:tc>
      </w:tr>
    </w:tbl>
    <w:p w:rsidR="00E209FC" w:rsidRPr="006B210C" w:rsidRDefault="00E209FC" w:rsidP="00E209FC"/>
    <w:p w:rsidR="00E209FC" w:rsidRDefault="00E209FC" w:rsidP="00E209FC">
      <w:pPr>
        <w:pStyle w:val="SCCLsocPrefix"/>
      </w:pPr>
      <w:r>
        <w:t>Between:</w:t>
      </w:r>
    </w:p>
    <w:p w:rsidR="00E209FC" w:rsidRDefault="00E209FC" w:rsidP="00E209FC">
      <w:pPr>
        <w:pStyle w:val="SCCLsocParty"/>
        <w:jc w:val="center"/>
      </w:pPr>
      <w:r>
        <w:t>Attorney General of Quebec</w:t>
      </w:r>
    </w:p>
    <w:p w:rsidR="00E209FC" w:rsidRDefault="00E209FC" w:rsidP="00E209FC">
      <w:pPr>
        <w:jc w:val="center"/>
      </w:pPr>
      <w:r>
        <w:t>Appellant</w:t>
      </w:r>
    </w:p>
    <w:p w:rsidR="00E209FC" w:rsidRPr="00E209FC" w:rsidRDefault="00E209FC" w:rsidP="00E209FC">
      <w:pPr>
        <w:pStyle w:val="SCCLsocVersus"/>
        <w:spacing w:after="0"/>
        <w:jc w:val="center"/>
        <w:rPr>
          <w:i w:val="0"/>
        </w:rPr>
      </w:pPr>
      <w:proofErr w:type="gramStart"/>
      <w:r w:rsidRPr="00E209FC">
        <w:rPr>
          <w:i w:val="0"/>
        </w:rPr>
        <w:t>and</w:t>
      </w:r>
      <w:proofErr w:type="gramEnd"/>
    </w:p>
    <w:p w:rsidR="00E209FC" w:rsidRDefault="00E209FC" w:rsidP="00E209FC">
      <w:pPr>
        <w:pStyle w:val="SCCLsocParty"/>
        <w:jc w:val="center"/>
      </w:pPr>
      <w:r>
        <w:t>Attorney General of Canada,</w:t>
      </w:r>
    </w:p>
    <w:p w:rsidR="00E209FC" w:rsidRDefault="00E209FC" w:rsidP="00E209FC">
      <w:pPr>
        <w:pStyle w:val="SCCLsocParty"/>
        <w:jc w:val="center"/>
      </w:pPr>
      <w:r>
        <w:t>Commissioner of Firearms and</w:t>
      </w:r>
    </w:p>
    <w:p w:rsidR="00E209FC" w:rsidRDefault="00E209FC" w:rsidP="00E209FC">
      <w:pPr>
        <w:pStyle w:val="SCCLsocParty"/>
        <w:jc w:val="center"/>
      </w:pPr>
      <w:r>
        <w:t>Registrar of Firearms</w:t>
      </w:r>
    </w:p>
    <w:p w:rsidR="00E209FC" w:rsidRDefault="00E209FC" w:rsidP="00E209FC">
      <w:pPr>
        <w:jc w:val="center"/>
      </w:pPr>
      <w:r>
        <w:t>Respondents</w:t>
      </w:r>
    </w:p>
    <w:p w:rsidR="00E209FC" w:rsidRDefault="00E209FC" w:rsidP="00E209FC">
      <w:pPr>
        <w:pStyle w:val="SCCLsocOtherPartySeparator"/>
        <w:spacing w:after="0"/>
        <w:jc w:val="center"/>
      </w:pPr>
      <w:r>
        <w:t xml:space="preserve">- </w:t>
      </w:r>
      <w:proofErr w:type="gramStart"/>
      <w:r>
        <w:t>and</w:t>
      </w:r>
      <w:proofErr w:type="gramEnd"/>
      <w:r>
        <w:t xml:space="preserve"> -</w:t>
      </w:r>
    </w:p>
    <w:p w:rsidR="00E209FC" w:rsidRDefault="00E209FC" w:rsidP="00E209FC">
      <w:pPr>
        <w:pStyle w:val="SCCLsocParty"/>
        <w:jc w:val="center"/>
      </w:pPr>
      <w:r>
        <w:t>Chief Firearms Officer,</w:t>
      </w:r>
    </w:p>
    <w:p w:rsidR="00E209FC" w:rsidRDefault="00E209FC" w:rsidP="00E209FC">
      <w:pPr>
        <w:pStyle w:val="SCCLsocParty"/>
        <w:jc w:val="center"/>
      </w:pPr>
      <w:r>
        <w:t>Coalition for Gun Control and</w:t>
      </w:r>
    </w:p>
    <w:p w:rsidR="00E209FC" w:rsidRDefault="00E209FC" w:rsidP="00E209FC">
      <w:pPr>
        <w:pStyle w:val="SCCLsocParty"/>
        <w:jc w:val="center"/>
      </w:pPr>
      <w:r>
        <w:t>Canada’s National Firearms Association</w:t>
      </w:r>
    </w:p>
    <w:p w:rsidR="00E209FC" w:rsidRDefault="00E209FC" w:rsidP="00E209FC">
      <w:pPr>
        <w:jc w:val="center"/>
      </w:pPr>
      <w:r>
        <w:t>Interveners</w:t>
      </w:r>
    </w:p>
    <w:p w:rsidR="00E209FC" w:rsidRPr="006B210C" w:rsidRDefault="00E209FC" w:rsidP="00E209FC"/>
    <w:p w:rsidR="00E209FC" w:rsidRPr="00503152" w:rsidRDefault="00E209FC" w:rsidP="00E209FC">
      <w:r w:rsidRPr="006B210C">
        <w:rPr>
          <w:b/>
          <w:smallCaps/>
        </w:rPr>
        <w:t>Official English Translation</w:t>
      </w:r>
      <w:r w:rsidRPr="00503152">
        <w:rPr>
          <w:b/>
          <w:smallCaps/>
        </w:rPr>
        <w:t>:</w:t>
      </w:r>
      <w:r>
        <w:t xml:space="preserve"> Reasons of LeBel, Wagner and Gascon JJ.</w:t>
      </w:r>
    </w:p>
    <w:p w:rsidR="00E209FC" w:rsidRPr="006B210C" w:rsidRDefault="00E209FC" w:rsidP="00E209FC"/>
    <w:p w:rsidR="00E209FC" w:rsidRPr="006B210C" w:rsidRDefault="00E209FC" w:rsidP="00E209FC">
      <w:r w:rsidRPr="006B210C">
        <w:rPr>
          <w:b/>
          <w:smallCaps/>
        </w:rPr>
        <w:t>Coram</w:t>
      </w:r>
      <w:r>
        <w:rPr>
          <w:b/>
          <w:smallCaps/>
        </w:rPr>
        <w:t>:</w:t>
      </w:r>
      <w:r w:rsidRPr="006B210C">
        <w:t xml:space="preserve"> </w:t>
      </w:r>
      <w:r>
        <w:t>McLachlin C.J. and LeBel, Abella, Rothstein, Cromwell, Moldaver, Karakatsanis, Wagner and Gascon JJ.</w:t>
      </w:r>
    </w:p>
    <w:p w:rsidR="00E209FC" w:rsidRPr="006B210C" w:rsidRDefault="00E209FC" w:rsidP="00E209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209FC" w:rsidRPr="006B210C" w:rsidTr="00536CD0">
        <w:trPr>
          <w:cantSplit/>
        </w:trPr>
        <w:tc>
          <w:tcPr>
            <w:tcW w:w="3618" w:type="dxa"/>
          </w:tcPr>
          <w:p w:rsidR="00E209FC" w:rsidRDefault="00E209FC" w:rsidP="00536CD0">
            <w:pPr>
              <w:rPr>
                <w:b/>
                <w:smallCaps/>
              </w:rPr>
            </w:pPr>
            <w:r>
              <w:rPr>
                <w:b/>
                <w:smallCaps/>
              </w:rPr>
              <w:t xml:space="preserve">Joint </w:t>
            </w:r>
            <w:r w:rsidRPr="006B210C">
              <w:rPr>
                <w:b/>
                <w:smallCaps/>
              </w:rPr>
              <w:t>Reasons for Judgment</w:t>
            </w:r>
            <w:r>
              <w:rPr>
                <w:b/>
                <w:smallCaps/>
              </w:rPr>
              <w:t>:</w:t>
            </w:r>
          </w:p>
          <w:p w:rsidR="00E209FC" w:rsidRPr="00503152" w:rsidRDefault="00E209FC" w:rsidP="00536CD0">
            <w:r>
              <w:t>(paras. 1 to 46)</w:t>
            </w:r>
          </w:p>
          <w:p w:rsidR="00E209FC" w:rsidRPr="00503152" w:rsidRDefault="00E209FC" w:rsidP="00536CD0"/>
          <w:p w:rsidR="00E209FC" w:rsidRPr="00503152" w:rsidRDefault="00E209FC" w:rsidP="00536CD0">
            <w:pPr>
              <w:rPr>
                <w:b/>
                <w:smallCaps/>
              </w:rPr>
            </w:pPr>
            <w:r w:rsidRPr="00503152">
              <w:rPr>
                <w:b/>
                <w:smallCaps/>
              </w:rPr>
              <w:t>Joint Dissenting Reasons:</w:t>
            </w:r>
          </w:p>
          <w:p w:rsidR="00E209FC" w:rsidRPr="006B210C" w:rsidRDefault="00E209FC" w:rsidP="00536CD0">
            <w:r>
              <w:t>(paras. 47 to 203):</w:t>
            </w:r>
          </w:p>
        </w:tc>
        <w:tc>
          <w:tcPr>
            <w:tcW w:w="5958" w:type="dxa"/>
          </w:tcPr>
          <w:p w:rsidR="00E209FC" w:rsidRDefault="00E209FC" w:rsidP="00536CD0">
            <w:r>
              <w:t>Cromwell and Karakatsanis JJ. (McLachlin C.J. and Rothstein and Moldaver JJ. concurring)</w:t>
            </w:r>
          </w:p>
          <w:p w:rsidR="00E209FC" w:rsidRDefault="00E209FC" w:rsidP="00536CD0"/>
          <w:p w:rsidR="00E209FC" w:rsidRPr="006B210C" w:rsidRDefault="00E209FC" w:rsidP="00536CD0">
            <w:r>
              <w:t>LeBel, Wagner and Gascon JJ. (Abella J. concurring)</w:t>
            </w:r>
          </w:p>
        </w:tc>
      </w:tr>
    </w:tbl>
    <w:p w:rsidR="00E209FC" w:rsidRDefault="00E209FC" w:rsidP="00E209FC"/>
    <w:p w:rsidR="00E209FC" w:rsidRPr="006B210C" w:rsidRDefault="00D47035" w:rsidP="00E209FC">
      <w:r>
        <w:rPr>
          <w:noProof/>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9264" o:connectortype="straight"/>
        </w:pict>
      </w:r>
    </w:p>
    <w:p w:rsidR="00E209FC" w:rsidRDefault="00E209FC" w:rsidP="004B4045">
      <w:pPr>
        <w:spacing w:after="720"/>
        <w:jc w:val="both"/>
        <w:rPr>
          <w:rStyle w:val="SCCAppellantForRunningHeadChar"/>
        </w:rPr>
      </w:pPr>
    </w:p>
    <w:p w:rsidR="008322BD" w:rsidRPr="00004B26" w:rsidRDefault="00B27A4A" w:rsidP="004B4045">
      <w:pPr>
        <w:spacing w:after="720"/>
        <w:jc w:val="both"/>
      </w:pPr>
      <w:r>
        <w:rPr>
          <w:rStyle w:val="SCCAppellantForRunningHeadChar"/>
          <w:smallCaps w:val="0"/>
        </w:rPr>
        <w:t>Q</w:t>
      </w:r>
      <w:r w:rsidR="008F78E9" w:rsidRPr="00B27A4A">
        <w:rPr>
          <w:rStyle w:val="SCCAppellantForRunningHeadChar"/>
          <w:smallCaps w:val="0"/>
        </w:rPr>
        <w:t>uebec</w:t>
      </w:r>
      <w:r w:rsidR="00D45913" w:rsidRPr="00B27A4A">
        <w:rPr>
          <w:rStyle w:val="SCCAppellantForRunningHeadChar"/>
          <w:smallCaps w:val="0"/>
        </w:rPr>
        <w:t xml:space="preserve"> (</w:t>
      </w:r>
      <w:r>
        <w:rPr>
          <w:rStyle w:val="SCCAppellantForRunningHeadChar"/>
          <w:smallCaps w:val="0"/>
        </w:rPr>
        <w:t>Attorney G</w:t>
      </w:r>
      <w:r w:rsidR="00F01764" w:rsidRPr="00B27A4A">
        <w:rPr>
          <w:rStyle w:val="SCCAppellantForRunningHeadChar"/>
          <w:smallCaps w:val="0"/>
        </w:rPr>
        <w:t>eneral</w:t>
      </w:r>
      <w:r w:rsidR="00D45913" w:rsidRPr="00B27A4A">
        <w:rPr>
          <w:rStyle w:val="SCCAppellantForRunningHeadChar"/>
          <w:smallCaps w:val="0"/>
        </w:rPr>
        <w:t>)</w:t>
      </w:r>
      <w:r w:rsidR="00480C90" w:rsidRPr="00B27A4A">
        <w:rPr>
          <w:smallCaps/>
        </w:rPr>
        <w:t xml:space="preserve"> </w:t>
      </w:r>
      <w:r w:rsidR="009B57B3" w:rsidRPr="00B27A4A">
        <w:rPr>
          <w:i/>
        </w:rPr>
        <w:t>v.</w:t>
      </w:r>
      <w:r w:rsidR="00B000D8" w:rsidRPr="00B27A4A">
        <w:rPr>
          <w:smallCaps/>
        </w:rPr>
        <w:t xml:space="preserve"> </w:t>
      </w:r>
      <w:r>
        <w:rPr>
          <w:rStyle w:val="SCCRespondentForRunningHeadChar"/>
          <w:smallCaps w:val="0"/>
        </w:rPr>
        <w:t>C</w:t>
      </w:r>
      <w:r w:rsidR="00D45913" w:rsidRPr="00B27A4A">
        <w:rPr>
          <w:rStyle w:val="SCCRespondentForRunningHeadChar"/>
          <w:smallCaps w:val="0"/>
        </w:rPr>
        <w:t>anada (</w:t>
      </w:r>
      <w:r>
        <w:rPr>
          <w:rStyle w:val="SCCRespondentForRunningHeadChar"/>
          <w:smallCaps w:val="0"/>
        </w:rPr>
        <w:t>Attorney G</w:t>
      </w:r>
      <w:r w:rsidR="00F01764" w:rsidRPr="00B27A4A">
        <w:rPr>
          <w:rStyle w:val="SCCRespondentForRunningHeadChar"/>
          <w:smallCaps w:val="0"/>
        </w:rPr>
        <w:t>eneral</w:t>
      </w:r>
      <w:r w:rsidR="00D45913" w:rsidRPr="00B27A4A">
        <w:rPr>
          <w:rStyle w:val="SCCRespondentForRunningHeadChar"/>
          <w:smallCaps w:val="0"/>
        </w:rPr>
        <w:t>)</w:t>
      </w:r>
      <w:r w:rsidR="00833367">
        <w:rPr>
          <w:rStyle w:val="SCCRespondentForRunningHeadChar"/>
        </w:rPr>
        <w:t>, 2015 SCC</w:t>
      </w:r>
      <w:r w:rsidR="001F18FB">
        <w:rPr>
          <w:rStyle w:val="SCCRespondentForRunningHeadChar"/>
        </w:rPr>
        <w:t xml:space="preserve"> </w:t>
      </w:r>
      <w:r w:rsidR="00833367">
        <w:rPr>
          <w:rStyle w:val="SCCRespondentForRunningHeadChar"/>
        </w:rPr>
        <w:t>14, [2015] 1 S.C.R. 693</w:t>
      </w:r>
    </w:p>
    <w:p w:rsidR="003B11CD" w:rsidRPr="00004B26" w:rsidRDefault="00D45913">
      <w:pPr>
        <w:pStyle w:val="SCCLsocLastPartyInRole"/>
      </w:pPr>
      <w:r w:rsidRPr="00004B26">
        <w:t>Attorney General of Quebec</w:t>
      </w:r>
      <w:r w:rsidRPr="00004B26">
        <w:rPr>
          <w:rStyle w:val="SCCLsocPartyRole"/>
        </w:rPr>
        <w:tab/>
        <w:t>Appellant</w:t>
      </w:r>
    </w:p>
    <w:p w:rsidR="003B11CD" w:rsidRPr="00004B26" w:rsidRDefault="00D45913">
      <w:pPr>
        <w:pStyle w:val="SCCLsocVersus"/>
      </w:pPr>
      <w:proofErr w:type="gramStart"/>
      <w:r w:rsidRPr="00004B26">
        <w:lastRenderedPageBreak/>
        <w:t>v</w:t>
      </w:r>
      <w:proofErr w:type="gramEnd"/>
      <w:r w:rsidRPr="00004B26">
        <w:t>.</w:t>
      </w:r>
    </w:p>
    <w:p w:rsidR="0038785E" w:rsidRDefault="00D45913" w:rsidP="00AE0BC7">
      <w:pPr>
        <w:pStyle w:val="SCCLsocParty"/>
        <w:outlineLvl w:val="0"/>
      </w:pPr>
      <w:r w:rsidRPr="00004B26">
        <w:t xml:space="preserve">Attorney General of Canada, </w:t>
      </w:r>
    </w:p>
    <w:p w:rsidR="0038785E" w:rsidRDefault="00D45913" w:rsidP="0038785E">
      <w:pPr>
        <w:pStyle w:val="SCCLsocParty"/>
        <w:outlineLvl w:val="0"/>
      </w:pPr>
      <w:r w:rsidRPr="00004B26">
        <w:t xml:space="preserve">Commissioner of Firearms </w:t>
      </w:r>
    </w:p>
    <w:p w:rsidR="00D45913" w:rsidRPr="00004B26" w:rsidRDefault="00D45913" w:rsidP="0038785E">
      <w:pPr>
        <w:pStyle w:val="SCCLsocParty"/>
        <w:outlineLvl w:val="0"/>
      </w:pPr>
      <w:proofErr w:type="gramStart"/>
      <w:r w:rsidRPr="00004B26">
        <w:t>and</w:t>
      </w:r>
      <w:proofErr w:type="gramEnd"/>
      <w:r w:rsidRPr="00004B26">
        <w:t xml:space="preserve"> Registrar of Firearms</w:t>
      </w:r>
      <w:r w:rsidRPr="00004B26">
        <w:rPr>
          <w:rStyle w:val="SCCLsocPartyRole"/>
        </w:rPr>
        <w:tab/>
        <w:t>Respondents</w:t>
      </w:r>
    </w:p>
    <w:p w:rsidR="0038785E" w:rsidRDefault="0038785E">
      <w:pPr>
        <w:pStyle w:val="SCCLsocOtherPartySeparator"/>
      </w:pPr>
    </w:p>
    <w:p w:rsidR="003B11CD" w:rsidRPr="00004B26" w:rsidRDefault="00D45913">
      <w:pPr>
        <w:pStyle w:val="SCCLsocOtherPartySeparator"/>
      </w:pPr>
      <w:proofErr w:type="gramStart"/>
      <w:r w:rsidRPr="00004B26">
        <w:t>and</w:t>
      </w:r>
      <w:proofErr w:type="gramEnd"/>
    </w:p>
    <w:p w:rsidR="0038785E" w:rsidRDefault="00D45913" w:rsidP="00AE0BC7">
      <w:pPr>
        <w:pStyle w:val="SCCLsocParty"/>
        <w:outlineLvl w:val="0"/>
        <w:rPr>
          <w:lang w:val="en-US"/>
        </w:rPr>
      </w:pPr>
      <w:r w:rsidRPr="00004B26">
        <w:rPr>
          <w:lang w:val="en-US"/>
        </w:rPr>
        <w:t xml:space="preserve">Chief Firearms </w:t>
      </w:r>
      <w:r w:rsidR="00380A76" w:rsidRPr="00004B26">
        <w:rPr>
          <w:lang w:val="en-US"/>
        </w:rPr>
        <w:t>O</w:t>
      </w:r>
      <w:r w:rsidRPr="00004B26">
        <w:rPr>
          <w:lang w:val="en-US"/>
        </w:rPr>
        <w:t xml:space="preserve">fficer, </w:t>
      </w:r>
    </w:p>
    <w:p w:rsidR="00D45913" w:rsidRPr="00004B26" w:rsidRDefault="00D45913" w:rsidP="00AE0BC7">
      <w:pPr>
        <w:pStyle w:val="SCCLsocParty"/>
        <w:outlineLvl w:val="0"/>
        <w:rPr>
          <w:lang w:val="en-US"/>
        </w:rPr>
      </w:pPr>
      <w:r w:rsidRPr="00004B26">
        <w:rPr>
          <w:lang w:val="en-US"/>
        </w:rPr>
        <w:t xml:space="preserve">Coalition for Gun Control and </w:t>
      </w:r>
    </w:p>
    <w:p w:rsidR="003B11CD" w:rsidRPr="00004B26" w:rsidRDefault="006624D9">
      <w:pPr>
        <w:pStyle w:val="SCCLsocLastPartyInRole"/>
      </w:pPr>
      <w:r w:rsidRPr="00004B26">
        <w:t>Canada’</w:t>
      </w:r>
      <w:r w:rsidR="00D45913" w:rsidRPr="00004B26">
        <w:t>s National Firearms Association</w:t>
      </w:r>
      <w:r w:rsidR="00D45913" w:rsidRPr="00004B26">
        <w:rPr>
          <w:rStyle w:val="SCCLsocPartyRole"/>
        </w:rPr>
        <w:tab/>
        <w:t>Interveners</w:t>
      </w:r>
    </w:p>
    <w:p w:rsidR="00426659" w:rsidRPr="00004B26" w:rsidRDefault="00426659" w:rsidP="004B4045">
      <w:pPr>
        <w:spacing w:after="720"/>
        <w:jc w:val="both"/>
        <w:outlineLvl w:val="0"/>
        <w:rPr>
          <w:b/>
        </w:rPr>
      </w:pPr>
      <w:r w:rsidRPr="00004B26">
        <w:rPr>
          <w:b/>
        </w:rPr>
        <w:t xml:space="preserve">Indexed as: </w:t>
      </w:r>
      <w:r w:rsidRPr="00004B26">
        <w:rPr>
          <w:rStyle w:val="SCCAppellantForIndexChar"/>
        </w:rPr>
        <w:t>Quebec</w:t>
      </w:r>
      <w:r w:rsidR="00533F8C" w:rsidRPr="00004B26">
        <w:rPr>
          <w:rStyle w:val="SCCAppellantForIndexChar"/>
        </w:rPr>
        <w:t xml:space="preserve"> (Attorney General)</w:t>
      </w:r>
      <w:r w:rsidRPr="00004B26">
        <w:rPr>
          <w:b/>
        </w:rPr>
        <w:t xml:space="preserve"> </w:t>
      </w:r>
      <w:r w:rsidRPr="00004B26">
        <w:rPr>
          <w:b/>
          <w:i/>
        </w:rPr>
        <w:t>v.</w:t>
      </w:r>
      <w:r w:rsidRPr="00004B26">
        <w:rPr>
          <w:b/>
        </w:rPr>
        <w:t xml:space="preserve"> </w:t>
      </w:r>
      <w:r w:rsidR="00533F8C" w:rsidRPr="00004B26">
        <w:rPr>
          <w:b/>
        </w:rPr>
        <w:t>Canada (</w:t>
      </w:r>
      <w:r w:rsidRPr="00004B26">
        <w:rPr>
          <w:rStyle w:val="SCCRespondentForIndexChar"/>
        </w:rPr>
        <w:t>Attorney General</w:t>
      </w:r>
      <w:r w:rsidR="00533F8C" w:rsidRPr="00004B26">
        <w:rPr>
          <w:rStyle w:val="SCCRespondentForIndexChar"/>
        </w:rPr>
        <w:t>)</w:t>
      </w:r>
    </w:p>
    <w:p w:rsidR="00426659" w:rsidRPr="00004B26" w:rsidRDefault="004F36FF" w:rsidP="004B4045">
      <w:pPr>
        <w:pStyle w:val="SCCSystemYear"/>
        <w:spacing w:after="720"/>
        <w:jc w:val="both"/>
        <w:outlineLvl w:val="0"/>
      </w:pPr>
      <w:r w:rsidRPr="00004B26">
        <w:t>201</w:t>
      </w:r>
      <w:r w:rsidR="00C7721A" w:rsidRPr="00004B26">
        <w:t>5</w:t>
      </w:r>
      <w:r w:rsidR="003D0399" w:rsidRPr="00004B26">
        <w:t xml:space="preserve"> </w:t>
      </w:r>
      <w:r w:rsidR="00FA2D95" w:rsidRPr="00004B26">
        <w:t>SCC</w:t>
      </w:r>
      <w:r w:rsidR="009278C8">
        <w:t xml:space="preserve"> </w:t>
      </w:r>
      <w:r w:rsidR="00FA2D95" w:rsidRPr="00004B26">
        <w:t>14</w:t>
      </w:r>
    </w:p>
    <w:p w:rsidR="008322BD" w:rsidRPr="00004B26" w:rsidRDefault="009B57B3" w:rsidP="004B4045">
      <w:pPr>
        <w:spacing w:after="720"/>
        <w:jc w:val="both"/>
        <w:outlineLvl w:val="0"/>
      </w:pPr>
      <w:r w:rsidRPr="00004B26">
        <w:t>File No.: 35448.</w:t>
      </w:r>
    </w:p>
    <w:p w:rsidR="008322BD" w:rsidRPr="00004B26" w:rsidRDefault="004B4045" w:rsidP="004B4045">
      <w:pPr>
        <w:spacing w:after="720"/>
        <w:jc w:val="both"/>
      </w:pPr>
      <w:r w:rsidRPr="00004B26">
        <w:t>2014:</w:t>
      </w:r>
      <w:r w:rsidR="009278C8">
        <w:t xml:space="preserve"> </w:t>
      </w:r>
      <w:r w:rsidR="004F36FF" w:rsidRPr="00004B26">
        <w:t>October</w:t>
      </w:r>
      <w:r w:rsidR="009278C8">
        <w:t xml:space="preserve"> </w:t>
      </w:r>
      <w:r w:rsidR="004F36FF" w:rsidRPr="00004B26">
        <w:t>8</w:t>
      </w:r>
      <w:r w:rsidR="009B57B3" w:rsidRPr="00004B26">
        <w:t xml:space="preserve">; </w:t>
      </w:r>
      <w:r w:rsidRPr="00004B26">
        <w:t>2015:</w:t>
      </w:r>
      <w:r w:rsidR="009278C8">
        <w:t xml:space="preserve"> </w:t>
      </w:r>
      <w:r w:rsidR="00621A2C" w:rsidRPr="00004B26">
        <w:t>March</w:t>
      </w:r>
      <w:r w:rsidR="009278C8">
        <w:t xml:space="preserve"> </w:t>
      </w:r>
      <w:r w:rsidR="00621A2C" w:rsidRPr="00004B26">
        <w:t>27</w:t>
      </w:r>
      <w:r w:rsidR="009B57B3" w:rsidRPr="00004B26">
        <w:t>.</w:t>
      </w:r>
    </w:p>
    <w:p w:rsidR="008322BD" w:rsidRPr="00004B26" w:rsidRDefault="009B57B3" w:rsidP="004B4045">
      <w:pPr>
        <w:spacing w:after="720"/>
        <w:jc w:val="both"/>
      </w:pPr>
      <w:r w:rsidRPr="00004B26">
        <w:t>Present: McLachlin</w:t>
      </w:r>
      <w:r w:rsidR="009278C8">
        <w:t xml:space="preserve"> </w:t>
      </w:r>
      <w:r w:rsidRPr="00004B26">
        <w:t>C.J. and LeBel, Abella, Rothstein, Cromwell, Moldaver, Karakatsanis, Wagner and Gascon</w:t>
      </w:r>
      <w:r w:rsidR="009278C8">
        <w:t xml:space="preserve"> </w:t>
      </w:r>
      <w:r w:rsidRPr="00004B26">
        <w:t>JJ.</w:t>
      </w:r>
    </w:p>
    <w:p w:rsidR="008322BD" w:rsidRPr="00004B26" w:rsidRDefault="00656313" w:rsidP="004B4045">
      <w:pPr>
        <w:pStyle w:val="SCCLowerCourtNameLowercase"/>
        <w:spacing w:after="720" w:line="240" w:lineRule="auto"/>
        <w:outlineLvl w:val="0"/>
      </w:pPr>
      <w:r w:rsidRPr="00004B26">
        <w:t>o</w:t>
      </w:r>
      <w:r w:rsidR="00170592" w:rsidRPr="00004B26">
        <w:t>n</w:t>
      </w:r>
      <w:r w:rsidR="00224FC0" w:rsidRPr="00004B26">
        <w:t xml:space="preserve"> </w:t>
      </w:r>
      <w:r w:rsidRPr="00004B26">
        <w:t>a</w:t>
      </w:r>
      <w:r w:rsidR="00170592" w:rsidRPr="00004B26">
        <w:t>ppeal</w:t>
      </w:r>
      <w:r w:rsidR="00224FC0" w:rsidRPr="00004B26">
        <w:t xml:space="preserve"> </w:t>
      </w:r>
      <w:r w:rsidR="00170592" w:rsidRPr="00004B26">
        <w:t>from</w:t>
      </w:r>
      <w:r w:rsidR="009567AA" w:rsidRPr="00004B26">
        <w:t xml:space="preserve"> the</w:t>
      </w:r>
      <w:r w:rsidR="00224FC0" w:rsidRPr="00004B26">
        <w:t xml:space="preserve"> </w:t>
      </w:r>
      <w:r w:rsidR="009B57B3" w:rsidRPr="00004B26">
        <w:t>cour</w:t>
      </w:r>
      <w:r w:rsidR="006624D9" w:rsidRPr="00004B26">
        <w:t>t of appeal for quebec</w:t>
      </w:r>
    </w:p>
    <w:p w:rsidR="009805C5" w:rsidRPr="00004B26" w:rsidRDefault="009B57B3" w:rsidP="009805C5">
      <w:pPr>
        <w:pStyle w:val="SCCNormalDoubleSpacing"/>
        <w:spacing w:before="480" w:after="480"/>
        <w:rPr>
          <w:i/>
        </w:rPr>
      </w:pPr>
      <w:r w:rsidRPr="00004B26">
        <w:tab/>
      </w:r>
      <w:r w:rsidR="009805C5" w:rsidRPr="00004B26">
        <w:rPr>
          <w:i/>
        </w:rPr>
        <w:t xml:space="preserve">Constitutional law </w:t>
      </w:r>
      <w:r w:rsidR="00A01A93" w:rsidRPr="00004B26">
        <w:rPr>
          <w:i/>
        </w:rPr>
        <w:t>—</w:t>
      </w:r>
      <w:r w:rsidR="009805C5" w:rsidRPr="00004B26">
        <w:rPr>
          <w:i/>
        </w:rPr>
        <w:t xml:space="preserve"> Division of powers </w:t>
      </w:r>
      <w:r w:rsidR="00A01A93" w:rsidRPr="00004B26">
        <w:rPr>
          <w:i/>
        </w:rPr>
        <w:t xml:space="preserve">— </w:t>
      </w:r>
      <w:r w:rsidR="009805C5" w:rsidRPr="00004B26">
        <w:rPr>
          <w:i/>
        </w:rPr>
        <w:t xml:space="preserve">Criminal law </w:t>
      </w:r>
      <w:r w:rsidR="00A01A93" w:rsidRPr="00004B26">
        <w:rPr>
          <w:i/>
        </w:rPr>
        <w:t xml:space="preserve">— </w:t>
      </w:r>
      <w:r w:rsidR="008B031F" w:rsidRPr="00004B26">
        <w:rPr>
          <w:i/>
        </w:rPr>
        <w:t xml:space="preserve">Constitutional </w:t>
      </w:r>
      <w:r w:rsidR="009805C5" w:rsidRPr="00004B26">
        <w:rPr>
          <w:i/>
        </w:rPr>
        <w:t xml:space="preserve">classification of repealing enactment </w:t>
      </w:r>
      <w:r w:rsidR="00A01A93" w:rsidRPr="00004B26">
        <w:rPr>
          <w:i/>
        </w:rPr>
        <w:t xml:space="preserve">— </w:t>
      </w:r>
      <w:r w:rsidR="009805C5" w:rsidRPr="00004B26">
        <w:rPr>
          <w:i/>
        </w:rPr>
        <w:t xml:space="preserve">Firearms </w:t>
      </w:r>
      <w:r w:rsidR="00A01A93" w:rsidRPr="00004B26">
        <w:rPr>
          <w:i/>
        </w:rPr>
        <w:t xml:space="preserve">— </w:t>
      </w:r>
      <w:r w:rsidR="008B031F" w:rsidRPr="00004B26">
        <w:rPr>
          <w:i/>
        </w:rPr>
        <w:t>Federal legislation abolishing long</w:t>
      </w:r>
      <w:r w:rsidR="009278C8">
        <w:rPr>
          <w:i/>
        </w:rPr>
        <w:t>-</w:t>
      </w:r>
      <w:r w:rsidR="008B031F" w:rsidRPr="00004B26">
        <w:rPr>
          <w:i/>
        </w:rPr>
        <w:t xml:space="preserve">gun registry </w:t>
      </w:r>
      <w:r w:rsidR="009805C5" w:rsidRPr="00004B26">
        <w:rPr>
          <w:i/>
        </w:rPr>
        <w:t xml:space="preserve">also containing provision requiring </w:t>
      </w:r>
      <w:r w:rsidR="008B031F" w:rsidRPr="00004B26">
        <w:rPr>
          <w:i/>
        </w:rPr>
        <w:lastRenderedPageBreak/>
        <w:t xml:space="preserve">destruction of </w:t>
      </w:r>
      <w:r w:rsidR="009805C5" w:rsidRPr="00004B26">
        <w:rPr>
          <w:i/>
        </w:rPr>
        <w:t>long</w:t>
      </w:r>
      <w:r w:rsidR="009278C8">
        <w:rPr>
          <w:i/>
        </w:rPr>
        <w:t>-</w:t>
      </w:r>
      <w:r w:rsidR="009805C5" w:rsidRPr="00004B26">
        <w:rPr>
          <w:i/>
        </w:rPr>
        <w:t xml:space="preserve">gun registration data </w:t>
      </w:r>
      <w:r w:rsidR="00A01A93" w:rsidRPr="00004B26">
        <w:rPr>
          <w:i/>
        </w:rPr>
        <w:t xml:space="preserve">— </w:t>
      </w:r>
      <w:r w:rsidR="008B031F" w:rsidRPr="00004B26">
        <w:rPr>
          <w:i/>
        </w:rPr>
        <w:t xml:space="preserve">Quebec challenging </w:t>
      </w:r>
      <w:r w:rsidR="009805C5" w:rsidRPr="00004B26">
        <w:rPr>
          <w:i/>
        </w:rPr>
        <w:t>constit</w:t>
      </w:r>
      <w:r w:rsidR="008B031F" w:rsidRPr="00004B26">
        <w:rPr>
          <w:i/>
        </w:rPr>
        <w:t xml:space="preserve">utionality of </w:t>
      </w:r>
      <w:r w:rsidR="009805C5" w:rsidRPr="00004B26">
        <w:rPr>
          <w:i/>
        </w:rPr>
        <w:t>destru</w:t>
      </w:r>
      <w:r w:rsidR="008B031F" w:rsidRPr="00004B26">
        <w:rPr>
          <w:i/>
        </w:rPr>
        <w:t xml:space="preserve">ction provision and seeking transfer of data connected with province from </w:t>
      </w:r>
      <w:r w:rsidR="009805C5" w:rsidRPr="00004B26">
        <w:rPr>
          <w:i/>
        </w:rPr>
        <w:t xml:space="preserve">federal government </w:t>
      </w:r>
      <w:r w:rsidR="00A01A93" w:rsidRPr="00004B26">
        <w:rPr>
          <w:i/>
        </w:rPr>
        <w:t xml:space="preserve">— </w:t>
      </w:r>
      <w:r w:rsidR="009805C5" w:rsidRPr="00004B26">
        <w:rPr>
          <w:i/>
        </w:rPr>
        <w:t xml:space="preserve">Whether principle of cooperative federalism prevents Parliament from legislating to destroy data </w:t>
      </w:r>
      <w:r w:rsidR="00A01A93" w:rsidRPr="00004B26">
        <w:rPr>
          <w:i/>
        </w:rPr>
        <w:t xml:space="preserve">— </w:t>
      </w:r>
      <w:r w:rsidR="009805C5" w:rsidRPr="00004B26">
        <w:rPr>
          <w:i/>
        </w:rPr>
        <w:t>Whether destruc</w:t>
      </w:r>
      <w:r w:rsidR="008B031F" w:rsidRPr="00004B26">
        <w:rPr>
          <w:i/>
        </w:rPr>
        <w:t xml:space="preserve">tion provision </w:t>
      </w:r>
      <w:r w:rsidR="009805C5" w:rsidRPr="00004B26">
        <w:rPr>
          <w:i/>
        </w:rPr>
        <w:t xml:space="preserve">ultra vires criminal law power of Parliament </w:t>
      </w:r>
      <w:r w:rsidR="00A01A93" w:rsidRPr="00004B26">
        <w:rPr>
          <w:i/>
        </w:rPr>
        <w:t xml:space="preserve">— </w:t>
      </w:r>
      <w:r w:rsidR="008B031F" w:rsidRPr="00004B26">
        <w:rPr>
          <w:i/>
        </w:rPr>
        <w:t xml:space="preserve">Whether </w:t>
      </w:r>
      <w:r w:rsidR="009805C5" w:rsidRPr="00004B26">
        <w:rPr>
          <w:i/>
        </w:rPr>
        <w:t>Quebec has right to receive long</w:t>
      </w:r>
      <w:r w:rsidR="009278C8">
        <w:rPr>
          <w:i/>
        </w:rPr>
        <w:t>-</w:t>
      </w:r>
      <w:r w:rsidR="009805C5" w:rsidRPr="00004B26">
        <w:rPr>
          <w:i/>
        </w:rPr>
        <w:t xml:space="preserve">gun registration data from federal government </w:t>
      </w:r>
      <w:r w:rsidR="00A01A93" w:rsidRPr="00004B26">
        <w:rPr>
          <w:i/>
        </w:rPr>
        <w:t xml:space="preserve">— </w:t>
      </w:r>
      <w:r w:rsidR="0059711A" w:rsidRPr="00004B26">
        <w:rPr>
          <w:i/>
        </w:rPr>
        <w:t>Constitution Act, 1867, s.</w:t>
      </w:r>
      <w:r w:rsidR="009278C8">
        <w:rPr>
          <w:i/>
        </w:rPr>
        <w:t xml:space="preserve"> </w:t>
      </w:r>
      <w:r w:rsidR="009805C5" w:rsidRPr="00004B26">
        <w:rPr>
          <w:i/>
        </w:rPr>
        <w:t xml:space="preserve">91(27) </w:t>
      </w:r>
      <w:r w:rsidR="00A01A93" w:rsidRPr="00004B26">
        <w:rPr>
          <w:i/>
        </w:rPr>
        <w:t xml:space="preserve">— </w:t>
      </w:r>
      <w:r w:rsidR="009805C5" w:rsidRPr="00004B26">
        <w:rPr>
          <w:i/>
        </w:rPr>
        <w:t>Ending the Long</w:t>
      </w:r>
      <w:r w:rsidR="009278C8">
        <w:rPr>
          <w:i/>
        </w:rPr>
        <w:t>-</w:t>
      </w:r>
      <w:r w:rsidR="0059711A" w:rsidRPr="00004B26">
        <w:rPr>
          <w:i/>
        </w:rPr>
        <w:t>gun Registry Act, S.C. 2012, c.</w:t>
      </w:r>
      <w:r w:rsidR="009278C8">
        <w:rPr>
          <w:i/>
        </w:rPr>
        <w:t xml:space="preserve"> </w:t>
      </w:r>
      <w:r w:rsidR="0059711A" w:rsidRPr="00004B26">
        <w:rPr>
          <w:i/>
        </w:rPr>
        <w:t>6, s.</w:t>
      </w:r>
      <w:r w:rsidR="009278C8">
        <w:rPr>
          <w:i/>
        </w:rPr>
        <w:t xml:space="preserve"> </w:t>
      </w:r>
      <w:r w:rsidR="009805C5" w:rsidRPr="00004B26">
        <w:rPr>
          <w:i/>
        </w:rPr>
        <w:t>29.</w:t>
      </w:r>
    </w:p>
    <w:p w:rsidR="009805C5" w:rsidRPr="00004B26" w:rsidRDefault="009805C5" w:rsidP="00B927C2">
      <w:pPr>
        <w:pStyle w:val="SCCNormalDoubleSpacing"/>
        <w:spacing w:before="480" w:after="480"/>
      </w:pPr>
      <w:r w:rsidRPr="00004B26">
        <w:tab/>
      </w:r>
      <w:r w:rsidR="008B031F" w:rsidRPr="00004B26">
        <w:rPr>
          <w:lang w:val="en-US"/>
        </w:rPr>
        <w:t>Adopted in 1995, t</w:t>
      </w:r>
      <w:r w:rsidRPr="00004B26">
        <w:rPr>
          <w:lang w:val="en-US"/>
        </w:rPr>
        <w:t xml:space="preserve">he </w:t>
      </w:r>
      <w:r w:rsidRPr="00004B26">
        <w:rPr>
          <w:i/>
        </w:rPr>
        <w:t>Firearms</w:t>
      </w:r>
      <w:r w:rsidRPr="00004B26">
        <w:rPr>
          <w:i/>
          <w:lang w:val="en-US"/>
        </w:rPr>
        <w:t xml:space="preserve"> Act</w:t>
      </w:r>
      <w:r w:rsidRPr="00004B26">
        <w:rPr>
          <w:lang w:val="en-US"/>
        </w:rPr>
        <w:t xml:space="preserve"> created a comprehensive scheme requiring the holders of all firearms </w:t>
      </w:r>
      <w:r w:rsidR="00AC7053" w:rsidRPr="00004B26">
        <w:rPr>
          <w:lang w:val="en-US"/>
        </w:rPr>
        <w:t>—</w:t>
      </w:r>
      <w:r w:rsidRPr="00004B26">
        <w:rPr>
          <w:lang w:val="en-US"/>
        </w:rPr>
        <w:t xml:space="preserve"> including long guns </w:t>
      </w:r>
      <w:r w:rsidR="00AC7053" w:rsidRPr="00004B26">
        <w:rPr>
          <w:lang w:val="en-US"/>
        </w:rPr>
        <w:t xml:space="preserve">— </w:t>
      </w:r>
      <w:r w:rsidRPr="00004B26">
        <w:rPr>
          <w:lang w:val="en-US"/>
        </w:rPr>
        <w:t>to obtain licen</w:t>
      </w:r>
      <w:r w:rsidR="00AC7053" w:rsidRPr="00004B26">
        <w:rPr>
          <w:lang w:val="en-US"/>
        </w:rPr>
        <w:t>c</w:t>
      </w:r>
      <w:r w:rsidRPr="00004B26">
        <w:rPr>
          <w:lang w:val="en-US"/>
        </w:rPr>
        <w:t>es and register their guns.</w:t>
      </w:r>
      <w:r w:rsidR="0059711A" w:rsidRPr="00004B26">
        <w:rPr>
          <w:lang w:val="en-US"/>
        </w:rPr>
        <w:t xml:space="preserve"> </w:t>
      </w:r>
      <w:r w:rsidRPr="00004B26">
        <w:rPr>
          <w:lang w:val="en-US"/>
        </w:rPr>
        <w:t>It also made it a criminal offence to posses</w:t>
      </w:r>
      <w:r w:rsidR="008B031F" w:rsidRPr="00004B26">
        <w:rPr>
          <w:lang w:val="en-US"/>
        </w:rPr>
        <w:t xml:space="preserve">s an unregistered firearm. </w:t>
      </w:r>
      <w:r w:rsidRPr="00004B26">
        <w:rPr>
          <w:lang w:val="en-US"/>
        </w:rPr>
        <w:t>T</w:t>
      </w:r>
      <w:r w:rsidRPr="00004B26">
        <w:t xml:space="preserve">he </w:t>
      </w:r>
      <w:r w:rsidRPr="00004B26">
        <w:rPr>
          <w:i/>
        </w:rPr>
        <w:t>Firearms Act</w:t>
      </w:r>
      <w:r w:rsidRPr="00004B26">
        <w:t xml:space="preserve"> provided for the creation of two types of registries: the Canadia</w:t>
      </w:r>
      <w:r w:rsidR="008B031F" w:rsidRPr="00004B26">
        <w:t xml:space="preserve">n Firearms Registry (“CFR”), maintained by </w:t>
      </w:r>
      <w:r w:rsidRPr="00004B26">
        <w:t>the Registrar of Firearms and containing records of the registration certificates for all prohibited firearms, restricted fi</w:t>
      </w:r>
      <w:r w:rsidR="008B031F" w:rsidRPr="00004B26">
        <w:t xml:space="preserve">rearms, and </w:t>
      </w:r>
      <w:r w:rsidRPr="00004B26">
        <w:t xml:space="preserve">long guns acquired, transferred, or possessed in Canada, and a registry kept by the Chief Firearms Officer </w:t>
      </w:r>
      <w:r w:rsidR="008B031F" w:rsidRPr="00004B26">
        <w:t xml:space="preserve">(“CFO”) </w:t>
      </w:r>
      <w:r w:rsidRPr="00004B26">
        <w:t>designated for</w:t>
      </w:r>
      <w:r w:rsidR="008B031F" w:rsidRPr="00004B26">
        <w:t xml:space="preserve"> </w:t>
      </w:r>
      <w:r w:rsidRPr="00004B26">
        <w:t>each province and territory</w:t>
      </w:r>
      <w:r w:rsidR="008B031F" w:rsidRPr="00004B26">
        <w:t xml:space="preserve">, containing </w:t>
      </w:r>
      <w:r w:rsidRPr="00004B26">
        <w:t>records of every firearm’s</w:t>
      </w:r>
      <w:r w:rsidR="008B031F" w:rsidRPr="00004B26">
        <w:t xml:space="preserve"> licence and authorization </w:t>
      </w:r>
      <w:r w:rsidRPr="00004B26">
        <w:t>issued or revoked</w:t>
      </w:r>
      <w:r w:rsidR="008B031F" w:rsidRPr="00004B26">
        <w:t xml:space="preserve">. </w:t>
      </w:r>
      <w:r w:rsidRPr="00004B26">
        <w:t xml:space="preserve">The Registrar and the CFOs could access </w:t>
      </w:r>
      <w:r w:rsidR="008B031F" w:rsidRPr="00004B26">
        <w:t>all records</w:t>
      </w:r>
      <w:r w:rsidRPr="00004B26">
        <w:t xml:space="preserve"> through a</w:t>
      </w:r>
      <w:r w:rsidR="008B031F" w:rsidRPr="00004B26">
        <w:t xml:space="preserve"> </w:t>
      </w:r>
      <w:r w:rsidRPr="00004B26">
        <w:t>single electronic database but the statutory authority of CFOs only permitted them to contribute and modify data in their specific licensing registry.</w:t>
      </w:r>
    </w:p>
    <w:p w:rsidR="009805C5" w:rsidRPr="00004B26" w:rsidRDefault="009805C5" w:rsidP="00B927C2">
      <w:pPr>
        <w:pStyle w:val="SCCNormalDoubleSpacing"/>
        <w:spacing w:before="480" w:after="480"/>
        <w:rPr>
          <w:lang w:val="en-US"/>
        </w:rPr>
      </w:pPr>
      <w:r w:rsidRPr="00004B26">
        <w:rPr>
          <w:lang w:val="en-US"/>
        </w:rPr>
        <w:tab/>
      </w:r>
      <w:r w:rsidR="008B031F" w:rsidRPr="00004B26">
        <w:t>In</w:t>
      </w:r>
      <w:r w:rsidRPr="00004B26">
        <w:t xml:space="preserve"> 2012, Parliament enacted the </w:t>
      </w:r>
      <w:r w:rsidRPr="00004B26">
        <w:rPr>
          <w:i/>
        </w:rPr>
        <w:t>Ending the Long</w:t>
      </w:r>
      <w:r w:rsidR="009278C8">
        <w:rPr>
          <w:i/>
        </w:rPr>
        <w:t>-</w:t>
      </w:r>
      <w:r w:rsidRPr="00004B26">
        <w:rPr>
          <w:i/>
        </w:rPr>
        <w:t>gun Registry Act</w:t>
      </w:r>
      <w:r w:rsidR="008B031F" w:rsidRPr="00004B26">
        <w:t xml:space="preserve"> </w:t>
      </w:r>
      <w:r w:rsidRPr="00004B26">
        <w:t>(“</w:t>
      </w:r>
      <w:r w:rsidRPr="00004B26">
        <w:rPr>
          <w:i/>
        </w:rPr>
        <w:t>ELRA</w:t>
      </w:r>
      <w:r w:rsidR="008B031F" w:rsidRPr="00004B26">
        <w:t>”)</w:t>
      </w:r>
      <w:r w:rsidRPr="00004B26">
        <w:t>, which repeal</w:t>
      </w:r>
      <w:r w:rsidR="008B031F" w:rsidRPr="00004B26">
        <w:t>ed</w:t>
      </w:r>
      <w:r w:rsidRPr="00004B26">
        <w:t xml:space="preserve"> the registration requirement for long guns and decriminalize</w:t>
      </w:r>
      <w:r w:rsidR="008B031F" w:rsidRPr="00004B26">
        <w:t>d</w:t>
      </w:r>
      <w:r w:rsidRPr="00004B26">
        <w:t xml:space="preserve"> the possession of an unregistered long </w:t>
      </w:r>
      <w:r w:rsidR="0059711A" w:rsidRPr="00004B26">
        <w:t>gun. Section</w:t>
      </w:r>
      <w:r w:rsidR="009278C8">
        <w:t xml:space="preserve"> </w:t>
      </w:r>
      <w:r w:rsidRPr="00004B26">
        <w:t xml:space="preserve">29 of the </w:t>
      </w:r>
      <w:r w:rsidRPr="00004B26">
        <w:rPr>
          <w:i/>
        </w:rPr>
        <w:t>ELRA</w:t>
      </w:r>
      <w:r w:rsidRPr="00004B26">
        <w:t xml:space="preserve"> </w:t>
      </w:r>
      <w:r w:rsidRPr="00004B26">
        <w:lastRenderedPageBreak/>
        <w:t xml:space="preserve">requires the destruction of all records contained in the registries related to the registration of long guns. </w:t>
      </w:r>
      <w:r w:rsidRPr="00004B26">
        <w:rPr>
          <w:lang w:val="en-US"/>
        </w:rPr>
        <w:t>In reaction, Quebec expressed its intention to create its own long</w:t>
      </w:r>
      <w:r w:rsidR="009278C8">
        <w:rPr>
          <w:lang w:val="en-US"/>
        </w:rPr>
        <w:t>-</w:t>
      </w:r>
      <w:r w:rsidRPr="00004B26">
        <w:rPr>
          <w:lang w:val="en-US"/>
        </w:rPr>
        <w:t>gun registry and asked the federal authorities for the data connected to Quebec contained in the CFR.</w:t>
      </w:r>
      <w:r w:rsidR="0059711A" w:rsidRPr="00004B26">
        <w:rPr>
          <w:lang w:val="en-US"/>
        </w:rPr>
        <w:t xml:space="preserve"> </w:t>
      </w:r>
      <w:r w:rsidRPr="00004B26">
        <w:rPr>
          <w:lang w:val="en-US"/>
        </w:rPr>
        <w:t>Canada refused and made clear that it intended to permanently destroy all long</w:t>
      </w:r>
      <w:r w:rsidR="009278C8">
        <w:rPr>
          <w:lang w:val="en-US"/>
        </w:rPr>
        <w:t>-</w:t>
      </w:r>
      <w:r w:rsidRPr="00004B26">
        <w:rPr>
          <w:lang w:val="en-US"/>
        </w:rPr>
        <w:t>gun registration data. In light of this refusal, Quebec sought a declaration that s.</w:t>
      </w:r>
      <w:r w:rsidR="009278C8">
        <w:rPr>
          <w:lang w:val="en-US"/>
        </w:rPr>
        <w:t xml:space="preserve"> </w:t>
      </w:r>
      <w:r w:rsidRPr="00004B26">
        <w:rPr>
          <w:lang w:val="en-US"/>
        </w:rPr>
        <w:t xml:space="preserve">29 of the </w:t>
      </w:r>
      <w:r w:rsidRPr="00004B26">
        <w:rPr>
          <w:i/>
          <w:lang w:val="en-US"/>
        </w:rPr>
        <w:t>ELRA</w:t>
      </w:r>
      <w:r w:rsidRPr="00004B26">
        <w:rPr>
          <w:lang w:val="en-US"/>
        </w:rPr>
        <w:t xml:space="preserve"> is </w:t>
      </w:r>
      <w:r w:rsidRPr="00004B26">
        <w:rPr>
          <w:i/>
          <w:lang w:val="en-US"/>
        </w:rPr>
        <w:t>ultra vires</w:t>
      </w:r>
      <w:r w:rsidRPr="00004B26">
        <w:rPr>
          <w:lang w:val="en-US"/>
        </w:rPr>
        <w:t xml:space="preserve"> and that Quebec has a right to obtain the data.</w:t>
      </w:r>
      <w:r w:rsidR="0059711A" w:rsidRPr="00004B26">
        <w:rPr>
          <w:lang w:val="en-US"/>
        </w:rPr>
        <w:t xml:space="preserve"> </w:t>
      </w:r>
    </w:p>
    <w:p w:rsidR="009805C5" w:rsidRPr="00004B26" w:rsidRDefault="008B031F" w:rsidP="00B927C2">
      <w:pPr>
        <w:pStyle w:val="SCCNormalDoubleSpacing"/>
        <w:spacing w:before="480" w:after="480"/>
        <w:rPr>
          <w:lang w:val="en-US"/>
        </w:rPr>
      </w:pPr>
      <w:r w:rsidRPr="00004B26">
        <w:rPr>
          <w:lang w:val="en-US"/>
        </w:rPr>
        <w:tab/>
      </w:r>
      <w:r w:rsidR="009805C5" w:rsidRPr="00004B26">
        <w:rPr>
          <w:lang w:val="en-US"/>
        </w:rPr>
        <w:t xml:space="preserve">The </w:t>
      </w:r>
      <w:r w:rsidR="009805C5" w:rsidRPr="00004B26">
        <w:t>Superior</w:t>
      </w:r>
      <w:r w:rsidR="008F7A9F" w:rsidRPr="00004B26">
        <w:rPr>
          <w:lang w:val="en-US"/>
        </w:rPr>
        <w:t xml:space="preserve"> Court of Quebec declared s.</w:t>
      </w:r>
      <w:r w:rsidR="009278C8">
        <w:rPr>
          <w:lang w:val="en-US"/>
        </w:rPr>
        <w:t xml:space="preserve"> </w:t>
      </w:r>
      <w:r w:rsidR="009805C5" w:rsidRPr="00004B26">
        <w:rPr>
          <w:lang w:val="en-US"/>
        </w:rPr>
        <w:t xml:space="preserve">29 of the </w:t>
      </w:r>
      <w:r w:rsidR="009805C5" w:rsidRPr="00004B26">
        <w:rPr>
          <w:i/>
          <w:lang w:val="en-US"/>
        </w:rPr>
        <w:t>ELRA</w:t>
      </w:r>
      <w:r w:rsidR="009805C5" w:rsidRPr="00004B26">
        <w:rPr>
          <w:lang w:val="en-US"/>
        </w:rPr>
        <w:t xml:space="preserve"> unconstitutional as it applies</w:t>
      </w:r>
      <w:r w:rsidRPr="00004B26">
        <w:rPr>
          <w:lang w:val="en-US"/>
        </w:rPr>
        <w:t xml:space="preserve"> to data connected with Quebec </w:t>
      </w:r>
      <w:r w:rsidR="009805C5" w:rsidRPr="00004B26">
        <w:rPr>
          <w:lang w:val="en-US"/>
        </w:rPr>
        <w:t>and ordered Canada to transfer that data to the province.</w:t>
      </w:r>
      <w:r w:rsidR="0059711A" w:rsidRPr="00004B26">
        <w:rPr>
          <w:lang w:val="en-US"/>
        </w:rPr>
        <w:t xml:space="preserve"> </w:t>
      </w:r>
      <w:r w:rsidR="009805C5" w:rsidRPr="00004B26">
        <w:rPr>
          <w:lang w:val="en-US"/>
        </w:rPr>
        <w:t>The Quebec Court of Appeal</w:t>
      </w:r>
      <w:r w:rsidRPr="00004B26">
        <w:rPr>
          <w:lang w:val="en-US"/>
        </w:rPr>
        <w:t xml:space="preserve"> </w:t>
      </w:r>
      <w:r w:rsidR="009805C5" w:rsidRPr="00004B26">
        <w:rPr>
          <w:lang w:val="en-US"/>
        </w:rPr>
        <w:t xml:space="preserve">reversed that decision. </w:t>
      </w:r>
    </w:p>
    <w:p w:rsidR="009805C5" w:rsidRPr="00004B26" w:rsidRDefault="009805C5" w:rsidP="009805C5">
      <w:pPr>
        <w:pStyle w:val="SCCNormalDoubleSpacing"/>
        <w:spacing w:before="480" w:after="480"/>
      </w:pPr>
      <w:r w:rsidRPr="00004B26">
        <w:tab/>
      </w:r>
      <w:r w:rsidRPr="00004B26">
        <w:rPr>
          <w:rStyle w:val="QuoteChar"/>
          <w:color w:val="auto"/>
          <w:lang w:val="en-CA"/>
        </w:rPr>
        <w:t>Held</w:t>
      </w:r>
      <w:r w:rsidRPr="00004B26">
        <w:rPr>
          <w:rStyle w:val="QuoteChar"/>
          <w:i w:val="0"/>
          <w:color w:val="auto"/>
          <w:lang w:val="en-CA"/>
        </w:rPr>
        <w:t xml:space="preserve"> (L</w:t>
      </w:r>
      <w:r w:rsidR="008F7A9F" w:rsidRPr="00004B26">
        <w:rPr>
          <w:rStyle w:val="QuoteChar"/>
          <w:i w:val="0"/>
          <w:color w:val="auto"/>
          <w:lang w:val="en-CA"/>
        </w:rPr>
        <w:t>eBel, Abella, Wagner and Gascon</w:t>
      </w:r>
      <w:r w:rsidR="009278C8">
        <w:rPr>
          <w:rStyle w:val="QuoteChar"/>
          <w:i w:val="0"/>
          <w:color w:val="auto"/>
          <w:lang w:val="en-CA"/>
        </w:rPr>
        <w:t xml:space="preserve"> </w:t>
      </w:r>
      <w:r w:rsidRPr="00004B26">
        <w:rPr>
          <w:rStyle w:val="QuoteChar"/>
          <w:i w:val="0"/>
          <w:color w:val="auto"/>
          <w:lang w:val="en-CA"/>
        </w:rPr>
        <w:t>JJ. dissenting):</w:t>
      </w:r>
      <w:r w:rsidR="0059711A" w:rsidRPr="00004B26">
        <w:t xml:space="preserve"> </w:t>
      </w:r>
      <w:r w:rsidRPr="00004B26">
        <w:t xml:space="preserve">The appeal should be dismissed. Section 29 of the </w:t>
      </w:r>
      <w:r w:rsidRPr="00004B26">
        <w:rPr>
          <w:i/>
        </w:rPr>
        <w:t>ELRA</w:t>
      </w:r>
      <w:r w:rsidRPr="00004B26">
        <w:t xml:space="preserve"> is constitutional, </w:t>
      </w:r>
      <w:r w:rsidR="008B031F" w:rsidRPr="00004B26">
        <w:t xml:space="preserve">and </w:t>
      </w:r>
      <w:r w:rsidRPr="00004B26">
        <w:t>Quebec has no legal right to the data.</w:t>
      </w:r>
    </w:p>
    <w:p w:rsidR="009805C5" w:rsidRPr="00004B26" w:rsidRDefault="009805C5" w:rsidP="00B927C2">
      <w:pPr>
        <w:pStyle w:val="SCCNormalDoubleSpacing"/>
        <w:spacing w:before="480" w:after="480"/>
      </w:pPr>
      <w:r w:rsidRPr="00004B26">
        <w:tab/>
      </w:r>
      <w:r w:rsidRPr="00004B26">
        <w:rPr>
          <w:i/>
        </w:rPr>
        <w:t>Per</w:t>
      </w:r>
      <w:r w:rsidR="00B927C2" w:rsidRPr="00004B26">
        <w:t xml:space="preserve"> McLachlin</w:t>
      </w:r>
      <w:r w:rsidR="009278C8">
        <w:t xml:space="preserve"> </w:t>
      </w:r>
      <w:r w:rsidRPr="00004B26">
        <w:t xml:space="preserve">C.J. and Rothstein, </w:t>
      </w:r>
      <w:r w:rsidRPr="005F03E0">
        <w:t>Cromwell</w:t>
      </w:r>
      <w:r w:rsidRPr="00004B26">
        <w:t xml:space="preserve">, Moldaver and </w:t>
      </w:r>
      <w:r w:rsidRPr="005F03E0">
        <w:t>Karakatsanis</w:t>
      </w:r>
      <w:r w:rsidR="009278C8" w:rsidRPr="005F03E0">
        <w:t xml:space="preserve"> </w:t>
      </w:r>
      <w:r w:rsidRPr="00004B26">
        <w:t>JJ.: The decision to dismantle the long</w:t>
      </w:r>
      <w:r w:rsidR="009278C8">
        <w:t>-</w:t>
      </w:r>
      <w:r w:rsidRPr="00004B26">
        <w:t xml:space="preserve">gun registry and destroy the data that it contains is a policy choice that Parliament was constitutionally entitled to make. The principle of cooperative federalism does not constrain federal legislative competence in this case, Quebec has no </w:t>
      </w:r>
      <w:r w:rsidR="008F7A9F" w:rsidRPr="00004B26">
        <w:t>legal right to the data, and s.</w:t>
      </w:r>
      <w:r w:rsidR="009278C8">
        <w:t xml:space="preserve"> </w:t>
      </w:r>
      <w:r w:rsidRPr="00004B26">
        <w:t xml:space="preserve">29 of the </w:t>
      </w:r>
      <w:r w:rsidRPr="00004B26">
        <w:rPr>
          <w:i/>
        </w:rPr>
        <w:t>ELRA</w:t>
      </w:r>
      <w:r w:rsidRPr="00004B26">
        <w:t xml:space="preserve"> is a lawful exercise of Parliament’s criminal law legislative power under the Constitution.</w:t>
      </w:r>
      <w:r w:rsidR="0059711A" w:rsidRPr="00004B26">
        <w:t xml:space="preserve"> </w:t>
      </w:r>
    </w:p>
    <w:p w:rsidR="009805C5" w:rsidRPr="00004B26" w:rsidRDefault="009805C5" w:rsidP="00B927C2">
      <w:pPr>
        <w:pStyle w:val="SCCNormalDoubleSpacing"/>
        <w:spacing w:before="480" w:after="480"/>
      </w:pPr>
      <w:r w:rsidRPr="00004B26">
        <w:lastRenderedPageBreak/>
        <w:tab/>
        <w:t xml:space="preserve">Quebec’s position that cooperative federalism prevents Canada and the provinces from acting or legislating in a way that would hinder cooperation between both orders of government has no foundation in our constitutional law and is contrary to the governing authorities from this Court. The principle of cooperative federalism does not prevent Parliament from exercising legislative authority that it otherwise possesses. The primacy of our written Constitution remains one of the fundamental tenets of our constitutional framework, and this is especially the case with regard to the division of powers. Neither this Court’s jurisprudence nor the text of the </w:t>
      </w:r>
      <w:r w:rsidRPr="00004B26">
        <w:rPr>
          <w:i/>
        </w:rPr>
        <w:t>Constitution Act, 1867</w:t>
      </w:r>
      <w:r w:rsidRPr="00004B26">
        <w:t xml:space="preserve"> support</w:t>
      </w:r>
      <w:r w:rsidR="00AB096E">
        <w:t>s</w:t>
      </w:r>
      <w:r w:rsidRPr="00004B26">
        <w:t xml:space="preserve"> using the principle of cooperative federalism to limit the scope of legislative authority or to impose a positive obligation to facilitate cooperation where the constitutional division of powers authorizes unilateral action.</w:t>
      </w:r>
      <w:r w:rsidR="0059711A" w:rsidRPr="00004B26">
        <w:t xml:space="preserve"> </w:t>
      </w:r>
      <w:r w:rsidRPr="00004B26">
        <w:t>To hold otherwise would undermine parliamentary sovereignty and create legal uncertainty whenever one order of government adopted legislation having some impact on the policy objectives of another.</w:t>
      </w:r>
    </w:p>
    <w:p w:rsidR="009805C5" w:rsidRPr="00004B26" w:rsidRDefault="009805C5" w:rsidP="00B927C2">
      <w:pPr>
        <w:pStyle w:val="SCCNormalDoubleSpacing"/>
        <w:spacing w:before="480" w:after="480"/>
      </w:pPr>
      <w:r w:rsidRPr="00004B26">
        <w:rPr>
          <w:lang w:val="en-US"/>
        </w:rPr>
        <w:tab/>
        <w:t xml:space="preserve">Although </w:t>
      </w:r>
      <w:r w:rsidRPr="00004B26">
        <w:t>Quebec</w:t>
      </w:r>
      <w:r w:rsidRPr="00004B26">
        <w:rPr>
          <w:lang w:val="en-US"/>
        </w:rPr>
        <w:t xml:space="preserve"> submits that it has a right to receive the long</w:t>
      </w:r>
      <w:r w:rsidR="009278C8">
        <w:rPr>
          <w:lang w:val="en-US"/>
        </w:rPr>
        <w:t>-</w:t>
      </w:r>
      <w:r w:rsidRPr="00004B26">
        <w:rPr>
          <w:lang w:val="en-US"/>
        </w:rPr>
        <w:t>gun registration data whether or not Parliament is constitutionally entitled to legislate with respect to the fate of that data, it has not establishe</w:t>
      </w:r>
      <w:r w:rsidR="0059711A" w:rsidRPr="00004B26">
        <w:rPr>
          <w:lang w:val="en-US"/>
        </w:rPr>
        <w:t>d a legal basis for that right.</w:t>
      </w:r>
      <w:r w:rsidRPr="00004B26">
        <w:rPr>
          <w:lang w:val="en-US"/>
        </w:rPr>
        <w:t xml:space="preserve"> As mentioned,</w:t>
      </w:r>
      <w:r w:rsidRPr="00004B26">
        <w:t xml:space="preserve"> the principle of cooperative federalism does not limit the scope of the legislative powers assigned by the Constitution. Furthermore, accepting Quebec’s position, which arises from its expectation of having continuing access to the data, would circumvent or effectively overturn this Court’s rejection of the “le</w:t>
      </w:r>
      <w:r w:rsidR="0059711A" w:rsidRPr="00004B26">
        <w:t>gitimate expectation” doctrine.</w:t>
      </w:r>
      <w:r w:rsidRPr="00004B26">
        <w:t xml:space="preserve"> The provinces’ reliance on the existence of the data cannot limit Parliament’s capacity to destroy a registry, which flows exclusively from its </w:t>
      </w:r>
      <w:r w:rsidRPr="00004B26">
        <w:lastRenderedPageBreak/>
        <w:t>criminal law head of power. Lastly, even if the data accessible through the CFR was the result of a cooperative effort, any effort on Quebec’s part was statutorily limited to the licensing data held in the CFO’s licensing registry.</w:t>
      </w:r>
      <w:r w:rsidR="0059711A" w:rsidRPr="00004B26">
        <w:t xml:space="preserve"> </w:t>
      </w:r>
    </w:p>
    <w:p w:rsidR="009805C5" w:rsidRPr="00004B26" w:rsidRDefault="009805C5" w:rsidP="00B927C2">
      <w:pPr>
        <w:pStyle w:val="SCCNormalDoubleSpacing"/>
        <w:spacing w:before="480" w:after="480"/>
      </w:pPr>
      <w:r w:rsidRPr="00004B26">
        <w:tab/>
        <w:t>T</w:t>
      </w:r>
      <w:r w:rsidRPr="00004B26">
        <w:rPr>
          <w:szCs w:val="24"/>
        </w:rPr>
        <w:t xml:space="preserve">his Court has already been called upon, in the </w:t>
      </w:r>
      <w:r w:rsidRPr="00004B26">
        <w:rPr>
          <w:i/>
        </w:rPr>
        <w:t>Reference re Firearms Act (Can.)</w:t>
      </w:r>
      <w:r w:rsidRPr="00004B26">
        <w:t xml:space="preserve">, 2000 SCC 31, [2000] 1 S.C.R. 783, </w:t>
      </w:r>
      <w:r w:rsidRPr="00004B26">
        <w:rPr>
          <w:szCs w:val="24"/>
        </w:rPr>
        <w:t xml:space="preserve">to determine the pith and substance of the scheme enacted by the </w:t>
      </w:r>
      <w:r w:rsidRPr="00004B26">
        <w:rPr>
          <w:i/>
          <w:szCs w:val="24"/>
        </w:rPr>
        <w:t>Firearms Act</w:t>
      </w:r>
      <w:r w:rsidRPr="00004B26">
        <w:rPr>
          <w:szCs w:val="24"/>
        </w:rPr>
        <w:t>.</w:t>
      </w:r>
      <w:r w:rsidR="0059711A" w:rsidRPr="00004B26">
        <w:rPr>
          <w:szCs w:val="24"/>
        </w:rPr>
        <w:t xml:space="preserve"> </w:t>
      </w:r>
      <w:r w:rsidRPr="00004B26">
        <w:rPr>
          <w:szCs w:val="24"/>
        </w:rPr>
        <w:t>In that case, the Court conclude</w:t>
      </w:r>
      <w:r w:rsidR="00C231A3" w:rsidRPr="00004B26">
        <w:rPr>
          <w:szCs w:val="24"/>
        </w:rPr>
        <w:t xml:space="preserve">d that the “matter” of the </w:t>
      </w:r>
      <w:r w:rsidRPr="00004B26">
        <w:rPr>
          <w:szCs w:val="24"/>
        </w:rPr>
        <w:t>registration and da</w:t>
      </w:r>
      <w:r w:rsidR="00C231A3" w:rsidRPr="00004B26">
        <w:rPr>
          <w:szCs w:val="24"/>
        </w:rPr>
        <w:t xml:space="preserve">ta retention provisions was public safety </w:t>
      </w:r>
      <w:r w:rsidRPr="00004B26">
        <w:rPr>
          <w:szCs w:val="24"/>
        </w:rPr>
        <w:t xml:space="preserve">and should be </w:t>
      </w:r>
      <w:r w:rsidRPr="00004B26">
        <w:t>classified as being in relation to the subject of criminal law</w:t>
      </w:r>
      <w:r w:rsidR="00C231A3" w:rsidRPr="00004B26">
        <w:t xml:space="preserve">. </w:t>
      </w:r>
      <w:r w:rsidR="00C231A3" w:rsidRPr="00004B26">
        <w:rPr>
          <w:szCs w:val="24"/>
        </w:rPr>
        <w:t>L</w:t>
      </w:r>
      <w:r w:rsidRPr="00004B26">
        <w:rPr>
          <w:szCs w:val="24"/>
        </w:rPr>
        <w:t xml:space="preserve">egislation repealing </w:t>
      </w:r>
      <w:r w:rsidR="00C231A3" w:rsidRPr="00004B26">
        <w:rPr>
          <w:szCs w:val="24"/>
        </w:rPr>
        <w:t xml:space="preserve">that </w:t>
      </w:r>
      <w:r w:rsidRPr="00004B26">
        <w:rPr>
          <w:szCs w:val="24"/>
        </w:rPr>
        <w:t xml:space="preserve">scheme, including a provision addressing </w:t>
      </w:r>
      <w:r w:rsidRPr="00004B26">
        <w:t>what will happen to the data collected under the now repealed scheme, must be characterized in the same way.</w:t>
      </w:r>
      <w:r w:rsidR="0059711A" w:rsidRPr="00004B26">
        <w:rPr>
          <w:szCs w:val="24"/>
        </w:rPr>
        <w:t xml:space="preserve"> </w:t>
      </w:r>
      <w:r w:rsidR="00C231A3" w:rsidRPr="00004B26">
        <w:rPr>
          <w:szCs w:val="24"/>
        </w:rPr>
        <w:t>Section</w:t>
      </w:r>
      <w:r w:rsidR="009278C8">
        <w:rPr>
          <w:szCs w:val="24"/>
        </w:rPr>
        <w:t xml:space="preserve"> </w:t>
      </w:r>
      <w:r w:rsidRPr="00004B26">
        <w:rPr>
          <w:szCs w:val="24"/>
        </w:rPr>
        <w:t xml:space="preserve">29, in essence, relates to public safety </w:t>
      </w:r>
      <w:r w:rsidR="00AC7053" w:rsidRPr="00004B26">
        <w:rPr>
          <w:lang w:val="en-US"/>
        </w:rPr>
        <w:t xml:space="preserve">— </w:t>
      </w:r>
      <w:r w:rsidRPr="00004B26">
        <w:rPr>
          <w:szCs w:val="24"/>
        </w:rPr>
        <w:t>as did the long</w:t>
      </w:r>
      <w:r w:rsidR="009278C8">
        <w:rPr>
          <w:szCs w:val="24"/>
        </w:rPr>
        <w:t>-</w:t>
      </w:r>
      <w:r w:rsidRPr="00004B26">
        <w:rPr>
          <w:szCs w:val="24"/>
        </w:rPr>
        <w:t xml:space="preserve">gun registration scheme being repealed by the balance of the </w:t>
      </w:r>
      <w:r w:rsidRPr="00004B26">
        <w:rPr>
          <w:i/>
          <w:szCs w:val="24"/>
        </w:rPr>
        <w:t>ELRA</w:t>
      </w:r>
      <w:r w:rsidRPr="00004B26">
        <w:rPr>
          <w:szCs w:val="24"/>
        </w:rPr>
        <w:t>.</w:t>
      </w:r>
      <w:r w:rsidR="0059711A" w:rsidRPr="00004B26">
        <w:rPr>
          <w:szCs w:val="24"/>
        </w:rPr>
        <w:t xml:space="preserve"> </w:t>
      </w:r>
      <w:r w:rsidR="00C231A3" w:rsidRPr="00004B26">
        <w:rPr>
          <w:szCs w:val="24"/>
        </w:rPr>
        <w:t xml:space="preserve">That provision </w:t>
      </w:r>
      <w:r w:rsidRPr="00004B26">
        <w:t>does not limit Quebec’s legislative authority to create a provincial long</w:t>
      </w:r>
      <w:r w:rsidR="009278C8">
        <w:t>-</w:t>
      </w:r>
      <w:r w:rsidRPr="00004B26">
        <w:t>gun registry</w:t>
      </w:r>
      <w:r w:rsidR="00C231A3" w:rsidRPr="00004B26">
        <w:t>, it merely</w:t>
      </w:r>
      <w:r w:rsidRPr="00004B26">
        <w:t xml:space="preserve"> prevents Quebec from using the data obtained through the federal long</w:t>
      </w:r>
      <w:r w:rsidR="009278C8">
        <w:t>-</w:t>
      </w:r>
      <w:r w:rsidRPr="00004B26">
        <w:t>gun registry in establishing a provincial r</w:t>
      </w:r>
      <w:r w:rsidR="0059711A" w:rsidRPr="00004B26">
        <w:t xml:space="preserve">egistry. </w:t>
      </w:r>
      <w:r w:rsidRPr="00004B26">
        <w:t xml:space="preserve">The fact that </w:t>
      </w:r>
      <w:r w:rsidR="00C231A3" w:rsidRPr="00004B26">
        <w:t>it</w:t>
      </w:r>
      <w:r w:rsidRPr="00004B26">
        <w:t xml:space="preserve"> has the practical effect of making it more difficult financially for Quebec to create its own gun control regime </w:t>
      </w:r>
      <w:r w:rsidR="00C231A3" w:rsidRPr="00004B26">
        <w:t>is</w:t>
      </w:r>
      <w:r w:rsidRPr="00004B26">
        <w:t xml:space="preserve"> not indicative of a “colourable” purpose from a d</w:t>
      </w:r>
      <w:r w:rsidR="00C231A3" w:rsidRPr="00004B26">
        <w:t>ivision of powers’ perspective and</w:t>
      </w:r>
      <w:r w:rsidRPr="00004B26">
        <w:t xml:space="preserve"> does not</w:t>
      </w:r>
      <w:r w:rsidR="00C231A3" w:rsidRPr="00004B26">
        <w:t xml:space="preserve"> </w:t>
      </w:r>
      <w:r w:rsidRPr="00004B26">
        <w:t>affect the pith and substance of s.</w:t>
      </w:r>
      <w:r w:rsidR="009278C8">
        <w:t xml:space="preserve"> </w:t>
      </w:r>
      <w:r w:rsidRPr="00004B26">
        <w:t>29.</w:t>
      </w:r>
      <w:r w:rsidRPr="00004B26">
        <w:rPr>
          <w:szCs w:val="24"/>
        </w:rPr>
        <w:t xml:space="preserve"> </w:t>
      </w:r>
    </w:p>
    <w:p w:rsidR="009805C5" w:rsidRPr="00004B26" w:rsidRDefault="00C231A3" w:rsidP="00B927C2">
      <w:pPr>
        <w:pStyle w:val="SCCNormalDoubleSpacing"/>
        <w:spacing w:before="480" w:after="480"/>
      </w:pPr>
      <w:r w:rsidRPr="00004B26">
        <w:tab/>
        <w:t>T</w:t>
      </w:r>
      <w:r w:rsidR="009805C5" w:rsidRPr="00004B26">
        <w:t>here is no significant legal distinction between</w:t>
      </w:r>
      <w:r w:rsidRPr="00004B26">
        <w:t xml:space="preserve"> </w:t>
      </w:r>
      <w:r w:rsidR="009805C5" w:rsidRPr="00004B26">
        <w:t>repealing a criminal provision and providing for what will happen to the data collected under that provision</w:t>
      </w:r>
      <w:r w:rsidRPr="00004B26">
        <w:t xml:space="preserve"> where</w:t>
      </w:r>
      <w:r w:rsidR="009805C5" w:rsidRPr="00004B26">
        <w:t xml:space="preserve"> the data was collected exclusively through the exercise of the crimin</w:t>
      </w:r>
      <w:r w:rsidR="0059711A" w:rsidRPr="00004B26">
        <w:t xml:space="preserve">al law power. </w:t>
      </w:r>
      <w:r w:rsidR="009805C5" w:rsidRPr="00004B26">
        <w:t xml:space="preserve">The power to repeal a criminal law provision must logically be </w:t>
      </w:r>
      <w:r w:rsidR="009805C5" w:rsidRPr="00004B26">
        <w:lastRenderedPageBreak/>
        <w:t>wide enough to give Parliament jurisdiction to destroy the data collected for the purpose of that</w:t>
      </w:r>
      <w:r w:rsidR="0059711A" w:rsidRPr="00004B26">
        <w:t xml:space="preserve"> provision. </w:t>
      </w:r>
      <w:r w:rsidRPr="00004B26">
        <w:t>Accordingly</w:t>
      </w:r>
      <w:r w:rsidR="0059711A" w:rsidRPr="00004B26">
        <w:t>, s.</w:t>
      </w:r>
      <w:r w:rsidR="009278C8">
        <w:t xml:space="preserve"> </w:t>
      </w:r>
      <w:r w:rsidR="009805C5" w:rsidRPr="00004B26">
        <w:t xml:space="preserve">29 of the </w:t>
      </w:r>
      <w:r w:rsidR="009805C5" w:rsidRPr="00004B26">
        <w:rPr>
          <w:i/>
        </w:rPr>
        <w:t>ELRA</w:t>
      </w:r>
      <w:r w:rsidR="009805C5" w:rsidRPr="00004B26">
        <w:t xml:space="preserve"> should be characterized as being in relation to criminal law.</w:t>
      </w:r>
      <w:r w:rsidR="0059711A" w:rsidRPr="00004B26">
        <w:t xml:space="preserve"> </w:t>
      </w:r>
      <w:r w:rsidR="009805C5" w:rsidRPr="00004B26">
        <w:t>It therefore falls within the legislative competence of Parliament.</w:t>
      </w:r>
    </w:p>
    <w:p w:rsidR="006D2017" w:rsidRPr="00004B26" w:rsidRDefault="009805C5" w:rsidP="006D2017">
      <w:pPr>
        <w:pStyle w:val="ParaNoNdepar-AltN"/>
        <w:numPr>
          <w:ilvl w:val="0"/>
          <w:numId w:val="0"/>
        </w:numPr>
        <w:tabs>
          <w:tab w:val="left" w:pos="1170"/>
        </w:tabs>
        <w:rPr>
          <w:rFonts w:cs="Times New Roman"/>
        </w:rPr>
      </w:pPr>
      <w:r w:rsidRPr="00004B26">
        <w:rPr>
          <w:rFonts w:cs="Times New Roman"/>
          <w:i/>
        </w:rPr>
        <w:tab/>
        <w:t>Per</w:t>
      </w:r>
      <w:r w:rsidRPr="00004B26">
        <w:rPr>
          <w:rFonts w:cs="Times New Roman"/>
        </w:rPr>
        <w:t xml:space="preserve"> </w:t>
      </w:r>
      <w:r w:rsidRPr="00E53E41">
        <w:rPr>
          <w:rFonts w:cs="Times New Roman"/>
        </w:rPr>
        <w:t>LeBel</w:t>
      </w:r>
      <w:r w:rsidRPr="00004B26">
        <w:rPr>
          <w:rFonts w:cs="Times New Roman"/>
        </w:rPr>
        <w:t xml:space="preserve">, Abella, </w:t>
      </w:r>
      <w:r w:rsidRPr="00E53E41">
        <w:rPr>
          <w:rFonts w:cs="Times New Roman"/>
        </w:rPr>
        <w:t>Wagner</w:t>
      </w:r>
      <w:r w:rsidRPr="00004B26">
        <w:rPr>
          <w:rFonts w:cs="Times New Roman"/>
        </w:rPr>
        <w:t xml:space="preserve"> and </w:t>
      </w:r>
      <w:r w:rsidRPr="00E53E41">
        <w:rPr>
          <w:rFonts w:cs="Times New Roman"/>
        </w:rPr>
        <w:t>Gascon</w:t>
      </w:r>
      <w:r w:rsidR="009278C8" w:rsidRPr="00E53E41">
        <w:rPr>
          <w:rFonts w:cs="Times New Roman"/>
        </w:rPr>
        <w:t xml:space="preserve"> </w:t>
      </w:r>
      <w:r w:rsidRPr="00004B26">
        <w:rPr>
          <w:rFonts w:cs="Times New Roman"/>
        </w:rPr>
        <w:t>JJ. (</w:t>
      </w:r>
      <w:proofErr w:type="gramStart"/>
      <w:r w:rsidRPr="00004B26">
        <w:rPr>
          <w:rFonts w:cs="Times New Roman"/>
        </w:rPr>
        <w:t>dissenting</w:t>
      </w:r>
      <w:proofErr w:type="gramEnd"/>
      <w:r w:rsidRPr="00004B26">
        <w:rPr>
          <w:rFonts w:cs="Times New Roman"/>
        </w:rPr>
        <w:t>):</w:t>
      </w:r>
      <w:r w:rsidR="00E37320" w:rsidRPr="00004B26">
        <w:rPr>
          <w:rFonts w:cs="Times New Roman"/>
        </w:rPr>
        <w:t xml:space="preserve"> </w:t>
      </w:r>
      <w:r w:rsidR="006D2017" w:rsidRPr="00004B26">
        <w:rPr>
          <w:rFonts w:cs="Times New Roman"/>
        </w:rPr>
        <w:t>Section</w:t>
      </w:r>
      <w:r w:rsidR="009278C8">
        <w:rPr>
          <w:rFonts w:cs="Times New Roman"/>
        </w:rPr>
        <w:t xml:space="preserve"> </w:t>
      </w:r>
      <w:r w:rsidR="006D2017" w:rsidRPr="00004B26">
        <w:rPr>
          <w:rFonts w:cs="Times New Roman"/>
        </w:rPr>
        <w:t xml:space="preserve">29 of the </w:t>
      </w:r>
      <w:r w:rsidR="006D2017" w:rsidRPr="00004B26">
        <w:rPr>
          <w:rFonts w:cs="Times New Roman"/>
          <w:i/>
        </w:rPr>
        <w:t>ELRA</w:t>
      </w:r>
      <w:r w:rsidR="006D2017" w:rsidRPr="00004B26">
        <w:rPr>
          <w:rFonts w:cs="Times New Roman"/>
        </w:rPr>
        <w:t xml:space="preserve"> is unconstitutional and should be declared to be invalid. The </w:t>
      </w:r>
      <w:r w:rsidR="006D2017" w:rsidRPr="00004B26">
        <w:rPr>
          <w:rFonts w:cs="Times New Roman"/>
          <w:i/>
        </w:rPr>
        <w:t>ELRA</w:t>
      </w:r>
      <w:r w:rsidR="006D2017" w:rsidRPr="00004B26">
        <w:rPr>
          <w:rFonts w:cs="Times New Roman"/>
        </w:rPr>
        <w:t xml:space="preserve"> is the </w:t>
      </w:r>
      <w:r w:rsidR="0025044F" w:rsidRPr="00004B26">
        <w:rPr>
          <w:rFonts w:cs="Times New Roman"/>
        </w:rPr>
        <w:t xml:space="preserve">legislative </w:t>
      </w:r>
      <w:r w:rsidR="006D2017" w:rsidRPr="00004B26">
        <w:rPr>
          <w:rFonts w:cs="Times New Roman"/>
        </w:rPr>
        <w:t>measure chosen by Parliament to end its participation in long</w:t>
      </w:r>
      <w:r w:rsidR="009278C8">
        <w:rPr>
          <w:rFonts w:cs="Times New Roman"/>
        </w:rPr>
        <w:t>-</w:t>
      </w:r>
      <w:r w:rsidR="006D2017" w:rsidRPr="00004B26">
        <w:rPr>
          <w:rFonts w:cs="Times New Roman"/>
        </w:rPr>
        <w:t>gun regulation</w:t>
      </w:r>
      <w:r w:rsidR="0074518C" w:rsidRPr="00004B26">
        <w:rPr>
          <w:rFonts w:cs="Times New Roman"/>
        </w:rPr>
        <w:t>, but s.</w:t>
      </w:r>
      <w:r w:rsidR="009278C8">
        <w:rPr>
          <w:rFonts w:cs="Times New Roman"/>
        </w:rPr>
        <w:t xml:space="preserve"> </w:t>
      </w:r>
      <w:r w:rsidR="0074518C" w:rsidRPr="00004B26">
        <w:rPr>
          <w:rFonts w:cs="Times New Roman"/>
        </w:rPr>
        <w:t>29 goes beyond the scope of that purpose, as it requires that the data in question be destroyed without providing for a possibility of their first being transferred to the provincial partners, which prevents the latter from using them in the exercise of their powers</w:t>
      </w:r>
      <w:r w:rsidR="006D2017" w:rsidRPr="00004B26">
        <w:rPr>
          <w:rFonts w:cs="Times New Roman"/>
        </w:rPr>
        <w:t>.</w:t>
      </w:r>
      <w:r w:rsidR="0074518C" w:rsidRPr="00004B26">
        <w:rPr>
          <w:rFonts w:cs="Times New Roman"/>
        </w:rPr>
        <w:t xml:space="preserve"> However, there is no legal basis for </w:t>
      </w:r>
      <w:r w:rsidR="0025044F" w:rsidRPr="00004B26">
        <w:rPr>
          <w:rFonts w:cs="Times New Roman"/>
        </w:rPr>
        <w:t>Quebec’s</w:t>
      </w:r>
      <w:r w:rsidR="0074518C" w:rsidRPr="00004B26">
        <w:rPr>
          <w:rFonts w:cs="Times New Roman"/>
        </w:rPr>
        <w:t xml:space="preserve"> request for a compulsory transfer of the data. The conditions applicable to such a transfer are a matter for the governments concerned, not the courts</w:t>
      </w:r>
      <w:r w:rsidR="006D2017" w:rsidRPr="00004B26">
        <w:rPr>
          <w:rFonts w:cs="Times New Roman"/>
        </w:rPr>
        <w:t>.</w:t>
      </w:r>
    </w:p>
    <w:p w:rsidR="006D2017" w:rsidRPr="00004B26" w:rsidRDefault="006D2017" w:rsidP="00B927C2">
      <w:pPr>
        <w:pStyle w:val="SCCNormalDoubleSpacing"/>
        <w:spacing w:before="480" w:after="480"/>
        <w:rPr>
          <w:lang w:val="en-US"/>
        </w:rPr>
      </w:pPr>
      <w:r w:rsidRPr="00004B26">
        <w:tab/>
      </w:r>
      <w:r w:rsidR="0074518C" w:rsidRPr="00004B26">
        <w:t>When the constitutionality of a statutory provision is challenged on the basis of the division of powers, courts tur</w:t>
      </w:r>
      <w:r w:rsidR="0025044F" w:rsidRPr="00004B26">
        <w:t xml:space="preserve">n to the </w:t>
      </w:r>
      <w:r w:rsidR="0074518C" w:rsidRPr="00004B26">
        <w:t>pith and substance doctrine</w:t>
      </w:r>
      <w:r w:rsidRPr="00004B26">
        <w:t xml:space="preserve">. </w:t>
      </w:r>
      <w:r w:rsidR="0074518C" w:rsidRPr="00004B26">
        <w:t xml:space="preserve">To apply this doctrine, they must review the extent to which the impugned provision intrudes on the powers of the other level of government. Where, because of its pith and substance, a provision found in an otherwise valid statute encroaches on the jurisdiction of the other level of government, </w:t>
      </w:r>
      <w:r w:rsidR="0025044F" w:rsidRPr="00004B26">
        <w:t>it</w:t>
      </w:r>
      <w:r w:rsidR="0074518C" w:rsidRPr="00004B26">
        <w:t xml:space="preserve"> must </w:t>
      </w:r>
      <w:r w:rsidR="0025044F" w:rsidRPr="00004B26">
        <w:t xml:space="preserve">be </w:t>
      </w:r>
      <w:r w:rsidR="0074518C" w:rsidRPr="00004B26">
        <w:t>determine</w:t>
      </w:r>
      <w:r w:rsidR="0025044F" w:rsidRPr="00004B26">
        <w:t>d</w:t>
      </w:r>
      <w:r w:rsidR="0074518C" w:rsidRPr="00004B26">
        <w:t xml:space="preserve"> whether the encroachment is ancillary</w:t>
      </w:r>
      <w:r w:rsidRPr="00004B26">
        <w:t xml:space="preserve">. </w:t>
      </w:r>
      <w:r w:rsidR="001D0DDA" w:rsidRPr="00004B26">
        <w:t xml:space="preserve">The degree of integration of a provision that is needed for an encroachment to be considered ancillary varies with the seriousness, or extent, of the encroachment. If the encroachment of the impugned provision on the jurisdiction </w:t>
      </w:r>
      <w:r w:rsidR="001D0DDA" w:rsidRPr="00004B26">
        <w:lastRenderedPageBreak/>
        <w:t>of the other level of government is merely marginal or limited, a functional relationship between the provision and the statutory scheme may suffice.</w:t>
      </w:r>
      <w:r w:rsidRPr="00004B26">
        <w:t xml:space="preserve"> </w:t>
      </w:r>
      <w:r w:rsidR="001D0DDA" w:rsidRPr="00004B26">
        <w:t>If, on the other hand, the provision is highly intrusive vis</w:t>
      </w:r>
      <w:r w:rsidR="009278C8">
        <w:t>-</w:t>
      </w:r>
      <w:r w:rsidR="001D0DDA" w:rsidRPr="00004B26">
        <w:t>à</w:t>
      </w:r>
      <w:r w:rsidR="009278C8">
        <w:t>-</w:t>
      </w:r>
      <w:r w:rsidR="001D0DDA" w:rsidRPr="00004B26">
        <w:t xml:space="preserve">vis </w:t>
      </w:r>
      <w:r w:rsidR="0025044F" w:rsidRPr="00004B26">
        <w:t>the</w:t>
      </w:r>
      <w:r w:rsidR="001D0DDA" w:rsidRPr="00004B26">
        <w:t xml:space="preserve"> powers</w:t>
      </w:r>
      <w:r w:rsidR="0025044F" w:rsidRPr="00004B26">
        <w:t xml:space="preserve"> of the other level of government</w:t>
      </w:r>
      <w:r w:rsidR="001D0DDA" w:rsidRPr="00004B26">
        <w:t xml:space="preserve">, a stricter test of necessity will apply. </w:t>
      </w:r>
    </w:p>
    <w:p w:rsidR="006D2017" w:rsidRPr="00004B26" w:rsidRDefault="006D2017" w:rsidP="00B927C2">
      <w:pPr>
        <w:pStyle w:val="SCCNormalDoubleSpacing"/>
        <w:spacing w:before="480" w:after="480"/>
        <w:rPr>
          <w:lang w:val="en-US"/>
        </w:rPr>
      </w:pPr>
      <w:r w:rsidRPr="00004B26">
        <w:rPr>
          <w:lang w:val="en-US"/>
        </w:rPr>
        <w:tab/>
      </w:r>
      <w:r w:rsidR="00152BE2" w:rsidRPr="00004B26">
        <w:t xml:space="preserve">The unwritten principles that underlie our written Constitution, such as federalism, </w:t>
      </w:r>
      <w:r w:rsidR="00152BE2" w:rsidRPr="00004B26">
        <w:rPr>
          <w:rFonts w:eastAsiaTheme="minorHAnsi"/>
        </w:rPr>
        <w:t xml:space="preserve">infuse the analysis and interpretation of the division of powers. </w:t>
      </w:r>
      <w:r w:rsidR="00F7289F" w:rsidRPr="00004B26">
        <w:rPr>
          <w:rFonts w:eastAsiaTheme="minorHAnsi"/>
        </w:rPr>
        <w:t xml:space="preserve">The modern view of federalism favours a flexible conception of the division of powers and recognizes </w:t>
      </w:r>
      <w:r w:rsidR="005871A2" w:rsidRPr="00004B26">
        <w:rPr>
          <w:rFonts w:eastAsiaTheme="minorHAnsi"/>
        </w:rPr>
        <w:t xml:space="preserve">a </w:t>
      </w:r>
      <w:r w:rsidR="00F7289F" w:rsidRPr="00004B26">
        <w:rPr>
          <w:rFonts w:eastAsiaTheme="minorHAnsi"/>
        </w:rPr>
        <w:t xml:space="preserve">significant overlap between the federal and provincial areas of jurisdiction, </w:t>
      </w:r>
      <w:r w:rsidR="0025044F" w:rsidRPr="00004B26">
        <w:rPr>
          <w:rFonts w:eastAsiaTheme="minorHAnsi"/>
        </w:rPr>
        <w:t>allowing</w:t>
      </w:r>
      <w:r w:rsidR="005871A2" w:rsidRPr="00004B26">
        <w:rPr>
          <w:rFonts w:eastAsiaTheme="minorHAnsi"/>
        </w:rPr>
        <w:t xml:space="preserve"> </w:t>
      </w:r>
      <w:r w:rsidR="00F7289F" w:rsidRPr="00004B26">
        <w:rPr>
          <w:rFonts w:eastAsiaTheme="minorHAnsi"/>
        </w:rPr>
        <w:t xml:space="preserve">governments </w:t>
      </w:r>
      <w:r w:rsidR="0025044F" w:rsidRPr="00004B26">
        <w:rPr>
          <w:rFonts w:eastAsiaTheme="minorHAnsi"/>
        </w:rPr>
        <w:t xml:space="preserve">at both levels </w:t>
      </w:r>
      <w:r w:rsidR="00F7289F" w:rsidRPr="00004B26">
        <w:rPr>
          <w:rFonts w:eastAsiaTheme="minorHAnsi"/>
        </w:rPr>
        <w:t>to legislate for valid purposes in the areas of overla</w:t>
      </w:r>
      <w:r w:rsidR="00B927C2" w:rsidRPr="00004B26">
        <w:rPr>
          <w:rFonts w:eastAsiaTheme="minorHAnsi"/>
        </w:rPr>
        <w:t>p.</w:t>
      </w:r>
      <w:r w:rsidR="008F7A9F" w:rsidRPr="00004B26">
        <w:rPr>
          <w:rFonts w:eastAsiaTheme="minorHAnsi"/>
        </w:rPr>
        <w:t xml:space="preserve"> </w:t>
      </w:r>
      <w:r w:rsidR="005871A2" w:rsidRPr="00004B26">
        <w:rPr>
          <w:lang w:val="en-US"/>
        </w:rPr>
        <w:t>Such a conception facilitates intergovernmental co</w:t>
      </w:r>
      <w:r w:rsidR="009278C8">
        <w:rPr>
          <w:lang w:val="en-US"/>
        </w:rPr>
        <w:t>-</w:t>
      </w:r>
      <w:r w:rsidR="005871A2" w:rsidRPr="00004B26">
        <w:rPr>
          <w:lang w:val="en-US"/>
        </w:rPr>
        <w:t>operation</w:t>
      </w:r>
      <w:r w:rsidRPr="00004B26">
        <w:rPr>
          <w:lang w:val="en-US"/>
        </w:rPr>
        <w:t xml:space="preserve">. </w:t>
      </w:r>
      <w:r w:rsidR="005871A2" w:rsidRPr="00004B26">
        <w:t>Both in law and in the p</w:t>
      </w:r>
      <w:r w:rsidR="0025044F" w:rsidRPr="00004B26">
        <w:t xml:space="preserve">olitical arena, the concept of </w:t>
      </w:r>
      <w:r w:rsidR="005871A2" w:rsidRPr="00004B26">
        <w:t>co</w:t>
      </w:r>
      <w:r w:rsidR="009278C8">
        <w:t>-</w:t>
      </w:r>
      <w:r w:rsidR="005871A2" w:rsidRPr="00004B26">
        <w:t>operative federalism has been developed to adapt the principle of federalism to this modern reality</w:t>
      </w:r>
      <w:r w:rsidR="0025044F" w:rsidRPr="00004B26">
        <w:t>; it</w:t>
      </w:r>
      <w:r w:rsidRPr="00004B26">
        <w:t xml:space="preserve"> </w:t>
      </w:r>
      <w:r w:rsidR="005871A2" w:rsidRPr="00004B26">
        <w:t>reflects the realities of an increasingly complex society that requires the enactment of co</w:t>
      </w:r>
      <w:r w:rsidR="009278C8">
        <w:t>-</w:t>
      </w:r>
      <w:r w:rsidR="005871A2" w:rsidRPr="00004B26">
        <w:t>ordinated federal and provincial legislative schemes. From a legal perspective, it is by allowing for overlapping powers through the application of the pith and substance and ancillary powers doctrines</w:t>
      </w:r>
      <w:r w:rsidR="005871A2" w:rsidRPr="00004B26">
        <w:rPr>
          <w:rFonts w:eastAsiaTheme="minorHAnsi"/>
        </w:rPr>
        <w:t xml:space="preserve"> that co</w:t>
      </w:r>
      <w:r w:rsidR="009278C8">
        <w:rPr>
          <w:rFonts w:eastAsiaTheme="minorHAnsi"/>
        </w:rPr>
        <w:t>-</w:t>
      </w:r>
      <w:r w:rsidR="005871A2" w:rsidRPr="00004B26">
        <w:rPr>
          <w:rFonts w:eastAsiaTheme="minorHAnsi"/>
        </w:rPr>
        <w:t xml:space="preserve">operative federalism is able to meet those needs. </w:t>
      </w:r>
    </w:p>
    <w:p w:rsidR="006D2017" w:rsidRPr="00004B26" w:rsidRDefault="006D2017" w:rsidP="00B927C2">
      <w:pPr>
        <w:pStyle w:val="SCCNormalDoubleSpacing"/>
        <w:spacing w:before="480" w:after="480"/>
      </w:pPr>
      <w:r w:rsidRPr="00004B26">
        <w:rPr>
          <w:lang w:val="en-US"/>
        </w:rPr>
        <w:tab/>
      </w:r>
      <w:r w:rsidR="00E53E41">
        <w:rPr>
          <w:lang w:val="en-US"/>
        </w:rPr>
        <w:t>In this case, t</w:t>
      </w:r>
      <w:r w:rsidR="005871A2" w:rsidRPr="00004B26">
        <w:t>he trial judge was right to find that there was a federal</w:t>
      </w:r>
      <w:r w:rsidR="009278C8">
        <w:t>-</w:t>
      </w:r>
      <w:r w:rsidR="005871A2" w:rsidRPr="00004B26">
        <w:t>provincial partnership with respect to firearms control</w:t>
      </w:r>
      <w:r w:rsidRPr="00004B26">
        <w:t>.</w:t>
      </w:r>
      <w:r w:rsidR="005871A2" w:rsidRPr="00004B26">
        <w:t xml:space="preserve"> This partnership is consistent with the spirit of co</w:t>
      </w:r>
      <w:r w:rsidR="009278C8">
        <w:t>-</w:t>
      </w:r>
      <w:r w:rsidR="005871A2" w:rsidRPr="00004B26">
        <w:t>operative federalism</w:t>
      </w:r>
      <w:r w:rsidRPr="00004B26">
        <w:t xml:space="preserve">. </w:t>
      </w:r>
      <w:r w:rsidR="005871A2" w:rsidRPr="00004B26">
        <w:t>It enabled the federal and provincial governments to work together, rather than in isolation, to achieve both federal (criminal law) and provincial (public safety and administration of justice) purposes</w:t>
      </w:r>
      <w:r w:rsidR="0061227E" w:rsidRPr="00004B26">
        <w:t>.</w:t>
      </w:r>
      <w:r w:rsidR="0059711A" w:rsidRPr="00004B26">
        <w:t xml:space="preserve"> </w:t>
      </w:r>
      <w:r w:rsidR="00346728" w:rsidRPr="00004B26">
        <w:rPr>
          <w:rFonts w:eastAsiaTheme="minorHAnsi"/>
        </w:rPr>
        <w:t>In the novel circumstances</w:t>
      </w:r>
      <w:r w:rsidR="0025044F" w:rsidRPr="00004B26">
        <w:rPr>
          <w:rFonts w:eastAsiaTheme="minorHAnsi"/>
        </w:rPr>
        <w:t xml:space="preserve"> of</w:t>
      </w:r>
      <w:r w:rsidR="00346728" w:rsidRPr="00004B26">
        <w:rPr>
          <w:rFonts w:eastAsiaTheme="minorHAnsi"/>
        </w:rPr>
        <w:t xml:space="preserve"> the dismantling of this partnership, </w:t>
      </w:r>
      <w:r w:rsidR="0025044F" w:rsidRPr="00004B26">
        <w:rPr>
          <w:rFonts w:eastAsiaTheme="minorHAnsi"/>
        </w:rPr>
        <w:t>the</w:t>
      </w:r>
      <w:r w:rsidR="00346728" w:rsidRPr="00004B26">
        <w:rPr>
          <w:rFonts w:eastAsiaTheme="minorHAnsi"/>
        </w:rPr>
        <w:t xml:space="preserve"> analysis must be </w:t>
      </w:r>
      <w:r w:rsidR="00346728" w:rsidRPr="00004B26">
        <w:rPr>
          <w:rFonts w:eastAsiaTheme="minorHAnsi"/>
        </w:rPr>
        <w:lastRenderedPageBreak/>
        <w:t xml:space="preserve">guided by the Constitution’s unwritten principles </w:t>
      </w:r>
      <w:r w:rsidR="0025044F" w:rsidRPr="00004B26">
        <w:rPr>
          <w:rFonts w:eastAsiaTheme="minorHAnsi"/>
        </w:rPr>
        <w:t>so as to en</w:t>
      </w:r>
      <w:r w:rsidR="00346728" w:rsidRPr="00004B26">
        <w:rPr>
          <w:rFonts w:eastAsiaTheme="minorHAnsi"/>
        </w:rPr>
        <w:t xml:space="preserve">sure that the principle of federalism </w:t>
      </w:r>
      <w:r w:rsidR="0025044F" w:rsidRPr="00004B26">
        <w:rPr>
          <w:rFonts w:eastAsiaTheme="minorHAnsi"/>
        </w:rPr>
        <w:t>and</w:t>
      </w:r>
      <w:r w:rsidR="00346728" w:rsidRPr="00004B26">
        <w:rPr>
          <w:rFonts w:eastAsiaTheme="minorHAnsi"/>
        </w:rPr>
        <w:t xml:space="preserve"> its modern form — co</w:t>
      </w:r>
      <w:r w:rsidR="009278C8">
        <w:rPr>
          <w:rFonts w:eastAsiaTheme="minorHAnsi"/>
        </w:rPr>
        <w:t>-</w:t>
      </w:r>
      <w:r w:rsidR="00346728" w:rsidRPr="00004B26">
        <w:rPr>
          <w:rFonts w:eastAsiaTheme="minorHAnsi"/>
        </w:rPr>
        <w:t xml:space="preserve">operative federalism — are not placed in jeopardy. </w:t>
      </w:r>
      <w:r w:rsidR="00346728" w:rsidRPr="00004B26">
        <w:t>Parliament or a provincial legislature cannot pass legislation to terminate such a partnership without taking into account the reasonably foreseeable consequences of the decision to do so on its partner</w:t>
      </w:r>
      <w:r w:rsidR="0025044F" w:rsidRPr="00004B26">
        <w:t>’s heads of power</w:t>
      </w:r>
      <w:r w:rsidR="00346728" w:rsidRPr="00004B26">
        <w:t xml:space="preserve">. </w:t>
      </w:r>
      <w:r w:rsidR="00551668" w:rsidRPr="00004B26">
        <w:t xml:space="preserve">The courts must, in considering whether legislation or a statutory provision having as its purpose to dismantle the partnership is constitutional, be aware of the impact of that legislation or provision on the other partner’s exercise of its powers, especially when the partner that terminates the relationship is intentionally </w:t>
      </w:r>
      <w:r w:rsidR="0025044F" w:rsidRPr="00004B26">
        <w:t>bringing about</w:t>
      </w:r>
      <w:r w:rsidR="00551668" w:rsidRPr="00004B26">
        <w:t xml:space="preserve"> that impact.</w:t>
      </w:r>
      <w:r w:rsidR="0059711A" w:rsidRPr="00004B26">
        <w:t xml:space="preserve"> </w:t>
      </w:r>
    </w:p>
    <w:p w:rsidR="006D2017" w:rsidRPr="00004B26" w:rsidRDefault="006D2017" w:rsidP="00B927C2">
      <w:pPr>
        <w:pStyle w:val="SCCNormalDoubleSpacing"/>
        <w:spacing w:before="480" w:after="480"/>
      </w:pPr>
      <w:r w:rsidRPr="00004B26">
        <w:tab/>
      </w:r>
      <w:r w:rsidR="00E53E41">
        <w:t xml:space="preserve">The </w:t>
      </w:r>
      <w:r w:rsidR="005631F2" w:rsidRPr="00004B26">
        <w:t>Court of Appeal strayed from the analytical approach the courts must take</w:t>
      </w:r>
      <w:r w:rsidRPr="00004B26">
        <w:t xml:space="preserve">. </w:t>
      </w:r>
      <w:r w:rsidR="0025044F" w:rsidRPr="00004B26">
        <w:t>It is true that</w:t>
      </w:r>
      <w:r w:rsidR="004D0AAC" w:rsidRPr="00004B26">
        <w:t xml:space="preserve"> Parliament can repeal or amend legislation it has validly enacted under one of its heads of power. </w:t>
      </w:r>
      <w:r w:rsidR="00042859" w:rsidRPr="00004B26">
        <w:rPr>
          <w:kern w:val="36"/>
          <w:szCs w:val="24"/>
        </w:rPr>
        <w:t xml:space="preserve">Nevertheless, the courts must consider the impugned provision or legislation to determine whether, in pith and substance, all that it does is in fact to repeal or amend legislation that was validly enacted. </w:t>
      </w:r>
      <w:r w:rsidR="00E37320" w:rsidRPr="00004B26">
        <w:rPr>
          <w:kern w:val="36"/>
          <w:szCs w:val="24"/>
        </w:rPr>
        <w:t>I</w:t>
      </w:r>
      <w:r w:rsidR="00B44D41" w:rsidRPr="00004B26">
        <w:t>t is not enough to say that the legislative measure is merely repealing legislation</w:t>
      </w:r>
      <w:r w:rsidRPr="00004B26">
        <w:t>.</w:t>
      </w:r>
    </w:p>
    <w:p w:rsidR="006D2017" w:rsidRPr="00004B26" w:rsidRDefault="006D2017" w:rsidP="00B927C2">
      <w:pPr>
        <w:pStyle w:val="SCCNormalDoubleSpacing"/>
        <w:spacing w:before="480" w:after="480"/>
      </w:pPr>
      <w:r w:rsidRPr="00004B26">
        <w:tab/>
      </w:r>
      <w:r w:rsidR="009B5577" w:rsidRPr="00004B26">
        <w:t>The words of s.</w:t>
      </w:r>
      <w:r w:rsidR="009278C8">
        <w:t xml:space="preserve"> </w:t>
      </w:r>
      <w:r w:rsidR="009B5577" w:rsidRPr="00004B26">
        <w:t xml:space="preserve">29 of the </w:t>
      </w:r>
      <w:r w:rsidR="009B5577" w:rsidRPr="00004B26">
        <w:rPr>
          <w:i/>
        </w:rPr>
        <w:t>ELRA</w:t>
      </w:r>
      <w:r w:rsidR="009B5577" w:rsidRPr="00004B26">
        <w:t xml:space="preserve"> pose no particular problem</w:t>
      </w:r>
      <w:r w:rsidR="0025044F" w:rsidRPr="00004B26">
        <w:t>s</w:t>
      </w:r>
      <w:r w:rsidR="009B5577" w:rsidRPr="00004B26">
        <w:t xml:space="preserve"> of interpretation</w:t>
      </w:r>
      <w:r w:rsidRPr="00004B26">
        <w:t xml:space="preserve">. </w:t>
      </w:r>
      <w:r w:rsidR="009B5577" w:rsidRPr="00004B26">
        <w:t>From a structural standpoint, s.</w:t>
      </w:r>
      <w:r w:rsidR="009278C8">
        <w:t xml:space="preserve"> </w:t>
      </w:r>
      <w:r w:rsidR="009B5577" w:rsidRPr="00004B26">
        <w:t xml:space="preserve">29 is distinct from other sections of the </w:t>
      </w:r>
      <w:r w:rsidR="009B5577" w:rsidRPr="00004B26">
        <w:rPr>
          <w:i/>
        </w:rPr>
        <w:t xml:space="preserve">ELRA </w:t>
      </w:r>
      <w:r w:rsidR="0025044F" w:rsidRPr="00004B26">
        <w:t>because it i</w:t>
      </w:r>
      <w:r w:rsidR="009B5577" w:rsidRPr="00004B26">
        <w:t>s a transitional provision. From a practical and legal standpoint, the principal effect of s.</w:t>
      </w:r>
      <w:r w:rsidR="009278C8">
        <w:t xml:space="preserve"> </w:t>
      </w:r>
      <w:r w:rsidR="009B5577" w:rsidRPr="00004B26">
        <w:t>29 is to delete the data in the CFR</w:t>
      </w:r>
      <w:r w:rsidR="0025044F" w:rsidRPr="00004B26">
        <w:t xml:space="preserve"> forever</w:t>
      </w:r>
      <w:r w:rsidRPr="00004B26">
        <w:t xml:space="preserve">. </w:t>
      </w:r>
      <w:r w:rsidR="00FF0B62" w:rsidRPr="00004B26">
        <w:t>The federal government’s decision to destroy the data without first trans</w:t>
      </w:r>
      <w:r w:rsidR="0025044F" w:rsidRPr="00004B26">
        <w:t>ferr</w:t>
      </w:r>
      <w:r w:rsidR="00FF0B62" w:rsidRPr="00004B26">
        <w:t>ing them to its partners, such as Quebec, ha</w:t>
      </w:r>
      <w:r w:rsidR="00E53E41">
        <w:t xml:space="preserve">s </w:t>
      </w:r>
      <w:r w:rsidR="00FF0B62" w:rsidRPr="00004B26">
        <w:t>serious consequences that are relevant to the question whether s.</w:t>
      </w:r>
      <w:r w:rsidR="009278C8">
        <w:t xml:space="preserve"> </w:t>
      </w:r>
      <w:r w:rsidR="00FF0B62" w:rsidRPr="00004B26">
        <w:t>29 is constitution</w:t>
      </w:r>
      <w:r w:rsidR="00B927C2" w:rsidRPr="00004B26">
        <w:t xml:space="preserve">al. </w:t>
      </w:r>
      <w:r w:rsidR="00FF0B62" w:rsidRPr="00004B26">
        <w:t xml:space="preserve">The extrinsic evidence shows that the purpose being </w:t>
      </w:r>
      <w:r w:rsidR="00FF0B62" w:rsidRPr="00004B26">
        <w:lastRenderedPageBreak/>
        <w:t>pursued in enacting s.</w:t>
      </w:r>
      <w:r w:rsidR="009278C8">
        <w:t xml:space="preserve"> </w:t>
      </w:r>
      <w:r w:rsidR="00FF0B62" w:rsidRPr="00004B26">
        <w:t>29 was indeed to prevent the provinces from using the data</w:t>
      </w:r>
      <w:r w:rsidRPr="00004B26">
        <w:t xml:space="preserve">. </w:t>
      </w:r>
      <w:r w:rsidR="00FF0B62" w:rsidRPr="00004B26">
        <w:t xml:space="preserve">The trial judge </w:t>
      </w:r>
      <w:r w:rsidR="00FF0B62" w:rsidRPr="00004B26">
        <w:rPr>
          <w:iCs/>
          <w:kern w:val="36"/>
          <w:szCs w:val="24"/>
        </w:rPr>
        <w:t xml:space="preserve">was therefore right to find that Parliament’s intention in destroying the data was to </w:t>
      </w:r>
      <w:r w:rsidR="0025044F" w:rsidRPr="00004B26">
        <w:rPr>
          <w:iCs/>
          <w:kern w:val="36"/>
          <w:szCs w:val="24"/>
        </w:rPr>
        <w:t>hinder the provinces</w:t>
      </w:r>
      <w:r w:rsidR="00FF0B62" w:rsidRPr="00004B26">
        <w:rPr>
          <w:iCs/>
          <w:kern w:val="36"/>
          <w:szCs w:val="24"/>
        </w:rPr>
        <w:t xml:space="preserve">. </w:t>
      </w:r>
      <w:r w:rsidR="00F04BB8" w:rsidRPr="00004B26">
        <w:rPr>
          <w:iCs/>
          <w:kern w:val="36"/>
          <w:szCs w:val="24"/>
        </w:rPr>
        <w:t>In light of the purpose and the effect of s.</w:t>
      </w:r>
      <w:r w:rsidR="009278C8">
        <w:rPr>
          <w:iCs/>
          <w:kern w:val="36"/>
          <w:szCs w:val="24"/>
        </w:rPr>
        <w:t xml:space="preserve"> </w:t>
      </w:r>
      <w:r w:rsidR="00F04BB8" w:rsidRPr="00004B26">
        <w:rPr>
          <w:iCs/>
          <w:kern w:val="36"/>
          <w:szCs w:val="24"/>
        </w:rPr>
        <w:t>29, therefore, the scope of the section is broader than the mere destruction of the data</w:t>
      </w:r>
      <w:r w:rsidR="0025044F" w:rsidRPr="00004B26">
        <w:rPr>
          <w:iCs/>
          <w:kern w:val="36"/>
          <w:szCs w:val="24"/>
        </w:rPr>
        <w:t>; i</w:t>
      </w:r>
      <w:r w:rsidR="00004B26" w:rsidRPr="00004B26">
        <w:rPr>
          <w:iCs/>
          <w:kern w:val="36"/>
          <w:szCs w:val="24"/>
        </w:rPr>
        <w:t>t</w:t>
      </w:r>
      <w:r w:rsidR="00004B26">
        <w:rPr>
          <w:iCs/>
          <w:kern w:val="36"/>
          <w:szCs w:val="24"/>
        </w:rPr>
        <w:t xml:space="preserve"> </w:t>
      </w:r>
      <w:r w:rsidR="00004B26" w:rsidRPr="00004B26">
        <w:rPr>
          <w:iCs/>
          <w:kern w:val="36"/>
          <w:szCs w:val="24"/>
          <w:lang w:val="en-US"/>
        </w:rPr>
        <w:t>h</w:t>
      </w:r>
      <w:r w:rsidR="00F04BB8" w:rsidRPr="00004B26">
        <w:rPr>
          <w:iCs/>
          <w:kern w:val="36"/>
          <w:szCs w:val="24"/>
          <w:lang w:val="en-US"/>
        </w:rPr>
        <w:t xml:space="preserve">as harmful consequences for the federal government’s partners. </w:t>
      </w:r>
      <w:r w:rsidR="003A361A" w:rsidRPr="00004B26">
        <w:t>The purpose of s.</w:t>
      </w:r>
      <w:r w:rsidR="009278C8">
        <w:t xml:space="preserve"> </w:t>
      </w:r>
      <w:r w:rsidR="003A361A" w:rsidRPr="00004B26">
        <w:t xml:space="preserve">29 does not relate to the repeal </w:t>
      </w:r>
      <w:r w:rsidR="00526643" w:rsidRPr="00004B26">
        <w:t xml:space="preserve">of part </w:t>
      </w:r>
      <w:r w:rsidR="003A361A" w:rsidRPr="00004B26">
        <w:t xml:space="preserve">of the </w:t>
      </w:r>
      <w:r w:rsidR="00E53E41">
        <w:rPr>
          <w:i/>
        </w:rPr>
        <w:t>Firearms Act</w:t>
      </w:r>
      <w:r w:rsidR="0025044F" w:rsidRPr="00004B26">
        <w:t>; t</w:t>
      </w:r>
      <w:r w:rsidR="003A361A" w:rsidRPr="00004B26">
        <w:t>he abolition by the federal government of the requirement to register long guns and the destruction of the data are two distinct objectives</w:t>
      </w:r>
      <w:r w:rsidRPr="00004B26">
        <w:t>.</w:t>
      </w:r>
    </w:p>
    <w:p w:rsidR="006D2017" w:rsidRPr="00004B26" w:rsidRDefault="00B927C2" w:rsidP="00B927C2">
      <w:pPr>
        <w:pStyle w:val="SCCNormalDoubleSpacing"/>
        <w:spacing w:before="480" w:after="480"/>
        <w:rPr>
          <w:lang w:val="en-US"/>
        </w:rPr>
      </w:pPr>
      <w:r w:rsidRPr="00004B26">
        <w:tab/>
      </w:r>
      <w:r w:rsidR="00313F2B" w:rsidRPr="00004B26">
        <w:t>Given that the</w:t>
      </w:r>
      <w:r w:rsidR="0025044F" w:rsidRPr="00004B26">
        <w:t xml:space="preserve"> data</w:t>
      </w:r>
      <w:r w:rsidR="00313F2B" w:rsidRPr="00004B26">
        <w:t xml:space="preserve"> are to be destroyed with</w:t>
      </w:r>
      <w:r w:rsidR="0025044F" w:rsidRPr="00004B26">
        <w:t xml:space="preserve"> no possibility of their</w:t>
      </w:r>
      <w:r w:rsidR="00313F2B" w:rsidRPr="00004B26">
        <w:t xml:space="preserve"> first being transferred to the partners, and therefore without the impact of this measure on the partners’ exercise of their powers being taken into account, the section’s true purpose is to ensure that the information on long guns can no longer be used for any provincial purposes. As a result, the pith and substance of s.</w:t>
      </w:r>
      <w:r w:rsidR="009278C8">
        <w:t xml:space="preserve"> </w:t>
      </w:r>
      <w:r w:rsidR="00313F2B" w:rsidRPr="00004B26">
        <w:t xml:space="preserve">29 relates to the provinces’ power over property and civil rights. </w:t>
      </w:r>
    </w:p>
    <w:p w:rsidR="006D2017" w:rsidRPr="00004B26" w:rsidRDefault="006D2017" w:rsidP="00B927C2">
      <w:pPr>
        <w:pStyle w:val="SCCNormalDoubleSpacing"/>
        <w:spacing w:before="480" w:after="480"/>
      </w:pPr>
      <w:r w:rsidRPr="00004B26">
        <w:rPr>
          <w:lang w:val="en-US"/>
        </w:rPr>
        <w:tab/>
      </w:r>
      <w:r w:rsidR="00313F2B" w:rsidRPr="00004B26">
        <w:t>To determine whether s.</w:t>
      </w:r>
      <w:r w:rsidR="009278C8">
        <w:t xml:space="preserve"> </w:t>
      </w:r>
      <w:r w:rsidR="00313F2B" w:rsidRPr="00004B26">
        <w:t xml:space="preserve">29 of the </w:t>
      </w:r>
      <w:r w:rsidR="00313F2B" w:rsidRPr="00004B26">
        <w:rPr>
          <w:i/>
        </w:rPr>
        <w:t xml:space="preserve">ELRA </w:t>
      </w:r>
      <w:r w:rsidR="00313F2B" w:rsidRPr="00004B26">
        <w:t>is constitutional on the basis of the ancillary powers doctrine, the seriousness, or extent, of its encroachment on provincial powers</w:t>
      </w:r>
      <w:r w:rsidR="0025044F" w:rsidRPr="00004B26">
        <w:t xml:space="preserve"> must be considered</w:t>
      </w:r>
      <w:r w:rsidR="00313F2B" w:rsidRPr="00004B26">
        <w:t>, bearing in mind that the provincial power to make laws in relation to property and civil rights is a head that should not be intruded upon lightly. The seriousness of the encroachment of s.</w:t>
      </w:r>
      <w:r w:rsidR="009278C8">
        <w:t xml:space="preserve"> </w:t>
      </w:r>
      <w:r w:rsidR="00313F2B" w:rsidRPr="00004B26">
        <w:t xml:space="preserve">29 must be analyzed on the basis of the specific factual and legal context of the case, which includes the existence of the partnership between the federal government and Quebec. In </w:t>
      </w:r>
      <w:r w:rsidR="0025044F" w:rsidRPr="00004B26">
        <w:t>this</w:t>
      </w:r>
      <w:r w:rsidR="00313F2B" w:rsidRPr="00004B26">
        <w:t xml:space="preserve"> case, in terms of both its nature and its effect</w:t>
      </w:r>
      <w:r w:rsidR="00313F2B" w:rsidRPr="00004B26">
        <w:rPr>
          <w:iCs/>
        </w:rPr>
        <w:t>, s</w:t>
      </w:r>
      <w:r w:rsidR="00313F2B" w:rsidRPr="00004B26">
        <w:t>.</w:t>
      </w:r>
      <w:r w:rsidR="009278C8">
        <w:t xml:space="preserve"> </w:t>
      </w:r>
      <w:r w:rsidR="00313F2B" w:rsidRPr="00004B26">
        <w:t xml:space="preserve">29 causes a substantial encroachment on provincial </w:t>
      </w:r>
      <w:r w:rsidR="00313F2B" w:rsidRPr="00004B26">
        <w:lastRenderedPageBreak/>
        <w:t>jurisdiction</w:t>
      </w:r>
      <w:r w:rsidRPr="00004B26">
        <w:t xml:space="preserve">. </w:t>
      </w:r>
      <w:r w:rsidR="00A5667F" w:rsidRPr="00004B26">
        <w:t xml:space="preserve">For </w:t>
      </w:r>
      <w:r w:rsidR="0025044F" w:rsidRPr="00004B26">
        <w:t>its</w:t>
      </w:r>
      <w:r w:rsidR="00A5667F" w:rsidRPr="00004B26">
        <w:t xml:space="preserve"> encroachment to be found to be ancillary to the </w:t>
      </w:r>
      <w:r w:rsidR="00A5667F" w:rsidRPr="00004B26">
        <w:rPr>
          <w:i/>
        </w:rPr>
        <w:t>ELRA</w:t>
      </w:r>
      <w:r w:rsidR="00A5667F" w:rsidRPr="00004B26">
        <w:t xml:space="preserve">, the degree to which </w:t>
      </w:r>
      <w:r w:rsidR="00E6428A">
        <w:t>s.</w:t>
      </w:r>
      <w:r w:rsidR="009278C8">
        <w:t xml:space="preserve"> </w:t>
      </w:r>
      <w:r w:rsidR="0025044F" w:rsidRPr="00004B26">
        <w:t>29</w:t>
      </w:r>
      <w:r w:rsidR="00A5667F" w:rsidRPr="00004B26">
        <w:t xml:space="preserve"> is integrated into the Act must </w:t>
      </w:r>
      <w:r w:rsidR="0025044F" w:rsidRPr="00004B26">
        <w:t xml:space="preserve">therefore </w:t>
      </w:r>
      <w:r w:rsidR="00A5667F" w:rsidRPr="00004B26">
        <w:t>be high, that is, it must satisfy the necessity or “integral part” criterion. T</w:t>
      </w:r>
      <w:r w:rsidR="00A5667F" w:rsidRPr="00004B26">
        <w:rPr>
          <w:spacing w:val="-3"/>
        </w:rPr>
        <w:t>he destruction of the data in question in s.</w:t>
      </w:r>
      <w:r w:rsidR="009278C8">
        <w:rPr>
          <w:spacing w:val="-3"/>
        </w:rPr>
        <w:t xml:space="preserve"> </w:t>
      </w:r>
      <w:r w:rsidR="00A5667F" w:rsidRPr="00004B26">
        <w:rPr>
          <w:spacing w:val="-3"/>
        </w:rPr>
        <w:t xml:space="preserve">29 cannot be considered necessary to the </w:t>
      </w:r>
      <w:r w:rsidR="00A5667F" w:rsidRPr="00004B26">
        <w:t>abolition of the requirement to register long guns</w:t>
      </w:r>
      <w:r w:rsidR="0025044F" w:rsidRPr="00004B26">
        <w:t>,</w:t>
      </w:r>
      <w:r w:rsidR="00A5667F" w:rsidRPr="00004B26">
        <w:t xml:space="preserve"> as these two purposes are distinct. </w:t>
      </w:r>
      <w:r w:rsidR="0025044F" w:rsidRPr="00004B26">
        <w:t>Nor can s.</w:t>
      </w:r>
      <w:r w:rsidR="009278C8">
        <w:t xml:space="preserve"> </w:t>
      </w:r>
      <w:r w:rsidR="0097746C" w:rsidRPr="00004B26">
        <w:t xml:space="preserve">29 be linked to the </w:t>
      </w:r>
      <w:r w:rsidR="0097746C" w:rsidRPr="00004B26">
        <w:rPr>
          <w:i/>
          <w:spacing w:val="-3"/>
        </w:rPr>
        <w:t>ELRA</w:t>
      </w:r>
      <w:r w:rsidR="0097746C" w:rsidRPr="00004B26">
        <w:rPr>
          <w:spacing w:val="-3"/>
        </w:rPr>
        <w:t xml:space="preserve"> </w:t>
      </w:r>
      <w:r w:rsidR="0097746C" w:rsidRPr="00004B26">
        <w:t>on the basis of a test of rationality</w:t>
      </w:r>
      <w:r w:rsidR="0025044F" w:rsidRPr="00004B26">
        <w:t>;</w:t>
      </w:r>
      <w:r w:rsidR="0097746C" w:rsidRPr="00004B26">
        <w:t xml:space="preserve"> </w:t>
      </w:r>
      <w:r w:rsidR="0025044F" w:rsidRPr="00004B26">
        <w:t>i</w:t>
      </w:r>
      <w:r w:rsidR="0097746C" w:rsidRPr="00004B26">
        <w:t xml:space="preserve">t is hard to reconcile the manner in which the destruction </w:t>
      </w:r>
      <w:r w:rsidR="0025044F" w:rsidRPr="00004B26">
        <w:t xml:space="preserve">of the data </w:t>
      </w:r>
      <w:r w:rsidR="0097746C" w:rsidRPr="00004B26">
        <w:t xml:space="preserve">was provided for with the desire certain provinces might show </w:t>
      </w:r>
      <w:r w:rsidR="0025044F" w:rsidRPr="00004B26">
        <w:t>to</w:t>
      </w:r>
      <w:r w:rsidR="0097746C" w:rsidRPr="00004B26">
        <w:t xml:space="preserve"> maintain a registry within the limits of their powers. Furthermore, </w:t>
      </w:r>
      <w:r w:rsidR="00470BC3" w:rsidRPr="00004B26">
        <w:t xml:space="preserve">Parliament </w:t>
      </w:r>
      <w:r w:rsidR="0025044F" w:rsidRPr="00004B26">
        <w:t>declared that</w:t>
      </w:r>
      <w:r w:rsidR="00470BC3" w:rsidRPr="00004B26">
        <w:t xml:space="preserve"> its intention </w:t>
      </w:r>
      <w:r w:rsidR="0025044F" w:rsidRPr="00004B26">
        <w:t>was to</w:t>
      </w:r>
      <w:r w:rsidR="00470BC3" w:rsidRPr="00004B26">
        <w:t xml:space="preserve"> cause harm to the other level of government</w:t>
      </w:r>
      <w:r w:rsidRPr="00004B26">
        <w:t>.</w:t>
      </w:r>
    </w:p>
    <w:p w:rsidR="006D2017" w:rsidRPr="00004B26" w:rsidRDefault="006D2017" w:rsidP="00B927C2">
      <w:pPr>
        <w:pStyle w:val="SCCNormalDoubleSpacing"/>
        <w:spacing w:before="480" w:after="480"/>
      </w:pPr>
      <w:r w:rsidRPr="00004B26">
        <w:tab/>
      </w:r>
      <w:r w:rsidR="005D0A51" w:rsidRPr="00004B26">
        <w:t>Since, because of its pith and substance, s.</w:t>
      </w:r>
      <w:r w:rsidR="009278C8">
        <w:t xml:space="preserve"> </w:t>
      </w:r>
      <w:r w:rsidR="005D0A51" w:rsidRPr="00004B26">
        <w:t xml:space="preserve">29 of the </w:t>
      </w:r>
      <w:r w:rsidR="005D0A51" w:rsidRPr="00004B26">
        <w:rPr>
          <w:i/>
          <w:iCs/>
        </w:rPr>
        <w:t>ELRA</w:t>
      </w:r>
      <w:r w:rsidR="005D0A51" w:rsidRPr="00004B26">
        <w:t xml:space="preserve"> does not fall within the federal criminal law power and is not ancillary to the </w:t>
      </w:r>
      <w:r w:rsidR="005D0A51" w:rsidRPr="00004B26">
        <w:rPr>
          <w:i/>
          <w:iCs/>
        </w:rPr>
        <w:t>ELRA</w:t>
      </w:r>
      <w:r w:rsidR="005D0A51" w:rsidRPr="00004B26">
        <w:t xml:space="preserve">, </w:t>
      </w:r>
      <w:r w:rsidR="0025044F" w:rsidRPr="00004B26">
        <w:t>it</w:t>
      </w:r>
      <w:r w:rsidR="005D0A51" w:rsidRPr="00004B26">
        <w:t xml:space="preserve"> has not been shown to be constitutionally valid. </w:t>
      </w:r>
      <w:r w:rsidR="002D3608" w:rsidRPr="00004B26">
        <w:t>A legislative measure cannot be found to be valid that (1)</w:t>
      </w:r>
      <w:r w:rsidR="009278C8">
        <w:t xml:space="preserve"> </w:t>
      </w:r>
      <w:r w:rsidR="002D3608" w:rsidRPr="00004B26">
        <w:t>does not fall within the federal criminal law power and that (2)</w:t>
      </w:r>
      <w:r w:rsidR="009278C8">
        <w:t xml:space="preserve"> </w:t>
      </w:r>
      <w:r w:rsidR="002D3608" w:rsidRPr="00004B26">
        <w:t>thwarts, by the substantial encroachment it causes, the corollary exercise of provincial powers that flowed from the partnershi</w:t>
      </w:r>
      <w:r w:rsidR="00B927C2" w:rsidRPr="00004B26">
        <w:t>p.</w:t>
      </w:r>
      <w:r w:rsidR="0059711A" w:rsidRPr="00004B26">
        <w:t xml:space="preserve"> </w:t>
      </w:r>
      <w:r w:rsidR="00AA3B2C" w:rsidRPr="00004B26">
        <w:t>To destroy the data without first offering to transfer them is unconstitution</w:t>
      </w:r>
      <w:r w:rsidR="00B927C2" w:rsidRPr="00004B26">
        <w:t>al.</w:t>
      </w:r>
      <w:r w:rsidR="0059711A" w:rsidRPr="00004B26">
        <w:t xml:space="preserve"> </w:t>
      </w:r>
      <w:r w:rsidR="00024266" w:rsidRPr="00004B26">
        <w:t>Section</w:t>
      </w:r>
      <w:r w:rsidR="009278C8">
        <w:t xml:space="preserve"> </w:t>
      </w:r>
      <w:r w:rsidR="00024266" w:rsidRPr="00004B26">
        <w:t xml:space="preserve">29 of the </w:t>
      </w:r>
      <w:r w:rsidR="00024266" w:rsidRPr="00004B26">
        <w:rPr>
          <w:i/>
          <w:iCs/>
        </w:rPr>
        <w:t>ELRA</w:t>
      </w:r>
      <w:r w:rsidR="00024266" w:rsidRPr="00004B26">
        <w:t xml:space="preserve"> must therefore be declared to be invalid under s.</w:t>
      </w:r>
      <w:r w:rsidR="009278C8">
        <w:t xml:space="preserve"> </w:t>
      </w:r>
      <w:r w:rsidR="00024266" w:rsidRPr="00004B26">
        <w:t xml:space="preserve">52 of the </w:t>
      </w:r>
      <w:r w:rsidR="00024266" w:rsidRPr="00004B26">
        <w:rPr>
          <w:i/>
          <w:iCs/>
        </w:rPr>
        <w:t>Constitution Act, 1982</w:t>
      </w:r>
      <w:r w:rsidRPr="00004B26">
        <w:t>.</w:t>
      </w:r>
    </w:p>
    <w:p w:rsidR="009805C5" w:rsidRPr="00004B26" w:rsidRDefault="006D2017" w:rsidP="00B927C2">
      <w:pPr>
        <w:pStyle w:val="SCCNormalDoubleSpacing"/>
        <w:spacing w:before="480" w:after="480"/>
      </w:pPr>
      <w:r w:rsidRPr="00004B26">
        <w:tab/>
      </w:r>
      <w:r w:rsidR="00E60A20" w:rsidRPr="00004B26">
        <w:t xml:space="preserve">Nevertheless, </w:t>
      </w:r>
      <w:r w:rsidR="008E6BFB" w:rsidRPr="00004B26">
        <w:t xml:space="preserve">Quebec has not established a legal basis for its claim to the data. The absence of a legal barrier to the transfer of the data does not necessarily mean that Quebec has proven that it is entitled to obtain them through the courts. </w:t>
      </w:r>
      <w:r w:rsidR="00F47C47" w:rsidRPr="00004B26">
        <w:t xml:space="preserve">It is up to the legislatures to fill legislative gaps that are incompatible with the Constitution, and not up to the courts to supply an exact description of the laws the </w:t>
      </w:r>
      <w:r w:rsidR="00F47C47" w:rsidRPr="00004B26">
        <w:lastRenderedPageBreak/>
        <w:t xml:space="preserve">legislatures must adopt to fulfill their constitutional obligations. </w:t>
      </w:r>
      <w:r w:rsidR="0025044F" w:rsidRPr="00004B26">
        <w:rPr>
          <w:iCs/>
        </w:rPr>
        <w:t>In some</w:t>
      </w:r>
      <w:r w:rsidR="004465E8" w:rsidRPr="00004B26">
        <w:rPr>
          <w:iCs/>
        </w:rPr>
        <w:t xml:space="preserve"> cases</w:t>
      </w:r>
      <w:r w:rsidR="00AE024E" w:rsidRPr="00004B26">
        <w:rPr>
          <w:iCs/>
        </w:rPr>
        <w:t>,</w:t>
      </w:r>
      <w:r w:rsidR="004465E8" w:rsidRPr="00004B26">
        <w:rPr>
          <w:iCs/>
        </w:rPr>
        <w:t xml:space="preserve"> the source of the appropriate remedy must lie in the political process rather than in the courts</w:t>
      </w:r>
      <w:r w:rsidRPr="00004B26">
        <w:t>.</w:t>
      </w:r>
      <w:r w:rsidR="00E37320" w:rsidRPr="00004B26">
        <w:t xml:space="preserve"> </w:t>
      </w:r>
      <w:r w:rsidR="004465E8" w:rsidRPr="00004B26">
        <w:t>In th</w:t>
      </w:r>
      <w:r w:rsidR="00AE024E" w:rsidRPr="00004B26">
        <w:t>is</w:t>
      </w:r>
      <w:r w:rsidR="004465E8" w:rsidRPr="00004B26">
        <w:t xml:space="preserve"> case</w:t>
      </w:r>
      <w:r w:rsidRPr="00004B26">
        <w:t xml:space="preserve">, </w:t>
      </w:r>
      <w:r w:rsidR="004465E8" w:rsidRPr="00004B26">
        <w:t xml:space="preserve">it was up to the members of the partnership </w:t>
      </w:r>
      <w:r w:rsidR="00AE024E" w:rsidRPr="00004B26">
        <w:t>to set out the conditions that we</w:t>
      </w:r>
      <w:r w:rsidR="004465E8" w:rsidRPr="00004B26">
        <w:t>re to apply upon termination of their joint venture in their agreements</w:t>
      </w:r>
      <w:r w:rsidRPr="00004B26">
        <w:t>.</w:t>
      </w:r>
    </w:p>
    <w:p w:rsidR="007E1C47" w:rsidRPr="00004B26" w:rsidRDefault="002E6705" w:rsidP="004B4045">
      <w:pPr>
        <w:pStyle w:val="SCCNormalDoubleSpacing"/>
        <w:spacing w:after="720" w:line="240" w:lineRule="auto"/>
        <w:outlineLvl w:val="0"/>
        <w:rPr>
          <w:b/>
          <w:lang w:val="en-US"/>
        </w:rPr>
      </w:pPr>
      <w:r w:rsidRPr="00004B26">
        <w:rPr>
          <w:b/>
          <w:lang w:val="en-US"/>
        </w:rPr>
        <w:t>Cases Cited</w:t>
      </w:r>
    </w:p>
    <w:p w:rsidR="00B6473D" w:rsidRPr="00004B26" w:rsidRDefault="00B6473D" w:rsidP="004B4045">
      <w:pPr>
        <w:pStyle w:val="SCCNormalDoubleSpacing"/>
        <w:spacing w:after="720" w:line="240" w:lineRule="auto"/>
      </w:pPr>
      <w:r w:rsidRPr="00004B26">
        <w:t>By Cromwell and Karakatsanis</w:t>
      </w:r>
      <w:r w:rsidR="009278C8">
        <w:t xml:space="preserve"> </w:t>
      </w:r>
      <w:r w:rsidRPr="00004B26">
        <w:t>JJ.</w:t>
      </w:r>
    </w:p>
    <w:p w:rsidR="00B6473D" w:rsidRPr="00004B26" w:rsidRDefault="00B6473D" w:rsidP="004B4045">
      <w:pPr>
        <w:pStyle w:val="SCCNormalDoubleSpacing"/>
        <w:spacing w:before="480" w:after="480"/>
        <w:outlineLvl w:val="0"/>
      </w:pPr>
      <w:r w:rsidRPr="00004B26">
        <w:tab/>
      </w:r>
      <w:r w:rsidR="001D10E5" w:rsidRPr="001D10E5">
        <w:rPr>
          <w:b/>
        </w:rPr>
        <w:t xml:space="preserve">Considered: </w:t>
      </w:r>
      <w:r w:rsidR="001D10E5" w:rsidRPr="00004B26">
        <w:rPr>
          <w:i/>
        </w:rPr>
        <w:t>Reference re Firearms Act (Can.)</w:t>
      </w:r>
      <w:r w:rsidR="001D10E5" w:rsidRPr="00004B26">
        <w:t>, 2000 SCC 31, [2000] 1 S.C.R. 783</w:t>
      </w:r>
      <w:r w:rsidR="001D10E5">
        <w:t xml:space="preserve">; </w:t>
      </w:r>
      <w:r w:rsidR="001D10E5">
        <w:rPr>
          <w:b/>
        </w:rPr>
        <w:t>re</w:t>
      </w:r>
      <w:r w:rsidR="00A81A93" w:rsidRPr="00004B26">
        <w:rPr>
          <w:b/>
        </w:rPr>
        <w:t>ferred to:</w:t>
      </w:r>
      <w:r w:rsidRPr="00004B26">
        <w:t xml:space="preserve"> </w:t>
      </w:r>
      <w:r w:rsidR="00694A25" w:rsidRPr="00004B26">
        <w:rPr>
          <w:i/>
        </w:rPr>
        <w:t>Canadian Western Bank v. Alberta</w:t>
      </w:r>
      <w:r w:rsidR="00694A25" w:rsidRPr="00004B26">
        <w:t xml:space="preserve">, 2007 SCC 22, [2007] 2 S.C.R. 3; </w:t>
      </w:r>
      <w:r w:rsidRPr="00004B26">
        <w:rPr>
          <w:i/>
        </w:rPr>
        <w:t>Reference re Agricultural Products Marketing Act</w:t>
      </w:r>
      <w:r w:rsidRPr="00004B26">
        <w:t xml:space="preserve">, [1978] 2 S.C.R. 1198; </w:t>
      </w:r>
      <w:r w:rsidR="00694A25" w:rsidRPr="00004B26">
        <w:rPr>
          <w:i/>
        </w:rPr>
        <w:t>Fédération des producteurs de volailles du Québec v. Pelland</w:t>
      </w:r>
      <w:r w:rsidR="00694A25" w:rsidRPr="00004B26">
        <w:t xml:space="preserve">, 2005 SCC 20, [2005] 1 S.C.R. 292; </w:t>
      </w:r>
      <w:r w:rsidRPr="00004B26">
        <w:rPr>
          <w:i/>
        </w:rPr>
        <w:t>Quebec (Attorney General) v. Canadian Owners and Pilots Association</w:t>
      </w:r>
      <w:r w:rsidRPr="00004B26">
        <w:t xml:space="preserve">, 2010 SCC </w:t>
      </w:r>
      <w:r w:rsidR="005B56B7" w:rsidRPr="00004B26">
        <w:t>39, [2010] 2 S</w:t>
      </w:r>
      <w:r w:rsidR="00F2523F" w:rsidRPr="00004B26">
        <w:t>.</w:t>
      </w:r>
      <w:r w:rsidR="005B56B7" w:rsidRPr="00004B26">
        <w:t>C</w:t>
      </w:r>
      <w:r w:rsidR="00F2523F" w:rsidRPr="00004B26">
        <w:t>.</w:t>
      </w:r>
      <w:r w:rsidR="005B56B7" w:rsidRPr="00004B26">
        <w:t>R</w:t>
      </w:r>
      <w:r w:rsidR="00F2523F" w:rsidRPr="00004B26">
        <w:t>.</w:t>
      </w:r>
      <w:r w:rsidR="005B56B7" w:rsidRPr="00004B26">
        <w:t xml:space="preserve"> 536</w:t>
      </w:r>
      <w:r w:rsidRPr="00004B26">
        <w:t xml:space="preserve">; </w:t>
      </w:r>
      <w:r w:rsidR="00694A25" w:rsidRPr="00004B26">
        <w:rPr>
          <w:i/>
        </w:rPr>
        <w:t>Canada (Attorney General) v. PHS Community Services Society</w:t>
      </w:r>
      <w:r w:rsidR="00694A25" w:rsidRPr="00004B26">
        <w:t xml:space="preserve">, 2011 SCC 44, [2011] 3 S.C.R. 134; </w:t>
      </w:r>
      <w:r w:rsidR="00694A25" w:rsidRPr="00004B26">
        <w:rPr>
          <w:i/>
        </w:rPr>
        <w:t>Reference re Secession of Quebec</w:t>
      </w:r>
      <w:r w:rsidR="00694A25" w:rsidRPr="00004B26">
        <w:t xml:space="preserve">, [1998] 2 S.C.R. 217; </w:t>
      </w:r>
      <w:r w:rsidRPr="00004B26">
        <w:rPr>
          <w:i/>
        </w:rPr>
        <w:t>Re</w:t>
      </w:r>
      <w:r w:rsidR="00D9694B" w:rsidRPr="00004B26">
        <w:rPr>
          <w:i/>
        </w:rPr>
        <w:t>ference re</w:t>
      </w:r>
      <w:r w:rsidRPr="00004B26">
        <w:rPr>
          <w:i/>
        </w:rPr>
        <w:t xml:space="preserve"> Anti</w:t>
      </w:r>
      <w:r w:rsidR="009278C8">
        <w:rPr>
          <w:i/>
        </w:rPr>
        <w:t>-</w:t>
      </w:r>
      <w:r w:rsidRPr="00004B26">
        <w:rPr>
          <w:i/>
        </w:rPr>
        <w:t>Inflation Act</w:t>
      </w:r>
      <w:r w:rsidRPr="00004B26">
        <w:t>, [1976] 2 S</w:t>
      </w:r>
      <w:r w:rsidR="005B56B7" w:rsidRPr="00004B26">
        <w:t>.</w:t>
      </w:r>
      <w:r w:rsidRPr="00004B26">
        <w:t>C</w:t>
      </w:r>
      <w:r w:rsidR="005B56B7" w:rsidRPr="00004B26">
        <w:t>.</w:t>
      </w:r>
      <w:r w:rsidRPr="00004B26">
        <w:t>R</w:t>
      </w:r>
      <w:r w:rsidR="005B56B7" w:rsidRPr="00004B26">
        <w:t>.</w:t>
      </w:r>
      <w:r w:rsidRPr="00004B26">
        <w:t xml:space="preserve"> 373</w:t>
      </w:r>
      <w:r w:rsidR="005B56B7" w:rsidRPr="00004B26">
        <w:t>;</w:t>
      </w:r>
      <w:r w:rsidRPr="00004B26">
        <w:t xml:space="preserve"> </w:t>
      </w:r>
      <w:r w:rsidR="00694A25" w:rsidRPr="00004B26">
        <w:rPr>
          <w:i/>
        </w:rPr>
        <w:t>Reference re Securities Act</w:t>
      </w:r>
      <w:r w:rsidR="00694A25" w:rsidRPr="00004B26">
        <w:t xml:space="preserve">, 2011 SCC 66, [2011] 3 S.C.R. 837; </w:t>
      </w:r>
      <w:r w:rsidR="00694A25" w:rsidRPr="00004B26">
        <w:rPr>
          <w:i/>
        </w:rPr>
        <w:t>Reference re Canada Assistance Plan (B.C.)</w:t>
      </w:r>
      <w:r w:rsidR="00694A25" w:rsidRPr="00004B26">
        <w:t xml:space="preserve">, [1991] 2 S.C.R. 525; </w:t>
      </w:r>
      <w:r w:rsidR="005B56B7" w:rsidRPr="00004B26">
        <w:rPr>
          <w:i/>
        </w:rPr>
        <w:t>Wells v. Newfoundland</w:t>
      </w:r>
      <w:r w:rsidR="005B56B7" w:rsidRPr="00004B26">
        <w:t xml:space="preserve">, [1999] 3 S.C.R. 199; </w:t>
      </w:r>
      <w:r w:rsidR="005B56B7" w:rsidRPr="00004B26">
        <w:rPr>
          <w:i/>
        </w:rPr>
        <w:t>Authorson v. Canada (Attorney General)</w:t>
      </w:r>
      <w:r w:rsidR="005B56B7" w:rsidRPr="00004B26">
        <w:t xml:space="preserve">, 2003 SCC 39, [2003] 2 S.C.R. 40; </w:t>
      </w:r>
      <w:r w:rsidR="00694A25" w:rsidRPr="00004B26">
        <w:rPr>
          <w:i/>
        </w:rPr>
        <w:t>RJR</w:t>
      </w:r>
      <w:r w:rsidR="009278C8">
        <w:rPr>
          <w:i/>
        </w:rPr>
        <w:t>-</w:t>
      </w:r>
      <w:r w:rsidR="00694A25" w:rsidRPr="00004B26">
        <w:rPr>
          <w:i/>
        </w:rPr>
        <w:t>MacDonald Inc. v. Canada (Attorney General)</w:t>
      </w:r>
      <w:r w:rsidR="00694A25" w:rsidRPr="00004B26">
        <w:t xml:space="preserve">, [1995] 3 S.C.R. 199; </w:t>
      </w:r>
      <w:r w:rsidR="009431E9" w:rsidRPr="00004B26">
        <w:rPr>
          <w:i/>
        </w:rPr>
        <w:t>Quebec (Attorney General) v. Lacombe</w:t>
      </w:r>
      <w:r w:rsidR="009431E9" w:rsidRPr="00004B26">
        <w:t xml:space="preserve">, 2010 SCC 38, [2010] 2 S.C.R. 453; </w:t>
      </w:r>
      <w:r w:rsidR="00694A25" w:rsidRPr="00004B26">
        <w:rPr>
          <w:i/>
        </w:rPr>
        <w:t xml:space="preserve">Kitkatla Band v. British Columbia (Minister of Small Business, Tourism </w:t>
      </w:r>
      <w:r w:rsidR="00694A25" w:rsidRPr="00004B26">
        <w:rPr>
          <w:i/>
        </w:rPr>
        <w:lastRenderedPageBreak/>
        <w:t>and Culture)</w:t>
      </w:r>
      <w:r w:rsidR="00694A25" w:rsidRPr="00004B26">
        <w:t xml:space="preserve">, 2002 SCC 31, [2002] 2 S.C.R. 146; </w:t>
      </w:r>
      <w:r w:rsidR="00FA6D8A" w:rsidRPr="00004B26">
        <w:rPr>
          <w:i/>
        </w:rPr>
        <w:t>Ward v. Canada (Attorney General)</w:t>
      </w:r>
      <w:r w:rsidR="00FA6D8A" w:rsidRPr="00004B26">
        <w:t xml:space="preserve">, 2002 SCC </w:t>
      </w:r>
      <w:r w:rsidR="009F0896" w:rsidRPr="00004B26">
        <w:t>17</w:t>
      </w:r>
      <w:r w:rsidR="00FA6D8A" w:rsidRPr="00004B26">
        <w:t xml:space="preserve">, [2002] 1 S.C.R. 569; </w:t>
      </w:r>
      <w:r w:rsidR="00297A10" w:rsidRPr="00004B26">
        <w:rPr>
          <w:i/>
        </w:rPr>
        <w:t>Kirkbi AG v. Ritvik Holdings Inc.</w:t>
      </w:r>
      <w:r w:rsidR="00297A10" w:rsidRPr="00004B26">
        <w:t xml:space="preserve">, 2005 SCC 65, [2005] 3 S.C.R. 302; </w:t>
      </w:r>
      <w:r w:rsidR="00694A25" w:rsidRPr="00004B26">
        <w:rPr>
          <w:i/>
        </w:rPr>
        <w:t>Reference re Upper Churchill Water Rights Reversion Act</w:t>
      </w:r>
      <w:r w:rsidR="00694A25" w:rsidRPr="00004B26">
        <w:t xml:space="preserve">, [1984] 1 S.C.R. 297; </w:t>
      </w:r>
      <w:r w:rsidR="00FA6D8A" w:rsidRPr="00004B26">
        <w:rPr>
          <w:i/>
        </w:rPr>
        <w:t>Attorney</w:t>
      </w:r>
      <w:r w:rsidR="009278C8">
        <w:rPr>
          <w:i/>
        </w:rPr>
        <w:t>-</w:t>
      </w:r>
      <w:r w:rsidR="00FA6D8A" w:rsidRPr="00004B26">
        <w:rPr>
          <w:i/>
        </w:rPr>
        <w:t>General for Ontario v. Attorney</w:t>
      </w:r>
      <w:r w:rsidR="009278C8">
        <w:rPr>
          <w:i/>
        </w:rPr>
        <w:t>-</w:t>
      </w:r>
      <w:r w:rsidR="00FA6D8A" w:rsidRPr="00004B26">
        <w:rPr>
          <w:i/>
        </w:rPr>
        <w:t>General for Canada</w:t>
      </w:r>
      <w:r w:rsidR="00FA6D8A" w:rsidRPr="00004B26">
        <w:t xml:space="preserve">, [1912] A.C. 571; </w:t>
      </w:r>
      <w:r w:rsidR="00FA6D8A" w:rsidRPr="00004B26">
        <w:rPr>
          <w:i/>
        </w:rPr>
        <w:t>Attorney</w:t>
      </w:r>
      <w:r w:rsidR="009278C8">
        <w:rPr>
          <w:i/>
        </w:rPr>
        <w:t>-</w:t>
      </w:r>
      <w:r w:rsidR="00FA6D8A" w:rsidRPr="00004B26">
        <w:rPr>
          <w:i/>
        </w:rPr>
        <w:t>General for Canada v. Attorney</w:t>
      </w:r>
      <w:r w:rsidR="009278C8">
        <w:rPr>
          <w:i/>
        </w:rPr>
        <w:t>-</w:t>
      </w:r>
      <w:r w:rsidR="00FA6D8A" w:rsidRPr="00004B26">
        <w:rPr>
          <w:i/>
        </w:rPr>
        <w:t>General for Ontario</w:t>
      </w:r>
      <w:r w:rsidR="00FA6D8A" w:rsidRPr="00004B26">
        <w:t xml:space="preserve">, [1937] A.C. 326; </w:t>
      </w:r>
      <w:r w:rsidR="00EC2328" w:rsidRPr="00004B26">
        <w:rPr>
          <w:i/>
        </w:rPr>
        <w:t>Reference re Same</w:t>
      </w:r>
      <w:r w:rsidR="009278C8">
        <w:rPr>
          <w:i/>
        </w:rPr>
        <w:t>-</w:t>
      </w:r>
      <w:r w:rsidR="00EC2328" w:rsidRPr="00004B26">
        <w:rPr>
          <w:i/>
        </w:rPr>
        <w:t>Sex Marriage</w:t>
      </w:r>
      <w:r w:rsidR="00EC2328" w:rsidRPr="00004B26">
        <w:t xml:space="preserve">, 2004 SCC 79, [2004] 3 S.C.R. 698; </w:t>
      </w:r>
      <w:r w:rsidR="00FA6D8A" w:rsidRPr="00004B26">
        <w:rPr>
          <w:i/>
        </w:rPr>
        <w:t>Hunt v. T&amp;N plc</w:t>
      </w:r>
      <w:r w:rsidR="00FA6D8A" w:rsidRPr="00004B26">
        <w:t>, [1993] 4 S.C.R. 289.</w:t>
      </w:r>
    </w:p>
    <w:p w:rsidR="00A81A93" w:rsidRPr="00004B26" w:rsidRDefault="00A81A93" w:rsidP="00A81A93">
      <w:pPr>
        <w:pStyle w:val="SCCNormalDoubleSpacing"/>
        <w:spacing w:after="720" w:line="240" w:lineRule="auto"/>
      </w:pPr>
      <w:r w:rsidRPr="00004B26">
        <w:t>By LeBel, Wagner and Gascon</w:t>
      </w:r>
      <w:r w:rsidR="009278C8">
        <w:t xml:space="preserve"> </w:t>
      </w:r>
      <w:r w:rsidRPr="00004B26">
        <w:t>JJ. (</w:t>
      </w:r>
      <w:proofErr w:type="gramStart"/>
      <w:r w:rsidRPr="00004B26">
        <w:t>dissenting</w:t>
      </w:r>
      <w:proofErr w:type="gramEnd"/>
      <w:r w:rsidRPr="00004B26">
        <w:t>)</w:t>
      </w:r>
    </w:p>
    <w:p w:rsidR="00A81A93" w:rsidRPr="00004B26" w:rsidRDefault="00A81A93" w:rsidP="00A81A93">
      <w:pPr>
        <w:pStyle w:val="SCCNormalDoubleSpacing"/>
        <w:spacing w:before="480" w:after="480"/>
        <w:outlineLvl w:val="0"/>
      </w:pPr>
      <w:r w:rsidRPr="00004B26">
        <w:tab/>
      </w:r>
      <w:r w:rsidRPr="00004B26">
        <w:rPr>
          <w:i/>
        </w:rPr>
        <w:t>Reference re Firearms Act (Can.)</w:t>
      </w:r>
      <w:r w:rsidRPr="00004B26">
        <w:t xml:space="preserve">, 2000 SCC 31, [2000] 1 S.C.R. 783; </w:t>
      </w:r>
      <w:r w:rsidRPr="00004B26">
        <w:rPr>
          <w:i/>
        </w:rPr>
        <w:t>General Motors of Canada Ltd. v. City National Leasing</w:t>
      </w:r>
      <w:r w:rsidRPr="00004B26">
        <w:t xml:space="preserve">, [1989] 1 S.C.R. 641; </w:t>
      </w:r>
      <w:r w:rsidRPr="00004B26">
        <w:rPr>
          <w:i/>
        </w:rPr>
        <w:t>Reference re Upper Churchill Water Rights Reversion Act</w:t>
      </w:r>
      <w:r w:rsidRPr="00004B26">
        <w:t xml:space="preserve">, [1984] 1 S.C.R. 297; </w:t>
      </w:r>
      <w:r w:rsidRPr="00004B26">
        <w:rPr>
          <w:i/>
        </w:rPr>
        <w:t>Kirkbi AG v. Ritvik Holdings Inc.</w:t>
      </w:r>
      <w:r w:rsidRPr="00004B26">
        <w:t xml:space="preserve">, 2005 SCC 65, [2005] 3 S.C.R. 302; </w:t>
      </w:r>
      <w:r w:rsidRPr="00004B26">
        <w:rPr>
          <w:i/>
        </w:rPr>
        <w:t>Reference re Securities Act</w:t>
      </w:r>
      <w:r w:rsidRPr="00004B26">
        <w:t xml:space="preserve">, 2011 SCC 66, [2011] 3 S.C.R. 837; </w:t>
      </w:r>
      <w:r w:rsidRPr="00004B26">
        <w:rPr>
          <w:i/>
        </w:rPr>
        <w:t>Quebec (Attorney General) v. Lacombe</w:t>
      </w:r>
      <w:r w:rsidRPr="00004B26">
        <w:t xml:space="preserve">, 2010 SCC 38, [2010] 2 S.C.R. 453; </w:t>
      </w:r>
      <w:r w:rsidR="00EC2328" w:rsidRPr="00004B26">
        <w:rPr>
          <w:i/>
        </w:rPr>
        <w:t>Kitkatla Band v. British Columbia (Minister of Small Business, Tourism and Culture)</w:t>
      </w:r>
      <w:r w:rsidR="00EC2328" w:rsidRPr="00004B26">
        <w:t xml:space="preserve">, 2002 SCC 31, [2002] 2 S.C.R. 146; </w:t>
      </w:r>
      <w:r w:rsidRPr="00004B26">
        <w:rPr>
          <w:i/>
        </w:rPr>
        <w:t>Reference re Same</w:t>
      </w:r>
      <w:r w:rsidR="009278C8">
        <w:rPr>
          <w:i/>
        </w:rPr>
        <w:t>-</w:t>
      </w:r>
      <w:r w:rsidRPr="00004B26">
        <w:rPr>
          <w:i/>
        </w:rPr>
        <w:t>Sex Marriage</w:t>
      </w:r>
      <w:r w:rsidRPr="00004B26">
        <w:t xml:space="preserve">, 2004 SCC 79, [2004] 3 S.C.R. 698; </w:t>
      </w:r>
      <w:r w:rsidRPr="00004B26">
        <w:rPr>
          <w:i/>
        </w:rPr>
        <w:t>Reference re Assisted Human Reproduction Act</w:t>
      </w:r>
      <w:r w:rsidRPr="00004B26">
        <w:t xml:space="preserve">, 2010 SCC 61, [2010] 3 S.C.R. 457; </w:t>
      </w:r>
      <w:r w:rsidRPr="00004B26">
        <w:rPr>
          <w:i/>
        </w:rPr>
        <w:t>Canadian Western Bank v. Alberta</w:t>
      </w:r>
      <w:r w:rsidRPr="00004B26">
        <w:t xml:space="preserve">, 2007 SCC 22, [2007] 2 S.C.R. 3; </w:t>
      </w:r>
      <w:r w:rsidRPr="00004B26">
        <w:rPr>
          <w:i/>
        </w:rPr>
        <w:t>Attorney</w:t>
      </w:r>
      <w:r w:rsidR="009278C8">
        <w:rPr>
          <w:i/>
        </w:rPr>
        <w:t>-</w:t>
      </w:r>
      <w:r w:rsidRPr="00004B26">
        <w:rPr>
          <w:i/>
        </w:rPr>
        <w:t>General for Ontario v. Reciprocal Insurers</w:t>
      </w:r>
      <w:r w:rsidRPr="00004B26">
        <w:t xml:space="preserve">, [1924] A.C. 328; </w:t>
      </w:r>
      <w:r w:rsidRPr="00004B26">
        <w:rPr>
          <w:i/>
        </w:rPr>
        <w:t>R. v. Big M Drug Mart Ltd.</w:t>
      </w:r>
      <w:r w:rsidRPr="00004B26">
        <w:t xml:space="preserve">, [1985] 1 S.C.R. 295; </w:t>
      </w:r>
      <w:r w:rsidRPr="00004B26">
        <w:rPr>
          <w:i/>
        </w:rPr>
        <w:t>R. v. Edwards Books and Art Ltd.</w:t>
      </w:r>
      <w:r w:rsidRPr="00004B26">
        <w:t xml:space="preserve">, [1986] 2 S.C.R. 713; </w:t>
      </w:r>
      <w:r w:rsidRPr="00004B26">
        <w:rPr>
          <w:i/>
        </w:rPr>
        <w:t>Reference re Secession of Quebec</w:t>
      </w:r>
      <w:r w:rsidRPr="00004B26">
        <w:t xml:space="preserve">, [1998] 2 S.C.R. 217; </w:t>
      </w:r>
      <w:r w:rsidRPr="00004B26">
        <w:rPr>
          <w:i/>
        </w:rPr>
        <w:t>Canada (Attorney General) v. PHS Community Services Society</w:t>
      </w:r>
      <w:r w:rsidRPr="00004B26">
        <w:t xml:space="preserve">, 2011 SCC 44, [2011] 3 S.C.R. 134; </w:t>
      </w:r>
      <w:r w:rsidRPr="00004B26">
        <w:rPr>
          <w:i/>
        </w:rPr>
        <w:t xml:space="preserve">OPSEU v. Ontario </w:t>
      </w:r>
      <w:r w:rsidRPr="00004B26">
        <w:rPr>
          <w:i/>
        </w:rPr>
        <w:lastRenderedPageBreak/>
        <w:t>(Attorney General)</w:t>
      </w:r>
      <w:r w:rsidRPr="00004B26">
        <w:t xml:space="preserve">, [1987] 2 S.C.R. 2; </w:t>
      </w:r>
      <w:r w:rsidRPr="00004B26">
        <w:rPr>
          <w:i/>
        </w:rPr>
        <w:t>Tsilhqot’in Nation v. British Columbia</w:t>
      </w:r>
      <w:r w:rsidRPr="00004B26">
        <w:t xml:space="preserve">, </w:t>
      </w:r>
      <w:r w:rsidR="009B5DDE">
        <w:t>2014 SCC 44, [2014] 2 S.C.R. 257</w:t>
      </w:r>
      <w:r w:rsidRPr="00004B26">
        <w:t xml:space="preserve">; </w:t>
      </w:r>
      <w:r w:rsidRPr="00004B26">
        <w:rPr>
          <w:i/>
        </w:rPr>
        <w:t>Reference re Canada Assistance Plan (B.C.)</w:t>
      </w:r>
      <w:r w:rsidRPr="00004B26">
        <w:t xml:space="preserve">, [1991] 2 S.C.R. 525; </w:t>
      </w:r>
      <w:r w:rsidRPr="00004B26">
        <w:rPr>
          <w:i/>
        </w:rPr>
        <w:t>Northern Telecom Ltd. v. Communications Workers of Canada</w:t>
      </w:r>
      <w:r w:rsidRPr="00004B26">
        <w:t xml:space="preserve">, [1980] 1 S.C.R. 115; </w:t>
      </w:r>
      <w:r w:rsidRPr="00004B26">
        <w:rPr>
          <w:i/>
        </w:rPr>
        <w:t>Clark v. Canadian National Railway Co.</w:t>
      </w:r>
      <w:r w:rsidRPr="00004B26">
        <w:t xml:space="preserve">, [1988] 2 S.C.R. 680; </w:t>
      </w:r>
      <w:r w:rsidRPr="00004B26">
        <w:rPr>
          <w:i/>
        </w:rPr>
        <w:t>R. v. Thomas Fuller Construction Co. (1958) Ltd.</w:t>
      </w:r>
      <w:r w:rsidRPr="00004B26">
        <w:t xml:space="preserve">, [1980] 1 S.C.R. 695; </w:t>
      </w:r>
      <w:r w:rsidRPr="00004B26">
        <w:rPr>
          <w:i/>
        </w:rPr>
        <w:t>Doucet</w:t>
      </w:r>
      <w:r w:rsidR="009278C8">
        <w:rPr>
          <w:i/>
        </w:rPr>
        <w:t>-</w:t>
      </w:r>
      <w:r w:rsidRPr="00004B26">
        <w:rPr>
          <w:i/>
        </w:rPr>
        <w:t>Boudreau v. Nova Scotia (Minister of Education)</w:t>
      </w:r>
      <w:r w:rsidRPr="00004B26">
        <w:t xml:space="preserve">, 2003 SCC 62, [2003] 3 S.C.R. 3; </w:t>
      </w:r>
      <w:r w:rsidRPr="00004B26">
        <w:rPr>
          <w:i/>
        </w:rPr>
        <w:t>R. v. Prosper</w:t>
      </w:r>
      <w:r w:rsidRPr="00004B26">
        <w:t xml:space="preserve">, [1994] 3 S.C.R. 236; </w:t>
      </w:r>
      <w:r w:rsidRPr="00004B26">
        <w:rPr>
          <w:i/>
        </w:rPr>
        <w:t>Hunter v. Southam Inc.</w:t>
      </w:r>
      <w:r w:rsidRPr="00004B26">
        <w:t xml:space="preserve">, [1984] 2 S.C.R. 145; </w:t>
      </w:r>
      <w:r w:rsidRPr="00004B26">
        <w:rPr>
          <w:i/>
        </w:rPr>
        <w:t>Reference re Public Schools Act (Man.), s.</w:t>
      </w:r>
      <w:r w:rsidR="009278C8">
        <w:rPr>
          <w:i/>
        </w:rPr>
        <w:t xml:space="preserve"> </w:t>
      </w:r>
      <w:r w:rsidRPr="00004B26">
        <w:rPr>
          <w:i/>
        </w:rPr>
        <w:t>79(3), (4) and (7)</w:t>
      </w:r>
      <w:r w:rsidRPr="00004B26">
        <w:t>, [1993] 1 S.C.R. 839.</w:t>
      </w:r>
    </w:p>
    <w:p w:rsidR="003B215F" w:rsidRPr="00004B26" w:rsidRDefault="002E6705" w:rsidP="004B4045">
      <w:pPr>
        <w:pStyle w:val="SCCNormalDoubleSpacing"/>
        <w:spacing w:after="720" w:line="240" w:lineRule="auto"/>
      </w:pPr>
      <w:r w:rsidRPr="00004B26">
        <w:rPr>
          <w:b/>
        </w:rPr>
        <w:t>Statutes and Regulations Cite</w:t>
      </w:r>
      <w:r w:rsidR="00A41805" w:rsidRPr="00004B26">
        <w:rPr>
          <w:b/>
        </w:rPr>
        <w:t>d</w:t>
      </w:r>
    </w:p>
    <w:p w:rsidR="002872B5" w:rsidRPr="00004B26" w:rsidRDefault="002872B5" w:rsidP="004B4045">
      <w:pPr>
        <w:pStyle w:val="SCCNormalDoubleSpacing"/>
        <w:spacing w:after="240" w:line="240" w:lineRule="auto"/>
        <w:ind w:left="540" w:hanging="540"/>
      </w:pPr>
      <w:r w:rsidRPr="00004B26">
        <w:rPr>
          <w:i/>
        </w:rPr>
        <w:t>Act respecting safety in sports</w:t>
      </w:r>
      <w:r w:rsidR="008D2C4A" w:rsidRPr="00004B26">
        <w:t>, CQLR, c.</w:t>
      </w:r>
      <w:r w:rsidR="009278C8">
        <w:t xml:space="preserve"> </w:t>
      </w:r>
      <w:r w:rsidR="008D2C4A" w:rsidRPr="00004B26">
        <w:t>S</w:t>
      </w:r>
      <w:r w:rsidR="009278C8">
        <w:t>-</w:t>
      </w:r>
      <w:r w:rsidR="008D2C4A" w:rsidRPr="00004B26">
        <w:t>3.1, s.</w:t>
      </w:r>
      <w:r w:rsidR="009278C8">
        <w:t xml:space="preserve"> </w:t>
      </w:r>
      <w:r w:rsidRPr="00004B26">
        <w:t>46.31.</w:t>
      </w:r>
    </w:p>
    <w:p w:rsidR="002872B5" w:rsidRPr="00004B26" w:rsidRDefault="002872B5" w:rsidP="004B4045">
      <w:pPr>
        <w:pStyle w:val="SCCNormalDoubleSpacing"/>
        <w:spacing w:after="240" w:line="240" w:lineRule="auto"/>
        <w:ind w:left="540" w:hanging="540"/>
      </w:pPr>
      <w:r w:rsidRPr="00004B26">
        <w:rPr>
          <w:i/>
        </w:rPr>
        <w:t>Act to protect persons with regard to activities involving firearms</w:t>
      </w:r>
      <w:r w:rsidRPr="00004B26">
        <w:t>, CQLR, c.</w:t>
      </w:r>
      <w:r w:rsidR="009278C8">
        <w:t xml:space="preserve"> </w:t>
      </w:r>
      <w:r w:rsidR="008D2C4A" w:rsidRPr="00004B26">
        <w:t>P</w:t>
      </w:r>
      <w:r w:rsidR="009278C8">
        <w:t>-</w:t>
      </w:r>
      <w:r w:rsidR="008D2C4A" w:rsidRPr="00004B26">
        <w:t>38.0001, s.</w:t>
      </w:r>
      <w:r w:rsidR="009278C8">
        <w:t xml:space="preserve"> </w:t>
      </w:r>
      <w:r w:rsidRPr="00004B26">
        <w:t>11.</w:t>
      </w:r>
    </w:p>
    <w:p w:rsidR="00985349" w:rsidRPr="00004B26" w:rsidRDefault="00985349" w:rsidP="004B4045">
      <w:pPr>
        <w:pStyle w:val="SCCNormalDoubleSpacing"/>
        <w:spacing w:after="240" w:line="240" w:lineRule="auto"/>
        <w:ind w:left="540" w:hanging="540"/>
      </w:pPr>
      <w:r w:rsidRPr="00004B26">
        <w:rPr>
          <w:i/>
        </w:rPr>
        <w:t>Code of Civil Procedure</w:t>
      </w:r>
      <w:r w:rsidRPr="00004B26">
        <w:t>, CQLR, c. C</w:t>
      </w:r>
      <w:r w:rsidR="009278C8">
        <w:t>-</w:t>
      </w:r>
      <w:r w:rsidRPr="00004B26">
        <w:t xml:space="preserve">25, </w:t>
      </w:r>
      <w:r w:rsidR="00B927C2" w:rsidRPr="00004B26">
        <w:t>art.</w:t>
      </w:r>
      <w:r w:rsidR="009278C8">
        <w:t xml:space="preserve"> </w:t>
      </w:r>
      <w:r w:rsidRPr="00004B26">
        <w:t>778.</w:t>
      </w:r>
    </w:p>
    <w:p w:rsidR="00985349" w:rsidRPr="00004B26" w:rsidRDefault="00985349" w:rsidP="004B4045">
      <w:pPr>
        <w:pStyle w:val="SCCNormalDoubleSpacing"/>
        <w:spacing w:after="240" w:line="240" w:lineRule="auto"/>
        <w:ind w:left="540" w:hanging="540"/>
      </w:pPr>
      <w:r w:rsidRPr="00004B26">
        <w:rPr>
          <w:i/>
        </w:rPr>
        <w:t>Constitution Act, 1867</w:t>
      </w:r>
      <w:r w:rsidRPr="00004B26">
        <w:t xml:space="preserve">, </w:t>
      </w:r>
      <w:r w:rsidR="00B927C2" w:rsidRPr="00004B26">
        <w:t>ss.</w:t>
      </w:r>
      <w:r w:rsidR="009278C8">
        <w:t xml:space="preserve"> </w:t>
      </w:r>
      <w:r w:rsidRPr="00004B26">
        <w:t>91</w:t>
      </w:r>
      <w:r w:rsidR="008B54EA">
        <w:t>(2</w:t>
      </w:r>
      <w:r w:rsidR="009B5DDE">
        <w:t>7)</w:t>
      </w:r>
      <w:r w:rsidRPr="00004B26">
        <w:t>, 92(13).</w:t>
      </w:r>
    </w:p>
    <w:p w:rsidR="00985349" w:rsidRPr="00004B26" w:rsidRDefault="00985349" w:rsidP="004B4045">
      <w:pPr>
        <w:pStyle w:val="SCCNormalDoubleSpacing"/>
        <w:spacing w:after="240" w:line="240" w:lineRule="auto"/>
        <w:ind w:left="540" w:hanging="540"/>
      </w:pPr>
      <w:r w:rsidRPr="00004B26">
        <w:rPr>
          <w:i/>
        </w:rPr>
        <w:t>Constitution Act, 1982</w:t>
      </w:r>
      <w:r w:rsidR="008D2C4A" w:rsidRPr="00004B26">
        <w:t>, s.</w:t>
      </w:r>
      <w:r w:rsidR="009278C8">
        <w:t xml:space="preserve"> </w:t>
      </w:r>
      <w:r w:rsidRPr="00004B26">
        <w:t>52.</w:t>
      </w:r>
    </w:p>
    <w:p w:rsidR="009700F3" w:rsidRPr="00004B26" w:rsidRDefault="009700F3" w:rsidP="004B4045">
      <w:pPr>
        <w:pStyle w:val="SCCNormalDoubleSpacing"/>
        <w:spacing w:after="240" w:line="240" w:lineRule="auto"/>
        <w:ind w:left="540" w:hanging="540"/>
        <w:rPr>
          <w:lang w:val="fr-CA"/>
        </w:rPr>
      </w:pPr>
      <w:r w:rsidRPr="00004B26">
        <w:rPr>
          <w:i/>
          <w:lang w:val="fr-CA"/>
        </w:rPr>
        <w:t>Criminal Code</w:t>
      </w:r>
      <w:r w:rsidR="008D2C4A" w:rsidRPr="00004B26">
        <w:rPr>
          <w:lang w:val="fr-CA"/>
        </w:rPr>
        <w:t>, R.S.C. 1985, c.</w:t>
      </w:r>
      <w:r w:rsidR="009278C8">
        <w:rPr>
          <w:lang w:val="fr-CA"/>
        </w:rPr>
        <w:t xml:space="preserve"> </w:t>
      </w:r>
      <w:r w:rsidRPr="00004B26">
        <w:rPr>
          <w:lang w:val="fr-CA"/>
        </w:rPr>
        <w:t>C</w:t>
      </w:r>
      <w:r w:rsidR="009278C8">
        <w:rPr>
          <w:lang w:val="fr-CA"/>
        </w:rPr>
        <w:t>-</w:t>
      </w:r>
      <w:r w:rsidRPr="00004B26">
        <w:rPr>
          <w:lang w:val="fr-CA"/>
        </w:rPr>
        <w:t xml:space="preserve">46, </w:t>
      </w:r>
      <w:r w:rsidR="00B927C2" w:rsidRPr="00004B26">
        <w:rPr>
          <w:lang w:val="fr-CA"/>
        </w:rPr>
        <w:t>ss.</w:t>
      </w:r>
      <w:r w:rsidR="009278C8">
        <w:rPr>
          <w:lang w:val="fr-CA"/>
        </w:rPr>
        <w:t xml:space="preserve"> </w:t>
      </w:r>
      <w:r w:rsidRPr="00004B26">
        <w:rPr>
          <w:lang w:val="fr-CA"/>
        </w:rPr>
        <w:t>90, 91.</w:t>
      </w:r>
    </w:p>
    <w:p w:rsidR="00EA5942" w:rsidRPr="00004B26" w:rsidRDefault="00EA5942" w:rsidP="004B4045">
      <w:pPr>
        <w:pStyle w:val="SCCNormalDoubleSpacing"/>
        <w:spacing w:after="240" w:line="240" w:lineRule="auto"/>
        <w:ind w:left="540" w:hanging="540"/>
      </w:pPr>
      <w:r w:rsidRPr="00004B26">
        <w:rPr>
          <w:i/>
        </w:rPr>
        <w:t>Criminal Law Amendment Act, 1968</w:t>
      </w:r>
      <w:r w:rsidR="009278C8">
        <w:rPr>
          <w:i/>
        </w:rPr>
        <w:t>-</w:t>
      </w:r>
      <w:r w:rsidRPr="00004B26">
        <w:rPr>
          <w:i/>
        </w:rPr>
        <w:t>69</w:t>
      </w:r>
      <w:r w:rsidR="00985AAD" w:rsidRPr="00004B26">
        <w:t>, S.C. 1968</w:t>
      </w:r>
      <w:r w:rsidR="009278C8">
        <w:t>-</w:t>
      </w:r>
      <w:r w:rsidR="008D2C4A" w:rsidRPr="00004B26">
        <w:t>69, c.</w:t>
      </w:r>
      <w:r w:rsidR="009278C8">
        <w:t xml:space="preserve"> </w:t>
      </w:r>
      <w:r w:rsidR="008D2C4A" w:rsidRPr="00004B26">
        <w:t>38, s.</w:t>
      </w:r>
      <w:r w:rsidR="009278C8">
        <w:t xml:space="preserve"> </w:t>
      </w:r>
      <w:r w:rsidRPr="00004B26">
        <w:t>6.</w:t>
      </w:r>
    </w:p>
    <w:p w:rsidR="00985349" w:rsidRPr="00004B26" w:rsidRDefault="00985349" w:rsidP="004B4045">
      <w:pPr>
        <w:pStyle w:val="SCCNormalDoubleSpacing"/>
        <w:spacing w:after="240" w:line="240" w:lineRule="auto"/>
        <w:ind w:left="540" w:hanging="540"/>
      </w:pPr>
      <w:r w:rsidRPr="00004B26">
        <w:rPr>
          <w:i/>
        </w:rPr>
        <w:t>Ending the Long</w:t>
      </w:r>
      <w:r w:rsidR="009278C8">
        <w:rPr>
          <w:i/>
        </w:rPr>
        <w:t>-</w:t>
      </w:r>
      <w:r w:rsidRPr="00004B26">
        <w:rPr>
          <w:i/>
        </w:rPr>
        <w:t>gun Registry Act</w:t>
      </w:r>
      <w:r w:rsidR="008D2C4A" w:rsidRPr="00004B26">
        <w:t>, S.C. 2012, c.</w:t>
      </w:r>
      <w:r w:rsidR="009278C8">
        <w:t xml:space="preserve"> </w:t>
      </w:r>
      <w:r w:rsidRPr="00004B26">
        <w:t xml:space="preserve">6, </w:t>
      </w:r>
      <w:r w:rsidR="00B927C2" w:rsidRPr="00004B26">
        <w:t>ss.</w:t>
      </w:r>
      <w:r w:rsidR="009278C8">
        <w:t xml:space="preserve"> </w:t>
      </w:r>
      <w:r w:rsidRPr="00004B26">
        <w:t xml:space="preserve">2 to 28, </w:t>
      </w:r>
      <w:r w:rsidR="00AC7053" w:rsidRPr="00004B26">
        <w:t xml:space="preserve">27, </w:t>
      </w:r>
      <w:r w:rsidRPr="00004B26">
        <w:t>29.</w:t>
      </w:r>
    </w:p>
    <w:p w:rsidR="00985349" w:rsidRPr="00004B26" w:rsidRDefault="00985349" w:rsidP="004B4045">
      <w:pPr>
        <w:pStyle w:val="SCCNormalDoubleSpacing"/>
        <w:spacing w:after="240" w:line="240" w:lineRule="auto"/>
        <w:ind w:left="540" w:hanging="540"/>
      </w:pPr>
      <w:r w:rsidRPr="00004B26">
        <w:rPr>
          <w:i/>
        </w:rPr>
        <w:t>Firearms Act</w:t>
      </w:r>
      <w:r w:rsidR="008D2C4A" w:rsidRPr="00004B26">
        <w:t>, S.C. 1995, c.</w:t>
      </w:r>
      <w:r w:rsidR="009278C8">
        <w:t xml:space="preserve"> </w:t>
      </w:r>
      <w:r w:rsidRPr="00004B26">
        <w:t xml:space="preserve">39, </w:t>
      </w:r>
      <w:r w:rsidR="00B927C2" w:rsidRPr="00004B26">
        <w:t>ss.</w:t>
      </w:r>
      <w:r w:rsidR="009278C8">
        <w:t xml:space="preserve"> </w:t>
      </w:r>
      <w:r w:rsidRPr="00004B26">
        <w:t>2</w:t>
      </w:r>
      <w:r w:rsidR="009B5DDE">
        <w:t xml:space="preserve"> “chief firearms officer”</w:t>
      </w:r>
      <w:r w:rsidRPr="00004B26">
        <w:t xml:space="preserve">, 4 </w:t>
      </w:r>
      <w:r w:rsidR="00B82D0D" w:rsidRPr="00004B26">
        <w:t>to 14</w:t>
      </w:r>
      <w:r w:rsidRPr="00004B26">
        <w:t>, 13, 56, 57, 60, 70, 83, 84, 87, 90, 95, 112</w:t>
      </w:r>
      <w:r w:rsidR="00371344" w:rsidRPr="00004B26">
        <w:t xml:space="preserve"> [re</w:t>
      </w:r>
      <w:r w:rsidR="00B927C2" w:rsidRPr="00004B26">
        <w:t>p.</w:t>
      </w:r>
      <w:r w:rsidR="009278C8">
        <w:t xml:space="preserve"> </w:t>
      </w:r>
      <w:r w:rsidR="00371344" w:rsidRPr="00004B26">
        <w:t>2012, c.</w:t>
      </w:r>
      <w:r w:rsidR="009278C8">
        <w:t xml:space="preserve"> </w:t>
      </w:r>
      <w:r w:rsidR="008D2C4A" w:rsidRPr="00004B26">
        <w:t>6, s.</w:t>
      </w:r>
      <w:r w:rsidR="009278C8">
        <w:t xml:space="preserve"> </w:t>
      </w:r>
      <w:r w:rsidR="00371344" w:rsidRPr="00004B26">
        <w:t>27]</w:t>
      </w:r>
      <w:r w:rsidRPr="00004B26">
        <w:t>.</w:t>
      </w:r>
    </w:p>
    <w:p w:rsidR="00A472BA" w:rsidRPr="00004B26" w:rsidRDefault="00A472BA" w:rsidP="004B4045">
      <w:pPr>
        <w:pStyle w:val="SCCNormalDoubleSpacing"/>
        <w:spacing w:after="240" w:line="240" w:lineRule="auto"/>
        <w:ind w:left="540" w:hanging="540"/>
        <w:rPr>
          <w:lang w:val="en-US"/>
        </w:rPr>
      </w:pPr>
      <w:r w:rsidRPr="00004B26">
        <w:rPr>
          <w:i/>
          <w:lang w:val="en-US"/>
        </w:rPr>
        <w:t>Firearms Records Regulations</w:t>
      </w:r>
      <w:r w:rsidRPr="00004B26">
        <w:rPr>
          <w:lang w:val="en-US"/>
        </w:rPr>
        <w:t>, SOR/98</w:t>
      </w:r>
      <w:r w:rsidR="009278C8">
        <w:rPr>
          <w:lang w:val="en-US"/>
        </w:rPr>
        <w:t>-</w:t>
      </w:r>
      <w:r w:rsidRPr="00004B26">
        <w:rPr>
          <w:lang w:val="en-US"/>
        </w:rPr>
        <w:t xml:space="preserve">213, </w:t>
      </w:r>
      <w:r w:rsidR="00B927C2" w:rsidRPr="00004B26">
        <w:rPr>
          <w:lang w:val="en-US"/>
        </w:rPr>
        <w:t>ss.</w:t>
      </w:r>
      <w:r w:rsidR="009278C8">
        <w:rPr>
          <w:lang w:val="en-US"/>
        </w:rPr>
        <w:t xml:space="preserve"> </w:t>
      </w:r>
      <w:r w:rsidRPr="00004B26">
        <w:rPr>
          <w:lang w:val="en-US"/>
        </w:rPr>
        <w:t>4(1), 7(1), (2).</w:t>
      </w:r>
    </w:p>
    <w:p w:rsidR="00ED7467" w:rsidRPr="00004B26" w:rsidRDefault="00ED7467" w:rsidP="00E6428A">
      <w:pPr>
        <w:pStyle w:val="SCCNormalDoubleSpacing"/>
        <w:spacing w:after="240" w:line="240" w:lineRule="auto"/>
        <w:ind w:left="540" w:hanging="540"/>
      </w:pPr>
      <w:r w:rsidRPr="00004B26">
        <w:rPr>
          <w:i/>
        </w:rPr>
        <w:t>Interpretation Act</w:t>
      </w:r>
      <w:r w:rsidR="008D2C4A" w:rsidRPr="00004B26">
        <w:t>, R.S.C. 1985, c.</w:t>
      </w:r>
      <w:r w:rsidR="009278C8">
        <w:t xml:space="preserve"> </w:t>
      </w:r>
      <w:r w:rsidRPr="00004B26">
        <w:t>I</w:t>
      </w:r>
      <w:r w:rsidR="009278C8">
        <w:t>-</w:t>
      </w:r>
      <w:r w:rsidR="00E6428A">
        <w:t>21, s.</w:t>
      </w:r>
      <w:r w:rsidR="009278C8">
        <w:t xml:space="preserve"> </w:t>
      </w:r>
      <w:r w:rsidRPr="00004B26">
        <w:t>42.</w:t>
      </w:r>
    </w:p>
    <w:p w:rsidR="009103B3" w:rsidRPr="00004B26" w:rsidRDefault="009103B3" w:rsidP="004B4045">
      <w:pPr>
        <w:pStyle w:val="SCCNormalDoubleSpacing"/>
        <w:spacing w:after="240" w:line="240" w:lineRule="auto"/>
        <w:ind w:left="540" w:hanging="540"/>
      </w:pPr>
      <w:r w:rsidRPr="00004B26">
        <w:rPr>
          <w:i/>
        </w:rPr>
        <w:t>Library and Archives of Canada Act</w:t>
      </w:r>
      <w:r w:rsidR="008D2C4A" w:rsidRPr="00004B26">
        <w:t>, S.C. 2004, c.</w:t>
      </w:r>
      <w:r w:rsidR="009278C8">
        <w:t xml:space="preserve"> </w:t>
      </w:r>
      <w:r w:rsidRPr="00004B26">
        <w:t>11.</w:t>
      </w:r>
    </w:p>
    <w:p w:rsidR="00C7721A" w:rsidRPr="00004B26" w:rsidRDefault="008C2E0A" w:rsidP="004B4045">
      <w:pPr>
        <w:pStyle w:val="SCCNormalDoubleSpacing"/>
        <w:spacing w:after="240" w:line="240" w:lineRule="auto"/>
        <w:ind w:left="540" w:hanging="540"/>
      </w:pPr>
      <w:r w:rsidRPr="00004B26">
        <w:rPr>
          <w:i/>
        </w:rPr>
        <w:lastRenderedPageBreak/>
        <w:t>Order Declaring an Amnesty Period (2006)</w:t>
      </w:r>
      <w:r w:rsidRPr="00004B26">
        <w:t>, SOR/2006</w:t>
      </w:r>
      <w:r w:rsidR="009278C8">
        <w:t>-</w:t>
      </w:r>
      <w:r w:rsidRPr="00004B26">
        <w:t>95</w:t>
      </w:r>
      <w:r w:rsidR="00AD0E6B" w:rsidRPr="00004B26">
        <w:t xml:space="preserve"> [</w:t>
      </w:r>
      <w:r w:rsidR="00AC7053" w:rsidRPr="00004B26">
        <w:t>am</w:t>
      </w:r>
      <w:r w:rsidR="00AD0E6B" w:rsidRPr="00004B26">
        <w:t>. 2007</w:t>
      </w:r>
      <w:r w:rsidR="009278C8">
        <w:t>-</w:t>
      </w:r>
      <w:r w:rsidR="00AD0E6B" w:rsidRPr="00004B26">
        <w:t>101, 2008</w:t>
      </w:r>
      <w:r w:rsidR="009278C8">
        <w:t>-</w:t>
      </w:r>
      <w:r w:rsidR="00AD0E6B" w:rsidRPr="00004B26">
        <w:t>147, 2009</w:t>
      </w:r>
      <w:r w:rsidR="009278C8">
        <w:t>-</w:t>
      </w:r>
      <w:r w:rsidR="00AD0E6B" w:rsidRPr="00004B26">
        <w:t>139, 2010</w:t>
      </w:r>
      <w:r w:rsidR="009278C8">
        <w:t>-</w:t>
      </w:r>
      <w:r w:rsidR="00AD0E6B" w:rsidRPr="00004B26">
        <w:t>104, 2011</w:t>
      </w:r>
      <w:r w:rsidR="009278C8">
        <w:t>-</w:t>
      </w:r>
      <w:r w:rsidR="00AD0E6B" w:rsidRPr="00004B26">
        <w:t>102, 2013</w:t>
      </w:r>
      <w:r w:rsidR="009278C8">
        <w:t>-</w:t>
      </w:r>
      <w:r w:rsidR="00AD0E6B" w:rsidRPr="00004B26">
        <w:t>96, 2014</w:t>
      </w:r>
      <w:r w:rsidR="009278C8">
        <w:t>-</w:t>
      </w:r>
      <w:r w:rsidR="00AD0E6B" w:rsidRPr="00004B26">
        <w:t>123]</w:t>
      </w:r>
      <w:r w:rsidRPr="00004B26">
        <w:t>.</w:t>
      </w:r>
    </w:p>
    <w:p w:rsidR="009103B3" w:rsidRPr="00004B26" w:rsidRDefault="009103B3" w:rsidP="004B4045">
      <w:pPr>
        <w:pStyle w:val="SCCNormalDoubleSpacing"/>
        <w:spacing w:after="240" w:line="240" w:lineRule="auto"/>
        <w:ind w:left="540" w:hanging="540"/>
      </w:pPr>
      <w:r w:rsidRPr="00004B26">
        <w:rPr>
          <w:i/>
        </w:rPr>
        <w:t>Privacy Act</w:t>
      </w:r>
      <w:r w:rsidR="008D2C4A" w:rsidRPr="00004B26">
        <w:t>, R.S.C. 1985, c.</w:t>
      </w:r>
      <w:r w:rsidR="009278C8">
        <w:t xml:space="preserve"> </w:t>
      </w:r>
      <w:r w:rsidRPr="00004B26">
        <w:t>P</w:t>
      </w:r>
      <w:r w:rsidR="009278C8">
        <w:t>-</w:t>
      </w:r>
      <w:r w:rsidRPr="00004B26">
        <w:t>21.</w:t>
      </w:r>
    </w:p>
    <w:p w:rsidR="002872B5" w:rsidRPr="00004B26" w:rsidRDefault="002872B5" w:rsidP="004B4045">
      <w:pPr>
        <w:pStyle w:val="SCCNormalDoubleSpacing"/>
        <w:spacing w:after="720" w:line="240" w:lineRule="auto"/>
        <w:ind w:left="547" w:hanging="547"/>
      </w:pPr>
      <w:r w:rsidRPr="00004B26">
        <w:rPr>
          <w:i/>
        </w:rPr>
        <w:t>Regulation respecting the exclusion of certain premises and certain means of transportation and respecting the exemption of certain persons</w:t>
      </w:r>
      <w:r w:rsidRPr="00004B26">
        <w:t>, C</w:t>
      </w:r>
      <w:r w:rsidR="008D2C4A" w:rsidRPr="00004B26">
        <w:t>QLR, c.</w:t>
      </w:r>
      <w:r w:rsidR="009278C8">
        <w:t xml:space="preserve"> </w:t>
      </w:r>
      <w:r w:rsidR="004B4045" w:rsidRPr="00004B26">
        <w:t>P</w:t>
      </w:r>
      <w:r w:rsidR="009278C8">
        <w:t>-</w:t>
      </w:r>
      <w:r w:rsidR="004B4045" w:rsidRPr="00004B26">
        <w:t>38.0001, r.</w:t>
      </w:r>
      <w:r w:rsidR="009278C8">
        <w:t xml:space="preserve"> </w:t>
      </w:r>
      <w:r w:rsidRPr="00004B26">
        <w:t>1.</w:t>
      </w:r>
    </w:p>
    <w:p w:rsidR="002E6705" w:rsidRPr="00004B26" w:rsidRDefault="002E6705" w:rsidP="004B4045">
      <w:pPr>
        <w:pStyle w:val="SCCNormalDoubleSpacing"/>
        <w:spacing w:after="720" w:line="240" w:lineRule="auto"/>
        <w:rPr>
          <w:b/>
        </w:rPr>
      </w:pPr>
      <w:r w:rsidRPr="00004B26">
        <w:rPr>
          <w:b/>
        </w:rPr>
        <w:t>Authors Cited</w:t>
      </w:r>
    </w:p>
    <w:p w:rsidR="00DD4EAB" w:rsidRPr="00004B26" w:rsidRDefault="00DD4EAB" w:rsidP="004B4045">
      <w:pPr>
        <w:pStyle w:val="SCCNormalDoubleSpacing"/>
        <w:spacing w:after="240" w:line="240" w:lineRule="auto"/>
        <w:ind w:left="547" w:hanging="547"/>
      </w:pPr>
      <w:r w:rsidRPr="00004B26">
        <w:t>Abel, A</w:t>
      </w:r>
      <w:r w:rsidR="00597417" w:rsidRPr="00004B26">
        <w:t>lbert</w:t>
      </w:r>
      <w:r w:rsidR="009278C8">
        <w:t xml:space="preserve"> </w:t>
      </w:r>
      <w:r w:rsidRPr="00004B26">
        <w:t xml:space="preserve">S. “The Neglected Logic of 91 and 92” (1969), 19 </w:t>
      </w:r>
      <w:r w:rsidRPr="00004B26">
        <w:rPr>
          <w:i/>
        </w:rPr>
        <w:t>U.T</w:t>
      </w:r>
      <w:r w:rsidR="00597417" w:rsidRPr="00004B26">
        <w:rPr>
          <w:i/>
        </w:rPr>
        <w:t>.</w:t>
      </w:r>
      <w:r w:rsidRPr="00004B26">
        <w:rPr>
          <w:i/>
        </w:rPr>
        <w:t>L.J.</w:t>
      </w:r>
      <w:r w:rsidRPr="00004B26">
        <w:t xml:space="preserve"> 487.</w:t>
      </w:r>
    </w:p>
    <w:p w:rsidR="00373E1E" w:rsidRPr="00004B26" w:rsidRDefault="00373E1E" w:rsidP="004B4045">
      <w:pPr>
        <w:pStyle w:val="SCCNormalDoubleSpacing"/>
        <w:spacing w:after="240" w:line="240" w:lineRule="auto"/>
        <w:ind w:left="547" w:hanging="547"/>
      </w:pPr>
      <w:r w:rsidRPr="00004B26">
        <w:t>Brown, R.</w:t>
      </w:r>
      <w:r w:rsidR="009278C8">
        <w:t xml:space="preserve"> </w:t>
      </w:r>
      <w:r w:rsidRPr="00004B26">
        <w:t xml:space="preserve">Blake. </w:t>
      </w:r>
      <w:r w:rsidRPr="00004B26">
        <w:rPr>
          <w:i/>
        </w:rPr>
        <w:t>Arming and Disarming: A History of Gun Control in Canada</w:t>
      </w:r>
      <w:r w:rsidRPr="00004B26">
        <w:t>. Toronto: University of Toronto Press, 2012.</w:t>
      </w:r>
    </w:p>
    <w:p w:rsidR="00DD4EAB" w:rsidRPr="00004B26" w:rsidRDefault="00DD4EAB" w:rsidP="004B4045">
      <w:pPr>
        <w:pStyle w:val="SCCNormalDoubleSpacing"/>
        <w:spacing w:after="240" w:line="240" w:lineRule="auto"/>
        <w:ind w:left="547" w:hanging="547"/>
        <w:rPr>
          <w:lang w:val="fr-CA"/>
        </w:rPr>
      </w:pPr>
      <w:r w:rsidRPr="00E209FC">
        <w:rPr>
          <w:lang w:val="en-US"/>
        </w:rPr>
        <w:t xml:space="preserve">Brun, </w:t>
      </w:r>
      <w:r w:rsidR="00597417" w:rsidRPr="00E209FC">
        <w:rPr>
          <w:lang w:val="en-US"/>
        </w:rPr>
        <w:t xml:space="preserve">Henri, </w:t>
      </w:r>
      <w:r w:rsidRPr="00E209FC">
        <w:rPr>
          <w:lang w:val="en-US"/>
        </w:rPr>
        <w:t>G</w:t>
      </w:r>
      <w:r w:rsidR="00597417" w:rsidRPr="00E209FC">
        <w:rPr>
          <w:lang w:val="en-US"/>
        </w:rPr>
        <w:t>uy</w:t>
      </w:r>
      <w:r w:rsidRPr="00E209FC">
        <w:rPr>
          <w:lang w:val="en-US"/>
        </w:rPr>
        <w:t xml:space="preserve"> Tremblay </w:t>
      </w:r>
      <w:proofErr w:type="gramStart"/>
      <w:r w:rsidR="00597417" w:rsidRPr="00E209FC">
        <w:rPr>
          <w:lang w:val="en-US"/>
        </w:rPr>
        <w:t>et</w:t>
      </w:r>
      <w:proofErr w:type="gramEnd"/>
      <w:r w:rsidRPr="00E209FC">
        <w:rPr>
          <w:lang w:val="en-US"/>
        </w:rPr>
        <w:t xml:space="preserve"> E</w:t>
      </w:r>
      <w:r w:rsidR="00597417" w:rsidRPr="00E209FC">
        <w:rPr>
          <w:lang w:val="en-US"/>
        </w:rPr>
        <w:t>ugénie</w:t>
      </w:r>
      <w:r w:rsidRPr="00E209FC">
        <w:rPr>
          <w:lang w:val="en-US"/>
        </w:rPr>
        <w:t xml:space="preserve"> Brouillet</w:t>
      </w:r>
      <w:r w:rsidR="00597417" w:rsidRPr="00E209FC">
        <w:rPr>
          <w:lang w:val="en-US"/>
        </w:rPr>
        <w:t>.</w:t>
      </w:r>
      <w:r w:rsidRPr="00E209FC">
        <w:rPr>
          <w:lang w:val="en-US"/>
        </w:rPr>
        <w:t xml:space="preserve"> </w:t>
      </w:r>
      <w:r w:rsidRPr="00004B26">
        <w:rPr>
          <w:i/>
          <w:lang w:val="fr-CA"/>
        </w:rPr>
        <w:t>Droit constitutionnel</w:t>
      </w:r>
      <w:r w:rsidR="00597417" w:rsidRPr="00004B26">
        <w:rPr>
          <w:lang w:val="fr-CA"/>
        </w:rPr>
        <w:t>,</w:t>
      </w:r>
      <w:r w:rsidRPr="00004B26">
        <w:rPr>
          <w:lang w:val="fr-CA"/>
        </w:rPr>
        <w:t xml:space="preserve"> 6</w:t>
      </w:r>
      <w:r w:rsidRPr="00004B26">
        <w:rPr>
          <w:vertAlign w:val="superscript"/>
          <w:lang w:val="fr-CA"/>
        </w:rPr>
        <w:t>e</w:t>
      </w:r>
      <w:r w:rsidR="009278C8">
        <w:rPr>
          <w:lang w:val="fr-CA"/>
        </w:rPr>
        <w:t xml:space="preserve"> </w:t>
      </w:r>
      <w:r w:rsidRPr="00004B26">
        <w:rPr>
          <w:lang w:val="fr-CA"/>
        </w:rPr>
        <w:t>éd.</w:t>
      </w:r>
      <w:r w:rsidR="00597417" w:rsidRPr="00004B26">
        <w:rPr>
          <w:lang w:val="fr-CA"/>
        </w:rPr>
        <w:t xml:space="preserve"> Cowansville, Qué.: Yvon Blais, 2014</w:t>
      </w:r>
      <w:r w:rsidRPr="00004B26">
        <w:rPr>
          <w:lang w:val="fr-CA"/>
        </w:rPr>
        <w:t>.</w:t>
      </w:r>
    </w:p>
    <w:p w:rsidR="001A4921" w:rsidRPr="00004B26" w:rsidRDefault="001A4921" w:rsidP="004B4045">
      <w:pPr>
        <w:pStyle w:val="SCCNormalDoubleSpacing"/>
        <w:spacing w:after="240" w:line="240" w:lineRule="auto"/>
        <w:ind w:left="547" w:hanging="547"/>
      </w:pPr>
      <w:r w:rsidRPr="00004B26">
        <w:t xml:space="preserve">Canada. House of Commons. </w:t>
      </w:r>
      <w:r w:rsidRPr="00004B26">
        <w:rPr>
          <w:i/>
        </w:rPr>
        <w:t>Evidence of the Standing Committee on Public Safety and National Security</w:t>
      </w:r>
      <w:r w:rsidRPr="00004B26">
        <w:t xml:space="preserve">, </w:t>
      </w:r>
      <w:r w:rsidR="00B927C2" w:rsidRPr="00004B26">
        <w:t>No.</w:t>
      </w:r>
      <w:r w:rsidR="009278C8">
        <w:t xml:space="preserve"> </w:t>
      </w:r>
      <w:r w:rsidR="00E6428A">
        <w:t>012, 1st</w:t>
      </w:r>
      <w:r w:rsidR="009278C8">
        <w:t xml:space="preserve"> </w:t>
      </w:r>
      <w:r w:rsidRPr="00004B26">
        <w:t>Sess., 41st Parl., November</w:t>
      </w:r>
      <w:r w:rsidR="009278C8">
        <w:t xml:space="preserve"> </w:t>
      </w:r>
      <w:r w:rsidRPr="00004B26">
        <w:t xml:space="preserve">17, 2011, </w:t>
      </w:r>
      <w:r w:rsidR="00B927C2" w:rsidRPr="00004B26">
        <w:t>pp.</w:t>
      </w:r>
      <w:r w:rsidR="009278C8">
        <w:t xml:space="preserve"> </w:t>
      </w:r>
      <w:r w:rsidRPr="00004B26">
        <w:t>1</w:t>
      </w:r>
      <w:r w:rsidR="009278C8">
        <w:t>-</w:t>
      </w:r>
      <w:r w:rsidRPr="00004B26">
        <w:t>2.</w:t>
      </w:r>
    </w:p>
    <w:p w:rsidR="00746F3B" w:rsidRPr="00004B26" w:rsidRDefault="00746F3B" w:rsidP="004B4045">
      <w:pPr>
        <w:pStyle w:val="SCCNormalDoubleSpacing"/>
        <w:spacing w:after="240" w:line="240" w:lineRule="auto"/>
        <w:ind w:left="547" w:hanging="547"/>
      </w:pPr>
      <w:r w:rsidRPr="00004B26">
        <w:t xml:space="preserve">Canada. </w:t>
      </w:r>
      <w:r w:rsidR="00C75AC8" w:rsidRPr="00004B26">
        <w:t>House of Commons</w:t>
      </w:r>
      <w:r w:rsidRPr="00004B26">
        <w:t xml:space="preserve">. </w:t>
      </w:r>
      <w:r w:rsidR="00C75AC8" w:rsidRPr="00004B26">
        <w:rPr>
          <w:i/>
        </w:rPr>
        <w:t>House of Commons Debates</w:t>
      </w:r>
      <w:r w:rsidRPr="00004B26">
        <w:t xml:space="preserve">, </w:t>
      </w:r>
      <w:r w:rsidR="00B927C2" w:rsidRPr="00004B26">
        <w:t>vol.</w:t>
      </w:r>
      <w:r w:rsidR="009278C8">
        <w:t xml:space="preserve"> </w:t>
      </w:r>
      <w:r w:rsidRPr="00004B26">
        <w:t xml:space="preserve">133, </w:t>
      </w:r>
      <w:r w:rsidR="00B927C2" w:rsidRPr="00004B26">
        <w:t>No.</w:t>
      </w:r>
      <w:r w:rsidR="009278C8">
        <w:t xml:space="preserve"> </w:t>
      </w:r>
      <w:r w:rsidRPr="00004B26">
        <w:t>134, 1</w:t>
      </w:r>
      <w:r w:rsidR="00C75AC8" w:rsidRPr="00004B26">
        <w:t>st</w:t>
      </w:r>
      <w:r w:rsidR="009278C8">
        <w:t xml:space="preserve"> </w:t>
      </w:r>
      <w:r w:rsidR="00C75AC8" w:rsidRPr="00004B26">
        <w:t>S</w:t>
      </w:r>
      <w:r w:rsidRPr="00004B26">
        <w:t>ess., 35</w:t>
      </w:r>
      <w:r w:rsidR="00C75AC8" w:rsidRPr="00004B26">
        <w:t>th</w:t>
      </w:r>
      <w:r w:rsidRPr="00004B26">
        <w:t xml:space="preserve"> </w:t>
      </w:r>
      <w:r w:rsidR="00C75AC8" w:rsidRPr="00004B26">
        <w:t>Parl</w:t>
      </w:r>
      <w:r w:rsidRPr="00004B26">
        <w:t xml:space="preserve">., </w:t>
      </w:r>
      <w:r w:rsidR="00C75AC8" w:rsidRPr="00004B26">
        <w:t>N</w:t>
      </w:r>
      <w:r w:rsidRPr="00004B26">
        <w:t>ovemb</w:t>
      </w:r>
      <w:r w:rsidR="00C75AC8" w:rsidRPr="00004B26">
        <w:t>e</w:t>
      </w:r>
      <w:r w:rsidR="00E6428A">
        <w:t>r</w:t>
      </w:r>
      <w:r w:rsidR="009278C8">
        <w:t xml:space="preserve"> </w:t>
      </w:r>
      <w:r w:rsidR="00C75AC8" w:rsidRPr="00004B26">
        <w:t xml:space="preserve">30, </w:t>
      </w:r>
      <w:r w:rsidRPr="00004B26">
        <w:t xml:space="preserve">1994, </w:t>
      </w:r>
      <w:r w:rsidR="00B927C2" w:rsidRPr="00004B26">
        <w:t>p.</w:t>
      </w:r>
      <w:r w:rsidR="009278C8">
        <w:t xml:space="preserve"> </w:t>
      </w:r>
      <w:r w:rsidRPr="00004B26">
        <w:t>8476.</w:t>
      </w:r>
    </w:p>
    <w:p w:rsidR="00746F3B" w:rsidRPr="00004B26" w:rsidRDefault="00C75AC8" w:rsidP="004B4045">
      <w:pPr>
        <w:pStyle w:val="SCCNormalDoubleSpacing"/>
        <w:spacing w:after="240" w:line="240" w:lineRule="auto"/>
        <w:ind w:left="547" w:hanging="547"/>
      </w:pPr>
      <w:r w:rsidRPr="00004B26">
        <w:t xml:space="preserve">Canada. House of Commons. </w:t>
      </w:r>
      <w:r w:rsidRPr="00004B26">
        <w:rPr>
          <w:i/>
        </w:rPr>
        <w:t>House of Commons Debates</w:t>
      </w:r>
      <w:r w:rsidRPr="00004B26">
        <w:t xml:space="preserve">, </w:t>
      </w:r>
      <w:r w:rsidR="00B927C2" w:rsidRPr="00004B26">
        <w:t>vol.</w:t>
      </w:r>
      <w:r w:rsidR="009278C8">
        <w:t xml:space="preserve"> </w:t>
      </w:r>
      <w:r w:rsidR="00746F3B" w:rsidRPr="00004B26">
        <w:t xml:space="preserve">133, </w:t>
      </w:r>
      <w:r w:rsidR="00B927C2" w:rsidRPr="00004B26">
        <w:t>No.</w:t>
      </w:r>
      <w:r w:rsidR="009278C8">
        <w:t xml:space="preserve"> </w:t>
      </w:r>
      <w:r w:rsidR="00746F3B" w:rsidRPr="00004B26">
        <w:t xml:space="preserve">154, </w:t>
      </w:r>
      <w:r w:rsidR="00E6428A">
        <w:t>1st</w:t>
      </w:r>
      <w:r w:rsidR="009278C8">
        <w:t xml:space="preserve"> </w:t>
      </w:r>
      <w:r w:rsidRPr="00004B26">
        <w:t xml:space="preserve">Sess., 35th Parl., </w:t>
      </w:r>
      <w:r w:rsidR="001A4921" w:rsidRPr="00004B26">
        <w:t>February</w:t>
      </w:r>
      <w:r w:rsidR="009278C8">
        <w:t xml:space="preserve"> </w:t>
      </w:r>
      <w:r w:rsidR="001A4921" w:rsidRPr="00004B26">
        <w:t xml:space="preserve">16, </w:t>
      </w:r>
      <w:r w:rsidR="00746F3B" w:rsidRPr="00004B26">
        <w:t xml:space="preserve">1995, </w:t>
      </w:r>
      <w:r w:rsidR="00B927C2" w:rsidRPr="00004B26">
        <w:t>p.</w:t>
      </w:r>
      <w:r w:rsidR="009278C8">
        <w:t xml:space="preserve"> </w:t>
      </w:r>
      <w:r w:rsidR="00746F3B" w:rsidRPr="00004B26">
        <w:t>9709.</w:t>
      </w:r>
    </w:p>
    <w:p w:rsidR="00746F3B" w:rsidRPr="00004B26" w:rsidRDefault="00C75AC8" w:rsidP="004B4045">
      <w:pPr>
        <w:pStyle w:val="SCCNormalDoubleSpacing"/>
        <w:spacing w:after="240" w:line="240" w:lineRule="auto"/>
        <w:ind w:left="547" w:hanging="547"/>
      </w:pPr>
      <w:r w:rsidRPr="00004B26">
        <w:t xml:space="preserve">Canada. House of Commons. </w:t>
      </w:r>
      <w:r w:rsidRPr="00004B26">
        <w:rPr>
          <w:i/>
        </w:rPr>
        <w:t>House of Commons Debates</w:t>
      </w:r>
      <w:r w:rsidRPr="00004B26">
        <w:t xml:space="preserve">, </w:t>
      </w:r>
      <w:r w:rsidR="00B927C2" w:rsidRPr="00004B26">
        <w:t>vol.</w:t>
      </w:r>
      <w:r w:rsidR="009278C8">
        <w:t xml:space="preserve"> </w:t>
      </w:r>
      <w:r w:rsidR="00746F3B" w:rsidRPr="00004B26">
        <w:t xml:space="preserve">133, </w:t>
      </w:r>
      <w:r w:rsidR="00B927C2" w:rsidRPr="00004B26">
        <w:t>No.</w:t>
      </w:r>
      <w:r w:rsidR="009278C8">
        <w:t xml:space="preserve"> </w:t>
      </w:r>
      <w:r w:rsidR="00746F3B" w:rsidRPr="00004B26">
        <w:t xml:space="preserve">216, </w:t>
      </w:r>
      <w:r w:rsidR="00E6428A">
        <w:t>1st</w:t>
      </w:r>
      <w:r w:rsidR="009278C8">
        <w:t xml:space="preserve"> </w:t>
      </w:r>
      <w:r w:rsidRPr="00004B26">
        <w:t xml:space="preserve">Sess., 35th Parl., </w:t>
      </w:r>
      <w:r w:rsidR="001A4921" w:rsidRPr="00004B26">
        <w:t>June</w:t>
      </w:r>
      <w:r w:rsidR="009278C8">
        <w:t xml:space="preserve"> </w:t>
      </w:r>
      <w:r w:rsidR="001A4921" w:rsidRPr="00004B26">
        <w:t xml:space="preserve">12, </w:t>
      </w:r>
      <w:r w:rsidR="00746F3B" w:rsidRPr="00004B26">
        <w:t xml:space="preserve">1995, </w:t>
      </w:r>
      <w:r w:rsidR="00B927C2" w:rsidRPr="00004B26">
        <w:t>p.</w:t>
      </w:r>
      <w:r w:rsidR="009278C8">
        <w:t xml:space="preserve"> </w:t>
      </w:r>
      <w:r w:rsidR="00746F3B" w:rsidRPr="00004B26">
        <w:t>13631.</w:t>
      </w:r>
    </w:p>
    <w:p w:rsidR="00A95E6E" w:rsidRPr="00004B26" w:rsidRDefault="00A95E6E" w:rsidP="004B4045">
      <w:pPr>
        <w:pStyle w:val="SCCNormalDoubleSpacing"/>
        <w:spacing w:after="240" w:line="240" w:lineRule="auto"/>
        <w:ind w:left="547" w:hanging="547"/>
      </w:pPr>
      <w:r w:rsidRPr="00004B26">
        <w:t xml:space="preserve">Canada. House of Commons. </w:t>
      </w:r>
      <w:r w:rsidRPr="00004B26">
        <w:rPr>
          <w:i/>
        </w:rPr>
        <w:t>House of Commons Debates</w:t>
      </w:r>
      <w:r w:rsidRPr="00004B26">
        <w:t xml:space="preserve">, </w:t>
      </w:r>
      <w:r w:rsidR="00B927C2" w:rsidRPr="00004B26">
        <w:t>vol.</w:t>
      </w:r>
      <w:r w:rsidR="009278C8">
        <w:t xml:space="preserve"> </w:t>
      </w:r>
      <w:r w:rsidRPr="00004B26">
        <w:t xml:space="preserve">146, </w:t>
      </w:r>
      <w:r w:rsidR="00B927C2" w:rsidRPr="00004B26">
        <w:t>No.</w:t>
      </w:r>
      <w:r w:rsidR="009278C8">
        <w:t xml:space="preserve"> </w:t>
      </w:r>
      <w:r w:rsidRPr="00004B26">
        <w:t>036</w:t>
      </w:r>
      <w:r w:rsidR="00E6428A">
        <w:t>, 1st</w:t>
      </w:r>
      <w:r w:rsidR="009278C8">
        <w:t xml:space="preserve"> </w:t>
      </w:r>
      <w:r w:rsidRPr="00004B26">
        <w:t xml:space="preserve">Sess., 41st Parl., </w:t>
      </w:r>
      <w:r w:rsidR="00E6428A">
        <w:t>October</w:t>
      </w:r>
      <w:r w:rsidR="009278C8">
        <w:t xml:space="preserve"> </w:t>
      </w:r>
      <w:r w:rsidRPr="00004B26">
        <w:t xml:space="preserve">25, 2011, </w:t>
      </w:r>
      <w:r w:rsidR="00B927C2" w:rsidRPr="00004B26">
        <w:t>p.</w:t>
      </w:r>
      <w:r w:rsidR="009278C8">
        <w:t xml:space="preserve"> </w:t>
      </w:r>
      <w:r w:rsidRPr="00004B26">
        <w:t>2437.</w:t>
      </w:r>
    </w:p>
    <w:p w:rsidR="00C75AC8" w:rsidRPr="00004B26" w:rsidRDefault="00C75AC8" w:rsidP="004B4045">
      <w:pPr>
        <w:pStyle w:val="SCCNormalDoubleSpacing"/>
        <w:spacing w:after="240" w:line="240" w:lineRule="auto"/>
        <w:ind w:left="547" w:hanging="547"/>
      </w:pPr>
      <w:r w:rsidRPr="00004B26">
        <w:t xml:space="preserve">Canada. House of Commons. </w:t>
      </w:r>
      <w:r w:rsidRPr="00004B26">
        <w:rPr>
          <w:i/>
        </w:rPr>
        <w:t>House of Commons Debates</w:t>
      </w:r>
      <w:r w:rsidRPr="00004B26">
        <w:t xml:space="preserve">, </w:t>
      </w:r>
      <w:r w:rsidR="00B927C2" w:rsidRPr="00004B26">
        <w:t>vol.</w:t>
      </w:r>
      <w:r w:rsidR="009278C8">
        <w:t xml:space="preserve"> </w:t>
      </w:r>
      <w:r w:rsidRPr="00004B26">
        <w:t xml:space="preserve">146, </w:t>
      </w:r>
      <w:r w:rsidR="00B927C2" w:rsidRPr="00004B26">
        <w:t>No.</w:t>
      </w:r>
      <w:r w:rsidR="009278C8">
        <w:t xml:space="preserve"> </w:t>
      </w:r>
      <w:r w:rsidR="00E6428A">
        <w:t>041, 1st</w:t>
      </w:r>
      <w:r w:rsidR="009278C8">
        <w:t xml:space="preserve"> </w:t>
      </w:r>
      <w:r w:rsidRPr="00004B26">
        <w:t xml:space="preserve">Sess., 41st Parl., </w:t>
      </w:r>
      <w:r w:rsidR="001A4921" w:rsidRPr="00004B26">
        <w:t>N</w:t>
      </w:r>
      <w:r w:rsidRPr="00004B26">
        <w:t>ovemb</w:t>
      </w:r>
      <w:r w:rsidR="001A4921" w:rsidRPr="00004B26">
        <w:t>e</w:t>
      </w:r>
      <w:r w:rsidRPr="00004B26">
        <w:t>r</w:t>
      </w:r>
      <w:r w:rsidR="009278C8">
        <w:t xml:space="preserve"> </w:t>
      </w:r>
      <w:r w:rsidR="001A4921" w:rsidRPr="00004B26">
        <w:t>1,</w:t>
      </w:r>
      <w:r w:rsidRPr="00004B26">
        <w:t xml:space="preserve"> 2011, </w:t>
      </w:r>
      <w:r w:rsidR="00B927C2" w:rsidRPr="00004B26">
        <w:t>pp.</w:t>
      </w:r>
      <w:r w:rsidR="009278C8">
        <w:t xml:space="preserve"> </w:t>
      </w:r>
      <w:r w:rsidRPr="00004B26">
        <w:t>2779, 2780, 2799.</w:t>
      </w:r>
    </w:p>
    <w:p w:rsidR="00A350F1" w:rsidRPr="00004B26" w:rsidRDefault="00A350F1" w:rsidP="004B4045">
      <w:pPr>
        <w:pStyle w:val="SCCNormalDoubleSpacing"/>
        <w:spacing w:after="240" w:line="240" w:lineRule="auto"/>
        <w:ind w:left="547" w:hanging="547"/>
      </w:pPr>
      <w:r w:rsidRPr="00004B26">
        <w:t>Canada. Library of Parliament. Parliamentary Information and Research Service. “Bill C</w:t>
      </w:r>
      <w:r w:rsidR="009278C8">
        <w:t>-</w:t>
      </w:r>
      <w:r w:rsidRPr="00004B26">
        <w:t xml:space="preserve">19: </w:t>
      </w:r>
      <w:r w:rsidRPr="00004B26">
        <w:rPr>
          <w:i/>
        </w:rPr>
        <w:t>An Act to amend the Criminal Code and the Firearms Act</w:t>
      </w:r>
      <w:r w:rsidRPr="00004B26">
        <w:t xml:space="preserve">”, Legislative Summary </w:t>
      </w:r>
      <w:r w:rsidR="00B927C2" w:rsidRPr="00004B26">
        <w:t>No.</w:t>
      </w:r>
      <w:r w:rsidR="009278C8">
        <w:t xml:space="preserve"> </w:t>
      </w:r>
      <w:r w:rsidRPr="00004B26">
        <w:t>41</w:t>
      </w:r>
      <w:r w:rsidR="009278C8">
        <w:t>-</w:t>
      </w:r>
      <w:r w:rsidRPr="00004B26">
        <w:t>1</w:t>
      </w:r>
      <w:r w:rsidR="009278C8">
        <w:t>-</w:t>
      </w:r>
      <w:r w:rsidRPr="00004B26">
        <w:t>C19</w:t>
      </w:r>
      <w:r w:rsidR="009278C8">
        <w:t>-</w:t>
      </w:r>
      <w:r w:rsidRPr="00004B26">
        <w:t>E, by Tanya Dupuis, Cynthia Kirkby and Robin MacKay, Legal and Legislative Affairs Division, November 1, 2011.</w:t>
      </w:r>
    </w:p>
    <w:p w:rsidR="00A4379B" w:rsidRPr="00004B26" w:rsidRDefault="00A4379B" w:rsidP="004B4045">
      <w:pPr>
        <w:pStyle w:val="SCCNormalDoubleSpacing"/>
        <w:spacing w:after="240" w:line="240" w:lineRule="auto"/>
        <w:ind w:left="547" w:hanging="547"/>
      </w:pPr>
      <w:r w:rsidRPr="00004B26">
        <w:t xml:space="preserve">Canada. Office of the Privacy Commissioner. </w:t>
      </w:r>
      <w:r w:rsidRPr="00004B26">
        <w:rPr>
          <w:i/>
        </w:rPr>
        <w:t>Review of the Personal Information Handling Practices of the Canadian Firearms Program</w:t>
      </w:r>
      <w:r w:rsidR="008D2C4A" w:rsidRPr="00004B26">
        <w:t xml:space="preserve">, Final Report, </w:t>
      </w:r>
      <w:proofErr w:type="gramStart"/>
      <w:r w:rsidR="008D2C4A" w:rsidRPr="00004B26">
        <w:t>August</w:t>
      </w:r>
      <w:proofErr w:type="gramEnd"/>
      <w:r w:rsidR="009278C8">
        <w:t xml:space="preserve"> </w:t>
      </w:r>
      <w:r w:rsidRPr="00004B26">
        <w:lastRenderedPageBreak/>
        <w:t>29, 2001</w:t>
      </w:r>
      <w:r w:rsidR="001B525E" w:rsidRPr="00004B26">
        <w:t xml:space="preserve"> (online: http://publications.gc.ca/collections/Collection/IP34</w:t>
      </w:r>
      <w:r w:rsidR="0059711A" w:rsidRPr="00004B26">
        <w:t>-</w:t>
      </w:r>
      <w:r w:rsidR="001B525E" w:rsidRPr="00004B26">
        <w:t>8</w:t>
      </w:r>
      <w:r w:rsidR="0059711A" w:rsidRPr="00004B26">
        <w:t>-</w:t>
      </w:r>
      <w:r w:rsidR="001B525E" w:rsidRPr="00004B26">
        <w:t>2001E.pdf)</w:t>
      </w:r>
      <w:r w:rsidRPr="00004B26">
        <w:t>.</w:t>
      </w:r>
    </w:p>
    <w:p w:rsidR="00C75AC8" w:rsidRPr="00004B26" w:rsidRDefault="00C75AC8" w:rsidP="004B4045">
      <w:pPr>
        <w:pStyle w:val="SCCNormalDoubleSpacing"/>
        <w:spacing w:after="240" w:line="240" w:lineRule="auto"/>
        <w:ind w:left="547" w:hanging="547"/>
        <w:rPr>
          <w:lang w:val="fr-CA"/>
        </w:rPr>
      </w:pPr>
      <w:r w:rsidRPr="00004B26">
        <w:rPr>
          <w:lang w:val="fr-CA"/>
        </w:rPr>
        <w:t xml:space="preserve">Canada/Québec. </w:t>
      </w:r>
      <w:r w:rsidRPr="00004B26">
        <w:rPr>
          <w:i/>
          <w:lang w:val="fr-CA"/>
        </w:rPr>
        <w:t>Accord financier Canada</w:t>
      </w:r>
      <w:r w:rsidR="009278C8">
        <w:rPr>
          <w:i/>
          <w:lang w:val="fr-CA"/>
        </w:rPr>
        <w:t>-</w:t>
      </w:r>
      <w:r w:rsidRPr="00004B26">
        <w:rPr>
          <w:i/>
          <w:lang w:val="fr-CA"/>
        </w:rPr>
        <w:t>Québec relatif à l’administration de la Loi sur les armes à feu</w:t>
      </w:r>
      <w:r w:rsidRPr="00004B26">
        <w:rPr>
          <w:lang w:val="fr-CA"/>
        </w:rPr>
        <w:t>, 1</w:t>
      </w:r>
      <w:r w:rsidRPr="00004B26">
        <w:rPr>
          <w:vertAlign w:val="superscript"/>
          <w:lang w:val="fr-CA"/>
        </w:rPr>
        <w:t>er</w:t>
      </w:r>
      <w:r w:rsidR="009278C8">
        <w:rPr>
          <w:lang w:val="fr-CA"/>
        </w:rPr>
        <w:t xml:space="preserve"> </w:t>
      </w:r>
      <w:r w:rsidR="008D2C4A" w:rsidRPr="00004B26">
        <w:rPr>
          <w:lang w:val="fr-CA"/>
        </w:rPr>
        <w:t>avril 2006 au 31</w:t>
      </w:r>
      <w:r w:rsidR="009278C8">
        <w:rPr>
          <w:lang w:val="fr-CA"/>
        </w:rPr>
        <w:t xml:space="preserve"> </w:t>
      </w:r>
      <w:r w:rsidRPr="00004B26">
        <w:rPr>
          <w:lang w:val="fr-CA"/>
        </w:rPr>
        <w:t>mars 2010, entente n</w:t>
      </w:r>
      <w:r w:rsidRPr="00004B26">
        <w:rPr>
          <w:vertAlign w:val="superscript"/>
          <w:lang w:val="fr-CA"/>
        </w:rPr>
        <w:t>o</w:t>
      </w:r>
      <w:r w:rsidR="009278C8">
        <w:rPr>
          <w:lang w:val="fr-CA"/>
        </w:rPr>
        <w:t xml:space="preserve"> </w:t>
      </w:r>
      <w:r w:rsidRPr="00004B26">
        <w:rPr>
          <w:lang w:val="fr-CA"/>
        </w:rPr>
        <w:t>2012</w:t>
      </w:r>
      <w:r w:rsidR="009278C8">
        <w:rPr>
          <w:lang w:val="fr-CA"/>
        </w:rPr>
        <w:t>-</w:t>
      </w:r>
      <w:r w:rsidRPr="00004B26">
        <w:rPr>
          <w:lang w:val="fr-CA"/>
        </w:rPr>
        <w:t>004.</w:t>
      </w:r>
    </w:p>
    <w:p w:rsidR="00373E1E" w:rsidRPr="00004B26" w:rsidRDefault="00373E1E" w:rsidP="004B4045">
      <w:pPr>
        <w:pStyle w:val="SCCNormalDoubleSpacing"/>
        <w:spacing w:after="240" w:line="240" w:lineRule="auto"/>
        <w:ind w:left="547" w:hanging="547"/>
      </w:pPr>
      <w:r w:rsidRPr="00004B26">
        <w:t>Daly, Paul. “Dismantling Regulatory Structures: Canada’s Long</w:t>
      </w:r>
      <w:r w:rsidR="009278C8">
        <w:t>-</w:t>
      </w:r>
      <w:r w:rsidRPr="00004B26">
        <w:t xml:space="preserve">Gun Registry as Case Study” (2014), 33 </w:t>
      </w:r>
      <w:r w:rsidRPr="00004B26">
        <w:rPr>
          <w:i/>
        </w:rPr>
        <w:t>N.J.C.L.</w:t>
      </w:r>
      <w:r w:rsidRPr="00004B26">
        <w:t xml:space="preserve"> 169.</w:t>
      </w:r>
    </w:p>
    <w:p w:rsidR="00373E1E" w:rsidRPr="00004B26" w:rsidRDefault="00373E1E" w:rsidP="004B4045">
      <w:pPr>
        <w:pStyle w:val="SCCNormalDoubleSpacing"/>
        <w:spacing w:after="240" w:line="240" w:lineRule="auto"/>
        <w:ind w:left="547" w:hanging="547"/>
      </w:pPr>
      <w:r w:rsidRPr="00004B26">
        <w:t>Hogg, Peter</w:t>
      </w:r>
      <w:r w:rsidR="009278C8">
        <w:t xml:space="preserve"> </w:t>
      </w:r>
      <w:r w:rsidRPr="00004B26">
        <w:t xml:space="preserve">W. </w:t>
      </w:r>
      <w:r w:rsidRPr="00004B26">
        <w:rPr>
          <w:i/>
        </w:rPr>
        <w:t>Constitutional Law of Canada</w:t>
      </w:r>
      <w:r w:rsidRPr="00004B26">
        <w:t>, 5th ed. Su</w:t>
      </w:r>
      <w:r w:rsidR="00B927C2" w:rsidRPr="00004B26">
        <w:t>pp.</w:t>
      </w:r>
      <w:r w:rsidR="009278C8">
        <w:t xml:space="preserve"> </w:t>
      </w:r>
      <w:r w:rsidRPr="00004B26">
        <w:t>Toronto: Carswell, 2007 (updated 2014, release 1).</w:t>
      </w:r>
    </w:p>
    <w:p w:rsidR="00B6473D" w:rsidRPr="00004B26" w:rsidRDefault="00597417" w:rsidP="004B4045">
      <w:pPr>
        <w:pStyle w:val="SCCNormalDoubleSpacing"/>
        <w:spacing w:after="240" w:line="240" w:lineRule="auto"/>
        <w:ind w:left="547" w:hanging="547"/>
        <w:rPr>
          <w:lang w:val="fr-CA"/>
        </w:rPr>
      </w:pPr>
      <w:r w:rsidRPr="00004B26">
        <w:rPr>
          <w:lang w:val="en-US"/>
        </w:rPr>
        <w:t>Lederman, W.</w:t>
      </w:r>
      <w:r w:rsidR="009278C8">
        <w:rPr>
          <w:lang w:val="en-US"/>
        </w:rPr>
        <w:t xml:space="preserve"> </w:t>
      </w:r>
      <w:r w:rsidRPr="00004B26">
        <w:rPr>
          <w:lang w:val="en-US"/>
        </w:rPr>
        <w:t xml:space="preserve">R. </w:t>
      </w:r>
      <w:r w:rsidR="00B6473D" w:rsidRPr="00004B26">
        <w:rPr>
          <w:lang w:val="en-US"/>
        </w:rPr>
        <w:t>“Some Forms and Limitations of Co</w:t>
      </w:r>
      <w:r w:rsidR="009278C8">
        <w:rPr>
          <w:lang w:val="en-US"/>
        </w:rPr>
        <w:t>-</w:t>
      </w:r>
      <w:r w:rsidR="00B6473D" w:rsidRPr="00004B26">
        <w:rPr>
          <w:lang w:val="en-US"/>
        </w:rPr>
        <w:t>Operative Federalism”</w:t>
      </w:r>
      <w:r w:rsidRPr="00004B26">
        <w:rPr>
          <w:lang w:val="en-US"/>
        </w:rPr>
        <w:t>,</w:t>
      </w:r>
      <w:r w:rsidR="00B6473D" w:rsidRPr="00004B26">
        <w:rPr>
          <w:lang w:val="en-US"/>
        </w:rPr>
        <w:t xml:space="preserve"> in </w:t>
      </w:r>
      <w:r w:rsidR="00B6473D" w:rsidRPr="00004B26">
        <w:rPr>
          <w:i/>
          <w:lang w:val="en-US"/>
        </w:rPr>
        <w:t>Continuing Canadian Constitution</w:t>
      </w:r>
      <w:r w:rsidRPr="00004B26">
        <w:rPr>
          <w:i/>
          <w:lang w:val="en-US"/>
        </w:rPr>
        <w:t>al Dilemmas</w:t>
      </w:r>
      <w:r w:rsidRPr="00004B26">
        <w:rPr>
          <w:lang w:val="en-US"/>
        </w:rPr>
        <w:t xml:space="preserve">. </w:t>
      </w:r>
      <w:r w:rsidRPr="00004B26">
        <w:rPr>
          <w:lang w:val="fr-CA"/>
        </w:rPr>
        <w:t>Toronto: Butterworths, 1981, 314</w:t>
      </w:r>
      <w:r w:rsidR="00B6473D" w:rsidRPr="00004B26">
        <w:rPr>
          <w:lang w:val="fr-CA"/>
        </w:rPr>
        <w:t>.</w:t>
      </w:r>
    </w:p>
    <w:p w:rsidR="00C75AC8" w:rsidRPr="00004B26" w:rsidRDefault="00C75AC8" w:rsidP="004B4045">
      <w:pPr>
        <w:pStyle w:val="SCCNormalDoubleSpacing"/>
        <w:spacing w:after="240" w:line="240" w:lineRule="auto"/>
        <w:ind w:left="547" w:hanging="547"/>
        <w:rPr>
          <w:lang w:val="fr-CA"/>
        </w:rPr>
      </w:pPr>
      <w:r w:rsidRPr="00004B26">
        <w:rPr>
          <w:lang w:val="fr-CA"/>
        </w:rPr>
        <w:t xml:space="preserve">Québec. Assemblée nationale. </w:t>
      </w:r>
      <w:r w:rsidRPr="00004B26">
        <w:rPr>
          <w:i/>
          <w:lang w:val="fr-CA"/>
        </w:rPr>
        <w:t>Journal des débats</w:t>
      </w:r>
      <w:r w:rsidRPr="00004B26">
        <w:rPr>
          <w:lang w:val="fr-CA"/>
        </w:rPr>
        <w:t xml:space="preserve">, </w:t>
      </w:r>
      <w:r w:rsidR="00B927C2" w:rsidRPr="00004B26">
        <w:rPr>
          <w:lang w:val="fr-CA"/>
        </w:rPr>
        <w:t>vol.</w:t>
      </w:r>
      <w:r w:rsidR="009278C8">
        <w:rPr>
          <w:lang w:val="fr-CA"/>
        </w:rPr>
        <w:t xml:space="preserve"> </w:t>
      </w:r>
      <w:r w:rsidRPr="00004B26">
        <w:rPr>
          <w:lang w:val="fr-CA"/>
        </w:rPr>
        <w:t>34, n</w:t>
      </w:r>
      <w:r w:rsidRPr="00004B26">
        <w:rPr>
          <w:vertAlign w:val="superscript"/>
          <w:lang w:val="fr-CA"/>
        </w:rPr>
        <w:t>o</w:t>
      </w:r>
      <w:r w:rsidR="009278C8">
        <w:rPr>
          <w:lang w:val="fr-CA"/>
        </w:rPr>
        <w:t xml:space="preserve"> </w:t>
      </w:r>
      <w:r w:rsidRPr="00004B26">
        <w:rPr>
          <w:lang w:val="fr-CA"/>
        </w:rPr>
        <w:t>49, 1</w:t>
      </w:r>
      <w:r w:rsidRPr="00004B26">
        <w:rPr>
          <w:vertAlign w:val="superscript"/>
          <w:lang w:val="fr-CA"/>
        </w:rPr>
        <w:t>re</w:t>
      </w:r>
      <w:r w:rsidRPr="00004B26">
        <w:rPr>
          <w:lang w:val="fr-CA"/>
        </w:rPr>
        <w:t xml:space="preserve"> </w:t>
      </w:r>
      <w:proofErr w:type="gramStart"/>
      <w:r w:rsidRPr="00004B26">
        <w:rPr>
          <w:lang w:val="fr-CA"/>
        </w:rPr>
        <w:t>sess.,</w:t>
      </w:r>
      <w:proofErr w:type="gramEnd"/>
      <w:r w:rsidRPr="00004B26">
        <w:rPr>
          <w:lang w:val="fr-CA"/>
        </w:rPr>
        <w:t xml:space="preserve"> 35</w:t>
      </w:r>
      <w:r w:rsidRPr="00004B26">
        <w:rPr>
          <w:vertAlign w:val="superscript"/>
          <w:lang w:val="fr-CA"/>
        </w:rPr>
        <w:t>e</w:t>
      </w:r>
      <w:r w:rsidR="009278C8">
        <w:rPr>
          <w:lang w:val="fr-CA"/>
        </w:rPr>
        <w:t xml:space="preserve"> </w:t>
      </w:r>
      <w:r w:rsidR="008D2C4A" w:rsidRPr="00004B26">
        <w:rPr>
          <w:lang w:val="fr-CA"/>
        </w:rPr>
        <w:t>lég., 23</w:t>
      </w:r>
      <w:r w:rsidR="009278C8">
        <w:rPr>
          <w:lang w:val="fr-CA"/>
        </w:rPr>
        <w:t xml:space="preserve"> </w:t>
      </w:r>
      <w:r w:rsidRPr="00004B26">
        <w:rPr>
          <w:lang w:val="fr-CA"/>
        </w:rPr>
        <w:t>mai 1995 (en ligne), à 14:40.</w:t>
      </w:r>
    </w:p>
    <w:p w:rsidR="00464943" w:rsidRPr="00004B26" w:rsidRDefault="00464943" w:rsidP="004B4045">
      <w:pPr>
        <w:pStyle w:val="SCCNormalDoubleSpacing"/>
        <w:spacing w:after="240" w:line="240" w:lineRule="auto"/>
        <w:ind w:left="547" w:hanging="547"/>
      </w:pPr>
      <w:r w:rsidRPr="00004B26">
        <w:t xml:space="preserve">Quebec. National Assembly. </w:t>
      </w:r>
      <w:r w:rsidRPr="00004B26">
        <w:rPr>
          <w:i/>
        </w:rPr>
        <w:t>Votes and Proceedings</w:t>
      </w:r>
      <w:r w:rsidRPr="00004B26">
        <w:t xml:space="preserve">, </w:t>
      </w:r>
      <w:r w:rsidR="00B927C2" w:rsidRPr="00004B26">
        <w:t>No.</w:t>
      </w:r>
      <w:r w:rsidR="009278C8">
        <w:t xml:space="preserve"> </w:t>
      </w:r>
      <w:r w:rsidR="002E7448" w:rsidRPr="00004B26">
        <w:t>57, 2nd</w:t>
      </w:r>
      <w:r w:rsidR="009278C8">
        <w:t xml:space="preserve"> </w:t>
      </w:r>
      <w:r w:rsidRPr="00004B26">
        <w:t>Ses</w:t>
      </w:r>
      <w:r w:rsidR="008D2C4A" w:rsidRPr="00004B26">
        <w:t>s., 3</w:t>
      </w:r>
      <w:r w:rsidR="002E7448" w:rsidRPr="00004B26">
        <w:t>9</w:t>
      </w:r>
      <w:r w:rsidR="0059711A" w:rsidRPr="00004B26">
        <w:t>th</w:t>
      </w:r>
      <w:r w:rsidR="009278C8">
        <w:t xml:space="preserve"> </w:t>
      </w:r>
      <w:r w:rsidR="008D2C4A" w:rsidRPr="00004B26">
        <w:t xml:space="preserve">Leg., </w:t>
      </w:r>
      <w:r w:rsidR="002E7448" w:rsidRPr="00004B26">
        <w:t>November</w:t>
      </w:r>
      <w:r w:rsidR="009278C8">
        <w:t xml:space="preserve"> </w:t>
      </w:r>
      <w:r w:rsidRPr="00004B26">
        <w:t xml:space="preserve">2, </w:t>
      </w:r>
      <w:r w:rsidR="002E7448" w:rsidRPr="00004B26">
        <w:t>2011</w:t>
      </w:r>
      <w:r w:rsidR="00AC7053" w:rsidRPr="00004B26">
        <w:t xml:space="preserve">, </w:t>
      </w:r>
      <w:r w:rsidR="00B927C2" w:rsidRPr="00004B26">
        <w:t>pp.</w:t>
      </w:r>
      <w:r w:rsidR="009278C8">
        <w:t xml:space="preserve"> </w:t>
      </w:r>
      <w:r w:rsidR="00AC7053" w:rsidRPr="00004B26">
        <w:t>693</w:t>
      </w:r>
      <w:r w:rsidR="009278C8">
        <w:t>-</w:t>
      </w:r>
      <w:r w:rsidR="00AC7053" w:rsidRPr="00004B26">
        <w:t>94</w:t>
      </w:r>
      <w:r w:rsidRPr="00004B26">
        <w:t>.</w:t>
      </w:r>
    </w:p>
    <w:p w:rsidR="002E7448" w:rsidRDefault="002E7448" w:rsidP="002E7448">
      <w:pPr>
        <w:pStyle w:val="SCCNormalDoubleSpacing"/>
        <w:spacing w:after="240" w:line="240" w:lineRule="auto"/>
        <w:ind w:left="547" w:hanging="547"/>
      </w:pPr>
      <w:r w:rsidRPr="00004B26">
        <w:t xml:space="preserve">Quebec. National Assembly. </w:t>
      </w:r>
      <w:r w:rsidRPr="00004B26">
        <w:rPr>
          <w:i/>
        </w:rPr>
        <w:t>Votes and Proceedings</w:t>
      </w:r>
      <w:r w:rsidRPr="00004B26">
        <w:t xml:space="preserve">, </w:t>
      </w:r>
      <w:r w:rsidR="00B927C2" w:rsidRPr="00004B26">
        <w:t>No.</w:t>
      </w:r>
      <w:r w:rsidR="009278C8">
        <w:t xml:space="preserve"> </w:t>
      </w:r>
      <w:r w:rsidR="0059711A" w:rsidRPr="00004B26">
        <w:t>72, 2nd</w:t>
      </w:r>
      <w:r w:rsidR="009278C8">
        <w:t xml:space="preserve"> </w:t>
      </w:r>
      <w:r w:rsidR="0059711A" w:rsidRPr="00004B26">
        <w:t>Sess., 39th</w:t>
      </w:r>
      <w:r w:rsidR="009278C8">
        <w:t xml:space="preserve"> </w:t>
      </w:r>
      <w:r w:rsidRPr="00004B26">
        <w:t>Leg., December</w:t>
      </w:r>
      <w:r w:rsidR="009278C8">
        <w:t xml:space="preserve"> </w:t>
      </w:r>
      <w:r w:rsidRPr="00004B26">
        <w:t>6, 2011</w:t>
      </w:r>
      <w:r w:rsidR="00AC7053" w:rsidRPr="00004B26">
        <w:t xml:space="preserve">, </w:t>
      </w:r>
      <w:r w:rsidR="00B927C2" w:rsidRPr="00004B26">
        <w:t>p.</w:t>
      </w:r>
      <w:r w:rsidR="009278C8">
        <w:t xml:space="preserve"> </w:t>
      </w:r>
      <w:r w:rsidR="00AC7053" w:rsidRPr="00004B26">
        <w:t>848</w:t>
      </w:r>
      <w:r w:rsidRPr="00004B26">
        <w:t>.</w:t>
      </w:r>
    </w:p>
    <w:p w:rsidR="00E423C5" w:rsidRPr="00004B26" w:rsidRDefault="00E423C5" w:rsidP="00E423C5">
      <w:pPr>
        <w:pStyle w:val="SCCNormalDoubleSpacing"/>
        <w:spacing w:after="240" w:line="240" w:lineRule="auto"/>
        <w:ind w:left="547" w:hanging="547"/>
      </w:pPr>
      <w:r w:rsidRPr="00004B26">
        <w:t xml:space="preserve">Royal Canadian Mounted Police. National Program Evaluation Services. </w:t>
      </w:r>
      <w:r w:rsidRPr="00004B26">
        <w:rPr>
          <w:i/>
        </w:rPr>
        <w:t>RCMP Canadian Firearms Program: Program Evaluation</w:t>
      </w:r>
      <w:r w:rsidRPr="00004B26">
        <w:t xml:space="preserve">, Final Approved Report, </w:t>
      </w:r>
      <w:proofErr w:type="gramStart"/>
      <w:r w:rsidRPr="00004B26">
        <w:t>February</w:t>
      </w:r>
      <w:proofErr w:type="gramEnd"/>
      <w:r w:rsidRPr="00004B26">
        <w:t xml:space="preserve"> 2010 (online: http://www.rcmp-grc.gc.ca/pubs/fire-feu-eval/index-eng.htm).</w:t>
      </w:r>
    </w:p>
    <w:p w:rsidR="00C75AC8" w:rsidRPr="00004B26" w:rsidRDefault="00C75AC8" w:rsidP="004B4045">
      <w:pPr>
        <w:pStyle w:val="SCCNormalDoubleSpacing"/>
        <w:spacing w:after="240" w:line="240" w:lineRule="auto"/>
        <w:ind w:left="547" w:hanging="547"/>
      </w:pPr>
      <w:r w:rsidRPr="00004B26">
        <w:t xml:space="preserve">Royal Canadian Mounted Police. </w:t>
      </w:r>
      <w:r w:rsidRPr="00004B26">
        <w:rPr>
          <w:i/>
        </w:rPr>
        <w:t>Report on the Administration of the</w:t>
      </w:r>
      <w:r w:rsidR="00E423C5">
        <w:rPr>
          <w:i/>
        </w:rPr>
        <w:t xml:space="preserve"> Firearms Act to the Solicitor G</w:t>
      </w:r>
      <w:r w:rsidRPr="00004B26">
        <w:rPr>
          <w:i/>
        </w:rPr>
        <w:t>eneral by the Registrar: Canadian Firearms Registry</w:t>
      </w:r>
      <w:r w:rsidRPr="00004B26">
        <w:t>. Ottawa: RCMP, 1999.</w:t>
      </w:r>
    </w:p>
    <w:p w:rsidR="00F9051A" w:rsidRPr="00004B26" w:rsidRDefault="009B57B3" w:rsidP="00896079">
      <w:pPr>
        <w:pStyle w:val="SCCNormalDoubleSpacing"/>
        <w:spacing w:before="480" w:after="480"/>
      </w:pPr>
      <w:r w:rsidRPr="00004B26">
        <w:tab/>
        <w:t xml:space="preserve">APPEAL from a judgment of the </w:t>
      </w:r>
      <w:r w:rsidR="006624D9" w:rsidRPr="00004B26">
        <w:t xml:space="preserve">Quebec Court of Appeal </w:t>
      </w:r>
      <w:r w:rsidRPr="00004B26">
        <w:t>(</w:t>
      </w:r>
      <w:r w:rsidR="00F9051A" w:rsidRPr="00004B26">
        <w:t>Duval Hesler C.J. and Chamberland, Kasirer, St</w:t>
      </w:r>
      <w:r w:rsidR="009278C8">
        <w:t>-</w:t>
      </w:r>
      <w:r w:rsidR="00F9051A" w:rsidRPr="00004B26">
        <w:t>Pierre and Lévesque</w:t>
      </w:r>
      <w:r w:rsidR="009278C8">
        <w:t xml:space="preserve"> </w:t>
      </w:r>
      <w:r w:rsidR="00F9051A" w:rsidRPr="00004B26">
        <w:t>JJ.A.</w:t>
      </w:r>
      <w:r w:rsidR="002C57A9" w:rsidRPr="00004B26">
        <w:t>)</w:t>
      </w:r>
      <w:r w:rsidR="00F9051A" w:rsidRPr="00004B26">
        <w:t xml:space="preserve">, 2013 QCCA 1138, [2013] R.J.Q. 1023, </w:t>
      </w:r>
      <w:r w:rsidR="00C7721A" w:rsidRPr="00004B26">
        <w:t>[2013] AZ</w:t>
      </w:r>
      <w:r w:rsidR="009278C8">
        <w:t>-</w:t>
      </w:r>
      <w:r w:rsidR="00F863CA" w:rsidRPr="00004B26">
        <w:rPr>
          <w:lang w:val="en-US"/>
        </w:rPr>
        <w:t>50965380</w:t>
      </w:r>
      <w:r w:rsidR="00C7721A" w:rsidRPr="00004B26">
        <w:t xml:space="preserve">, </w:t>
      </w:r>
      <w:r w:rsidR="00853FBE" w:rsidRPr="00004B26">
        <w:t xml:space="preserve">[2013] Q.J. </w:t>
      </w:r>
      <w:r w:rsidR="00B927C2" w:rsidRPr="00004B26">
        <w:t>No.</w:t>
      </w:r>
      <w:r w:rsidR="009278C8">
        <w:t xml:space="preserve"> </w:t>
      </w:r>
      <w:r w:rsidR="00853FBE" w:rsidRPr="00004B26">
        <w:t>6676</w:t>
      </w:r>
      <w:r w:rsidR="00F9051A" w:rsidRPr="00004B26">
        <w:t xml:space="preserve"> (QL), 2013 CarswellQue 7597</w:t>
      </w:r>
      <w:r w:rsidR="00C7721A" w:rsidRPr="00004B26">
        <w:t xml:space="preserve"> (WL Can.), </w:t>
      </w:r>
      <w:r w:rsidR="00AE0BC7" w:rsidRPr="00004B26">
        <w:t>setting aside</w:t>
      </w:r>
      <w:r w:rsidR="007D7658" w:rsidRPr="00004B26">
        <w:t xml:space="preserve"> a decision of Blanchard</w:t>
      </w:r>
      <w:r w:rsidR="009278C8">
        <w:t xml:space="preserve"> </w:t>
      </w:r>
      <w:r w:rsidR="007D7658" w:rsidRPr="00004B26">
        <w:t xml:space="preserve">J., </w:t>
      </w:r>
      <w:r w:rsidR="00D00BD9" w:rsidRPr="00004B26">
        <w:rPr>
          <w:lang w:val="en-US"/>
        </w:rPr>
        <w:t xml:space="preserve">2012 QCCS 4202, </w:t>
      </w:r>
      <w:r w:rsidR="007D7658" w:rsidRPr="00004B26">
        <w:t xml:space="preserve">[2012] R.J.Q. 1895, </w:t>
      </w:r>
      <w:r w:rsidR="00C7721A" w:rsidRPr="00004B26">
        <w:t>[2012] AZ</w:t>
      </w:r>
      <w:r w:rsidR="009278C8">
        <w:t>-</w:t>
      </w:r>
      <w:r w:rsidR="00F863CA" w:rsidRPr="00004B26">
        <w:rPr>
          <w:lang w:val="en-US"/>
        </w:rPr>
        <w:t>50892414</w:t>
      </w:r>
      <w:r w:rsidR="00C7721A" w:rsidRPr="00004B26">
        <w:t xml:space="preserve">, </w:t>
      </w:r>
      <w:r w:rsidR="00D00BD9" w:rsidRPr="00004B26">
        <w:rPr>
          <w:lang w:val="en-US"/>
        </w:rPr>
        <w:t xml:space="preserve">[2012] Q.J. </w:t>
      </w:r>
      <w:r w:rsidR="00B927C2" w:rsidRPr="00004B26">
        <w:rPr>
          <w:lang w:val="en-US"/>
        </w:rPr>
        <w:t>No.</w:t>
      </w:r>
      <w:r w:rsidR="009278C8">
        <w:rPr>
          <w:lang w:val="en-US"/>
        </w:rPr>
        <w:t xml:space="preserve"> </w:t>
      </w:r>
      <w:r w:rsidR="00D00BD9" w:rsidRPr="00004B26">
        <w:rPr>
          <w:lang w:val="en-US"/>
        </w:rPr>
        <w:t>8319 (</w:t>
      </w:r>
      <w:r w:rsidR="00C7721A" w:rsidRPr="00004B26">
        <w:t xml:space="preserve">QL), </w:t>
      </w:r>
      <w:r w:rsidR="007D7658" w:rsidRPr="00004B26">
        <w:t>2012 CarswellQue 10074</w:t>
      </w:r>
      <w:r w:rsidR="00C7721A" w:rsidRPr="00004B26">
        <w:t xml:space="preserve"> (WL Can.)</w:t>
      </w:r>
      <w:r w:rsidR="007D7658" w:rsidRPr="00004B26">
        <w:t xml:space="preserve">. Appeal </w:t>
      </w:r>
      <w:r w:rsidR="00A01A93" w:rsidRPr="00004B26">
        <w:t>dismissed</w:t>
      </w:r>
      <w:r w:rsidR="00A81A93" w:rsidRPr="00004B26">
        <w:t>, L</w:t>
      </w:r>
      <w:r w:rsidR="0059711A" w:rsidRPr="00004B26">
        <w:t>eBel, Abella, Wagner and Gascon</w:t>
      </w:r>
      <w:r w:rsidR="009278C8">
        <w:t xml:space="preserve"> </w:t>
      </w:r>
      <w:r w:rsidR="00A81A93" w:rsidRPr="00004B26">
        <w:t xml:space="preserve">JJ. </w:t>
      </w:r>
      <w:proofErr w:type="gramStart"/>
      <w:r w:rsidR="00A81A93" w:rsidRPr="00004B26">
        <w:t>dissenting</w:t>
      </w:r>
      <w:proofErr w:type="gramEnd"/>
      <w:r w:rsidR="007D7658" w:rsidRPr="00004B26">
        <w:t>.</w:t>
      </w:r>
    </w:p>
    <w:p w:rsidR="003B11CD" w:rsidRPr="00004B26" w:rsidRDefault="00D45913" w:rsidP="00896079">
      <w:pPr>
        <w:pStyle w:val="SCCNormalDoubleSpacing"/>
        <w:spacing w:before="480" w:after="480"/>
        <w:outlineLvl w:val="0"/>
      </w:pPr>
      <w:r w:rsidRPr="00004B26">
        <w:rPr>
          <w:rStyle w:val="SCCCounselNameChar"/>
          <w:i w:val="0"/>
        </w:rPr>
        <w:lastRenderedPageBreak/>
        <w:tab/>
      </w:r>
      <w:r w:rsidRPr="00004B26">
        <w:rPr>
          <w:rStyle w:val="SCCCounselNameChar"/>
          <w:lang w:val="en-US"/>
        </w:rPr>
        <w:t>Éric Dufour</w:t>
      </w:r>
      <w:r w:rsidRPr="00004B26">
        <w:rPr>
          <w:rStyle w:val="SCCCounselSeparatorChar"/>
          <w:lang w:val="en-US"/>
        </w:rPr>
        <w:t xml:space="preserve">, </w:t>
      </w:r>
      <w:r w:rsidR="007D21D9" w:rsidRPr="00004B26">
        <w:rPr>
          <w:rStyle w:val="SCCCounselNameChar"/>
          <w:lang w:val="en-US"/>
        </w:rPr>
        <w:t xml:space="preserve">Hugo Jean </w:t>
      </w:r>
      <w:r w:rsidR="007D21D9" w:rsidRPr="00004B26">
        <w:rPr>
          <w:rStyle w:val="SCCCounselNameChar"/>
          <w:i w:val="0"/>
          <w:lang w:val="en-US"/>
        </w:rPr>
        <w:t>and</w:t>
      </w:r>
      <w:r w:rsidRPr="00004B26">
        <w:rPr>
          <w:rStyle w:val="SCCCounselNameChar"/>
          <w:lang w:val="en-US"/>
        </w:rPr>
        <w:t xml:space="preserve"> Suzanne</w:t>
      </w:r>
      <w:r w:rsidR="009278C8">
        <w:rPr>
          <w:rStyle w:val="SCCCounselNameChar"/>
          <w:lang w:val="en-US"/>
        </w:rPr>
        <w:t>-</w:t>
      </w:r>
      <w:r w:rsidRPr="00004B26">
        <w:rPr>
          <w:rStyle w:val="SCCCounselNameChar"/>
          <w:lang w:val="en-US"/>
        </w:rPr>
        <w:t xml:space="preserve">L. </w:t>
      </w:r>
      <w:r w:rsidRPr="00004B26">
        <w:rPr>
          <w:rStyle w:val="SCCCounselNameChar"/>
        </w:rPr>
        <w:t>Gauthier</w:t>
      </w:r>
      <w:r w:rsidRPr="00004B26">
        <w:rPr>
          <w:rStyle w:val="SCCCounselPartyRoleChar"/>
        </w:rPr>
        <w:t>, for the appellant.</w:t>
      </w:r>
    </w:p>
    <w:p w:rsidR="003B11CD" w:rsidRDefault="00D45913" w:rsidP="00896079">
      <w:pPr>
        <w:pStyle w:val="SCCNormalDoubleSpacing"/>
        <w:spacing w:before="480" w:after="480"/>
        <w:outlineLvl w:val="0"/>
        <w:rPr>
          <w:rStyle w:val="SCCCounselPartyRoleChar"/>
        </w:rPr>
      </w:pPr>
      <w:r w:rsidRPr="00004B26">
        <w:rPr>
          <w:rStyle w:val="SCCCounselNameChar"/>
          <w:i w:val="0"/>
        </w:rPr>
        <w:tab/>
      </w:r>
      <w:r w:rsidRPr="00004B26">
        <w:rPr>
          <w:rStyle w:val="SCCCounselNameChar"/>
        </w:rPr>
        <w:t>Claude Joyal</w:t>
      </w:r>
      <w:r w:rsidRPr="00004B26">
        <w:rPr>
          <w:rStyle w:val="SCCCounselNameChar"/>
          <w:i w:val="0"/>
        </w:rPr>
        <w:t xml:space="preserve">, </w:t>
      </w:r>
      <w:r w:rsidR="007D4BEF" w:rsidRPr="00004B26">
        <w:rPr>
          <w:rStyle w:val="SCCCounselNameChar"/>
        </w:rPr>
        <w:t>Q.C</w:t>
      </w:r>
      <w:r w:rsidRPr="00004B26">
        <w:rPr>
          <w:rStyle w:val="SCCCounselNameChar"/>
        </w:rPr>
        <w:t>.</w:t>
      </w:r>
      <w:r w:rsidRPr="00004B26">
        <w:rPr>
          <w:rStyle w:val="SCCCounselSeparatorChar"/>
        </w:rPr>
        <w:t xml:space="preserve">, </w:t>
      </w:r>
      <w:r w:rsidR="007D4BEF" w:rsidRPr="00004B26">
        <w:rPr>
          <w:rStyle w:val="SCCCounselSeparatorChar"/>
        </w:rPr>
        <w:t xml:space="preserve">and </w:t>
      </w:r>
      <w:r w:rsidRPr="00004B26">
        <w:rPr>
          <w:rStyle w:val="SCCCounselNameChar"/>
        </w:rPr>
        <w:t>Ian Demers</w:t>
      </w:r>
      <w:r w:rsidRPr="00004B26">
        <w:rPr>
          <w:rStyle w:val="SCCCounselPartyRoleChar"/>
        </w:rPr>
        <w:t>, for the respondent</w:t>
      </w:r>
      <w:r w:rsidR="007D4BEF" w:rsidRPr="00004B26">
        <w:rPr>
          <w:rStyle w:val="SCCCounselPartyRoleChar"/>
        </w:rPr>
        <w:t>s</w:t>
      </w:r>
      <w:r w:rsidRPr="00004B26">
        <w:rPr>
          <w:rStyle w:val="SCCCounselPartyRoleChar"/>
        </w:rPr>
        <w:t>.</w:t>
      </w:r>
    </w:p>
    <w:p w:rsidR="009B5DDE" w:rsidRPr="00004B26" w:rsidRDefault="009B5DDE" w:rsidP="009B5DDE">
      <w:pPr>
        <w:pStyle w:val="SCCNormalDoubleSpacing"/>
        <w:spacing w:before="480" w:after="480"/>
        <w:outlineLvl w:val="0"/>
        <w:rPr>
          <w:lang w:val="en-US"/>
        </w:rPr>
      </w:pPr>
      <w:r>
        <w:rPr>
          <w:rStyle w:val="SCCCounselNameChar"/>
          <w:i w:val="0"/>
        </w:rPr>
        <w:tab/>
        <w:t>No one appeared</w:t>
      </w:r>
      <w:r w:rsidRPr="00004B26">
        <w:rPr>
          <w:rStyle w:val="SCCCounselNameChar"/>
          <w:i w:val="0"/>
        </w:rPr>
        <w:t xml:space="preserve"> for </w:t>
      </w:r>
      <w:r w:rsidRPr="00004B26">
        <w:rPr>
          <w:rStyle w:val="SCCCounselPartyRoleChar"/>
          <w:lang w:val="en-US"/>
        </w:rPr>
        <w:t>the intervener the Chief Firearms Officer.</w:t>
      </w:r>
    </w:p>
    <w:p w:rsidR="003B11CD" w:rsidRPr="00004B26" w:rsidRDefault="00D45913" w:rsidP="00896079">
      <w:pPr>
        <w:pStyle w:val="SCCNormalDoubleSpacing"/>
        <w:spacing w:before="480" w:after="480"/>
        <w:rPr>
          <w:lang w:val="en-US"/>
        </w:rPr>
      </w:pPr>
      <w:r w:rsidRPr="00004B26">
        <w:rPr>
          <w:rStyle w:val="SCCCounselNameChar"/>
          <w:i w:val="0"/>
          <w:lang w:val="en-US"/>
        </w:rPr>
        <w:tab/>
      </w:r>
      <w:r w:rsidR="00AC42DF" w:rsidRPr="00004B26">
        <w:rPr>
          <w:rStyle w:val="SCCCounselNameChar"/>
          <w:lang w:val="en-US"/>
        </w:rPr>
        <w:t>Frédérick Langlois</w:t>
      </w:r>
      <w:r w:rsidR="00AC42DF" w:rsidRPr="00004B26">
        <w:rPr>
          <w:rStyle w:val="SCCCounselNameChar"/>
          <w:i w:val="0"/>
          <w:lang w:val="en-US"/>
        </w:rPr>
        <w:t xml:space="preserve"> and </w:t>
      </w:r>
      <w:r w:rsidR="00AC42DF" w:rsidRPr="00004B26">
        <w:rPr>
          <w:rStyle w:val="SCCCounselNameChar"/>
          <w:lang w:val="en-US"/>
        </w:rPr>
        <w:t>Alain</w:t>
      </w:r>
      <w:r w:rsidR="009278C8">
        <w:rPr>
          <w:rStyle w:val="SCCCounselNameChar"/>
          <w:lang w:val="en-US"/>
        </w:rPr>
        <w:t xml:space="preserve"> </w:t>
      </w:r>
      <w:r w:rsidRPr="00004B26">
        <w:rPr>
          <w:rStyle w:val="SCCCounselNameChar"/>
          <w:lang w:val="en-US"/>
        </w:rPr>
        <w:t>M. Gaulin</w:t>
      </w:r>
      <w:r w:rsidRPr="00004B26">
        <w:rPr>
          <w:rStyle w:val="SCCCounselPartyRoleChar"/>
          <w:lang w:val="en-US"/>
        </w:rPr>
        <w:t xml:space="preserve">, for the intervener </w:t>
      </w:r>
      <w:r w:rsidR="00767A49" w:rsidRPr="00004B26">
        <w:rPr>
          <w:rStyle w:val="SCCCounselPartyRoleChar"/>
          <w:lang w:val="en-US"/>
        </w:rPr>
        <w:t xml:space="preserve">the </w:t>
      </w:r>
      <w:r w:rsidRPr="00004B26">
        <w:rPr>
          <w:rStyle w:val="SCCCounselPartyRoleChar"/>
          <w:lang w:val="en-US"/>
        </w:rPr>
        <w:t xml:space="preserve">Coalition </w:t>
      </w:r>
      <w:r w:rsidR="00767A49" w:rsidRPr="00004B26">
        <w:rPr>
          <w:rStyle w:val="SCCCounselPartyRoleChar"/>
          <w:lang w:val="en-US"/>
        </w:rPr>
        <w:t>for Gun Control</w:t>
      </w:r>
      <w:r w:rsidRPr="00004B26">
        <w:rPr>
          <w:rStyle w:val="SCCCounselPartyRoleChar"/>
          <w:lang w:val="en-US"/>
        </w:rPr>
        <w:t>.</w:t>
      </w:r>
    </w:p>
    <w:p w:rsidR="003B11CD" w:rsidRDefault="00D45913" w:rsidP="00896079">
      <w:pPr>
        <w:pStyle w:val="SCCNormalDoubleSpacing"/>
        <w:spacing w:before="480" w:after="480"/>
        <w:rPr>
          <w:rStyle w:val="SCCCounselPartyRoleChar"/>
        </w:rPr>
      </w:pPr>
      <w:r w:rsidRPr="00004B26">
        <w:rPr>
          <w:rStyle w:val="SCCCounselNameChar"/>
          <w:i w:val="0"/>
          <w:lang w:val="en-US"/>
        </w:rPr>
        <w:tab/>
      </w:r>
      <w:r w:rsidRPr="00004B26">
        <w:rPr>
          <w:rStyle w:val="SCCCounselNameChar"/>
        </w:rPr>
        <w:t>Guy Lavergne</w:t>
      </w:r>
      <w:r w:rsidR="00767A49" w:rsidRPr="00004B26">
        <w:rPr>
          <w:rStyle w:val="SCCCounselPartyRoleChar"/>
        </w:rPr>
        <w:t>, for the intervener Canada’</w:t>
      </w:r>
      <w:r w:rsidRPr="00004B26">
        <w:rPr>
          <w:rStyle w:val="SCCCounselPartyRoleChar"/>
        </w:rPr>
        <w:t>s National Firearms Association.</w:t>
      </w:r>
    </w:p>
    <w:p w:rsidR="00FD3F0F" w:rsidRPr="00004B26" w:rsidRDefault="00FD3F0F" w:rsidP="00896079">
      <w:pPr>
        <w:pStyle w:val="SCCNormalDoubleSpacing"/>
        <w:spacing w:before="480" w:after="480"/>
      </w:pPr>
      <w:r>
        <w:rPr>
          <w:rStyle w:val="SCCCounselPartyRoleChar"/>
        </w:rPr>
        <w:tab/>
        <w:t xml:space="preserve">The judgment of McLachlin C.J. and Rothstein, Cromwell, Moldaver and Karakatsanis JJ. </w:t>
      </w:r>
      <w:proofErr w:type="gramStart"/>
      <w:r>
        <w:rPr>
          <w:rStyle w:val="SCCCounselPartyRoleChar"/>
        </w:rPr>
        <w:t>was</w:t>
      </w:r>
      <w:proofErr w:type="gramEnd"/>
      <w:r>
        <w:rPr>
          <w:rStyle w:val="SCCCounselPartyRoleChar"/>
        </w:rPr>
        <w:t xml:space="preserve"> delivered by</w:t>
      </w:r>
    </w:p>
    <w:p w:rsidR="009278C8" w:rsidRPr="003A3D9D" w:rsidRDefault="009278C8" w:rsidP="009278C8">
      <w:pPr>
        <w:pStyle w:val="JudgeJuge"/>
      </w:pPr>
      <w:r w:rsidRPr="003A3D9D">
        <w:tab/>
        <w:t xml:space="preserve">Cromwell and Karakatsanis JJ. — </w:t>
      </w:r>
    </w:p>
    <w:p w:rsidR="009278C8" w:rsidRPr="003A3D9D" w:rsidRDefault="009278C8" w:rsidP="009278C8">
      <w:pPr>
        <w:pStyle w:val="Title1LevelTitre1Niveau-AltL"/>
        <w:widowControl w:val="0"/>
        <w:rPr>
          <w:rFonts w:cs="Times New Roman"/>
        </w:rPr>
      </w:pPr>
      <w:r w:rsidRPr="003A3D9D">
        <w:rPr>
          <w:rFonts w:cs="Times New Roman"/>
        </w:rPr>
        <w:t>Introduction</w:t>
      </w:r>
    </w:p>
    <w:p w:rsidR="009278C8" w:rsidRPr="003A3D9D" w:rsidRDefault="009278C8" w:rsidP="009278C8">
      <w:pPr>
        <w:pStyle w:val="ParaNoNdepar-AltN"/>
        <w:rPr>
          <w:rFonts w:cs="Times New Roman"/>
        </w:rPr>
      </w:pPr>
      <w:r w:rsidRPr="003A3D9D">
        <w:rPr>
          <w:rFonts w:cs="Times New Roman"/>
        </w:rPr>
        <w:t xml:space="preserve">Fifteen years ago, this Court determined that Parliament, acting under its power to legislate in relation to criminal law, had the constitutional authority to establish a nationwide gun control scheme.  Parliament’s decision to do so was a contentious policy choice that was contested on constitutional grounds.  Three years ago, Parliament reversed in part that earlier policy choice: it repealed the legislation that had established the long-gun registry within the gun control scheme, and </w:t>
      </w:r>
      <w:r w:rsidRPr="003A3D9D">
        <w:rPr>
          <w:rFonts w:cs="Times New Roman"/>
        </w:rPr>
        <w:lastRenderedPageBreak/>
        <w:t>provided for the destruction of the data it contained.  This too was a contentious policy choice which is now contested on constitutional grounds.</w:t>
      </w:r>
    </w:p>
    <w:p w:rsidR="009278C8" w:rsidRPr="003A3D9D" w:rsidRDefault="009278C8" w:rsidP="009278C8">
      <w:pPr>
        <w:pStyle w:val="ParaNoNdepar-AltN"/>
        <w:rPr>
          <w:rFonts w:cs="Times New Roman"/>
        </w:rPr>
      </w:pPr>
      <w:r w:rsidRPr="003A3D9D">
        <w:rPr>
          <w:rFonts w:cs="Times New Roman"/>
        </w:rPr>
        <w:t>When the government tabled the bill abolishing the long-gun registry and providing for the destruction of the data it contained, Quebec expressed its intention to create its own provincial gun control scheme and asked Canada to give it the data on long</w:t>
      </w:r>
      <w:r>
        <w:rPr>
          <w:rFonts w:cs="Times New Roman"/>
        </w:rPr>
        <w:t xml:space="preserve"> </w:t>
      </w:r>
      <w:r w:rsidRPr="003A3D9D">
        <w:rPr>
          <w:rFonts w:cs="Times New Roman"/>
        </w:rPr>
        <w:t xml:space="preserve">guns connected with the province.  The federal government refused.  As a result, Quebec challenged the constitutionality of the federal law providing for destruction of the data and sought an order requiring the federal government to turn it over.  The Superior Court of Quebec declared that Parliament’s legislative jurisdiction with respect to criminal law does not allow it to legislate for the destruction of the long-gun registration records without first making this data available to provinces seeking to establish their own registries, and ordered the federal government to transfer the relevant data to Quebec.  A five-member </w:t>
      </w:r>
      <w:r>
        <w:rPr>
          <w:rFonts w:cs="Times New Roman"/>
        </w:rPr>
        <w:t>panel</w:t>
      </w:r>
      <w:r w:rsidRPr="003A3D9D">
        <w:rPr>
          <w:rFonts w:cs="Times New Roman"/>
        </w:rPr>
        <w:t xml:space="preserve"> of the Quebec Court of Appeal disagreed.  Finding the law a valid exercise of the federal criminal law power, it set aside those declarations and orders.  Quebec now appeals to this Court, raising three issues:</w:t>
      </w:r>
    </w:p>
    <w:p w:rsidR="009278C8" w:rsidRPr="003A3D9D" w:rsidRDefault="009278C8" w:rsidP="003619CB">
      <w:pPr>
        <w:pStyle w:val="ParaNoNdepar-AltN"/>
        <w:numPr>
          <w:ilvl w:val="6"/>
          <w:numId w:val="1"/>
        </w:numPr>
        <w:tabs>
          <w:tab w:val="clear" w:pos="1166"/>
          <w:tab w:val="left" w:pos="0"/>
        </w:tabs>
        <w:ind w:left="720" w:hanging="720"/>
        <w:rPr>
          <w:rFonts w:cs="Times New Roman"/>
        </w:rPr>
      </w:pPr>
      <w:r w:rsidRPr="003A3D9D">
        <w:rPr>
          <w:rFonts w:cs="Times New Roman"/>
        </w:rPr>
        <w:t>Does the principle of cooperative federalism prevent Parliament from legislating to dispose of the data?</w:t>
      </w:r>
    </w:p>
    <w:p w:rsidR="009278C8" w:rsidRPr="003A3D9D" w:rsidRDefault="009278C8" w:rsidP="003619CB">
      <w:pPr>
        <w:pStyle w:val="ParaNoNdepar-AltN"/>
        <w:numPr>
          <w:ilvl w:val="6"/>
          <w:numId w:val="1"/>
        </w:numPr>
        <w:tabs>
          <w:tab w:val="clear" w:pos="1166"/>
          <w:tab w:val="left" w:pos="0"/>
        </w:tabs>
        <w:ind w:left="720" w:hanging="720"/>
        <w:rPr>
          <w:rFonts w:cs="Times New Roman"/>
        </w:rPr>
      </w:pPr>
      <w:r w:rsidRPr="003A3D9D">
        <w:rPr>
          <w:rFonts w:cs="Times New Roman"/>
        </w:rPr>
        <w:t>Does Quebec have the right to obtain the data?</w:t>
      </w:r>
    </w:p>
    <w:p w:rsidR="009278C8" w:rsidRPr="003A3D9D" w:rsidRDefault="009278C8" w:rsidP="003619CB">
      <w:pPr>
        <w:pStyle w:val="ParaNoNdepar-AltN"/>
        <w:numPr>
          <w:ilvl w:val="6"/>
          <w:numId w:val="1"/>
        </w:numPr>
        <w:tabs>
          <w:tab w:val="clear" w:pos="1166"/>
          <w:tab w:val="left" w:pos="0"/>
        </w:tabs>
        <w:ind w:left="720" w:hanging="720"/>
        <w:rPr>
          <w:rFonts w:cs="Times New Roman"/>
        </w:rPr>
      </w:pPr>
      <w:r w:rsidRPr="003A3D9D">
        <w:rPr>
          <w:rFonts w:cs="Times New Roman"/>
        </w:rPr>
        <w:lastRenderedPageBreak/>
        <w:t xml:space="preserve">Is s. 29 </w:t>
      </w:r>
      <w:r>
        <w:rPr>
          <w:rFonts w:cs="Times New Roman"/>
        </w:rPr>
        <w:t xml:space="preserve">of </w:t>
      </w:r>
      <w:r>
        <w:rPr>
          <w:rFonts w:cs="Times New Roman"/>
          <w:i/>
        </w:rPr>
        <w:t>An Act to amend the Criminal Code and the Firearms Act</w:t>
      </w:r>
      <w:r>
        <w:rPr>
          <w:rFonts w:cs="Times New Roman"/>
        </w:rPr>
        <w:t xml:space="preserve">, S.C. 2012, c. 6, </w:t>
      </w:r>
      <w:r w:rsidRPr="003A3D9D">
        <w:rPr>
          <w:rFonts w:cs="Times New Roman"/>
          <w:i/>
        </w:rPr>
        <w:t>ultra vires</w:t>
      </w:r>
      <w:r w:rsidRPr="003A3D9D">
        <w:rPr>
          <w:rFonts w:cs="Times New Roman"/>
        </w:rPr>
        <w:t xml:space="preserve"> Parliament’s criminal law power?</w:t>
      </w:r>
    </w:p>
    <w:p w:rsidR="009278C8" w:rsidRPr="003A3D9D" w:rsidRDefault="009278C8" w:rsidP="009278C8">
      <w:pPr>
        <w:pStyle w:val="ParaNoNdepar-AltN"/>
        <w:rPr>
          <w:rFonts w:cs="Times New Roman"/>
        </w:rPr>
      </w:pPr>
      <w:r w:rsidRPr="003A3D9D">
        <w:rPr>
          <w:rFonts w:cs="Times New Roman"/>
        </w:rPr>
        <w:t xml:space="preserve">We agree with the conclusions of the Quebec Court of Appeal and would dismiss the appeal.  The principle of cooperative federalism does not constrain federal legislative competence in this case, Quebec has no legal right to the data, and s. 29 of the </w:t>
      </w:r>
      <w:r w:rsidRPr="003A3D9D">
        <w:rPr>
          <w:rFonts w:cs="Times New Roman"/>
          <w:i/>
        </w:rPr>
        <w:t>Act</w:t>
      </w:r>
      <w:r>
        <w:rPr>
          <w:rFonts w:cs="Times New Roman"/>
          <w:i/>
        </w:rPr>
        <w:t xml:space="preserve"> to amend the Criminal Code and the Firearms Act </w:t>
      </w:r>
      <w:r>
        <w:rPr>
          <w:rFonts w:cs="Times New Roman"/>
        </w:rPr>
        <w:t xml:space="preserve">(short title </w:t>
      </w:r>
      <w:proofErr w:type="gramStart"/>
      <w:r>
        <w:rPr>
          <w:rFonts w:cs="Times New Roman"/>
          <w:i/>
        </w:rPr>
        <w:t>Ending</w:t>
      </w:r>
      <w:proofErr w:type="gramEnd"/>
      <w:r>
        <w:rPr>
          <w:rFonts w:cs="Times New Roman"/>
          <w:i/>
        </w:rPr>
        <w:t xml:space="preserve"> the Long-gun Registry Act </w:t>
      </w:r>
      <w:r>
        <w:rPr>
          <w:rFonts w:cs="Times New Roman"/>
        </w:rPr>
        <w:t>(“</w:t>
      </w:r>
      <w:r w:rsidRPr="003619CB">
        <w:rPr>
          <w:rFonts w:cs="Times New Roman"/>
          <w:i/>
        </w:rPr>
        <w:t>ELRA</w:t>
      </w:r>
      <w:r w:rsidR="00FF039F">
        <w:rPr>
          <w:rFonts w:cs="Times New Roman"/>
        </w:rPr>
        <w:t>”))</w:t>
      </w:r>
      <w:r w:rsidRPr="003A3D9D">
        <w:rPr>
          <w:rFonts w:cs="Times New Roman"/>
        </w:rPr>
        <w:t xml:space="preserve"> is a lawful exercise of Parliament’s criminal law legislative power under the Constitution.  We add this</w:t>
      </w:r>
      <w:r>
        <w:rPr>
          <w:rFonts w:cs="Times New Roman"/>
        </w:rPr>
        <w:t>; t</w:t>
      </w:r>
      <w:r w:rsidRPr="003A3D9D">
        <w:rPr>
          <w:rFonts w:cs="Times New Roman"/>
        </w:rPr>
        <w:t xml:space="preserve">o some, Parliament’s choice to destroy this data will undermine public safety and waste enormous amounts of public money.   To others, it will seem to be the dismantling of an ill-advised regime and the overdue restoration of the privacy rights of </w:t>
      </w:r>
      <w:r>
        <w:rPr>
          <w:rFonts w:cs="Times New Roman"/>
        </w:rPr>
        <w:t>law-</w:t>
      </w:r>
      <w:r w:rsidRPr="003A3D9D">
        <w:rPr>
          <w:rFonts w:cs="Times New Roman"/>
        </w:rPr>
        <w:t xml:space="preserve">abiding gun owners.  But these competing views about the merits of Parliament’s policy choice are not </w:t>
      </w:r>
      <w:r>
        <w:rPr>
          <w:rFonts w:cs="Times New Roman"/>
        </w:rPr>
        <w:t>at issue here</w:t>
      </w:r>
      <w:r w:rsidRPr="003A3D9D">
        <w:rPr>
          <w:rFonts w:cs="Times New Roman"/>
        </w:rPr>
        <w:t xml:space="preserve">.  As has been said many times, the courts are not to question the wisdom of legislation but only to rule on its legality.  In our view, the decision to dismantle the long-gun registry and destroy the data that it contains is a policy choice that Parliament was constitutionally entitled to make.  </w:t>
      </w:r>
    </w:p>
    <w:p w:rsidR="009278C8" w:rsidRPr="003A3D9D" w:rsidRDefault="009278C8" w:rsidP="009278C8">
      <w:pPr>
        <w:pStyle w:val="ParaNoNdepar-AltN"/>
        <w:rPr>
          <w:rFonts w:cs="Times New Roman"/>
        </w:rPr>
      </w:pPr>
      <w:r w:rsidRPr="003A3D9D">
        <w:rPr>
          <w:rFonts w:cs="Times New Roman"/>
        </w:rPr>
        <w:t xml:space="preserve">We note that our conclusion in this case partly rests on the fact that the </w:t>
      </w:r>
      <w:r>
        <w:rPr>
          <w:rFonts w:cs="Times New Roman"/>
        </w:rPr>
        <w:t>Canadian Firearms Registry (“</w:t>
      </w:r>
      <w:r w:rsidRPr="003A3D9D">
        <w:rPr>
          <w:rFonts w:cs="Times New Roman"/>
        </w:rPr>
        <w:t>CFR</w:t>
      </w:r>
      <w:r>
        <w:rPr>
          <w:rFonts w:cs="Times New Roman"/>
        </w:rPr>
        <w:t>”)</w:t>
      </w:r>
      <w:r w:rsidRPr="003A3D9D">
        <w:rPr>
          <w:rFonts w:cs="Times New Roman"/>
        </w:rPr>
        <w:t xml:space="preserve"> flows directly from federal legislation and is not dependent on any provincial statutes.  Different considerations might arise in a case involving a truly interlocking federal-provincial legislative framework.  However, the CFR is not, in our respectful view, such a scheme.  Therefore we need not consider what might follow if it were.</w:t>
      </w:r>
    </w:p>
    <w:p w:rsidR="009278C8" w:rsidRPr="003A3D9D" w:rsidRDefault="009278C8" w:rsidP="009278C8">
      <w:pPr>
        <w:pStyle w:val="Title1LevelTitre1Niveau-AltL"/>
        <w:rPr>
          <w:rFonts w:cs="Times New Roman"/>
        </w:rPr>
      </w:pPr>
      <w:r w:rsidRPr="003A3D9D">
        <w:rPr>
          <w:rFonts w:cs="Times New Roman"/>
        </w:rPr>
        <w:lastRenderedPageBreak/>
        <w:t>Facts and Judicial History</w:t>
      </w:r>
    </w:p>
    <w:p w:rsidR="009278C8" w:rsidRPr="003A3D9D" w:rsidRDefault="009278C8" w:rsidP="009278C8">
      <w:pPr>
        <w:pStyle w:val="Title2LevelTitre2Niveau"/>
        <w:rPr>
          <w:rFonts w:cs="Times New Roman"/>
        </w:rPr>
      </w:pPr>
      <w:r w:rsidRPr="003A3D9D">
        <w:rPr>
          <w:rFonts w:cs="Times New Roman"/>
        </w:rPr>
        <w:t>Overview of the Facts</w:t>
      </w:r>
    </w:p>
    <w:p w:rsidR="009278C8" w:rsidRPr="003A3D9D" w:rsidRDefault="009278C8" w:rsidP="009278C8">
      <w:pPr>
        <w:pStyle w:val="ParaNoNdepar-AltN"/>
        <w:rPr>
          <w:rFonts w:cs="Times New Roman"/>
        </w:rPr>
      </w:pPr>
      <w:r w:rsidRPr="003A3D9D">
        <w:rPr>
          <w:rFonts w:cs="Times New Roman"/>
        </w:rPr>
        <w:t xml:space="preserve">In 1995, Parliament enacted the </w:t>
      </w:r>
      <w:r w:rsidRPr="003A3D9D">
        <w:rPr>
          <w:rFonts w:cs="Times New Roman"/>
          <w:i/>
        </w:rPr>
        <w:t>Firearms Act</w:t>
      </w:r>
      <w:r w:rsidRPr="003A3D9D">
        <w:rPr>
          <w:rFonts w:cs="Times New Roman"/>
        </w:rPr>
        <w:t>, S</w:t>
      </w:r>
      <w:r>
        <w:rPr>
          <w:rFonts w:cs="Times New Roman"/>
        </w:rPr>
        <w:t>.</w:t>
      </w:r>
      <w:r w:rsidRPr="003A3D9D">
        <w:rPr>
          <w:rFonts w:cs="Times New Roman"/>
        </w:rPr>
        <w:t>C</w:t>
      </w:r>
      <w:r>
        <w:rPr>
          <w:rFonts w:cs="Times New Roman"/>
        </w:rPr>
        <w:t>.</w:t>
      </w:r>
      <w:r w:rsidRPr="003A3D9D">
        <w:rPr>
          <w:rFonts w:cs="Times New Roman"/>
        </w:rPr>
        <w:t xml:space="preserve"> 1995, </w:t>
      </w:r>
      <w:proofErr w:type="gramStart"/>
      <w:r w:rsidRPr="003A3D9D">
        <w:rPr>
          <w:rFonts w:cs="Times New Roman"/>
        </w:rPr>
        <w:t xml:space="preserve">c. 39, which created a comprehensive scheme requiring the holders of all firearms </w:t>
      </w:r>
      <w:r>
        <w:rPr>
          <w:rFonts w:cs="Times New Roman"/>
        </w:rPr>
        <w:t>—</w:t>
      </w:r>
      <w:proofErr w:type="gramEnd"/>
      <w:r>
        <w:rPr>
          <w:rFonts w:cs="Times New Roman"/>
        </w:rPr>
        <w:t xml:space="preserve"> including long </w:t>
      </w:r>
      <w:r w:rsidRPr="003A3D9D">
        <w:rPr>
          <w:rFonts w:cs="Times New Roman"/>
        </w:rPr>
        <w:t xml:space="preserve">guns </w:t>
      </w:r>
      <w:r>
        <w:rPr>
          <w:rFonts w:cs="Times New Roman"/>
        </w:rPr>
        <w:t>—</w:t>
      </w:r>
      <w:r w:rsidRPr="003A3D9D">
        <w:rPr>
          <w:rFonts w:cs="Times New Roman"/>
        </w:rPr>
        <w:t xml:space="preserve"> </w:t>
      </w:r>
      <w:r>
        <w:rPr>
          <w:rFonts w:cs="Times New Roman"/>
        </w:rPr>
        <w:t>to obtain licenc</w:t>
      </w:r>
      <w:r w:rsidRPr="003A3D9D">
        <w:rPr>
          <w:rFonts w:cs="Times New Roman"/>
        </w:rPr>
        <w:t xml:space="preserve">es and register their guns.  It also made it a criminal offence to possess an unregistered firearm.  The initial creation of the registry was challenged by several provinces, including Alberta who proceeded with a reference in the </w:t>
      </w:r>
      <w:r>
        <w:rPr>
          <w:rFonts w:cs="Times New Roman"/>
        </w:rPr>
        <w:t xml:space="preserve">Alberta </w:t>
      </w:r>
      <w:r w:rsidRPr="003A3D9D">
        <w:rPr>
          <w:rFonts w:cs="Times New Roman"/>
        </w:rPr>
        <w:t xml:space="preserve">Court of Appeal which led ultimately to an appeal to this Court.  In the </w:t>
      </w:r>
      <w:r w:rsidRPr="003A3D9D">
        <w:rPr>
          <w:rFonts w:cs="Times New Roman"/>
          <w:i/>
        </w:rPr>
        <w:t>Reference re Firearms Act (Can.)</w:t>
      </w:r>
      <w:r w:rsidRPr="003A3D9D">
        <w:rPr>
          <w:rFonts w:cs="Times New Roman"/>
        </w:rPr>
        <w:t xml:space="preserve">, 2000 SCC 31, [2000] 1 S.C.R. 783, this Court concluded that the </w:t>
      </w:r>
      <w:r w:rsidRPr="003A3D9D">
        <w:rPr>
          <w:rFonts w:cs="Times New Roman"/>
          <w:i/>
        </w:rPr>
        <w:t xml:space="preserve">Firearms Act </w:t>
      </w:r>
      <w:r w:rsidRPr="003A3D9D">
        <w:rPr>
          <w:rFonts w:cs="Times New Roman"/>
        </w:rPr>
        <w:t>came within the criminal law authority of the federal Parliament</w:t>
      </w:r>
      <w:r>
        <w:rPr>
          <w:rFonts w:cs="Times New Roman"/>
        </w:rPr>
        <w:t>, and that “the provinces ha[</w:t>
      </w:r>
      <w:r w:rsidRPr="003A3D9D">
        <w:rPr>
          <w:rFonts w:cs="Times New Roman"/>
        </w:rPr>
        <w:t>d] not established that the effects of the law on provincial matters [were] more than incidental”: para.</w:t>
      </w:r>
      <w:r>
        <w:rPr>
          <w:rFonts w:cs="Times New Roman"/>
        </w:rPr>
        <w:t xml:space="preserve"> </w:t>
      </w:r>
      <w:r w:rsidRPr="003A3D9D">
        <w:rPr>
          <w:rFonts w:cs="Times New Roman"/>
        </w:rPr>
        <w:t xml:space="preserve">50.  </w:t>
      </w:r>
    </w:p>
    <w:p w:rsidR="009278C8" w:rsidRPr="003A3D9D" w:rsidRDefault="009278C8" w:rsidP="009278C8">
      <w:pPr>
        <w:pStyle w:val="ParaNoNdepar-AltN"/>
        <w:rPr>
          <w:rFonts w:cs="Times New Roman"/>
        </w:rPr>
      </w:pPr>
      <w:r w:rsidRPr="003A3D9D">
        <w:rPr>
          <w:rFonts w:cs="Times New Roman"/>
        </w:rPr>
        <w:t xml:space="preserve">The </w:t>
      </w:r>
      <w:r w:rsidRPr="003A3D9D">
        <w:rPr>
          <w:rFonts w:cs="Times New Roman"/>
          <w:i/>
        </w:rPr>
        <w:t>Firearms Act</w:t>
      </w:r>
      <w:r w:rsidRPr="003A3D9D">
        <w:rPr>
          <w:rFonts w:cs="Times New Roman"/>
        </w:rPr>
        <w:t xml:space="preserve"> provided for the creation </w:t>
      </w:r>
      <w:r>
        <w:rPr>
          <w:rFonts w:cs="Times New Roman"/>
        </w:rPr>
        <w:t xml:space="preserve">of </w:t>
      </w:r>
      <w:r w:rsidRPr="003A3D9D">
        <w:rPr>
          <w:rFonts w:cs="Times New Roman"/>
        </w:rPr>
        <w:t xml:space="preserve">two types of registries.  The Registrar </w:t>
      </w:r>
      <w:r>
        <w:rPr>
          <w:rFonts w:cs="Times New Roman"/>
        </w:rPr>
        <w:t xml:space="preserve">of Firearms (“Registrar”) </w:t>
      </w:r>
      <w:r w:rsidRPr="003A3D9D">
        <w:rPr>
          <w:rFonts w:cs="Times New Roman"/>
        </w:rPr>
        <w:t>was to maintain a single registry</w:t>
      </w:r>
      <w:r>
        <w:rPr>
          <w:rFonts w:cs="Times New Roman"/>
        </w:rPr>
        <w:t>, the CFR,</w:t>
      </w:r>
      <w:r w:rsidRPr="003A3D9D">
        <w:rPr>
          <w:rFonts w:cs="Times New Roman"/>
        </w:rPr>
        <w:t xml:space="preserve"> containing records of the registration certificates for all prohibited firearms, restricted firearms, and unrestricted firearms (long</w:t>
      </w:r>
      <w:r>
        <w:rPr>
          <w:rFonts w:cs="Times New Roman"/>
        </w:rPr>
        <w:t xml:space="preserve"> </w:t>
      </w:r>
      <w:r w:rsidRPr="003A3D9D">
        <w:rPr>
          <w:rFonts w:cs="Times New Roman"/>
        </w:rPr>
        <w:t>guns) acquired, transferred, or possessed in Canada: s.</w:t>
      </w:r>
      <w:r>
        <w:rPr>
          <w:rFonts w:cs="Times New Roman"/>
        </w:rPr>
        <w:t xml:space="preserve"> </w:t>
      </w:r>
      <w:r w:rsidRPr="003A3D9D">
        <w:rPr>
          <w:rFonts w:cs="Times New Roman"/>
        </w:rPr>
        <w:t xml:space="preserve">83.  In addition, the </w:t>
      </w:r>
      <w:r>
        <w:rPr>
          <w:rFonts w:cs="Times New Roman"/>
          <w:i/>
        </w:rPr>
        <w:t xml:space="preserve">Firearms </w:t>
      </w:r>
      <w:r w:rsidRPr="003A3D9D">
        <w:rPr>
          <w:rFonts w:cs="Times New Roman"/>
          <w:i/>
        </w:rPr>
        <w:t>Act</w:t>
      </w:r>
      <w:r w:rsidRPr="003A3D9D">
        <w:rPr>
          <w:rFonts w:cs="Times New Roman"/>
        </w:rPr>
        <w:t xml:space="preserve"> require</w:t>
      </w:r>
      <w:r>
        <w:rPr>
          <w:rFonts w:cs="Times New Roman"/>
        </w:rPr>
        <w:t xml:space="preserve">s that a Chief Firearms Officer (“CFO”) </w:t>
      </w:r>
      <w:r w:rsidRPr="003A3D9D">
        <w:rPr>
          <w:rFonts w:cs="Times New Roman"/>
        </w:rPr>
        <w:t xml:space="preserve">be appointed </w:t>
      </w:r>
      <w:r>
        <w:rPr>
          <w:rFonts w:cs="Times New Roman"/>
        </w:rPr>
        <w:t>in each province and territory —</w:t>
      </w:r>
      <w:r w:rsidRPr="003A3D9D">
        <w:rPr>
          <w:rFonts w:cs="Times New Roman"/>
        </w:rPr>
        <w:t xml:space="preserve"> either by a provincial minister or by a federal minister: s. 2.  This officer must </w:t>
      </w:r>
      <w:r>
        <w:rPr>
          <w:rFonts w:cs="Times New Roman"/>
        </w:rPr>
        <w:t>licens</w:t>
      </w:r>
      <w:r w:rsidRPr="003A3D9D">
        <w:rPr>
          <w:rFonts w:cs="Times New Roman"/>
        </w:rPr>
        <w:t xml:space="preserve">e individuals to possess firearms and must keep a registry containing records of every licence and authorization that she issues or revokes: s. 87.  </w:t>
      </w:r>
      <w:r>
        <w:rPr>
          <w:rFonts w:cs="Times New Roman"/>
        </w:rPr>
        <w:t>By law</w:t>
      </w:r>
      <w:r w:rsidRPr="003A3D9D">
        <w:rPr>
          <w:rFonts w:cs="Times New Roman"/>
        </w:rPr>
        <w:t xml:space="preserve">, the Registrar and the </w:t>
      </w:r>
      <w:r>
        <w:rPr>
          <w:rFonts w:cs="Times New Roman"/>
        </w:rPr>
        <w:t xml:space="preserve">CFOs </w:t>
      </w:r>
      <w:r>
        <w:rPr>
          <w:rFonts w:cs="Times New Roman"/>
        </w:rPr>
        <w:lastRenderedPageBreak/>
        <w:t>can</w:t>
      </w:r>
      <w:r w:rsidRPr="003A3D9D">
        <w:rPr>
          <w:rFonts w:cs="Times New Roman"/>
        </w:rPr>
        <w:t xml:space="preserve"> access both types of registries</w:t>
      </w:r>
      <w:r>
        <w:rPr>
          <w:rFonts w:cs="Times New Roman"/>
        </w:rPr>
        <w:t>: s. 90.  In practice, that access was ensured by</w:t>
      </w:r>
      <w:r w:rsidRPr="003A3D9D">
        <w:rPr>
          <w:rFonts w:cs="Times New Roman"/>
        </w:rPr>
        <w:t xml:space="preserve"> the Canadian Firearms Information System (“</w:t>
      </w:r>
      <w:r>
        <w:rPr>
          <w:rFonts w:cs="Times New Roman"/>
        </w:rPr>
        <w:t>CF</w:t>
      </w:r>
      <w:r w:rsidRPr="003A3D9D">
        <w:rPr>
          <w:rFonts w:cs="Times New Roman"/>
        </w:rPr>
        <w:t>I</w:t>
      </w:r>
      <w:r>
        <w:rPr>
          <w:rFonts w:cs="Times New Roman"/>
        </w:rPr>
        <w:t>S</w:t>
      </w:r>
      <w:r w:rsidRPr="003A3D9D">
        <w:rPr>
          <w:rFonts w:cs="Times New Roman"/>
        </w:rPr>
        <w:t xml:space="preserve">”), an electronic database managed by the Royal Canadian Mounted Police (“RCMP”).  Although the provincial government could access all registration and licensing information in all of the registries through the </w:t>
      </w:r>
      <w:r>
        <w:rPr>
          <w:rFonts w:cs="Times New Roman"/>
        </w:rPr>
        <w:t>CF</w:t>
      </w:r>
      <w:r w:rsidRPr="003A3D9D">
        <w:rPr>
          <w:rFonts w:cs="Times New Roman"/>
        </w:rPr>
        <w:t>I</w:t>
      </w:r>
      <w:r>
        <w:rPr>
          <w:rFonts w:cs="Times New Roman"/>
        </w:rPr>
        <w:t>S</w:t>
      </w:r>
      <w:r w:rsidRPr="003A3D9D">
        <w:rPr>
          <w:rFonts w:cs="Times New Roman"/>
        </w:rPr>
        <w:t xml:space="preserve"> database, the statutory authority of </w:t>
      </w:r>
      <w:r>
        <w:rPr>
          <w:rFonts w:cs="Times New Roman"/>
        </w:rPr>
        <w:t xml:space="preserve">CFOs </w:t>
      </w:r>
      <w:r w:rsidRPr="003A3D9D">
        <w:rPr>
          <w:rFonts w:cs="Times New Roman"/>
        </w:rPr>
        <w:t>only permitted them to contribute and modify data in their specific licensing registry</w:t>
      </w:r>
      <w:r>
        <w:rPr>
          <w:rFonts w:cs="Times New Roman"/>
        </w:rPr>
        <w:t>: ss. 87 and 90</w:t>
      </w:r>
      <w:r w:rsidRPr="003A3D9D">
        <w:rPr>
          <w:rFonts w:cs="Times New Roman"/>
        </w:rPr>
        <w:t>.</w:t>
      </w:r>
    </w:p>
    <w:p w:rsidR="009278C8" w:rsidRPr="003A3D9D" w:rsidRDefault="009278C8" w:rsidP="009278C8">
      <w:pPr>
        <w:pStyle w:val="ParaNoNdepar-AltN"/>
        <w:rPr>
          <w:rFonts w:cs="Times New Roman"/>
        </w:rPr>
      </w:pPr>
      <w:r w:rsidRPr="003A3D9D">
        <w:rPr>
          <w:rFonts w:cs="Times New Roman"/>
        </w:rPr>
        <w:t>In April 2012, Parliament enacted the</w:t>
      </w:r>
      <w:r>
        <w:rPr>
          <w:rFonts w:cs="Times New Roman"/>
        </w:rPr>
        <w:t xml:space="preserve"> </w:t>
      </w:r>
      <w:r>
        <w:rPr>
          <w:rFonts w:cs="Times New Roman"/>
          <w:i/>
        </w:rPr>
        <w:t>ELRA</w:t>
      </w:r>
      <w:r w:rsidRPr="003A3D9D">
        <w:rPr>
          <w:rFonts w:cs="Times New Roman"/>
        </w:rPr>
        <w:t>, which repeals the registration requirement for long</w:t>
      </w:r>
      <w:r>
        <w:rPr>
          <w:rFonts w:cs="Times New Roman"/>
        </w:rPr>
        <w:t xml:space="preserve"> </w:t>
      </w:r>
      <w:r w:rsidRPr="003A3D9D">
        <w:rPr>
          <w:rFonts w:cs="Times New Roman"/>
        </w:rPr>
        <w:t>guns and decriminalizes the pos</w:t>
      </w:r>
      <w:r>
        <w:rPr>
          <w:rFonts w:cs="Times New Roman"/>
        </w:rPr>
        <w:t xml:space="preserve">session of an unregistered long </w:t>
      </w:r>
      <w:r w:rsidRPr="003A3D9D">
        <w:rPr>
          <w:rFonts w:cs="Times New Roman"/>
        </w:rPr>
        <w:t>gun.  The registration requirements for prohibited and restricted firearms remain in force, and the registries continue to collect and maintain that data</w:t>
      </w:r>
      <w:r>
        <w:rPr>
          <w:rFonts w:cs="Times New Roman"/>
        </w:rPr>
        <w:t>.</w:t>
      </w:r>
      <w:r w:rsidRPr="003A3D9D">
        <w:rPr>
          <w:rStyle w:val="FootnoteReference"/>
          <w:rFonts w:cs="Times New Roman"/>
        </w:rPr>
        <w:footnoteReference w:id="1"/>
      </w:r>
      <w:r w:rsidRPr="003A3D9D">
        <w:rPr>
          <w:rFonts w:cs="Times New Roman"/>
        </w:rPr>
        <w:t xml:space="preserve">  Section 29 of the </w:t>
      </w:r>
      <w:r>
        <w:rPr>
          <w:rFonts w:cs="Times New Roman"/>
          <w:i/>
        </w:rPr>
        <w:t>ELRA</w:t>
      </w:r>
      <w:r w:rsidRPr="003A3D9D">
        <w:rPr>
          <w:rFonts w:cs="Times New Roman"/>
        </w:rPr>
        <w:t xml:space="preserve"> requires the destruction of all records contained in the registries related to the registration of firearms that are neither prohibited firearms nor restricted firearms:</w:t>
      </w:r>
    </w:p>
    <w:p w:rsidR="009278C8" w:rsidRPr="003A3D9D" w:rsidRDefault="009278C8" w:rsidP="009278C8">
      <w:pPr>
        <w:pStyle w:val="Citation-AltC"/>
        <w:ind w:firstLine="274"/>
      </w:pPr>
      <w:r w:rsidRPr="003A3D9D">
        <w:rPr>
          <w:b/>
        </w:rPr>
        <w:t>29.</w:t>
      </w:r>
      <w:r w:rsidRPr="003A3D9D">
        <w:t xml:space="preserve"> (1) The Commissioner of Firearms shall ensure the destruction as soon as feasible of all records in the Canadian Firearms Registry related to the registration of firearms that are neither prohibited firearms nor restricted firearms and all copies of those records under the Commissioner’s control.</w:t>
      </w:r>
    </w:p>
    <w:p w:rsidR="009278C8" w:rsidRPr="003A3D9D" w:rsidRDefault="009278C8" w:rsidP="009278C8">
      <w:pPr>
        <w:pStyle w:val="Citation-AltC"/>
      </w:pPr>
    </w:p>
    <w:p w:rsidR="009278C8" w:rsidRPr="003A3D9D" w:rsidRDefault="009278C8" w:rsidP="009278C8">
      <w:pPr>
        <w:pStyle w:val="Citation-AltC"/>
        <w:ind w:firstLine="274"/>
      </w:pPr>
      <w:r w:rsidRPr="003A3D9D">
        <w:t>(2) Each chief firearms officer shall ensure the destruction as soon as feasible of all records under their control related to the registration of firearms that are neither prohibited firearms nor restricted firearms and all copies of those records under their control.</w:t>
      </w:r>
    </w:p>
    <w:p w:rsidR="009278C8" w:rsidRPr="003A3D9D" w:rsidRDefault="009278C8" w:rsidP="009278C8">
      <w:pPr>
        <w:pStyle w:val="Citation-AltC"/>
      </w:pPr>
    </w:p>
    <w:p w:rsidR="009278C8" w:rsidRPr="003A3D9D" w:rsidRDefault="009278C8" w:rsidP="009278C8">
      <w:pPr>
        <w:pStyle w:val="Citation-AltC"/>
        <w:ind w:firstLine="274"/>
      </w:pPr>
      <w:r w:rsidRPr="003A3D9D">
        <w:t xml:space="preserve">(3) Sections 12 and 13 of the </w:t>
      </w:r>
      <w:r w:rsidRPr="003A3D9D">
        <w:rPr>
          <w:i/>
        </w:rPr>
        <w:t>Library and Archives of Canada Act</w:t>
      </w:r>
      <w:r w:rsidRPr="003A3D9D">
        <w:t xml:space="preserve"> and subsections 6(1) and (3) of the </w:t>
      </w:r>
      <w:r w:rsidRPr="003A3D9D">
        <w:rPr>
          <w:i/>
        </w:rPr>
        <w:t>Privacy Act</w:t>
      </w:r>
      <w:r w:rsidRPr="003A3D9D">
        <w:t xml:space="preserve"> do not apply with respect to the destruction of the records and copies referred to in subsections (1) and (2).</w:t>
      </w:r>
    </w:p>
    <w:p w:rsidR="009278C8" w:rsidRPr="003A3D9D" w:rsidRDefault="009278C8" w:rsidP="009278C8">
      <w:pPr>
        <w:pStyle w:val="ParaNoNdepar-AltN"/>
        <w:rPr>
          <w:rFonts w:cs="Times New Roman"/>
        </w:rPr>
      </w:pPr>
      <w:r w:rsidRPr="003A3D9D">
        <w:rPr>
          <w:rFonts w:cs="Times New Roman"/>
        </w:rPr>
        <w:lastRenderedPageBreak/>
        <w:t>When it became clear that Canada was going forward with the repeal of the re</w:t>
      </w:r>
      <w:r>
        <w:rPr>
          <w:rFonts w:cs="Times New Roman"/>
        </w:rPr>
        <w:t xml:space="preserve">gistration requirement for long </w:t>
      </w:r>
      <w:r w:rsidRPr="003A3D9D">
        <w:rPr>
          <w:rFonts w:cs="Times New Roman"/>
        </w:rPr>
        <w:t>guns, Quebec expressed its intention to create its own long</w:t>
      </w:r>
      <w:r>
        <w:rPr>
          <w:rFonts w:cs="Times New Roman"/>
        </w:rPr>
        <w:t>-</w:t>
      </w:r>
      <w:r w:rsidRPr="003A3D9D">
        <w:rPr>
          <w:rFonts w:cs="Times New Roman"/>
        </w:rPr>
        <w:t>gun registry and asked the federal authorities for the data connected to Quebec contained in the CFR.  Canada refused and made clear that it intended to permanently destroy all data related to the registration of long</w:t>
      </w:r>
      <w:r>
        <w:rPr>
          <w:rFonts w:cs="Times New Roman"/>
        </w:rPr>
        <w:t xml:space="preserve"> </w:t>
      </w:r>
      <w:r w:rsidRPr="003A3D9D">
        <w:rPr>
          <w:rFonts w:cs="Times New Roman"/>
        </w:rPr>
        <w:t>guns.  In light of this refusal, Quebec sought a declaration that s.</w:t>
      </w:r>
      <w:r>
        <w:rPr>
          <w:rFonts w:cs="Times New Roman"/>
        </w:rPr>
        <w:t xml:space="preserve"> </w:t>
      </w:r>
      <w:r w:rsidRPr="003A3D9D">
        <w:rPr>
          <w:rFonts w:cs="Times New Roman"/>
        </w:rPr>
        <w:t xml:space="preserve">29 </w:t>
      </w:r>
      <w:r>
        <w:rPr>
          <w:rFonts w:cs="Times New Roman"/>
        </w:rPr>
        <w:t xml:space="preserve">of the </w:t>
      </w:r>
      <w:r>
        <w:rPr>
          <w:rFonts w:cs="Times New Roman"/>
          <w:i/>
        </w:rPr>
        <w:t xml:space="preserve">ELRA </w:t>
      </w:r>
      <w:r w:rsidRPr="003A3D9D">
        <w:rPr>
          <w:rFonts w:cs="Times New Roman"/>
        </w:rPr>
        <w:t xml:space="preserve">is </w:t>
      </w:r>
      <w:r w:rsidRPr="003A3D9D">
        <w:rPr>
          <w:rFonts w:cs="Times New Roman"/>
          <w:i/>
        </w:rPr>
        <w:t>ultra vires</w:t>
      </w:r>
      <w:r w:rsidRPr="003A3D9D">
        <w:rPr>
          <w:rFonts w:cs="Times New Roman"/>
        </w:rPr>
        <w:t xml:space="preserve"> (that is, beyond the powers of Parliament), and that Quebec has a right to obtain the data.  To date, the </w:t>
      </w:r>
      <w:r>
        <w:rPr>
          <w:rFonts w:cs="Times New Roman"/>
        </w:rPr>
        <w:t xml:space="preserve">Quebec </w:t>
      </w:r>
      <w:r w:rsidRPr="003A3D9D">
        <w:rPr>
          <w:rFonts w:cs="Times New Roman"/>
        </w:rPr>
        <w:t>National Assembly has not enacted legislation creating a provincial long-gun registry.</w:t>
      </w:r>
    </w:p>
    <w:p w:rsidR="009278C8" w:rsidRPr="003A3D9D" w:rsidRDefault="009278C8" w:rsidP="009278C8">
      <w:pPr>
        <w:pStyle w:val="Title2LevelTitre2Niveau"/>
        <w:rPr>
          <w:rFonts w:cs="Times New Roman"/>
        </w:rPr>
      </w:pPr>
      <w:r w:rsidRPr="003A3D9D">
        <w:rPr>
          <w:rFonts w:cs="Times New Roman"/>
        </w:rPr>
        <w:t>Superior Court of Quebec</w:t>
      </w:r>
      <w:r>
        <w:rPr>
          <w:rFonts w:cs="Times New Roman"/>
        </w:rPr>
        <w:t>, 2012 QCCS 4202</w:t>
      </w:r>
    </w:p>
    <w:p w:rsidR="009278C8" w:rsidRPr="003A3D9D" w:rsidRDefault="009278C8" w:rsidP="009278C8">
      <w:pPr>
        <w:pStyle w:val="ParaNoNdepar-AltN"/>
        <w:rPr>
          <w:rFonts w:cs="Times New Roman"/>
        </w:rPr>
      </w:pPr>
      <w:r w:rsidRPr="003A3D9D">
        <w:rPr>
          <w:rFonts w:cs="Times New Roman"/>
        </w:rPr>
        <w:t>In the Superior Court, Blanchard J. held that the CFR is the result of concerted efforts between the different levels of government (federal, provincial and municipal) and is therefore a r</w:t>
      </w:r>
      <w:r>
        <w:rPr>
          <w:rFonts w:cs="Times New Roman"/>
        </w:rPr>
        <w:t>esult of cooperative federalism</w:t>
      </w:r>
      <w:r w:rsidRPr="003A3D9D">
        <w:rPr>
          <w:rFonts w:cs="Times New Roman"/>
        </w:rPr>
        <w:t>.  Finding that the pith and substance of s.</w:t>
      </w:r>
      <w:r>
        <w:rPr>
          <w:rFonts w:cs="Times New Roman"/>
        </w:rPr>
        <w:t xml:space="preserve"> </w:t>
      </w:r>
      <w:r w:rsidRPr="003A3D9D">
        <w:rPr>
          <w:rFonts w:cs="Times New Roman"/>
        </w:rPr>
        <w:t xml:space="preserve">29 is to prevent provincial governments from exercising their legislative competence by </w:t>
      </w:r>
      <w:r>
        <w:rPr>
          <w:rFonts w:cs="Times New Roman"/>
        </w:rPr>
        <w:t xml:space="preserve">precluding </w:t>
      </w:r>
      <w:r w:rsidRPr="003A3D9D">
        <w:rPr>
          <w:rFonts w:cs="Times New Roman"/>
        </w:rPr>
        <w:t>them from using the product of this partnership, he held that s.</w:t>
      </w:r>
      <w:r>
        <w:rPr>
          <w:rFonts w:cs="Times New Roman"/>
        </w:rPr>
        <w:t xml:space="preserve"> </w:t>
      </w:r>
      <w:r w:rsidRPr="003A3D9D">
        <w:rPr>
          <w:rFonts w:cs="Times New Roman"/>
        </w:rPr>
        <w:t xml:space="preserve">29 amounts to a violation of the principle of cooperative federalism and is </w:t>
      </w:r>
      <w:r w:rsidRPr="003A3D9D">
        <w:rPr>
          <w:rFonts w:cs="Times New Roman"/>
          <w:i/>
        </w:rPr>
        <w:t>ultra vires</w:t>
      </w:r>
      <w:r w:rsidRPr="003A3D9D">
        <w:rPr>
          <w:rFonts w:cs="Times New Roman"/>
        </w:rPr>
        <w:t xml:space="preserve"> the powers of Parliament to legislate in relation to criminal law.  </w:t>
      </w:r>
    </w:p>
    <w:p w:rsidR="009278C8" w:rsidRPr="003A3D9D" w:rsidRDefault="009278C8" w:rsidP="009278C8">
      <w:pPr>
        <w:pStyle w:val="ParaNoNdepar-AltN"/>
        <w:rPr>
          <w:rFonts w:cs="Times New Roman"/>
        </w:rPr>
      </w:pPr>
      <w:r w:rsidRPr="003A3D9D">
        <w:rPr>
          <w:rFonts w:cs="Times New Roman"/>
        </w:rPr>
        <w:t>In addition to declaring s.</w:t>
      </w:r>
      <w:r>
        <w:rPr>
          <w:rFonts w:cs="Times New Roman"/>
        </w:rPr>
        <w:t xml:space="preserve"> </w:t>
      </w:r>
      <w:r w:rsidRPr="003A3D9D">
        <w:rPr>
          <w:rFonts w:cs="Times New Roman"/>
        </w:rPr>
        <w:t xml:space="preserve">29 </w:t>
      </w:r>
      <w:r>
        <w:rPr>
          <w:rFonts w:cs="Times New Roman"/>
        </w:rPr>
        <w:t xml:space="preserve">of the </w:t>
      </w:r>
      <w:r>
        <w:rPr>
          <w:rFonts w:cs="Times New Roman"/>
          <w:i/>
        </w:rPr>
        <w:t xml:space="preserve">ELRA </w:t>
      </w:r>
      <w:r w:rsidRPr="003A3D9D">
        <w:rPr>
          <w:rFonts w:cs="Times New Roman"/>
        </w:rPr>
        <w:t>unconstitutional</w:t>
      </w:r>
      <w:r>
        <w:rPr>
          <w:rFonts w:cs="Times New Roman"/>
        </w:rPr>
        <w:t xml:space="preserve"> as it applies to data connected to Quebec</w:t>
      </w:r>
      <w:r w:rsidRPr="003A3D9D">
        <w:rPr>
          <w:rFonts w:cs="Times New Roman"/>
        </w:rPr>
        <w:t xml:space="preserve">, Blanchard J. ordered Canada to transfer </w:t>
      </w:r>
      <w:r>
        <w:rPr>
          <w:rFonts w:cs="Times New Roman"/>
        </w:rPr>
        <w:t xml:space="preserve">that </w:t>
      </w:r>
      <w:r w:rsidRPr="003A3D9D">
        <w:rPr>
          <w:rFonts w:cs="Times New Roman"/>
        </w:rPr>
        <w:t>data</w:t>
      </w:r>
      <w:r>
        <w:rPr>
          <w:rFonts w:cs="Times New Roman"/>
        </w:rPr>
        <w:t xml:space="preserve"> to the province</w:t>
      </w:r>
      <w:r w:rsidRPr="003A3D9D">
        <w:rPr>
          <w:rFonts w:cs="Times New Roman"/>
        </w:rPr>
        <w:t>.</w:t>
      </w:r>
    </w:p>
    <w:p w:rsidR="009278C8" w:rsidRPr="003A3D9D" w:rsidRDefault="009278C8" w:rsidP="009278C8">
      <w:pPr>
        <w:pStyle w:val="Title2LevelTitre2Niveau"/>
        <w:rPr>
          <w:rFonts w:cs="Times New Roman"/>
        </w:rPr>
      </w:pPr>
      <w:r>
        <w:rPr>
          <w:rFonts w:cs="Times New Roman"/>
        </w:rPr>
        <w:lastRenderedPageBreak/>
        <w:t>Quebec Court of Appeal, 2013 QCCA 1138</w:t>
      </w:r>
    </w:p>
    <w:p w:rsidR="009278C8" w:rsidRPr="003A3D9D" w:rsidRDefault="009278C8" w:rsidP="009278C8">
      <w:pPr>
        <w:pStyle w:val="ParaNoNdepar-AltN"/>
        <w:rPr>
          <w:rFonts w:cs="Times New Roman"/>
        </w:rPr>
      </w:pPr>
      <w:r w:rsidRPr="003A3D9D">
        <w:rPr>
          <w:rFonts w:cs="Times New Roman"/>
        </w:rPr>
        <w:t xml:space="preserve">A five-judge </w:t>
      </w:r>
      <w:r>
        <w:rPr>
          <w:rFonts w:cs="Times New Roman"/>
        </w:rPr>
        <w:t xml:space="preserve">panel </w:t>
      </w:r>
      <w:r w:rsidRPr="003A3D9D">
        <w:rPr>
          <w:rFonts w:cs="Times New Roman"/>
        </w:rPr>
        <w:t xml:space="preserve">of the Court of Appeal unanimously reversed the decision of Blanchard J.  </w:t>
      </w:r>
    </w:p>
    <w:p w:rsidR="009278C8" w:rsidRPr="003A3D9D" w:rsidRDefault="009278C8" w:rsidP="009278C8">
      <w:pPr>
        <w:pStyle w:val="ParaNoNdepar-AltN"/>
        <w:rPr>
          <w:rFonts w:cs="Times New Roman"/>
        </w:rPr>
      </w:pPr>
      <w:r w:rsidRPr="003A3D9D">
        <w:rPr>
          <w:rFonts w:cs="Times New Roman"/>
        </w:rPr>
        <w:t>Writing for the Court of Appeal, Duval Hesler C.J.Q. held that Blanchard J. confounded some aspects o</w:t>
      </w:r>
      <w:r>
        <w:rPr>
          <w:rFonts w:cs="Times New Roman"/>
        </w:rPr>
        <w:t>f the Canadian Firearms Registration System</w:t>
      </w:r>
      <w:r w:rsidRPr="003A3D9D">
        <w:rPr>
          <w:rFonts w:cs="Times New Roman"/>
        </w:rPr>
        <w:t>.  This confusion resulted in an erroneous finding of fact that the CFR is the result of a partnership between both orders of government.  That being said, Duval Hesler C.J.Q. concluded that this error was of little significance since</w:t>
      </w:r>
      <w:r>
        <w:rPr>
          <w:rFonts w:cs="Times New Roman"/>
        </w:rPr>
        <w:t>,</w:t>
      </w:r>
      <w:r w:rsidRPr="003A3D9D">
        <w:rPr>
          <w:rFonts w:cs="Times New Roman"/>
        </w:rPr>
        <w:t xml:space="preserve"> in her view</w:t>
      </w:r>
      <w:r>
        <w:rPr>
          <w:rFonts w:cs="Times New Roman"/>
        </w:rPr>
        <w:t>,</w:t>
      </w:r>
      <w:r w:rsidRPr="003A3D9D">
        <w:rPr>
          <w:rFonts w:cs="Times New Roman"/>
        </w:rPr>
        <w:t xml:space="preserve"> Parliament clearly has the power to destroy the data independent of the existence of any federal-provincial partnership.</w:t>
      </w:r>
    </w:p>
    <w:p w:rsidR="009278C8" w:rsidRPr="003A3D9D" w:rsidRDefault="009278C8" w:rsidP="009278C8">
      <w:pPr>
        <w:pStyle w:val="ParaNoNdepar-AltN"/>
        <w:rPr>
          <w:rFonts w:cs="Times New Roman"/>
        </w:rPr>
      </w:pPr>
      <w:r w:rsidRPr="003A3D9D">
        <w:rPr>
          <w:rFonts w:cs="Times New Roman"/>
        </w:rPr>
        <w:t xml:space="preserve">The Court of Appeal reasoned that, since this Court held in the </w:t>
      </w:r>
      <w:r w:rsidRPr="003A3D9D">
        <w:rPr>
          <w:rFonts w:cs="Times New Roman"/>
          <w:i/>
        </w:rPr>
        <w:t xml:space="preserve">Reference re Firearms Act </w:t>
      </w:r>
      <w:r w:rsidRPr="003A3D9D">
        <w:rPr>
          <w:rFonts w:cs="Times New Roman"/>
        </w:rPr>
        <w:t xml:space="preserve">that the creation of the CFR was </w:t>
      </w:r>
      <w:r w:rsidRPr="003A3D9D">
        <w:rPr>
          <w:rFonts w:cs="Times New Roman"/>
          <w:i/>
        </w:rPr>
        <w:t>intra vires</w:t>
      </w:r>
      <w:r w:rsidRPr="003A3D9D">
        <w:rPr>
          <w:rFonts w:cs="Times New Roman"/>
        </w:rPr>
        <w:t xml:space="preserve"> (that is, within the authority of) the federal Parliament, Parliament can also legislate to</w:t>
      </w:r>
      <w:r>
        <w:rPr>
          <w:rFonts w:cs="Times New Roman"/>
        </w:rPr>
        <w:t xml:space="preserve"> destroy it</w:t>
      </w:r>
      <w:r w:rsidRPr="003A3D9D">
        <w:rPr>
          <w:rFonts w:cs="Times New Roman"/>
        </w:rPr>
        <w:t xml:space="preserve">.  It also held that the principle of cooperative federalism cannot be used to supersede the formal division of powers provided in the </w:t>
      </w:r>
      <w:r w:rsidRPr="003A3D9D">
        <w:rPr>
          <w:rFonts w:cs="Times New Roman"/>
          <w:i/>
        </w:rPr>
        <w:t>Constitution Act, 1867</w:t>
      </w:r>
      <w:r w:rsidRPr="003A3D9D">
        <w:rPr>
          <w:rFonts w:cs="Times New Roman"/>
        </w:rPr>
        <w:t>.</w:t>
      </w:r>
    </w:p>
    <w:p w:rsidR="009278C8" w:rsidRPr="003A3D9D" w:rsidRDefault="009278C8" w:rsidP="009278C8">
      <w:pPr>
        <w:pStyle w:val="ParaNoNdepar-AltN"/>
        <w:rPr>
          <w:rFonts w:cs="Times New Roman"/>
        </w:rPr>
      </w:pPr>
      <w:r w:rsidRPr="003A3D9D">
        <w:rPr>
          <w:rFonts w:cs="Times New Roman"/>
        </w:rPr>
        <w:t xml:space="preserve">Finally, the Court of Appeal determined that Quebec has no right to obtain the data.  The facts that Quebec had chosen to appoint </w:t>
      </w:r>
      <w:r>
        <w:rPr>
          <w:rFonts w:cs="Times New Roman"/>
        </w:rPr>
        <w:t xml:space="preserve">a CFO </w:t>
      </w:r>
      <w:r w:rsidRPr="003A3D9D">
        <w:rPr>
          <w:rFonts w:cs="Times New Roman"/>
        </w:rPr>
        <w:t>and that both governments</w:t>
      </w:r>
      <w:r>
        <w:rPr>
          <w:rFonts w:cs="Times New Roman"/>
        </w:rPr>
        <w:t xml:space="preserve"> had</w:t>
      </w:r>
      <w:r w:rsidRPr="003A3D9D">
        <w:rPr>
          <w:rFonts w:cs="Times New Roman"/>
        </w:rPr>
        <w:t xml:space="preserve"> entered into a financial agreement did not have the effect of </w:t>
      </w:r>
      <w:r>
        <w:rPr>
          <w:rFonts w:cs="Times New Roman"/>
        </w:rPr>
        <w:t>granting Quebec</w:t>
      </w:r>
      <w:r w:rsidRPr="003A3D9D">
        <w:rPr>
          <w:rFonts w:cs="Times New Roman"/>
        </w:rPr>
        <w:t xml:space="preserve"> any </w:t>
      </w:r>
      <w:r>
        <w:rPr>
          <w:rFonts w:cs="Times New Roman"/>
        </w:rPr>
        <w:t xml:space="preserve">property </w:t>
      </w:r>
      <w:r w:rsidRPr="003A3D9D">
        <w:rPr>
          <w:rFonts w:cs="Times New Roman"/>
        </w:rPr>
        <w:t>right</w:t>
      </w:r>
      <w:r>
        <w:rPr>
          <w:rFonts w:cs="Times New Roman"/>
        </w:rPr>
        <w:t xml:space="preserve"> in</w:t>
      </w:r>
      <w:r w:rsidRPr="003A3D9D">
        <w:rPr>
          <w:rFonts w:cs="Times New Roman"/>
        </w:rPr>
        <w:t xml:space="preserve"> the data.</w:t>
      </w:r>
    </w:p>
    <w:p w:rsidR="009278C8" w:rsidRPr="003A3D9D" w:rsidRDefault="009278C8" w:rsidP="009278C8">
      <w:pPr>
        <w:pStyle w:val="Title1LevelTitre1Niveau-AltL"/>
        <w:rPr>
          <w:rFonts w:cs="Times New Roman"/>
        </w:rPr>
      </w:pPr>
      <w:r w:rsidRPr="003A3D9D">
        <w:rPr>
          <w:rFonts w:cs="Times New Roman"/>
        </w:rPr>
        <w:lastRenderedPageBreak/>
        <w:t>Analysis</w:t>
      </w:r>
    </w:p>
    <w:p w:rsidR="009278C8" w:rsidRPr="003A3D9D" w:rsidRDefault="009278C8" w:rsidP="003619CB">
      <w:pPr>
        <w:pStyle w:val="Title2LevelTitre2Niveau"/>
        <w:jc w:val="both"/>
        <w:rPr>
          <w:rFonts w:cs="Times New Roman"/>
        </w:rPr>
      </w:pPr>
      <w:r w:rsidRPr="003A3D9D">
        <w:rPr>
          <w:rFonts w:cs="Times New Roman"/>
        </w:rPr>
        <w:t>Does the</w:t>
      </w:r>
      <w:r>
        <w:rPr>
          <w:rFonts w:cs="Times New Roman"/>
        </w:rPr>
        <w:t xml:space="preserve"> Principle of C</w:t>
      </w:r>
      <w:r w:rsidRPr="003A3D9D">
        <w:rPr>
          <w:rFonts w:cs="Times New Roman"/>
        </w:rPr>
        <w:t xml:space="preserve">ooperative </w:t>
      </w:r>
      <w:r>
        <w:rPr>
          <w:rFonts w:cs="Times New Roman"/>
        </w:rPr>
        <w:t>F</w:t>
      </w:r>
      <w:r w:rsidRPr="003A3D9D">
        <w:rPr>
          <w:rFonts w:cs="Times New Roman"/>
        </w:rPr>
        <w:t>ederalism</w:t>
      </w:r>
      <w:r>
        <w:rPr>
          <w:rFonts w:cs="Times New Roman"/>
        </w:rPr>
        <w:t xml:space="preserve"> P</w:t>
      </w:r>
      <w:r w:rsidRPr="003A3D9D">
        <w:rPr>
          <w:rFonts w:cs="Times New Roman"/>
        </w:rPr>
        <w:t xml:space="preserve">revent Parliament </w:t>
      </w:r>
      <w:r>
        <w:rPr>
          <w:rFonts w:cs="Times New Roman"/>
        </w:rPr>
        <w:t>From Legislating to Dispose of the D</w:t>
      </w:r>
      <w:r w:rsidRPr="003A3D9D">
        <w:rPr>
          <w:rFonts w:cs="Times New Roman"/>
        </w:rPr>
        <w:t>ata?</w:t>
      </w:r>
    </w:p>
    <w:p w:rsidR="009278C8" w:rsidRPr="003A3D9D" w:rsidRDefault="009278C8" w:rsidP="009278C8">
      <w:pPr>
        <w:pStyle w:val="ParaNoNdepar-AltN"/>
        <w:rPr>
          <w:rFonts w:cs="Times New Roman"/>
        </w:rPr>
      </w:pPr>
      <w:r w:rsidRPr="003A3D9D">
        <w:rPr>
          <w:rFonts w:cs="Times New Roman"/>
        </w:rPr>
        <w:t>Quebec invokes the principle of cooperative federalism in support of both its argument that s.</w:t>
      </w:r>
      <w:r>
        <w:rPr>
          <w:rFonts w:cs="Times New Roman"/>
        </w:rPr>
        <w:t xml:space="preserve"> </w:t>
      </w:r>
      <w:r w:rsidRPr="003A3D9D">
        <w:rPr>
          <w:rFonts w:cs="Times New Roman"/>
        </w:rPr>
        <w:t xml:space="preserve">29 </w:t>
      </w:r>
      <w:r>
        <w:rPr>
          <w:rFonts w:cs="Times New Roman"/>
        </w:rPr>
        <w:t xml:space="preserve">of the </w:t>
      </w:r>
      <w:r>
        <w:rPr>
          <w:rFonts w:cs="Times New Roman"/>
          <w:i/>
        </w:rPr>
        <w:t xml:space="preserve">ELRA </w:t>
      </w:r>
      <w:r w:rsidRPr="003A3D9D">
        <w:rPr>
          <w:rFonts w:cs="Times New Roman"/>
        </w:rPr>
        <w:t xml:space="preserve">is </w:t>
      </w:r>
      <w:r w:rsidRPr="003A3D9D">
        <w:rPr>
          <w:rFonts w:cs="Times New Roman"/>
          <w:i/>
        </w:rPr>
        <w:t>ultra vires</w:t>
      </w:r>
      <w:r w:rsidRPr="003A3D9D">
        <w:rPr>
          <w:rFonts w:cs="Times New Roman"/>
        </w:rPr>
        <w:t xml:space="preserve"> and its claim that Quebec has the right to receive the data conta</w:t>
      </w:r>
      <w:r>
        <w:rPr>
          <w:rFonts w:cs="Times New Roman"/>
        </w:rPr>
        <w:t xml:space="preserve">ined in the CFR related to long </w:t>
      </w:r>
      <w:r w:rsidRPr="003A3D9D">
        <w:rPr>
          <w:rFonts w:cs="Times New Roman"/>
        </w:rPr>
        <w:t>guns connected to</w:t>
      </w:r>
      <w:r>
        <w:rPr>
          <w:rFonts w:cs="Times New Roman"/>
        </w:rPr>
        <w:t xml:space="preserve"> Quebec</w:t>
      </w:r>
      <w:r w:rsidRPr="003A3D9D">
        <w:rPr>
          <w:rFonts w:cs="Times New Roman"/>
        </w:rPr>
        <w:t xml:space="preserve">.  In essence, Quebec is asking us to recognize that the principle of cooperative federalism </w:t>
      </w:r>
      <w:r>
        <w:rPr>
          <w:rFonts w:cs="Times New Roman"/>
        </w:rPr>
        <w:t>prevents</w:t>
      </w:r>
      <w:r w:rsidRPr="003A3D9D">
        <w:rPr>
          <w:rFonts w:cs="Times New Roman"/>
        </w:rPr>
        <w:t xml:space="preserve"> Canada and the provinces </w:t>
      </w:r>
      <w:r>
        <w:rPr>
          <w:rFonts w:cs="Times New Roman"/>
        </w:rPr>
        <w:t xml:space="preserve">from </w:t>
      </w:r>
      <w:r w:rsidRPr="003A3D9D">
        <w:rPr>
          <w:rFonts w:cs="Times New Roman"/>
        </w:rPr>
        <w:t>act</w:t>
      </w:r>
      <w:r>
        <w:rPr>
          <w:rFonts w:cs="Times New Roman"/>
        </w:rPr>
        <w:t>ing</w:t>
      </w:r>
      <w:r w:rsidRPr="003A3D9D">
        <w:rPr>
          <w:rFonts w:cs="Times New Roman"/>
        </w:rPr>
        <w:t xml:space="preserve"> or legislat</w:t>
      </w:r>
      <w:r>
        <w:rPr>
          <w:rFonts w:cs="Times New Roman"/>
        </w:rPr>
        <w:t>ing</w:t>
      </w:r>
      <w:r w:rsidRPr="003A3D9D">
        <w:rPr>
          <w:rFonts w:cs="Times New Roman"/>
        </w:rPr>
        <w:t xml:space="preserve"> in a way that would hinder cooperation between both orders of government, especially in spheres of concurrent jurisdiction.  </w:t>
      </w:r>
    </w:p>
    <w:p w:rsidR="009278C8" w:rsidRPr="003A3D9D" w:rsidRDefault="009278C8" w:rsidP="009278C8">
      <w:pPr>
        <w:pStyle w:val="ParaNoNdepar-AltN"/>
        <w:rPr>
          <w:rFonts w:cs="Times New Roman"/>
        </w:rPr>
      </w:pPr>
      <w:r w:rsidRPr="003A3D9D">
        <w:rPr>
          <w:rFonts w:cs="Times New Roman"/>
        </w:rPr>
        <w:t xml:space="preserve">In our respectful view, Quebec’s position has no foundation in our constitutional law and is contrary to the governing authorities from this Court. </w:t>
      </w:r>
    </w:p>
    <w:p w:rsidR="009278C8" w:rsidRPr="003A3D9D" w:rsidRDefault="009278C8" w:rsidP="009278C8">
      <w:pPr>
        <w:pStyle w:val="ParaNoNdepar-AltN"/>
        <w:rPr>
          <w:rFonts w:cs="Times New Roman"/>
        </w:rPr>
      </w:pPr>
      <w:r w:rsidRPr="003A3D9D">
        <w:rPr>
          <w:rFonts w:cs="Times New Roman"/>
        </w:rPr>
        <w:t>Cooperative federalism is a concept used to describe the “network of relationships between the executives of the central and regional governments [through which] mechanisms are developed, esp</w:t>
      </w:r>
      <w:r>
        <w:rPr>
          <w:rFonts w:cs="Times New Roman"/>
        </w:rPr>
        <w:t>ecially</w:t>
      </w:r>
      <w:r w:rsidRPr="003A3D9D">
        <w:rPr>
          <w:rFonts w:cs="Times New Roman"/>
        </w:rPr>
        <w:t xml:space="preserve"> fiscal mechanisms, which allow a continuous redistribution of powers and resources without recourse to the courts or the amending process”: </w:t>
      </w:r>
      <w:r w:rsidRPr="003A3D9D">
        <w:rPr>
          <w:rFonts w:cs="Times New Roman"/>
          <w:szCs w:val="24"/>
        </w:rPr>
        <w:t>P</w:t>
      </w:r>
      <w:r>
        <w:rPr>
          <w:rFonts w:cs="Times New Roman"/>
          <w:szCs w:val="24"/>
        </w:rPr>
        <w:t>.</w:t>
      </w:r>
      <w:r w:rsidRPr="003A3D9D">
        <w:rPr>
          <w:rFonts w:cs="Times New Roman"/>
          <w:szCs w:val="24"/>
        </w:rPr>
        <w:t xml:space="preserve"> W. Hogg, </w:t>
      </w:r>
      <w:r w:rsidRPr="003A3D9D">
        <w:rPr>
          <w:rFonts w:cs="Times New Roman"/>
          <w:i/>
          <w:szCs w:val="24"/>
        </w:rPr>
        <w:t>Constitutional Law of Canada</w:t>
      </w:r>
      <w:r w:rsidRPr="003A3D9D">
        <w:rPr>
          <w:rFonts w:cs="Times New Roman"/>
          <w:szCs w:val="24"/>
        </w:rPr>
        <w:t xml:space="preserve"> </w:t>
      </w:r>
      <w:r>
        <w:rPr>
          <w:rFonts w:cs="Times New Roman"/>
          <w:szCs w:val="24"/>
        </w:rPr>
        <w:t>(</w:t>
      </w:r>
      <w:r w:rsidRPr="003A3D9D">
        <w:rPr>
          <w:rFonts w:cs="Times New Roman"/>
          <w:szCs w:val="24"/>
        </w:rPr>
        <w:t>5th ed. Supp.</w:t>
      </w:r>
      <w:r>
        <w:rPr>
          <w:rFonts w:cs="Times New Roman"/>
          <w:szCs w:val="24"/>
        </w:rPr>
        <w:t>)</w:t>
      </w:r>
      <w:r w:rsidRPr="003A3D9D">
        <w:rPr>
          <w:rFonts w:cs="Times New Roman"/>
          <w:szCs w:val="24"/>
        </w:rPr>
        <w:t xml:space="preserve">, </w:t>
      </w:r>
      <w:r w:rsidRPr="003A3D9D">
        <w:rPr>
          <w:rFonts w:cs="Times New Roman"/>
        </w:rPr>
        <w:t xml:space="preserve">at </w:t>
      </w:r>
      <w:r>
        <w:rPr>
          <w:rFonts w:cs="Times New Roman"/>
        </w:rPr>
        <w:t xml:space="preserve">p. </w:t>
      </w:r>
      <w:r w:rsidRPr="003A3D9D">
        <w:rPr>
          <w:rFonts w:cs="Times New Roman"/>
        </w:rPr>
        <w:t>5-46; see also</w:t>
      </w:r>
      <w:r>
        <w:rPr>
          <w:rFonts w:cs="Times New Roman"/>
        </w:rPr>
        <w:t xml:space="preserve"> W. R. Lederman,</w:t>
      </w:r>
      <w:r w:rsidRPr="003A3D9D">
        <w:rPr>
          <w:rFonts w:cs="Times New Roman"/>
        </w:rPr>
        <w:t xml:space="preserve"> “Some Forms and Limitations of Co-Operative Federalism”</w:t>
      </w:r>
      <w:r>
        <w:rPr>
          <w:rFonts w:cs="Times New Roman"/>
        </w:rPr>
        <w:t>,</w:t>
      </w:r>
      <w:r w:rsidRPr="003A3D9D">
        <w:rPr>
          <w:rFonts w:cs="Times New Roman"/>
        </w:rPr>
        <w:t xml:space="preserve"> in </w:t>
      </w:r>
      <w:r w:rsidRPr="003A3D9D">
        <w:rPr>
          <w:rFonts w:cs="Times New Roman"/>
          <w:i/>
        </w:rPr>
        <w:t>Continuing Canadian Constitutional Dilemmas</w:t>
      </w:r>
      <w:r w:rsidRPr="003A3D9D">
        <w:rPr>
          <w:rFonts w:cs="Times New Roman"/>
        </w:rPr>
        <w:t xml:space="preserve"> (1981), </w:t>
      </w:r>
      <w:r>
        <w:rPr>
          <w:rFonts w:cs="Times New Roman"/>
        </w:rPr>
        <w:t>314</w:t>
      </w:r>
      <w:r w:rsidRPr="003A3D9D">
        <w:rPr>
          <w:rFonts w:cs="Times New Roman"/>
        </w:rPr>
        <w:t xml:space="preserve">.  From this descriptive concept of cooperative federalism, courts have developed a legal principle that has been invoked to provide flexibility in separation of powers </w:t>
      </w:r>
      <w:r w:rsidRPr="003A3D9D">
        <w:rPr>
          <w:rFonts w:cs="Times New Roman"/>
        </w:rPr>
        <w:lastRenderedPageBreak/>
        <w:t>doctrines, such as federal paramountcy and interjurisdictional immunity.  It is used to facilitate interlocking federal and provincial legislative schemes and to avoid unnecessary constraints on provincial legislative action: see, e.g.</w:t>
      </w:r>
      <w:r>
        <w:rPr>
          <w:rFonts w:cs="Times New Roman"/>
        </w:rPr>
        <w:t>,</w:t>
      </w:r>
      <w:r w:rsidRPr="003A3D9D">
        <w:rPr>
          <w:rFonts w:cs="Times New Roman"/>
        </w:rPr>
        <w:t xml:space="preserve"> </w:t>
      </w:r>
      <w:r w:rsidRPr="003A3D9D">
        <w:rPr>
          <w:rFonts w:cs="Times New Roman"/>
          <w:i/>
        </w:rPr>
        <w:t xml:space="preserve">Canadian Western Bank </w:t>
      </w:r>
      <w:r w:rsidRPr="003A3D9D">
        <w:rPr>
          <w:rFonts w:cs="Times New Roman"/>
          <w:i/>
          <w:iCs/>
        </w:rPr>
        <w:t>v.</w:t>
      </w:r>
      <w:r w:rsidRPr="003A3D9D">
        <w:rPr>
          <w:rFonts w:cs="Times New Roman"/>
          <w:i/>
        </w:rPr>
        <w:t xml:space="preserve"> Alberta</w:t>
      </w:r>
      <w:r>
        <w:rPr>
          <w:rFonts w:cs="Times New Roman"/>
        </w:rPr>
        <w:t xml:space="preserve">, 2007 </w:t>
      </w:r>
      <w:r w:rsidRPr="003A3D9D">
        <w:rPr>
          <w:rFonts w:cs="Times New Roman"/>
        </w:rPr>
        <w:t>S</w:t>
      </w:r>
      <w:r>
        <w:rPr>
          <w:rFonts w:cs="Times New Roman"/>
        </w:rPr>
        <w:t>C</w:t>
      </w:r>
      <w:r w:rsidRPr="003A3D9D">
        <w:rPr>
          <w:rFonts w:cs="Times New Roman"/>
        </w:rPr>
        <w:t>C 22, [2007] 2 S.C.R. 3, at paras.</w:t>
      </w:r>
      <w:r>
        <w:rPr>
          <w:rFonts w:cs="Times New Roman"/>
        </w:rPr>
        <w:t xml:space="preserve"> </w:t>
      </w:r>
      <w:r w:rsidRPr="003A3D9D">
        <w:rPr>
          <w:rFonts w:cs="Times New Roman"/>
          <w:lang w:val="fr-CA"/>
        </w:rPr>
        <w:t xml:space="preserve">24 and 43; </w:t>
      </w:r>
      <w:r w:rsidRPr="003A3D9D">
        <w:rPr>
          <w:rFonts w:cs="Times New Roman"/>
          <w:i/>
          <w:lang w:val="fr-CA"/>
        </w:rPr>
        <w:t>Reference re Agricultural Products Marketing Act</w:t>
      </w:r>
      <w:r w:rsidRPr="003A3D9D">
        <w:rPr>
          <w:rFonts w:cs="Times New Roman"/>
          <w:lang w:val="fr-CA"/>
        </w:rPr>
        <w:t xml:space="preserve">, [1978] 2 S.C.R. 1198; </w:t>
      </w:r>
      <w:r w:rsidRPr="003A3D9D">
        <w:rPr>
          <w:rFonts w:cs="Times New Roman"/>
          <w:i/>
          <w:lang w:val="fr-CA"/>
        </w:rPr>
        <w:t>Fédération</w:t>
      </w:r>
      <w:r w:rsidRPr="003A3D9D">
        <w:rPr>
          <w:rFonts w:cs="Times New Roman"/>
          <w:lang w:val="fr-CA"/>
        </w:rPr>
        <w:t xml:space="preserve"> </w:t>
      </w:r>
      <w:r w:rsidRPr="003A3D9D">
        <w:rPr>
          <w:rFonts w:cs="Times New Roman"/>
          <w:i/>
          <w:lang w:val="fr-CA"/>
        </w:rPr>
        <w:t>des producteurs de volailles du Qu</w:t>
      </w:r>
      <w:r>
        <w:rPr>
          <w:rFonts w:cs="Times New Roman"/>
          <w:i/>
          <w:lang w:val="fr-CA"/>
        </w:rPr>
        <w:t>é</w:t>
      </w:r>
      <w:r w:rsidRPr="003A3D9D">
        <w:rPr>
          <w:rFonts w:cs="Times New Roman"/>
          <w:i/>
          <w:lang w:val="fr-CA"/>
        </w:rPr>
        <w:t>bec v. Pelland</w:t>
      </w:r>
      <w:r w:rsidRPr="003A3D9D">
        <w:rPr>
          <w:rFonts w:cs="Times New Roman"/>
          <w:lang w:val="fr-CA"/>
        </w:rPr>
        <w:t>, 2005 SCC 20, [2005] 1 S.C.R. 292, at para.</w:t>
      </w:r>
      <w:r>
        <w:rPr>
          <w:rFonts w:cs="Times New Roman"/>
          <w:lang w:val="fr-CA"/>
        </w:rPr>
        <w:t xml:space="preserve"> </w:t>
      </w:r>
      <w:r w:rsidRPr="003A3D9D">
        <w:rPr>
          <w:rFonts w:cs="Times New Roman"/>
        </w:rPr>
        <w:t xml:space="preserve">15; </w:t>
      </w:r>
      <w:r w:rsidRPr="003A3D9D">
        <w:rPr>
          <w:rFonts w:cs="Times New Roman"/>
          <w:i/>
        </w:rPr>
        <w:t>Quebec (Attorney General) v. Canadian Owners and Pilots Association</w:t>
      </w:r>
      <w:r w:rsidRPr="003A3D9D">
        <w:rPr>
          <w:rFonts w:cs="Times New Roman"/>
        </w:rPr>
        <w:t>, 2010 SCC 39, [2010] 2 S</w:t>
      </w:r>
      <w:r>
        <w:rPr>
          <w:rFonts w:cs="Times New Roman"/>
        </w:rPr>
        <w:t>.</w:t>
      </w:r>
      <w:r w:rsidRPr="003A3D9D">
        <w:rPr>
          <w:rFonts w:cs="Times New Roman"/>
        </w:rPr>
        <w:t>C</w:t>
      </w:r>
      <w:r>
        <w:rPr>
          <w:rFonts w:cs="Times New Roman"/>
        </w:rPr>
        <w:t>.</w:t>
      </w:r>
      <w:r w:rsidRPr="003A3D9D">
        <w:rPr>
          <w:rFonts w:cs="Times New Roman"/>
        </w:rPr>
        <w:t>R</w:t>
      </w:r>
      <w:r>
        <w:rPr>
          <w:rFonts w:cs="Times New Roman"/>
        </w:rPr>
        <w:t>.</w:t>
      </w:r>
      <w:r w:rsidRPr="003A3D9D">
        <w:rPr>
          <w:rFonts w:cs="Times New Roman"/>
        </w:rPr>
        <w:t xml:space="preserve"> 536, at para</w:t>
      </w:r>
      <w:r w:rsidR="00D745BB">
        <w:rPr>
          <w:rFonts w:cs="Times New Roman"/>
        </w:rPr>
        <w:t>s</w:t>
      </w:r>
      <w:r w:rsidRPr="003A3D9D">
        <w:rPr>
          <w:rFonts w:cs="Times New Roman"/>
        </w:rPr>
        <w:t>.</w:t>
      </w:r>
      <w:r>
        <w:rPr>
          <w:rFonts w:cs="Times New Roman"/>
        </w:rPr>
        <w:t xml:space="preserve"> 44-</w:t>
      </w:r>
      <w:r w:rsidRPr="003A3D9D">
        <w:rPr>
          <w:rFonts w:cs="Times New Roman"/>
        </w:rPr>
        <w:t xml:space="preserve">45; </w:t>
      </w:r>
      <w:r w:rsidRPr="003A3D9D">
        <w:rPr>
          <w:rFonts w:cs="Times New Roman"/>
          <w:i/>
        </w:rPr>
        <w:t>Canada (Attorney General) v. PHS Community Services Society</w:t>
      </w:r>
      <w:r w:rsidRPr="003A3D9D">
        <w:rPr>
          <w:rFonts w:cs="Times New Roman"/>
        </w:rPr>
        <w:t>, 2011 SCC 44, [2011] 3 S.C.R. 134, at para.</w:t>
      </w:r>
      <w:r>
        <w:rPr>
          <w:rFonts w:cs="Times New Roman"/>
        </w:rPr>
        <w:t xml:space="preserve"> </w:t>
      </w:r>
      <w:r w:rsidRPr="003A3D9D">
        <w:rPr>
          <w:rFonts w:cs="Times New Roman"/>
        </w:rPr>
        <w:t>63.  With respect to interjurisdictional immunity, for example, the principle of cooperative federalism has been relied on to explain and justify relaxing a rigid, watertight compartments approach to the division of legislative power that unnecessarily constrains legislative action by the other order of government:</w:t>
      </w:r>
      <w:r>
        <w:rPr>
          <w:rFonts w:cs="Times New Roman"/>
        </w:rPr>
        <w:t xml:space="preserve"> “I</w:t>
      </w:r>
      <w:r w:rsidRPr="003A3D9D">
        <w:rPr>
          <w:rFonts w:cs="Times New Roman"/>
        </w:rPr>
        <w:t xml:space="preserve">n the absence of conflicting enactments of the other level of government, the Court should avoid blocking the application of measures which are taken to be enacted in furtherance of the public interest” </w:t>
      </w:r>
      <w:r>
        <w:rPr>
          <w:rFonts w:cs="Times New Roman"/>
        </w:rPr>
        <w:t>(</w:t>
      </w:r>
      <w:r w:rsidRPr="003A3D9D">
        <w:rPr>
          <w:rFonts w:cs="Times New Roman"/>
          <w:i/>
        </w:rPr>
        <w:t>Canadian Western Bank</w:t>
      </w:r>
      <w:r w:rsidRPr="003A3D9D">
        <w:rPr>
          <w:rFonts w:cs="Times New Roman"/>
        </w:rPr>
        <w:t>,</w:t>
      </w:r>
      <w:r>
        <w:rPr>
          <w:rFonts w:cs="Times New Roman"/>
        </w:rPr>
        <w:t xml:space="preserve"> at</w:t>
      </w:r>
      <w:r w:rsidRPr="003A3D9D">
        <w:rPr>
          <w:rFonts w:cs="Times New Roman"/>
        </w:rPr>
        <w:t xml:space="preserve"> para.</w:t>
      </w:r>
      <w:r>
        <w:rPr>
          <w:rFonts w:cs="Times New Roman"/>
        </w:rPr>
        <w:t xml:space="preserve"> </w:t>
      </w:r>
      <w:r w:rsidRPr="003A3D9D">
        <w:rPr>
          <w:rFonts w:cs="Times New Roman"/>
        </w:rPr>
        <w:t>37</w:t>
      </w:r>
      <w:r>
        <w:rPr>
          <w:rFonts w:cs="Times New Roman"/>
        </w:rPr>
        <w:t>)</w:t>
      </w:r>
      <w:r w:rsidRPr="003A3D9D">
        <w:rPr>
          <w:rFonts w:cs="Times New Roman"/>
        </w:rPr>
        <w:t xml:space="preserve">.  </w:t>
      </w:r>
    </w:p>
    <w:p w:rsidR="009278C8" w:rsidRPr="003A3D9D" w:rsidRDefault="009278C8" w:rsidP="009278C8">
      <w:pPr>
        <w:pStyle w:val="ParaNoNdepar-AltN"/>
        <w:rPr>
          <w:rFonts w:cs="Times New Roman"/>
        </w:rPr>
      </w:pPr>
      <w:r w:rsidRPr="003A3D9D">
        <w:rPr>
          <w:rFonts w:cs="Times New Roman"/>
        </w:rPr>
        <w:t xml:space="preserve">However, we must also recognize the limits of the principle of cooperative federalism.  The primacy of our written Constitution remains one of the fundamental tenets of our constitutional framework: </w:t>
      </w:r>
      <w:r w:rsidRPr="003A3D9D">
        <w:rPr>
          <w:rFonts w:cs="Times New Roman"/>
          <w:i/>
        </w:rPr>
        <w:t>Reference re Secession of Quebec</w:t>
      </w:r>
      <w:r w:rsidRPr="003A3D9D">
        <w:rPr>
          <w:rFonts w:cs="Times New Roman"/>
        </w:rPr>
        <w:t>, [1998] 2 S.C.R. 217, at para.</w:t>
      </w:r>
      <w:r>
        <w:rPr>
          <w:rFonts w:cs="Times New Roman"/>
        </w:rPr>
        <w:t xml:space="preserve"> </w:t>
      </w:r>
      <w:r w:rsidRPr="003A3D9D">
        <w:rPr>
          <w:rFonts w:cs="Times New Roman"/>
        </w:rPr>
        <w:t>53.  This is especially the case with regard to the division of powers:</w:t>
      </w:r>
    </w:p>
    <w:p w:rsidR="009278C8" w:rsidRPr="003A3D9D" w:rsidRDefault="009278C8" w:rsidP="009278C8">
      <w:pPr>
        <w:pStyle w:val="Citation-AltC"/>
      </w:pPr>
      <w:r>
        <w:lastRenderedPageBreak/>
        <w:t>. . .</w:t>
      </w:r>
      <w:r w:rsidRPr="003A3D9D">
        <w:t xml:space="preserve"> </w:t>
      </w:r>
      <w:proofErr w:type="gramStart"/>
      <w:r w:rsidRPr="003A3D9D">
        <w:t>the</w:t>
      </w:r>
      <w:proofErr w:type="gramEnd"/>
      <w:r w:rsidRPr="003A3D9D">
        <w:t xml:space="preserve"> text of the federal constitution as authoritatively interpreted in the courts remains very important.  It tells us who can act in any event.  In other words, </w:t>
      </w:r>
      <w:r w:rsidRPr="003A3D9D">
        <w:rPr>
          <w:u w:val="single"/>
        </w:rPr>
        <w:t xml:space="preserve">constitutionally it must always be possible in a federal country to ask and answer the question </w:t>
      </w:r>
      <w:r>
        <w:rPr>
          <w:u w:val="single"/>
        </w:rPr>
        <w:t>—</w:t>
      </w:r>
      <w:r w:rsidRPr="003A3D9D">
        <w:rPr>
          <w:u w:val="single"/>
        </w:rPr>
        <w:t xml:space="preserve"> </w:t>
      </w:r>
      <w:proofErr w:type="gramStart"/>
      <w:r w:rsidRPr="003A3D9D">
        <w:rPr>
          <w:u w:val="single"/>
        </w:rPr>
        <w:t>What</w:t>
      </w:r>
      <w:proofErr w:type="gramEnd"/>
      <w:r w:rsidRPr="003A3D9D">
        <w:rPr>
          <w:u w:val="single"/>
        </w:rPr>
        <w:t xml:space="preserve"> happens if the federal and provincial governments do not agree about a particular measure of co-operative action?</w:t>
      </w:r>
      <w:r w:rsidRPr="003A3D9D">
        <w:t xml:space="preserve">  Then which government and legislative body has power to do what?</w:t>
      </w:r>
      <w:r>
        <w:t xml:space="preserve"> [Emphasis added; footnote omitted.]</w:t>
      </w:r>
    </w:p>
    <w:p w:rsidR="009278C8" w:rsidRPr="003A3D9D" w:rsidRDefault="009278C8" w:rsidP="009278C8">
      <w:pPr>
        <w:pStyle w:val="Citation-AltC"/>
      </w:pPr>
    </w:p>
    <w:p w:rsidR="009278C8" w:rsidRPr="003A3D9D" w:rsidRDefault="009278C8" w:rsidP="003619CB">
      <w:pPr>
        <w:pStyle w:val="Citation-AltC"/>
        <w:ind w:left="0"/>
      </w:pPr>
      <w:r>
        <w:t>(</w:t>
      </w:r>
      <w:r w:rsidRPr="003A3D9D">
        <w:t xml:space="preserve">Lederman, at </w:t>
      </w:r>
      <w:r>
        <w:t xml:space="preserve">p. </w:t>
      </w:r>
      <w:r w:rsidRPr="003A3D9D">
        <w:t>315</w:t>
      </w:r>
      <w:r>
        <w:t>)</w:t>
      </w:r>
    </w:p>
    <w:p w:rsidR="009278C8" w:rsidRPr="003A3D9D" w:rsidRDefault="009278C8" w:rsidP="009278C8">
      <w:pPr>
        <w:pStyle w:val="ParaNoNdepar-AltN"/>
        <w:rPr>
          <w:rFonts w:cs="Times New Roman"/>
        </w:rPr>
      </w:pPr>
      <w:r w:rsidRPr="003A3D9D">
        <w:rPr>
          <w:rFonts w:cs="Times New Roman"/>
        </w:rPr>
        <w:t xml:space="preserve">The principle of cooperative federalism, therefore, cannot be seen as imposing limits on the otherwise valid exercise of legislative competence: </w:t>
      </w:r>
      <w:r>
        <w:rPr>
          <w:rFonts w:cs="Times New Roman"/>
          <w:i/>
        </w:rPr>
        <w:t>Reference re</w:t>
      </w:r>
      <w:r w:rsidRPr="003A3D9D">
        <w:rPr>
          <w:rFonts w:cs="Times New Roman"/>
          <w:i/>
        </w:rPr>
        <w:t xml:space="preserve"> Anti-Inflation Act</w:t>
      </w:r>
      <w:r w:rsidRPr="003A3D9D">
        <w:rPr>
          <w:rFonts w:cs="Times New Roman"/>
        </w:rPr>
        <w:t>, [1976] 2 S</w:t>
      </w:r>
      <w:r>
        <w:rPr>
          <w:rFonts w:cs="Times New Roman"/>
        </w:rPr>
        <w:t>.</w:t>
      </w:r>
      <w:r w:rsidRPr="003A3D9D">
        <w:rPr>
          <w:rFonts w:cs="Times New Roman"/>
        </w:rPr>
        <w:t>C</w:t>
      </w:r>
      <w:r>
        <w:rPr>
          <w:rFonts w:cs="Times New Roman"/>
        </w:rPr>
        <w:t>.</w:t>
      </w:r>
      <w:r w:rsidRPr="003A3D9D">
        <w:rPr>
          <w:rFonts w:cs="Times New Roman"/>
        </w:rPr>
        <w:t>R</w:t>
      </w:r>
      <w:r>
        <w:rPr>
          <w:rFonts w:cs="Times New Roman"/>
        </w:rPr>
        <w:t>.</w:t>
      </w:r>
      <w:r w:rsidRPr="003A3D9D">
        <w:rPr>
          <w:rFonts w:cs="Times New Roman"/>
        </w:rPr>
        <w:t xml:space="preserve"> 373, at </w:t>
      </w:r>
      <w:r>
        <w:rPr>
          <w:rFonts w:cs="Times New Roman"/>
        </w:rPr>
        <w:t xml:space="preserve">p. </w:t>
      </w:r>
      <w:r w:rsidRPr="003A3D9D">
        <w:rPr>
          <w:rFonts w:cs="Times New Roman"/>
        </w:rPr>
        <w:t xml:space="preserve">421.  This was recently reiterated by this Court in its unanimous opinion in </w:t>
      </w:r>
      <w:r w:rsidRPr="003A3D9D">
        <w:rPr>
          <w:rFonts w:cs="Times New Roman"/>
          <w:i/>
        </w:rPr>
        <w:t>Reference re Securities Act</w:t>
      </w:r>
      <w:r w:rsidRPr="003A3D9D">
        <w:rPr>
          <w:rFonts w:cs="Times New Roman"/>
        </w:rPr>
        <w:t>, 2011 SCC 66, [2011] 3 S.C.R. 837, at paras.</w:t>
      </w:r>
      <w:r>
        <w:rPr>
          <w:rFonts w:cs="Times New Roman"/>
        </w:rPr>
        <w:t xml:space="preserve"> </w:t>
      </w:r>
      <w:r w:rsidRPr="003A3D9D">
        <w:rPr>
          <w:rFonts w:cs="Times New Roman"/>
        </w:rPr>
        <w:t>61-62:</w:t>
      </w:r>
    </w:p>
    <w:p w:rsidR="009278C8" w:rsidRPr="003A3D9D" w:rsidRDefault="009278C8" w:rsidP="009278C8">
      <w:pPr>
        <w:pStyle w:val="Citation-AltC"/>
        <w:ind w:firstLine="274"/>
      </w:pPr>
      <w:r w:rsidRPr="003A3D9D">
        <w:rPr>
          <w:u w:val="single"/>
        </w:rPr>
        <w:t>While flexibility and cooperation are important to federalism, they cannot override or modify the separation of powers</w:t>
      </w:r>
      <w:r w:rsidRPr="00BD17C5">
        <w:rPr>
          <w:u w:val="single"/>
        </w:rPr>
        <w:t>.</w:t>
      </w:r>
      <w:r w:rsidRPr="003A3D9D">
        <w:t xml:space="preserve">  The </w:t>
      </w:r>
      <w:r w:rsidRPr="003A3D9D">
        <w:rPr>
          <w:i/>
        </w:rPr>
        <w:t>Secession Reference</w:t>
      </w:r>
      <w:r w:rsidRPr="003A3D9D">
        <w:t xml:space="preserve"> affirmed federalism as an underlying constitutional principle that demands respect for the constitutional division of powers and the maintenance of a constitutional balance between federal and provincial powers.</w:t>
      </w:r>
    </w:p>
    <w:p w:rsidR="009278C8" w:rsidRPr="003A3D9D" w:rsidRDefault="009278C8" w:rsidP="009278C8">
      <w:pPr>
        <w:pStyle w:val="Citation-AltC"/>
      </w:pPr>
    </w:p>
    <w:p w:rsidR="009278C8" w:rsidRPr="003A3D9D" w:rsidRDefault="009278C8" w:rsidP="009278C8">
      <w:pPr>
        <w:pStyle w:val="Citation-AltC"/>
        <w:ind w:firstLine="274"/>
        <w:rPr>
          <w:u w:val="single"/>
        </w:rPr>
      </w:pPr>
      <w:r w:rsidRPr="003A3D9D">
        <w:rPr>
          <w:u w:val="single"/>
        </w:rPr>
        <w:t>In summary, notwithstanding the Court’s promotion of cooperative and flexible federalism, the constitutional boundaries that underlie the division of powers must be respected.</w:t>
      </w:r>
      <w:r w:rsidRPr="003A3D9D">
        <w:t xml:space="preserve">  The “dominant tide” of flexible federalism, however strong its pull may be, cannot sweep designated powers out to sea, nor erode the constitutional balance inherent in the Canadian federal state.</w:t>
      </w:r>
      <w:r>
        <w:t xml:space="preserve"> [Emphasis added.]</w:t>
      </w:r>
    </w:p>
    <w:p w:rsidR="009278C8" w:rsidRPr="003A3D9D" w:rsidRDefault="009278C8" w:rsidP="009278C8">
      <w:pPr>
        <w:pStyle w:val="Citation-AltC"/>
        <w:rPr>
          <w:u w:val="single"/>
        </w:rPr>
      </w:pPr>
    </w:p>
    <w:p w:rsidR="009278C8" w:rsidRPr="003A3D9D" w:rsidRDefault="009278C8" w:rsidP="009278C8">
      <w:pPr>
        <w:pStyle w:val="ParaNoNdepar-AltN"/>
        <w:rPr>
          <w:rFonts w:cs="Times New Roman"/>
        </w:rPr>
      </w:pPr>
      <w:r w:rsidRPr="003A3D9D">
        <w:rPr>
          <w:rFonts w:cs="Times New Roman"/>
        </w:rPr>
        <w:t xml:space="preserve">In our respectful view, the principle of cooperative federalism does not assist Quebec in this case.  </w:t>
      </w:r>
      <w:r w:rsidRPr="00BD17C5">
        <w:rPr>
          <w:rFonts w:cs="Times New Roman"/>
        </w:rPr>
        <w:t>N</w:t>
      </w:r>
      <w:r w:rsidRPr="003A3D9D">
        <w:rPr>
          <w:rFonts w:cs="Times New Roman"/>
        </w:rPr>
        <w:t xml:space="preserve">either this Court’s jurisprudence nor the text of the </w:t>
      </w:r>
      <w:r w:rsidRPr="0016521F">
        <w:rPr>
          <w:rFonts w:cs="Times New Roman"/>
          <w:i/>
        </w:rPr>
        <w:t>Constitution</w:t>
      </w:r>
      <w:r>
        <w:rPr>
          <w:rFonts w:cs="Times New Roman"/>
          <w:i/>
        </w:rPr>
        <w:t xml:space="preserve"> Act, 1867</w:t>
      </w:r>
      <w:r w:rsidRPr="003A3D9D">
        <w:rPr>
          <w:rFonts w:cs="Times New Roman"/>
        </w:rPr>
        <w:t xml:space="preserve"> support</w:t>
      </w:r>
      <w:r>
        <w:rPr>
          <w:rFonts w:cs="Times New Roman"/>
        </w:rPr>
        <w:t>s using that</w:t>
      </w:r>
      <w:r w:rsidRPr="003A3D9D">
        <w:rPr>
          <w:rFonts w:cs="Times New Roman"/>
        </w:rPr>
        <w:t xml:space="preserve"> principle to limit the scope of legislative authority or to impose a positive obligation to facilitate cooperation where the </w:t>
      </w:r>
      <w:r w:rsidRPr="003A3D9D">
        <w:rPr>
          <w:rFonts w:cs="Times New Roman"/>
        </w:rPr>
        <w:lastRenderedPageBreak/>
        <w:t xml:space="preserve">constitutional division of powers authorizes unilateral action.  To hold otherwise would undermine parliamentary sovereignty and create legal uncertainty whenever one order of government adopted legislation having some impact on the policy objectives of another.  Paradoxically, such an approach could discourage the practice of cooperative federalism for fear that cooperative measures could risk diminishing a government’s legislative authority to act alone.  </w:t>
      </w:r>
    </w:p>
    <w:p w:rsidR="009278C8" w:rsidRPr="003A3D9D" w:rsidRDefault="009278C8" w:rsidP="009278C8">
      <w:pPr>
        <w:pStyle w:val="ParaNoNdepar-AltN"/>
        <w:rPr>
          <w:rFonts w:cs="Times New Roman"/>
        </w:rPr>
      </w:pPr>
      <w:r w:rsidRPr="003A3D9D">
        <w:rPr>
          <w:rFonts w:cs="Times New Roman"/>
        </w:rPr>
        <w:t>We conclude that the principle of cooperative federalism does not prevent Parliament from exercising legislative authority that it otherwise possesses to dispose of the data.</w:t>
      </w:r>
    </w:p>
    <w:p w:rsidR="009278C8" w:rsidRPr="003A3D9D" w:rsidRDefault="009278C8" w:rsidP="009278C8">
      <w:pPr>
        <w:pStyle w:val="Title2LevelTitre2Niveau"/>
        <w:rPr>
          <w:rFonts w:cs="Times New Roman"/>
        </w:rPr>
      </w:pPr>
      <w:r>
        <w:rPr>
          <w:rFonts w:cs="Times New Roman"/>
        </w:rPr>
        <w:t>Does Quebec H</w:t>
      </w:r>
      <w:r w:rsidRPr="003A3D9D">
        <w:rPr>
          <w:rFonts w:cs="Times New Roman"/>
        </w:rPr>
        <w:t xml:space="preserve">ave the </w:t>
      </w:r>
      <w:r>
        <w:rPr>
          <w:rFonts w:cs="Times New Roman"/>
        </w:rPr>
        <w:t>R</w:t>
      </w:r>
      <w:r w:rsidRPr="003A3D9D">
        <w:rPr>
          <w:rFonts w:cs="Times New Roman"/>
        </w:rPr>
        <w:t xml:space="preserve">ight to </w:t>
      </w:r>
      <w:r>
        <w:rPr>
          <w:rFonts w:cs="Times New Roman"/>
        </w:rPr>
        <w:t>O</w:t>
      </w:r>
      <w:r w:rsidRPr="003A3D9D">
        <w:rPr>
          <w:rFonts w:cs="Times New Roman"/>
        </w:rPr>
        <w:t>btain the</w:t>
      </w:r>
      <w:r>
        <w:rPr>
          <w:rFonts w:cs="Times New Roman"/>
        </w:rPr>
        <w:t xml:space="preserve"> D</w:t>
      </w:r>
      <w:r w:rsidRPr="003A3D9D">
        <w:rPr>
          <w:rFonts w:cs="Times New Roman"/>
        </w:rPr>
        <w:t>ata?</w:t>
      </w:r>
    </w:p>
    <w:p w:rsidR="009278C8" w:rsidRPr="003A3D9D" w:rsidRDefault="009278C8" w:rsidP="009278C8">
      <w:pPr>
        <w:pStyle w:val="ParaNoNdepar-AltN"/>
        <w:rPr>
          <w:rFonts w:cs="Times New Roman"/>
        </w:rPr>
      </w:pPr>
      <w:r w:rsidRPr="003A3D9D">
        <w:rPr>
          <w:rFonts w:cs="Times New Roman"/>
        </w:rPr>
        <w:t xml:space="preserve">Quebec submits that it has a right to receive the long-gun registration data from the federal government whether or not Parliament is constitutionally entitled to legislate with respect to the fate of the data.  In addition to the principle of cooperative federalism considered above, Quebec relies on the findings of the trial judge that Quebec’s contributions to the data </w:t>
      </w:r>
      <w:r>
        <w:rPr>
          <w:rFonts w:cs="Times New Roman"/>
        </w:rPr>
        <w:t xml:space="preserve">contained in the CFR </w:t>
      </w:r>
      <w:r w:rsidRPr="003A3D9D">
        <w:rPr>
          <w:rFonts w:cs="Times New Roman"/>
        </w:rPr>
        <w:t>render the data the result of a federal-provincial pa</w:t>
      </w:r>
      <w:r>
        <w:rPr>
          <w:rFonts w:cs="Times New Roman"/>
        </w:rPr>
        <w:t>rtnership</w:t>
      </w:r>
      <w:r w:rsidRPr="003A3D9D">
        <w:rPr>
          <w:rFonts w:cs="Times New Roman"/>
        </w:rPr>
        <w:t xml:space="preserve">.  We note here that there is a factual disagreement with regard to whether or not the data contained in the CFR </w:t>
      </w:r>
      <w:r w:rsidR="00DA4E46">
        <w:rPr>
          <w:rFonts w:cs="Times New Roman"/>
        </w:rPr>
        <w:t>is</w:t>
      </w:r>
      <w:r w:rsidRPr="003A3D9D">
        <w:rPr>
          <w:rFonts w:cs="Times New Roman"/>
        </w:rPr>
        <w:t xml:space="preserve"> in fact the result of a cooperative effort.  The Court of Appeal was of the opinion that the conclusions of Blanchard J. on this ma</w:t>
      </w:r>
      <w:r>
        <w:rPr>
          <w:rFonts w:cs="Times New Roman"/>
        </w:rPr>
        <w:t>tter were</w:t>
      </w:r>
      <w:r w:rsidRPr="003A3D9D">
        <w:rPr>
          <w:rFonts w:cs="Times New Roman"/>
        </w:rPr>
        <w:t xml:space="preserve"> based on a </w:t>
      </w:r>
      <w:r>
        <w:rPr>
          <w:rFonts w:cs="Times New Roman"/>
        </w:rPr>
        <w:t>palpable error of fact</w:t>
      </w:r>
      <w:r w:rsidRPr="003A3D9D">
        <w:rPr>
          <w:rFonts w:cs="Times New Roman"/>
        </w:rPr>
        <w:t>. In our view, this disagreement has no impact on the outcome of this case.</w:t>
      </w:r>
    </w:p>
    <w:p w:rsidR="009278C8" w:rsidRPr="009721C5" w:rsidRDefault="009278C8" w:rsidP="009278C8">
      <w:pPr>
        <w:pStyle w:val="ParaNoNdepar-AltN"/>
        <w:rPr>
          <w:rFonts w:cs="Times New Roman"/>
        </w:rPr>
      </w:pPr>
      <w:r w:rsidRPr="009721C5">
        <w:rPr>
          <w:rFonts w:cs="Times New Roman"/>
        </w:rPr>
        <w:lastRenderedPageBreak/>
        <w:t xml:space="preserve">We agree with the conclusion of our colleagues LeBel, Wagner and Gascon JJ. </w:t>
      </w:r>
      <w:proofErr w:type="gramStart"/>
      <w:r w:rsidRPr="009721C5">
        <w:rPr>
          <w:rFonts w:cs="Times New Roman"/>
        </w:rPr>
        <w:t>that</w:t>
      </w:r>
      <w:proofErr w:type="gramEnd"/>
      <w:r w:rsidRPr="009721C5">
        <w:rPr>
          <w:rFonts w:cs="Times New Roman"/>
        </w:rPr>
        <w:t xml:space="preserve"> Quebec “has not established a legal basis for its claim to the data”: para. </w:t>
      </w:r>
      <w:r>
        <w:rPr>
          <w:rFonts w:cs="Times New Roman"/>
        </w:rPr>
        <w:t>198</w:t>
      </w:r>
      <w:r w:rsidRPr="003A3D9D">
        <w:rPr>
          <w:rFonts w:cs="Times New Roman"/>
        </w:rPr>
        <w:t>.  We do so for three reasons.</w:t>
      </w:r>
    </w:p>
    <w:p w:rsidR="009278C8" w:rsidRPr="003A3D9D" w:rsidRDefault="009278C8" w:rsidP="009278C8">
      <w:pPr>
        <w:pStyle w:val="ParaNoNdepar-AltN"/>
        <w:rPr>
          <w:rFonts w:cs="Times New Roman"/>
        </w:rPr>
      </w:pPr>
      <w:r w:rsidRPr="003A3D9D">
        <w:rPr>
          <w:rFonts w:cs="Times New Roman"/>
        </w:rPr>
        <w:t xml:space="preserve">First, as mentioned above, the principle of cooperative federalism does not limit the scope of the legislative powers assigned by the Constitution.  </w:t>
      </w:r>
    </w:p>
    <w:p w:rsidR="009278C8" w:rsidRPr="003A3D9D" w:rsidRDefault="009278C8" w:rsidP="009278C8">
      <w:pPr>
        <w:pStyle w:val="ParaNoNdepar-AltN"/>
        <w:rPr>
          <w:rFonts w:cs="Times New Roman"/>
          <w:lang w:val="en-US"/>
        </w:rPr>
      </w:pPr>
      <w:r>
        <w:rPr>
          <w:rFonts w:cs="Times New Roman"/>
        </w:rPr>
        <w:t>Second, Quebec’s alleged right to obtain the data arises from its expectation of having continuing access to that data regardless of changes to federal legislation.  We cannot agree that the provinces’ reliance on the existence of the data can limit Parliament’s capacity to destroy a registry, which — as explained below — flows exclusively from its criminal law head of power.  Accepting this position would circumvent or effectively overturn this Court’s rejection of the “legitimate expectation” doctrine</w:t>
      </w:r>
      <w:r w:rsidRPr="003A3D9D">
        <w:rPr>
          <w:rFonts w:cs="Times New Roman"/>
        </w:rPr>
        <w:t xml:space="preserve">.  This Court has made it clear that </w:t>
      </w:r>
      <w:r w:rsidRPr="003A3D9D">
        <w:rPr>
          <w:rFonts w:cs="Times New Roman"/>
          <w:szCs w:val="24"/>
        </w:rPr>
        <w:t>a province’s legitimate expectation of action that the federal government would or would not undertake, even an expectation relating to financial considerations, cannot bind Parliament’s legislative action</w:t>
      </w:r>
      <w:r w:rsidRPr="003A3D9D">
        <w:rPr>
          <w:rFonts w:cs="Times New Roman"/>
        </w:rPr>
        <w:t xml:space="preserve">: </w:t>
      </w:r>
      <w:r>
        <w:rPr>
          <w:rFonts w:cs="Times New Roman"/>
          <w:i/>
          <w:szCs w:val="24"/>
        </w:rPr>
        <w:t>Reference r</w:t>
      </w:r>
      <w:r w:rsidRPr="003A3D9D">
        <w:rPr>
          <w:rFonts w:cs="Times New Roman"/>
          <w:i/>
          <w:szCs w:val="24"/>
        </w:rPr>
        <w:t>e Canada Assistance Plan</w:t>
      </w:r>
      <w:r>
        <w:rPr>
          <w:rFonts w:cs="Times New Roman"/>
          <w:i/>
          <w:szCs w:val="24"/>
        </w:rPr>
        <w:t xml:space="preserve"> (B.C.)</w:t>
      </w:r>
      <w:r w:rsidRPr="003A3D9D">
        <w:rPr>
          <w:rFonts w:cs="Times New Roman"/>
          <w:szCs w:val="24"/>
        </w:rPr>
        <w:t>, [1991] 2 S</w:t>
      </w:r>
      <w:r>
        <w:rPr>
          <w:rFonts w:cs="Times New Roman"/>
          <w:szCs w:val="24"/>
        </w:rPr>
        <w:t>.</w:t>
      </w:r>
      <w:r w:rsidRPr="003A3D9D">
        <w:rPr>
          <w:rFonts w:cs="Times New Roman"/>
          <w:szCs w:val="24"/>
        </w:rPr>
        <w:t>C</w:t>
      </w:r>
      <w:r>
        <w:rPr>
          <w:rFonts w:cs="Times New Roman"/>
          <w:szCs w:val="24"/>
        </w:rPr>
        <w:t>.</w:t>
      </w:r>
      <w:r w:rsidRPr="003A3D9D">
        <w:rPr>
          <w:rFonts w:cs="Times New Roman"/>
          <w:szCs w:val="24"/>
        </w:rPr>
        <w:t>R</w:t>
      </w:r>
      <w:r>
        <w:rPr>
          <w:rFonts w:cs="Times New Roman"/>
          <w:szCs w:val="24"/>
        </w:rPr>
        <w:t>.</w:t>
      </w:r>
      <w:r w:rsidRPr="003A3D9D">
        <w:rPr>
          <w:rFonts w:cs="Times New Roman"/>
          <w:szCs w:val="24"/>
        </w:rPr>
        <w:t xml:space="preserve"> 525, at</w:t>
      </w:r>
      <w:r>
        <w:rPr>
          <w:rFonts w:cs="Times New Roman"/>
          <w:szCs w:val="24"/>
        </w:rPr>
        <w:t xml:space="preserve"> pp. 557-59</w:t>
      </w:r>
      <w:r w:rsidRPr="003A3D9D">
        <w:rPr>
          <w:rFonts w:cs="Times New Roman"/>
          <w:szCs w:val="24"/>
        </w:rPr>
        <w:t xml:space="preserve">; </w:t>
      </w:r>
      <w:r>
        <w:rPr>
          <w:rFonts w:cs="Times New Roman"/>
          <w:szCs w:val="24"/>
        </w:rPr>
        <w:t xml:space="preserve">see also </w:t>
      </w:r>
      <w:r w:rsidRPr="003A3D9D">
        <w:rPr>
          <w:rFonts w:cs="Times New Roman"/>
          <w:i/>
          <w:szCs w:val="24"/>
        </w:rPr>
        <w:t>Wells v. Newfoundland</w:t>
      </w:r>
      <w:r w:rsidRPr="003A3D9D">
        <w:rPr>
          <w:rFonts w:cs="Times New Roman"/>
          <w:szCs w:val="24"/>
        </w:rPr>
        <w:t>, [1999] 3 S</w:t>
      </w:r>
      <w:r>
        <w:rPr>
          <w:rFonts w:cs="Times New Roman"/>
          <w:szCs w:val="24"/>
        </w:rPr>
        <w:t>.</w:t>
      </w:r>
      <w:r w:rsidRPr="003A3D9D">
        <w:rPr>
          <w:rFonts w:cs="Times New Roman"/>
          <w:szCs w:val="24"/>
        </w:rPr>
        <w:t>C</w:t>
      </w:r>
      <w:r>
        <w:rPr>
          <w:rFonts w:cs="Times New Roman"/>
          <w:szCs w:val="24"/>
        </w:rPr>
        <w:t>.</w:t>
      </w:r>
      <w:r w:rsidRPr="003A3D9D">
        <w:rPr>
          <w:rFonts w:cs="Times New Roman"/>
          <w:szCs w:val="24"/>
        </w:rPr>
        <w:t>R</w:t>
      </w:r>
      <w:r>
        <w:rPr>
          <w:rFonts w:cs="Times New Roman"/>
          <w:szCs w:val="24"/>
        </w:rPr>
        <w:t>.</w:t>
      </w:r>
      <w:r w:rsidRPr="003A3D9D">
        <w:rPr>
          <w:rFonts w:cs="Times New Roman"/>
          <w:szCs w:val="24"/>
        </w:rPr>
        <w:t xml:space="preserve"> 199, at para. 59</w:t>
      </w:r>
      <w:r w:rsidR="003619CB">
        <w:rPr>
          <w:rFonts w:cs="Times New Roman"/>
          <w:szCs w:val="24"/>
        </w:rPr>
        <w:t>,</w:t>
      </w:r>
      <w:r>
        <w:rPr>
          <w:rFonts w:cs="Times New Roman"/>
          <w:szCs w:val="24"/>
        </w:rPr>
        <w:t xml:space="preserve"> and</w:t>
      </w:r>
      <w:r w:rsidRPr="003A3D9D">
        <w:rPr>
          <w:rFonts w:cs="Times New Roman"/>
          <w:szCs w:val="24"/>
        </w:rPr>
        <w:t xml:space="preserve"> </w:t>
      </w:r>
      <w:r w:rsidRPr="003A3D9D">
        <w:rPr>
          <w:rFonts w:cs="Times New Roman"/>
          <w:i/>
          <w:szCs w:val="24"/>
        </w:rPr>
        <w:t>Authorson v. Canada (Attorney General)</w:t>
      </w:r>
      <w:r w:rsidRPr="003A3D9D">
        <w:rPr>
          <w:rFonts w:cs="Times New Roman"/>
          <w:szCs w:val="24"/>
        </w:rPr>
        <w:t>, 2003 SCC 39, [2003] 2 S</w:t>
      </w:r>
      <w:r>
        <w:rPr>
          <w:rFonts w:cs="Times New Roman"/>
          <w:szCs w:val="24"/>
        </w:rPr>
        <w:t>.</w:t>
      </w:r>
      <w:r w:rsidRPr="003A3D9D">
        <w:rPr>
          <w:rFonts w:cs="Times New Roman"/>
          <w:szCs w:val="24"/>
        </w:rPr>
        <w:t>C</w:t>
      </w:r>
      <w:r>
        <w:rPr>
          <w:rFonts w:cs="Times New Roman"/>
          <w:szCs w:val="24"/>
        </w:rPr>
        <w:t>.</w:t>
      </w:r>
      <w:r w:rsidRPr="003A3D9D">
        <w:rPr>
          <w:rFonts w:cs="Times New Roman"/>
          <w:szCs w:val="24"/>
        </w:rPr>
        <w:t>R</w:t>
      </w:r>
      <w:r>
        <w:rPr>
          <w:rFonts w:cs="Times New Roman"/>
          <w:szCs w:val="24"/>
        </w:rPr>
        <w:t>.</w:t>
      </w:r>
      <w:r w:rsidRPr="003A3D9D">
        <w:rPr>
          <w:rFonts w:cs="Times New Roman"/>
          <w:szCs w:val="24"/>
        </w:rPr>
        <w:t xml:space="preserve"> 40, at para. 39.  </w:t>
      </w:r>
      <w:r w:rsidRPr="003A3D9D">
        <w:rPr>
          <w:rFonts w:cs="Times New Roman"/>
        </w:rPr>
        <w:t xml:space="preserve">Quebec’s position would also mean by extrapolation that the adoption of the </w:t>
      </w:r>
      <w:r w:rsidRPr="003A3D9D">
        <w:rPr>
          <w:rFonts w:cs="Times New Roman"/>
          <w:i/>
        </w:rPr>
        <w:t>Firearms Act</w:t>
      </w:r>
      <w:r w:rsidRPr="003A3D9D">
        <w:rPr>
          <w:rFonts w:cs="Times New Roman"/>
        </w:rPr>
        <w:t xml:space="preserve"> had a binding effect </w:t>
      </w:r>
      <w:r>
        <w:rPr>
          <w:rFonts w:cs="Times New Roman"/>
        </w:rPr>
        <w:t>—</w:t>
      </w:r>
      <w:r w:rsidRPr="003A3D9D">
        <w:rPr>
          <w:rFonts w:cs="Times New Roman"/>
        </w:rPr>
        <w:t xml:space="preserve"> the continued existence of the CFR data </w:t>
      </w:r>
      <w:r>
        <w:rPr>
          <w:rFonts w:cs="Times New Roman"/>
        </w:rPr>
        <w:t>—</w:t>
      </w:r>
      <w:r w:rsidRPr="003A3D9D">
        <w:rPr>
          <w:rFonts w:cs="Times New Roman"/>
        </w:rPr>
        <w:t xml:space="preserve"> which Parliament cannot undo alone.  That conclusion must also </w:t>
      </w:r>
      <w:r>
        <w:rPr>
          <w:rFonts w:cs="Times New Roman"/>
        </w:rPr>
        <w:t>be rejected;</w:t>
      </w:r>
      <w:r w:rsidRPr="003A3D9D">
        <w:rPr>
          <w:rFonts w:cs="Times New Roman"/>
        </w:rPr>
        <w:t xml:space="preserve"> it is contrary to the established constitutional principle that Parliament cannot, through </w:t>
      </w:r>
      <w:r w:rsidRPr="003A3D9D">
        <w:rPr>
          <w:rFonts w:cs="Times New Roman"/>
        </w:rPr>
        <w:lastRenderedPageBreak/>
        <w:t xml:space="preserve">ordinary legislation, fetter itself by inhibiting future legislative action: </w:t>
      </w:r>
      <w:r w:rsidRPr="003A3D9D">
        <w:rPr>
          <w:rFonts w:cs="Times New Roman"/>
          <w:i/>
        </w:rPr>
        <w:t>Reference re Securities Act</w:t>
      </w:r>
      <w:r w:rsidRPr="003A3D9D">
        <w:rPr>
          <w:rFonts w:cs="Times New Roman"/>
        </w:rPr>
        <w:t>, at para. 119; Hogg, at pp.</w:t>
      </w:r>
      <w:r>
        <w:rPr>
          <w:rFonts w:cs="Times New Roman"/>
        </w:rPr>
        <w:t xml:space="preserve"> 12-8 and 12-9</w:t>
      </w:r>
      <w:r w:rsidRPr="003A3D9D">
        <w:rPr>
          <w:rFonts w:cs="Times New Roman"/>
        </w:rPr>
        <w:t xml:space="preserve">.  </w:t>
      </w:r>
    </w:p>
    <w:p w:rsidR="009278C8" w:rsidRPr="003A3D9D" w:rsidRDefault="009278C8" w:rsidP="009278C8">
      <w:pPr>
        <w:pStyle w:val="ParaNoNdepar-AltN"/>
        <w:rPr>
          <w:rFonts w:cs="Times New Roman"/>
        </w:rPr>
      </w:pPr>
      <w:r w:rsidRPr="003A3D9D">
        <w:rPr>
          <w:rFonts w:cs="Times New Roman"/>
        </w:rPr>
        <w:t xml:space="preserve">Third, even if the data accessible through the CFR was the result of a cooperative effort, as asserted by Quebec, any effort on Quebec’s part was statutorily limited to the licensing data held in the </w:t>
      </w:r>
      <w:r>
        <w:rPr>
          <w:rFonts w:cs="Times New Roman"/>
        </w:rPr>
        <w:t>CFO</w:t>
      </w:r>
      <w:r w:rsidRPr="003A3D9D">
        <w:rPr>
          <w:rFonts w:cs="Times New Roman"/>
        </w:rPr>
        <w:t xml:space="preserve">’s licensing registry.  The </w:t>
      </w:r>
      <w:r w:rsidRPr="003A3D9D">
        <w:rPr>
          <w:rFonts w:cs="Times New Roman"/>
          <w:i/>
        </w:rPr>
        <w:t xml:space="preserve">Firearms Act </w:t>
      </w:r>
      <w:r w:rsidRPr="003A3D9D">
        <w:rPr>
          <w:rFonts w:cs="Times New Roman"/>
        </w:rPr>
        <w:t>did not empower this officer to modify or contribute to the registration certificate data</w:t>
      </w:r>
      <w:r>
        <w:rPr>
          <w:rFonts w:cs="Times New Roman"/>
        </w:rPr>
        <w:t xml:space="preserve"> compiled and maintained by the Registrar</w:t>
      </w:r>
      <w:r w:rsidRPr="003A3D9D">
        <w:rPr>
          <w:rFonts w:cs="Times New Roman"/>
        </w:rPr>
        <w:t xml:space="preserve">, nor did </w:t>
      </w:r>
      <w:r>
        <w:rPr>
          <w:rFonts w:cs="Times New Roman"/>
        </w:rPr>
        <w:t>the CFO</w:t>
      </w:r>
      <w:r w:rsidRPr="003A3D9D">
        <w:rPr>
          <w:rFonts w:cs="Times New Roman"/>
        </w:rPr>
        <w:t xml:space="preserve"> act in her capacity as a provincial official in maintaining the licensing registry.  </w:t>
      </w:r>
      <w:r w:rsidRPr="00842C9B">
        <w:rPr>
          <w:rFonts w:cs="Times New Roman"/>
        </w:rPr>
        <w:t xml:space="preserve">As s. 29 </w:t>
      </w:r>
      <w:r>
        <w:rPr>
          <w:rFonts w:cs="Times New Roman"/>
        </w:rPr>
        <w:t xml:space="preserve">of the </w:t>
      </w:r>
      <w:r>
        <w:rPr>
          <w:rFonts w:cs="Times New Roman"/>
          <w:i/>
        </w:rPr>
        <w:t xml:space="preserve">ELRA </w:t>
      </w:r>
      <w:r w:rsidRPr="00842C9B">
        <w:rPr>
          <w:rFonts w:cs="Times New Roman"/>
        </w:rPr>
        <w:t>contemplates the registration data, not the licensing data, we agree with the Quebec Court of Appeal that</w:t>
      </w:r>
      <w:r>
        <w:rPr>
          <w:rFonts w:cs="Times New Roman"/>
        </w:rPr>
        <w:t xml:space="preserve"> [</w:t>
      </w:r>
      <w:r>
        <w:rPr>
          <w:rFonts w:cs="Times New Roman"/>
          <w:smallCaps/>
        </w:rPr>
        <w:t>translation</w:t>
      </w:r>
      <w:r>
        <w:rPr>
          <w:rFonts w:cs="Times New Roman"/>
        </w:rPr>
        <w:t>]</w:t>
      </w:r>
      <w:r w:rsidRPr="00842C9B">
        <w:rPr>
          <w:rFonts w:cs="Times New Roman"/>
        </w:rPr>
        <w:t xml:space="preserve"> “this claim fails to demonstrate that there is a right to the data in the CFR or that Quebec participated in the creation of the CFR”: para. </w:t>
      </w:r>
      <w:r w:rsidRPr="003A3D9D">
        <w:rPr>
          <w:rFonts w:cs="Times New Roman"/>
          <w:lang w:val="en-US"/>
        </w:rPr>
        <w:t>57</w:t>
      </w:r>
      <w:r>
        <w:rPr>
          <w:rFonts w:cs="Times New Roman"/>
          <w:lang w:val="en-US"/>
        </w:rPr>
        <w:t xml:space="preserve"> (CanLII)</w:t>
      </w:r>
      <w:r w:rsidRPr="003A3D9D">
        <w:rPr>
          <w:rFonts w:cs="Times New Roman"/>
          <w:lang w:val="en-US"/>
        </w:rPr>
        <w:t xml:space="preserve">.  </w:t>
      </w:r>
      <w:r w:rsidRPr="003A3D9D">
        <w:rPr>
          <w:rFonts w:cs="Times New Roman"/>
        </w:rPr>
        <w:t>In addition, we note that Quebec’s argument relies on agreements between the federal and provincial governments, and on other pieces of evidence which include RCMP documents, federal-provincial funding agreements, and statements from politicia</w:t>
      </w:r>
      <w:r>
        <w:rPr>
          <w:rFonts w:cs="Times New Roman"/>
        </w:rPr>
        <w:t>ns and other officials involved</w:t>
      </w:r>
      <w:r w:rsidRPr="003A3D9D">
        <w:rPr>
          <w:rFonts w:cs="Times New Roman"/>
        </w:rPr>
        <w:t>.  These legal instruments and pieces of evidence are unquestionably subordinate to parliamentary sovereignty and can therefore be displaced by valid federal legislation.  Moreover, even if, as Quebec submits, there is no legal obstacle to the federal government transferring the data to Quebec, the absence of a legal obstacle to undertaking a given action does not, alone, create a legal obligation to do so.</w:t>
      </w:r>
    </w:p>
    <w:p w:rsidR="009278C8" w:rsidRPr="003A3D9D" w:rsidRDefault="009278C8" w:rsidP="009278C8">
      <w:pPr>
        <w:pStyle w:val="Title2LevelTitre2Niveau"/>
        <w:rPr>
          <w:rFonts w:cs="Times New Roman"/>
        </w:rPr>
      </w:pPr>
      <w:r w:rsidRPr="003A3D9D">
        <w:rPr>
          <w:rFonts w:cs="Times New Roman"/>
        </w:rPr>
        <w:t>Is Section 29</w:t>
      </w:r>
      <w:r>
        <w:rPr>
          <w:rFonts w:cs="Times New Roman"/>
        </w:rPr>
        <w:t xml:space="preserve"> </w:t>
      </w:r>
      <w:r w:rsidRPr="00842C9B">
        <w:rPr>
          <w:rFonts w:cs="Times New Roman"/>
        </w:rPr>
        <w:t>Ultra Vires</w:t>
      </w:r>
      <w:r w:rsidRPr="003A3D9D">
        <w:rPr>
          <w:rFonts w:cs="Times New Roman"/>
        </w:rPr>
        <w:t xml:space="preserve"> Parliament’s Criminal Law Power?</w:t>
      </w:r>
    </w:p>
    <w:p w:rsidR="009278C8" w:rsidRPr="003A3D9D" w:rsidRDefault="009278C8" w:rsidP="009278C8">
      <w:pPr>
        <w:pStyle w:val="Title3LevelTitre3Niveau"/>
        <w:rPr>
          <w:rFonts w:cs="Times New Roman"/>
        </w:rPr>
      </w:pPr>
      <w:r w:rsidRPr="003A3D9D">
        <w:rPr>
          <w:rFonts w:cs="Times New Roman"/>
        </w:rPr>
        <w:lastRenderedPageBreak/>
        <w:t xml:space="preserve">Applicable </w:t>
      </w:r>
      <w:r>
        <w:rPr>
          <w:rFonts w:cs="Times New Roman"/>
        </w:rPr>
        <w:t>L</w:t>
      </w:r>
      <w:r w:rsidRPr="003A3D9D">
        <w:rPr>
          <w:rFonts w:cs="Times New Roman"/>
        </w:rPr>
        <w:t xml:space="preserve">egal </w:t>
      </w:r>
      <w:r>
        <w:rPr>
          <w:rFonts w:cs="Times New Roman"/>
        </w:rPr>
        <w:t>P</w:t>
      </w:r>
      <w:r w:rsidRPr="003A3D9D">
        <w:rPr>
          <w:rFonts w:cs="Times New Roman"/>
        </w:rPr>
        <w:t>rinciples</w:t>
      </w:r>
    </w:p>
    <w:p w:rsidR="009278C8" w:rsidRPr="003A3D9D" w:rsidRDefault="009278C8" w:rsidP="009278C8">
      <w:pPr>
        <w:pStyle w:val="ParaNoNdepar-AltN"/>
        <w:rPr>
          <w:rFonts w:cs="Times New Roman"/>
        </w:rPr>
      </w:pPr>
      <w:r w:rsidRPr="003A3D9D">
        <w:rPr>
          <w:rFonts w:cs="Times New Roman"/>
        </w:rPr>
        <w:t xml:space="preserve">The Constitution confers on Parliament the exclusive authority to legislate with respect to, among others, “all </w:t>
      </w:r>
      <w:r>
        <w:rPr>
          <w:rFonts w:cs="Times New Roman"/>
        </w:rPr>
        <w:t>[</w:t>
      </w:r>
      <w:r w:rsidRPr="003A3D9D">
        <w:rPr>
          <w:rFonts w:cs="Times New Roman"/>
        </w:rPr>
        <w:t>m</w:t>
      </w:r>
      <w:r>
        <w:rPr>
          <w:rFonts w:cs="Times New Roman"/>
        </w:rPr>
        <w:t>]</w:t>
      </w:r>
      <w:r w:rsidRPr="003A3D9D">
        <w:rPr>
          <w:rFonts w:cs="Times New Roman"/>
        </w:rPr>
        <w:t>atters” coming within “</w:t>
      </w:r>
      <w:r>
        <w:rPr>
          <w:rFonts w:cs="Times New Roman"/>
        </w:rPr>
        <w:t>[</w:t>
      </w:r>
      <w:r w:rsidRPr="003A3D9D">
        <w:rPr>
          <w:rFonts w:cs="Times New Roman"/>
        </w:rPr>
        <w:t>t</w:t>
      </w:r>
      <w:r>
        <w:rPr>
          <w:rFonts w:cs="Times New Roman"/>
        </w:rPr>
        <w:t>]</w:t>
      </w:r>
      <w:r w:rsidRPr="003A3D9D">
        <w:rPr>
          <w:rFonts w:cs="Times New Roman"/>
        </w:rPr>
        <w:t xml:space="preserve">he Criminal Law, except the Constitution of Courts of Criminal Jurisdiction, but including the Procedure in Criminal Matters”: </w:t>
      </w:r>
      <w:r w:rsidRPr="003A3D9D">
        <w:rPr>
          <w:rFonts w:cs="Times New Roman"/>
          <w:i/>
        </w:rPr>
        <w:t>Constitution Act</w:t>
      </w:r>
      <w:r>
        <w:rPr>
          <w:rFonts w:cs="Times New Roman"/>
          <w:i/>
        </w:rPr>
        <w:t>,</w:t>
      </w:r>
      <w:r w:rsidRPr="003A3D9D">
        <w:rPr>
          <w:rFonts w:cs="Times New Roman"/>
          <w:i/>
        </w:rPr>
        <w:t xml:space="preserve"> 1867</w:t>
      </w:r>
      <w:r w:rsidRPr="003A3D9D">
        <w:rPr>
          <w:rFonts w:cs="Times New Roman"/>
        </w:rPr>
        <w:t>, s. 91(27).  In that regard, the Chief Justice stated the following constitutional question in this case:</w:t>
      </w:r>
    </w:p>
    <w:p w:rsidR="009278C8" w:rsidRPr="003A3D9D" w:rsidRDefault="009278C8" w:rsidP="009278C8">
      <w:pPr>
        <w:pStyle w:val="Citation-AltC"/>
      </w:pPr>
      <w:r w:rsidRPr="003A3D9D">
        <w:t xml:space="preserve">Is s. 29 of the </w:t>
      </w:r>
      <w:r w:rsidRPr="003A3D9D">
        <w:rPr>
          <w:i/>
        </w:rPr>
        <w:t>Ending the Long-gun Registry Act</w:t>
      </w:r>
      <w:r w:rsidRPr="003A3D9D">
        <w:t xml:space="preserve">, S.C. 2012, c. 6, </w:t>
      </w:r>
      <w:r w:rsidRPr="003A3D9D">
        <w:rPr>
          <w:i/>
        </w:rPr>
        <w:t>ultra vires</w:t>
      </w:r>
      <w:r w:rsidRPr="003A3D9D">
        <w:t xml:space="preserve"> Parliament having regard to its criminal law power under s. 91(27) of the </w:t>
      </w:r>
      <w:r w:rsidRPr="003A3D9D">
        <w:rPr>
          <w:i/>
        </w:rPr>
        <w:t>Constitution Act, 1867</w:t>
      </w:r>
      <w:r w:rsidRPr="003A3D9D">
        <w:t>?</w:t>
      </w:r>
    </w:p>
    <w:p w:rsidR="009278C8" w:rsidRPr="003A3D9D" w:rsidRDefault="009278C8" w:rsidP="009278C8">
      <w:pPr>
        <w:pStyle w:val="ParaNoNdepar-AltN"/>
        <w:rPr>
          <w:rFonts w:cs="Times New Roman"/>
        </w:rPr>
      </w:pPr>
      <w:r w:rsidRPr="003A3D9D">
        <w:rPr>
          <w:rFonts w:cs="Times New Roman"/>
        </w:rPr>
        <w:t xml:space="preserve">To answer this question, we first characterize the law </w:t>
      </w:r>
      <w:r>
        <w:rPr>
          <w:rFonts w:cs="Times New Roman"/>
        </w:rPr>
        <w:t xml:space="preserve">— </w:t>
      </w:r>
      <w:r w:rsidRPr="003A3D9D">
        <w:rPr>
          <w:rFonts w:cs="Times New Roman"/>
        </w:rPr>
        <w:t xml:space="preserve">that is, determine its subject matter or “pith and substance” </w:t>
      </w:r>
      <w:r>
        <w:rPr>
          <w:rFonts w:cs="Times New Roman"/>
        </w:rPr>
        <w:t>—</w:t>
      </w:r>
      <w:r w:rsidRPr="003A3D9D">
        <w:rPr>
          <w:rFonts w:cs="Times New Roman"/>
        </w:rPr>
        <w:t xml:space="preserve"> and then classify it as to whether it is in relation to the subject of criminal law and procedure.  </w:t>
      </w:r>
    </w:p>
    <w:p w:rsidR="009278C8" w:rsidRPr="003A3D9D" w:rsidRDefault="009278C8" w:rsidP="009278C8">
      <w:pPr>
        <w:pStyle w:val="ParaNoNdepar-AltN"/>
        <w:rPr>
          <w:rFonts w:cs="Times New Roman"/>
        </w:rPr>
      </w:pPr>
      <w:r w:rsidRPr="003A3D9D">
        <w:rPr>
          <w:rFonts w:cs="Times New Roman"/>
        </w:rPr>
        <w:t xml:space="preserve">The “pith and substance” analysis involves determining the law’s “dominant purpose or true character”: </w:t>
      </w:r>
      <w:r>
        <w:rPr>
          <w:rFonts w:cs="Times New Roman"/>
          <w:i/>
        </w:rPr>
        <w:t>RJR-</w:t>
      </w:r>
      <w:r w:rsidRPr="003A3D9D">
        <w:rPr>
          <w:rFonts w:cs="Times New Roman"/>
          <w:i/>
        </w:rPr>
        <w:t>MacDonald Inc</w:t>
      </w:r>
      <w:r>
        <w:rPr>
          <w:rFonts w:cs="Times New Roman"/>
          <w:i/>
        </w:rPr>
        <w:t>.</w:t>
      </w:r>
      <w:r w:rsidRPr="003A3D9D">
        <w:rPr>
          <w:rFonts w:cs="Times New Roman"/>
          <w:i/>
        </w:rPr>
        <w:t xml:space="preserve"> v. Canada (Attorney General)</w:t>
      </w:r>
      <w:r w:rsidRPr="003A3D9D">
        <w:rPr>
          <w:rFonts w:cs="Times New Roman"/>
        </w:rPr>
        <w:t xml:space="preserve">, [1995] 3 S.C.R. 199, at para. 29.  </w:t>
      </w:r>
      <w:proofErr w:type="gramStart"/>
      <w:r w:rsidRPr="003A3D9D">
        <w:rPr>
          <w:rFonts w:cs="Times New Roman"/>
        </w:rPr>
        <w:t>As</w:t>
      </w:r>
      <w:proofErr w:type="gramEnd"/>
      <w:r w:rsidRPr="003A3D9D">
        <w:rPr>
          <w:rFonts w:cs="Times New Roman"/>
        </w:rPr>
        <w:t xml:space="preserve"> Binnie and LeBel JJ. </w:t>
      </w:r>
      <w:proofErr w:type="gramStart"/>
      <w:r w:rsidRPr="003A3D9D">
        <w:rPr>
          <w:rFonts w:cs="Times New Roman"/>
        </w:rPr>
        <w:t>put</w:t>
      </w:r>
      <w:proofErr w:type="gramEnd"/>
      <w:r w:rsidRPr="003A3D9D">
        <w:rPr>
          <w:rFonts w:cs="Times New Roman"/>
        </w:rPr>
        <w:t xml:space="preserve"> it in </w:t>
      </w:r>
      <w:r w:rsidRPr="003A3D9D">
        <w:rPr>
          <w:rFonts w:cs="Times New Roman"/>
          <w:i/>
        </w:rPr>
        <w:t>Canadian Western Bank</w:t>
      </w:r>
      <w:r w:rsidRPr="003A3D9D">
        <w:rPr>
          <w:rFonts w:cs="Times New Roman"/>
        </w:rPr>
        <w:t>,</w:t>
      </w:r>
      <w:r w:rsidRPr="003A3D9D">
        <w:rPr>
          <w:rFonts w:cs="Times New Roman"/>
          <w:i/>
        </w:rPr>
        <w:t xml:space="preserve"> </w:t>
      </w:r>
      <w:r w:rsidRPr="003A3D9D">
        <w:rPr>
          <w:rFonts w:cs="Times New Roman"/>
        </w:rPr>
        <w:t>at para</w:t>
      </w:r>
      <w:r>
        <w:rPr>
          <w:rFonts w:cs="Times New Roman"/>
        </w:rPr>
        <w:t>.</w:t>
      </w:r>
      <w:r w:rsidRPr="003A3D9D">
        <w:rPr>
          <w:rFonts w:cs="Times New Roman"/>
        </w:rPr>
        <w:t xml:space="preserve"> 26: “</w:t>
      </w:r>
      <w:r>
        <w:rPr>
          <w:rFonts w:cs="Times New Roman"/>
        </w:rPr>
        <w:t>T</w:t>
      </w:r>
      <w:r w:rsidRPr="003A3D9D">
        <w:rPr>
          <w:rFonts w:cs="Times New Roman"/>
        </w:rPr>
        <w:t xml:space="preserve">his initial analysis consists of an inquiry into the true nature of the law in question </w:t>
      </w:r>
      <w:r w:rsidRPr="003A3D9D">
        <w:rPr>
          <w:rFonts w:cs="Times New Roman"/>
          <w:u w:val="single"/>
        </w:rPr>
        <w:t>for the purpose of identifying the ‘matter’ to which it essentially relates</w:t>
      </w:r>
      <w:r w:rsidRPr="003A3D9D">
        <w:rPr>
          <w:rFonts w:cs="Times New Roman"/>
        </w:rPr>
        <w:t xml:space="preserve">” (emphasis added).  </w:t>
      </w:r>
      <w:r>
        <w:rPr>
          <w:rFonts w:cs="Times New Roman"/>
        </w:rPr>
        <w:t xml:space="preserve">The object of the </w:t>
      </w:r>
      <w:r w:rsidRPr="003A3D9D">
        <w:rPr>
          <w:rFonts w:cs="Times New Roman"/>
        </w:rPr>
        <w:t xml:space="preserve">exercise is to determine whether that “matter” comes within a particular class of subjects for the purpose of determining which order of government can legislate.  Both the law’s purpose and its legal and practical effects are considered as part of this analysis: </w:t>
      </w:r>
      <w:r w:rsidRPr="003A3D9D">
        <w:rPr>
          <w:rFonts w:cs="Times New Roman"/>
          <w:i/>
        </w:rPr>
        <w:lastRenderedPageBreak/>
        <w:t>Reference re Securities Act</w:t>
      </w:r>
      <w:r w:rsidRPr="003A3D9D">
        <w:rPr>
          <w:rFonts w:cs="Times New Roman"/>
        </w:rPr>
        <w:t>, at paras.</w:t>
      </w:r>
      <w:r>
        <w:rPr>
          <w:rFonts w:cs="Times New Roman"/>
        </w:rPr>
        <w:t xml:space="preserve"> </w:t>
      </w:r>
      <w:r w:rsidRPr="003A3D9D">
        <w:rPr>
          <w:rFonts w:cs="Times New Roman"/>
        </w:rPr>
        <w:t xml:space="preserve">63-64; </w:t>
      </w:r>
      <w:r w:rsidRPr="003A3D9D">
        <w:rPr>
          <w:rFonts w:cs="Times New Roman"/>
          <w:i/>
        </w:rPr>
        <w:t>Quebec (Attorney General) v. Lacombe</w:t>
      </w:r>
      <w:r w:rsidRPr="003A3D9D">
        <w:rPr>
          <w:rFonts w:cs="Times New Roman"/>
        </w:rPr>
        <w:t>, 2010 SCC 38, [2010] 2 S.C.R. 453, at para.</w:t>
      </w:r>
      <w:r>
        <w:rPr>
          <w:rFonts w:cs="Times New Roman"/>
        </w:rPr>
        <w:t xml:space="preserve"> </w:t>
      </w:r>
      <w:r w:rsidRPr="003A3D9D">
        <w:rPr>
          <w:rFonts w:cs="Times New Roman"/>
        </w:rPr>
        <w:t>20;</w:t>
      </w:r>
      <w:r w:rsidRPr="003A3D9D">
        <w:rPr>
          <w:rFonts w:cs="Times New Roman"/>
          <w:i/>
        </w:rPr>
        <w:t xml:space="preserve"> Kitkatla Band v. British Columbia (Minister of Small Business, Tourism and Culture)</w:t>
      </w:r>
      <w:r w:rsidRPr="003A3D9D">
        <w:rPr>
          <w:rFonts w:cs="Times New Roman"/>
        </w:rPr>
        <w:t xml:space="preserve">, </w:t>
      </w:r>
      <w:r>
        <w:rPr>
          <w:rFonts w:cs="Times New Roman"/>
        </w:rPr>
        <w:t xml:space="preserve">2002 SCC 31, </w:t>
      </w:r>
      <w:r w:rsidRPr="003A3D9D">
        <w:rPr>
          <w:rFonts w:cs="Times New Roman"/>
        </w:rPr>
        <w:t>[2002] 2 S.C.R. 146, at paras.</w:t>
      </w:r>
      <w:r>
        <w:rPr>
          <w:rFonts w:cs="Times New Roman"/>
        </w:rPr>
        <w:t xml:space="preserve"> </w:t>
      </w:r>
      <w:r w:rsidRPr="003A3D9D">
        <w:rPr>
          <w:rFonts w:cs="Times New Roman"/>
        </w:rPr>
        <w:t>53-54</w:t>
      </w:r>
      <w:proofErr w:type="gramStart"/>
      <w:r>
        <w:rPr>
          <w:rFonts w:cs="Times New Roman"/>
        </w:rPr>
        <w:t xml:space="preserve">.  </w:t>
      </w:r>
      <w:r w:rsidRPr="003A3D9D">
        <w:rPr>
          <w:rFonts w:cs="Times New Roman"/>
        </w:rPr>
        <w:t>Care</w:t>
      </w:r>
      <w:proofErr w:type="gramEnd"/>
      <w:r w:rsidRPr="003A3D9D">
        <w:rPr>
          <w:rFonts w:cs="Times New Roman"/>
        </w:rPr>
        <w:t xml:space="preserve"> must be taken, however, not to confuse the law’s purpose with “the means chosen to achieve it”: </w:t>
      </w:r>
      <w:r w:rsidRPr="003A3D9D">
        <w:rPr>
          <w:rFonts w:cs="Times New Roman"/>
          <w:i/>
        </w:rPr>
        <w:t>Ward v. Canada (Attorney General)</w:t>
      </w:r>
      <w:r w:rsidRPr="003A3D9D">
        <w:rPr>
          <w:rFonts w:cs="Times New Roman"/>
        </w:rPr>
        <w:t xml:space="preserve">, </w:t>
      </w:r>
      <w:r>
        <w:rPr>
          <w:rFonts w:cs="Times New Roman"/>
        </w:rPr>
        <w:t xml:space="preserve">2002 SCC 17, </w:t>
      </w:r>
      <w:r w:rsidRPr="003A3D9D">
        <w:rPr>
          <w:rFonts w:cs="Times New Roman"/>
        </w:rPr>
        <w:t>[2002] 1 S.C.R. 569</w:t>
      </w:r>
      <w:r>
        <w:rPr>
          <w:rFonts w:cs="Times New Roman"/>
        </w:rPr>
        <w:t>,</w:t>
      </w:r>
      <w:r w:rsidRPr="003A3D9D">
        <w:rPr>
          <w:rFonts w:cs="Times New Roman"/>
        </w:rPr>
        <w:t xml:space="preserve"> at para</w:t>
      </w:r>
      <w:r>
        <w:rPr>
          <w:rFonts w:cs="Times New Roman"/>
        </w:rPr>
        <w:t>.</w:t>
      </w:r>
      <w:r w:rsidRPr="003A3D9D">
        <w:rPr>
          <w:rFonts w:cs="Times New Roman"/>
        </w:rPr>
        <w:t xml:space="preserve"> 25.</w:t>
      </w:r>
    </w:p>
    <w:p w:rsidR="009278C8" w:rsidRPr="003A3D9D" w:rsidRDefault="009278C8" w:rsidP="009278C8">
      <w:pPr>
        <w:pStyle w:val="ParaNoNdepar-AltN"/>
        <w:rPr>
          <w:rFonts w:cs="Times New Roman"/>
        </w:rPr>
      </w:pPr>
      <w:r w:rsidRPr="003A3D9D">
        <w:rPr>
          <w:rFonts w:cs="Times New Roman"/>
        </w:rPr>
        <w:t xml:space="preserve">Where the challenge concerns a particular provision which forms part of a larger scheme, the pith and substance analysis begins with the challenged provision: </w:t>
      </w:r>
      <w:r w:rsidRPr="003A3D9D">
        <w:rPr>
          <w:rFonts w:cs="Times New Roman"/>
          <w:i/>
        </w:rPr>
        <w:t>Kitkatla</w:t>
      </w:r>
      <w:r w:rsidR="002A44E9">
        <w:rPr>
          <w:rFonts w:cs="Times New Roman"/>
          <w:i/>
        </w:rPr>
        <w:t xml:space="preserve"> Band</w:t>
      </w:r>
      <w:r w:rsidRPr="003A3D9D">
        <w:rPr>
          <w:rFonts w:cs="Times New Roman"/>
        </w:rPr>
        <w:t>, at para</w:t>
      </w:r>
      <w:r>
        <w:rPr>
          <w:rFonts w:cs="Times New Roman"/>
        </w:rPr>
        <w:t>.</w:t>
      </w:r>
      <w:r w:rsidRPr="003A3D9D">
        <w:rPr>
          <w:rFonts w:cs="Times New Roman"/>
        </w:rPr>
        <w:t xml:space="preserve"> 56.  However, the “matter” of the provision must be considered in the context of the larger scheme, as its relationship to that scheme may be an important consideration in determining its pith and substance: </w:t>
      </w:r>
      <w:r w:rsidRPr="003A3D9D">
        <w:rPr>
          <w:rFonts w:cs="Times New Roman"/>
          <w:i/>
        </w:rPr>
        <w:t>Kirkbi AG v. Ritvik Holdings Inc.</w:t>
      </w:r>
      <w:r w:rsidRPr="003A3D9D">
        <w:rPr>
          <w:rFonts w:cs="Times New Roman"/>
        </w:rPr>
        <w:t>, 2005 SCC 65,</w:t>
      </w:r>
      <w:r>
        <w:rPr>
          <w:rFonts w:cs="Times New Roman"/>
        </w:rPr>
        <w:t xml:space="preserve"> [2005] 3 S.C.R. 302,</w:t>
      </w:r>
      <w:r w:rsidRPr="003A3D9D">
        <w:rPr>
          <w:rFonts w:cs="Times New Roman"/>
        </w:rPr>
        <w:t xml:space="preserve"> at paras. 20</w:t>
      </w:r>
      <w:r>
        <w:rPr>
          <w:rFonts w:cs="Times New Roman"/>
        </w:rPr>
        <w:t>-</w:t>
      </w:r>
      <w:r w:rsidRPr="003A3D9D">
        <w:rPr>
          <w:rFonts w:cs="Times New Roman"/>
        </w:rPr>
        <w:t>21.</w:t>
      </w:r>
    </w:p>
    <w:p w:rsidR="009278C8" w:rsidRPr="003A3D9D" w:rsidRDefault="009278C8" w:rsidP="009278C8">
      <w:pPr>
        <w:pStyle w:val="ParaNoNdepar-AltN"/>
        <w:rPr>
          <w:rFonts w:cs="Times New Roman"/>
        </w:rPr>
      </w:pPr>
      <w:r w:rsidRPr="003A3D9D">
        <w:rPr>
          <w:rFonts w:cs="Times New Roman"/>
        </w:rPr>
        <w:t xml:space="preserve">Courts must be careful not to endorse a “colourable” statute, that is, </w:t>
      </w:r>
      <w:r w:rsidRPr="003A3D9D">
        <w:rPr>
          <w:rFonts w:cs="Times New Roman"/>
          <w:szCs w:val="24"/>
        </w:rPr>
        <w:t xml:space="preserve">one that in form </w:t>
      </w:r>
      <w:r>
        <w:rPr>
          <w:rFonts w:cs="Times New Roman"/>
          <w:szCs w:val="24"/>
        </w:rPr>
        <w:t xml:space="preserve">appears to </w:t>
      </w:r>
      <w:r w:rsidRPr="003A3D9D">
        <w:rPr>
          <w:rFonts w:cs="Times New Roman"/>
          <w:szCs w:val="24"/>
        </w:rPr>
        <w:t xml:space="preserve">relate to a matter within the legislative competence of the enacting order of government, but in substance addresses a matter falling outside its competence: see </w:t>
      </w:r>
      <w:r w:rsidRPr="003A3D9D">
        <w:rPr>
          <w:rFonts w:cs="Times New Roman"/>
        </w:rPr>
        <w:t xml:space="preserve">Hogg, </w:t>
      </w:r>
      <w:r w:rsidRPr="003A3D9D">
        <w:rPr>
          <w:rFonts w:cs="Times New Roman"/>
          <w:szCs w:val="24"/>
        </w:rPr>
        <w:t xml:space="preserve">at </w:t>
      </w:r>
      <w:r>
        <w:rPr>
          <w:rFonts w:cs="Times New Roman"/>
          <w:szCs w:val="24"/>
        </w:rPr>
        <w:t xml:space="preserve">p. </w:t>
      </w:r>
      <w:r w:rsidRPr="003A3D9D">
        <w:rPr>
          <w:rFonts w:cs="Times New Roman"/>
          <w:szCs w:val="24"/>
        </w:rPr>
        <w:t>15-19</w:t>
      </w:r>
      <w:r>
        <w:rPr>
          <w:rFonts w:cs="Times New Roman"/>
          <w:szCs w:val="24"/>
        </w:rPr>
        <w:t xml:space="preserve">; </w:t>
      </w:r>
      <w:r w:rsidRPr="003A3D9D">
        <w:rPr>
          <w:rFonts w:cs="Times New Roman"/>
          <w:i/>
        </w:rPr>
        <w:t>Reference re Upper Churchill Water Rights Reversion Act</w:t>
      </w:r>
      <w:r>
        <w:rPr>
          <w:rFonts w:cs="Times New Roman"/>
        </w:rPr>
        <w:t>, [1984] 1 S.C.R. 297</w:t>
      </w:r>
      <w:r w:rsidRPr="003A3D9D">
        <w:rPr>
          <w:rFonts w:cs="Times New Roman"/>
          <w:szCs w:val="24"/>
        </w:rPr>
        <w:t>. The colourability doctrine simply means that “form is not controlling in the determination of essential character”: A.</w:t>
      </w:r>
      <w:r>
        <w:rPr>
          <w:rFonts w:cs="Times New Roman"/>
          <w:szCs w:val="24"/>
        </w:rPr>
        <w:t xml:space="preserve"> </w:t>
      </w:r>
      <w:r w:rsidRPr="003A3D9D">
        <w:rPr>
          <w:rFonts w:cs="Times New Roman"/>
          <w:szCs w:val="24"/>
        </w:rPr>
        <w:t>S. Abel, “The Neglected Logic of 91 and 92” (1969)</w:t>
      </w:r>
      <w:r>
        <w:rPr>
          <w:rFonts w:cs="Times New Roman"/>
          <w:szCs w:val="24"/>
        </w:rPr>
        <w:t>,</w:t>
      </w:r>
      <w:r w:rsidRPr="003A3D9D">
        <w:rPr>
          <w:rFonts w:cs="Times New Roman"/>
          <w:szCs w:val="24"/>
        </w:rPr>
        <w:t xml:space="preserve"> 19 </w:t>
      </w:r>
      <w:r w:rsidRPr="008C6395">
        <w:rPr>
          <w:rFonts w:cs="Times New Roman"/>
          <w:i/>
          <w:szCs w:val="24"/>
        </w:rPr>
        <w:t>U.T.L.J.</w:t>
      </w:r>
      <w:r w:rsidRPr="003A3D9D">
        <w:rPr>
          <w:rFonts w:cs="Times New Roman"/>
          <w:szCs w:val="24"/>
        </w:rPr>
        <w:t xml:space="preserve"> 487, at </w:t>
      </w:r>
      <w:r>
        <w:rPr>
          <w:rFonts w:cs="Times New Roman"/>
          <w:szCs w:val="24"/>
        </w:rPr>
        <w:t xml:space="preserve">p. </w:t>
      </w:r>
      <w:r w:rsidRPr="003A3D9D">
        <w:rPr>
          <w:rFonts w:cs="Times New Roman"/>
          <w:szCs w:val="24"/>
        </w:rPr>
        <w:t xml:space="preserve">494; Hogg, at </w:t>
      </w:r>
      <w:r>
        <w:rPr>
          <w:rFonts w:cs="Times New Roman"/>
          <w:szCs w:val="24"/>
        </w:rPr>
        <w:t xml:space="preserve">p. </w:t>
      </w:r>
      <w:r w:rsidRPr="003A3D9D">
        <w:rPr>
          <w:rFonts w:cs="Times New Roman"/>
          <w:szCs w:val="24"/>
        </w:rPr>
        <w:t xml:space="preserve">15-20.  </w:t>
      </w:r>
      <w:r w:rsidRPr="003A3D9D">
        <w:rPr>
          <w:rFonts w:cs="Times New Roman"/>
          <w:szCs w:val="24"/>
          <w:lang w:val="en-US"/>
        </w:rPr>
        <w:t xml:space="preserve">Courts are, for good reasons, reluctant to find legislation to be colourable: H. Brun, G. Tremblay and E. Brouillet, </w:t>
      </w:r>
      <w:r>
        <w:rPr>
          <w:rFonts w:cs="Times New Roman"/>
          <w:i/>
          <w:szCs w:val="24"/>
          <w:lang w:val="en-US"/>
        </w:rPr>
        <w:t>Droit c</w:t>
      </w:r>
      <w:r w:rsidRPr="003A3D9D">
        <w:rPr>
          <w:rFonts w:cs="Times New Roman"/>
          <w:i/>
          <w:szCs w:val="24"/>
          <w:lang w:val="en-US"/>
        </w:rPr>
        <w:t xml:space="preserve">onstitutionnel </w:t>
      </w:r>
      <w:r>
        <w:rPr>
          <w:rFonts w:cs="Times New Roman"/>
          <w:szCs w:val="24"/>
          <w:lang w:val="en-US"/>
        </w:rPr>
        <w:t>(6th ed.</w:t>
      </w:r>
      <w:r w:rsidRPr="003A3D9D">
        <w:rPr>
          <w:rFonts w:cs="Times New Roman"/>
          <w:szCs w:val="24"/>
          <w:lang w:val="en-US"/>
        </w:rPr>
        <w:t xml:space="preserve"> 2014)</w:t>
      </w:r>
      <w:r>
        <w:rPr>
          <w:rFonts w:cs="Times New Roman"/>
          <w:szCs w:val="24"/>
          <w:lang w:val="en-US"/>
        </w:rPr>
        <w:t>,</w:t>
      </w:r>
      <w:r w:rsidRPr="003A3D9D">
        <w:rPr>
          <w:rFonts w:cs="Times New Roman"/>
          <w:szCs w:val="24"/>
          <w:lang w:val="en-US"/>
        </w:rPr>
        <w:t xml:space="preserve"> at p. 464.  There is a danger that any broader application of the colourability </w:t>
      </w:r>
      <w:r>
        <w:rPr>
          <w:rFonts w:cs="Times New Roman"/>
          <w:szCs w:val="24"/>
          <w:lang w:val="en-US"/>
        </w:rPr>
        <w:t xml:space="preserve">doctrine </w:t>
      </w:r>
      <w:r w:rsidRPr="003A3D9D">
        <w:rPr>
          <w:rFonts w:cs="Times New Roman"/>
          <w:szCs w:val="24"/>
          <w:lang w:val="en-US"/>
        </w:rPr>
        <w:t xml:space="preserve">may lead the courts </w:t>
      </w:r>
      <w:r w:rsidRPr="003A3D9D">
        <w:rPr>
          <w:rFonts w:cs="Times New Roman"/>
          <w:szCs w:val="24"/>
          <w:lang w:val="en-US"/>
        </w:rPr>
        <w:lastRenderedPageBreak/>
        <w:t xml:space="preserve">to exceed their role of determining the </w:t>
      </w:r>
      <w:r>
        <w:rPr>
          <w:rFonts w:cs="Times New Roman"/>
          <w:szCs w:val="24"/>
          <w:lang w:val="en-US"/>
        </w:rPr>
        <w:t xml:space="preserve">constitutionality </w:t>
      </w:r>
      <w:r w:rsidRPr="003A3D9D">
        <w:rPr>
          <w:rFonts w:cs="Times New Roman"/>
          <w:szCs w:val="24"/>
          <w:lang w:val="en-US"/>
        </w:rPr>
        <w:t>of legislation and</w:t>
      </w:r>
      <w:r>
        <w:rPr>
          <w:rFonts w:cs="Times New Roman"/>
          <w:szCs w:val="24"/>
          <w:lang w:val="en-US"/>
        </w:rPr>
        <w:t>,</w:t>
      </w:r>
      <w:r w:rsidRPr="003A3D9D">
        <w:rPr>
          <w:rFonts w:cs="Times New Roman"/>
          <w:szCs w:val="24"/>
          <w:lang w:val="en-US"/>
        </w:rPr>
        <w:t xml:space="preserve"> instead, express disapproval of either the policy of the statute or the means by which the legislation seeks to carry it out: </w:t>
      </w:r>
      <w:r w:rsidRPr="003A3D9D">
        <w:rPr>
          <w:rFonts w:cs="Times New Roman"/>
        </w:rPr>
        <w:t xml:space="preserve">Hogg, at </w:t>
      </w:r>
      <w:r>
        <w:rPr>
          <w:rFonts w:cs="Times New Roman"/>
        </w:rPr>
        <w:t xml:space="preserve">p. </w:t>
      </w:r>
      <w:r w:rsidRPr="003A3D9D">
        <w:rPr>
          <w:rFonts w:cs="Times New Roman"/>
        </w:rPr>
        <w:t>15-20; see also</w:t>
      </w:r>
      <w:r w:rsidRPr="003A3D9D">
        <w:rPr>
          <w:rFonts w:cs="Times New Roman"/>
          <w:i/>
        </w:rPr>
        <w:t xml:space="preserve"> Ward</w:t>
      </w:r>
      <w:r w:rsidRPr="003A3D9D">
        <w:rPr>
          <w:rFonts w:cs="Times New Roman"/>
        </w:rPr>
        <w:t>, at para.</w:t>
      </w:r>
      <w:r>
        <w:rPr>
          <w:rFonts w:cs="Times New Roman"/>
        </w:rPr>
        <w:t xml:space="preserve"> </w:t>
      </w:r>
      <w:r w:rsidRPr="003A3D9D">
        <w:rPr>
          <w:rFonts w:cs="Times New Roman"/>
        </w:rPr>
        <w:t>26.</w:t>
      </w:r>
    </w:p>
    <w:p w:rsidR="009278C8" w:rsidRPr="003A3D9D" w:rsidRDefault="009278C8" w:rsidP="009278C8">
      <w:pPr>
        <w:pStyle w:val="ParaNoNdepar-AltN"/>
        <w:rPr>
          <w:rFonts w:cs="Times New Roman"/>
        </w:rPr>
      </w:pPr>
      <w:r w:rsidRPr="003A3D9D">
        <w:rPr>
          <w:rFonts w:cs="Times New Roman"/>
        </w:rPr>
        <w:t xml:space="preserve">Once the subject matter has been identified, the next step of the pith and substance analysis consists of classifying the legislation or provision in relation to the division of legislative power in the Constitution.  Here, we must determine whether the “matter” of s. 29 </w:t>
      </w:r>
      <w:r>
        <w:rPr>
          <w:rFonts w:cs="Times New Roman"/>
        </w:rPr>
        <w:t xml:space="preserve">of the </w:t>
      </w:r>
      <w:r>
        <w:rPr>
          <w:rFonts w:cs="Times New Roman"/>
          <w:i/>
        </w:rPr>
        <w:t xml:space="preserve">ELRA </w:t>
      </w:r>
      <w:r w:rsidRPr="003A3D9D">
        <w:rPr>
          <w:rFonts w:cs="Times New Roman"/>
        </w:rPr>
        <w:t>comes within the “subject” of criminal law</w:t>
      </w:r>
      <w:r>
        <w:rPr>
          <w:rFonts w:cs="Times New Roman"/>
        </w:rPr>
        <w:t>, a head of power attributed to Parliament at s. 91(27) of the</w:t>
      </w:r>
      <w:r w:rsidRPr="003A3D9D">
        <w:rPr>
          <w:rFonts w:cs="Times New Roman"/>
        </w:rPr>
        <w:t xml:space="preserve"> </w:t>
      </w:r>
      <w:r w:rsidRPr="003A3D9D">
        <w:rPr>
          <w:rFonts w:cs="Times New Roman"/>
          <w:i/>
        </w:rPr>
        <w:t>Constitution Act, 1867</w:t>
      </w:r>
      <w:r w:rsidRPr="003A3D9D">
        <w:rPr>
          <w:rFonts w:cs="Times New Roman"/>
        </w:rPr>
        <w:t xml:space="preserve">.  This classification exercise may </w:t>
      </w:r>
      <w:r>
        <w:rPr>
          <w:rFonts w:cs="Times New Roman"/>
        </w:rPr>
        <w:t>—</w:t>
      </w:r>
      <w:r w:rsidRPr="003A3D9D">
        <w:rPr>
          <w:rFonts w:cs="Times New Roman"/>
        </w:rPr>
        <w:t xml:space="preserve"> and often does </w:t>
      </w:r>
      <w:r>
        <w:rPr>
          <w:rFonts w:cs="Times New Roman"/>
        </w:rPr>
        <w:t>—</w:t>
      </w:r>
      <w:r w:rsidRPr="003A3D9D">
        <w:rPr>
          <w:rFonts w:cs="Times New Roman"/>
        </w:rPr>
        <w:t xml:space="preserve"> involve defining the scope of the relevant head or heads of power: </w:t>
      </w:r>
      <w:r w:rsidRPr="003A3D9D">
        <w:rPr>
          <w:rFonts w:cs="Times New Roman"/>
          <w:i/>
        </w:rPr>
        <w:t>Reference re Securities Act</w:t>
      </w:r>
      <w:r w:rsidRPr="003A3D9D">
        <w:rPr>
          <w:rFonts w:cs="Times New Roman"/>
        </w:rPr>
        <w:t>, at para.</w:t>
      </w:r>
      <w:r>
        <w:rPr>
          <w:rFonts w:cs="Times New Roman"/>
        </w:rPr>
        <w:t xml:space="preserve"> </w:t>
      </w:r>
      <w:r w:rsidRPr="003A3D9D">
        <w:rPr>
          <w:rFonts w:cs="Times New Roman"/>
        </w:rPr>
        <w:t>6</w:t>
      </w:r>
      <w:r>
        <w:rPr>
          <w:rFonts w:cs="Times New Roman"/>
        </w:rPr>
        <w:t>5</w:t>
      </w:r>
      <w:r w:rsidRPr="003A3D9D">
        <w:rPr>
          <w:rFonts w:cs="Times New Roman"/>
        </w:rPr>
        <w:t>.  If the “matter” of the legislation comes within the “subject” of the head of power</w:t>
      </w:r>
      <w:r>
        <w:rPr>
          <w:rFonts w:cs="Times New Roman"/>
        </w:rPr>
        <w:t xml:space="preserve"> of the enacting order of government</w:t>
      </w:r>
      <w:r w:rsidRPr="003A3D9D">
        <w:rPr>
          <w:rFonts w:cs="Times New Roman"/>
        </w:rPr>
        <w:t xml:space="preserve">, the legislation is </w:t>
      </w:r>
      <w:r w:rsidRPr="003A3D9D">
        <w:rPr>
          <w:rFonts w:cs="Times New Roman"/>
          <w:i/>
        </w:rPr>
        <w:t>intra vires</w:t>
      </w:r>
      <w:r w:rsidRPr="003A3D9D">
        <w:rPr>
          <w:rFonts w:cs="Times New Roman"/>
        </w:rPr>
        <w:t xml:space="preserve"> eve</w:t>
      </w:r>
      <w:r>
        <w:rPr>
          <w:rFonts w:cs="Times New Roman"/>
        </w:rPr>
        <w:t>n if it has incidental effects o</w:t>
      </w:r>
      <w:r w:rsidRPr="003A3D9D">
        <w:rPr>
          <w:rFonts w:cs="Times New Roman"/>
        </w:rPr>
        <w:t xml:space="preserve">n the other jurisdiction’s legislative competence (subject to federal paramountcy in the case of provincial legislation): </w:t>
      </w:r>
      <w:r w:rsidRPr="003A3D9D">
        <w:rPr>
          <w:rFonts w:cs="Times New Roman"/>
          <w:i/>
        </w:rPr>
        <w:t>Reference re Firearms Act</w:t>
      </w:r>
      <w:r w:rsidRPr="003A3D9D">
        <w:rPr>
          <w:rFonts w:cs="Times New Roman"/>
        </w:rPr>
        <w:t>, at para.</w:t>
      </w:r>
      <w:r>
        <w:rPr>
          <w:rFonts w:cs="Times New Roman"/>
        </w:rPr>
        <w:t xml:space="preserve"> </w:t>
      </w:r>
      <w:r w:rsidRPr="003A3D9D">
        <w:rPr>
          <w:rFonts w:cs="Times New Roman"/>
        </w:rPr>
        <w:t xml:space="preserve">49.  </w:t>
      </w:r>
    </w:p>
    <w:p w:rsidR="009278C8" w:rsidRPr="003A3D9D" w:rsidRDefault="009278C8" w:rsidP="009278C8">
      <w:pPr>
        <w:pStyle w:val="ParaNoNdepar-AltN"/>
        <w:rPr>
          <w:rFonts w:cs="Times New Roman"/>
        </w:rPr>
      </w:pPr>
      <w:r w:rsidRPr="003A3D9D">
        <w:rPr>
          <w:rFonts w:cs="Times New Roman"/>
        </w:rPr>
        <w:t xml:space="preserve">This point takes on special importance when considering the classification of a law, like this one, that undoes a previously enacted scheme.  In classifying legislation that undoes an existing legislative scheme, due regard must be paid to the proper classification </w:t>
      </w:r>
      <w:r w:rsidRPr="00842C9B">
        <w:rPr>
          <w:rFonts w:cs="Times New Roman"/>
          <w:i/>
        </w:rPr>
        <w:t>of that scheme</w:t>
      </w:r>
      <w:r w:rsidRPr="003A3D9D">
        <w:rPr>
          <w:rFonts w:cs="Times New Roman"/>
        </w:rPr>
        <w:t xml:space="preserve">.  Consider the example of the repeal of a criminal offence.  The scope of the criminal law power extends to laws that create a prohibition backed by a penalty for a criminal law purpose: </w:t>
      </w:r>
      <w:r w:rsidRPr="003A3D9D">
        <w:rPr>
          <w:rFonts w:cs="Times New Roman"/>
          <w:i/>
        </w:rPr>
        <w:t>Reference re Firearms Act</w:t>
      </w:r>
      <w:r w:rsidRPr="003A3D9D">
        <w:rPr>
          <w:rFonts w:cs="Times New Roman"/>
        </w:rPr>
        <w:t>, at para</w:t>
      </w:r>
      <w:r>
        <w:rPr>
          <w:rFonts w:cs="Times New Roman"/>
        </w:rPr>
        <w:t>.</w:t>
      </w:r>
      <w:r w:rsidRPr="003A3D9D">
        <w:rPr>
          <w:rFonts w:cs="Times New Roman"/>
        </w:rPr>
        <w:t xml:space="preserve"> 27.  A law creating a true criminal offence clearly has these features, but </w:t>
      </w:r>
      <w:r w:rsidRPr="003A3D9D">
        <w:rPr>
          <w:rFonts w:cs="Times New Roman"/>
        </w:rPr>
        <w:lastRenderedPageBreak/>
        <w:t xml:space="preserve">a law repealing that </w:t>
      </w:r>
      <w:r>
        <w:rPr>
          <w:rFonts w:cs="Times New Roman"/>
        </w:rPr>
        <w:t xml:space="preserve">same </w:t>
      </w:r>
      <w:r w:rsidRPr="003A3D9D">
        <w:rPr>
          <w:rFonts w:cs="Times New Roman"/>
        </w:rPr>
        <w:t>offence does not</w:t>
      </w:r>
      <w:r>
        <w:rPr>
          <w:rFonts w:cs="Times New Roman"/>
        </w:rPr>
        <w:t>; the latter</w:t>
      </w:r>
      <w:r w:rsidRPr="003A3D9D">
        <w:rPr>
          <w:rFonts w:cs="Times New Roman"/>
        </w:rPr>
        <w:t xml:space="preserve"> does not create a prohibition backed by a penalty for a criminal law purpose.  The repealing enactment, however, is clearly criminal law because the </w:t>
      </w:r>
      <w:r>
        <w:rPr>
          <w:rFonts w:cs="Times New Roman"/>
        </w:rPr>
        <w:t>“matter” of that</w:t>
      </w:r>
      <w:r w:rsidRPr="003A3D9D">
        <w:rPr>
          <w:rFonts w:cs="Times New Roman"/>
        </w:rPr>
        <w:t xml:space="preserve"> law comes within the same criminal law subject as did the provision </w:t>
      </w:r>
      <w:r>
        <w:rPr>
          <w:rFonts w:cs="Times New Roman"/>
        </w:rPr>
        <w:t>it seeks to repeal</w:t>
      </w:r>
      <w:r w:rsidRPr="003A3D9D">
        <w:rPr>
          <w:rFonts w:cs="Times New Roman"/>
        </w:rPr>
        <w:t xml:space="preserve">.  This is why Quebec is clearly right in this case not to question Parliament’s authority to repeal the long-gun registry scheme, and to restrict its challenge to s. 29 of the </w:t>
      </w:r>
      <w:r>
        <w:rPr>
          <w:rFonts w:cs="Times New Roman"/>
          <w:i/>
        </w:rPr>
        <w:t>ELRA</w:t>
      </w:r>
      <w:r w:rsidRPr="003A3D9D">
        <w:rPr>
          <w:rFonts w:cs="Times New Roman"/>
        </w:rPr>
        <w:t>, which provides for the destruction of the data.  The fatal flaw in Quebec’s analysis, however, is that in characterizing the pith and substance of s. 29, it ignores the place of the data gathering and retention provisions in the overall scheme.</w:t>
      </w:r>
    </w:p>
    <w:p w:rsidR="009278C8" w:rsidRPr="003A3D9D" w:rsidRDefault="009278C8" w:rsidP="009278C8">
      <w:pPr>
        <w:pStyle w:val="Title3LevelTitre3Niveau"/>
        <w:rPr>
          <w:rFonts w:cs="Times New Roman"/>
        </w:rPr>
      </w:pPr>
      <w:r w:rsidRPr="003A3D9D">
        <w:rPr>
          <w:rFonts w:cs="Times New Roman"/>
        </w:rPr>
        <w:t>Application</w:t>
      </w:r>
    </w:p>
    <w:p w:rsidR="009278C8" w:rsidRPr="003A3D9D" w:rsidRDefault="009278C8" w:rsidP="009278C8">
      <w:pPr>
        <w:pStyle w:val="Title4LevelTitre4Niveau"/>
        <w:rPr>
          <w:rFonts w:cs="Times New Roman"/>
        </w:rPr>
      </w:pPr>
      <w:r w:rsidRPr="003A3D9D">
        <w:rPr>
          <w:rFonts w:cs="Times New Roman"/>
        </w:rPr>
        <w:t>The “</w:t>
      </w:r>
      <w:r>
        <w:rPr>
          <w:rFonts w:cs="Times New Roman"/>
        </w:rPr>
        <w:t>M</w:t>
      </w:r>
      <w:r w:rsidRPr="003A3D9D">
        <w:rPr>
          <w:rFonts w:cs="Times New Roman"/>
        </w:rPr>
        <w:t xml:space="preserve">atter” of </w:t>
      </w:r>
      <w:r>
        <w:rPr>
          <w:rFonts w:cs="Times New Roman"/>
        </w:rPr>
        <w:t xml:space="preserve">Section </w:t>
      </w:r>
      <w:r w:rsidRPr="003A3D9D">
        <w:rPr>
          <w:rFonts w:cs="Times New Roman"/>
        </w:rPr>
        <w:t>29</w:t>
      </w:r>
    </w:p>
    <w:p w:rsidR="009278C8" w:rsidRPr="003A3D9D" w:rsidRDefault="009278C8" w:rsidP="009278C8">
      <w:pPr>
        <w:pStyle w:val="ParaNoNdepar-AltN"/>
        <w:rPr>
          <w:rFonts w:cs="Times New Roman"/>
        </w:rPr>
      </w:pPr>
      <w:r w:rsidRPr="003A3D9D">
        <w:rPr>
          <w:rFonts w:cs="Times New Roman"/>
        </w:rPr>
        <w:t>In essence, Quebec submits that the pith and substance of s. 29</w:t>
      </w:r>
      <w:r>
        <w:rPr>
          <w:rFonts w:cs="Times New Roman"/>
        </w:rPr>
        <w:t xml:space="preserve"> of the </w:t>
      </w:r>
      <w:r>
        <w:rPr>
          <w:rFonts w:cs="Times New Roman"/>
          <w:i/>
        </w:rPr>
        <w:t>ELRA</w:t>
      </w:r>
      <w:r w:rsidRPr="003A3D9D">
        <w:rPr>
          <w:rFonts w:cs="Times New Roman"/>
        </w:rPr>
        <w:t xml:space="preserve"> is to prevent the long-gun registry from being continued through provincial legislation.  </w:t>
      </w:r>
      <w:r w:rsidRPr="0033471A">
        <w:t>Although Quebec does not suggest that this “matter” comes within any of the enumerated heads of provincial legislative power, it submits nonetheless that the federal legislation is not a valid exercise of the criminal law power because it [</w:t>
      </w:r>
      <w:r w:rsidRPr="0033471A">
        <w:rPr>
          <w:smallCaps/>
        </w:rPr>
        <w:t>translation</w:t>
      </w:r>
      <w:r w:rsidRPr="0033471A">
        <w:t>] “</w:t>
      </w:r>
      <w:r>
        <w:t xml:space="preserve">encroaches massively on the ability of a provincial </w:t>
      </w:r>
      <w:r w:rsidRPr="0033471A">
        <w:t xml:space="preserve">legislature </w:t>
      </w:r>
      <w:r>
        <w:t xml:space="preserve">to exercise as it sees fit its powers with respect to the </w:t>
      </w:r>
      <w:r w:rsidRPr="0033471A">
        <w:t xml:space="preserve">administration </w:t>
      </w:r>
      <w:r>
        <w:t>of</w:t>
      </w:r>
      <w:r w:rsidRPr="0033471A">
        <w:t xml:space="preserve"> justice, </w:t>
      </w:r>
      <w:r>
        <w:t>public safety</w:t>
      </w:r>
      <w:r w:rsidRPr="0033471A">
        <w:t>,</w:t>
      </w:r>
      <w:r>
        <w:t xml:space="preserve"> the</w:t>
      </w:r>
      <w:r w:rsidRPr="0033471A">
        <w:t xml:space="preserve"> pr</w:t>
      </w:r>
      <w:r>
        <w:t>e</w:t>
      </w:r>
      <w:r w:rsidRPr="0033471A">
        <w:t xml:space="preserve">vention </w:t>
      </w:r>
      <w:r>
        <w:t xml:space="preserve">of crime and the social costs associated with crime”: </w:t>
      </w:r>
      <w:r w:rsidRPr="003A3D9D">
        <w:rPr>
          <w:rFonts w:cs="Times New Roman"/>
        </w:rPr>
        <w:t>A.F., at para.</w:t>
      </w:r>
      <w:r>
        <w:rPr>
          <w:rFonts w:cs="Times New Roman"/>
        </w:rPr>
        <w:t xml:space="preserve"> </w:t>
      </w:r>
      <w:r w:rsidRPr="003A3D9D">
        <w:rPr>
          <w:rFonts w:cs="Times New Roman"/>
        </w:rPr>
        <w:t>122</w:t>
      </w:r>
      <w:r>
        <w:rPr>
          <w:rFonts w:cs="Times New Roman"/>
        </w:rPr>
        <w:t>; see also para. 115</w:t>
      </w:r>
      <w:r w:rsidRPr="003A3D9D">
        <w:rPr>
          <w:rFonts w:cs="Times New Roman"/>
        </w:rPr>
        <w:t xml:space="preserve">.  Quebec relies on several statements made by the Prime Minister and other federal cabinet ministers to the effect that Canada’s objective is to </w:t>
      </w:r>
      <w:r w:rsidRPr="003A3D9D">
        <w:rPr>
          <w:rFonts w:cs="Times New Roman"/>
        </w:rPr>
        <w:lastRenderedPageBreak/>
        <w:t>put a definite end to the long</w:t>
      </w:r>
      <w:r>
        <w:rPr>
          <w:rFonts w:cs="Times New Roman"/>
        </w:rPr>
        <w:t>-</w:t>
      </w:r>
      <w:r w:rsidRPr="003A3D9D">
        <w:rPr>
          <w:rFonts w:cs="Times New Roman"/>
        </w:rPr>
        <w:t>gun registry by destroying the data contained in the CFR connected</w:t>
      </w:r>
      <w:r>
        <w:rPr>
          <w:rFonts w:cs="Times New Roman"/>
        </w:rPr>
        <w:t xml:space="preserve"> to long </w:t>
      </w:r>
      <w:r w:rsidRPr="003A3D9D">
        <w:rPr>
          <w:rFonts w:cs="Times New Roman"/>
        </w:rPr>
        <w:t xml:space="preserve">guns, and that they will do nothing to support any province or territory who would like to create a local long-gun registry.  Quebec also submits that the effect of the destruction of the data will be to make it prohibitively expensive and complicated for </w:t>
      </w:r>
      <w:r>
        <w:rPr>
          <w:rFonts w:cs="Times New Roman"/>
        </w:rPr>
        <w:t xml:space="preserve">the province </w:t>
      </w:r>
      <w:r w:rsidRPr="003A3D9D">
        <w:rPr>
          <w:rFonts w:cs="Times New Roman"/>
        </w:rPr>
        <w:t xml:space="preserve">to create its own long-gun registry.  </w:t>
      </w:r>
      <w:r>
        <w:rPr>
          <w:rFonts w:cs="Times New Roman"/>
        </w:rPr>
        <w:t xml:space="preserve">Section 29 of the </w:t>
      </w:r>
      <w:r>
        <w:rPr>
          <w:rFonts w:cs="Times New Roman"/>
          <w:i/>
        </w:rPr>
        <w:t xml:space="preserve">ELRA </w:t>
      </w:r>
      <w:r w:rsidRPr="003A3D9D">
        <w:rPr>
          <w:rFonts w:cs="Times New Roman"/>
        </w:rPr>
        <w:t>therefore constitutes an encroachment on the province’s powers</w:t>
      </w:r>
      <w:r w:rsidRPr="003A3D9D">
        <w:rPr>
          <w:rFonts w:cs="Times New Roman"/>
          <w:szCs w:val="24"/>
        </w:rPr>
        <w:t>.</w:t>
      </w:r>
    </w:p>
    <w:p w:rsidR="009278C8" w:rsidRPr="003A3D9D" w:rsidRDefault="009278C8" w:rsidP="009278C8">
      <w:pPr>
        <w:pStyle w:val="ParaNoNdepar-AltN"/>
        <w:rPr>
          <w:rFonts w:cs="Times New Roman"/>
        </w:rPr>
      </w:pPr>
      <w:r w:rsidRPr="003A3D9D">
        <w:rPr>
          <w:rFonts w:cs="Times New Roman"/>
        </w:rPr>
        <w:t>Canada submits that the subject matter of s.</w:t>
      </w:r>
      <w:r>
        <w:rPr>
          <w:rFonts w:cs="Times New Roman"/>
        </w:rPr>
        <w:t xml:space="preserve"> </w:t>
      </w:r>
      <w:r w:rsidRPr="003A3D9D">
        <w:rPr>
          <w:rFonts w:cs="Times New Roman"/>
        </w:rPr>
        <w:t xml:space="preserve">29 is the same as the rest of the </w:t>
      </w:r>
      <w:r>
        <w:rPr>
          <w:rFonts w:cs="Times New Roman"/>
          <w:i/>
        </w:rPr>
        <w:t>ELRA</w:t>
      </w:r>
      <w:r w:rsidRPr="003A3D9D">
        <w:rPr>
          <w:rFonts w:cs="Times New Roman"/>
        </w:rPr>
        <w:t>: to abolish the long-gun registry and put an end to what it considers an unwarranted intrusion into the private lives of Canadian gun owners.  Canada also asserts that the practical effects of the destruction of the data on provinces who want to create their own gun control scheme do not change the pith and substance of the impugned provision.</w:t>
      </w:r>
    </w:p>
    <w:p w:rsidR="009278C8" w:rsidRPr="003A3D9D" w:rsidRDefault="009278C8" w:rsidP="009278C8">
      <w:pPr>
        <w:pStyle w:val="ParaNoNdepar-AltN"/>
        <w:rPr>
          <w:rFonts w:cs="Times New Roman"/>
        </w:rPr>
      </w:pPr>
      <w:r w:rsidRPr="003A3D9D">
        <w:rPr>
          <w:rFonts w:cs="Times New Roman"/>
        </w:rPr>
        <w:t>In our respectful view, the proper characterization of the “matter” of s. 29</w:t>
      </w:r>
      <w:r>
        <w:rPr>
          <w:rFonts w:cs="Times New Roman"/>
        </w:rPr>
        <w:t xml:space="preserve"> of the </w:t>
      </w:r>
      <w:r>
        <w:rPr>
          <w:rFonts w:cs="Times New Roman"/>
          <w:i/>
        </w:rPr>
        <w:t>ELRA</w:t>
      </w:r>
      <w:r w:rsidRPr="003A3D9D">
        <w:rPr>
          <w:rFonts w:cs="Times New Roman"/>
        </w:rPr>
        <w:t xml:space="preserve"> derives from that of the scheme that it is undoing.  In the </w:t>
      </w:r>
      <w:r w:rsidRPr="003A3D9D">
        <w:rPr>
          <w:rFonts w:cs="Times New Roman"/>
          <w:i/>
        </w:rPr>
        <w:t>Reference re Firearms Act</w:t>
      </w:r>
      <w:r w:rsidRPr="003A3D9D">
        <w:rPr>
          <w:rFonts w:cs="Times New Roman"/>
        </w:rPr>
        <w:t xml:space="preserve">, this Court held that both the criminal prohibition </w:t>
      </w:r>
      <w:r>
        <w:rPr>
          <w:rFonts w:cs="Times New Roman"/>
        </w:rPr>
        <w:t xml:space="preserve">on possessing an unregistered firearm </w:t>
      </w:r>
      <w:r w:rsidRPr="003A3D9D">
        <w:rPr>
          <w:rFonts w:cs="Times New Roman"/>
        </w:rPr>
        <w:t xml:space="preserve">and the registration scheme provided for in the </w:t>
      </w:r>
      <w:r w:rsidRPr="003A3D9D">
        <w:rPr>
          <w:rFonts w:cs="Times New Roman"/>
          <w:i/>
        </w:rPr>
        <w:t xml:space="preserve">Firearms Act </w:t>
      </w:r>
      <w:r w:rsidRPr="003A3D9D">
        <w:rPr>
          <w:rFonts w:cs="Times New Roman"/>
        </w:rPr>
        <w:t>were valid public safety measures.  It determined that the purpose of the scheme was to address “the problem of the misuse of firearms and the threat it poses to public safety”: para.</w:t>
      </w:r>
      <w:r>
        <w:rPr>
          <w:rFonts w:cs="Times New Roman"/>
        </w:rPr>
        <w:t xml:space="preserve"> </w:t>
      </w:r>
      <w:r w:rsidRPr="003A3D9D">
        <w:rPr>
          <w:rFonts w:cs="Times New Roman"/>
        </w:rPr>
        <w:t xml:space="preserve">21.  It also held that the effects of the scheme supported the conclusion that the </w:t>
      </w:r>
      <w:r w:rsidRPr="003A3D9D">
        <w:rPr>
          <w:rFonts w:cs="Times New Roman"/>
          <w:i/>
        </w:rPr>
        <w:t>Firearms Act</w:t>
      </w:r>
      <w:r w:rsidRPr="003A3D9D">
        <w:rPr>
          <w:rFonts w:cs="Times New Roman"/>
        </w:rPr>
        <w:t xml:space="preserve"> is a public safety measure: para.</w:t>
      </w:r>
      <w:r>
        <w:rPr>
          <w:rFonts w:cs="Times New Roman"/>
        </w:rPr>
        <w:t xml:space="preserve"> </w:t>
      </w:r>
      <w:r w:rsidRPr="003A3D9D">
        <w:rPr>
          <w:rFonts w:cs="Times New Roman"/>
        </w:rPr>
        <w:t xml:space="preserve">24.  The Court rejected arguments from Ontario and Saskatchewan to the effect that the “matter” of the registration and data retention provisions, which s. 29 seeks to dismantle, was the </w:t>
      </w:r>
      <w:r>
        <w:rPr>
          <w:rFonts w:cs="Times New Roman"/>
        </w:rPr>
        <w:lastRenderedPageBreak/>
        <w:t xml:space="preserve">regulation </w:t>
      </w:r>
      <w:r w:rsidRPr="003A3D9D">
        <w:rPr>
          <w:rFonts w:cs="Times New Roman"/>
        </w:rPr>
        <w:t xml:space="preserve">of property within the province.  The Court concluded that the “matter” of these provisions was the same as the rest of the scheme </w:t>
      </w:r>
      <w:r>
        <w:rPr>
          <w:rFonts w:cs="Times New Roman"/>
        </w:rPr>
        <w:t>—</w:t>
      </w:r>
      <w:r w:rsidRPr="003A3D9D">
        <w:rPr>
          <w:rFonts w:cs="Times New Roman"/>
        </w:rPr>
        <w:t xml:space="preserve"> public safety </w:t>
      </w:r>
      <w:r>
        <w:rPr>
          <w:rFonts w:cs="Times New Roman"/>
        </w:rPr>
        <w:t>—</w:t>
      </w:r>
      <w:r w:rsidRPr="003A3D9D">
        <w:rPr>
          <w:rFonts w:cs="Times New Roman"/>
        </w:rPr>
        <w:t xml:space="preserve"> and that they should accordingly be classified as being in relation to the subject of criminal law</w:t>
      </w:r>
      <w:r w:rsidRPr="003A3D9D">
        <w:rPr>
          <w:rFonts w:cs="Times New Roman"/>
          <w:szCs w:val="24"/>
        </w:rPr>
        <w:t>:</w:t>
      </w:r>
    </w:p>
    <w:p w:rsidR="009278C8" w:rsidRPr="003A3D9D" w:rsidRDefault="009278C8" w:rsidP="003619CB">
      <w:pPr>
        <w:pStyle w:val="Citation-AltC"/>
        <w:spacing w:after="480"/>
        <w:ind w:firstLine="274"/>
        <w:contextualSpacing w:val="0"/>
      </w:pPr>
      <w:r w:rsidRPr="003A3D9D">
        <w:rPr>
          <w:u w:val="single"/>
        </w:rPr>
        <w:t>We are not persuaded that the registration provisions can be severed from the rest of the Act, nor that they fail to serve Parliament’s purpose in promoting public safety.</w:t>
      </w:r>
      <w:r w:rsidRPr="003A3D9D">
        <w:t xml:space="preserve">  The licensing provisions require everyone who possesses a gun to be licensed.  The registration provisions require all guns to be registered.  The combination of the two parts of the scheme is intended to ensure that when a firearm is transferred from one person to another, the recipient is licensed.  Absent a registration system, this would be impossible to ascertain.  If a gun is found in the possession of an unlicensed person, the registration system permits the government to determine where the gun originated.  With a registration scheme in place, licensed owners can be held responsible for the transfer of their weapons</w:t>
      </w:r>
      <w:r>
        <w:t>. . . .</w:t>
      </w:r>
      <w:r w:rsidRPr="003A3D9D">
        <w:t xml:space="preserve">  </w:t>
      </w:r>
      <w:r w:rsidRPr="003A3D9D">
        <w:rPr>
          <w:u w:val="single"/>
        </w:rPr>
        <w:t xml:space="preserve">These interconnections demonstrate that the registration and licensing portions of the </w:t>
      </w:r>
      <w:r w:rsidRPr="003A3D9D">
        <w:rPr>
          <w:i/>
          <w:u w:val="single"/>
        </w:rPr>
        <w:t>Firearms Act</w:t>
      </w:r>
      <w:r w:rsidRPr="003A3D9D">
        <w:rPr>
          <w:u w:val="single"/>
        </w:rPr>
        <w:t xml:space="preserve"> are both tightly linked to Parliament’s goal in promoting safety by reducing the misuse of any and all firearms.  Both portions are integral and necessary to the operation of the scheme</w:t>
      </w:r>
      <w:r w:rsidRPr="003619CB">
        <w:rPr>
          <w:u w:val="single"/>
        </w:rPr>
        <w:t>.</w:t>
      </w:r>
      <w:r w:rsidRPr="00D26C9B">
        <w:t xml:space="preserve"> </w:t>
      </w:r>
      <w:r w:rsidRPr="008C6395">
        <w:t>[Emphasis added</w:t>
      </w:r>
      <w:r w:rsidR="003619CB">
        <w:t>.]</w:t>
      </w:r>
    </w:p>
    <w:p w:rsidR="009278C8" w:rsidRPr="003A3D9D" w:rsidRDefault="009278C8" w:rsidP="00460B89">
      <w:pPr>
        <w:pStyle w:val="Citation-AltC"/>
        <w:ind w:left="0"/>
      </w:pPr>
      <w:r>
        <w:t>(</w:t>
      </w:r>
      <w:r w:rsidRPr="003A3D9D">
        <w:rPr>
          <w:i/>
        </w:rPr>
        <w:t>Reference re Firearms Act</w:t>
      </w:r>
      <w:r>
        <w:t>, at para. 47)</w:t>
      </w:r>
    </w:p>
    <w:p w:rsidR="009278C8" w:rsidRPr="003A3D9D" w:rsidRDefault="009278C8" w:rsidP="009278C8">
      <w:pPr>
        <w:pStyle w:val="ParaNoNdepar-AltN"/>
        <w:rPr>
          <w:rFonts w:cs="Times New Roman"/>
        </w:rPr>
      </w:pPr>
      <w:r w:rsidRPr="003A3D9D">
        <w:rPr>
          <w:rFonts w:cs="Times New Roman"/>
        </w:rPr>
        <w:t xml:space="preserve">Viewed in this light, the “matter” of s. 29 is simply to determine what will happen with the data collected under a now repealed legislative scheme.  Given that the “matter” of the registration scheme, including data collection, was found to be public safety in the </w:t>
      </w:r>
      <w:r w:rsidRPr="003A3D9D">
        <w:rPr>
          <w:rFonts w:cs="Times New Roman"/>
          <w:i/>
        </w:rPr>
        <w:t>Reference re Firearms Act</w:t>
      </w:r>
      <w:r w:rsidRPr="003A3D9D">
        <w:rPr>
          <w:rFonts w:cs="Times New Roman"/>
        </w:rPr>
        <w:t xml:space="preserve">, dealing with the collected data following the repeal of the scheme must share that same characterization.  It is logical that the </w:t>
      </w:r>
      <w:r>
        <w:rPr>
          <w:rFonts w:cs="Times New Roman"/>
          <w:i/>
        </w:rPr>
        <w:t xml:space="preserve">ELRA </w:t>
      </w:r>
      <w:r w:rsidRPr="003A3D9D">
        <w:rPr>
          <w:rFonts w:cs="Times New Roman"/>
        </w:rPr>
        <w:t>provides for what is to happen with the remains of the scheme that it repeals, and destroying the data is the means Parliament adopted to accomplish that purpose.  This is not to say that every measure</w:t>
      </w:r>
      <w:r>
        <w:rPr>
          <w:rFonts w:cs="Times New Roman"/>
        </w:rPr>
        <w:t xml:space="preserve"> that is part of or consequent to</w:t>
      </w:r>
      <w:r w:rsidRPr="003A3D9D">
        <w:rPr>
          <w:rFonts w:cs="Times New Roman"/>
        </w:rPr>
        <w:t xml:space="preserve"> the </w:t>
      </w:r>
      <w:r w:rsidRPr="003A3D9D">
        <w:rPr>
          <w:rFonts w:cs="Times New Roman"/>
        </w:rPr>
        <w:lastRenderedPageBreak/>
        <w:t>repeal of legislation invariably shares the pith and substance of the repealed scheme.  However, in this case</w:t>
      </w:r>
      <w:r>
        <w:rPr>
          <w:rFonts w:cs="Times New Roman"/>
        </w:rPr>
        <w:t>,</w:t>
      </w:r>
      <w:r w:rsidRPr="003A3D9D">
        <w:rPr>
          <w:rFonts w:cs="Times New Roman"/>
        </w:rPr>
        <w:t xml:space="preserve"> the repealing enactment’s purpose and effects are to determine what will happen to the data collected under the now repealed scheme, a scheme that the Court previously characterized as being in relation to public safety.</w:t>
      </w:r>
    </w:p>
    <w:p w:rsidR="009278C8" w:rsidRPr="003A3D9D" w:rsidRDefault="009278C8" w:rsidP="009278C8">
      <w:pPr>
        <w:pStyle w:val="ParaNoNdepar-AltN"/>
        <w:rPr>
          <w:rFonts w:cs="Times New Roman"/>
        </w:rPr>
      </w:pPr>
      <w:r w:rsidRPr="003A3D9D">
        <w:rPr>
          <w:rFonts w:cs="Times New Roman"/>
        </w:rPr>
        <w:t>Quebec’s submissions, in our respectful view, confuse the subject matter of s. 29</w:t>
      </w:r>
      <w:r>
        <w:rPr>
          <w:rFonts w:cs="Times New Roman"/>
        </w:rPr>
        <w:t xml:space="preserve"> of the </w:t>
      </w:r>
      <w:r>
        <w:rPr>
          <w:rFonts w:cs="Times New Roman"/>
          <w:i/>
        </w:rPr>
        <w:t>ELRA</w:t>
      </w:r>
      <w:r w:rsidRPr="003A3D9D">
        <w:rPr>
          <w:rFonts w:cs="Times New Roman"/>
        </w:rPr>
        <w:t xml:space="preserve"> with Canada’s motives and the means employed by Parliament.  In determining the true character of s. 29, we are not concerned with whether destroying the data is good policy, whether Canada’s motives were sound, or whether</w:t>
      </w:r>
      <w:r>
        <w:rPr>
          <w:rFonts w:cs="Times New Roman"/>
        </w:rPr>
        <w:t xml:space="preserve"> the destruction of that data</w:t>
      </w:r>
      <w:r w:rsidRPr="003A3D9D">
        <w:rPr>
          <w:rFonts w:cs="Times New Roman"/>
        </w:rPr>
        <w:t xml:space="preserve"> conflicts with the policy objectives of Quebec.  We recognize that the federal government’s ultimate goal may well have been to prevent Quebec from cre</w:t>
      </w:r>
      <w:r>
        <w:rPr>
          <w:rFonts w:cs="Times New Roman"/>
        </w:rPr>
        <w:t>ating its own long-gun registry</w:t>
      </w:r>
      <w:r w:rsidRPr="003A3D9D">
        <w:rPr>
          <w:rFonts w:cs="Times New Roman"/>
        </w:rPr>
        <w:t xml:space="preserve">.  We also accept that the destruction of the data is the means chosen by Canada because of its irremediable nature.  That being said, these considerations are not indicative of a “colourable” purpose from a division of powers’ perspective.  An intention </w:t>
      </w:r>
      <w:r>
        <w:rPr>
          <w:rFonts w:cs="Times New Roman"/>
        </w:rPr>
        <w:t xml:space="preserve">on the part of one level of government </w:t>
      </w:r>
      <w:r w:rsidRPr="003A3D9D">
        <w:rPr>
          <w:rFonts w:cs="Times New Roman"/>
        </w:rPr>
        <w:t>to prevent another from realizing a policy objective it disagrees with does not, on its own, lead to the conclusion that there is an encroachment on the other level of government’s sphere of exclusive jurisdiction.  The fact that s. 29</w:t>
      </w:r>
      <w:r>
        <w:rPr>
          <w:rFonts w:cs="Times New Roman"/>
        </w:rPr>
        <w:t xml:space="preserve"> of the </w:t>
      </w:r>
      <w:r>
        <w:rPr>
          <w:rFonts w:cs="Times New Roman"/>
          <w:i/>
        </w:rPr>
        <w:t>ELRA</w:t>
      </w:r>
      <w:r w:rsidRPr="003A3D9D">
        <w:rPr>
          <w:rFonts w:cs="Times New Roman"/>
        </w:rPr>
        <w:t xml:space="preserve"> has the practical effect of making it more difficult financially for Quebec to create its own gun control regime does not, in light of the rejection of the legitimate expectations doctrine, affect the pith and substance of </w:t>
      </w:r>
      <w:r>
        <w:rPr>
          <w:rFonts w:cs="Times New Roman"/>
        </w:rPr>
        <w:t>the provision</w:t>
      </w:r>
      <w:r w:rsidRPr="003A3D9D">
        <w:rPr>
          <w:rFonts w:cs="Times New Roman"/>
        </w:rPr>
        <w:t>.</w:t>
      </w:r>
      <w:r w:rsidRPr="003A3D9D">
        <w:rPr>
          <w:rFonts w:cs="Times New Roman"/>
          <w:szCs w:val="24"/>
        </w:rPr>
        <w:t xml:space="preserve">  As Sopinka J. said in </w:t>
      </w:r>
      <w:r w:rsidRPr="003A3D9D">
        <w:rPr>
          <w:rFonts w:cs="Times New Roman"/>
          <w:i/>
          <w:szCs w:val="24"/>
        </w:rPr>
        <w:t xml:space="preserve">Reference </w:t>
      </w:r>
      <w:r>
        <w:rPr>
          <w:rFonts w:cs="Times New Roman"/>
          <w:i/>
          <w:szCs w:val="24"/>
        </w:rPr>
        <w:t>r</w:t>
      </w:r>
      <w:r w:rsidRPr="003A3D9D">
        <w:rPr>
          <w:rFonts w:cs="Times New Roman"/>
          <w:i/>
          <w:szCs w:val="24"/>
        </w:rPr>
        <w:t>e Canada Assistance Plan</w:t>
      </w:r>
      <w:r w:rsidRPr="003A3D9D">
        <w:rPr>
          <w:rFonts w:cs="Times New Roman"/>
          <w:szCs w:val="24"/>
        </w:rPr>
        <w:t xml:space="preserve">, “‘[i]mpact’ [upon a constitutional interest outside Parliament’s jurisdiction] with nothing more is clearly not enough to find that </w:t>
      </w:r>
      <w:r w:rsidRPr="003A3D9D">
        <w:rPr>
          <w:rFonts w:cs="Times New Roman"/>
          <w:szCs w:val="24"/>
        </w:rPr>
        <w:lastRenderedPageBreak/>
        <w:t>a statute encroaches upon the jurisdiction of the other level of government”</w:t>
      </w:r>
      <w:r>
        <w:rPr>
          <w:rFonts w:cs="Times New Roman"/>
          <w:szCs w:val="24"/>
        </w:rPr>
        <w:t>: p.</w:t>
      </w:r>
      <w:r w:rsidRPr="003A3D9D">
        <w:rPr>
          <w:rFonts w:cs="Times New Roman"/>
          <w:szCs w:val="24"/>
        </w:rPr>
        <w:t xml:space="preserve"> 567.  In our view, the practical effects of s.</w:t>
      </w:r>
      <w:r>
        <w:rPr>
          <w:rFonts w:cs="Times New Roman"/>
          <w:szCs w:val="24"/>
        </w:rPr>
        <w:t xml:space="preserve"> </w:t>
      </w:r>
      <w:r w:rsidRPr="003A3D9D">
        <w:rPr>
          <w:rFonts w:cs="Times New Roman"/>
          <w:szCs w:val="24"/>
        </w:rPr>
        <w:t>29 do not exceed that threshold.</w:t>
      </w:r>
    </w:p>
    <w:p w:rsidR="009278C8" w:rsidRPr="003A3D9D" w:rsidRDefault="009278C8" w:rsidP="009278C8">
      <w:pPr>
        <w:pStyle w:val="ParaNoNdepar-AltN"/>
        <w:rPr>
          <w:rFonts w:cs="Times New Roman"/>
        </w:rPr>
      </w:pPr>
      <w:r w:rsidRPr="003A3D9D">
        <w:rPr>
          <w:rFonts w:cs="Times New Roman"/>
        </w:rPr>
        <w:t xml:space="preserve">Quebec also submits that an analogy can be drawn between the facts of this case and those in </w:t>
      </w:r>
      <w:r>
        <w:rPr>
          <w:rFonts w:cs="Times New Roman"/>
          <w:i/>
        </w:rPr>
        <w:t xml:space="preserve">Upper </w:t>
      </w:r>
      <w:r w:rsidRPr="003A3D9D">
        <w:rPr>
          <w:rFonts w:cs="Times New Roman"/>
          <w:i/>
        </w:rPr>
        <w:t>Churchill</w:t>
      </w:r>
      <w:r w:rsidRPr="003A3D9D">
        <w:rPr>
          <w:rFonts w:cs="Times New Roman"/>
        </w:rPr>
        <w:t>, in which this Court held that Newfoundland legislation repealing a statutory lease granted to Hydro-Quebec was</w:t>
      </w:r>
      <w:r w:rsidRPr="003A3D9D">
        <w:rPr>
          <w:rFonts w:cs="Times New Roman"/>
          <w:i/>
        </w:rPr>
        <w:t xml:space="preserve"> </w:t>
      </w:r>
      <w:r w:rsidRPr="003A3D9D">
        <w:rPr>
          <w:rFonts w:cs="Times New Roman"/>
        </w:rPr>
        <w:t xml:space="preserve">colourable because it was in fact expropriating rights situated outside the province: </w:t>
      </w:r>
      <w:r>
        <w:rPr>
          <w:rFonts w:cs="Times New Roman"/>
        </w:rPr>
        <w:t>p. 335</w:t>
      </w:r>
      <w:r w:rsidRPr="003A3D9D">
        <w:rPr>
          <w:rFonts w:cs="Times New Roman"/>
        </w:rPr>
        <w:t xml:space="preserve">.  This argument implies that s. 29 exceeds </w:t>
      </w:r>
      <w:r>
        <w:rPr>
          <w:rFonts w:cs="Times New Roman"/>
        </w:rPr>
        <w:t xml:space="preserve">Parliament’s </w:t>
      </w:r>
      <w:r w:rsidRPr="003A3D9D">
        <w:rPr>
          <w:rFonts w:cs="Times New Roman"/>
        </w:rPr>
        <w:t xml:space="preserve">criminal law jurisdiction and is a colourable attempt to legislate in relation to property and civil rights in the province: </w:t>
      </w:r>
      <w:r>
        <w:rPr>
          <w:rFonts w:cs="Times New Roman"/>
        </w:rPr>
        <w:t xml:space="preserve">see </w:t>
      </w:r>
      <w:r w:rsidRPr="003A3D9D">
        <w:rPr>
          <w:rFonts w:cs="Times New Roman"/>
        </w:rPr>
        <w:t>P. Daly, “Di</w:t>
      </w:r>
      <w:r>
        <w:rPr>
          <w:rFonts w:cs="Times New Roman"/>
        </w:rPr>
        <w:t>smantling Regulatory Structures:</w:t>
      </w:r>
      <w:r w:rsidRPr="003A3D9D">
        <w:rPr>
          <w:rFonts w:cs="Times New Roman"/>
        </w:rPr>
        <w:t xml:space="preserve"> Canada’s Long-Gun Registry as Case Study” (2014), 33</w:t>
      </w:r>
      <w:r>
        <w:rPr>
          <w:rFonts w:cs="Times New Roman"/>
        </w:rPr>
        <w:t xml:space="preserve"> </w:t>
      </w:r>
      <w:r>
        <w:rPr>
          <w:rFonts w:cs="Times New Roman"/>
          <w:i/>
        </w:rPr>
        <w:t>N.J.C.L.</w:t>
      </w:r>
      <w:r w:rsidRPr="003A3D9D">
        <w:rPr>
          <w:rFonts w:cs="Times New Roman"/>
        </w:rPr>
        <w:t xml:space="preserve"> 169</w:t>
      </w:r>
      <w:r>
        <w:rPr>
          <w:rFonts w:cs="Times New Roman"/>
        </w:rPr>
        <w:t>,</w:t>
      </w:r>
      <w:r w:rsidRPr="003A3D9D">
        <w:rPr>
          <w:rFonts w:cs="Times New Roman"/>
        </w:rPr>
        <w:t xml:space="preserve"> at </w:t>
      </w:r>
      <w:r>
        <w:rPr>
          <w:rFonts w:cs="Times New Roman"/>
        </w:rPr>
        <w:t>pp. 178-80</w:t>
      </w:r>
      <w:r w:rsidRPr="003A3D9D">
        <w:rPr>
          <w:rFonts w:cs="Times New Roman"/>
        </w:rPr>
        <w:t xml:space="preserve">.  </w:t>
      </w:r>
    </w:p>
    <w:p w:rsidR="009278C8" w:rsidRPr="003A3D9D" w:rsidRDefault="009278C8" w:rsidP="009278C8">
      <w:pPr>
        <w:pStyle w:val="ParaNoNdepar-AltN"/>
        <w:rPr>
          <w:rFonts w:cs="Times New Roman"/>
        </w:rPr>
      </w:pPr>
      <w:r w:rsidRPr="003A3D9D">
        <w:rPr>
          <w:rFonts w:cs="Times New Roman"/>
        </w:rPr>
        <w:t xml:space="preserve">We reject this argument.  Like the Quebec Court of Appeal, we do not think that the principles in </w:t>
      </w:r>
      <w:r>
        <w:rPr>
          <w:rFonts w:cs="Times New Roman"/>
          <w:i/>
        </w:rPr>
        <w:t xml:space="preserve">Upper </w:t>
      </w:r>
      <w:r w:rsidRPr="003A3D9D">
        <w:rPr>
          <w:rFonts w:cs="Times New Roman"/>
          <w:i/>
        </w:rPr>
        <w:t xml:space="preserve">Churchill </w:t>
      </w:r>
      <w:r>
        <w:rPr>
          <w:rFonts w:cs="Times New Roman"/>
        </w:rPr>
        <w:t>are applicable to this case</w:t>
      </w:r>
      <w:r w:rsidRPr="003A3D9D">
        <w:rPr>
          <w:rFonts w:cs="Times New Roman"/>
        </w:rPr>
        <w:t xml:space="preserve">.  As we have discussed earlier, s. 29 </w:t>
      </w:r>
      <w:r>
        <w:rPr>
          <w:rFonts w:cs="Times New Roman"/>
        </w:rPr>
        <w:t xml:space="preserve">of the </w:t>
      </w:r>
      <w:r>
        <w:rPr>
          <w:rFonts w:cs="Times New Roman"/>
          <w:i/>
        </w:rPr>
        <w:t xml:space="preserve">ELRA </w:t>
      </w:r>
      <w:r w:rsidRPr="003A3D9D">
        <w:rPr>
          <w:rFonts w:cs="Times New Roman"/>
        </w:rPr>
        <w:t xml:space="preserve">does not seek either in substance or in form to limit Quebec’s legislative authority to create a provincial long-gun registry, whereas the impugned legislation in </w:t>
      </w:r>
      <w:r>
        <w:rPr>
          <w:rFonts w:cs="Times New Roman"/>
          <w:i/>
        </w:rPr>
        <w:t xml:space="preserve">Upper </w:t>
      </w:r>
      <w:r w:rsidRPr="003A3D9D">
        <w:rPr>
          <w:rFonts w:cs="Times New Roman"/>
          <w:i/>
        </w:rPr>
        <w:t xml:space="preserve">Churchill </w:t>
      </w:r>
      <w:r w:rsidRPr="003A3D9D">
        <w:rPr>
          <w:rFonts w:cs="Times New Roman"/>
        </w:rPr>
        <w:t>did seek to interfere with Quebec’s legislative authority.  Rather, s. 29 simply prevents Quebec from using the data obtained through the federal long-gun registry in establishing a provincial registry.  Quebec does not (and in our view could not) take the position that it could validly enact legislation that deals with what will happen with the data of the repealed scheme.  That being the case,</w:t>
      </w:r>
      <w:r>
        <w:rPr>
          <w:rFonts w:cs="Times New Roman"/>
        </w:rPr>
        <w:t xml:space="preserve"> Parliament’s enactment of </w:t>
      </w:r>
      <w:r w:rsidRPr="003A3D9D">
        <w:rPr>
          <w:rFonts w:cs="Times New Roman"/>
        </w:rPr>
        <w:t>s. 29 cannot be a colourable attempt to legislate in relation to a provincial head of power.  In any event, there is no difference between the form and substance of the provision</w:t>
      </w:r>
      <w:r>
        <w:rPr>
          <w:rFonts w:cs="Times New Roman"/>
        </w:rPr>
        <w:t>s at issue;</w:t>
      </w:r>
      <w:r w:rsidRPr="003A3D9D">
        <w:rPr>
          <w:rFonts w:cs="Times New Roman"/>
        </w:rPr>
        <w:t xml:space="preserve"> b</w:t>
      </w:r>
      <w:r w:rsidRPr="003A3D9D">
        <w:rPr>
          <w:rFonts w:cs="Times New Roman"/>
          <w:szCs w:val="24"/>
        </w:rPr>
        <w:t xml:space="preserve">oth deal with </w:t>
      </w:r>
      <w:r w:rsidRPr="003A3D9D">
        <w:rPr>
          <w:rFonts w:cs="Times New Roman"/>
        </w:rPr>
        <w:lastRenderedPageBreak/>
        <w:t>what will happen to the data collected under the now repealed scheme</w:t>
      </w:r>
      <w:r w:rsidRPr="003A3D9D">
        <w:rPr>
          <w:rFonts w:cs="Times New Roman"/>
          <w:szCs w:val="24"/>
        </w:rPr>
        <w:t xml:space="preserve">.  In our view, the doctrine of colourability is not engaged here.  </w:t>
      </w:r>
    </w:p>
    <w:p w:rsidR="009278C8" w:rsidRPr="003A3D9D" w:rsidRDefault="009278C8" w:rsidP="009278C8">
      <w:pPr>
        <w:pStyle w:val="ParaNoNdepar-AltN"/>
        <w:rPr>
          <w:rFonts w:cs="Times New Roman"/>
        </w:rPr>
      </w:pPr>
      <w:r w:rsidRPr="003A3D9D">
        <w:rPr>
          <w:rFonts w:cs="Times New Roman"/>
          <w:szCs w:val="24"/>
        </w:rPr>
        <w:t xml:space="preserve">In summary, this Court has already been called upon in the </w:t>
      </w:r>
      <w:r w:rsidRPr="003A3D9D">
        <w:rPr>
          <w:rFonts w:cs="Times New Roman"/>
          <w:i/>
          <w:szCs w:val="24"/>
        </w:rPr>
        <w:t>Reference re Firearms Act</w:t>
      </w:r>
      <w:r w:rsidRPr="003A3D9D">
        <w:rPr>
          <w:rFonts w:cs="Times New Roman"/>
          <w:szCs w:val="24"/>
        </w:rPr>
        <w:t xml:space="preserve"> to determine the pith and substance of the scheme enacted by the </w:t>
      </w:r>
      <w:r w:rsidRPr="003A3D9D">
        <w:rPr>
          <w:rFonts w:cs="Times New Roman"/>
          <w:i/>
          <w:szCs w:val="24"/>
        </w:rPr>
        <w:t>Firearms Act</w:t>
      </w:r>
      <w:r w:rsidRPr="003A3D9D">
        <w:rPr>
          <w:rFonts w:cs="Times New Roman"/>
          <w:szCs w:val="24"/>
        </w:rPr>
        <w:t xml:space="preserve">.  In our view, legislation repealing the </w:t>
      </w:r>
      <w:r>
        <w:rPr>
          <w:rFonts w:cs="Times New Roman"/>
          <w:szCs w:val="24"/>
        </w:rPr>
        <w:t xml:space="preserve">part of that </w:t>
      </w:r>
      <w:r w:rsidRPr="003A3D9D">
        <w:rPr>
          <w:rFonts w:cs="Times New Roman"/>
          <w:szCs w:val="24"/>
        </w:rPr>
        <w:t>scheme</w:t>
      </w:r>
      <w:r>
        <w:rPr>
          <w:rFonts w:cs="Times New Roman"/>
          <w:szCs w:val="24"/>
        </w:rPr>
        <w:t xml:space="preserve"> relating to long guns</w:t>
      </w:r>
      <w:r w:rsidRPr="003A3D9D">
        <w:rPr>
          <w:rFonts w:cs="Times New Roman"/>
          <w:szCs w:val="24"/>
        </w:rPr>
        <w:t xml:space="preserve">, including a provision addressing </w:t>
      </w:r>
      <w:r w:rsidRPr="003A3D9D">
        <w:rPr>
          <w:rFonts w:cs="Times New Roman"/>
        </w:rPr>
        <w:t xml:space="preserve">what will happen to the data collected </w:t>
      </w:r>
      <w:r>
        <w:rPr>
          <w:rFonts w:cs="Times New Roman"/>
        </w:rPr>
        <w:t>there</w:t>
      </w:r>
      <w:r w:rsidRPr="003A3D9D">
        <w:rPr>
          <w:rFonts w:cs="Times New Roman"/>
        </w:rPr>
        <w:t>under, must be characterized in the same way.</w:t>
      </w:r>
      <w:r w:rsidRPr="003A3D9D">
        <w:rPr>
          <w:rFonts w:cs="Times New Roman"/>
          <w:szCs w:val="24"/>
        </w:rPr>
        <w:t xml:space="preserve">  We conclude that s. 29</w:t>
      </w:r>
      <w:r>
        <w:rPr>
          <w:rFonts w:cs="Times New Roman"/>
          <w:szCs w:val="24"/>
        </w:rPr>
        <w:t>,</w:t>
      </w:r>
      <w:r w:rsidRPr="003A3D9D">
        <w:rPr>
          <w:rFonts w:cs="Times New Roman"/>
          <w:szCs w:val="24"/>
        </w:rPr>
        <w:t xml:space="preserve"> in essence</w:t>
      </w:r>
      <w:r>
        <w:rPr>
          <w:rFonts w:cs="Times New Roman"/>
          <w:szCs w:val="24"/>
        </w:rPr>
        <w:t>,</w:t>
      </w:r>
      <w:r w:rsidRPr="003A3D9D">
        <w:rPr>
          <w:rFonts w:cs="Times New Roman"/>
          <w:szCs w:val="24"/>
        </w:rPr>
        <w:t xml:space="preserve"> relates to public safety </w:t>
      </w:r>
      <w:r>
        <w:rPr>
          <w:rFonts w:cs="Times New Roman"/>
        </w:rPr>
        <w:t>—</w:t>
      </w:r>
      <w:r w:rsidRPr="003A3D9D">
        <w:rPr>
          <w:rFonts w:cs="Times New Roman"/>
          <w:szCs w:val="24"/>
        </w:rPr>
        <w:t xml:space="preserve"> as did the long-gun registration scheme being repealed by the balance of the </w:t>
      </w:r>
      <w:r>
        <w:rPr>
          <w:rFonts w:cs="Times New Roman"/>
          <w:i/>
          <w:szCs w:val="24"/>
        </w:rPr>
        <w:t>ELRA</w:t>
      </w:r>
      <w:r w:rsidRPr="003A3D9D">
        <w:rPr>
          <w:rFonts w:cs="Times New Roman"/>
          <w:szCs w:val="24"/>
        </w:rPr>
        <w:t>.</w:t>
      </w:r>
    </w:p>
    <w:p w:rsidR="009278C8" w:rsidRPr="003A3D9D" w:rsidRDefault="009278C8" w:rsidP="009278C8">
      <w:pPr>
        <w:pStyle w:val="Title4LevelTitre4Niveau"/>
        <w:rPr>
          <w:rFonts w:cs="Times New Roman"/>
        </w:rPr>
      </w:pPr>
      <w:r w:rsidRPr="003A3D9D">
        <w:rPr>
          <w:rFonts w:cs="Times New Roman"/>
        </w:rPr>
        <w:t xml:space="preserve">Classification: Does </w:t>
      </w:r>
      <w:r>
        <w:rPr>
          <w:rFonts w:cs="Times New Roman"/>
        </w:rPr>
        <w:t xml:space="preserve">Section </w:t>
      </w:r>
      <w:r w:rsidRPr="003A3D9D">
        <w:rPr>
          <w:rFonts w:cs="Times New Roman"/>
        </w:rPr>
        <w:t>29 Come Within the Criminal Law Power?</w:t>
      </w:r>
    </w:p>
    <w:p w:rsidR="009278C8" w:rsidRPr="003A3D9D" w:rsidRDefault="009278C8" w:rsidP="009278C8">
      <w:pPr>
        <w:pStyle w:val="ParaNoNdepar-AltN"/>
        <w:rPr>
          <w:rFonts w:cs="Times New Roman"/>
        </w:rPr>
      </w:pPr>
      <w:r w:rsidRPr="003A3D9D">
        <w:rPr>
          <w:rFonts w:cs="Times New Roman"/>
        </w:rPr>
        <w:t>Quebec submits that s.</w:t>
      </w:r>
      <w:r>
        <w:rPr>
          <w:rFonts w:cs="Times New Roman"/>
        </w:rPr>
        <w:t xml:space="preserve"> </w:t>
      </w:r>
      <w:r w:rsidRPr="003A3D9D">
        <w:rPr>
          <w:rFonts w:cs="Times New Roman"/>
        </w:rPr>
        <w:t xml:space="preserve">29 cannot be a valid exercise of </w:t>
      </w:r>
      <w:r>
        <w:rPr>
          <w:rFonts w:cs="Times New Roman"/>
        </w:rPr>
        <w:t>Parliament’s</w:t>
      </w:r>
      <w:r w:rsidRPr="003A3D9D">
        <w:rPr>
          <w:rFonts w:cs="Times New Roman"/>
        </w:rPr>
        <w:t xml:space="preserve"> criminal law power because it is not aimed at preventing crime or at decriminalizing any conduct.  We disagree and would hold that s.</w:t>
      </w:r>
      <w:r>
        <w:rPr>
          <w:rFonts w:cs="Times New Roman"/>
        </w:rPr>
        <w:t xml:space="preserve"> </w:t>
      </w:r>
      <w:r w:rsidRPr="003A3D9D">
        <w:rPr>
          <w:rFonts w:cs="Times New Roman"/>
        </w:rPr>
        <w:t xml:space="preserve">29 </w:t>
      </w:r>
      <w:r>
        <w:rPr>
          <w:rFonts w:cs="Times New Roman"/>
        </w:rPr>
        <w:t xml:space="preserve">of the </w:t>
      </w:r>
      <w:r>
        <w:rPr>
          <w:rFonts w:cs="Times New Roman"/>
          <w:i/>
        </w:rPr>
        <w:t xml:space="preserve">ELRA </w:t>
      </w:r>
      <w:r w:rsidRPr="003A3D9D">
        <w:rPr>
          <w:rFonts w:cs="Times New Roman"/>
        </w:rPr>
        <w:t xml:space="preserve">falls under the criminal law head of power.  </w:t>
      </w:r>
    </w:p>
    <w:p w:rsidR="009278C8" w:rsidRPr="003A3D9D" w:rsidRDefault="009278C8" w:rsidP="009278C8">
      <w:pPr>
        <w:pStyle w:val="ParaNoNdepar-AltN"/>
        <w:rPr>
          <w:rFonts w:cs="Times New Roman"/>
        </w:rPr>
      </w:pPr>
      <w:r w:rsidRPr="003A3D9D">
        <w:rPr>
          <w:rFonts w:cs="Times New Roman"/>
        </w:rPr>
        <w:t xml:space="preserve">It is not contested that the repeal of criminal provisions constitutes a valid exercise of the criminal law power: Hogg, at </w:t>
      </w:r>
      <w:r>
        <w:rPr>
          <w:rFonts w:cs="Times New Roman"/>
        </w:rPr>
        <w:t xml:space="preserve">p. </w:t>
      </w:r>
      <w:r w:rsidRPr="003A3D9D">
        <w:rPr>
          <w:rFonts w:cs="Times New Roman"/>
        </w:rPr>
        <w:t xml:space="preserve">18-21.  We accept that there is a factual difference between repealing a criminal provision and providing for what will happen to the data collected under that provision.  That being said, we are of the view that there is no significant legal distinction between these two actions in the current case because the data </w:t>
      </w:r>
      <w:r>
        <w:rPr>
          <w:rFonts w:cs="Times New Roman"/>
        </w:rPr>
        <w:t xml:space="preserve">at issue here </w:t>
      </w:r>
      <w:r w:rsidRPr="003A3D9D">
        <w:rPr>
          <w:rFonts w:cs="Times New Roman"/>
        </w:rPr>
        <w:t xml:space="preserve">was collected exclusively through the exercise of </w:t>
      </w:r>
      <w:r w:rsidRPr="003A3D9D">
        <w:rPr>
          <w:rFonts w:cs="Times New Roman"/>
        </w:rPr>
        <w:lastRenderedPageBreak/>
        <w:t xml:space="preserve">the criminal law power.  The power to repeal a criminal law provision must logically be wide enough to give Parliament jurisdiction to destroy the data collected for the purpose of a criminal law provision.  </w:t>
      </w:r>
      <w:r w:rsidRPr="003A3D9D">
        <w:rPr>
          <w:rFonts w:cs="Times New Roman"/>
          <w:szCs w:val="24"/>
        </w:rPr>
        <w:t xml:space="preserve">If a </w:t>
      </w:r>
      <w:r>
        <w:rPr>
          <w:rFonts w:cs="Times New Roman"/>
          <w:szCs w:val="24"/>
        </w:rPr>
        <w:t xml:space="preserve">law establishing a </w:t>
      </w:r>
      <w:r w:rsidRPr="003A3D9D">
        <w:rPr>
          <w:rFonts w:cs="Times New Roman"/>
          <w:szCs w:val="24"/>
        </w:rPr>
        <w:t>scheme requiring collection of data is legislation “in relation to” criminal law,</w:t>
      </w:r>
      <w:r>
        <w:rPr>
          <w:rFonts w:cs="Times New Roman"/>
          <w:szCs w:val="24"/>
        </w:rPr>
        <w:t xml:space="preserve"> then</w:t>
      </w:r>
      <w:r w:rsidRPr="003A3D9D">
        <w:rPr>
          <w:rFonts w:cs="Times New Roman"/>
          <w:szCs w:val="24"/>
        </w:rPr>
        <w:t xml:space="preserve"> legislation providing for the destruction of that data on the repeal of the scheme must also be</w:t>
      </w:r>
      <w:r>
        <w:rPr>
          <w:rFonts w:cs="Times New Roman"/>
          <w:szCs w:val="24"/>
        </w:rPr>
        <w:t xml:space="preserve"> legislation</w:t>
      </w:r>
      <w:r w:rsidRPr="003A3D9D">
        <w:rPr>
          <w:rFonts w:cs="Times New Roman"/>
          <w:szCs w:val="24"/>
        </w:rPr>
        <w:t xml:space="preserve"> “in relation to” criminal law.  </w:t>
      </w:r>
      <w:r w:rsidRPr="003A3D9D">
        <w:rPr>
          <w:rFonts w:cs="Times New Roman"/>
        </w:rPr>
        <w:t xml:space="preserve">This is the case here.  </w:t>
      </w:r>
    </w:p>
    <w:p w:rsidR="009278C8" w:rsidRPr="003A3D9D" w:rsidRDefault="009278C8" w:rsidP="009278C8">
      <w:pPr>
        <w:pStyle w:val="ParaNoNdepar-AltN"/>
        <w:rPr>
          <w:rFonts w:cs="Times New Roman"/>
        </w:rPr>
      </w:pPr>
      <w:r w:rsidRPr="003A3D9D">
        <w:rPr>
          <w:rFonts w:cs="Times New Roman"/>
        </w:rPr>
        <w:t xml:space="preserve">In addition, the prospect that Parliament would not have the power to destroy records under its control and created under a scheme validly enacted </w:t>
      </w:r>
      <w:r>
        <w:rPr>
          <w:rFonts w:cs="Times New Roman"/>
        </w:rPr>
        <w:t xml:space="preserve">by it </w:t>
      </w:r>
      <w:r w:rsidRPr="003A3D9D">
        <w:rPr>
          <w:rFonts w:cs="Times New Roman"/>
        </w:rPr>
        <w:t>is concerning.  S</w:t>
      </w:r>
      <w:r w:rsidRPr="003A3D9D">
        <w:rPr>
          <w:rFonts w:cs="Times New Roman"/>
          <w:szCs w:val="24"/>
        </w:rPr>
        <w:t>ince we do not see how provinces could have the power to destroy the data contained in the federally enacted long-gun registry,</w:t>
      </w:r>
      <w:r>
        <w:rPr>
          <w:rFonts w:cs="Times New Roman"/>
          <w:szCs w:val="24"/>
        </w:rPr>
        <w:t xml:space="preserve"> Quebec’s position — if it were accepted — </w:t>
      </w:r>
      <w:r w:rsidRPr="003A3D9D">
        <w:rPr>
          <w:rFonts w:cs="Times New Roman"/>
          <w:szCs w:val="24"/>
        </w:rPr>
        <w:t xml:space="preserve">would suggest that neither Parliament nor provincial legislatures could legislate to destroy </w:t>
      </w:r>
      <w:r>
        <w:rPr>
          <w:rFonts w:cs="Times New Roman"/>
          <w:szCs w:val="24"/>
        </w:rPr>
        <w:t>the data of the repealed scheme</w:t>
      </w:r>
      <w:r w:rsidRPr="003A3D9D">
        <w:rPr>
          <w:rFonts w:cs="Times New Roman"/>
          <w:szCs w:val="24"/>
        </w:rPr>
        <w:t xml:space="preserve">.  We reject this proposition as it would run afoul of the principle that the </w:t>
      </w:r>
      <w:r>
        <w:rPr>
          <w:rFonts w:cs="Times New Roman"/>
          <w:i/>
          <w:szCs w:val="24"/>
        </w:rPr>
        <w:t>Constitution</w:t>
      </w:r>
      <w:r w:rsidRPr="003A3D9D">
        <w:rPr>
          <w:rFonts w:cs="Times New Roman"/>
          <w:i/>
          <w:szCs w:val="24"/>
        </w:rPr>
        <w:t xml:space="preserve"> Act, 1867</w:t>
      </w:r>
      <w:r w:rsidRPr="00D15759">
        <w:rPr>
          <w:rFonts w:cs="Times New Roman"/>
          <w:szCs w:val="24"/>
        </w:rPr>
        <w:t xml:space="preserve"> </w:t>
      </w:r>
      <w:r w:rsidRPr="003A3D9D">
        <w:rPr>
          <w:rFonts w:cs="Times New Roman"/>
          <w:szCs w:val="24"/>
        </w:rPr>
        <w:t xml:space="preserve">provides for a complete division of powers between both orders of governments: </w:t>
      </w:r>
      <w:r w:rsidRPr="003A3D9D">
        <w:rPr>
          <w:rFonts w:cs="Times New Roman"/>
          <w:i/>
          <w:szCs w:val="24"/>
        </w:rPr>
        <w:t>Attorney-General for Ontario v. Attorney-General for Canada</w:t>
      </w:r>
      <w:r w:rsidRPr="003A3D9D">
        <w:rPr>
          <w:rFonts w:cs="Times New Roman"/>
          <w:szCs w:val="24"/>
        </w:rPr>
        <w:t>, [1912] A.C. 571 (P.C.), at</w:t>
      </w:r>
      <w:r>
        <w:rPr>
          <w:rFonts w:cs="Times New Roman"/>
          <w:szCs w:val="24"/>
        </w:rPr>
        <w:t xml:space="preserve"> p.</w:t>
      </w:r>
      <w:r w:rsidRPr="003A3D9D">
        <w:rPr>
          <w:rFonts w:cs="Times New Roman"/>
          <w:szCs w:val="24"/>
        </w:rPr>
        <w:t xml:space="preserve"> 581; </w:t>
      </w:r>
      <w:r w:rsidRPr="003A3D9D">
        <w:rPr>
          <w:rFonts w:cs="Times New Roman"/>
          <w:i/>
          <w:szCs w:val="24"/>
        </w:rPr>
        <w:t>Attorney-General for Canada v. Attorney-General for Ontario</w:t>
      </w:r>
      <w:r w:rsidRPr="003A3D9D">
        <w:rPr>
          <w:rFonts w:cs="Times New Roman"/>
          <w:szCs w:val="24"/>
        </w:rPr>
        <w:t>, [1937] A.C. 326 (P.C.)</w:t>
      </w:r>
      <w:r>
        <w:rPr>
          <w:rFonts w:cs="Times New Roman"/>
          <w:szCs w:val="24"/>
        </w:rPr>
        <w:t xml:space="preserve">. There is no topic that cannot be legislated upon: </w:t>
      </w:r>
      <w:r w:rsidRPr="003A3D9D">
        <w:rPr>
          <w:rFonts w:cs="Times New Roman"/>
          <w:i/>
          <w:szCs w:val="24"/>
        </w:rPr>
        <w:t>Reference re Same-Sex Marriage</w:t>
      </w:r>
      <w:r w:rsidRPr="003A3D9D">
        <w:rPr>
          <w:rFonts w:cs="Times New Roman"/>
          <w:szCs w:val="24"/>
        </w:rPr>
        <w:t xml:space="preserve">, 2004 SCC 79, [2004] 3 S.C.R. </w:t>
      </w:r>
      <w:r>
        <w:rPr>
          <w:rFonts w:cs="Times New Roman"/>
          <w:szCs w:val="24"/>
        </w:rPr>
        <w:t>698, at para. 34</w:t>
      </w:r>
      <w:r w:rsidRPr="003A3D9D">
        <w:rPr>
          <w:rFonts w:cs="Times New Roman"/>
          <w:szCs w:val="24"/>
        </w:rPr>
        <w:t xml:space="preserve">.  </w:t>
      </w:r>
      <w:r>
        <w:rPr>
          <w:rFonts w:cs="Times New Roman"/>
          <w:szCs w:val="24"/>
        </w:rPr>
        <w:t>Quebec’s proposition</w:t>
      </w:r>
      <w:r w:rsidRPr="003A3D9D">
        <w:rPr>
          <w:rFonts w:cs="Times New Roman"/>
          <w:szCs w:val="24"/>
        </w:rPr>
        <w:t xml:space="preserve"> would also be inconsistent with the notion that Parliament possesses the residual power to legislate on subject matters that do not come within a provincial head of power: see</w:t>
      </w:r>
      <w:r>
        <w:rPr>
          <w:rFonts w:cs="Times New Roman"/>
          <w:szCs w:val="24"/>
        </w:rPr>
        <w:t>,</w:t>
      </w:r>
      <w:r w:rsidRPr="003A3D9D">
        <w:rPr>
          <w:rFonts w:cs="Times New Roman"/>
          <w:szCs w:val="24"/>
        </w:rPr>
        <w:t xml:space="preserve"> e.g.</w:t>
      </w:r>
      <w:r>
        <w:rPr>
          <w:rFonts w:cs="Times New Roman"/>
          <w:szCs w:val="24"/>
        </w:rPr>
        <w:t>,</w:t>
      </w:r>
      <w:r w:rsidRPr="003A3D9D">
        <w:rPr>
          <w:rFonts w:cs="Times New Roman"/>
          <w:szCs w:val="24"/>
        </w:rPr>
        <w:t xml:space="preserve"> </w:t>
      </w:r>
      <w:r w:rsidRPr="003A3D9D">
        <w:rPr>
          <w:rFonts w:cs="Times New Roman"/>
          <w:i/>
          <w:szCs w:val="24"/>
        </w:rPr>
        <w:t>Hunt v. T&amp;N plc</w:t>
      </w:r>
      <w:r w:rsidRPr="003A3D9D">
        <w:rPr>
          <w:rFonts w:cs="Times New Roman"/>
          <w:szCs w:val="24"/>
        </w:rPr>
        <w:t xml:space="preserve">, [1993] 4 S.C.R. </w:t>
      </w:r>
      <w:r>
        <w:rPr>
          <w:rFonts w:cs="Times New Roman"/>
          <w:szCs w:val="24"/>
        </w:rPr>
        <w:t xml:space="preserve">289, at p. </w:t>
      </w:r>
      <w:r w:rsidRPr="003A3D9D">
        <w:rPr>
          <w:rFonts w:cs="Times New Roman"/>
          <w:szCs w:val="24"/>
        </w:rPr>
        <w:t>326</w:t>
      </w:r>
      <w:r w:rsidR="003619CB">
        <w:rPr>
          <w:rFonts w:cs="Times New Roman"/>
          <w:szCs w:val="24"/>
        </w:rPr>
        <w:t>,</w:t>
      </w:r>
      <w:r>
        <w:rPr>
          <w:rFonts w:cs="Times New Roman"/>
          <w:szCs w:val="24"/>
        </w:rPr>
        <w:t xml:space="preserve"> and Hogg, at pp. 17-1 and 17-2</w:t>
      </w:r>
      <w:r w:rsidRPr="003A3D9D">
        <w:rPr>
          <w:rFonts w:cs="Times New Roman"/>
          <w:szCs w:val="24"/>
        </w:rPr>
        <w:t>.</w:t>
      </w:r>
    </w:p>
    <w:p w:rsidR="009278C8" w:rsidRPr="003A3D9D" w:rsidRDefault="009278C8" w:rsidP="009278C8">
      <w:pPr>
        <w:pStyle w:val="ParaNoNdepar-AltN"/>
        <w:rPr>
          <w:rFonts w:cs="Times New Roman"/>
        </w:rPr>
      </w:pPr>
      <w:r w:rsidRPr="003A3D9D">
        <w:rPr>
          <w:rFonts w:cs="Times New Roman"/>
        </w:rPr>
        <w:lastRenderedPageBreak/>
        <w:t>Therefore, we agree with the Quebec Court of Appeal that s.</w:t>
      </w:r>
      <w:r>
        <w:rPr>
          <w:rFonts w:cs="Times New Roman"/>
        </w:rPr>
        <w:t xml:space="preserve"> </w:t>
      </w:r>
      <w:r w:rsidRPr="003A3D9D">
        <w:rPr>
          <w:rFonts w:cs="Times New Roman"/>
        </w:rPr>
        <w:t xml:space="preserve">29 of the </w:t>
      </w:r>
      <w:r>
        <w:rPr>
          <w:rFonts w:cs="Times New Roman"/>
          <w:i/>
        </w:rPr>
        <w:t>ELRA</w:t>
      </w:r>
      <w:r w:rsidRPr="003A3D9D">
        <w:rPr>
          <w:rFonts w:cs="Times New Roman"/>
        </w:rPr>
        <w:t xml:space="preserve"> should be characterized as being in relation to criminal law.  It therefore falls within the legislative competence of Parliament.</w:t>
      </w:r>
    </w:p>
    <w:p w:rsidR="009278C8" w:rsidRPr="003A3D9D" w:rsidRDefault="009278C8" w:rsidP="009278C8">
      <w:pPr>
        <w:pStyle w:val="Title1LevelTitre1Niveau-AltL"/>
        <w:rPr>
          <w:rFonts w:cs="Times New Roman"/>
        </w:rPr>
      </w:pPr>
      <w:r>
        <w:rPr>
          <w:rFonts w:cs="Times New Roman"/>
        </w:rPr>
        <w:t>Disposition of the A</w:t>
      </w:r>
      <w:r w:rsidRPr="003A3D9D">
        <w:rPr>
          <w:rFonts w:cs="Times New Roman"/>
        </w:rPr>
        <w:t>ppeal</w:t>
      </w:r>
    </w:p>
    <w:p w:rsidR="009278C8" w:rsidRPr="003A3D9D" w:rsidRDefault="009278C8" w:rsidP="009278C8">
      <w:pPr>
        <w:pStyle w:val="ParaNoNdepar-AltN"/>
        <w:rPr>
          <w:rFonts w:cs="Times New Roman"/>
        </w:rPr>
      </w:pPr>
      <w:r w:rsidRPr="003A3D9D">
        <w:rPr>
          <w:rFonts w:cs="Times New Roman"/>
        </w:rPr>
        <w:t xml:space="preserve">We would dismiss the appeal with costs </w:t>
      </w:r>
      <w:r>
        <w:rPr>
          <w:rFonts w:cs="Times New Roman"/>
        </w:rPr>
        <w:t>throughout</w:t>
      </w:r>
      <w:r w:rsidRPr="003A3D9D">
        <w:rPr>
          <w:rFonts w:cs="Times New Roman"/>
        </w:rPr>
        <w:t xml:space="preserve"> and answer the constitutional question as follows:</w:t>
      </w:r>
    </w:p>
    <w:p w:rsidR="009278C8" w:rsidRPr="003A3D9D" w:rsidRDefault="009278C8" w:rsidP="009278C8">
      <w:pPr>
        <w:pStyle w:val="ParaNoNdepar-AltN"/>
        <w:numPr>
          <w:ilvl w:val="0"/>
          <w:numId w:val="0"/>
        </w:numPr>
        <w:spacing w:line="276" w:lineRule="auto"/>
        <w:ind w:left="1440"/>
        <w:rPr>
          <w:rFonts w:cs="Times New Roman"/>
        </w:rPr>
      </w:pPr>
      <w:r w:rsidRPr="003A3D9D">
        <w:rPr>
          <w:rFonts w:cs="Times New Roman"/>
        </w:rPr>
        <w:t>Is s.</w:t>
      </w:r>
      <w:r>
        <w:rPr>
          <w:rFonts w:cs="Times New Roman"/>
        </w:rPr>
        <w:t xml:space="preserve"> </w:t>
      </w:r>
      <w:r w:rsidRPr="003A3D9D">
        <w:rPr>
          <w:rFonts w:cs="Times New Roman"/>
        </w:rPr>
        <w:t xml:space="preserve">29 of the </w:t>
      </w:r>
      <w:r w:rsidRPr="003A3D9D">
        <w:rPr>
          <w:rFonts w:cs="Times New Roman"/>
          <w:i/>
        </w:rPr>
        <w:t>Ending the Long-gun Registry Act</w:t>
      </w:r>
      <w:r w:rsidRPr="003A3D9D">
        <w:rPr>
          <w:rFonts w:cs="Times New Roman"/>
        </w:rPr>
        <w:t xml:space="preserve">, S.C. 2012, c. 6, </w:t>
      </w:r>
      <w:r w:rsidRPr="003A3D9D">
        <w:rPr>
          <w:rFonts w:cs="Times New Roman"/>
          <w:i/>
        </w:rPr>
        <w:t>ultra vires</w:t>
      </w:r>
      <w:r w:rsidRPr="003A3D9D">
        <w:rPr>
          <w:rFonts w:cs="Times New Roman"/>
        </w:rPr>
        <w:t xml:space="preserve"> Parliament having regard to its criminal law power under s. 91(27) of the </w:t>
      </w:r>
      <w:r w:rsidRPr="003A3D9D">
        <w:rPr>
          <w:rFonts w:cs="Times New Roman"/>
          <w:i/>
        </w:rPr>
        <w:t>Constitution Act, 1867</w:t>
      </w:r>
      <w:r w:rsidRPr="003A3D9D">
        <w:rPr>
          <w:rFonts w:cs="Times New Roman"/>
        </w:rPr>
        <w:t>?</w:t>
      </w:r>
    </w:p>
    <w:p w:rsidR="009278C8" w:rsidRPr="003A3D9D" w:rsidRDefault="009278C8" w:rsidP="003619CB">
      <w:pPr>
        <w:pStyle w:val="ParaNoNdepar-AltN"/>
        <w:numPr>
          <w:ilvl w:val="0"/>
          <w:numId w:val="0"/>
        </w:numPr>
        <w:rPr>
          <w:rFonts w:cs="Times New Roman"/>
        </w:rPr>
      </w:pPr>
      <w:r w:rsidRPr="003A3D9D">
        <w:rPr>
          <w:rFonts w:cs="Times New Roman"/>
        </w:rPr>
        <w:t>Answer: No.</w:t>
      </w:r>
    </w:p>
    <w:p w:rsidR="00AF16B1" w:rsidRDefault="003619CB" w:rsidP="00896079">
      <w:pPr>
        <w:pStyle w:val="SCCNormalDoubleSpacing"/>
        <w:spacing w:before="480" w:after="480"/>
        <w:rPr>
          <w:lang w:val="en-US"/>
        </w:rPr>
      </w:pPr>
      <w:r>
        <w:rPr>
          <w:lang w:val="en-US"/>
        </w:rPr>
        <w:tab/>
        <w:t xml:space="preserve">English version of the reasons of LeBel, Abella, Wagner and Gascon JJ. </w:t>
      </w:r>
      <w:proofErr w:type="gramStart"/>
      <w:r>
        <w:rPr>
          <w:lang w:val="en-US"/>
        </w:rPr>
        <w:t>delivered</w:t>
      </w:r>
      <w:proofErr w:type="gramEnd"/>
      <w:r>
        <w:rPr>
          <w:lang w:val="en-US"/>
        </w:rPr>
        <w:t xml:space="preserve"> by</w:t>
      </w:r>
    </w:p>
    <w:p w:rsidR="009278C8" w:rsidRPr="00136956" w:rsidRDefault="009278C8" w:rsidP="009278C8">
      <w:pPr>
        <w:pStyle w:val="JudgeJuge"/>
        <w:spacing w:before="480" w:line="240" w:lineRule="auto"/>
      </w:pPr>
      <w:r w:rsidRPr="00136956">
        <w:tab/>
        <w:t>LeBel, Wagner and Gascon</w:t>
      </w:r>
      <w:r>
        <w:t xml:space="preserve"> </w:t>
      </w:r>
      <w:r w:rsidRPr="00136956">
        <w:t xml:space="preserve">JJ. </w:t>
      </w:r>
      <w:r w:rsidR="003619CB" w:rsidRPr="003E765D">
        <w:rPr>
          <w:smallCaps w:val="0"/>
        </w:rPr>
        <w:t>(</w:t>
      </w:r>
      <w:proofErr w:type="gramStart"/>
      <w:r w:rsidR="003E765D">
        <w:rPr>
          <w:smallCaps w:val="0"/>
        </w:rPr>
        <w:t>dissen</w:t>
      </w:r>
      <w:r w:rsidR="003619CB" w:rsidRPr="003E765D">
        <w:rPr>
          <w:smallCaps w:val="0"/>
        </w:rPr>
        <w:t>t</w:t>
      </w:r>
      <w:r w:rsidR="003E765D">
        <w:rPr>
          <w:smallCaps w:val="0"/>
        </w:rPr>
        <w:t>ing</w:t>
      </w:r>
      <w:proofErr w:type="gramEnd"/>
      <w:r w:rsidR="003619CB" w:rsidRPr="003E765D">
        <w:rPr>
          <w:smallCaps w:val="0"/>
        </w:rPr>
        <w:t>)</w:t>
      </w:r>
      <w:r w:rsidR="003619CB">
        <w:t xml:space="preserve"> </w:t>
      </w:r>
      <w:r w:rsidRPr="00136956">
        <w:t xml:space="preserve">— </w:t>
      </w:r>
    </w:p>
    <w:p w:rsidR="009278C8" w:rsidRPr="009278C8" w:rsidRDefault="009278C8" w:rsidP="009278C8">
      <w:pPr>
        <w:pStyle w:val="Title1LevelTitre1Niveau-AltL"/>
        <w:widowControl w:val="0"/>
        <w:numPr>
          <w:ilvl w:val="0"/>
          <w:numId w:val="34"/>
        </w:numPr>
        <w:tabs>
          <w:tab w:val="clear" w:pos="576"/>
          <w:tab w:val="left" w:pos="432"/>
        </w:tabs>
        <w:outlineLvl w:val="0"/>
        <w:rPr>
          <w:rFonts w:cs="Times New Roman"/>
        </w:rPr>
      </w:pPr>
      <w:bookmarkStart w:id="0" w:name="_Toc411583239"/>
      <w:bookmarkStart w:id="1" w:name="_Toc413306857"/>
      <w:r w:rsidRPr="009278C8">
        <w:rPr>
          <w:rFonts w:cs="Times New Roman"/>
        </w:rPr>
        <w:t>Introduction</w:t>
      </w:r>
      <w:bookmarkEnd w:id="0"/>
      <w:bookmarkEnd w:id="1"/>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2012, Parliament enacted the </w:t>
      </w:r>
      <w:r w:rsidRPr="00136956">
        <w:rPr>
          <w:rFonts w:cs="Times New Roman"/>
          <w:i/>
        </w:rPr>
        <w:t>Act to amend the Criminal Code and the Firearms Act</w:t>
      </w:r>
      <w:r w:rsidRPr="00136956">
        <w:rPr>
          <w:rFonts w:cs="Times New Roman"/>
        </w:rPr>
        <w:t>,</w:t>
      </w:r>
      <w:r w:rsidRPr="00136956">
        <w:rPr>
          <w:rFonts w:cs="Times New Roman"/>
          <w:i/>
        </w:rPr>
        <w:t xml:space="preserve"> </w:t>
      </w:r>
      <w:r w:rsidRPr="00136956">
        <w:rPr>
          <w:rFonts w:cs="Times New Roman"/>
        </w:rPr>
        <w:t>S.C. 2012, c.</w:t>
      </w:r>
      <w:r>
        <w:rPr>
          <w:rFonts w:cs="Times New Roman"/>
        </w:rPr>
        <w:t xml:space="preserve"> </w:t>
      </w:r>
      <w:r w:rsidRPr="00136956">
        <w:rPr>
          <w:rFonts w:cs="Times New Roman"/>
        </w:rPr>
        <w:t xml:space="preserve">6 (short title </w:t>
      </w:r>
      <w:r w:rsidRPr="00136956">
        <w:rPr>
          <w:rFonts w:cs="Times New Roman"/>
          <w:i/>
        </w:rPr>
        <w:t>Ending the Long</w:t>
      </w:r>
      <w:r>
        <w:rPr>
          <w:rFonts w:cs="Times New Roman"/>
          <w:i/>
        </w:rPr>
        <w:t>-</w:t>
      </w:r>
      <w:r w:rsidRPr="00136956">
        <w:rPr>
          <w:rFonts w:cs="Times New Roman"/>
          <w:i/>
        </w:rPr>
        <w:t>gun Registry Act</w:t>
      </w:r>
      <w:r w:rsidRPr="00136956">
        <w:rPr>
          <w:rFonts w:cs="Times New Roman"/>
        </w:rPr>
        <w:t xml:space="preserve"> (“</w:t>
      </w:r>
      <w:r w:rsidRPr="00136956">
        <w:rPr>
          <w:rFonts w:cs="Times New Roman"/>
          <w:i/>
        </w:rPr>
        <w:t>ELRA</w:t>
      </w:r>
      <w:r w:rsidRPr="00136956">
        <w:rPr>
          <w:rFonts w:cs="Times New Roman"/>
        </w:rPr>
        <w:t xml:space="preserve">”)). This Act repeals the provisions of the </w:t>
      </w:r>
      <w:r w:rsidRPr="00136956">
        <w:rPr>
          <w:rFonts w:cs="Times New Roman"/>
          <w:i/>
        </w:rPr>
        <w:t>Firearms Act</w:t>
      </w:r>
      <w:r w:rsidRPr="00136956">
        <w:rPr>
          <w:rFonts w:cs="Times New Roman"/>
        </w:rPr>
        <w:t>,</w:t>
      </w:r>
      <w:r w:rsidRPr="00136956">
        <w:rPr>
          <w:rFonts w:cs="Times New Roman"/>
          <w:i/>
        </w:rPr>
        <w:t xml:space="preserve"> </w:t>
      </w:r>
      <w:r w:rsidRPr="00136956">
        <w:rPr>
          <w:rFonts w:cs="Times New Roman"/>
        </w:rPr>
        <w:t>S.C. 1995, c.</w:t>
      </w:r>
      <w:r>
        <w:rPr>
          <w:rFonts w:cs="Times New Roman"/>
        </w:rPr>
        <w:t xml:space="preserve"> </w:t>
      </w:r>
      <w:r w:rsidRPr="00136956">
        <w:rPr>
          <w:rFonts w:cs="Times New Roman"/>
        </w:rPr>
        <w:t>39</w:t>
      </w:r>
      <w:r w:rsidRPr="00136956">
        <w:rPr>
          <w:rFonts w:cs="Times New Roman"/>
          <w:i/>
        </w:rPr>
        <w:t xml:space="preserve"> </w:t>
      </w:r>
      <w:r w:rsidRPr="00136956">
        <w:rPr>
          <w:rFonts w:cs="Times New Roman"/>
        </w:rPr>
        <w:t>(“</w:t>
      </w:r>
      <w:r w:rsidRPr="00136956">
        <w:rPr>
          <w:rFonts w:cs="Times New Roman"/>
          <w:i/>
        </w:rPr>
        <w:t>FA</w:t>
      </w:r>
      <w:r w:rsidRPr="00136956">
        <w:rPr>
          <w:rFonts w:cs="Times New Roman"/>
        </w:rPr>
        <w:t>”), relating to the mandatory registration of long guns. Section</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w:t>
      </w:r>
      <w:r w:rsidRPr="00136956">
        <w:rPr>
          <w:rFonts w:cs="Times New Roman"/>
        </w:rPr>
        <w:lastRenderedPageBreak/>
        <w:t>provides for the destruction, as soon as feasible, of all data compiled since 1998 with respect to the registration of such guns in Canada.</w:t>
      </w:r>
    </w:p>
    <w:p w:rsidR="009278C8" w:rsidRPr="00136956" w:rsidRDefault="009278C8" w:rsidP="009278C8">
      <w:pPr>
        <w:pStyle w:val="ParaNoNdepar-AltN"/>
        <w:tabs>
          <w:tab w:val="clear" w:pos="1166"/>
          <w:tab w:val="num" w:pos="1152"/>
        </w:tabs>
        <w:rPr>
          <w:rFonts w:cs="Times New Roman"/>
        </w:rPr>
      </w:pPr>
      <w:r w:rsidRPr="00136956">
        <w:rPr>
          <w:rFonts w:cs="Times New Roman"/>
        </w:rPr>
        <w:t>The Quebec government, which considered the data to be the product of a federal</w:t>
      </w:r>
      <w:r>
        <w:rPr>
          <w:rFonts w:cs="Times New Roman"/>
        </w:rPr>
        <w:t>-</w:t>
      </w:r>
      <w:r w:rsidRPr="00136956">
        <w:rPr>
          <w:rFonts w:cs="Times New Roman"/>
        </w:rPr>
        <w:t>provincial partnership and wanted to continue registering long guns within its territory, then asked the federal government to transfer to it all data from Quebec concerning registration certificates for long guns. The federal government refused to do so, and the Attorney General of Quebec (“AGQ”) then instituted legal proceedings. According to the AGQ, the unilateral destruction of these data under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would be unconstitutional unless they were first transferred to Quebec. </w:t>
      </w:r>
    </w:p>
    <w:p w:rsidR="009278C8" w:rsidRPr="00136956" w:rsidRDefault="009278C8" w:rsidP="009278C8">
      <w:pPr>
        <w:pStyle w:val="ParaNoNdepar-AltN"/>
        <w:tabs>
          <w:tab w:val="clear" w:pos="1166"/>
          <w:tab w:val="num" w:pos="1152"/>
        </w:tabs>
        <w:rPr>
          <w:rFonts w:cs="Times New Roman"/>
        </w:rPr>
      </w:pPr>
      <w:r w:rsidRPr="00136956">
        <w:rPr>
          <w:rFonts w:cs="Times New Roman"/>
        </w:rPr>
        <w:t>The Quebec Superior Court declared that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is unconstitutional and that Quebec is entitled to a transfer of these data. The Quebec Court of Appeal unanimously reversed that judgment. The AGQ now appeals to this Court. Our colleagues would dismiss the appeal.</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We are of the opinion that the appeal should be allowed, but only in part. This conclusion is dictated by the exceptional circumstances in which long-gun regulation was implemented in Canada. In our opinion, and this is where we diverge from our colleagues’ view, both the collection of the data with respect to long guns and the broader initiatives aimed at regulating the use of such guns were the result of a partnership with the provinces, including Quebec. Where an integrated scheme such as this requires the exercise of both federal and provincial legislative powers, the </w:t>
      </w:r>
      <w:r w:rsidRPr="00136956">
        <w:rPr>
          <w:rFonts w:cs="Times New Roman"/>
        </w:rPr>
        <w:lastRenderedPageBreak/>
        <w:t>analytical framework for questions related to the division of powers must be adapted and applied accordingly. Whether the means the federal government adopted to terminate this partnership were constitutional can be measured, in particular, in terms of the effect they will have on its partners’ powers.</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The </w:t>
      </w:r>
      <w:r w:rsidRPr="00136956">
        <w:rPr>
          <w:rFonts w:cs="Times New Roman"/>
          <w:i/>
        </w:rPr>
        <w:t>ELRA</w:t>
      </w:r>
      <w:r w:rsidRPr="00136956">
        <w:rPr>
          <w:rFonts w:cs="Times New Roman"/>
        </w:rPr>
        <w:t xml:space="preserve"> is the measure chosen by Parliament to end its participation in long-gun regulation. But s.</w:t>
      </w:r>
      <w:r>
        <w:rPr>
          <w:rFonts w:cs="Times New Roman"/>
        </w:rPr>
        <w:t xml:space="preserve"> </w:t>
      </w:r>
      <w:r w:rsidRPr="00136956">
        <w:rPr>
          <w:rFonts w:cs="Times New Roman"/>
        </w:rPr>
        <w:t xml:space="preserve">29 goes beyond the scope of that purpose, as it requires that the data in question be destroyed without providing for a possibility of their first being transferred to the provincial partners, which prevents the latter from using them in the exercise of their powers. This section has significant effects on Quebec’s legislative powers and is not necessary to the achievement of the </w:t>
      </w:r>
      <w:r w:rsidRPr="00136956">
        <w:rPr>
          <w:rFonts w:cs="Times New Roman"/>
          <w:i/>
        </w:rPr>
        <w:t>ELRA</w:t>
      </w:r>
      <w:r w:rsidRPr="00136956">
        <w:rPr>
          <w:rFonts w:cs="Times New Roman"/>
        </w:rPr>
        <w:t>’s purpose. Section</w:t>
      </w:r>
      <w:r>
        <w:rPr>
          <w:rFonts w:cs="Times New Roman"/>
        </w:rPr>
        <w:t xml:space="preserve"> </w:t>
      </w:r>
      <w:r w:rsidRPr="00136956">
        <w:rPr>
          <w:rFonts w:cs="Times New Roman"/>
        </w:rPr>
        <w:t>29 is therefore unconstitutional and should be declared to be invalid.</w:t>
      </w:r>
    </w:p>
    <w:p w:rsidR="009278C8" w:rsidRPr="00136956" w:rsidRDefault="009278C8" w:rsidP="009278C8">
      <w:pPr>
        <w:pStyle w:val="ParaNoNdepar-AltN"/>
        <w:tabs>
          <w:tab w:val="clear" w:pos="1166"/>
          <w:tab w:val="num" w:pos="1152"/>
        </w:tabs>
        <w:rPr>
          <w:rFonts w:cs="Times New Roman"/>
        </w:rPr>
      </w:pPr>
      <w:r w:rsidRPr="00136956">
        <w:rPr>
          <w:rFonts w:cs="Times New Roman"/>
        </w:rPr>
        <w:t>Although we find that s.</w:t>
      </w:r>
      <w:r>
        <w:rPr>
          <w:rFonts w:cs="Times New Roman"/>
        </w:rPr>
        <w:t xml:space="preserve"> </w:t>
      </w:r>
      <w:r w:rsidRPr="00136956">
        <w:rPr>
          <w:rFonts w:cs="Times New Roman"/>
        </w:rPr>
        <w:t xml:space="preserve">29 is unconstitutional, the AGQ has nonetheless failed to establish a legal basis for his request for a compulsory transfer of the data. The conditions applicable to such a transfer are a matter for the governments concerned, not the courts. </w:t>
      </w:r>
    </w:p>
    <w:p w:rsidR="009278C8" w:rsidRPr="00136956" w:rsidRDefault="009278C8" w:rsidP="009278C8">
      <w:pPr>
        <w:pStyle w:val="Title1LevelTitre1Niveau-AltL"/>
        <w:widowControl w:val="0"/>
        <w:tabs>
          <w:tab w:val="clear" w:pos="576"/>
          <w:tab w:val="left" w:pos="432"/>
        </w:tabs>
        <w:ind w:left="432" w:hanging="432"/>
        <w:outlineLvl w:val="0"/>
        <w:rPr>
          <w:rFonts w:cs="Times New Roman"/>
        </w:rPr>
      </w:pPr>
      <w:bookmarkStart w:id="2" w:name="_Toc411583240"/>
      <w:bookmarkStart w:id="3" w:name="_Toc413306858"/>
      <w:r w:rsidRPr="00136956">
        <w:rPr>
          <w:rFonts w:cs="Times New Roman"/>
        </w:rPr>
        <w:t>Background</w:t>
      </w:r>
      <w:bookmarkEnd w:id="2"/>
      <w:bookmarkEnd w:id="3"/>
    </w:p>
    <w:p w:rsidR="009278C8" w:rsidRPr="00136956" w:rsidRDefault="009278C8" w:rsidP="009278C8">
      <w:pPr>
        <w:pStyle w:val="ParaNoNdepar-AltN"/>
        <w:tabs>
          <w:tab w:val="clear" w:pos="1166"/>
          <w:tab w:val="num" w:pos="1152"/>
        </w:tabs>
        <w:rPr>
          <w:rFonts w:cs="Times New Roman"/>
          <w:sz w:val="22"/>
        </w:rPr>
      </w:pPr>
      <w:r w:rsidRPr="00136956">
        <w:rPr>
          <w:rFonts w:cs="Times New Roman"/>
        </w:rPr>
        <w:t>Firearms have been subject to regulation in Canada since early in the country’s history: “Canada has had laws restricting the possession and use of firearms since 1877, and a nationwide permit system for the carrying of small arms has been in effect since 1892” (Library of Parliament, “</w:t>
      </w:r>
      <w:r w:rsidRPr="00136956">
        <w:rPr>
          <w:rFonts w:cs="Times New Roman"/>
          <w:iCs/>
        </w:rPr>
        <w:t>Bill C</w:t>
      </w:r>
      <w:r>
        <w:rPr>
          <w:rFonts w:cs="Times New Roman"/>
          <w:iCs/>
        </w:rPr>
        <w:t>-</w:t>
      </w:r>
      <w:r w:rsidRPr="00136956">
        <w:rPr>
          <w:rFonts w:cs="Times New Roman"/>
          <w:iCs/>
        </w:rPr>
        <w:t>19:</w:t>
      </w:r>
      <w:r w:rsidRPr="00136956">
        <w:rPr>
          <w:rFonts w:cs="Times New Roman"/>
          <w:i/>
          <w:iCs/>
        </w:rPr>
        <w:t xml:space="preserve"> An Act to amend the Criminal </w:t>
      </w:r>
      <w:r w:rsidRPr="00136956">
        <w:rPr>
          <w:rFonts w:cs="Times New Roman"/>
          <w:i/>
          <w:iCs/>
        </w:rPr>
        <w:lastRenderedPageBreak/>
        <w:t>Code and the Firearms Act</w:t>
      </w:r>
      <w:r w:rsidRPr="00136956">
        <w:rPr>
          <w:rFonts w:cs="Times New Roman"/>
          <w:iCs/>
        </w:rPr>
        <w:t>”</w:t>
      </w:r>
      <w:r w:rsidRPr="00136956">
        <w:rPr>
          <w:rFonts w:cs="Times New Roman"/>
        </w:rPr>
        <w:t>, Legislative Summary No.</w:t>
      </w:r>
      <w:r>
        <w:rPr>
          <w:rFonts w:cs="Times New Roman"/>
        </w:rPr>
        <w:t xml:space="preserve"> </w:t>
      </w:r>
      <w:r w:rsidRPr="00136956">
        <w:rPr>
          <w:rFonts w:cs="Times New Roman"/>
        </w:rPr>
        <w:t>41</w:t>
      </w:r>
      <w:r>
        <w:rPr>
          <w:rFonts w:cs="Times New Roman"/>
        </w:rPr>
        <w:t>-</w:t>
      </w:r>
      <w:r w:rsidRPr="00136956">
        <w:rPr>
          <w:rFonts w:cs="Times New Roman"/>
        </w:rPr>
        <w:t>1</w:t>
      </w:r>
      <w:r>
        <w:rPr>
          <w:rFonts w:cs="Times New Roman"/>
        </w:rPr>
        <w:t>-</w:t>
      </w:r>
      <w:r w:rsidRPr="00136956">
        <w:rPr>
          <w:rFonts w:cs="Times New Roman"/>
        </w:rPr>
        <w:t>C19</w:t>
      </w:r>
      <w:r>
        <w:rPr>
          <w:rFonts w:cs="Times New Roman"/>
        </w:rPr>
        <w:t>-</w:t>
      </w:r>
      <w:r w:rsidRPr="00136956">
        <w:rPr>
          <w:rFonts w:cs="Times New Roman"/>
        </w:rPr>
        <w:t>E, November</w:t>
      </w:r>
      <w:r>
        <w:rPr>
          <w:rFonts w:cs="Times New Roman"/>
        </w:rPr>
        <w:t xml:space="preserve"> </w:t>
      </w:r>
      <w:r w:rsidRPr="00136956">
        <w:rPr>
          <w:rFonts w:cs="Times New Roman"/>
        </w:rPr>
        <w:t>1, 2011 (“</w:t>
      </w:r>
      <w:r w:rsidRPr="00136956">
        <w:rPr>
          <w:rFonts w:cs="Times New Roman"/>
          <w:i/>
        </w:rPr>
        <w:t>Legislative Summary</w:t>
      </w:r>
      <w:r w:rsidRPr="00136956">
        <w:rPr>
          <w:rFonts w:cs="Times New Roman"/>
        </w:rPr>
        <w:t>”), at p.</w:t>
      </w:r>
      <w:r>
        <w:rPr>
          <w:rFonts w:cs="Times New Roman"/>
        </w:rPr>
        <w:t xml:space="preserve"> </w:t>
      </w:r>
      <w:r w:rsidRPr="00136956">
        <w:rPr>
          <w:rFonts w:cs="Times New Roman"/>
        </w:rPr>
        <w:t>1). Since 1969, firearms have been divided into three classes for purposes of regulation: prohibited firearms, restricted firearms and non</w:t>
      </w:r>
      <w:r>
        <w:rPr>
          <w:rFonts w:cs="Times New Roman"/>
        </w:rPr>
        <w:t>-</w:t>
      </w:r>
      <w:r w:rsidRPr="00136956">
        <w:rPr>
          <w:rFonts w:cs="Times New Roman"/>
        </w:rPr>
        <w:t>restricted firearms (also called “long guns”) (</w:t>
      </w:r>
      <w:r w:rsidRPr="00136956">
        <w:rPr>
          <w:rFonts w:cs="Times New Roman"/>
          <w:i/>
          <w:iCs/>
        </w:rPr>
        <w:t>Criminal Law Amendment Act, 1968</w:t>
      </w:r>
      <w:r>
        <w:rPr>
          <w:rFonts w:cs="Times New Roman"/>
          <w:i/>
          <w:iCs/>
        </w:rPr>
        <w:t>-</w:t>
      </w:r>
      <w:r w:rsidRPr="00136956">
        <w:rPr>
          <w:rFonts w:cs="Times New Roman"/>
          <w:i/>
          <w:iCs/>
        </w:rPr>
        <w:t>69</w:t>
      </w:r>
      <w:r w:rsidRPr="00136956">
        <w:rPr>
          <w:rFonts w:cs="Times New Roman"/>
        </w:rPr>
        <w:t>, S.C. 1968</w:t>
      </w:r>
      <w:r>
        <w:rPr>
          <w:rFonts w:cs="Times New Roman"/>
        </w:rPr>
        <w:t>-</w:t>
      </w:r>
      <w:r w:rsidRPr="00136956">
        <w:rPr>
          <w:rFonts w:cs="Times New Roman"/>
        </w:rPr>
        <w:t>69, c.</w:t>
      </w:r>
      <w:r>
        <w:rPr>
          <w:rFonts w:cs="Times New Roman"/>
        </w:rPr>
        <w:t xml:space="preserve"> </w:t>
      </w:r>
      <w:r w:rsidRPr="00136956">
        <w:rPr>
          <w:rFonts w:cs="Times New Roman"/>
        </w:rPr>
        <w:t>38, s.</w:t>
      </w:r>
      <w:r>
        <w:rPr>
          <w:rFonts w:cs="Times New Roman"/>
        </w:rPr>
        <w:t xml:space="preserve"> </w:t>
      </w:r>
      <w:r w:rsidRPr="00136956">
        <w:rPr>
          <w:rFonts w:cs="Times New Roman"/>
        </w:rPr>
        <w:t>6). The regulation of firearms was originally focused on prohibited and restricted firearms. During the 1970s and 1980s, there was growing discontent over the disparity in treatment between long guns and the other two classes of firearms. Various groups promoting stricter regulation of long guns started a serious debate about public safety: see R.</w:t>
      </w:r>
      <w:r>
        <w:rPr>
          <w:rFonts w:cs="Times New Roman"/>
        </w:rPr>
        <w:t xml:space="preserve"> </w:t>
      </w:r>
      <w:r w:rsidRPr="00136956">
        <w:rPr>
          <w:rFonts w:cs="Times New Roman"/>
        </w:rPr>
        <w:t>B.</w:t>
      </w:r>
      <w:r>
        <w:rPr>
          <w:rFonts w:cs="Times New Roman"/>
        </w:rPr>
        <w:t xml:space="preserve"> </w:t>
      </w:r>
      <w:r w:rsidRPr="00136956">
        <w:rPr>
          <w:rFonts w:cs="Times New Roman"/>
        </w:rPr>
        <w:t xml:space="preserve">Brown, </w:t>
      </w:r>
      <w:r w:rsidRPr="00136956">
        <w:rPr>
          <w:rFonts w:cs="Times New Roman"/>
          <w:i/>
          <w:iCs/>
        </w:rPr>
        <w:t>Arming and Disarming: A History of Gun Control in Canada</w:t>
      </w:r>
      <w:r w:rsidRPr="00136956">
        <w:rPr>
          <w:rFonts w:cs="Times New Roman"/>
        </w:rPr>
        <w:t xml:space="preserve"> (2012), at pp.</w:t>
      </w:r>
      <w:r>
        <w:rPr>
          <w:rFonts w:cs="Times New Roman"/>
        </w:rPr>
        <w:t xml:space="preserve"> </w:t>
      </w:r>
      <w:r w:rsidRPr="00136956">
        <w:rPr>
          <w:rFonts w:cs="Times New Roman"/>
        </w:rPr>
        <w:t>167</w:t>
      </w:r>
      <w:r>
        <w:rPr>
          <w:rFonts w:cs="Times New Roman"/>
        </w:rPr>
        <w:t>-</w:t>
      </w:r>
      <w:r w:rsidRPr="00136956">
        <w:rPr>
          <w:rFonts w:cs="Times New Roman"/>
        </w:rPr>
        <w:t>203. Nothing came of their efforts.</w:t>
      </w:r>
    </w:p>
    <w:p w:rsidR="009278C8" w:rsidRPr="00136956" w:rsidRDefault="009278C8" w:rsidP="009278C8">
      <w:pPr>
        <w:pStyle w:val="ParaNoNdepar-AltN"/>
        <w:tabs>
          <w:tab w:val="clear" w:pos="1166"/>
          <w:tab w:val="num" w:pos="1152"/>
        </w:tabs>
        <w:rPr>
          <w:rFonts w:cs="Times New Roman"/>
        </w:rPr>
      </w:pPr>
      <w:r w:rsidRPr="00136956">
        <w:rPr>
          <w:rFonts w:cs="Times New Roman"/>
        </w:rPr>
        <w:t>The tragedy at the École Polytechnique in Montréal on December</w:t>
      </w:r>
      <w:r>
        <w:rPr>
          <w:rFonts w:cs="Times New Roman"/>
        </w:rPr>
        <w:t xml:space="preserve"> </w:t>
      </w:r>
      <w:r w:rsidRPr="00136956">
        <w:rPr>
          <w:rFonts w:cs="Times New Roman"/>
        </w:rPr>
        <w:t xml:space="preserve">6, 1989 shook the Canadian public. In its wake, </w:t>
      </w:r>
      <w:r w:rsidR="009F7229">
        <w:rPr>
          <w:rFonts w:cs="Times New Roman"/>
        </w:rPr>
        <w:t>was formed in the early 1990s and</w:t>
      </w:r>
      <w:r w:rsidRPr="00136956">
        <w:rPr>
          <w:rFonts w:cs="Times New Roman"/>
        </w:rPr>
        <w:t xml:space="preserve"> the intervener Coalition for Gun Control began lobbying the Canadian government and other organizations for stricter gun control: Brown, at pp.</w:t>
      </w:r>
      <w:r>
        <w:rPr>
          <w:rFonts w:cs="Times New Roman"/>
        </w:rPr>
        <w:t xml:space="preserve"> </w:t>
      </w:r>
      <w:r w:rsidRPr="00136956">
        <w:rPr>
          <w:rFonts w:cs="Times New Roman"/>
        </w:rPr>
        <w:t>204</w:t>
      </w:r>
      <w:r>
        <w:rPr>
          <w:rFonts w:cs="Times New Roman"/>
        </w:rPr>
        <w:t>-</w:t>
      </w:r>
      <w:r w:rsidRPr="00136956">
        <w:rPr>
          <w:rFonts w:cs="Times New Roman"/>
        </w:rPr>
        <w:t xml:space="preserve">7. After a long debate and despite several failures, the Coalition’s efforts finally came to fruition a few years later. </w:t>
      </w:r>
    </w:p>
    <w:p w:rsidR="009278C8" w:rsidRPr="00136956" w:rsidRDefault="009278C8" w:rsidP="009278C8">
      <w:pPr>
        <w:pStyle w:val="ParaNoNdepar-AltN"/>
        <w:rPr>
          <w:rFonts w:cs="Times New Roman"/>
        </w:rPr>
      </w:pPr>
      <w:r w:rsidRPr="00136956">
        <w:rPr>
          <w:rFonts w:cs="Times New Roman"/>
        </w:rPr>
        <w:t>In 1994, the federal Minister of Justice announced his intention to introduce stronger firearms control measures. In tabling Bill</w:t>
      </w:r>
      <w:r>
        <w:rPr>
          <w:rFonts w:cs="Times New Roman"/>
        </w:rPr>
        <w:t xml:space="preserve"> </w:t>
      </w:r>
      <w:r w:rsidRPr="00136956">
        <w:rPr>
          <w:rFonts w:cs="Times New Roman"/>
        </w:rPr>
        <w:t>C</w:t>
      </w:r>
      <w:r>
        <w:rPr>
          <w:rFonts w:cs="Times New Roman"/>
        </w:rPr>
        <w:t>-</w:t>
      </w:r>
      <w:r w:rsidRPr="00136956">
        <w:rPr>
          <w:rFonts w:cs="Times New Roman"/>
        </w:rPr>
        <w:t xml:space="preserve">68 (which would become the </w:t>
      </w:r>
      <w:r w:rsidRPr="00136956">
        <w:rPr>
          <w:rFonts w:cs="Times New Roman"/>
          <w:i/>
        </w:rPr>
        <w:t>FA</w:t>
      </w:r>
      <w:r w:rsidRPr="00136956">
        <w:rPr>
          <w:rFonts w:cs="Times New Roman"/>
        </w:rPr>
        <w:t>) in the House of Commons, the Minister focused on one key element: the need for and usefulness of a long</w:t>
      </w:r>
      <w:r>
        <w:rPr>
          <w:rFonts w:cs="Times New Roman"/>
        </w:rPr>
        <w:t>-</w:t>
      </w:r>
      <w:r w:rsidRPr="00136956">
        <w:rPr>
          <w:rFonts w:cs="Times New Roman"/>
        </w:rPr>
        <w:t xml:space="preserve">gun registration system. He stressed the </w:t>
      </w:r>
      <w:r w:rsidRPr="00136956">
        <w:rPr>
          <w:rFonts w:cs="Times New Roman"/>
        </w:rPr>
        <w:lastRenderedPageBreak/>
        <w:t>important role that the provinces would have in designing this system, making the following comments, among others:</w:t>
      </w:r>
    </w:p>
    <w:p w:rsidR="009278C8" w:rsidRPr="00136956" w:rsidRDefault="009278C8" w:rsidP="009278C8">
      <w:pPr>
        <w:pStyle w:val="Citation-AltC"/>
        <w:spacing w:after="240"/>
        <w:ind w:left="1168" w:hanging="1168"/>
        <w:contextualSpacing w:val="0"/>
      </w:pPr>
      <w:r w:rsidRPr="00136956">
        <w:tab/>
      </w:r>
      <w:r w:rsidRPr="00136956">
        <w:tab/>
        <w:t xml:space="preserve">During the course of the last several months, I have been in continuous touch with senior officials and indeed with provincial counterparts, attorneys general and ministers of justice, exchanging views about the proposals that will be decided upon and announced this afternoon. </w:t>
      </w:r>
    </w:p>
    <w:p w:rsidR="009278C8" w:rsidRPr="00136956" w:rsidRDefault="009278C8" w:rsidP="00460B89">
      <w:pPr>
        <w:pStyle w:val="Citation-AltC"/>
        <w:spacing w:after="240" w:line="480" w:lineRule="auto"/>
        <w:ind w:left="0"/>
        <w:contextualSpacing w:val="0"/>
      </w:pPr>
      <w:r w:rsidRPr="00136956">
        <w:t>(</w:t>
      </w:r>
      <w:r w:rsidRPr="00136956">
        <w:rPr>
          <w:i/>
        </w:rPr>
        <w:t>House of Commons Debates</w:t>
      </w:r>
      <w:r w:rsidRPr="00136956">
        <w:t>, vol.</w:t>
      </w:r>
      <w:r>
        <w:t xml:space="preserve"> </w:t>
      </w:r>
      <w:r w:rsidRPr="00136956">
        <w:t>133, No.</w:t>
      </w:r>
      <w:r>
        <w:t xml:space="preserve"> </w:t>
      </w:r>
      <w:r w:rsidRPr="00136956">
        <w:t>134, 1st</w:t>
      </w:r>
      <w:r>
        <w:t xml:space="preserve"> </w:t>
      </w:r>
      <w:r w:rsidRPr="00136956">
        <w:t>Sess., 35th Parl., November</w:t>
      </w:r>
      <w:r>
        <w:t xml:space="preserve"> </w:t>
      </w:r>
      <w:r w:rsidRPr="00136956">
        <w:t>30, 1994, at p.</w:t>
      </w:r>
      <w:r>
        <w:t xml:space="preserve"> </w:t>
      </w:r>
      <w:r w:rsidRPr="00136956">
        <w:t>8476)</w:t>
      </w:r>
    </w:p>
    <w:p w:rsidR="009278C8" w:rsidRPr="00136956" w:rsidRDefault="009278C8" w:rsidP="009278C8">
      <w:pPr>
        <w:pStyle w:val="Citation-AltC"/>
        <w:spacing w:after="240"/>
        <w:ind w:left="1168" w:hanging="1168"/>
        <w:contextualSpacing w:val="0"/>
      </w:pPr>
      <w:r w:rsidRPr="00136956">
        <w:tab/>
        <w:t xml:space="preserve">We can take the opportunity of designing and implementing such a system in collaboration with provincial authorities, with the input of the firearms’ groups to eliminate irritants, to overcome paperwork burden, to simplify and streamline the system so that all of our objectives can be achieved at the same time. </w:t>
      </w:r>
    </w:p>
    <w:p w:rsidR="009278C8" w:rsidRPr="00136956" w:rsidRDefault="009278C8" w:rsidP="00460B89">
      <w:pPr>
        <w:pStyle w:val="Citation-AltC"/>
        <w:spacing w:after="240" w:line="480" w:lineRule="auto"/>
        <w:ind w:left="0"/>
        <w:contextualSpacing w:val="0"/>
      </w:pPr>
      <w:r w:rsidRPr="00136956">
        <w:t>(</w:t>
      </w:r>
      <w:r w:rsidRPr="00136956">
        <w:rPr>
          <w:i/>
        </w:rPr>
        <w:t>House of Commons Debates</w:t>
      </w:r>
      <w:r w:rsidRPr="00136956">
        <w:t>, vol.</w:t>
      </w:r>
      <w:r>
        <w:t xml:space="preserve"> </w:t>
      </w:r>
      <w:r w:rsidRPr="00136956">
        <w:t>133, No.</w:t>
      </w:r>
      <w:r>
        <w:t xml:space="preserve"> </w:t>
      </w:r>
      <w:r w:rsidRPr="00136956">
        <w:t>154, 1st</w:t>
      </w:r>
      <w:r>
        <w:t xml:space="preserve"> </w:t>
      </w:r>
      <w:r w:rsidRPr="00136956">
        <w:t>Sess., 35th Parl., February</w:t>
      </w:r>
      <w:r>
        <w:t xml:space="preserve"> </w:t>
      </w:r>
      <w:r w:rsidRPr="00136956">
        <w:t>16, 1995, at p.</w:t>
      </w:r>
      <w:r>
        <w:t xml:space="preserve"> </w:t>
      </w:r>
      <w:r w:rsidRPr="00136956">
        <w:t>9709)</w:t>
      </w:r>
    </w:p>
    <w:p w:rsidR="009278C8" w:rsidRPr="00136956" w:rsidRDefault="009278C8" w:rsidP="009278C8">
      <w:pPr>
        <w:pStyle w:val="ParaNoNdepar-AltN"/>
        <w:rPr>
          <w:rFonts w:cs="Times New Roman"/>
        </w:rPr>
      </w:pPr>
      <w:r w:rsidRPr="00136956">
        <w:rPr>
          <w:rFonts w:cs="Times New Roman"/>
        </w:rPr>
        <w:t xml:space="preserve">At the time of the enactment of the </w:t>
      </w:r>
      <w:r w:rsidRPr="00136956">
        <w:rPr>
          <w:rFonts w:cs="Times New Roman"/>
          <w:i/>
        </w:rPr>
        <w:t>FA</w:t>
      </w:r>
      <w:r w:rsidRPr="00136956">
        <w:rPr>
          <w:rFonts w:cs="Times New Roman"/>
        </w:rPr>
        <w:t xml:space="preserve">, </w:t>
      </w:r>
      <w:r w:rsidR="00E52E12">
        <w:rPr>
          <w:rFonts w:cs="Times New Roman"/>
        </w:rPr>
        <w:t>there</w:t>
      </w:r>
      <w:r w:rsidRPr="00136956">
        <w:rPr>
          <w:rFonts w:cs="Times New Roman"/>
        </w:rPr>
        <w:t xml:space="preserve"> was </w:t>
      </w:r>
      <w:r w:rsidR="00E52E12">
        <w:rPr>
          <w:rFonts w:cs="Times New Roman"/>
        </w:rPr>
        <w:t>no</w:t>
      </w:r>
      <w:r w:rsidRPr="00136956">
        <w:rPr>
          <w:rFonts w:cs="Times New Roman"/>
        </w:rPr>
        <w:t xml:space="preserve"> dispute that it would be impossible to set up a registration system without provincial collaboration. Member of Parliament Stephen Harper (who would subsequently become Prime Minister) said the following in the House:</w:t>
      </w:r>
    </w:p>
    <w:p w:rsidR="009278C8" w:rsidRPr="00136956" w:rsidRDefault="009278C8" w:rsidP="00DB43F6">
      <w:pPr>
        <w:pStyle w:val="Citation-AltC"/>
        <w:spacing w:after="480"/>
        <w:ind w:hanging="1166"/>
        <w:contextualSpacing w:val="0"/>
      </w:pPr>
      <w:r w:rsidRPr="00136956">
        <w:tab/>
        <w:t xml:space="preserve">We know that the Department of Justice retains overall responsibility for gun control but the program is predominantly administered by provincial and territorial governments, through chief firearms officers and local police agencies. </w:t>
      </w:r>
    </w:p>
    <w:p w:rsidR="009278C8" w:rsidRPr="00136956" w:rsidRDefault="009278C8" w:rsidP="00DB43F6">
      <w:pPr>
        <w:pStyle w:val="Citation-AltC"/>
        <w:spacing w:after="480" w:line="480" w:lineRule="auto"/>
        <w:ind w:left="0"/>
        <w:contextualSpacing w:val="0"/>
      </w:pPr>
      <w:r w:rsidRPr="00136956">
        <w:t>(</w:t>
      </w:r>
      <w:r w:rsidRPr="00136956">
        <w:rPr>
          <w:i/>
        </w:rPr>
        <w:t>House of Commons Debates</w:t>
      </w:r>
      <w:r w:rsidRPr="00136956">
        <w:t>, vol.</w:t>
      </w:r>
      <w:r>
        <w:t xml:space="preserve"> </w:t>
      </w:r>
      <w:r w:rsidRPr="00136956">
        <w:t>133, No.</w:t>
      </w:r>
      <w:r>
        <w:t xml:space="preserve"> </w:t>
      </w:r>
      <w:r w:rsidRPr="00136956">
        <w:t>216, 1st</w:t>
      </w:r>
      <w:r>
        <w:t xml:space="preserve"> </w:t>
      </w:r>
      <w:r w:rsidRPr="00136956">
        <w:t>Sess., 35th Parl., June</w:t>
      </w:r>
      <w:r>
        <w:t xml:space="preserve"> </w:t>
      </w:r>
      <w:r w:rsidRPr="00136956">
        <w:t>12, 1995, at p.</w:t>
      </w:r>
      <w:r>
        <w:t xml:space="preserve"> </w:t>
      </w:r>
      <w:r w:rsidRPr="00136956">
        <w:t>13631)</w:t>
      </w:r>
    </w:p>
    <w:p w:rsidR="009278C8" w:rsidRPr="00136956" w:rsidRDefault="009278C8" w:rsidP="009278C8">
      <w:pPr>
        <w:pStyle w:val="ParaNoNdepar-AltN"/>
        <w:rPr>
          <w:rFonts w:cs="Times New Roman"/>
        </w:rPr>
      </w:pPr>
      <w:r w:rsidRPr="00136956">
        <w:rPr>
          <w:rFonts w:cs="Times New Roman"/>
        </w:rPr>
        <w:lastRenderedPageBreak/>
        <w:t xml:space="preserve">In Quebec, there was a consensus that the program would be useful, although some questioned whether the compensation for the costs of implementing and administering the program that the federal government proposed to pay the provinces that chose to take part would be sufficient: see, e.g., Quebec, National Assembly, </w:t>
      </w:r>
      <w:r w:rsidRPr="00136956">
        <w:rPr>
          <w:rFonts w:cs="Times New Roman"/>
          <w:i/>
          <w:iCs/>
        </w:rPr>
        <w:t>Journal des débats</w:t>
      </w:r>
      <w:r w:rsidRPr="00136956">
        <w:rPr>
          <w:rFonts w:cs="Times New Roman"/>
          <w:iCs/>
        </w:rPr>
        <w:t>,</w:t>
      </w:r>
      <w:r w:rsidRPr="00136956">
        <w:rPr>
          <w:rFonts w:cs="Times New Roman"/>
          <w:i/>
          <w:iCs/>
        </w:rPr>
        <w:t xml:space="preserve"> </w:t>
      </w:r>
      <w:r w:rsidRPr="00136956">
        <w:rPr>
          <w:rFonts w:cs="Times New Roman"/>
          <w:szCs w:val="24"/>
        </w:rPr>
        <w:t>vol.</w:t>
      </w:r>
      <w:r>
        <w:rPr>
          <w:rFonts w:cs="Times New Roman"/>
          <w:szCs w:val="24"/>
        </w:rPr>
        <w:t xml:space="preserve"> </w:t>
      </w:r>
      <w:r w:rsidRPr="00136956">
        <w:rPr>
          <w:rFonts w:cs="Times New Roman"/>
          <w:iCs/>
          <w:szCs w:val="24"/>
        </w:rPr>
        <w:t>34, No.</w:t>
      </w:r>
      <w:r>
        <w:rPr>
          <w:rFonts w:cs="Times New Roman"/>
          <w:iCs/>
          <w:szCs w:val="24"/>
        </w:rPr>
        <w:t xml:space="preserve"> </w:t>
      </w:r>
      <w:r w:rsidRPr="00136956">
        <w:rPr>
          <w:rFonts w:cs="Times New Roman"/>
          <w:iCs/>
          <w:szCs w:val="24"/>
        </w:rPr>
        <w:t>49, 1st</w:t>
      </w:r>
      <w:r>
        <w:rPr>
          <w:rFonts w:cs="Times New Roman"/>
          <w:iCs/>
          <w:szCs w:val="24"/>
        </w:rPr>
        <w:t xml:space="preserve"> </w:t>
      </w:r>
      <w:r w:rsidRPr="00136956">
        <w:rPr>
          <w:rFonts w:cs="Times New Roman"/>
          <w:iCs/>
          <w:szCs w:val="24"/>
        </w:rPr>
        <w:t>Sess., 35th Leg., May</w:t>
      </w:r>
      <w:r>
        <w:rPr>
          <w:rFonts w:cs="Times New Roman"/>
          <w:iCs/>
          <w:szCs w:val="24"/>
        </w:rPr>
        <w:t xml:space="preserve"> </w:t>
      </w:r>
      <w:r w:rsidRPr="00136956">
        <w:rPr>
          <w:rFonts w:cs="Times New Roman"/>
          <w:iCs/>
          <w:szCs w:val="24"/>
        </w:rPr>
        <w:t xml:space="preserve">23, 1995 </w:t>
      </w:r>
      <w:r w:rsidRPr="00136956">
        <w:rPr>
          <w:rFonts w:cs="Times New Roman"/>
          <w:iCs/>
        </w:rPr>
        <w:t xml:space="preserve">(online), at 14:40, </w:t>
      </w:r>
      <w:r w:rsidRPr="00136956">
        <w:rPr>
          <w:rFonts w:cs="Times New Roman"/>
          <w:bCs/>
        </w:rPr>
        <w:t>Mr.</w:t>
      </w:r>
      <w:r>
        <w:rPr>
          <w:rFonts w:cs="Times New Roman"/>
          <w:bCs/>
        </w:rPr>
        <w:t xml:space="preserve"> </w:t>
      </w:r>
      <w:r w:rsidRPr="00136956">
        <w:rPr>
          <w:rFonts w:cs="Times New Roman"/>
          <w:bCs/>
        </w:rPr>
        <w:t>Brassard (Minister of the Environment and Wildlife)</w:t>
      </w:r>
      <w:r w:rsidRPr="00136956">
        <w:rPr>
          <w:rFonts w:cs="Times New Roman"/>
        </w:rPr>
        <w:t>. Other provinces shared this concern:</w:t>
      </w:r>
    </w:p>
    <w:p w:rsidR="009278C8" w:rsidRPr="00136956" w:rsidRDefault="009278C8" w:rsidP="009278C8">
      <w:pPr>
        <w:pStyle w:val="Citation-AltC"/>
        <w:spacing w:after="240"/>
        <w:ind w:hanging="1166"/>
        <w:contextualSpacing w:val="0"/>
      </w:pPr>
      <w:r w:rsidRPr="00136956">
        <w:tab/>
      </w:r>
      <w:r w:rsidRPr="00136956">
        <w:tab/>
        <w:t>I have been told the funds that the provinces received are not adequate to cover their costs</w:t>
      </w:r>
      <w:r>
        <w:t>. . . .</w:t>
      </w:r>
      <w:r w:rsidRPr="00136956">
        <w:t xml:space="preserve"> </w:t>
      </w:r>
    </w:p>
    <w:p w:rsidR="009278C8" w:rsidRPr="00136956" w:rsidRDefault="009278C8" w:rsidP="003E765D">
      <w:pPr>
        <w:pStyle w:val="Citation-AltC"/>
        <w:spacing w:after="480"/>
        <w:ind w:hanging="1166"/>
        <w:contextualSpacing w:val="0"/>
      </w:pPr>
      <w:r w:rsidRPr="00136956">
        <w:tab/>
      </w:r>
      <w:r w:rsidRPr="00136956">
        <w:tab/>
        <w:t>The federal government’s latest offer amounts to only about two</w:t>
      </w:r>
      <w:r>
        <w:t>-</w:t>
      </w:r>
      <w:r w:rsidRPr="00136956">
        <w:t>thirds of the actual cost incurred for these programs.</w:t>
      </w:r>
    </w:p>
    <w:p w:rsidR="009278C8" w:rsidRPr="00136956" w:rsidRDefault="009278C8" w:rsidP="009278C8">
      <w:pPr>
        <w:pStyle w:val="Citation-AltC"/>
        <w:ind w:hanging="1166"/>
        <w:contextualSpacing w:val="0"/>
      </w:pPr>
      <w:r w:rsidRPr="00136956">
        <w:t>(</w:t>
      </w:r>
      <w:r w:rsidRPr="00136956">
        <w:rPr>
          <w:i/>
        </w:rPr>
        <w:t>House of Commons Debates</w:t>
      </w:r>
      <w:r w:rsidRPr="00136956">
        <w:t>, June</w:t>
      </w:r>
      <w:r>
        <w:t xml:space="preserve"> </w:t>
      </w:r>
      <w:r w:rsidRPr="00136956">
        <w:t>12, 1995, at p.</w:t>
      </w:r>
      <w:r>
        <w:t xml:space="preserve"> </w:t>
      </w:r>
      <w:r w:rsidRPr="00136956">
        <w:t>13631)</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Upon receiving Royal Assent the day before the sixth anniversary of the École Polytechnique tragedy, the </w:t>
      </w:r>
      <w:r w:rsidRPr="00136956">
        <w:rPr>
          <w:rFonts w:cs="Times New Roman"/>
          <w:i/>
        </w:rPr>
        <w:t>FA</w:t>
      </w:r>
      <w:r w:rsidRPr="00136956">
        <w:rPr>
          <w:rFonts w:cs="Times New Roman"/>
        </w:rPr>
        <w:t xml:space="preserve"> created controversy. Alberta challenged its constitutionality in 1996, arguing that it was </w:t>
      </w:r>
      <w:r w:rsidRPr="00136956">
        <w:rPr>
          <w:rFonts w:cs="Times New Roman"/>
          <w:i/>
        </w:rPr>
        <w:t xml:space="preserve">ultra vires </w:t>
      </w:r>
      <w:r w:rsidRPr="00136956">
        <w:rPr>
          <w:rFonts w:cs="Times New Roman"/>
        </w:rPr>
        <w:t xml:space="preserve">Parliament. In a unanimous opinion, the Court rejected this argument and held that the </w:t>
      </w:r>
      <w:r w:rsidRPr="00136956">
        <w:rPr>
          <w:rFonts w:cs="Times New Roman"/>
          <w:i/>
        </w:rPr>
        <w:t>FA</w:t>
      </w:r>
      <w:r w:rsidRPr="00136956">
        <w:rPr>
          <w:rFonts w:cs="Times New Roman"/>
        </w:rPr>
        <w:t xml:space="preserve"> falls within the federal criminal law power: </w:t>
      </w:r>
      <w:r w:rsidRPr="00136956">
        <w:rPr>
          <w:rFonts w:cs="Times New Roman"/>
          <w:i/>
        </w:rPr>
        <w:t>Reference re Firearms Act (Can.)</w:t>
      </w:r>
      <w:r w:rsidRPr="00136956">
        <w:rPr>
          <w:rFonts w:cs="Times New Roman"/>
        </w:rPr>
        <w:t>, 2000 SCC 31,</w:t>
      </w:r>
      <w:r w:rsidRPr="00136956">
        <w:rPr>
          <w:rFonts w:cs="Times New Roman"/>
          <w:i/>
        </w:rPr>
        <w:t xml:space="preserve"> </w:t>
      </w:r>
      <w:r w:rsidRPr="00136956">
        <w:rPr>
          <w:rFonts w:cs="Times New Roman"/>
        </w:rPr>
        <w:t xml:space="preserve">[2000] 1 S.C.R. 783 </w:t>
      </w:r>
      <w:r w:rsidRPr="00136956">
        <w:rPr>
          <w:rFonts w:cs="Times New Roman"/>
          <w:iCs/>
        </w:rPr>
        <w:t>(“</w:t>
      </w:r>
      <w:r w:rsidRPr="00136956">
        <w:rPr>
          <w:rFonts w:cs="Times New Roman"/>
          <w:i/>
        </w:rPr>
        <w:t>FA Reference</w:t>
      </w:r>
      <w:r w:rsidRPr="00136956">
        <w:rPr>
          <w:rFonts w:cs="Times New Roman"/>
        </w:rPr>
        <w:t>”</w:t>
      </w:r>
      <w:r w:rsidRPr="00136956">
        <w:rPr>
          <w:rFonts w:cs="Times New Roman"/>
          <w:iCs/>
        </w:rPr>
        <w:t>). We will return to this question below.</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The coming into force of the </w:t>
      </w:r>
      <w:r w:rsidRPr="00136956">
        <w:rPr>
          <w:rFonts w:cs="Times New Roman"/>
          <w:i/>
        </w:rPr>
        <w:t>FA</w:t>
      </w:r>
      <w:r w:rsidRPr="00136956">
        <w:rPr>
          <w:rFonts w:cs="Times New Roman"/>
        </w:rPr>
        <w:t xml:space="preserve"> on December</w:t>
      </w:r>
      <w:r>
        <w:rPr>
          <w:rFonts w:cs="Times New Roman"/>
        </w:rPr>
        <w:t xml:space="preserve"> </w:t>
      </w:r>
      <w:r w:rsidRPr="00136956">
        <w:rPr>
          <w:rFonts w:cs="Times New Roman"/>
        </w:rPr>
        <w:t xml:space="preserve">1, 1998, marked the beginning of the registration of all firearms — including long guns — in Canada. </w:t>
      </w:r>
      <w:r w:rsidR="008B70AA">
        <w:rPr>
          <w:rFonts w:cs="Times New Roman"/>
        </w:rPr>
        <w:t>After</w:t>
      </w:r>
      <w:r w:rsidRPr="00136956">
        <w:rPr>
          <w:rFonts w:cs="Times New Roman"/>
        </w:rPr>
        <w:t xml:space="preserve"> that date, any individual, </w:t>
      </w:r>
      <w:r w:rsidR="008B70AA">
        <w:rPr>
          <w:rFonts w:cs="Times New Roman"/>
        </w:rPr>
        <w:t>unless exception</w:t>
      </w:r>
      <w:r w:rsidR="00D74438">
        <w:rPr>
          <w:rFonts w:cs="Times New Roman"/>
        </w:rPr>
        <w:t xml:space="preserve"> applied</w:t>
      </w:r>
      <w:r w:rsidR="008B70AA">
        <w:rPr>
          <w:rFonts w:cs="Times New Roman"/>
        </w:rPr>
        <w:t>, who acquired or possessed</w:t>
      </w:r>
      <w:r w:rsidRPr="00136956">
        <w:rPr>
          <w:rFonts w:cs="Times New Roman"/>
        </w:rPr>
        <w:t xml:space="preserve"> a firearm of any type in Canada </w:t>
      </w:r>
      <w:r w:rsidR="008B70AA">
        <w:rPr>
          <w:rFonts w:cs="Times New Roman"/>
        </w:rPr>
        <w:t>was</w:t>
      </w:r>
      <w:r w:rsidRPr="00136956">
        <w:rPr>
          <w:rFonts w:cs="Times New Roman"/>
        </w:rPr>
        <w:t xml:space="preserve"> required to hold a licence to possess firearms as </w:t>
      </w:r>
      <w:r w:rsidRPr="00136956">
        <w:rPr>
          <w:rFonts w:cs="Times New Roman"/>
        </w:rPr>
        <w:lastRenderedPageBreak/>
        <w:t>well as a specific registration certificate for the firearm in question: ss.</w:t>
      </w:r>
      <w:r>
        <w:rPr>
          <w:rFonts w:cs="Times New Roman"/>
        </w:rPr>
        <w:t xml:space="preserve"> </w:t>
      </w:r>
      <w:r w:rsidRPr="00136956">
        <w:rPr>
          <w:rFonts w:cs="Times New Roman"/>
        </w:rPr>
        <w:t>4 to</w:t>
      </w:r>
      <w:r w:rsidR="003E765D">
        <w:rPr>
          <w:rFonts w:cs="Times New Roman"/>
        </w:rPr>
        <w:t xml:space="preserve"> </w:t>
      </w:r>
      <w:r w:rsidRPr="00136956">
        <w:rPr>
          <w:rFonts w:cs="Times New Roman"/>
        </w:rPr>
        <w:t>14 and 112 (rep. s.</w:t>
      </w:r>
      <w:r>
        <w:rPr>
          <w:rFonts w:cs="Times New Roman"/>
        </w:rPr>
        <w:t xml:space="preserve"> </w:t>
      </w:r>
      <w:r w:rsidRPr="00136956">
        <w:rPr>
          <w:rFonts w:cs="Times New Roman"/>
        </w:rPr>
        <w:t xml:space="preserve">27 </w:t>
      </w:r>
      <w:r w:rsidRPr="00136956">
        <w:rPr>
          <w:rFonts w:cs="Times New Roman"/>
          <w:i/>
        </w:rPr>
        <w:t>ELRA</w:t>
      </w:r>
      <w:r w:rsidRPr="00136956">
        <w:rPr>
          <w:rFonts w:cs="Times New Roman"/>
        </w:rPr>
        <w:t xml:space="preserve">) </w:t>
      </w:r>
      <w:r w:rsidRPr="00136956">
        <w:rPr>
          <w:rFonts w:cs="Times New Roman"/>
          <w:i/>
        </w:rPr>
        <w:t>FA</w:t>
      </w:r>
      <w:r w:rsidRPr="00136956">
        <w:rPr>
          <w:rFonts w:cs="Times New Roman"/>
        </w:rPr>
        <w:t>; ss.</w:t>
      </w:r>
      <w:r>
        <w:rPr>
          <w:rFonts w:cs="Times New Roman"/>
        </w:rPr>
        <w:t xml:space="preserve"> </w:t>
      </w:r>
      <w:r w:rsidRPr="00136956">
        <w:rPr>
          <w:rFonts w:cs="Times New Roman"/>
        </w:rPr>
        <w:t xml:space="preserve">90 and 91 of the </w:t>
      </w:r>
      <w:r w:rsidRPr="00136956">
        <w:rPr>
          <w:rFonts w:cs="Times New Roman"/>
          <w:i/>
        </w:rPr>
        <w:t>Criminal Code</w:t>
      </w:r>
      <w:r w:rsidRPr="00136956">
        <w:rPr>
          <w:rFonts w:cs="Times New Roman"/>
        </w:rPr>
        <w:t>, R.S.C. 1985, c.</w:t>
      </w:r>
      <w:r>
        <w:rPr>
          <w:rFonts w:cs="Times New Roman"/>
        </w:rPr>
        <w:t xml:space="preserve"> </w:t>
      </w:r>
      <w:r w:rsidRPr="00136956">
        <w:rPr>
          <w:rFonts w:cs="Times New Roman"/>
        </w:rPr>
        <w:t>C</w:t>
      </w:r>
      <w:r>
        <w:rPr>
          <w:rFonts w:cs="Times New Roman"/>
        </w:rPr>
        <w:t>-</w:t>
      </w:r>
      <w:r w:rsidRPr="00136956">
        <w:rPr>
          <w:rFonts w:cs="Times New Roman"/>
        </w:rPr>
        <w:t>46. Moreover, it should be sp</w:t>
      </w:r>
      <w:r w:rsidR="008B70AA">
        <w:rPr>
          <w:rFonts w:cs="Times New Roman"/>
        </w:rPr>
        <w:t>ecified that holding a licence wa</w:t>
      </w:r>
      <w:r w:rsidRPr="00136956">
        <w:rPr>
          <w:rFonts w:cs="Times New Roman"/>
        </w:rPr>
        <w:t>s a precondition for obtaining a registration certificate: s.</w:t>
      </w:r>
      <w:r>
        <w:rPr>
          <w:rFonts w:cs="Times New Roman"/>
        </w:rPr>
        <w:t xml:space="preserve"> </w:t>
      </w:r>
      <w:r w:rsidRPr="00136956">
        <w:rPr>
          <w:rFonts w:cs="Times New Roman"/>
        </w:rPr>
        <w:t xml:space="preserve">13 </w:t>
      </w:r>
      <w:r w:rsidRPr="00136956">
        <w:rPr>
          <w:rFonts w:cs="Times New Roman"/>
          <w:i/>
        </w:rPr>
        <w:t>FA</w:t>
      </w:r>
      <w:r w:rsidRPr="00136956">
        <w:rPr>
          <w:rFonts w:cs="Times New Roman"/>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this regard, the </w:t>
      </w:r>
      <w:r w:rsidRPr="00136956">
        <w:rPr>
          <w:rFonts w:cs="Times New Roman"/>
          <w:i/>
        </w:rPr>
        <w:t>FA</w:t>
      </w:r>
      <w:r w:rsidRPr="00136956">
        <w:rPr>
          <w:rFonts w:cs="Times New Roman"/>
        </w:rPr>
        <w:t xml:space="preserve"> provides for the establishment of two types of registries: the Canadian Firearms Registry (“CFR”</w:t>
      </w:r>
      <w:r w:rsidRPr="00136956">
        <w:rPr>
          <w:rFonts w:cs="Times New Roman"/>
          <w:bCs/>
        </w:rPr>
        <w:t xml:space="preserve">), which is to be </w:t>
      </w:r>
      <w:r w:rsidRPr="00136956">
        <w:rPr>
          <w:rFonts w:cs="Times New Roman"/>
        </w:rPr>
        <w:t>maintained by the Registrar of Firearms (“Registrar”), and records of chief firearms officers (“CFOs”) (ss.</w:t>
      </w:r>
      <w:r>
        <w:rPr>
          <w:rFonts w:cs="Times New Roman"/>
        </w:rPr>
        <w:t xml:space="preserve"> </w:t>
      </w:r>
      <w:r w:rsidRPr="00136956">
        <w:rPr>
          <w:rFonts w:cs="Times New Roman"/>
        </w:rPr>
        <w:t xml:space="preserve">83 and 87 </w:t>
      </w:r>
      <w:r w:rsidRPr="00136956">
        <w:rPr>
          <w:rFonts w:cs="Times New Roman"/>
          <w:i/>
        </w:rPr>
        <w:t>FA</w:t>
      </w:r>
      <w:r w:rsidRPr="00136956">
        <w:rPr>
          <w:rFonts w:cs="Times New Roman"/>
        </w:rPr>
        <w:t>). Whereas there is only one Registrar for all of Canada, each province or territory has its own CFO. The CFOs for the territories are appointed by the federal Minister of Public Safety and Emergency Preparedness: s.</w:t>
      </w:r>
      <w:r>
        <w:rPr>
          <w:rFonts w:cs="Times New Roman"/>
        </w:rPr>
        <w:t xml:space="preserve"> </w:t>
      </w:r>
      <w:r w:rsidRPr="00136956">
        <w:rPr>
          <w:rFonts w:cs="Times New Roman"/>
        </w:rPr>
        <w:t xml:space="preserve">2(1) “chief firearms officer” </w:t>
      </w:r>
      <w:r w:rsidRPr="00136956">
        <w:rPr>
          <w:rFonts w:cs="Times New Roman"/>
          <w:i/>
        </w:rPr>
        <w:t>FA</w:t>
      </w:r>
      <w:r w:rsidRPr="00136956">
        <w:rPr>
          <w:rFonts w:cs="Times New Roman"/>
        </w:rPr>
        <w:t xml:space="preserve">. With respect to the provinces, on the other hand, it is only if a province has not designated a CFO that the federal minister will do so: </w:t>
      </w:r>
      <w:r w:rsidRPr="00136956">
        <w:rPr>
          <w:rFonts w:cs="Times New Roman"/>
          <w:i/>
        </w:rPr>
        <w:t>ibid.</w:t>
      </w:r>
      <w:r w:rsidRPr="00136956">
        <w:rPr>
          <w:rFonts w:cs="Times New Roman"/>
        </w:rPr>
        <w:t xml:space="preserve"> At the time the </w:t>
      </w:r>
      <w:r w:rsidRPr="00136956">
        <w:rPr>
          <w:rFonts w:cs="Times New Roman"/>
          <w:i/>
        </w:rPr>
        <w:t>FA</w:t>
      </w:r>
      <w:r w:rsidRPr="00136956">
        <w:rPr>
          <w:rFonts w:cs="Times New Roman"/>
        </w:rPr>
        <w:t xml:space="preserve"> was passed, CFOs were designated by five provinces, namely Ontario, Quebec, New Brunswick, Prince Edward Island and Nova Scotia (</w:t>
      </w:r>
      <w:r w:rsidRPr="00136956">
        <w:rPr>
          <w:rFonts w:cs="Times New Roman"/>
          <w:iCs/>
        </w:rPr>
        <w:t xml:space="preserve">Royal Canadian Mounted Police (“RCMP”), National Program Evaluation Services, </w:t>
      </w:r>
      <w:r w:rsidRPr="00136956">
        <w:rPr>
          <w:rFonts w:cs="Times New Roman"/>
          <w:i/>
        </w:rPr>
        <w:t xml:space="preserve">RCMP </w:t>
      </w:r>
      <w:r w:rsidRPr="00136956">
        <w:rPr>
          <w:rFonts w:cs="Times New Roman"/>
          <w:i/>
          <w:iCs/>
        </w:rPr>
        <w:t>Canadian Firearms Program: Program Evaluation</w:t>
      </w:r>
      <w:r w:rsidRPr="00136956">
        <w:rPr>
          <w:rFonts w:cs="Times New Roman"/>
          <w:iCs/>
        </w:rPr>
        <w:t>,</w:t>
      </w:r>
      <w:r w:rsidRPr="00136956">
        <w:rPr>
          <w:rFonts w:cs="Times New Roman"/>
          <w:i/>
          <w:iCs/>
        </w:rPr>
        <w:t xml:space="preserve"> </w:t>
      </w:r>
      <w:r w:rsidRPr="00136956">
        <w:rPr>
          <w:rFonts w:cs="Times New Roman"/>
          <w:iCs/>
        </w:rPr>
        <w:t>Final Approved Report,</w:t>
      </w:r>
      <w:r w:rsidRPr="00136956">
        <w:rPr>
          <w:rFonts w:cs="Times New Roman"/>
          <w:i/>
        </w:rPr>
        <w:t xml:space="preserve"> </w:t>
      </w:r>
      <w:r w:rsidRPr="00136956">
        <w:rPr>
          <w:rFonts w:cs="Times New Roman"/>
          <w:iCs/>
        </w:rPr>
        <w:t>February 2010 (online) (“</w:t>
      </w:r>
      <w:r w:rsidRPr="00136956">
        <w:rPr>
          <w:rFonts w:cs="Times New Roman"/>
          <w:i/>
          <w:iCs/>
        </w:rPr>
        <w:t>CFP Evaluation</w:t>
      </w:r>
      <w:r w:rsidRPr="00136956">
        <w:rPr>
          <w:rFonts w:cs="Times New Roman"/>
          <w:iCs/>
        </w:rPr>
        <w:t>”), at p.</w:t>
      </w:r>
      <w:r>
        <w:rPr>
          <w:rFonts w:cs="Times New Roman"/>
          <w:iCs/>
        </w:rPr>
        <w:t xml:space="preserve"> </w:t>
      </w:r>
      <w:r w:rsidRPr="00136956">
        <w:rPr>
          <w:rFonts w:cs="Times New Roman"/>
          <w:iCs/>
        </w:rPr>
        <w:t>9</w:t>
      </w:r>
      <w:r w:rsidRPr="00136956">
        <w:rPr>
          <w:rFonts w:cs="Times New Roman"/>
        </w:rPr>
        <w:t>; a</w:t>
      </w:r>
      <w:r w:rsidRPr="00136956">
        <w:rPr>
          <w:rFonts w:cs="Times New Roman"/>
          <w:iCs/>
        </w:rPr>
        <w:t>ffidavit of Pierre Perron</w:t>
      </w:r>
      <w:r w:rsidRPr="00136956">
        <w:rPr>
          <w:rFonts w:cs="Times New Roman"/>
        </w:rPr>
        <w:t xml:space="preserve"> (Assistant Commissioner of the RCMP and Director General of the CFP), April</w:t>
      </w:r>
      <w:r>
        <w:rPr>
          <w:rFonts w:cs="Times New Roman"/>
        </w:rPr>
        <w:t xml:space="preserve"> </w:t>
      </w:r>
      <w:r w:rsidRPr="00136956">
        <w:rPr>
          <w:rFonts w:cs="Times New Roman"/>
        </w:rPr>
        <w:t>5, 2012, joint record (“J.R.”), vol.</w:t>
      </w:r>
      <w:r>
        <w:rPr>
          <w:rFonts w:cs="Times New Roman"/>
        </w:rPr>
        <w:t xml:space="preserve"> </w:t>
      </w:r>
      <w:r w:rsidRPr="00136956">
        <w:rPr>
          <w:rFonts w:cs="Times New Roman"/>
        </w:rPr>
        <w:t>3, at para.</w:t>
      </w:r>
      <w:r>
        <w:rPr>
          <w:rFonts w:cs="Times New Roman"/>
        </w:rPr>
        <w:t xml:space="preserve"> </w:t>
      </w:r>
      <w:r w:rsidRPr="00136956">
        <w:rPr>
          <w:rFonts w:cs="Times New Roman"/>
        </w:rPr>
        <w:t xml:space="preserve">10).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Under the </w:t>
      </w:r>
      <w:r w:rsidRPr="00136956">
        <w:rPr>
          <w:rFonts w:cs="Times New Roman"/>
          <w:i/>
        </w:rPr>
        <w:t>FA</w:t>
      </w:r>
      <w:r w:rsidRPr="00136956">
        <w:rPr>
          <w:rFonts w:cs="Times New Roman"/>
        </w:rPr>
        <w:t>, the Registrar is responsible for issuing a registration certificate for each firearm: s.</w:t>
      </w:r>
      <w:r>
        <w:rPr>
          <w:rFonts w:cs="Times New Roman"/>
        </w:rPr>
        <w:t xml:space="preserve"> </w:t>
      </w:r>
      <w:r w:rsidRPr="00136956">
        <w:rPr>
          <w:rFonts w:cs="Times New Roman"/>
        </w:rPr>
        <w:t xml:space="preserve">60. The CFOs, for their part, are responsible for issuing possession licences as well as authorizations to carry and authorizations to transport </w:t>
      </w:r>
      <w:r w:rsidRPr="00136956">
        <w:rPr>
          <w:rFonts w:cs="Times New Roman"/>
        </w:rPr>
        <w:lastRenderedPageBreak/>
        <w:t>for firearms belonging to individuals or businesses in their respective provinces: ss.</w:t>
      </w:r>
      <w:r>
        <w:rPr>
          <w:rFonts w:cs="Times New Roman"/>
        </w:rPr>
        <w:t xml:space="preserve"> </w:t>
      </w:r>
      <w:r w:rsidRPr="00136956">
        <w:rPr>
          <w:rFonts w:cs="Times New Roman"/>
        </w:rPr>
        <w:t xml:space="preserve">56 and 57 </w:t>
      </w:r>
      <w:r w:rsidRPr="00136956">
        <w:rPr>
          <w:rFonts w:cs="Times New Roman"/>
          <w:i/>
        </w:rPr>
        <w:t>FA</w:t>
      </w:r>
      <w:r w:rsidRPr="00136956">
        <w:rPr>
          <w:rFonts w:cs="Times New Roman"/>
        </w:rPr>
        <w:t xml:space="preserve">. The CFR contains, </w:t>
      </w:r>
      <w:r w:rsidRPr="00136956">
        <w:rPr>
          <w:rFonts w:cs="Times New Roman"/>
          <w:i/>
        </w:rPr>
        <w:t>inter alia</w:t>
      </w:r>
      <w:r w:rsidRPr="00136956">
        <w:rPr>
          <w:rFonts w:cs="Times New Roman"/>
        </w:rPr>
        <w:t>, information on registration certificates, and the records of the CFOs contain information on licences and authorizations to carry. Section</w:t>
      </w:r>
      <w:r>
        <w:rPr>
          <w:rFonts w:cs="Times New Roman"/>
        </w:rPr>
        <w:t xml:space="preserve"> </w:t>
      </w:r>
      <w:r w:rsidRPr="00136956">
        <w:rPr>
          <w:rFonts w:cs="Times New Roman"/>
        </w:rPr>
        <w:t xml:space="preserve">90 of the </w:t>
      </w:r>
      <w:r w:rsidRPr="00136956">
        <w:rPr>
          <w:rFonts w:cs="Times New Roman"/>
          <w:i/>
        </w:rPr>
        <w:t>FA</w:t>
      </w:r>
      <w:r w:rsidRPr="00136956">
        <w:rPr>
          <w:rFonts w:cs="Times New Roman"/>
        </w:rPr>
        <w:t xml:space="preserve"> requires that the Registrar and the CFOs have access to one another’s registries.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The Canadian Firearms Information System (“CFIS”) (formerly known as the Canadian Firearms Registration System (“CFRS”)) allows for the pooling of information in the CFR maintained by the Registrar and the registries kept by the CFOs. The CFIS is now administered by the RCMP, and it provides access to all information that must be kept pursuant to the </w:t>
      </w:r>
      <w:r w:rsidRPr="00136956">
        <w:rPr>
          <w:rFonts w:cs="Times New Roman"/>
          <w:i/>
        </w:rPr>
        <w:t>FA</w:t>
      </w:r>
      <w:r w:rsidRPr="00136956">
        <w:rPr>
          <w:rFonts w:cs="Times New Roman"/>
        </w:rPr>
        <w:t xml:space="preserve">. However, only the Registrar can modify information recorded in the CFR, and only the CFO can modify records he or she maintains: </w:t>
      </w:r>
      <w:r w:rsidRPr="00136956">
        <w:rPr>
          <w:rFonts w:cs="Times New Roman"/>
          <w:i/>
        </w:rPr>
        <w:t>Firearms Records Regulations</w:t>
      </w:r>
      <w:r w:rsidRPr="00136956">
        <w:rPr>
          <w:rFonts w:cs="Times New Roman"/>
        </w:rPr>
        <w:t>, SOR/98</w:t>
      </w:r>
      <w:r>
        <w:rPr>
          <w:rFonts w:cs="Times New Roman"/>
        </w:rPr>
        <w:t>-</w:t>
      </w:r>
      <w:r w:rsidRPr="00136956">
        <w:rPr>
          <w:rFonts w:cs="Times New Roman"/>
        </w:rPr>
        <w:t>213, s.</w:t>
      </w:r>
      <w:r>
        <w:rPr>
          <w:rFonts w:cs="Times New Roman"/>
        </w:rPr>
        <w:t xml:space="preserve"> </w:t>
      </w:r>
      <w:r w:rsidRPr="00136956">
        <w:rPr>
          <w:rFonts w:cs="Times New Roman"/>
        </w:rPr>
        <w:t xml:space="preserve">7(1) and (2).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The keeping of the CFR and of the CFOs’ records is one aspect of the broader framework of the Canadian Firearms Program (“CFP”). The CFP has multiple components, including firearms regulation, training and support for police forces and those who work in the criminal justice system, education for firearms owners, and public awareness: </w:t>
      </w:r>
      <w:r w:rsidRPr="00136956">
        <w:rPr>
          <w:rFonts w:cs="Times New Roman"/>
          <w:i/>
        </w:rPr>
        <w:t>CFP</w:t>
      </w:r>
      <w:r w:rsidRPr="00136956">
        <w:rPr>
          <w:rFonts w:cs="Times New Roman"/>
        </w:rPr>
        <w:t xml:space="preserve"> </w:t>
      </w:r>
      <w:r w:rsidRPr="00136956">
        <w:rPr>
          <w:rFonts w:cs="Times New Roman"/>
          <w:i/>
          <w:iCs/>
        </w:rPr>
        <w:t>Evaluation</w:t>
      </w:r>
      <w:r w:rsidRPr="00136956">
        <w:rPr>
          <w:rFonts w:cs="Times New Roman"/>
          <w:iCs/>
        </w:rPr>
        <w:t>,</w:t>
      </w:r>
      <w:r w:rsidRPr="00136956">
        <w:rPr>
          <w:rFonts w:cs="Times New Roman"/>
          <w:i/>
          <w:iCs/>
        </w:rPr>
        <w:t xml:space="preserve"> </w:t>
      </w:r>
      <w:r w:rsidRPr="00136956">
        <w:rPr>
          <w:rFonts w:cs="Times New Roman"/>
        </w:rPr>
        <w:t>at pp.</w:t>
      </w:r>
      <w:r>
        <w:rPr>
          <w:rFonts w:cs="Times New Roman"/>
        </w:rPr>
        <w:t xml:space="preserve"> </w:t>
      </w:r>
      <w:r w:rsidRPr="00136956">
        <w:rPr>
          <w:rFonts w:cs="Times New Roman"/>
        </w:rPr>
        <w:t>7</w:t>
      </w:r>
      <w:r>
        <w:rPr>
          <w:rFonts w:cs="Times New Roman"/>
        </w:rPr>
        <w:t>-</w:t>
      </w:r>
      <w:r w:rsidRPr="00136956">
        <w:rPr>
          <w:rFonts w:cs="Times New Roman"/>
        </w:rPr>
        <w:t>8. Several aspects of the CFP, such as the mandatory firearms safety course for owners, were developed with provincial co</w:t>
      </w:r>
      <w:r>
        <w:rPr>
          <w:rFonts w:cs="Times New Roman"/>
        </w:rPr>
        <w:t>-</w:t>
      </w:r>
      <w:r w:rsidRPr="00136956">
        <w:rPr>
          <w:rFonts w:cs="Times New Roman"/>
        </w:rPr>
        <w:t>operation and support: a</w:t>
      </w:r>
      <w:r w:rsidRPr="00136956">
        <w:rPr>
          <w:rFonts w:cs="Times New Roman"/>
          <w:iCs/>
        </w:rPr>
        <w:t>ffidavit of Pierre Perron</w:t>
      </w:r>
      <w:r w:rsidRPr="00136956">
        <w:rPr>
          <w:rFonts w:cs="Times New Roman"/>
        </w:rPr>
        <w:t>, at para.</w:t>
      </w:r>
      <w:r>
        <w:rPr>
          <w:rFonts w:cs="Times New Roman"/>
        </w:rPr>
        <w:t xml:space="preserve"> </w:t>
      </w:r>
      <w:r w:rsidRPr="00136956">
        <w:rPr>
          <w:rFonts w:cs="Times New Roman"/>
        </w:rPr>
        <w:t>7 and Exhibit</w:t>
      </w:r>
      <w:r>
        <w:rPr>
          <w:rFonts w:cs="Times New Roman"/>
        </w:rPr>
        <w:t xml:space="preserve"> </w:t>
      </w:r>
      <w:r w:rsidRPr="00136956">
        <w:rPr>
          <w:rFonts w:cs="Times New Roman"/>
        </w:rPr>
        <w:t xml:space="preserve">A. </w:t>
      </w:r>
    </w:p>
    <w:p w:rsidR="009278C8" w:rsidRPr="00136956" w:rsidRDefault="009278C8" w:rsidP="009278C8">
      <w:pPr>
        <w:pStyle w:val="ParaNoNdepar-AltN"/>
        <w:rPr>
          <w:rFonts w:cs="Times New Roman"/>
        </w:rPr>
      </w:pPr>
      <w:r w:rsidRPr="00136956">
        <w:rPr>
          <w:rFonts w:cs="Times New Roman"/>
        </w:rPr>
        <w:lastRenderedPageBreak/>
        <w:t xml:space="preserve">In 2006, a new federal government came to power. At the outset of its mandate, it announced an amnesty under which owners of long guns would not be liable to sanctions for having failed to register their weapons or to renew their licences to possess firearms: </w:t>
      </w:r>
      <w:r w:rsidRPr="00136956">
        <w:rPr>
          <w:rStyle w:val="Emphasis"/>
          <w:rFonts w:cs="Times New Roman"/>
          <w:szCs w:val="24"/>
        </w:rPr>
        <w:t>Order Declaring an Amnesty Period (2006)</w:t>
      </w:r>
      <w:r w:rsidRPr="00136956">
        <w:rPr>
          <w:rFonts w:cs="Times New Roman"/>
          <w:szCs w:val="24"/>
        </w:rPr>
        <w:t>, SOR/2006</w:t>
      </w:r>
      <w:r>
        <w:rPr>
          <w:rFonts w:cs="Times New Roman"/>
          <w:szCs w:val="24"/>
        </w:rPr>
        <w:t>-</w:t>
      </w:r>
      <w:r w:rsidRPr="00136956">
        <w:rPr>
          <w:rFonts w:cs="Times New Roman"/>
          <w:szCs w:val="24"/>
        </w:rPr>
        <w:t>95</w:t>
      </w:r>
      <w:r w:rsidRPr="00136956">
        <w:rPr>
          <w:rFonts w:cs="Times New Roman"/>
        </w:rPr>
        <w:t>. The amnesty period was extended year after year, effectively decriminalizing the failure to obtain a licence and to register long guns:</w:t>
      </w:r>
      <w:r w:rsidRPr="00136956">
        <w:rPr>
          <w:rFonts w:cs="Times New Roman"/>
          <w:szCs w:val="24"/>
        </w:rPr>
        <w:t xml:space="preserve"> SOR/2007</w:t>
      </w:r>
      <w:r>
        <w:rPr>
          <w:rFonts w:cs="Times New Roman"/>
          <w:szCs w:val="24"/>
        </w:rPr>
        <w:t>-</w:t>
      </w:r>
      <w:r w:rsidRPr="00136956">
        <w:rPr>
          <w:rFonts w:cs="Times New Roman"/>
          <w:szCs w:val="24"/>
        </w:rPr>
        <w:t>101, SOR/2008</w:t>
      </w:r>
      <w:r>
        <w:rPr>
          <w:rFonts w:cs="Times New Roman"/>
          <w:szCs w:val="24"/>
        </w:rPr>
        <w:t>-</w:t>
      </w:r>
      <w:r w:rsidRPr="00136956">
        <w:rPr>
          <w:rFonts w:cs="Times New Roman"/>
          <w:szCs w:val="24"/>
        </w:rPr>
        <w:t>147, SOR/2009</w:t>
      </w:r>
      <w:r>
        <w:rPr>
          <w:rFonts w:cs="Times New Roman"/>
          <w:szCs w:val="24"/>
        </w:rPr>
        <w:t>-</w:t>
      </w:r>
      <w:r w:rsidRPr="00136956">
        <w:rPr>
          <w:rFonts w:cs="Times New Roman"/>
          <w:szCs w:val="24"/>
        </w:rPr>
        <w:t>139, SOR/2010</w:t>
      </w:r>
      <w:r>
        <w:rPr>
          <w:rFonts w:cs="Times New Roman"/>
          <w:szCs w:val="24"/>
        </w:rPr>
        <w:t>-</w:t>
      </w:r>
      <w:r w:rsidRPr="00136956">
        <w:rPr>
          <w:rFonts w:cs="Times New Roman"/>
          <w:szCs w:val="24"/>
        </w:rPr>
        <w:t>104, SOR/2011</w:t>
      </w:r>
      <w:r>
        <w:rPr>
          <w:rFonts w:cs="Times New Roman"/>
          <w:szCs w:val="24"/>
        </w:rPr>
        <w:t>-</w:t>
      </w:r>
      <w:r w:rsidRPr="00136956">
        <w:rPr>
          <w:rFonts w:cs="Times New Roman"/>
          <w:szCs w:val="24"/>
        </w:rPr>
        <w:t>102, SOR/2013</w:t>
      </w:r>
      <w:r>
        <w:rPr>
          <w:rFonts w:cs="Times New Roman"/>
          <w:szCs w:val="24"/>
        </w:rPr>
        <w:t>-</w:t>
      </w:r>
      <w:r w:rsidRPr="00136956">
        <w:rPr>
          <w:rFonts w:cs="Times New Roman"/>
          <w:szCs w:val="24"/>
        </w:rPr>
        <w:t>96 and SOR/2014</w:t>
      </w:r>
      <w:r>
        <w:rPr>
          <w:rFonts w:cs="Times New Roman"/>
          <w:szCs w:val="24"/>
        </w:rPr>
        <w:t>-</w:t>
      </w:r>
      <w:r w:rsidRPr="00136956">
        <w:rPr>
          <w:rFonts w:cs="Times New Roman"/>
          <w:szCs w:val="24"/>
        </w:rPr>
        <w:t>123.</w:t>
      </w:r>
      <w:r w:rsidRPr="00136956">
        <w:rPr>
          <w:rFonts w:cs="Times New Roman"/>
        </w:rPr>
        <w:t xml:space="preserve"> Nonetheless, the RCMP and its partners continued to administer the CFP, including its long</w:t>
      </w:r>
      <w:r>
        <w:rPr>
          <w:rFonts w:cs="Times New Roman"/>
        </w:rPr>
        <w:t>-</w:t>
      </w:r>
      <w:r w:rsidRPr="00136956">
        <w:rPr>
          <w:rFonts w:cs="Times New Roman"/>
        </w:rPr>
        <w:t xml:space="preserve">gun component. </w:t>
      </w:r>
    </w:p>
    <w:p w:rsidR="009278C8" w:rsidRPr="00136956" w:rsidRDefault="009278C8" w:rsidP="009278C8">
      <w:pPr>
        <w:pStyle w:val="ParaNoNdepar-AltN"/>
        <w:tabs>
          <w:tab w:val="clear" w:pos="1166"/>
          <w:tab w:val="num" w:pos="1152"/>
        </w:tabs>
        <w:rPr>
          <w:rFonts w:cs="Times New Roman"/>
        </w:rPr>
      </w:pPr>
      <w:r w:rsidRPr="00136956">
        <w:rPr>
          <w:rFonts w:cs="Times New Roman"/>
        </w:rPr>
        <w:t>On October 25, 2011, after several bills had died on the Order Paper and following a spirited public debate, Bill</w:t>
      </w:r>
      <w:r>
        <w:rPr>
          <w:rFonts w:cs="Times New Roman"/>
        </w:rPr>
        <w:t xml:space="preserve"> </w:t>
      </w:r>
      <w:r w:rsidRPr="00136956">
        <w:rPr>
          <w:rFonts w:cs="Times New Roman"/>
        </w:rPr>
        <w:t>C</w:t>
      </w:r>
      <w:r>
        <w:rPr>
          <w:rFonts w:cs="Times New Roman"/>
        </w:rPr>
        <w:t>-</w:t>
      </w:r>
      <w:r w:rsidRPr="00136956">
        <w:rPr>
          <w:rFonts w:cs="Times New Roman"/>
        </w:rPr>
        <w:t xml:space="preserve">19 was tabled in the House of Commons: </w:t>
      </w:r>
      <w:r w:rsidRPr="00136956">
        <w:rPr>
          <w:rFonts w:cs="Times New Roman"/>
          <w:i/>
        </w:rPr>
        <w:t>House of Commons Debates</w:t>
      </w:r>
      <w:r w:rsidRPr="00136956">
        <w:rPr>
          <w:rFonts w:cs="Times New Roman"/>
        </w:rPr>
        <w:t>, vol.</w:t>
      </w:r>
      <w:r>
        <w:rPr>
          <w:rFonts w:cs="Times New Roman"/>
        </w:rPr>
        <w:t xml:space="preserve"> </w:t>
      </w:r>
      <w:r w:rsidRPr="00136956">
        <w:rPr>
          <w:rFonts w:cs="Times New Roman"/>
        </w:rPr>
        <w:t>146, No.</w:t>
      </w:r>
      <w:r>
        <w:rPr>
          <w:rFonts w:cs="Times New Roman"/>
        </w:rPr>
        <w:t xml:space="preserve"> </w:t>
      </w:r>
      <w:r w:rsidRPr="00136956">
        <w:rPr>
          <w:rFonts w:cs="Times New Roman"/>
        </w:rPr>
        <w:t>036, 1st</w:t>
      </w:r>
      <w:r>
        <w:rPr>
          <w:rFonts w:cs="Times New Roman"/>
        </w:rPr>
        <w:t xml:space="preserve"> </w:t>
      </w:r>
      <w:r w:rsidRPr="00136956">
        <w:rPr>
          <w:rFonts w:cs="Times New Roman"/>
        </w:rPr>
        <w:t>Sess., 41st Parl., at p.</w:t>
      </w:r>
      <w:r>
        <w:rPr>
          <w:rFonts w:cs="Times New Roman"/>
        </w:rPr>
        <w:t xml:space="preserve"> </w:t>
      </w:r>
      <w:r w:rsidRPr="00136956">
        <w:rPr>
          <w:rFonts w:cs="Times New Roman"/>
        </w:rPr>
        <w:t>2437. Its purpose was to abolish the requirement to register long guns and to ensure the destruction of all data related to the registration of such guns. It was only the portion of the CFR concerning long guns that was affected by this bill and is at issue in this appeal. Clause</w:t>
      </w:r>
      <w:r>
        <w:rPr>
          <w:rFonts w:cs="Times New Roman"/>
        </w:rPr>
        <w:t xml:space="preserve"> </w:t>
      </w:r>
      <w:r w:rsidRPr="00136956">
        <w:rPr>
          <w:rFonts w:cs="Times New Roman"/>
        </w:rPr>
        <w:t>29 of Bill C</w:t>
      </w:r>
      <w:r>
        <w:rPr>
          <w:rFonts w:cs="Times New Roman"/>
        </w:rPr>
        <w:t>-</w:t>
      </w:r>
      <w:r w:rsidRPr="00136956">
        <w:rPr>
          <w:rFonts w:cs="Times New Roman"/>
        </w:rPr>
        <w:t>19, which would become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read as follows: </w:t>
      </w:r>
    </w:p>
    <w:p w:rsidR="009278C8" w:rsidRPr="00136956" w:rsidRDefault="009278C8" w:rsidP="009278C8">
      <w:pPr>
        <w:pStyle w:val="Citation-AltC"/>
        <w:spacing w:after="240"/>
        <w:ind w:hanging="1166"/>
        <w:contextualSpacing w:val="0"/>
      </w:pPr>
      <w:r w:rsidRPr="00136956">
        <w:tab/>
      </w:r>
      <w:r w:rsidRPr="00136956">
        <w:tab/>
      </w:r>
      <w:r w:rsidRPr="00136956">
        <w:rPr>
          <w:b/>
          <w:lang w:val="en-US"/>
        </w:rPr>
        <w:t>29.</w:t>
      </w:r>
      <w:r>
        <w:rPr>
          <w:b/>
          <w:lang w:val="en-US"/>
        </w:rPr>
        <w:t xml:space="preserve"> </w:t>
      </w:r>
      <w:r w:rsidRPr="00136956">
        <w:rPr>
          <w:lang w:val="en-US"/>
        </w:rPr>
        <w:t>(1)</w:t>
      </w:r>
      <w:r>
        <w:rPr>
          <w:lang w:val="en-US"/>
        </w:rPr>
        <w:t xml:space="preserve">  </w:t>
      </w:r>
      <w:r w:rsidRPr="00136956">
        <w:t xml:space="preserve">The Commissioner of Firearms shall ensure the destruction as soon as feasible of all records in the Canadian Firearms Registry related to the registration of firearms that are neither prohibited firearms nor restricted firearms and all copies of those records under the Commissioner’s control. </w:t>
      </w:r>
    </w:p>
    <w:p w:rsidR="009278C8" w:rsidRPr="00136956" w:rsidRDefault="009278C8" w:rsidP="009278C8">
      <w:pPr>
        <w:pStyle w:val="Citation-AltC"/>
        <w:spacing w:after="240"/>
        <w:ind w:hanging="1166"/>
        <w:contextualSpacing w:val="0"/>
      </w:pPr>
      <w:r w:rsidRPr="00136956">
        <w:tab/>
      </w:r>
      <w:r w:rsidRPr="00136956">
        <w:tab/>
        <w:t xml:space="preserve">(2) Each chief firearms officer shall ensure the destruction as soon as feasible of all records under their control related to the registration of </w:t>
      </w:r>
      <w:r w:rsidRPr="00136956">
        <w:lastRenderedPageBreak/>
        <w:t>firearms that are neither prohibited firearms nor restricted firearms and all copies of those records under their control.</w:t>
      </w:r>
      <w:r w:rsidRPr="00136956">
        <w:rPr>
          <w:u w:val="single"/>
        </w:rPr>
        <w:t xml:space="preserve"> </w:t>
      </w:r>
    </w:p>
    <w:p w:rsidR="009278C8" w:rsidRPr="00136956" w:rsidRDefault="009278C8" w:rsidP="009278C8">
      <w:pPr>
        <w:pStyle w:val="Citation-AltC"/>
        <w:ind w:hanging="1166"/>
        <w:contextualSpacing w:val="0"/>
      </w:pPr>
      <w:r w:rsidRPr="00136956">
        <w:tab/>
      </w:r>
      <w:r w:rsidRPr="00136956">
        <w:tab/>
        <w:t>(3) Sections</w:t>
      </w:r>
      <w:r>
        <w:t xml:space="preserve"> </w:t>
      </w:r>
      <w:r w:rsidRPr="00136956">
        <w:t xml:space="preserve">12 and 13 of the </w:t>
      </w:r>
      <w:r w:rsidRPr="00136956">
        <w:rPr>
          <w:i/>
        </w:rPr>
        <w:t>Library and Archives of Canada Act</w:t>
      </w:r>
      <w:r w:rsidRPr="00136956">
        <w:t xml:space="preserve"> and subsections</w:t>
      </w:r>
      <w:r>
        <w:t xml:space="preserve"> </w:t>
      </w:r>
      <w:r w:rsidRPr="00136956">
        <w:t xml:space="preserve">6(1) and (3) of the </w:t>
      </w:r>
      <w:r w:rsidRPr="00136956">
        <w:rPr>
          <w:i/>
        </w:rPr>
        <w:t>Privacy Act</w:t>
      </w:r>
      <w:r w:rsidRPr="00136956">
        <w:t xml:space="preserve"> do not apply with respect to the destruction of the records and copies referred to in subsections (1) and (2).</w:t>
      </w:r>
    </w:p>
    <w:p w:rsidR="009278C8" w:rsidRPr="00136956" w:rsidRDefault="009278C8" w:rsidP="009278C8">
      <w:pPr>
        <w:pStyle w:val="ParaNoNdepar-AltN"/>
        <w:tabs>
          <w:tab w:val="clear" w:pos="1166"/>
          <w:tab w:val="num" w:pos="1152"/>
        </w:tabs>
        <w:rPr>
          <w:rFonts w:cs="Times New Roman"/>
        </w:rPr>
      </w:pPr>
      <w:r w:rsidRPr="00136956">
        <w:rPr>
          <w:rFonts w:cs="Times New Roman"/>
        </w:rPr>
        <w:t>The Quebec government, with the support of its police officers and much of its population, had made its opposition to the federal government’s attempts to abolish the registration of long guns known. Between 2006 and 2011, the National Assembly had adopted at least six motions denouncing the various federal government bills, calling on members of Parliament to vote against these measures and demanding that the CFR be maintained. On November</w:t>
      </w:r>
      <w:r>
        <w:rPr>
          <w:rFonts w:cs="Times New Roman"/>
        </w:rPr>
        <w:t xml:space="preserve"> </w:t>
      </w:r>
      <w:r w:rsidRPr="00136956">
        <w:rPr>
          <w:rFonts w:cs="Times New Roman"/>
        </w:rPr>
        <w:t xml:space="preserve">2, 2011, it unanimously adopted a new motion, this time demanding that Quebec’s CFO </w:t>
      </w:r>
      <w:r w:rsidRPr="00136956">
        <w:rPr>
          <w:rFonts w:cs="Times New Roman"/>
          <w:smallCaps/>
        </w:rPr>
        <w:t>“</w:t>
      </w:r>
      <w:r w:rsidRPr="00136956">
        <w:rPr>
          <w:rFonts w:cs="Times New Roman"/>
        </w:rPr>
        <w:t xml:space="preserve">take all of the necessary measures to preserve the completeness of data from Québec entered in the Firearms Registry”: </w:t>
      </w:r>
      <w:r w:rsidRPr="00136956">
        <w:rPr>
          <w:rFonts w:cs="Times New Roman"/>
          <w:i/>
          <w:iCs/>
        </w:rPr>
        <w:t>Votes and Proceedings</w:t>
      </w:r>
      <w:r w:rsidRPr="00136956">
        <w:rPr>
          <w:rFonts w:cs="Times New Roman"/>
          <w:iCs/>
        </w:rPr>
        <w:t>, No.</w:t>
      </w:r>
      <w:r>
        <w:rPr>
          <w:rFonts w:cs="Times New Roman"/>
          <w:iCs/>
        </w:rPr>
        <w:t xml:space="preserve"> </w:t>
      </w:r>
      <w:r w:rsidRPr="00136956">
        <w:rPr>
          <w:rFonts w:cs="Times New Roman"/>
          <w:iCs/>
        </w:rPr>
        <w:t>57, 2nd</w:t>
      </w:r>
      <w:r>
        <w:rPr>
          <w:rFonts w:cs="Times New Roman"/>
          <w:iCs/>
        </w:rPr>
        <w:t xml:space="preserve"> </w:t>
      </w:r>
      <w:r w:rsidRPr="00136956">
        <w:rPr>
          <w:rFonts w:cs="Times New Roman"/>
          <w:iCs/>
        </w:rPr>
        <w:t>Sess., 39th Leg., November</w:t>
      </w:r>
      <w:r>
        <w:rPr>
          <w:rFonts w:cs="Times New Roman"/>
          <w:iCs/>
        </w:rPr>
        <w:t xml:space="preserve"> </w:t>
      </w:r>
      <w:r w:rsidRPr="00136956">
        <w:rPr>
          <w:rFonts w:cs="Times New Roman"/>
          <w:iCs/>
        </w:rPr>
        <w:t>2, 2011, at pp.</w:t>
      </w:r>
      <w:r>
        <w:rPr>
          <w:rFonts w:cs="Times New Roman"/>
          <w:iCs/>
        </w:rPr>
        <w:t xml:space="preserve"> </w:t>
      </w:r>
      <w:r w:rsidRPr="00136956">
        <w:rPr>
          <w:rFonts w:cs="Times New Roman"/>
          <w:iCs/>
        </w:rPr>
        <w:t>693</w:t>
      </w:r>
      <w:r>
        <w:rPr>
          <w:rFonts w:cs="Times New Roman"/>
          <w:iCs/>
        </w:rPr>
        <w:t>-</w:t>
      </w:r>
      <w:r w:rsidRPr="00136956">
        <w:rPr>
          <w:rFonts w:cs="Times New Roman"/>
          <w:iCs/>
        </w:rPr>
        <w:t>94</w:t>
      </w:r>
      <w:r w:rsidRPr="00136956">
        <w:rPr>
          <w:rFonts w:cs="Times New Roman"/>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Two weeks later, Quebec’s Minister of Public Security appeared before the House of Commons Standing Committee on Public Safety and National Security to ask that the CFR be maintained or, failing that, that Bill</w:t>
      </w:r>
      <w:r>
        <w:rPr>
          <w:rFonts w:cs="Times New Roman"/>
        </w:rPr>
        <w:t xml:space="preserve"> </w:t>
      </w:r>
      <w:r w:rsidRPr="00136956">
        <w:rPr>
          <w:rFonts w:cs="Times New Roman"/>
        </w:rPr>
        <w:t>C</w:t>
      </w:r>
      <w:r>
        <w:rPr>
          <w:rFonts w:cs="Times New Roman"/>
        </w:rPr>
        <w:t>-</w:t>
      </w:r>
      <w:r w:rsidRPr="00136956">
        <w:rPr>
          <w:rFonts w:cs="Times New Roman"/>
        </w:rPr>
        <w:t>19 be amended by removing the provision on the destruction of the data, namely clause</w:t>
      </w:r>
      <w:r>
        <w:rPr>
          <w:rFonts w:cs="Times New Roman"/>
        </w:rPr>
        <w:t xml:space="preserve"> </w:t>
      </w:r>
      <w:r w:rsidRPr="00136956">
        <w:rPr>
          <w:rFonts w:cs="Times New Roman"/>
        </w:rPr>
        <w:t>29:</w:t>
      </w:r>
      <w:r w:rsidRPr="00136956">
        <w:rPr>
          <w:rFonts w:cs="Times New Roman"/>
          <w:i/>
          <w:iCs/>
        </w:rPr>
        <w:t xml:space="preserve"> </w:t>
      </w:r>
      <w:r w:rsidRPr="00136956">
        <w:rPr>
          <w:rFonts w:cs="Times New Roman"/>
          <w:iCs/>
        </w:rPr>
        <w:t xml:space="preserve">House of Commons, </w:t>
      </w:r>
      <w:r w:rsidRPr="00136956">
        <w:rPr>
          <w:rFonts w:cs="Times New Roman"/>
          <w:i/>
          <w:iCs/>
        </w:rPr>
        <w:t>Evidence of the Standing Committee on Public Safety and National Security</w:t>
      </w:r>
      <w:r w:rsidRPr="00136956">
        <w:rPr>
          <w:rFonts w:cs="Times New Roman"/>
          <w:iCs/>
        </w:rPr>
        <w:t>, No.</w:t>
      </w:r>
      <w:r>
        <w:rPr>
          <w:rFonts w:cs="Times New Roman"/>
          <w:iCs/>
        </w:rPr>
        <w:t xml:space="preserve"> </w:t>
      </w:r>
      <w:r w:rsidRPr="00136956">
        <w:rPr>
          <w:rFonts w:cs="Times New Roman"/>
          <w:iCs/>
        </w:rPr>
        <w:t>012, 1st</w:t>
      </w:r>
      <w:r>
        <w:rPr>
          <w:rFonts w:cs="Times New Roman"/>
          <w:iCs/>
        </w:rPr>
        <w:t xml:space="preserve"> </w:t>
      </w:r>
      <w:r w:rsidRPr="00136956">
        <w:rPr>
          <w:rFonts w:cs="Times New Roman"/>
          <w:iCs/>
        </w:rPr>
        <w:t>Sess., 41st Parl., November</w:t>
      </w:r>
      <w:r>
        <w:rPr>
          <w:rFonts w:cs="Times New Roman"/>
          <w:iCs/>
        </w:rPr>
        <w:t xml:space="preserve"> </w:t>
      </w:r>
      <w:r w:rsidRPr="00136956">
        <w:rPr>
          <w:rFonts w:cs="Times New Roman"/>
          <w:iCs/>
        </w:rPr>
        <w:t>17, 2011, at pp.</w:t>
      </w:r>
      <w:r>
        <w:rPr>
          <w:rFonts w:cs="Times New Roman"/>
          <w:iCs/>
        </w:rPr>
        <w:t xml:space="preserve"> </w:t>
      </w:r>
      <w:r w:rsidRPr="00136956">
        <w:rPr>
          <w:rFonts w:cs="Times New Roman"/>
          <w:iCs/>
        </w:rPr>
        <w:t>1</w:t>
      </w:r>
      <w:r>
        <w:rPr>
          <w:rFonts w:cs="Times New Roman"/>
          <w:iCs/>
        </w:rPr>
        <w:t>-</w:t>
      </w:r>
      <w:r w:rsidRPr="00136956">
        <w:rPr>
          <w:rFonts w:cs="Times New Roman"/>
          <w:iCs/>
        </w:rPr>
        <w:t xml:space="preserve">2. Quebec’s minister also wrote to his federal counterpart to ask him to agree on terms for transferring CFIS data concerning Quebec citizens. He noted that this would be </w:t>
      </w:r>
      <w:r w:rsidRPr="00136956">
        <w:rPr>
          <w:rFonts w:cs="Times New Roman"/>
          <w:iCs/>
        </w:rPr>
        <w:lastRenderedPageBreak/>
        <w:t>[</w:t>
      </w:r>
      <w:r w:rsidRPr="00136956">
        <w:rPr>
          <w:rFonts w:cs="Times New Roman"/>
          <w:iCs/>
          <w:smallCaps/>
        </w:rPr>
        <w:t>translation] “</w:t>
      </w:r>
      <w:r w:rsidRPr="00136956">
        <w:rPr>
          <w:rFonts w:cs="Times New Roman"/>
          <w:iCs/>
        </w:rPr>
        <w:t>an excellent opportunity for the federal government to deal with this matter in a spirit of co</w:t>
      </w:r>
      <w:r>
        <w:rPr>
          <w:rFonts w:cs="Times New Roman"/>
          <w:iCs/>
        </w:rPr>
        <w:t>-</w:t>
      </w:r>
      <w:r w:rsidRPr="00136956">
        <w:rPr>
          <w:rFonts w:cs="Times New Roman"/>
          <w:iCs/>
        </w:rPr>
        <w:t>operative federalism that would be respectful of, rather than frustrate, Quebec’s collective goals”: letter dated December</w:t>
      </w:r>
      <w:r>
        <w:rPr>
          <w:rFonts w:cs="Times New Roman"/>
          <w:iCs/>
        </w:rPr>
        <w:t xml:space="preserve"> </w:t>
      </w:r>
      <w:r w:rsidRPr="00136956">
        <w:rPr>
          <w:rFonts w:cs="Times New Roman"/>
          <w:iCs/>
        </w:rPr>
        <w:t>2, 2011,</w:t>
      </w:r>
      <w:r w:rsidRPr="00136956">
        <w:rPr>
          <w:rFonts w:cs="Times New Roman"/>
          <w:i/>
          <w:iCs/>
        </w:rPr>
        <w:t xml:space="preserve"> </w:t>
      </w:r>
      <w:r w:rsidRPr="00136956">
        <w:rPr>
          <w:rFonts w:cs="Times New Roman"/>
        </w:rPr>
        <w:t>J.R., vol.</w:t>
      </w:r>
      <w:r>
        <w:rPr>
          <w:rFonts w:cs="Times New Roman"/>
        </w:rPr>
        <w:t xml:space="preserve"> </w:t>
      </w:r>
      <w:r w:rsidRPr="00136956">
        <w:rPr>
          <w:rFonts w:cs="Times New Roman"/>
        </w:rPr>
        <w:t>10, at p.</w:t>
      </w:r>
      <w:r>
        <w:rPr>
          <w:rFonts w:cs="Times New Roman"/>
        </w:rPr>
        <w:t xml:space="preserve"> </w:t>
      </w:r>
      <w:r w:rsidRPr="00136956">
        <w:rPr>
          <w:rFonts w:cs="Times New Roman"/>
        </w:rPr>
        <w:t>161.</w:t>
      </w:r>
    </w:p>
    <w:p w:rsidR="009278C8" w:rsidRPr="00136956" w:rsidRDefault="009278C8" w:rsidP="009278C8">
      <w:pPr>
        <w:pStyle w:val="ParaNoNdepar-AltN"/>
        <w:tabs>
          <w:tab w:val="clear" w:pos="1166"/>
          <w:tab w:val="num" w:pos="1152"/>
        </w:tabs>
        <w:rPr>
          <w:rFonts w:cs="Times New Roman"/>
          <w:szCs w:val="20"/>
        </w:rPr>
      </w:pPr>
      <w:r w:rsidRPr="00136956">
        <w:rPr>
          <w:rFonts w:cs="Times New Roman"/>
        </w:rPr>
        <w:t>Finally, on December</w:t>
      </w:r>
      <w:r>
        <w:rPr>
          <w:rFonts w:cs="Times New Roman"/>
        </w:rPr>
        <w:t xml:space="preserve"> </w:t>
      </w:r>
      <w:r w:rsidRPr="00136956">
        <w:rPr>
          <w:rFonts w:cs="Times New Roman"/>
        </w:rPr>
        <w:t>6, 2011, the National Assembly voted to adopt another motion in which it asked the Quebec government “to seek legal recourse aiming to maintain the federal long gun registry and to ensure that its data is preserved, before the abolition of this registry causes the destruction of data when Bill</w:t>
      </w:r>
      <w:r>
        <w:rPr>
          <w:rFonts w:cs="Times New Roman"/>
        </w:rPr>
        <w:t xml:space="preserve"> </w:t>
      </w:r>
      <w:r w:rsidRPr="00136956">
        <w:rPr>
          <w:rFonts w:cs="Times New Roman"/>
        </w:rPr>
        <w:t>C</w:t>
      </w:r>
      <w:r>
        <w:rPr>
          <w:rFonts w:cs="Times New Roman"/>
        </w:rPr>
        <w:t>-</w:t>
      </w:r>
      <w:r w:rsidRPr="00136956">
        <w:rPr>
          <w:rFonts w:cs="Times New Roman"/>
        </w:rPr>
        <w:t>19 shall have been passed”</w:t>
      </w:r>
      <w:r w:rsidRPr="00136956">
        <w:rPr>
          <w:rFonts w:cs="Times New Roman"/>
          <w:sz w:val="20"/>
          <w:szCs w:val="20"/>
        </w:rPr>
        <w:t xml:space="preserve">: </w:t>
      </w:r>
      <w:r w:rsidRPr="00136956">
        <w:rPr>
          <w:rFonts w:cs="Times New Roman"/>
          <w:i/>
          <w:iCs/>
          <w:szCs w:val="24"/>
        </w:rPr>
        <w:t>Votes and Proceedings</w:t>
      </w:r>
      <w:r w:rsidRPr="00136956">
        <w:rPr>
          <w:rFonts w:cs="Times New Roman"/>
          <w:szCs w:val="24"/>
        </w:rPr>
        <w:t>, No.</w:t>
      </w:r>
      <w:r>
        <w:rPr>
          <w:rFonts w:cs="Times New Roman"/>
          <w:szCs w:val="24"/>
        </w:rPr>
        <w:t xml:space="preserve"> </w:t>
      </w:r>
      <w:r w:rsidRPr="00136956">
        <w:rPr>
          <w:rFonts w:cs="Times New Roman"/>
          <w:szCs w:val="24"/>
        </w:rPr>
        <w:t>72, 2nd</w:t>
      </w:r>
      <w:r>
        <w:rPr>
          <w:rFonts w:cs="Times New Roman"/>
          <w:szCs w:val="24"/>
        </w:rPr>
        <w:t xml:space="preserve"> </w:t>
      </w:r>
      <w:r w:rsidRPr="00136956">
        <w:rPr>
          <w:rFonts w:cs="Times New Roman"/>
          <w:szCs w:val="24"/>
        </w:rPr>
        <w:t>Sess., 39th</w:t>
      </w:r>
      <w:r>
        <w:rPr>
          <w:rFonts w:cs="Times New Roman"/>
          <w:szCs w:val="24"/>
        </w:rPr>
        <w:t xml:space="preserve"> </w:t>
      </w:r>
      <w:r w:rsidRPr="00136956">
        <w:rPr>
          <w:rFonts w:cs="Times New Roman"/>
          <w:szCs w:val="24"/>
        </w:rPr>
        <w:t>Leg., December</w:t>
      </w:r>
      <w:r>
        <w:rPr>
          <w:rFonts w:cs="Times New Roman"/>
          <w:szCs w:val="24"/>
        </w:rPr>
        <w:t xml:space="preserve"> </w:t>
      </w:r>
      <w:r w:rsidRPr="00136956">
        <w:rPr>
          <w:rFonts w:cs="Times New Roman"/>
          <w:szCs w:val="24"/>
        </w:rPr>
        <w:t>6, 2011, at p.</w:t>
      </w:r>
      <w:r>
        <w:rPr>
          <w:rFonts w:cs="Times New Roman"/>
          <w:szCs w:val="24"/>
        </w:rPr>
        <w:t xml:space="preserve"> </w:t>
      </w:r>
      <w:r w:rsidRPr="00136956">
        <w:rPr>
          <w:rFonts w:cs="Times New Roman"/>
          <w:szCs w:val="24"/>
        </w:rPr>
        <w:t>848. On December</w:t>
      </w:r>
      <w:r>
        <w:rPr>
          <w:rFonts w:cs="Times New Roman"/>
          <w:szCs w:val="24"/>
        </w:rPr>
        <w:t xml:space="preserve"> </w:t>
      </w:r>
      <w:r w:rsidRPr="00136956">
        <w:rPr>
          <w:rFonts w:cs="Times New Roman"/>
        </w:rPr>
        <w:t>13, having received no response from the federal government, Quebec’s Minister of Public Security announced that his government would commence legal proceedings to recover the data concerning registration certificates for long guns held by Quebec citizens. He stated that should the courts rule in Quebec’s favour, a bill would be tabled in the National Assembly to create a Quebec long</w:t>
      </w:r>
      <w:r>
        <w:rPr>
          <w:rFonts w:cs="Times New Roman"/>
        </w:rPr>
        <w:t>-</w:t>
      </w:r>
      <w:r w:rsidRPr="00136956">
        <w:rPr>
          <w:rFonts w:cs="Times New Roman"/>
        </w:rPr>
        <w:t>gun registry using the data obtained from the federal government</w:t>
      </w:r>
      <w:r w:rsidRPr="00136956">
        <w:rPr>
          <w:rFonts w:cs="Times New Roman"/>
          <w:szCs w:val="20"/>
        </w:rPr>
        <w:t xml:space="preserve">: </w:t>
      </w:r>
      <w:r w:rsidRPr="00136956">
        <w:rPr>
          <w:rFonts w:cs="Times New Roman"/>
          <w:iCs/>
          <w:szCs w:val="20"/>
        </w:rPr>
        <w:t>Press release from the Minister of Public Security</w:t>
      </w:r>
      <w:r w:rsidRPr="00136956">
        <w:rPr>
          <w:rFonts w:cs="Times New Roman"/>
          <w:szCs w:val="20"/>
        </w:rPr>
        <w:t>, December</w:t>
      </w:r>
      <w:r>
        <w:rPr>
          <w:rFonts w:cs="Times New Roman"/>
          <w:szCs w:val="20"/>
        </w:rPr>
        <w:t xml:space="preserve"> </w:t>
      </w:r>
      <w:r w:rsidRPr="00136956">
        <w:rPr>
          <w:rFonts w:cs="Times New Roman"/>
          <w:szCs w:val="20"/>
        </w:rPr>
        <w:t>13, 2011, J.R., vol.</w:t>
      </w:r>
      <w:r>
        <w:rPr>
          <w:rFonts w:cs="Times New Roman"/>
          <w:szCs w:val="20"/>
        </w:rPr>
        <w:t xml:space="preserve"> </w:t>
      </w:r>
      <w:r w:rsidRPr="00136956">
        <w:rPr>
          <w:rFonts w:cs="Times New Roman"/>
          <w:szCs w:val="20"/>
        </w:rPr>
        <w:t>10, at pp.</w:t>
      </w:r>
      <w:r>
        <w:rPr>
          <w:rFonts w:cs="Times New Roman"/>
          <w:szCs w:val="20"/>
        </w:rPr>
        <w:t xml:space="preserve"> </w:t>
      </w:r>
      <w:r w:rsidRPr="00136956">
        <w:rPr>
          <w:rFonts w:cs="Times New Roman"/>
          <w:szCs w:val="20"/>
        </w:rPr>
        <w:t>48</w:t>
      </w:r>
      <w:r>
        <w:rPr>
          <w:rFonts w:cs="Times New Roman"/>
          <w:szCs w:val="20"/>
        </w:rPr>
        <w:t>-</w:t>
      </w:r>
      <w:r w:rsidRPr="00136956">
        <w:rPr>
          <w:rFonts w:cs="Times New Roman"/>
          <w:szCs w:val="20"/>
        </w:rPr>
        <w:t>49.</w:t>
      </w:r>
    </w:p>
    <w:p w:rsidR="009278C8" w:rsidRPr="00136956" w:rsidRDefault="009278C8" w:rsidP="009278C8">
      <w:pPr>
        <w:pStyle w:val="Title1LevelTitre1Niveau-AltL"/>
        <w:tabs>
          <w:tab w:val="clear" w:pos="576"/>
          <w:tab w:val="left" w:pos="432"/>
        </w:tabs>
        <w:ind w:left="432" w:hanging="432"/>
        <w:outlineLvl w:val="0"/>
        <w:rPr>
          <w:rFonts w:cs="Times New Roman"/>
          <w:szCs w:val="20"/>
        </w:rPr>
      </w:pPr>
      <w:bookmarkStart w:id="4" w:name="_Toc411583241"/>
      <w:bookmarkStart w:id="5" w:name="_Toc413306859"/>
      <w:r w:rsidRPr="00136956">
        <w:rPr>
          <w:rFonts w:cs="Times New Roman"/>
          <w:szCs w:val="20"/>
        </w:rPr>
        <w:t>Judicial History</w:t>
      </w:r>
      <w:bookmarkEnd w:id="4"/>
      <w:bookmarkEnd w:id="5"/>
    </w:p>
    <w:p w:rsidR="009278C8" w:rsidRPr="00136956" w:rsidRDefault="009278C8" w:rsidP="009278C8">
      <w:pPr>
        <w:pStyle w:val="ParaNoNdepar-AltN"/>
        <w:tabs>
          <w:tab w:val="clear" w:pos="1166"/>
          <w:tab w:val="num" w:pos="1152"/>
        </w:tabs>
        <w:rPr>
          <w:rFonts w:cs="Times New Roman"/>
        </w:rPr>
      </w:pPr>
      <w:r w:rsidRPr="00136956">
        <w:rPr>
          <w:rFonts w:cs="Times New Roman"/>
          <w:szCs w:val="20"/>
        </w:rPr>
        <w:t>On April</w:t>
      </w:r>
      <w:r>
        <w:rPr>
          <w:rFonts w:cs="Times New Roman"/>
          <w:szCs w:val="20"/>
        </w:rPr>
        <w:t xml:space="preserve"> </w:t>
      </w:r>
      <w:r w:rsidRPr="00136956">
        <w:rPr>
          <w:rFonts w:cs="Times New Roman"/>
          <w:szCs w:val="20"/>
        </w:rPr>
        <w:t>2,</w:t>
      </w:r>
      <w:r w:rsidRPr="00136956">
        <w:rPr>
          <w:rFonts w:cs="Times New Roman"/>
        </w:rPr>
        <w:t xml:space="preserve"> 2012, </w:t>
      </w:r>
      <w:r w:rsidRPr="00136956">
        <w:rPr>
          <w:rFonts w:cs="Times New Roman"/>
          <w:szCs w:val="20"/>
        </w:rPr>
        <w:t xml:space="preserve">three days before the </w:t>
      </w:r>
      <w:r w:rsidRPr="00136956">
        <w:rPr>
          <w:rFonts w:cs="Times New Roman"/>
          <w:i/>
          <w:szCs w:val="20"/>
        </w:rPr>
        <w:t>ELRA</w:t>
      </w:r>
      <w:r w:rsidRPr="00136956">
        <w:rPr>
          <w:rFonts w:cs="Times New Roman"/>
          <w:szCs w:val="20"/>
        </w:rPr>
        <w:t xml:space="preserve"> came into force, the AGQ filed a motion in the Quebec Superior Court for a declaratory judgment, an interim interlocutory injunction, a permanent injunction and safeguard orders. The AGQ </w:t>
      </w:r>
      <w:r w:rsidRPr="00136956">
        <w:rPr>
          <w:rFonts w:cs="Times New Roman"/>
          <w:szCs w:val="20"/>
        </w:rPr>
        <w:lastRenderedPageBreak/>
        <w:t>asked that s.</w:t>
      </w:r>
      <w:r>
        <w:rPr>
          <w:rFonts w:cs="Times New Roman"/>
          <w:szCs w:val="20"/>
        </w:rPr>
        <w:t xml:space="preserve"> </w:t>
      </w:r>
      <w:r w:rsidRPr="00136956">
        <w:rPr>
          <w:rFonts w:cs="Times New Roman"/>
          <w:szCs w:val="20"/>
        </w:rPr>
        <w:t xml:space="preserve">29 of the </w:t>
      </w:r>
      <w:r w:rsidRPr="00136956">
        <w:rPr>
          <w:rFonts w:cs="Times New Roman"/>
          <w:i/>
        </w:rPr>
        <w:t>ELRA</w:t>
      </w:r>
      <w:r w:rsidRPr="00136956">
        <w:rPr>
          <w:rFonts w:cs="Times New Roman"/>
        </w:rPr>
        <w:t xml:space="preserve"> </w:t>
      </w:r>
      <w:r w:rsidRPr="00136956">
        <w:rPr>
          <w:rFonts w:cs="Times New Roman"/>
          <w:szCs w:val="20"/>
        </w:rPr>
        <w:t xml:space="preserve">be declared unconstitutional. He also sought an order enjoining the federal government to transfer to him all Quebec data with respect to long guns. </w:t>
      </w:r>
    </w:p>
    <w:p w:rsidR="009278C8" w:rsidRPr="00136956" w:rsidRDefault="009278C8" w:rsidP="009278C8">
      <w:pPr>
        <w:pStyle w:val="Title2LevelTitre2Niveau"/>
        <w:tabs>
          <w:tab w:val="clear" w:pos="576"/>
          <w:tab w:val="num" w:pos="432"/>
        </w:tabs>
        <w:ind w:left="432" w:hanging="432"/>
        <w:outlineLvl w:val="0"/>
        <w:rPr>
          <w:rFonts w:cs="Times New Roman"/>
        </w:rPr>
      </w:pPr>
      <w:bookmarkStart w:id="6" w:name="_Toc411583242"/>
      <w:bookmarkStart w:id="7" w:name="_Toc413306860"/>
      <w:r w:rsidRPr="00136956">
        <w:rPr>
          <w:rFonts w:cs="Times New Roman"/>
        </w:rPr>
        <w:t>Quebec Superior Court</w:t>
      </w:r>
      <w:bookmarkEnd w:id="6"/>
      <w:bookmarkEnd w:id="7"/>
      <w:r w:rsidRPr="00136956">
        <w:rPr>
          <w:rFonts w:cs="Times New Roman"/>
        </w:rPr>
        <w:t>, 2012 QCCS 4202</w:t>
      </w:r>
    </w:p>
    <w:p w:rsidR="009278C8" w:rsidRPr="00136956" w:rsidRDefault="009278C8" w:rsidP="009278C8">
      <w:pPr>
        <w:pStyle w:val="ParaNoNdepar-AltN"/>
        <w:tabs>
          <w:tab w:val="clear" w:pos="1166"/>
          <w:tab w:val="num" w:pos="1152"/>
        </w:tabs>
        <w:rPr>
          <w:rFonts w:cs="Times New Roman"/>
        </w:rPr>
      </w:pPr>
      <w:r w:rsidRPr="00136956">
        <w:rPr>
          <w:rFonts w:cs="Times New Roman"/>
        </w:rPr>
        <w:t>Blanchard</w:t>
      </w:r>
      <w:r>
        <w:rPr>
          <w:rFonts w:cs="Times New Roman"/>
        </w:rPr>
        <w:t xml:space="preserve"> </w:t>
      </w:r>
      <w:r w:rsidRPr="00136956">
        <w:rPr>
          <w:rFonts w:cs="Times New Roman"/>
        </w:rPr>
        <w:t>J. of the Superior Court granted the AGQ’s motion. His judgment can be broken down into three elements: (1)</w:t>
      </w:r>
      <w:r>
        <w:rPr>
          <w:rFonts w:cs="Times New Roman"/>
        </w:rPr>
        <w:t xml:space="preserve"> </w:t>
      </w:r>
      <w:r w:rsidRPr="00136956">
        <w:rPr>
          <w:rFonts w:cs="Times New Roman"/>
        </w:rPr>
        <w:t>the facts; (2)</w:t>
      </w:r>
      <w:r>
        <w:rPr>
          <w:rFonts w:cs="Times New Roman"/>
        </w:rPr>
        <w:t xml:space="preserve"> </w:t>
      </w:r>
      <w:r w:rsidRPr="00136956">
        <w:rPr>
          <w:rFonts w:cs="Times New Roman"/>
        </w:rPr>
        <w:t>the constitutionality of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and (3)</w:t>
      </w:r>
      <w:r>
        <w:rPr>
          <w:rFonts w:cs="Times New Roman"/>
        </w:rPr>
        <w:t xml:space="preserve"> </w:t>
      </w:r>
      <w:r w:rsidRPr="00136956">
        <w:rPr>
          <w:rFonts w:cs="Times New Roman"/>
        </w:rPr>
        <w:t xml:space="preserve">Quebec’s right to obtain the data. </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8" w:name="_Toc411583243"/>
      <w:bookmarkStart w:id="9" w:name="_Toc413306861"/>
      <w:r w:rsidRPr="00136956">
        <w:rPr>
          <w:rFonts w:cs="Times New Roman"/>
        </w:rPr>
        <w:t>Fact</w:t>
      </w:r>
      <w:bookmarkEnd w:id="8"/>
      <w:bookmarkEnd w:id="9"/>
      <w:r w:rsidRPr="00136956">
        <w:rPr>
          <w:rFonts w:cs="Times New Roman"/>
        </w:rPr>
        <w:t>s</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Blanchard J. first pointed out that the </w:t>
      </w:r>
      <w:r w:rsidRPr="00136956">
        <w:rPr>
          <w:rFonts w:cs="Times New Roman"/>
          <w:i/>
        </w:rPr>
        <w:t>FA</w:t>
      </w:r>
      <w:r w:rsidRPr="00136956">
        <w:rPr>
          <w:rFonts w:cs="Times New Roman"/>
        </w:rPr>
        <w:t xml:space="preserve"> created a distinction between the registries kept by the Registrar (concerning the registration of firearms) and those kept by the CFOs (concerning the issuance of licences) (para.</w:t>
      </w:r>
      <w:r>
        <w:rPr>
          <w:rFonts w:cs="Times New Roman"/>
        </w:rPr>
        <w:t xml:space="preserve"> </w:t>
      </w:r>
      <w:r w:rsidRPr="00136956">
        <w:rPr>
          <w:rFonts w:cs="Times New Roman"/>
        </w:rPr>
        <w:t>27).</w:t>
      </w:r>
    </w:p>
    <w:p w:rsidR="009278C8" w:rsidRPr="00136956" w:rsidRDefault="009278C8" w:rsidP="009278C8">
      <w:pPr>
        <w:pStyle w:val="ParaNoNdepar-AltN"/>
        <w:tabs>
          <w:tab w:val="clear" w:pos="1166"/>
          <w:tab w:val="num" w:pos="1152"/>
        </w:tabs>
        <w:rPr>
          <w:rFonts w:cs="Times New Roman"/>
        </w:rPr>
      </w:pPr>
      <w:r w:rsidRPr="00136956">
        <w:rPr>
          <w:rFonts w:cs="Times New Roman"/>
        </w:rPr>
        <w:t>Blanchard</w:t>
      </w:r>
      <w:r>
        <w:rPr>
          <w:rFonts w:cs="Times New Roman"/>
        </w:rPr>
        <w:t xml:space="preserve"> </w:t>
      </w:r>
      <w:r w:rsidRPr="00136956">
        <w:rPr>
          <w:rFonts w:cs="Times New Roman"/>
        </w:rPr>
        <w:t>J. next noted that the [</w:t>
      </w:r>
      <w:r w:rsidRPr="00136956">
        <w:rPr>
          <w:rFonts w:cs="Times New Roman"/>
          <w:smallCaps/>
        </w:rPr>
        <w:t xml:space="preserve">translation] </w:t>
      </w:r>
      <w:r w:rsidRPr="00136956">
        <w:rPr>
          <w:rFonts w:cs="Times New Roman"/>
        </w:rPr>
        <w:t>“collected information [from the two types of records] is stored in the CFIS, [a] complex central computer registry” (para.</w:t>
      </w:r>
      <w:r>
        <w:rPr>
          <w:rFonts w:cs="Times New Roman"/>
        </w:rPr>
        <w:t xml:space="preserve"> </w:t>
      </w:r>
      <w:r w:rsidRPr="00136956">
        <w:rPr>
          <w:rFonts w:cs="Times New Roman"/>
        </w:rPr>
        <w:t>28</w:t>
      </w:r>
      <w:r w:rsidR="00B93A0A">
        <w:rPr>
          <w:rFonts w:cs="Times New Roman"/>
        </w:rPr>
        <w:t xml:space="preserve"> (CanLII)</w:t>
      </w:r>
      <w:r w:rsidRPr="00136956">
        <w:rPr>
          <w:rFonts w:cs="Times New Roman"/>
        </w:rPr>
        <w:t xml:space="preserve">). He also stressed that, “[a]ccording to the structure of the </w:t>
      </w:r>
      <w:r w:rsidRPr="00136956">
        <w:rPr>
          <w:rFonts w:cs="Times New Roman"/>
          <w:i/>
        </w:rPr>
        <w:t>FA</w:t>
      </w:r>
      <w:r w:rsidRPr="00136956">
        <w:rPr>
          <w:rFonts w:cs="Times New Roman"/>
        </w:rPr>
        <w:t>, the Registrar and the Chief Firearms Officers have the same level of access to the data” (para.</w:t>
      </w:r>
      <w:r>
        <w:rPr>
          <w:rFonts w:cs="Times New Roman"/>
        </w:rPr>
        <w:t xml:space="preserve"> </w:t>
      </w:r>
      <w:r w:rsidRPr="00136956">
        <w:rPr>
          <w:rFonts w:cs="Times New Roman"/>
        </w:rPr>
        <w:t xml:space="preserve">72). </w:t>
      </w:r>
    </w:p>
    <w:p w:rsidR="009278C8" w:rsidRPr="00136956" w:rsidRDefault="009278C8" w:rsidP="009278C8">
      <w:pPr>
        <w:pStyle w:val="ParaNoNdepar-AltN"/>
        <w:rPr>
          <w:rFonts w:cs="Times New Roman"/>
        </w:rPr>
      </w:pPr>
      <w:r w:rsidRPr="00136956">
        <w:rPr>
          <w:rFonts w:cs="Times New Roman"/>
        </w:rPr>
        <w:t>Blanchard</w:t>
      </w:r>
      <w:r>
        <w:rPr>
          <w:rFonts w:cs="Times New Roman"/>
        </w:rPr>
        <w:t xml:space="preserve"> </w:t>
      </w:r>
      <w:r w:rsidRPr="00136956">
        <w:rPr>
          <w:rFonts w:cs="Times New Roman"/>
        </w:rPr>
        <w:t>J. mentioned that Quebec had contributed to [</w:t>
      </w:r>
      <w:r w:rsidRPr="00136956">
        <w:rPr>
          <w:rFonts w:cs="Times New Roman"/>
          <w:smallCaps/>
        </w:rPr>
        <w:t xml:space="preserve">translation] </w:t>
      </w:r>
      <w:r w:rsidRPr="00136956">
        <w:rPr>
          <w:rFonts w:cs="Times New Roman"/>
        </w:rPr>
        <w:t>“gathering, analyzing, organizing, and modifying” the data in the registry (para.</w:t>
      </w:r>
      <w:r>
        <w:rPr>
          <w:rFonts w:cs="Times New Roman"/>
        </w:rPr>
        <w:t xml:space="preserve"> </w:t>
      </w:r>
      <w:r w:rsidRPr="00136956">
        <w:rPr>
          <w:rFonts w:cs="Times New Roman"/>
        </w:rPr>
        <w:t xml:space="preserve">151), which derived from the combined efforts of governments at the municipal, provincial </w:t>
      </w:r>
      <w:r w:rsidRPr="00136956">
        <w:rPr>
          <w:rFonts w:cs="Times New Roman"/>
        </w:rPr>
        <w:lastRenderedPageBreak/>
        <w:t>and federal levels (para.</w:t>
      </w:r>
      <w:r>
        <w:rPr>
          <w:rFonts w:cs="Times New Roman"/>
        </w:rPr>
        <w:t xml:space="preserve"> </w:t>
      </w:r>
      <w:r w:rsidRPr="00136956">
        <w:rPr>
          <w:rFonts w:cs="Times New Roman"/>
        </w:rPr>
        <w:t>102). The establishment of the registry had therefore created a partnership, particularly as regards the data it contained (para.</w:t>
      </w:r>
      <w:r>
        <w:rPr>
          <w:rFonts w:cs="Times New Roman"/>
        </w:rPr>
        <w:t xml:space="preserve"> </w:t>
      </w:r>
      <w:r w:rsidRPr="00136956">
        <w:rPr>
          <w:rFonts w:cs="Times New Roman"/>
        </w:rPr>
        <w:t xml:space="preserve">192). </w:t>
      </w:r>
    </w:p>
    <w:p w:rsidR="009278C8" w:rsidRPr="00136956" w:rsidRDefault="009278C8" w:rsidP="009278C8">
      <w:pPr>
        <w:pStyle w:val="ParaNoNdepar-AltN"/>
        <w:rPr>
          <w:rFonts w:cs="Times New Roman"/>
        </w:rPr>
      </w:pPr>
      <w:r w:rsidRPr="00136956">
        <w:rPr>
          <w:rFonts w:cs="Times New Roman"/>
        </w:rPr>
        <w:t>Blanchard</w:t>
      </w:r>
      <w:r>
        <w:rPr>
          <w:rFonts w:cs="Times New Roman"/>
        </w:rPr>
        <w:t xml:space="preserve"> </w:t>
      </w:r>
      <w:r w:rsidRPr="00136956">
        <w:rPr>
          <w:rFonts w:cs="Times New Roman"/>
        </w:rPr>
        <w:t>J. found that the data in question could not be characterized as being solely [</w:t>
      </w:r>
      <w:r w:rsidRPr="00136956">
        <w:rPr>
          <w:rFonts w:cs="Times New Roman"/>
          <w:smallCaps/>
        </w:rPr>
        <w:t xml:space="preserve">translation] </w:t>
      </w:r>
      <w:r w:rsidRPr="00136956">
        <w:rPr>
          <w:rFonts w:cs="Times New Roman"/>
        </w:rPr>
        <w:t>“federal data”, given that they were subject to the applicable access to information and privacy legislation of both the federal government and Quebec (para.</w:t>
      </w:r>
      <w:r>
        <w:rPr>
          <w:rFonts w:cs="Times New Roman"/>
        </w:rPr>
        <w:t xml:space="preserve"> </w:t>
      </w:r>
      <w:r w:rsidRPr="00136956">
        <w:rPr>
          <w:rFonts w:cs="Times New Roman"/>
        </w:rPr>
        <w:t xml:space="preserve">82). He wrote the following: </w:t>
      </w:r>
    </w:p>
    <w:p w:rsidR="009278C8" w:rsidRPr="00136956" w:rsidRDefault="009278C8" w:rsidP="009278C8">
      <w:pPr>
        <w:pStyle w:val="Citation-AltC"/>
        <w:ind w:hanging="1166"/>
        <w:contextualSpacing w:val="0"/>
      </w:pPr>
      <w:r w:rsidRPr="00136956">
        <w:tab/>
      </w:r>
      <w:r w:rsidRPr="00136956">
        <w:tab/>
        <w:t>[</w:t>
      </w:r>
      <w:r w:rsidRPr="00136956">
        <w:rPr>
          <w:smallCaps/>
        </w:rPr>
        <w:t xml:space="preserve">translation]  </w:t>
      </w:r>
      <w:r w:rsidRPr="00136956">
        <w:t xml:space="preserve">The Court must recognize an actual, concrete effect </w:t>
      </w:r>
      <w:r w:rsidR="00E96975">
        <w:t>to</w:t>
      </w:r>
      <w:r w:rsidRPr="00136956">
        <w:t xml:space="preserve"> this intent, clearly expressed by Canada and Quebec, to submit all of the information gathered to two jurisdictions concurrently, which must, in practice, have some meaning. [para.</w:t>
      </w:r>
      <w:r>
        <w:t xml:space="preserve"> </w:t>
      </w:r>
      <w:r w:rsidRPr="00136956">
        <w:t xml:space="preserve">83] </w:t>
      </w:r>
    </w:p>
    <w:p w:rsidR="009278C8" w:rsidRPr="00136956" w:rsidRDefault="009278C8" w:rsidP="009278C8">
      <w:pPr>
        <w:pStyle w:val="ParaNoNdepar-AltN"/>
        <w:rPr>
          <w:rFonts w:cs="Times New Roman"/>
        </w:rPr>
      </w:pPr>
      <w:r w:rsidRPr="00136956">
        <w:rPr>
          <w:rFonts w:cs="Times New Roman"/>
        </w:rPr>
        <w:t>According to Blanchard</w:t>
      </w:r>
      <w:r>
        <w:rPr>
          <w:rFonts w:cs="Times New Roman"/>
        </w:rPr>
        <w:t xml:space="preserve"> </w:t>
      </w:r>
      <w:r w:rsidRPr="00136956">
        <w:rPr>
          <w:rFonts w:cs="Times New Roman"/>
        </w:rPr>
        <w:t>J., the partnership extended beyond the data; it also involved the implementation of the CFP (para.</w:t>
      </w:r>
      <w:r>
        <w:rPr>
          <w:rFonts w:cs="Times New Roman"/>
        </w:rPr>
        <w:t xml:space="preserve"> </w:t>
      </w:r>
      <w:r w:rsidRPr="00136956">
        <w:rPr>
          <w:rFonts w:cs="Times New Roman"/>
        </w:rPr>
        <w:t xml:space="preserve">73), the effective administration of the </w:t>
      </w:r>
      <w:r w:rsidRPr="00136956">
        <w:rPr>
          <w:rFonts w:cs="Times New Roman"/>
          <w:i/>
        </w:rPr>
        <w:t>FA</w:t>
      </w:r>
      <w:r w:rsidRPr="00136956">
        <w:rPr>
          <w:rFonts w:cs="Times New Roman"/>
        </w:rPr>
        <w:t xml:space="preserve"> (para.</w:t>
      </w:r>
      <w:r>
        <w:rPr>
          <w:rFonts w:cs="Times New Roman"/>
        </w:rPr>
        <w:t xml:space="preserve"> </w:t>
      </w:r>
      <w:r w:rsidRPr="00136956">
        <w:rPr>
          <w:rFonts w:cs="Times New Roman"/>
        </w:rPr>
        <w:t>83) and the joint and complementary exercise of relevant federal and provincial powers (para.</w:t>
      </w:r>
      <w:r>
        <w:rPr>
          <w:rFonts w:cs="Times New Roman"/>
        </w:rPr>
        <w:t xml:space="preserve"> </w:t>
      </w:r>
      <w:r w:rsidRPr="00136956">
        <w:rPr>
          <w:rFonts w:cs="Times New Roman"/>
        </w:rPr>
        <w:t xml:space="preserve">104). </w:t>
      </w:r>
    </w:p>
    <w:p w:rsidR="009278C8" w:rsidRPr="00136956" w:rsidRDefault="009278C8" w:rsidP="009278C8">
      <w:pPr>
        <w:pStyle w:val="ParaNoNdepar-AltN"/>
        <w:rPr>
          <w:rFonts w:cs="Times New Roman"/>
        </w:rPr>
      </w:pPr>
      <w:r w:rsidRPr="00136956">
        <w:rPr>
          <w:rFonts w:cs="Times New Roman"/>
        </w:rPr>
        <w:t>He concluded that [</w:t>
      </w:r>
      <w:r w:rsidRPr="00136956">
        <w:rPr>
          <w:rFonts w:cs="Times New Roman"/>
          <w:smallCaps/>
        </w:rPr>
        <w:t xml:space="preserve">translation] </w:t>
      </w:r>
      <w:r w:rsidRPr="00136956">
        <w:rPr>
          <w:rFonts w:cs="Times New Roman"/>
        </w:rPr>
        <w:t>“[t]he firearms registry is a complex interweaving of federal, provincial and municipal powers, such that it could not exist without the close and constant collaboration of each level of government” (para.</w:t>
      </w:r>
      <w:r>
        <w:rPr>
          <w:rFonts w:cs="Times New Roman"/>
        </w:rPr>
        <w:t xml:space="preserve"> </w:t>
      </w:r>
      <w:r w:rsidRPr="00136956">
        <w:rPr>
          <w:rFonts w:cs="Times New Roman"/>
        </w:rPr>
        <w:t>192).</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0" w:name="_Toc399860702"/>
      <w:bookmarkStart w:id="11" w:name="_Toc411583244"/>
      <w:bookmarkStart w:id="12" w:name="_Toc413306862"/>
      <w:r w:rsidRPr="00136956">
        <w:rPr>
          <w:rFonts w:cs="Times New Roman"/>
        </w:rPr>
        <w:t>Constitutionality of Section</w:t>
      </w:r>
      <w:r>
        <w:rPr>
          <w:rFonts w:cs="Times New Roman"/>
        </w:rPr>
        <w:t xml:space="preserve"> </w:t>
      </w:r>
      <w:r w:rsidRPr="00136956">
        <w:rPr>
          <w:rFonts w:cs="Times New Roman"/>
        </w:rPr>
        <w:t xml:space="preserve">29 of the </w:t>
      </w:r>
      <w:bookmarkEnd w:id="10"/>
      <w:bookmarkEnd w:id="11"/>
      <w:bookmarkEnd w:id="12"/>
      <w:r w:rsidRPr="00136956">
        <w:rPr>
          <w:rFonts w:cs="Times New Roman"/>
          <w:i/>
        </w:rPr>
        <w:t>ELRA</w:t>
      </w:r>
    </w:p>
    <w:p w:rsidR="009278C8" w:rsidRPr="00136956" w:rsidRDefault="009278C8" w:rsidP="009278C8">
      <w:pPr>
        <w:pStyle w:val="ParaNoNdepar-AltN"/>
        <w:rPr>
          <w:rFonts w:cs="Times New Roman"/>
        </w:rPr>
      </w:pPr>
      <w:r w:rsidRPr="00136956">
        <w:rPr>
          <w:rFonts w:cs="Times New Roman"/>
        </w:rPr>
        <w:t>Blanchard</w:t>
      </w:r>
      <w:r>
        <w:rPr>
          <w:rFonts w:cs="Times New Roman"/>
        </w:rPr>
        <w:t xml:space="preserve"> </w:t>
      </w:r>
      <w:r w:rsidRPr="00136956">
        <w:rPr>
          <w:rFonts w:cs="Times New Roman"/>
        </w:rPr>
        <w:t xml:space="preserve">J. observed that a more flexible view of federalism than the one formerly adopted by the Judicial Committee of the Privy Council, a view based </w:t>
      </w:r>
      <w:r w:rsidRPr="00136956">
        <w:rPr>
          <w:rFonts w:cs="Times New Roman"/>
        </w:rPr>
        <w:lastRenderedPageBreak/>
        <w:t>on co</w:t>
      </w:r>
      <w:r>
        <w:rPr>
          <w:rFonts w:cs="Times New Roman"/>
        </w:rPr>
        <w:t>-</w:t>
      </w:r>
      <w:r w:rsidRPr="00136956">
        <w:rPr>
          <w:rFonts w:cs="Times New Roman"/>
        </w:rPr>
        <w:t>operation rather than on exclusive powers, has underlain this Court’s decisions since 1949 (paras.</w:t>
      </w:r>
      <w:r>
        <w:rPr>
          <w:rFonts w:cs="Times New Roman"/>
        </w:rPr>
        <w:t xml:space="preserve"> </w:t>
      </w:r>
      <w:r w:rsidRPr="00136956">
        <w:rPr>
          <w:rFonts w:cs="Times New Roman"/>
        </w:rPr>
        <w:t>52</w:t>
      </w:r>
      <w:r>
        <w:rPr>
          <w:rFonts w:cs="Times New Roman"/>
        </w:rPr>
        <w:t>-</w:t>
      </w:r>
      <w:r w:rsidRPr="00136956">
        <w:rPr>
          <w:rFonts w:cs="Times New Roman"/>
        </w:rPr>
        <w:t>53). He added that since 1998, the Court had [</w:t>
      </w:r>
      <w:r w:rsidRPr="00136956">
        <w:rPr>
          <w:rFonts w:cs="Times New Roman"/>
          <w:smallCaps/>
        </w:rPr>
        <w:t xml:space="preserve">translation] </w:t>
      </w:r>
      <w:r w:rsidRPr="00136956">
        <w:rPr>
          <w:rFonts w:cs="Times New Roman"/>
        </w:rPr>
        <w:t>“set out an approach to the interpretation of constitutional powers based on cooperation rather than the strict enforcement of jurisdictions” (para.</w:t>
      </w:r>
      <w:r>
        <w:rPr>
          <w:rFonts w:cs="Times New Roman"/>
        </w:rPr>
        <w:t xml:space="preserve"> </w:t>
      </w:r>
      <w:r w:rsidRPr="00136956">
        <w:rPr>
          <w:rFonts w:cs="Times New Roman"/>
        </w:rPr>
        <w:t xml:space="preserve">71). </w:t>
      </w:r>
    </w:p>
    <w:p w:rsidR="009278C8" w:rsidRPr="00136956" w:rsidRDefault="009278C8" w:rsidP="009278C8">
      <w:pPr>
        <w:pStyle w:val="ParaNoNdepar-AltN"/>
        <w:rPr>
          <w:rFonts w:cs="Times New Roman"/>
        </w:rPr>
      </w:pPr>
      <w:r w:rsidRPr="00136956">
        <w:rPr>
          <w:rFonts w:cs="Times New Roman"/>
        </w:rPr>
        <w:t>Blanchard</w:t>
      </w:r>
      <w:r>
        <w:rPr>
          <w:rFonts w:cs="Times New Roman"/>
        </w:rPr>
        <w:t xml:space="preserve"> </w:t>
      </w:r>
      <w:r w:rsidRPr="00136956">
        <w:rPr>
          <w:rFonts w:cs="Times New Roman"/>
        </w:rPr>
        <w:t xml:space="preserve">J. noted the importance of the </w:t>
      </w:r>
      <w:r w:rsidRPr="00136956">
        <w:rPr>
          <w:rFonts w:cs="Times New Roman"/>
          <w:i/>
        </w:rPr>
        <w:t xml:space="preserve">FA Reference </w:t>
      </w:r>
      <w:r w:rsidRPr="00136956">
        <w:rPr>
          <w:rFonts w:cs="Times New Roman"/>
        </w:rPr>
        <w:t>to the case at bar (paras.</w:t>
      </w:r>
      <w:r>
        <w:rPr>
          <w:rFonts w:cs="Times New Roman"/>
        </w:rPr>
        <w:t xml:space="preserve"> </w:t>
      </w:r>
      <w:r w:rsidRPr="00136956">
        <w:rPr>
          <w:rFonts w:cs="Times New Roman"/>
        </w:rPr>
        <w:t>63</w:t>
      </w:r>
      <w:r>
        <w:rPr>
          <w:rFonts w:cs="Times New Roman"/>
        </w:rPr>
        <w:t>-</w:t>
      </w:r>
      <w:r w:rsidRPr="00136956">
        <w:rPr>
          <w:rFonts w:cs="Times New Roman"/>
        </w:rPr>
        <w:t xml:space="preserve">66). In that case, this Court had found no indication of a colourable intrusion into provincial jurisdiction at the time of the enactment of the </w:t>
      </w:r>
      <w:r w:rsidRPr="00136956">
        <w:rPr>
          <w:rFonts w:cs="Times New Roman"/>
          <w:i/>
        </w:rPr>
        <w:t>FA</w:t>
      </w:r>
      <w:r w:rsidRPr="00136956">
        <w:rPr>
          <w:rFonts w:cs="Times New Roman"/>
        </w:rPr>
        <w:t xml:space="preserve">.  The Court also specified that an analysis of the </w:t>
      </w:r>
      <w:r w:rsidRPr="00136956">
        <w:rPr>
          <w:rFonts w:cs="Times New Roman"/>
          <w:i/>
        </w:rPr>
        <w:t>FA</w:t>
      </w:r>
      <w:r w:rsidRPr="00136956">
        <w:rPr>
          <w:rFonts w:cs="Times New Roman"/>
        </w:rPr>
        <w:t>’s provisions showed that Parliament</w:t>
      </w:r>
      <w:r w:rsidR="00AF378A">
        <w:rPr>
          <w:rFonts w:cs="Times New Roman"/>
        </w:rPr>
        <w:t xml:space="preserve"> had not had an improper motive, </w:t>
      </w:r>
      <w:r w:rsidRPr="00136956">
        <w:rPr>
          <w:rFonts w:cs="Times New Roman"/>
        </w:rPr>
        <w:t xml:space="preserve">nor was </w:t>
      </w:r>
      <w:r w:rsidR="00AF378A">
        <w:rPr>
          <w:rFonts w:cs="Times New Roman"/>
        </w:rPr>
        <w:t xml:space="preserve">it </w:t>
      </w:r>
      <w:r w:rsidRPr="00136956">
        <w:rPr>
          <w:rFonts w:cs="Times New Roman"/>
        </w:rPr>
        <w:t xml:space="preserve">taking over provincial powers under the guise of the criminal law. </w:t>
      </w:r>
    </w:p>
    <w:p w:rsidR="009278C8" w:rsidRPr="00136956" w:rsidRDefault="009278C8" w:rsidP="009278C8">
      <w:pPr>
        <w:pStyle w:val="ParaNoNdepar-AltN"/>
        <w:rPr>
          <w:rFonts w:cs="Times New Roman"/>
        </w:rPr>
      </w:pPr>
      <w:r w:rsidRPr="00136956">
        <w:rPr>
          <w:rFonts w:cs="Times New Roman"/>
        </w:rPr>
        <w:t>Blanchard</w:t>
      </w:r>
      <w:r>
        <w:rPr>
          <w:rFonts w:cs="Times New Roman"/>
        </w:rPr>
        <w:t xml:space="preserve"> </w:t>
      </w:r>
      <w:r w:rsidRPr="00136956">
        <w:rPr>
          <w:rFonts w:cs="Times New Roman"/>
        </w:rPr>
        <w:t>J. explained that the AGQ did not dispute that Canada was acting within its sphere of jurisdiction in abolishing the long</w:t>
      </w:r>
      <w:r>
        <w:rPr>
          <w:rFonts w:cs="Times New Roman"/>
        </w:rPr>
        <w:t>-</w:t>
      </w:r>
      <w:r w:rsidRPr="00136956">
        <w:rPr>
          <w:rFonts w:cs="Times New Roman"/>
        </w:rPr>
        <w:t>gun registration system. Rather, he was asking the court to decide whether the destruction of the data, provided for in s.</w:t>
      </w:r>
      <w:r>
        <w:rPr>
          <w:rFonts w:cs="Times New Roman"/>
        </w:rPr>
        <w:t xml:space="preserve"> </w:t>
      </w:r>
      <w:r w:rsidRPr="00136956">
        <w:rPr>
          <w:rFonts w:cs="Times New Roman"/>
        </w:rPr>
        <w:t>29, could be linked to the federal criminal law power (para.</w:t>
      </w:r>
      <w:r>
        <w:rPr>
          <w:rFonts w:cs="Times New Roman"/>
        </w:rPr>
        <w:t xml:space="preserve"> </w:t>
      </w:r>
      <w:r w:rsidRPr="00136956">
        <w:rPr>
          <w:rFonts w:cs="Times New Roman"/>
        </w:rPr>
        <w:t>87). Blanchard</w:t>
      </w:r>
      <w:r>
        <w:rPr>
          <w:rFonts w:cs="Times New Roman"/>
        </w:rPr>
        <w:t xml:space="preserve"> </w:t>
      </w:r>
      <w:r w:rsidRPr="00136956">
        <w:rPr>
          <w:rFonts w:cs="Times New Roman"/>
        </w:rPr>
        <w:t>J. found that s.</w:t>
      </w:r>
      <w:r>
        <w:rPr>
          <w:rFonts w:cs="Times New Roman"/>
        </w:rPr>
        <w:t xml:space="preserve"> </w:t>
      </w:r>
      <w:r w:rsidRPr="00136956">
        <w:rPr>
          <w:rFonts w:cs="Times New Roman"/>
        </w:rPr>
        <w:t>29, in its pith and substance, was not linked to that power. The provision did not suppress an evil, nor did it establish a prohibition or a penalty (para.</w:t>
      </w:r>
      <w:r>
        <w:rPr>
          <w:rFonts w:cs="Times New Roman"/>
        </w:rPr>
        <w:t xml:space="preserve"> </w:t>
      </w:r>
      <w:r w:rsidRPr="00136956">
        <w:rPr>
          <w:rFonts w:cs="Times New Roman"/>
        </w:rPr>
        <w:t>125). He concluded, on the basis of declarations of the Prime Minister of Canada, the Minister of Intergovernmental Affairs and the Parliamentary Secretary to the Minister of Justice, that Parliament instead had an intention to hinder the exercise of the powers of all the provincial legislatures (paras.</w:t>
      </w:r>
      <w:r>
        <w:rPr>
          <w:rFonts w:cs="Times New Roman"/>
        </w:rPr>
        <w:t xml:space="preserve"> </w:t>
      </w:r>
      <w:r w:rsidRPr="00136956">
        <w:rPr>
          <w:rFonts w:cs="Times New Roman"/>
        </w:rPr>
        <w:t>136</w:t>
      </w:r>
      <w:r>
        <w:rPr>
          <w:rFonts w:cs="Times New Roman"/>
        </w:rPr>
        <w:t>-</w:t>
      </w:r>
      <w:r w:rsidRPr="00136956">
        <w:rPr>
          <w:rFonts w:cs="Times New Roman"/>
        </w:rPr>
        <w:t xml:space="preserve">39). </w:t>
      </w:r>
    </w:p>
    <w:p w:rsidR="009278C8" w:rsidRPr="00136956" w:rsidRDefault="009278C8" w:rsidP="009278C8">
      <w:pPr>
        <w:pStyle w:val="ParaNoNdepar-AltN"/>
        <w:shd w:val="clear" w:color="auto" w:fill="FFFFFF"/>
        <w:tabs>
          <w:tab w:val="clear" w:pos="1166"/>
          <w:tab w:val="num" w:pos="1152"/>
        </w:tabs>
        <w:spacing w:before="120" w:after="120"/>
        <w:rPr>
          <w:rFonts w:eastAsia="Times New Roman" w:cs="Times New Roman"/>
          <w:szCs w:val="24"/>
        </w:rPr>
      </w:pPr>
      <w:r w:rsidRPr="00136956">
        <w:rPr>
          <w:rFonts w:cs="Times New Roman"/>
        </w:rPr>
        <w:lastRenderedPageBreak/>
        <w:t>In light of his conclusion regarding the pith and substance of s. 29, Blanchard</w:t>
      </w:r>
      <w:r>
        <w:rPr>
          <w:rFonts w:cs="Times New Roman"/>
        </w:rPr>
        <w:t xml:space="preserve"> </w:t>
      </w:r>
      <w:r w:rsidRPr="00136956">
        <w:rPr>
          <w:rFonts w:cs="Times New Roman"/>
        </w:rPr>
        <w:t xml:space="preserve">J. then considered the ancillary powers doctrine. He noted that an assessment of the seriousness of the encroachment must be grounded in the facts of each case, and that the factors discussed in </w:t>
      </w:r>
      <w:r w:rsidRPr="00136956">
        <w:rPr>
          <w:rFonts w:cs="Times New Roman"/>
          <w:i/>
          <w:iCs/>
        </w:rPr>
        <w:t>General Motors of Canada Ltd. v. City National Leasing</w:t>
      </w:r>
      <w:r w:rsidRPr="00136956">
        <w:rPr>
          <w:rFonts w:cs="Times New Roman"/>
        </w:rPr>
        <w:t>, [1989] 1 S.C.R. 641,</w:t>
      </w:r>
      <w:r w:rsidRPr="00136956" w:rsidDel="00C56357">
        <w:rPr>
          <w:rFonts w:cs="Times New Roman"/>
          <w:i/>
          <w:iCs/>
        </w:rPr>
        <w:t xml:space="preserve"> </w:t>
      </w:r>
      <w:r w:rsidRPr="00136956">
        <w:rPr>
          <w:rFonts w:cs="Times New Roman"/>
        </w:rPr>
        <w:t>can be used to guide the assessment (para.</w:t>
      </w:r>
      <w:r>
        <w:rPr>
          <w:rFonts w:cs="Times New Roman"/>
        </w:rPr>
        <w:t xml:space="preserve"> </w:t>
      </w:r>
      <w:r w:rsidRPr="00136956">
        <w:rPr>
          <w:rFonts w:cs="Times New Roman"/>
        </w:rPr>
        <w:t>129). These factors include the scope of the heads of power in play, the nature of the impugned provision, and the existence of prior legislation on the matter in question. Nonetheless, Blanchard</w:t>
      </w:r>
      <w:r>
        <w:rPr>
          <w:rFonts w:cs="Times New Roman"/>
        </w:rPr>
        <w:t xml:space="preserve"> </w:t>
      </w:r>
      <w:r w:rsidRPr="00136956">
        <w:rPr>
          <w:rFonts w:cs="Times New Roman"/>
        </w:rPr>
        <w:t>J. found that [</w:t>
      </w:r>
      <w:r w:rsidRPr="00136956">
        <w:rPr>
          <w:rFonts w:cs="Times New Roman"/>
          <w:smallCaps/>
        </w:rPr>
        <w:t>translation] “</w:t>
      </w:r>
      <w:r w:rsidRPr="00136956">
        <w:rPr>
          <w:rFonts w:cs="Times New Roman"/>
        </w:rPr>
        <w:t>this analytical framework [seems] incongruous [in this case]. In reality, section</w:t>
      </w:r>
      <w:r>
        <w:rPr>
          <w:rFonts w:cs="Times New Roman"/>
        </w:rPr>
        <w:t xml:space="preserve"> </w:t>
      </w:r>
      <w:r w:rsidRPr="00136956">
        <w:rPr>
          <w:rFonts w:cs="Times New Roman"/>
        </w:rPr>
        <w:t xml:space="preserve">29 of </w:t>
      </w:r>
      <w:r w:rsidRPr="00136956">
        <w:rPr>
          <w:rFonts w:eastAsia="Times New Roman" w:cs="Times New Roman"/>
          <w:szCs w:val="24"/>
        </w:rPr>
        <w:t>C</w:t>
      </w:r>
      <w:r>
        <w:rPr>
          <w:rFonts w:eastAsia="Times New Roman" w:cs="Times New Roman"/>
          <w:szCs w:val="24"/>
        </w:rPr>
        <w:t>-</w:t>
      </w:r>
      <w:r w:rsidRPr="00136956">
        <w:rPr>
          <w:rFonts w:eastAsia="Times New Roman" w:cs="Times New Roman"/>
          <w:szCs w:val="24"/>
        </w:rPr>
        <w:t xml:space="preserve">19 is a legislative provision that does not establish </w:t>
      </w:r>
      <w:r w:rsidRPr="00136956">
        <w:rPr>
          <w:rFonts w:cs="Times New Roman"/>
        </w:rPr>
        <w:t>jurisdiction in any strict sense</w:t>
      </w:r>
      <w:r w:rsidRPr="00136956">
        <w:rPr>
          <w:rFonts w:eastAsia="Times New Roman" w:cs="Times New Roman"/>
          <w:szCs w:val="24"/>
        </w:rPr>
        <w:t>; rather, in both intention and scope, it aims to prevent any other level of government from legitimately using the data recorded in the Registry” (para.</w:t>
      </w:r>
      <w:r>
        <w:rPr>
          <w:rFonts w:eastAsia="Times New Roman" w:cs="Times New Roman"/>
          <w:szCs w:val="24"/>
        </w:rPr>
        <w:t xml:space="preserve"> </w:t>
      </w:r>
      <w:r w:rsidRPr="00136956">
        <w:rPr>
          <w:rFonts w:eastAsia="Times New Roman" w:cs="Times New Roman"/>
          <w:szCs w:val="24"/>
        </w:rPr>
        <w:t>130). In his view, “[t]his situation, which is without precedent in Canadian constitutional history, justifies an analytical approach that takes this context into account” (para.</w:t>
      </w:r>
      <w:r>
        <w:rPr>
          <w:rFonts w:eastAsia="Times New Roman" w:cs="Times New Roman"/>
          <w:szCs w:val="24"/>
        </w:rPr>
        <w:t xml:space="preserve"> </w:t>
      </w:r>
      <w:r w:rsidRPr="00136956">
        <w:rPr>
          <w:rFonts w:eastAsia="Times New Roman" w:cs="Times New Roman"/>
          <w:szCs w:val="24"/>
        </w:rPr>
        <w:t xml:space="preserve">131). </w:t>
      </w:r>
    </w:p>
    <w:p w:rsidR="009278C8" w:rsidRPr="00136956" w:rsidRDefault="009278C8" w:rsidP="009278C8">
      <w:pPr>
        <w:pStyle w:val="ParaNoNdepar-AltN"/>
        <w:tabs>
          <w:tab w:val="clear" w:pos="1166"/>
          <w:tab w:val="num" w:pos="1152"/>
        </w:tabs>
        <w:rPr>
          <w:rFonts w:cs="Times New Roman"/>
        </w:rPr>
      </w:pPr>
      <w:r w:rsidRPr="00136956">
        <w:rPr>
          <w:rFonts w:cs="Times New Roman"/>
        </w:rPr>
        <w:t>Blanchard</w:t>
      </w:r>
      <w:r>
        <w:rPr>
          <w:rFonts w:cs="Times New Roman"/>
        </w:rPr>
        <w:t xml:space="preserve"> </w:t>
      </w:r>
      <w:r w:rsidRPr="00136956">
        <w:rPr>
          <w:rFonts w:cs="Times New Roman"/>
        </w:rPr>
        <w:t>J. found that s.</w:t>
      </w:r>
      <w:r>
        <w:rPr>
          <w:rFonts w:cs="Times New Roman"/>
        </w:rPr>
        <w:t xml:space="preserve"> </w:t>
      </w:r>
      <w:r w:rsidRPr="00136956">
        <w:rPr>
          <w:rFonts w:cs="Times New Roman"/>
        </w:rPr>
        <w:t>29 was intended to prevent the provinces from exercising their powers in their own spheres of jurisdiction. This meant that it encroached substantially, even [</w:t>
      </w:r>
      <w:r w:rsidRPr="00136956">
        <w:rPr>
          <w:rFonts w:cs="Times New Roman"/>
          <w:smallCaps/>
        </w:rPr>
        <w:t xml:space="preserve">translation] </w:t>
      </w:r>
      <w:r w:rsidRPr="00136956">
        <w:rPr>
          <w:rFonts w:cs="Times New Roman"/>
        </w:rPr>
        <w:t xml:space="preserve">“to excess”, on provincial powers and that it was neither necessary nor rationally connected to the purpose of the </w:t>
      </w:r>
      <w:r w:rsidRPr="00136956">
        <w:rPr>
          <w:rFonts w:cs="Times New Roman"/>
          <w:i/>
        </w:rPr>
        <w:t>ELRA</w:t>
      </w:r>
      <w:r w:rsidRPr="00136956">
        <w:rPr>
          <w:rFonts w:cs="Times New Roman"/>
        </w:rPr>
        <w:t xml:space="preserve"> </w:t>
      </w:r>
      <w:r w:rsidRPr="00136956">
        <w:rPr>
          <w:rFonts w:eastAsia="Times New Roman" w:cs="Times New Roman"/>
          <w:szCs w:val="24"/>
        </w:rPr>
        <w:t>(para.</w:t>
      </w:r>
      <w:r>
        <w:rPr>
          <w:rFonts w:eastAsia="Times New Roman" w:cs="Times New Roman"/>
          <w:szCs w:val="24"/>
        </w:rPr>
        <w:t xml:space="preserve"> </w:t>
      </w:r>
      <w:r w:rsidRPr="00136956">
        <w:rPr>
          <w:rFonts w:eastAsia="Times New Roman" w:cs="Times New Roman"/>
          <w:szCs w:val="24"/>
        </w:rPr>
        <w:t xml:space="preserve">135). On this point, he noted that </w:t>
      </w:r>
      <w:r w:rsidRPr="00136956">
        <w:rPr>
          <w:rFonts w:eastAsia="Times New Roman" w:cs="Times New Roman"/>
          <w:iCs/>
          <w:szCs w:val="24"/>
        </w:rPr>
        <w:t xml:space="preserve">this Court had determined </w:t>
      </w:r>
      <w:r w:rsidRPr="00136956">
        <w:rPr>
          <w:rFonts w:eastAsia="Times New Roman" w:cs="Times New Roman"/>
          <w:szCs w:val="24"/>
        </w:rPr>
        <w:t xml:space="preserve">in the </w:t>
      </w:r>
      <w:r w:rsidRPr="00136956">
        <w:rPr>
          <w:rFonts w:eastAsia="Times New Roman" w:cs="Times New Roman"/>
          <w:i/>
          <w:szCs w:val="24"/>
        </w:rPr>
        <w:t>FA Reference</w:t>
      </w:r>
      <w:r w:rsidRPr="00136956">
        <w:rPr>
          <w:rFonts w:eastAsia="Times New Roman" w:cs="Times New Roman"/>
          <w:iCs/>
          <w:szCs w:val="24"/>
        </w:rPr>
        <w:t xml:space="preserve"> that the firearms registration system was tightly linked to the administration of the records of licences</w:t>
      </w:r>
      <w:r w:rsidRPr="00136956">
        <w:rPr>
          <w:rFonts w:eastAsia="Times New Roman" w:cs="Times New Roman"/>
          <w:szCs w:val="24"/>
        </w:rPr>
        <w:t xml:space="preserve"> — which remain in the system — and to the purpose of promoting safety by reducing the misuse of firearms (</w:t>
      </w:r>
      <w:r w:rsidR="004B58BA" w:rsidRPr="004B58BA">
        <w:rPr>
          <w:rFonts w:eastAsia="Times New Roman" w:cs="Times New Roman"/>
          <w:i/>
          <w:szCs w:val="24"/>
        </w:rPr>
        <w:t>ibid.</w:t>
      </w:r>
      <w:r w:rsidRPr="00136956">
        <w:rPr>
          <w:rFonts w:eastAsia="Times New Roman" w:cs="Times New Roman"/>
          <w:szCs w:val="24"/>
        </w:rPr>
        <w:t xml:space="preserve">). He added that it would be possible to decriminalize the failure to register long guns without </w:t>
      </w:r>
      <w:r w:rsidRPr="00136956">
        <w:rPr>
          <w:rFonts w:eastAsia="Times New Roman" w:cs="Times New Roman"/>
          <w:szCs w:val="24"/>
        </w:rPr>
        <w:lastRenderedPageBreak/>
        <w:t>destroying the data (para.</w:t>
      </w:r>
      <w:r>
        <w:rPr>
          <w:rFonts w:eastAsia="Times New Roman" w:cs="Times New Roman"/>
          <w:szCs w:val="24"/>
        </w:rPr>
        <w:t xml:space="preserve"> </w:t>
      </w:r>
      <w:r w:rsidRPr="00136956">
        <w:rPr>
          <w:rFonts w:eastAsia="Times New Roman" w:cs="Times New Roman"/>
          <w:szCs w:val="24"/>
        </w:rPr>
        <w:t xml:space="preserve">140). Moreover, none of the earlier bills had provided for their destruction </w:t>
      </w:r>
      <w:r w:rsidRPr="00136956">
        <w:rPr>
          <w:rFonts w:cs="Times New Roman"/>
        </w:rPr>
        <w:t>(para.</w:t>
      </w:r>
      <w:r>
        <w:rPr>
          <w:rFonts w:cs="Times New Roman"/>
        </w:rPr>
        <w:t xml:space="preserve"> </w:t>
      </w:r>
      <w:r w:rsidRPr="00136956">
        <w:rPr>
          <w:rFonts w:cs="Times New Roman"/>
        </w:rPr>
        <w:t xml:space="preserve">141). </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3" w:name="_Toc411583245"/>
      <w:bookmarkStart w:id="14" w:name="_Toc413306863"/>
      <w:r w:rsidRPr="00136956">
        <w:rPr>
          <w:rFonts w:cs="Times New Roman"/>
        </w:rPr>
        <w:t>Quebec’s Right to Obtain the Data</w:t>
      </w:r>
      <w:bookmarkEnd w:id="13"/>
      <w:bookmarkEnd w:id="14"/>
    </w:p>
    <w:p w:rsidR="009278C8" w:rsidRPr="00136956" w:rsidRDefault="009278C8" w:rsidP="009278C8">
      <w:pPr>
        <w:pStyle w:val="ParaNoNdepar-AltN"/>
        <w:tabs>
          <w:tab w:val="clear" w:pos="1166"/>
          <w:tab w:val="num" w:pos="1152"/>
        </w:tabs>
        <w:rPr>
          <w:rFonts w:cs="Times New Roman"/>
        </w:rPr>
      </w:pPr>
      <w:r w:rsidRPr="00136956">
        <w:rPr>
          <w:rFonts w:cs="Times New Roman"/>
        </w:rPr>
        <w:t>Having found s.</w:t>
      </w:r>
      <w:r>
        <w:rPr>
          <w:rFonts w:cs="Times New Roman"/>
        </w:rPr>
        <w:t xml:space="preserve"> </w:t>
      </w:r>
      <w:r w:rsidRPr="00136956">
        <w:rPr>
          <w:rFonts w:cs="Times New Roman"/>
        </w:rPr>
        <w:t>29 to be unconstitutional, Blanchard</w:t>
      </w:r>
      <w:r>
        <w:rPr>
          <w:rFonts w:cs="Times New Roman"/>
        </w:rPr>
        <w:t xml:space="preserve"> </w:t>
      </w:r>
      <w:r w:rsidRPr="00136956">
        <w:rPr>
          <w:rFonts w:cs="Times New Roman"/>
        </w:rPr>
        <w:t>J. then considered the transfer of the data requested by the AGQ. He found that, because the data to which s.</w:t>
      </w:r>
      <w:r>
        <w:rPr>
          <w:rFonts w:cs="Times New Roman"/>
        </w:rPr>
        <w:t xml:space="preserve"> </w:t>
      </w:r>
      <w:r w:rsidRPr="00136956">
        <w:rPr>
          <w:rFonts w:cs="Times New Roman"/>
        </w:rPr>
        <w:t>29 applied were the product of a partnership between Canada and the provinces, they had no [</w:t>
      </w:r>
      <w:r w:rsidRPr="00136956">
        <w:rPr>
          <w:rFonts w:cs="Times New Roman"/>
          <w:smallCaps/>
        </w:rPr>
        <w:t xml:space="preserve">translation] </w:t>
      </w:r>
      <w:r w:rsidRPr="00136956">
        <w:rPr>
          <w:rFonts w:cs="Times New Roman"/>
        </w:rPr>
        <w:t>“owner” and did not fall within the jurisdiction of a single level of government. As a result, Quebec was entitled to obtain them (paras.</w:t>
      </w:r>
      <w:r>
        <w:rPr>
          <w:rFonts w:cs="Times New Roman"/>
        </w:rPr>
        <w:t xml:space="preserve"> </w:t>
      </w:r>
      <w:r w:rsidRPr="00136956">
        <w:rPr>
          <w:rFonts w:cs="Times New Roman"/>
        </w:rPr>
        <w:t>148</w:t>
      </w:r>
      <w:r>
        <w:rPr>
          <w:rFonts w:cs="Times New Roman"/>
        </w:rPr>
        <w:t>-</w:t>
      </w:r>
      <w:r w:rsidRPr="00136956">
        <w:rPr>
          <w:rFonts w:cs="Times New Roman"/>
        </w:rPr>
        <w:t xml:space="preserve">49). He said the following in this regard: </w:t>
      </w:r>
      <w:r w:rsidRPr="00136956">
        <w:rPr>
          <w:rFonts w:cs="Times New Roman"/>
          <w:smallCaps/>
        </w:rPr>
        <w:t>“</w:t>
      </w:r>
      <w:r w:rsidRPr="00136956">
        <w:rPr>
          <w:rFonts w:cs="Times New Roman"/>
        </w:rPr>
        <w:t>It goes against common sense — not to say the common good — to prevent Quebec from using data that it took part in gathering, analyzing, organizing, and modifying” (para.</w:t>
      </w:r>
      <w:r>
        <w:rPr>
          <w:rFonts w:cs="Times New Roman"/>
        </w:rPr>
        <w:t xml:space="preserve"> </w:t>
      </w:r>
      <w:r w:rsidRPr="00136956">
        <w:rPr>
          <w:rFonts w:cs="Times New Roman"/>
        </w:rPr>
        <w:t>151).</w:t>
      </w:r>
    </w:p>
    <w:p w:rsidR="009278C8" w:rsidRPr="00136956" w:rsidRDefault="009278C8" w:rsidP="009278C8">
      <w:pPr>
        <w:pStyle w:val="ParaNoNdepar-AltN"/>
        <w:tabs>
          <w:tab w:val="clear" w:pos="1166"/>
          <w:tab w:val="num" w:pos="1152"/>
        </w:tabs>
        <w:rPr>
          <w:rFonts w:cs="Times New Roman"/>
        </w:rPr>
      </w:pPr>
      <w:r w:rsidRPr="00136956">
        <w:rPr>
          <w:rFonts w:cs="Times New Roman"/>
        </w:rPr>
        <w:t>Blanchard</w:t>
      </w:r>
      <w:r>
        <w:rPr>
          <w:rFonts w:cs="Times New Roman"/>
        </w:rPr>
        <w:t xml:space="preserve"> </w:t>
      </w:r>
      <w:r w:rsidRPr="00136956">
        <w:rPr>
          <w:rFonts w:cs="Times New Roman"/>
        </w:rPr>
        <w:t>J. pointed out that the data had been collected using forms that clearly disclosed both the interaction between federal and provincial governments and the intended use of the data, namely the enforcement of firearms legislation (para.</w:t>
      </w:r>
      <w:r>
        <w:rPr>
          <w:rFonts w:cs="Times New Roman"/>
        </w:rPr>
        <w:t xml:space="preserve"> </w:t>
      </w:r>
      <w:r w:rsidRPr="00136956">
        <w:rPr>
          <w:rFonts w:cs="Times New Roman"/>
        </w:rPr>
        <w:t>154). The fact that it is Quebec, rather than Canada, that would from now on be gathering these data for an identical purpose [</w:t>
      </w:r>
      <w:r w:rsidRPr="00136956">
        <w:rPr>
          <w:rFonts w:cs="Times New Roman"/>
          <w:smallCaps/>
        </w:rPr>
        <w:t xml:space="preserve">translation] </w:t>
      </w:r>
      <w:r w:rsidRPr="00136956">
        <w:rPr>
          <w:rFonts w:cs="Times New Roman"/>
        </w:rPr>
        <w:t>“[cannot] give rise to a legitimate objection” (para.</w:t>
      </w:r>
      <w:r>
        <w:rPr>
          <w:rFonts w:cs="Times New Roman"/>
        </w:rPr>
        <w:t xml:space="preserve"> </w:t>
      </w:r>
      <w:r w:rsidRPr="00136956">
        <w:rPr>
          <w:rFonts w:cs="Times New Roman"/>
        </w:rPr>
        <w:t xml:space="preserve">155). </w:t>
      </w:r>
    </w:p>
    <w:p w:rsidR="009278C8" w:rsidRPr="00136956" w:rsidRDefault="009278C8" w:rsidP="009278C8">
      <w:pPr>
        <w:pStyle w:val="Title2LevelTitre2Niveau"/>
        <w:tabs>
          <w:tab w:val="clear" w:pos="576"/>
          <w:tab w:val="num" w:pos="432"/>
        </w:tabs>
        <w:ind w:left="432" w:hanging="432"/>
        <w:outlineLvl w:val="0"/>
        <w:rPr>
          <w:rFonts w:cs="Times New Roman"/>
        </w:rPr>
      </w:pPr>
      <w:bookmarkStart w:id="15" w:name="_Toc411583246"/>
      <w:bookmarkStart w:id="16" w:name="_Toc413306864"/>
      <w:r w:rsidRPr="00136956">
        <w:rPr>
          <w:rFonts w:cs="Times New Roman"/>
        </w:rPr>
        <w:t>Quebec Court of Appeal</w:t>
      </w:r>
      <w:bookmarkEnd w:id="15"/>
      <w:bookmarkEnd w:id="16"/>
      <w:r w:rsidRPr="00136956">
        <w:rPr>
          <w:rFonts w:cs="Times New Roman"/>
        </w:rPr>
        <w:t xml:space="preserve">, 2013 QCCA </w:t>
      </w:r>
      <w:r w:rsidR="00B336F6">
        <w:rPr>
          <w:rFonts w:cs="Times New Roman"/>
        </w:rPr>
        <w:t>1</w:t>
      </w:r>
      <w:r w:rsidRPr="00136956">
        <w:rPr>
          <w:rFonts w:cs="Times New Roman"/>
        </w:rPr>
        <w:t>138</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On June 27, 2013, the Quebec Court of Appeal unanimously allowed the appeal of the Attorney General of Canada (“AGC”). It reversed the trial judge’s decision and dismissed the AGQ’s motion for a declaration of constitutional invalidity. </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7" w:name="_Toc399860706"/>
      <w:bookmarkStart w:id="18" w:name="_Toc411583247"/>
      <w:bookmarkStart w:id="19" w:name="_Toc413306865"/>
      <w:r w:rsidRPr="00136956">
        <w:rPr>
          <w:rFonts w:cs="Times New Roman"/>
        </w:rPr>
        <w:t>Fact</w:t>
      </w:r>
      <w:bookmarkEnd w:id="17"/>
      <w:bookmarkEnd w:id="18"/>
      <w:bookmarkEnd w:id="19"/>
      <w:r w:rsidRPr="00136956">
        <w:rPr>
          <w:rFonts w:cs="Times New Roman"/>
        </w:rPr>
        <w:t>s</w:t>
      </w:r>
    </w:p>
    <w:p w:rsidR="009278C8" w:rsidRPr="00136956" w:rsidRDefault="009278C8" w:rsidP="009278C8">
      <w:pPr>
        <w:pStyle w:val="ParaNoNdepar-AltN"/>
        <w:tabs>
          <w:tab w:val="clear" w:pos="1166"/>
          <w:tab w:val="num" w:pos="1152"/>
        </w:tabs>
        <w:rPr>
          <w:rFonts w:cs="Times New Roman"/>
        </w:rPr>
      </w:pPr>
      <w:r w:rsidRPr="00136956">
        <w:rPr>
          <w:rFonts w:cs="Times New Roman"/>
        </w:rPr>
        <w:t>The Court of Appeal first found that the Superior Court’s judgment was confused and erroneous as regards the nature of the registry. It stated that Blanchard</w:t>
      </w:r>
      <w:r>
        <w:rPr>
          <w:rFonts w:cs="Times New Roman"/>
        </w:rPr>
        <w:t xml:space="preserve"> </w:t>
      </w:r>
      <w:r w:rsidRPr="00136956">
        <w:rPr>
          <w:rFonts w:cs="Times New Roman"/>
        </w:rPr>
        <w:t>J. had confused the CFIS with the CFR (para.</w:t>
      </w:r>
      <w:r>
        <w:rPr>
          <w:rFonts w:cs="Times New Roman"/>
        </w:rPr>
        <w:t xml:space="preserve"> </w:t>
      </w:r>
      <w:r w:rsidRPr="00136956">
        <w:rPr>
          <w:rFonts w:cs="Times New Roman"/>
        </w:rPr>
        <w:t>28): it was of the opinion that [</w:t>
      </w:r>
      <w:r w:rsidRPr="00136956">
        <w:rPr>
          <w:rFonts w:cs="Times New Roman"/>
          <w:smallCaps/>
        </w:rPr>
        <w:t>translation] “</w:t>
      </w:r>
      <w:r w:rsidRPr="00136956">
        <w:rPr>
          <w:rFonts w:cs="Times New Roman"/>
        </w:rPr>
        <w:t>the CFIS is nothing more than a system providing electronic access to the registries kept by the Registrar and the Chief Firearms Officers” (para.</w:t>
      </w:r>
      <w:r>
        <w:rPr>
          <w:rFonts w:cs="Times New Roman"/>
        </w:rPr>
        <w:t xml:space="preserve"> </w:t>
      </w:r>
      <w:r w:rsidRPr="00136956">
        <w:rPr>
          <w:rFonts w:cs="Times New Roman"/>
        </w:rPr>
        <w:t>31</w:t>
      </w:r>
      <w:r w:rsidR="00B336F6">
        <w:rPr>
          <w:rFonts w:cs="Times New Roman"/>
        </w:rPr>
        <w:t xml:space="preserve"> (CanLII)</w:t>
      </w:r>
      <w:r w:rsidRPr="00136956">
        <w:rPr>
          <w:rFonts w:cs="Times New Roman"/>
        </w:rPr>
        <w:t>). The Court of Appeal also rejected certain other findings of fact made by the trial judge, particularly those to the effect that the CFR resulted from a partnership between the provinces and the federal government, and that Quebec’s CFO had a certain control over the CFR and had contributed to it (paras.</w:t>
      </w:r>
      <w:r>
        <w:rPr>
          <w:rFonts w:cs="Times New Roman"/>
        </w:rPr>
        <w:t xml:space="preserve"> </w:t>
      </w:r>
      <w:r w:rsidRPr="00136956">
        <w:rPr>
          <w:rFonts w:cs="Times New Roman"/>
        </w:rPr>
        <w:t>29 and 56). The Court of Appeal found that the CFR was a registry that was maintained by the Registrar and remained independent of and distinct from the registries maintained by the CFOs. The CFIS merely enabled CFOs, like various federal, provincial and municipal public safety organizations, to access data in the CFR (para.</w:t>
      </w:r>
      <w:r>
        <w:rPr>
          <w:rFonts w:cs="Times New Roman"/>
        </w:rPr>
        <w:t xml:space="preserve"> </w:t>
      </w:r>
      <w:r w:rsidRPr="00136956">
        <w:rPr>
          <w:rFonts w:cs="Times New Roman"/>
        </w:rPr>
        <w:t>28).</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20" w:name="_Toc399860707"/>
      <w:bookmarkStart w:id="21" w:name="_Toc411583248"/>
      <w:bookmarkStart w:id="22" w:name="_Toc413306866"/>
      <w:r w:rsidRPr="00136956">
        <w:rPr>
          <w:rFonts w:cs="Times New Roman"/>
        </w:rPr>
        <w:t>Constitutionality of Section</w:t>
      </w:r>
      <w:r>
        <w:rPr>
          <w:rFonts w:cs="Times New Roman"/>
        </w:rPr>
        <w:t xml:space="preserve"> </w:t>
      </w:r>
      <w:r w:rsidRPr="00136956">
        <w:rPr>
          <w:rFonts w:cs="Times New Roman"/>
        </w:rPr>
        <w:t xml:space="preserve">29 of the </w:t>
      </w:r>
      <w:bookmarkEnd w:id="20"/>
      <w:bookmarkEnd w:id="21"/>
      <w:bookmarkEnd w:id="22"/>
      <w:r w:rsidRPr="00136956">
        <w:rPr>
          <w:rFonts w:cs="Times New Roman"/>
          <w:i/>
        </w:rPr>
        <w:t>ELRA</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Next, the Court of Appeal found that s.</w:t>
      </w:r>
      <w:r>
        <w:rPr>
          <w:rFonts w:cs="Times New Roman"/>
        </w:rPr>
        <w:t xml:space="preserve"> </w:t>
      </w:r>
      <w:r w:rsidRPr="00136956">
        <w:rPr>
          <w:rFonts w:cs="Times New Roman"/>
        </w:rPr>
        <w:t>29 falls within Parliament’s jurisdiction. In its view, it makes little sense that Parliament would not have the power to amend a statute it had enacted or to destroy data in a registry it had created (paras.</w:t>
      </w:r>
      <w:r>
        <w:rPr>
          <w:rFonts w:cs="Times New Roman"/>
        </w:rPr>
        <w:t xml:space="preserve"> </w:t>
      </w:r>
      <w:r w:rsidRPr="00136956">
        <w:rPr>
          <w:rFonts w:cs="Times New Roman"/>
        </w:rPr>
        <w:t>37 and 45).</w:t>
      </w:r>
    </w:p>
    <w:p w:rsidR="009278C8" w:rsidRPr="00136956" w:rsidRDefault="009278C8" w:rsidP="009278C8">
      <w:pPr>
        <w:pStyle w:val="ParaNoNdepar-AltN"/>
        <w:tabs>
          <w:tab w:val="clear" w:pos="1166"/>
          <w:tab w:val="num" w:pos="1152"/>
        </w:tabs>
        <w:rPr>
          <w:rFonts w:cs="Times New Roman"/>
        </w:rPr>
      </w:pPr>
      <w:r w:rsidRPr="00136956">
        <w:rPr>
          <w:rFonts w:cs="Times New Roman"/>
        </w:rPr>
        <w:t>The Court of Appeal reversed the trial judge’s conclusion that s.</w:t>
      </w:r>
      <w:r>
        <w:rPr>
          <w:rFonts w:cs="Times New Roman"/>
        </w:rPr>
        <w:t xml:space="preserve"> </w:t>
      </w:r>
      <w:r w:rsidRPr="00136956">
        <w:rPr>
          <w:rFonts w:cs="Times New Roman"/>
        </w:rPr>
        <w:t xml:space="preserve">29 had been enacted to prevent Quebec from using the data in the registry. Moreover, it rejected an argument by the AGQ based on the </w:t>
      </w:r>
      <w:r w:rsidRPr="00136956">
        <w:rPr>
          <w:rFonts w:cs="Times New Roman"/>
          <w:i/>
        </w:rPr>
        <w:t>Reference re Upper Churchill Water Rights Reversion Act</w:t>
      </w:r>
      <w:r w:rsidRPr="00136956">
        <w:rPr>
          <w:rFonts w:cs="Times New Roman"/>
        </w:rPr>
        <w:t>, [1984] 1 S.C.R. 297 (“</w:t>
      </w:r>
      <w:r w:rsidRPr="00136956">
        <w:rPr>
          <w:rFonts w:cs="Times New Roman"/>
          <w:i/>
          <w:iCs/>
        </w:rPr>
        <w:t>Upper Churchill</w:t>
      </w:r>
      <w:r w:rsidRPr="00136956">
        <w:rPr>
          <w:rFonts w:cs="Times New Roman"/>
          <w:iCs/>
        </w:rPr>
        <w:t>”</w:t>
      </w:r>
      <w:r w:rsidRPr="00136956">
        <w:rPr>
          <w:rFonts w:cs="Times New Roman"/>
        </w:rPr>
        <w:t>). In that case, the province of Newfoundland had enacted a statute under which the right to use water from and rights related to power generated at Churchill Falls were to revest in the Crown (Court of Appeal’s reasons, at para.</w:t>
      </w:r>
      <w:r>
        <w:rPr>
          <w:rFonts w:cs="Times New Roman"/>
        </w:rPr>
        <w:t xml:space="preserve"> </w:t>
      </w:r>
      <w:r w:rsidRPr="00136956">
        <w:rPr>
          <w:rFonts w:cs="Times New Roman"/>
        </w:rPr>
        <w:t>41). A previous provincial statute had assigned those rights to the Churchill Falls (Labrador) Corp., which had then signed a contract for the sale of power with Hydro</w:t>
      </w:r>
      <w:r>
        <w:rPr>
          <w:rFonts w:cs="Times New Roman"/>
        </w:rPr>
        <w:t>-</w:t>
      </w:r>
      <w:r w:rsidRPr="00136956">
        <w:rPr>
          <w:rFonts w:cs="Times New Roman"/>
        </w:rPr>
        <w:t xml:space="preserve">Québec. The province argued, among other things, that the assignment was inoperative </w:t>
      </w:r>
      <w:r w:rsidR="00264277">
        <w:rPr>
          <w:rFonts w:cs="Times New Roman"/>
        </w:rPr>
        <w:t>on the basis of</w:t>
      </w:r>
      <w:r w:rsidRPr="00136956">
        <w:rPr>
          <w:rFonts w:cs="Times New Roman"/>
        </w:rPr>
        <w:t xml:space="preserve"> its power to repeal an existing statute. This Court concluded that the new statute was colourable legislation whose sole purpose was to amend the power contract, thereby depriving Hydro</w:t>
      </w:r>
      <w:r>
        <w:rPr>
          <w:rFonts w:cs="Times New Roman"/>
        </w:rPr>
        <w:t>-</w:t>
      </w:r>
      <w:r w:rsidRPr="00136956">
        <w:rPr>
          <w:rFonts w:cs="Times New Roman"/>
        </w:rPr>
        <w:t xml:space="preserve">Québec of its rights, and that that purpose was </w:t>
      </w:r>
      <w:r w:rsidRPr="00136956">
        <w:rPr>
          <w:rFonts w:cs="Times New Roman"/>
          <w:i/>
        </w:rPr>
        <w:t>ultra vires</w:t>
      </w:r>
      <w:r w:rsidRPr="00136956">
        <w:rPr>
          <w:rFonts w:cs="Times New Roman"/>
        </w:rPr>
        <w:t xml:space="preserve"> the province. In the Court of Appeal’s view, </w:t>
      </w:r>
      <w:r w:rsidRPr="00136956">
        <w:rPr>
          <w:rFonts w:cs="Times New Roman"/>
          <w:i/>
          <w:iCs/>
        </w:rPr>
        <w:t>Upper Churchill</w:t>
      </w:r>
      <w:r w:rsidRPr="00136956">
        <w:rPr>
          <w:rFonts w:cs="Times New Roman"/>
        </w:rPr>
        <w:t xml:space="preserve"> can be distinguished from the instant case, in which the federal government’s intention is to abolish a registry it itself created. Parliament is not preventing the provinces from creating their own registries, but is simply refusing to collaborate in such an initiative (</w:t>
      </w:r>
      <w:proofErr w:type="gramStart"/>
      <w:r w:rsidRPr="00136956">
        <w:rPr>
          <w:rFonts w:cs="Times New Roman"/>
          <w:i/>
        </w:rPr>
        <w:t>ibid.</w:t>
      </w:r>
      <w:r w:rsidRPr="00136956">
        <w:rPr>
          <w:rFonts w:cs="Times New Roman"/>
        </w:rPr>
        <w:t>,</w:t>
      </w:r>
      <w:proofErr w:type="gramEnd"/>
      <w:r w:rsidRPr="00136956">
        <w:rPr>
          <w:rFonts w:cs="Times New Roman"/>
        </w:rPr>
        <w:t xml:space="preserve"> at para.</w:t>
      </w:r>
      <w:r>
        <w:rPr>
          <w:rFonts w:cs="Times New Roman"/>
        </w:rPr>
        <w:t xml:space="preserve"> </w:t>
      </w:r>
      <w:r w:rsidRPr="00136956">
        <w:rPr>
          <w:rFonts w:cs="Times New Roman"/>
        </w:rPr>
        <w:t>42).</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Turning to the ancillary powers doctrine, the Court of Appeal found that, since the </w:t>
      </w:r>
      <w:r w:rsidRPr="00136956">
        <w:rPr>
          <w:rFonts w:cs="Times New Roman"/>
          <w:i/>
        </w:rPr>
        <w:t>ELRA</w:t>
      </w:r>
      <w:r w:rsidRPr="00136956">
        <w:rPr>
          <w:rFonts w:cs="Times New Roman"/>
        </w:rPr>
        <w:t xml:space="preserve"> abolished a scheme the creation of which had been held to be valid, it could not encroach on provincial jurisdiction any more than did the Act that had created the scheme (para.</w:t>
      </w:r>
      <w:r>
        <w:rPr>
          <w:rFonts w:cs="Times New Roman"/>
        </w:rPr>
        <w:t xml:space="preserve"> </w:t>
      </w:r>
      <w:r w:rsidRPr="00136956">
        <w:rPr>
          <w:rFonts w:cs="Times New Roman"/>
        </w:rPr>
        <w:t>49). The court stated that the trial judge had erred in using the principle of co</w:t>
      </w:r>
      <w:r>
        <w:rPr>
          <w:rFonts w:cs="Times New Roman"/>
        </w:rPr>
        <w:t>-</w:t>
      </w:r>
      <w:r w:rsidRPr="00136956">
        <w:rPr>
          <w:rFonts w:cs="Times New Roman"/>
        </w:rPr>
        <w:t>operative federalism [</w:t>
      </w:r>
      <w:r w:rsidRPr="00136956">
        <w:rPr>
          <w:rFonts w:cs="Times New Roman"/>
          <w:smallCaps/>
        </w:rPr>
        <w:t>translation] “</w:t>
      </w:r>
      <w:r w:rsidRPr="00136956">
        <w:rPr>
          <w:rFonts w:cs="Times New Roman"/>
        </w:rPr>
        <w:t>not as a mere interpretive tool but as the legal basis for a declaration that section 29 of the Act was ‘of no force or effect’” (para.</w:t>
      </w:r>
      <w:r>
        <w:rPr>
          <w:rFonts w:cs="Times New Roman"/>
        </w:rPr>
        <w:t xml:space="preserve"> </w:t>
      </w:r>
      <w:r w:rsidRPr="00136956">
        <w:rPr>
          <w:rFonts w:cs="Times New Roman"/>
        </w:rPr>
        <w:t xml:space="preserve">54). </w:t>
      </w:r>
    </w:p>
    <w:p w:rsidR="009278C8" w:rsidRPr="00136956" w:rsidRDefault="009278C8" w:rsidP="009278C8">
      <w:pPr>
        <w:pStyle w:val="Title3LevelTitre3Niveau"/>
        <w:widowControl w:val="0"/>
        <w:tabs>
          <w:tab w:val="clear" w:pos="1152"/>
          <w:tab w:val="num" w:pos="864"/>
        </w:tabs>
        <w:ind w:left="864" w:hanging="432"/>
        <w:outlineLvl w:val="0"/>
        <w:rPr>
          <w:rFonts w:cs="Times New Roman"/>
        </w:rPr>
      </w:pPr>
      <w:bookmarkStart w:id="23" w:name="_Toc399860708"/>
      <w:bookmarkStart w:id="24" w:name="_Toc411583249"/>
      <w:bookmarkStart w:id="25" w:name="_Toc413306867"/>
      <w:r w:rsidRPr="00136956">
        <w:rPr>
          <w:rFonts w:cs="Times New Roman"/>
        </w:rPr>
        <w:t>Quebec’s Right to Obtain the Data</w:t>
      </w:r>
      <w:bookmarkEnd w:id="23"/>
      <w:bookmarkEnd w:id="24"/>
      <w:bookmarkEnd w:id="25"/>
    </w:p>
    <w:p w:rsidR="009278C8" w:rsidRPr="00136956" w:rsidRDefault="009278C8" w:rsidP="009278C8">
      <w:pPr>
        <w:pStyle w:val="ParaNoNdepar-AltN"/>
        <w:tabs>
          <w:tab w:val="clear" w:pos="1166"/>
          <w:tab w:val="num" w:pos="1152"/>
        </w:tabs>
        <w:rPr>
          <w:rFonts w:cs="Times New Roman"/>
        </w:rPr>
      </w:pPr>
      <w:r w:rsidRPr="00136956">
        <w:rPr>
          <w:rFonts w:cs="Times New Roman"/>
        </w:rPr>
        <w:t>Finally, the Court of Appeal declined to find that Quebec was entitled to receive the data. Its decision was based upon three grounds.</w:t>
      </w:r>
    </w:p>
    <w:p w:rsidR="009278C8" w:rsidRPr="00136956" w:rsidRDefault="009278C8" w:rsidP="009278C8">
      <w:pPr>
        <w:pStyle w:val="ParaNoNdepar-AltN"/>
        <w:tabs>
          <w:tab w:val="clear" w:pos="1166"/>
          <w:tab w:val="num" w:pos="1152"/>
        </w:tabs>
        <w:rPr>
          <w:rFonts w:cs="Times New Roman"/>
        </w:rPr>
      </w:pPr>
      <w:r w:rsidRPr="00136956">
        <w:rPr>
          <w:rFonts w:cs="Times New Roman"/>
        </w:rPr>
        <w:t>First, the Court of Appeal found that Quebec did not have any property rights in the CFR’s data, because it had no control over them (para.</w:t>
      </w:r>
      <w:r>
        <w:rPr>
          <w:rFonts w:cs="Times New Roman"/>
        </w:rPr>
        <w:t xml:space="preserve"> </w:t>
      </w:r>
      <w:r w:rsidRPr="00136956">
        <w:rPr>
          <w:rFonts w:cs="Times New Roman"/>
        </w:rPr>
        <w:t>55). According to the court, the evidence revealed that Quebec’s CFO had never contributed data to the CFR, and that the CFIS merely made it possible for users to access data gathered independently by the Registrar and the CFOs (para.</w:t>
      </w:r>
      <w:r>
        <w:rPr>
          <w:rFonts w:cs="Times New Roman"/>
        </w:rPr>
        <w:t xml:space="preserve"> </w:t>
      </w:r>
      <w:r w:rsidRPr="00136956">
        <w:rPr>
          <w:rFonts w:cs="Times New Roman"/>
        </w:rPr>
        <w:t xml:space="preserve">56).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Second, the Court of Appeal expressed the opinion that the CFO does not represent Quebec in exercising his or her duties. Rather, the CFO’s powers flow from the federal statute — the </w:t>
      </w:r>
      <w:r w:rsidRPr="00136956">
        <w:rPr>
          <w:rFonts w:cs="Times New Roman"/>
          <w:i/>
        </w:rPr>
        <w:t>FA</w:t>
      </w:r>
      <w:r w:rsidRPr="00136956">
        <w:rPr>
          <w:rFonts w:cs="Times New Roman"/>
        </w:rPr>
        <w:t xml:space="preserve"> — that created the position (paras.</w:t>
      </w:r>
      <w:r>
        <w:rPr>
          <w:rFonts w:cs="Times New Roman"/>
        </w:rPr>
        <w:t xml:space="preserve"> </w:t>
      </w:r>
      <w:r w:rsidRPr="00136956">
        <w:rPr>
          <w:rFonts w:cs="Times New Roman"/>
        </w:rPr>
        <w:t>58</w:t>
      </w:r>
      <w:r>
        <w:rPr>
          <w:rFonts w:cs="Times New Roman"/>
        </w:rPr>
        <w:t>-</w:t>
      </w:r>
      <w:r w:rsidRPr="00136956">
        <w:rPr>
          <w:rFonts w:cs="Times New Roman"/>
        </w:rPr>
        <w:t>59).</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Third, the Court of Appeal held that there was no partnership between Quebec and Canada with regard to the collection and preservation of the data targeted by s.</w:t>
      </w:r>
      <w:r>
        <w:rPr>
          <w:rFonts w:cs="Times New Roman"/>
        </w:rPr>
        <w:t xml:space="preserve"> </w:t>
      </w:r>
      <w:r w:rsidRPr="00136956">
        <w:rPr>
          <w:rFonts w:cs="Times New Roman"/>
        </w:rPr>
        <w:t xml:space="preserve">29. The financial agreements between Quebec and Canada did not create a partnership; they simply provided that Quebec was to be compensated for certain costs it incurred in administering the </w:t>
      </w:r>
      <w:r w:rsidRPr="00136956">
        <w:rPr>
          <w:rFonts w:cs="Times New Roman"/>
          <w:i/>
        </w:rPr>
        <w:t>FA</w:t>
      </w:r>
      <w:r w:rsidRPr="00136956">
        <w:rPr>
          <w:rFonts w:cs="Times New Roman"/>
        </w:rPr>
        <w:t xml:space="preserve"> within its territory (paras.</w:t>
      </w:r>
      <w:r>
        <w:rPr>
          <w:rFonts w:cs="Times New Roman"/>
        </w:rPr>
        <w:t xml:space="preserve"> </w:t>
      </w:r>
      <w:r w:rsidRPr="00136956">
        <w:rPr>
          <w:rFonts w:cs="Times New Roman"/>
        </w:rPr>
        <w:t>61</w:t>
      </w:r>
      <w:r>
        <w:rPr>
          <w:rFonts w:cs="Times New Roman"/>
        </w:rPr>
        <w:t>-</w:t>
      </w:r>
      <w:r w:rsidRPr="00136956">
        <w:rPr>
          <w:rFonts w:cs="Times New Roman"/>
        </w:rPr>
        <w:t>63). Consequently, there was nothing to justify ordering a transfer.</w:t>
      </w:r>
    </w:p>
    <w:p w:rsidR="009278C8" w:rsidRPr="00136956" w:rsidRDefault="009278C8" w:rsidP="009278C8">
      <w:pPr>
        <w:pStyle w:val="ParaNoNdepar-AltN"/>
        <w:tabs>
          <w:tab w:val="clear" w:pos="1166"/>
          <w:tab w:val="num" w:pos="1152"/>
        </w:tabs>
        <w:rPr>
          <w:rFonts w:cs="Times New Roman"/>
        </w:rPr>
      </w:pPr>
      <w:r w:rsidRPr="00136956">
        <w:rPr>
          <w:rFonts w:cs="Times New Roman"/>
        </w:rPr>
        <w:t>According to the Court of Appeal, [</w:t>
      </w:r>
      <w:r w:rsidRPr="00136956">
        <w:rPr>
          <w:rFonts w:cs="Times New Roman"/>
          <w:smallCaps/>
        </w:rPr>
        <w:t xml:space="preserve">translation] </w:t>
      </w:r>
      <w:r w:rsidRPr="00136956">
        <w:rPr>
          <w:rFonts w:cs="Times New Roman"/>
        </w:rPr>
        <w:t xml:space="preserve">“[t]he remedy determined by the judge — that is, to compel the federal government to continue to compile the data — was clearly inappropriate here. So was the obligation to transfer </w:t>
      </w:r>
      <w:r w:rsidR="00B336F6">
        <w:rPr>
          <w:rFonts w:cs="Times New Roman"/>
        </w:rPr>
        <w:t>this</w:t>
      </w:r>
      <w:r w:rsidRPr="00136956">
        <w:rPr>
          <w:rFonts w:cs="Times New Roman"/>
        </w:rPr>
        <w:t xml:space="preserve"> data to a future provincial registry” (para.</w:t>
      </w:r>
      <w:r>
        <w:rPr>
          <w:rFonts w:cs="Times New Roman"/>
        </w:rPr>
        <w:t xml:space="preserve"> </w:t>
      </w:r>
      <w:r w:rsidRPr="00136956">
        <w:rPr>
          <w:rFonts w:cs="Times New Roman"/>
        </w:rPr>
        <w:t>64).</w:t>
      </w:r>
    </w:p>
    <w:p w:rsidR="009278C8" w:rsidRPr="00136956" w:rsidRDefault="009278C8" w:rsidP="009278C8">
      <w:pPr>
        <w:pStyle w:val="Title1LevelTitre1Niveau-AltL"/>
        <w:tabs>
          <w:tab w:val="clear" w:pos="576"/>
          <w:tab w:val="left" w:pos="432"/>
        </w:tabs>
        <w:ind w:left="432" w:hanging="432"/>
        <w:outlineLvl w:val="0"/>
        <w:rPr>
          <w:rFonts w:cs="Times New Roman"/>
        </w:rPr>
      </w:pPr>
      <w:bookmarkStart w:id="26" w:name="_Toc411583250"/>
      <w:bookmarkStart w:id="27" w:name="_Toc413306868"/>
      <w:r w:rsidRPr="00136956">
        <w:rPr>
          <w:rFonts w:cs="Times New Roman"/>
        </w:rPr>
        <w:t>Issues</w:t>
      </w:r>
      <w:bookmarkEnd w:id="26"/>
      <w:bookmarkEnd w:id="27"/>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this Court, the AGQ does not dispute the federal government’s power to repeal the </w:t>
      </w:r>
      <w:r w:rsidRPr="00136956">
        <w:rPr>
          <w:rFonts w:cs="Times New Roman"/>
          <w:i/>
        </w:rPr>
        <w:t>FA</w:t>
      </w:r>
      <w:r w:rsidRPr="00136956">
        <w:rPr>
          <w:rFonts w:cs="Times New Roman"/>
        </w:rPr>
        <w:t>’s provisions on the registration of long guns. As the Court of Appeal correctly stated, it would make little sense, and would be contrary to the principle of parliamentary sovereignty, if Parliament could not repeal a statute it itself had enacted. Nor is the provinces’ power to have a long</w:t>
      </w:r>
      <w:r>
        <w:rPr>
          <w:rFonts w:cs="Times New Roman"/>
        </w:rPr>
        <w:t>-</w:t>
      </w:r>
      <w:r w:rsidRPr="00136956">
        <w:rPr>
          <w:rFonts w:cs="Times New Roman"/>
        </w:rPr>
        <w:t>gun registry at issue here. Instead, the AGQ argues that s.</w:t>
      </w:r>
      <w:r>
        <w:rPr>
          <w:rFonts w:cs="Times New Roman"/>
        </w:rPr>
        <w:t xml:space="preserve"> </w:t>
      </w:r>
      <w:r w:rsidRPr="00136956">
        <w:rPr>
          <w:rFonts w:cs="Times New Roman"/>
        </w:rPr>
        <w:t xml:space="preserve">29, which provides for the unilateral destruction of the data with respect to long guns, is unconstitutional. The AGQ also submits that the federal government cannot refuse to transfer these data to Quebec before destroying them. </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In light of the issues raised by this appeal, the Chief Justice of Canada stated the following constitutional question: </w:t>
      </w:r>
    </w:p>
    <w:p w:rsidR="009278C8" w:rsidRPr="00136956" w:rsidRDefault="009278C8" w:rsidP="009278C8">
      <w:pPr>
        <w:pStyle w:val="Citation-AltC"/>
        <w:ind w:left="1168" w:hanging="1168"/>
        <w:contextualSpacing w:val="0"/>
        <w:rPr>
          <w:i/>
          <w:iCs/>
        </w:rPr>
      </w:pPr>
      <w:r w:rsidRPr="00136956">
        <w:tab/>
        <w:t>Is s.</w:t>
      </w:r>
      <w:r>
        <w:t xml:space="preserve"> </w:t>
      </w:r>
      <w:r w:rsidRPr="00136956">
        <w:t xml:space="preserve">29 of the </w:t>
      </w:r>
      <w:r w:rsidRPr="00136956">
        <w:rPr>
          <w:i/>
        </w:rPr>
        <w:t>Ending the Long</w:t>
      </w:r>
      <w:r>
        <w:rPr>
          <w:i/>
        </w:rPr>
        <w:t>-</w:t>
      </w:r>
      <w:r w:rsidRPr="00136956">
        <w:rPr>
          <w:i/>
        </w:rPr>
        <w:t>gun Registry Act</w:t>
      </w:r>
      <w:r w:rsidRPr="00136956">
        <w:t>, S.C. 2012, c.</w:t>
      </w:r>
      <w:r>
        <w:t xml:space="preserve"> </w:t>
      </w:r>
      <w:r w:rsidRPr="00136956">
        <w:t xml:space="preserve">6, </w:t>
      </w:r>
      <w:r w:rsidRPr="00136956">
        <w:rPr>
          <w:i/>
        </w:rPr>
        <w:t>ultra vires</w:t>
      </w:r>
      <w:r w:rsidRPr="00136956">
        <w:t xml:space="preserve"> Parliament having regard to its criminal law power under s.</w:t>
      </w:r>
      <w:r>
        <w:t xml:space="preserve"> </w:t>
      </w:r>
      <w:r w:rsidRPr="00136956">
        <w:t xml:space="preserve">91(27) of the </w:t>
      </w:r>
      <w:r w:rsidRPr="00136956">
        <w:rPr>
          <w:i/>
        </w:rPr>
        <w:t>Constitution Act, 1867</w:t>
      </w:r>
      <w:r w:rsidRPr="00136956">
        <w:t>?</w:t>
      </w:r>
    </w:p>
    <w:p w:rsidR="009278C8" w:rsidRPr="00136956" w:rsidRDefault="009278C8" w:rsidP="009278C8">
      <w:pPr>
        <w:pStyle w:val="ParaNoNdepar-AltN"/>
        <w:tabs>
          <w:tab w:val="clear" w:pos="1166"/>
          <w:tab w:val="num" w:pos="1152"/>
        </w:tabs>
        <w:rPr>
          <w:rFonts w:cs="Times New Roman"/>
        </w:rPr>
      </w:pPr>
      <w:r w:rsidRPr="00136956">
        <w:rPr>
          <w:rFonts w:cs="Times New Roman"/>
        </w:rPr>
        <w:t>To answer this question, we must consider four issues:</w:t>
      </w:r>
    </w:p>
    <w:p w:rsidR="009278C8" w:rsidRPr="00136956" w:rsidRDefault="009278C8" w:rsidP="009278C8">
      <w:pPr>
        <w:pStyle w:val="Citation-AltC"/>
        <w:spacing w:after="480" w:line="480" w:lineRule="auto"/>
        <w:ind w:hanging="1166"/>
        <w:contextualSpacing w:val="0"/>
      </w:pPr>
      <w:r w:rsidRPr="00136956">
        <w:t xml:space="preserve">(1) </w:t>
      </w:r>
      <w:r w:rsidR="00D1444A">
        <w:tab/>
      </w:r>
      <w:r w:rsidRPr="00136956">
        <w:t xml:space="preserve">What are the constitutional basis and the nature of the registry at issue, particularly in light of the </w:t>
      </w:r>
      <w:r w:rsidRPr="00136956">
        <w:rPr>
          <w:i/>
        </w:rPr>
        <w:t>FA Reference</w:t>
      </w:r>
      <w:r w:rsidRPr="00136956">
        <w:t xml:space="preserve">? </w:t>
      </w:r>
    </w:p>
    <w:p w:rsidR="009278C8" w:rsidRPr="00136956" w:rsidRDefault="009278C8" w:rsidP="009278C8">
      <w:pPr>
        <w:pStyle w:val="Citation-AltC"/>
        <w:spacing w:after="480" w:line="480" w:lineRule="auto"/>
        <w:ind w:hanging="1166"/>
        <w:contextualSpacing w:val="0"/>
      </w:pPr>
      <w:r w:rsidRPr="00136956">
        <w:t xml:space="preserve">(2) </w:t>
      </w:r>
      <w:r w:rsidR="00D1444A">
        <w:tab/>
      </w:r>
      <w:r w:rsidRPr="00136956">
        <w:t>Is there a federal</w:t>
      </w:r>
      <w:r>
        <w:t>-</w:t>
      </w:r>
      <w:r w:rsidRPr="00136956">
        <w:t>provincial partnership with respect to the organization and management of the CFP and, if so, what are the consequences of that partnership from the standpoint of federalism?</w:t>
      </w:r>
    </w:p>
    <w:p w:rsidR="009278C8" w:rsidRPr="00136956" w:rsidRDefault="009278C8" w:rsidP="009278C8">
      <w:pPr>
        <w:pStyle w:val="Citation-AltC"/>
        <w:spacing w:after="480" w:line="480" w:lineRule="auto"/>
        <w:ind w:hanging="1166"/>
        <w:contextualSpacing w:val="0"/>
      </w:pPr>
      <w:r w:rsidRPr="00136956">
        <w:t xml:space="preserve">(3) </w:t>
      </w:r>
      <w:r w:rsidR="00D1444A">
        <w:tab/>
      </w:r>
      <w:r w:rsidRPr="00136956">
        <w:t>In light of the applicable constitutional analytical framework, is s.</w:t>
      </w:r>
      <w:r>
        <w:t xml:space="preserve"> </w:t>
      </w:r>
      <w:r w:rsidRPr="00136956">
        <w:t xml:space="preserve">29 of the </w:t>
      </w:r>
      <w:r w:rsidRPr="00136956">
        <w:rPr>
          <w:i/>
        </w:rPr>
        <w:t>ELRA</w:t>
      </w:r>
      <w:r w:rsidRPr="00136956">
        <w:t xml:space="preserve"> invalid? </w:t>
      </w:r>
    </w:p>
    <w:p w:rsidR="009278C8" w:rsidRPr="00136956" w:rsidRDefault="009278C8" w:rsidP="009278C8">
      <w:pPr>
        <w:pStyle w:val="Citation-AltC"/>
        <w:spacing w:after="480" w:line="480" w:lineRule="auto"/>
        <w:ind w:hanging="1166"/>
        <w:contextualSpacing w:val="0"/>
      </w:pPr>
      <w:r w:rsidRPr="00136956">
        <w:t xml:space="preserve">(4) </w:t>
      </w:r>
      <w:r w:rsidR="00D1444A">
        <w:tab/>
      </w:r>
      <w:r w:rsidRPr="00136956">
        <w:t>If so, what is the appropriate remedy in the case at bar?</w:t>
      </w:r>
    </w:p>
    <w:p w:rsidR="009278C8" w:rsidRPr="00136956" w:rsidRDefault="009278C8" w:rsidP="009278C8">
      <w:pPr>
        <w:pStyle w:val="Title1LevelTitre1Niveau-AltL"/>
        <w:tabs>
          <w:tab w:val="clear" w:pos="576"/>
          <w:tab w:val="left" w:pos="432"/>
        </w:tabs>
        <w:ind w:left="432" w:hanging="432"/>
        <w:outlineLvl w:val="0"/>
        <w:rPr>
          <w:rFonts w:cs="Times New Roman"/>
        </w:rPr>
      </w:pPr>
      <w:bookmarkStart w:id="28" w:name="_Toc411583251"/>
      <w:bookmarkStart w:id="29" w:name="_Toc413306869"/>
      <w:r w:rsidRPr="00136956">
        <w:rPr>
          <w:rFonts w:cs="Times New Roman"/>
        </w:rPr>
        <w:t>Analysis</w:t>
      </w:r>
      <w:bookmarkEnd w:id="28"/>
      <w:bookmarkEnd w:id="29"/>
    </w:p>
    <w:p w:rsidR="009278C8" w:rsidRPr="00136956" w:rsidRDefault="009278C8" w:rsidP="009278C8">
      <w:pPr>
        <w:pStyle w:val="Title2LevelTitre2Niveau"/>
        <w:tabs>
          <w:tab w:val="clear" w:pos="576"/>
          <w:tab w:val="num" w:pos="432"/>
        </w:tabs>
        <w:ind w:left="432" w:hanging="432"/>
        <w:outlineLvl w:val="0"/>
        <w:rPr>
          <w:rFonts w:cs="Times New Roman"/>
        </w:rPr>
      </w:pPr>
      <w:bookmarkStart w:id="30" w:name="_Toc411583252"/>
      <w:bookmarkStart w:id="31" w:name="_Toc413306870"/>
      <w:r w:rsidRPr="00136956">
        <w:rPr>
          <w:rFonts w:cs="Times New Roman"/>
        </w:rPr>
        <w:t>The Registry</w:t>
      </w:r>
      <w:bookmarkEnd w:id="30"/>
      <w:bookmarkEnd w:id="31"/>
    </w:p>
    <w:p w:rsidR="009278C8" w:rsidRPr="00136956" w:rsidRDefault="009278C8" w:rsidP="009278C8">
      <w:pPr>
        <w:pStyle w:val="Title3LevelTitre3Niveau"/>
        <w:tabs>
          <w:tab w:val="clear" w:pos="1152"/>
          <w:tab w:val="num" w:pos="864"/>
        </w:tabs>
        <w:ind w:left="864" w:hanging="432"/>
        <w:outlineLvl w:val="0"/>
        <w:rPr>
          <w:rFonts w:cs="Times New Roman"/>
        </w:rPr>
      </w:pPr>
      <w:bookmarkStart w:id="32" w:name="_Toc411583253"/>
      <w:bookmarkStart w:id="33" w:name="_Toc413306871"/>
      <w:r w:rsidRPr="00136956">
        <w:rPr>
          <w:rFonts w:cs="Times New Roman"/>
        </w:rPr>
        <w:t>Constitutional Basis of the Registry</w:t>
      </w:r>
      <w:bookmarkEnd w:id="32"/>
      <w:bookmarkEnd w:id="33"/>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The analysis of the constitutional basis of the CFR must begin with this Court’s opinion in the </w:t>
      </w:r>
      <w:r w:rsidRPr="00136956">
        <w:rPr>
          <w:rFonts w:cs="Times New Roman"/>
          <w:i/>
        </w:rPr>
        <w:t>FA Reference</w:t>
      </w:r>
      <w:r w:rsidRPr="00136956">
        <w:rPr>
          <w:rFonts w:cs="Times New Roman"/>
        </w:rPr>
        <w:t xml:space="preserve">. In that case, Alberta challenged the validity of the </w:t>
      </w:r>
      <w:r w:rsidRPr="00136956">
        <w:rPr>
          <w:rFonts w:cs="Times New Roman"/>
          <w:i/>
        </w:rPr>
        <w:t>FA</w:t>
      </w:r>
      <w:r w:rsidRPr="00136956">
        <w:rPr>
          <w:rFonts w:cs="Times New Roman"/>
        </w:rPr>
        <w:t xml:space="preserve"> and, more specifically, of the provisions on licences and on the registration of long guns. It asked the Court to rule on the constitutional basis for the creation of a firearms registry by the federal government, and for the requirement that long guns be registered. Note that at the time of the </w:t>
      </w:r>
      <w:r w:rsidRPr="00136956">
        <w:rPr>
          <w:rFonts w:cs="Times New Roman"/>
          <w:i/>
        </w:rPr>
        <w:t>FA Reference</w:t>
      </w:r>
      <w:r w:rsidRPr="00136956">
        <w:rPr>
          <w:rFonts w:cs="Times New Roman"/>
        </w:rPr>
        <w:t xml:space="preserve">, the CFR had not yet been set up and the practical effects of the </w:t>
      </w:r>
      <w:r w:rsidRPr="00136956">
        <w:rPr>
          <w:rFonts w:cs="Times New Roman"/>
          <w:i/>
        </w:rPr>
        <w:t>FA</w:t>
      </w:r>
      <w:r w:rsidRPr="00136956">
        <w:rPr>
          <w:rFonts w:cs="Times New Roman"/>
        </w:rPr>
        <w:t xml:space="preserve"> therefore had yet to materialize.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a unanimous opinion, this Court held that the </w:t>
      </w:r>
      <w:r w:rsidRPr="00136956">
        <w:rPr>
          <w:rFonts w:cs="Times New Roman"/>
          <w:i/>
        </w:rPr>
        <w:t>FA</w:t>
      </w:r>
      <w:r w:rsidRPr="00136956">
        <w:rPr>
          <w:rFonts w:cs="Times New Roman"/>
        </w:rPr>
        <w:t>, as a whole, fell within Parliament’s jurisdiction over criminal law:</w:t>
      </w:r>
    </w:p>
    <w:p w:rsidR="009278C8" w:rsidRPr="00136956" w:rsidRDefault="009278C8" w:rsidP="00D1444A">
      <w:pPr>
        <w:pStyle w:val="Citation-AltC"/>
        <w:spacing w:after="480"/>
        <w:ind w:hanging="1166"/>
        <w:contextualSpacing w:val="0"/>
      </w:pPr>
      <w:r w:rsidRPr="00136956">
        <w:tab/>
        <w:t>The [</w:t>
      </w:r>
      <w:r w:rsidRPr="00136956">
        <w:rPr>
          <w:i/>
        </w:rPr>
        <w:t>FA</w:t>
      </w:r>
      <w:r w:rsidRPr="00136956">
        <w:t xml:space="preserve">] in “pith and substance” is directed to enhancing public safety by controlling access to firearms through prohibitions and penalties. This brings it under the federal criminal law power. While the law has regulatory aspects, they are </w:t>
      </w:r>
      <w:r w:rsidRPr="00136956">
        <w:rPr>
          <w:u w:val="single"/>
        </w:rPr>
        <w:t>secondary to its primary</w:t>
      </w:r>
      <w:r w:rsidRPr="00136956">
        <w:t xml:space="preserve"> criminal law</w:t>
      </w:r>
      <w:r w:rsidRPr="00136956">
        <w:rPr>
          <w:u w:val="single"/>
        </w:rPr>
        <w:t xml:space="preserve"> purpose</w:t>
      </w:r>
      <w:r w:rsidRPr="00136956">
        <w:t xml:space="preserve">. </w:t>
      </w:r>
      <w:r w:rsidRPr="00136956">
        <w:rPr>
          <w:u w:val="single"/>
        </w:rPr>
        <w:t>The intrusion of the law into the provincial jurisdiction</w:t>
      </w:r>
      <w:r w:rsidRPr="00136956">
        <w:t xml:space="preserve"> over property and civil rights is not so excessive as to upset the balance of federalism. [Emphasis added.]</w:t>
      </w:r>
    </w:p>
    <w:p w:rsidR="009278C8" w:rsidRPr="00136956" w:rsidRDefault="009278C8" w:rsidP="009278C8">
      <w:pPr>
        <w:pStyle w:val="Citation-AltC"/>
        <w:ind w:hanging="1166"/>
        <w:contextualSpacing w:val="0"/>
      </w:pPr>
      <w:r w:rsidRPr="00136956">
        <w:t>(</w:t>
      </w:r>
      <w:r w:rsidRPr="00136956">
        <w:rPr>
          <w:i/>
        </w:rPr>
        <w:t>FA Reference</w:t>
      </w:r>
      <w:r w:rsidRPr="00136956">
        <w:t>, at para.</w:t>
      </w:r>
      <w:r>
        <w:t xml:space="preserve"> </w:t>
      </w:r>
      <w:r w:rsidRPr="00136956">
        <w:t>4)</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The regulatory aspects mentioned by the Court in this passage include the </w:t>
      </w:r>
      <w:r w:rsidRPr="00136956">
        <w:rPr>
          <w:rFonts w:cs="Times New Roman"/>
          <w:i/>
        </w:rPr>
        <w:t>FA</w:t>
      </w:r>
      <w:r w:rsidRPr="00136956">
        <w:rPr>
          <w:rFonts w:cs="Times New Roman"/>
        </w:rPr>
        <w:t>’s provisions on licensing, on the registration of long guns and on maintaining a registry. The maintaining of a long</w:t>
      </w:r>
      <w:r>
        <w:rPr>
          <w:rFonts w:cs="Times New Roman"/>
        </w:rPr>
        <w:t>-</w:t>
      </w:r>
      <w:r w:rsidRPr="00136956">
        <w:rPr>
          <w:rFonts w:cs="Times New Roman"/>
        </w:rPr>
        <w:t xml:space="preserve">gun registry is, at first blush, a matter within provincial jurisdiction. In principle, the regulation of property within a province stems from that province’s jurisdiction over property and civil rights, except insofar as the property also falls within a listed federal head of power: </w:t>
      </w:r>
      <w:r w:rsidRPr="00136956">
        <w:rPr>
          <w:rFonts w:cs="Times New Roman"/>
          <w:i/>
        </w:rPr>
        <w:t>Constitution Act, 1867</w:t>
      </w:r>
      <w:r w:rsidRPr="00136956">
        <w:rPr>
          <w:rFonts w:cs="Times New Roman"/>
        </w:rPr>
        <w:t xml:space="preserve">, </w:t>
      </w:r>
      <w:r w:rsidRPr="00136956">
        <w:rPr>
          <w:rFonts w:cs="Times New Roman"/>
        </w:rPr>
        <w:lastRenderedPageBreak/>
        <w:t>ss.</w:t>
      </w:r>
      <w:r>
        <w:rPr>
          <w:rFonts w:cs="Times New Roman"/>
        </w:rPr>
        <w:t xml:space="preserve"> </w:t>
      </w:r>
      <w:r w:rsidRPr="00136956">
        <w:rPr>
          <w:rFonts w:cs="Times New Roman"/>
        </w:rPr>
        <w:t xml:space="preserve">91 and 92(13). Thus, the constitutionality of these provisions is based upon the fact that they are ancillary to the </w:t>
      </w:r>
      <w:r w:rsidRPr="00136956">
        <w:rPr>
          <w:rFonts w:cs="Times New Roman"/>
          <w:i/>
        </w:rPr>
        <w:t>FA</w:t>
      </w:r>
      <w:r w:rsidRPr="00136956">
        <w:rPr>
          <w:rFonts w:cs="Times New Roman"/>
        </w:rPr>
        <w:t>’s primary purpose, which relates to criminal law.</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Moreover, although the Court did not accept the existence of a parallel between the regulation of firearms in the </w:t>
      </w:r>
      <w:r w:rsidRPr="00136956">
        <w:rPr>
          <w:rFonts w:cs="Times New Roman"/>
          <w:i/>
        </w:rPr>
        <w:t>FA</w:t>
      </w:r>
      <w:r w:rsidRPr="00136956">
        <w:rPr>
          <w:rFonts w:cs="Times New Roman"/>
        </w:rPr>
        <w:t xml:space="preserve"> and the regulation by the provinces of property such as land titles and automobiles (</w:t>
      </w:r>
      <w:r w:rsidRPr="00136956">
        <w:rPr>
          <w:rFonts w:cs="Times New Roman"/>
          <w:i/>
        </w:rPr>
        <w:t>FA Reference</w:t>
      </w:r>
      <w:r w:rsidRPr="00136956">
        <w:rPr>
          <w:rFonts w:cs="Times New Roman"/>
        </w:rPr>
        <w:t>, at paras.</w:t>
      </w:r>
      <w:r>
        <w:rPr>
          <w:rFonts w:cs="Times New Roman"/>
        </w:rPr>
        <w:t xml:space="preserve"> </w:t>
      </w:r>
      <w:r w:rsidRPr="00136956">
        <w:rPr>
          <w:rFonts w:cs="Times New Roman"/>
        </w:rPr>
        <w:t>41</w:t>
      </w:r>
      <w:r>
        <w:rPr>
          <w:rFonts w:cs="Times New Roman"/>
        </w:rPr>
        <w:t>-</w:t>
      </w:r>
      <w:r w:rsidRPr="00136956">
        <w:rPr>
          <w:rFonts w:cs="Times New Roman"/>
        </w:rPr>
        <w:t xml:space="preserve">43), that parallel is nonetheless relevant as regards the provisions — considered individually — that provide for the collection of information on long guns. On the ancillary nature of those provisions, three findings of this Court are of particular importance here.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First, the Court found that the </w:t>
      </w:r>
      <w:r w:rsidRPr="00136956">
        <w:rPr>
          <w:rFonts w:cs="Times New Roman"/>
          <w:i/>
        </w:rPr>
        <w:t>FA</w:t>
      </w:r>
      <w:r w:rsidRPr="00136956">
        <w:rPr>
          <w:rFonts w:cs="Times New Roman"/>
        </w:rPr>
        <w:t xml:space="preserve"> “[did] not significantly hinder the ability of the provinces to regulate the property and civil rights aspects of guns”: </w:t>
      </w:r>
      <w:r w:rsidRPr="00136956">
        <w:rPr>
          <w:rFonts w:cs="Times New Roman"/>
          <w:i/>
        </w:rPr>
        <w:t>FA Reference</w:t>
      </w:r>
      <w:r w:rsidRPr="00136956">
        <w:rPr>
          <w:rFonts w:cs="Times New Roman"/>
          <w:iCs/>
        </w:rPr>
        <w:t xml:space="preserve">, at </w:t>
      </w:r>
      <w:r w:rsidRPr="00136956">
        <w:rPr>
          <w:rFonts w:cs="Times New Roman"/>
        </w:rPr>
        <w:t>para.</w:t>
      </w:r>
      <w:r>
        <w:rPr>
          <w:rFonts w:cs="Times New Roman"/>
        </w:rPr>
        <w:t xml:space="preserve"> </w:t>
      </w:r>
      <w:r w:rsidRPr="00136956">
        <w:rPr>
          <w:rFonts w:cs="Times New Roman"/>
        </w:rPr>
        <w:t>51. Thus, the provisions on the registration of firearms did not encroach unduly on provincial powers: see also para.</w:t>
      </w:r>
      <w:r>
        <w:rPr>
          <w:rFonts w:cs="Times New Roman"/>
        </w:rPr>
        <w:t xml:space="preserve"> </w:t>
      </w:r>
      <w:r w:rsidRPr="00136956">
        <w:rPr>
          <w:rFonts w:cs="Times New Roman"/>
        </w:rPr>
        <w:t>58.</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Second, there was no indication that Parliament had an improper motive or that it was taking over a provincial power under the guise of the criminal law: </w:t>
      </w:r>
      <w:r w:rsidRPr="00136956">
        <w:rPr>
          <w:rFonts w:cs="Times New Roman"/>
          <w:i/>
        </w:rPr>
        <w:t>FA Reference</w:t>
      </w:r>
      <w:r w:rsidRPr="00136956">
        <w:rPr>
          <w:rFonts w:cs="Times New Roman"/>
        </w:rPr>
        <w:t>, at para.</w:t>
      </w:r>
      <w:r>
        <w:rPr>
          <w:rFonts w:cs="Times New Roman"/>
        </w:rPr>
        <w:t xml:space="preserve"> </w:t>
      </w:r>
      <w:r w:rsidRPr="00136956">
        <w:rPr>
          <w:rFonts w:cs="Times New Roman"/>
        </w:rPr>
        <w:t>53.</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Third, in the Court’s opinion, the system for monitoring the transfer of firearms, as well as the misuse of such weapons, included two categories of provisions (registration and licensing) that were “integral and necessary to the operation of the scheme”: </w:t>
      </w:r>
      <w:r w:rsidRPr="00136956">
        <w:rPr>
          <w:rFonts w:cs="Times New Roman"/>
          <w:i/>
        </w:rPr>
        <w:t>FA Reference</w:t>
      </w:r>
      <w:r w:rsidRPr="00136956">
        <w:rPr>
          <w:rFonts w:cs="Times New Roman"/>
        </w:rPr>
        <w:t>, at para.</w:t>
      </w:r>
      <w:r>
        <w:rPr>
          <w:rFonts w:cs="Times New Roman"/>
        </w:rPr>
        <w:t xml:space="preserve"> </w:t>
      </w:r>
      <w:r w:rsidRPr="00136956">
        <w:rPr>
          <w:rFonts w:cs="Times New Roman"/>
        </w:rPr>
        <w:t xml:space="preserve">47. </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In short, this Court found that the </w:t>
      </w:r>
      <w:r w:rsidRPr="00136956">
        <w:rPr>
          <w:rFonts w:cs="Times New Roman"/>
          <w:i/>
        </w:rPr>
        <w:t>FA</w:t>
      </w:r>
      <w:r w:rsidRPr="00136956">
        <w:rPr>
          <w:rFonts w:cs="Times New Roman"/>
        </w:rPr>
        <w:t>, including the long</w:t>
      </w:r>
      <w:r>
        <w:rPr>
          <w:rFonts w:cs="Times New Roman"/>
        </w:rPr>
        <w:t>-</w:t>
      </w:r>
      <w:r w:rsidRPr="00136956">
        <w:rPr>
          <w:rFonts w:cs="Times New Roman"/>
        </w:rPr>
        <w:t xml:space="preserve">gun registration provisions, was valid because it did not upset the balance of federalism: see </w:t>
      </w:r>
      <w:r w:rsidRPr="00136956">
        <w:rPr>
          <w:rFonts w:cs="Times New Roman"/>
          <w:i/>
        </w:rPr>
        <w:t>FA Reference</w:t>
      </w:r>
      <w:r w:rsidRPr="00136956">
        <w:rPr>
          <w:rFonts w:cs="Times New Roman"/>
        </w:rPr>
        <w:t>, at paras.</w:t>
      </w:r>
      <w:r>
        <w:rPr>
          <w:rFonts w:cs="Times New Roman"/>
        </w:rPr>
        <w:t xml:space="preserve"> </w:t>
      </w:r>
      <w:r w:rsidRPr="00136956">
        <w:rPr>
          <w:rFonts w:cs="Times New Roman"/>
        </w:rPr>
        <w:t xml:space="preserve">4, 53 and 58. The conclusion that the CFR is constitutionally valid flows directly from that finding. The CFR can be understood in this light, but it is just as important to define its exact nature, that is, to properly define the limits of </w:t>
      </w:r>
      <w:r w:rsidR="00276C59">
        <w:rPr>
          <w:rFonts w:cs="Times New Roman"/>
        </w:rPr>
        <w:t>what</w:t>
      </w:r>
      <w:r w:rsidRPr="00136956">
        <w:rPr>
          <w:rFonts w:cs="Times New Roman"/>
        </w:rPr>
        <w:t xml:space="preserve"> is to be destroyed </w:t>
      </w:r>
      <w:r w:rsidR="00276C59">
        <w:rPr>
          <w:rFonts w:cs="Times New Roman"/>
        </w:rPr>
        <w:t>under</w:t>
      </w:r>
      <w:r w:rsidRPr="00136956">
        <w:rPr>
          <w:rFonts w:cs="Times New Roman"/>
        </w:rPr>
        <w:t xml:space="preserve"> s.</w:t>
      </w:r>
      <w:r>
        <w:rPr>
          <w:rFonts w:cs="Times New Roman"/>
        </w:rPr>
        <w:t xml:space="preserve"> </w:t>
      </w:r>
      <w:r w:rsidRPr="00136956">
        <w:rPr>
          <w:rFonts w:cs="Times New Roman"/>
        </w:rPr>
        <w:t xml:space="preserve">29. </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34" w:name="_Toc411583254"/>
      <w:bookmarkStart w:id="35" w:name="_Toc413306872"/>
      <w:r w:rsidRPr="00136956">
        <w:rPr>
          <w:rFonts w:cs="Times New Roman"/>
        </w:rPr>
        <w:t>Nature of the Registry</w:t>
      </w:r>
      <w:bookmarkEnd w:id="34"/>
      <w:bookmarkEnd w:id="35"/>
    </w:p>
    <w:p w:rsidR="009278C8" w:rsidRPr="00136956" w:rsidRDefault="009278C8" w:rsidP="009278C8">
      <w:pPr>
        <w:pStyle w:val="ParaNoNdepar-AltN"/>
        <w:tabs>
          <w:tab w:val="clear" w:pos="1166"/>
          <w:tab w:val="num" w:pos="1152"/>
        </w:tabs>
        <w:rPr>
          <w:rFonts w:cs="Times New Roman"/>
        </w:rPr>
      </w:pPr>
      <w:r w:rsidRPr="00136956">
        <w:rPr>
          <w:rFonts w:cs="Times New Roman"/>
        </w:rPr>
        <w:t>The trial judge and the Court of Appeal reached opposite conclusions regarding the nature of the registry at issue. Blanchard J. focused on the CFIS and found that the data it contained, including those to which s.</w:t>
      </w:r>
      <w:r>
        <w:rPr>
          <w:rFonts w:cs="Times New Roman"/>
        </w:rPr>
        <w:t xml:space="preserve"> </w:t>
      </w:r>
      <w:r w:rsidRPr="00136956">
        <w:rPr>
          <w:rFonts w:cs="Times New Roman"/>
        </w:rPr>
        <w:t>29 applied, came from both the Registrar and the CFOs. As for the Court of Appeal, it found that Blanchard</w:t>
      </w:r>
      <w:r>
        <w:rPr>
          <w:rFonts w:cs="Times New Roman"/>
        </w:rPr>
        <w:t xml:space="preserve"> </w:t>
      </w:r>
      <w:r w:rsidRPr="00136956">
        <w:rPr>
          <w:rFonts w:cs="Times New Roman"/>
        </w:rPr>
        <w:t xml:space="preserve">J. had erred as regards the nature of the different types of registries provided for in the </w:t>
      </w:r>
      <w:r w:rsidRPr="00136956">
        <w:rPr>
          <w:rFonts w:cs="Times New Roman"/>
          <w:i/>
        </w:rPr>
        <w:t>FA</w:t>
      </w:r>
      <w:r w:rsidRPr="00136956">
        <w:rPr>
          <w:rFonts w:cs="Times New Roman"/>
        </w:rPr>
        <w:t xml:space="preserve">. In its view, the CFIS is merely a system for accessing data and is not a registry in itself.  Moreover, the CFOs did not contribute data to the CFR.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It is true that the trial judge was at times unclear in his reasons in referring to the various types of registries established under the </w:t>
      </w:r>
      <w:r w:rsidRPr="00136956">
        <w:rPr>
          <w:rFonts w:cs="Times New Roman"/>
          <w:i/>
        </w:rPr>
        <w:t>FA</w:t>
      </w:r>
      <w:r w:rsidRPr="00136956">
        <w:rPr>
          <w:rFonts w:cs="Times New Roman"/>
        </w:rPr>
        <w:t xml:space="preserve">. However, this confusion did not affect his conclusion regarding the nature of the registry that is actually at issue here or the data it contains. By contrast, the Court of Appeal limited its analysis to the registries mentioned in the </w:t>
      </w:r>
      <w:r w:rsidRPr="00136956">
        <w:rPr>
          <w:rFonts w:cs="Times New Roman"/>
          <w:i/>
        </w:rPr>
        <w:t>FA</w:t>
      </w:r>
      <w:r w:rsidRPr="00136956">
        <w:rPr>
          <w:rFonts w:cs="Times New Roman"/>
        </w:rPr>
        <w:t xml:space="preserve"> but did not consider how they were </w:t>
      </w:r>
      <w:r w:rsidR="00226743">
        <w:rPr>
          <w:rFonts w:cs="Times New Roman"/>
        </w:rPr>
        <w:t>set up</w:t>
      </w:r>
      <w:r w:rsidRPr="00136956">
        <w:rPr>
          <w:rFonts w:cs="Times New Roman"/>
        </w:rPr>
        <w:t xml:space="preserve"> and kept. Certain facts must be reviewed in order to correctly grasp the nature of the registry that is at the heart of this case. </w:t>
      </w:r>
    </w:p>
    <w:p w:rsidR="009278C8" w:rsidRPr="00136956" w:rsidRDefault="009278C8" w:rsidP="009278C8">
      <w:pPr>
        <w:pStyle w:val="ParaNoNdepar-AltN"/>
        <w:rPr>
          <w:rFonts w:cs="Times New Roman"/>
        </w:rPr>
      </w:pPr>
      <w:r w:rsidRPr="00136956">
        <w:rPr>
          <w:rFonts w:cs="Times New Roman"/>
        </w:rPr>
        <w:lastRenderedPageBreak/>
        <w:t xml:space="preserve">The </w:t>
      </w:r>
      <w:r w:rsidRPr="00136956">
        <w:rPr>
          <w:rFonts w:cs="Times New Roman"/>
          <w:i/>
        </w:rPr>
        <w:t>FA</w:t>
      </w:r>
      <w:r w:rsidRPr="00136956">
        <w:rPr>
          <w:rFonts w:cs="Times New Roman"/>
        </w:rPr>
        <w:t xml:space="preserve"> and the regulations made under it certainly provide — and the AGC emphasizes this point — that the Registrar and the CFOs are to maintain distinct “records”: ss.</w:t>
      </w:r>
      <w:r>
        <w:rPr>
          <w:rFonts w:cs="Times New Roman"/>
        </w:rPr>
        <w:t xml:space="preserve"> </w:t>
      </w:r>
      <w:r w:rsidRPr="00136956">
        <w:rPr>
          <w:rFonts w:cs="Times New Roman"/>
        </w:rPr>
        <w:t>83(1) and 87(1). In practice, however, the government chose for the implementation of this legislation to create one central registry — the CFIS — containing information entered by both the Registrar and the CFOs. To suggest that the information contributed by the Registrar is independent of the information contributed by the CFOs is to disregard this reality, which is supported by the evidence Blanchard</w:t>
      </w:r>
      <w:r>
        <w:rPr>
          <w:rFonts w:cs="Times New Roman"/>
        </w:rPr>
        <w:t xml:space="preserve"> </w:t>
      </w:r>
      <w:r w:rsidRPr="00136956">
        <w:rPr>
          <w:rFonts w:cs="Times New Roman"/>
        </w:rPr>
        <w:t>J. accepted. In our opinion, Blanchard</w:t>
      </w:r>
      <w:r>
        <w:rPr>
          <w:rFonts w:cs="Times New Roman"/>
        </w:rPr>
        <w:t xml:space="preserve"> </w:t>
      </w:r>
      <w:r w:rsidRPr="00136956">
        <w:rPr>
          <w:rFonts w:cs="Times New Roman"/>
        </w:rPr>
        <w:t>J. was right to find that the CFIS is primarily a data</w:t>
      </w:r>
      <w:r w:rsidR="007D5B68">
        <w:rPr>
          <w:rFonts w:cs="Times New Roman"/>
        </w:rPr>
        <w:t xml:space="preserve"> </w:t>
      </w:r>
      <w:r w:rsidRPr="00136956">
        <w:rPr>
          <w:rFonts w:cs="Times New Roman"/>
        </w:rPr>
        <w:t>ba</w:t>
      </w:r>
      <w:r w:rsidR="007D5B68">
        <w:rPr>
          <w:rFonts w:cs="Times New Roman"/>
        </w:rPr>
        <w:t>nk</w:t>
      </w:r>
      <w:r w:rsidRPr="00136956">
        <w:rPr>
          <w:rFonts w:cs="Times New Roman"/>
        </w:rPr>
        <w:t xml:space="preserve">, and not a mere system for accessing information. </w:t>
      </w:r>
    </w:p>
    <w:p w:rsidR="009278C8" w:rsidRPr="00136956" w:rsidRDefault="009278C8" w:rsidP="009278C8">
      <w:pPr>
        <w:pStyle w:val="ParaNoNdepar-AltN"/>
        <w:tabs>
          <w:tab w:val="clear" w:pos="1166"/>
          <w:tab w:val="num" w:pos="1152"/>
        </w:tabs>
        <w:rPr>
          <w:rFonts w:cs="Times New Roman"/>
        </w:rPr>
      </w:pPr>
      <w:r w:rsidRPr="00136956">
        <w:rPr>
          <w:rFonts w:cs="Times New Roman"/>
        </w:rPr>
        <w:t>Extensive evidence was presented at trial demonstrating that — to borrow the words of the Privacy Commissioner of Canada — the CFIS is “a fully integrated, automated information system that is used to enter, analyze, maintain and store” all firearms</w:t>
      </w:r>
      <w:r>
        <w:rPr>
          <w:rFonts w:cs="Times New Roman"/>
        </w:rPr>
        <w:t>-</w:t>
      </w:r>
      <w:r w:rsidRPr="00136956">
        <w:rPr>
          <w:rFonts w:cs="Times New Roman"/>
        </w:rPr>
        <w:t xml:space="preserve">related information required under the </w:t>
      </w:r>
      <w:r w:rsidRPr="00136956">
        <w:rPr>
          <w:rFonts w:cs="Times New Roman"/>
          <w:i/>
        </w:rPr>
        <w:t>FA</w:t>
      </w:r>
      <w:r w:rsidRPr="00136956">
        <w:rPr>
          <w:rFonts w:cs="Times New Roman"/>
        </w:rPr>
        <w:t xml:space="preserve">: </w:t>
      </w:r>
      <w:r w:rsidRPr="00136956">
        <w:rPr>
          <w:rFonts w:cs="Times New Roman"/>
          <w:i/>
        </w:rPr>
        <w:t>Review of the Personal Information Handling Practices of the Canadian Firearms Program</w:t>
      </w:r>
      <w:r w:rsidRPr="00136956">
        <w:rPr>
          <w:rFonts w:cs="Times New Roman"/>
        </w:rPr>
        <w:t>, Final Report, August</w:t>
      </w:r>
      <w:r>
        <w:rPr>
          <w:rFonts w:cs="Times New Roman"/>
        </w:rPr>
        <w:t xml:space="preserve"> </w:t>
      </w:r>
      <w:r w:rsidRPr="00136956">
        <w:rPr>
          <w:rFonts w:cs="Times New Roman"/>
        </w:rPr>
        <w:t>29, 2001</w:t>
      </w:r>
      <w:r w:rsidR="00566BAB">
        <w:rPr>
          <w:rFonts w:cs="Times New Roman"/>
        </w:rPr>
        <w:t xml:space="preserve"> (online)</w:t>
      </w:r>
      <w:r w:rsidRPr="00136956">
        <w:rPr>
          <w:rFonts w:cs="Times New Roman"/>
        </w:rPr>
        <w:t>, at p.</w:t>
      </w:r>
      <w:r>
        <w:rPr>
          <w:rFonts w:cs="Times New Roman"/>
        </w:rPr>
        <w:t xml:space="preserve"> </w:t>
      </w:r>
      <w:r w:rsidRPr="00136956">
        <w:rPr>
          <w:rFonts w:cs="Times New Roman"/>
        </w:rPr>
        <w:t xml:space="preserve">14 (referring to the CFRS, the predecessor of the CFIS). Thus, insofar as the CFIS contains data, it is reasonable to refer to it, too, as a “registry”. </w:t>
      </w:r>
    </w:p>
    <w:p w:rsidR="009278C8" w:rsidRPr="00136956" w:rsidRDefault="009278C8" w:rsidP="009278C8">
      <w:pPr>
        <w:pStyle w:val="ParaNoNdepar-AltN"/>
        <w:tabs>
          <w:tab w:val="clear" w:pos="1166"/>
          <w:tab w:val="num" w:pos="1152"/>
        </w:tabs>
        <w:autoSpaceDE w:val="0"/>
        <w:autoSpaceDN w:val="0"/>
        <w:adjustRightInd w:val="0"/>
        <w:rPr>
          <w:rFonts w:cs="Times New Roman"/>
        </w:rPr>
      </w:pPr>
      <w:r w:rsidRPr="00136956">
        <w:rPr>
          <w:rFonts w:cs="Times New Roman"/>
        </w:rPr>
        <w:t>Furthermore, the Assistant Commissioner of the RCMP and Director General of the CFP described the CFIS as a [</w:t>
      </w:r>
      <w:r w:rsidRPr="00136956">
        <w:rPr>
          <w:rFonts w:cs="Times New Roman"/>
          <w:smallCaps/>
        </w:rPr>
        <w:t>translation]</w:t>
      </w:r>
      <w:r w:rsidRPr="00136956">
        <w:rPr>
          <w:rFonts w:cs="Times New Roman"/>
        </w:rPr>
        <w:t xml:space="preserve"> “complex computerized central registry”: a</w:t>
      </w:r>
      <w:r w:rsidRPr="00136956">
        <w:rPr>
          <w:rFonts w:cs="Times New Roman"/>
          <w:iCs/>
        </w:rPr>
        <w:t>ffidavit of Pierre Perron</w:t>
      </w:r>
      <w:r w:rsidRPr="00136956">
        <w:rPr>
          <w:rFonts w:cs="Times New Roman"/>
        </w:rPr>
        <w:t>, at para.</w:t>
      </w:r>
      <w:r>
        <w:rPr>
          <w:rFonts w:cs="Times New Roman"/>
        </w:rPr>
        <w:t xml:space="preserve"> </w:t>
      </w:r>
      <w:r w:rsidRPr="00136956">
        <w:rPr>
          <w:rFonts w:cs="Times New Roman"/>
        </w:rPr>
        <w:t>5. The AGC himself acknowledged that the CFIS [</w:t>
      </w:r>
      <w:r w:rsidRPr="00136956">
        <w:rPr>
          <w:rFonts w:cs="Times New Roman"/>
          <w:smallCaps/>
        </w:rPr>
        <w:t xml:space="preserve">translation] </w:t>
      </w:r>
      <w:r w:rsidRPr="00136956">
        <w:rPr>
          <w:rFonts w:cs="Times New Roman"/>
        </w:rPr>
        <w:t xml:space="preserve">“contains </w:t>
      </w:r>
      <w:r w:rsidRPr="00136956">
        <w:rPr>
          <w:rFonts w:cs="Times New Roman"/>
          <w:u w:val="single"/>
        </w:rPr>
        <w:t>all</w:t>
      </w:r>
      <w:r w:rsidRPr="00136956">
        <w:rPr>
          <w:rFonts w:cs="Times New Roman"/>
        </w:rPr>
        <w:t xml:space="preserve"> the information required by the FA to be entered in one of the two distinct ‘records’ that must be kept</w:t>
      </w:r>
      <w:r w:rsidRPr="00136956">
        <w:rPr>
          <w:rFonts w:eastAsia="Times New Roman" w:cs="Times New Roman"/>
          <w:szCs w:val="24"/>
          <w:lang w:eastAsia="en-CA"/>
        </w:rPr>
        <w:t xml:space="preserve">”, and that </w:t>
      </w:r>
      <w:r w:rsidRPr="00136956">
        <w:rPr>
          <w:rFonts w:eastAsia="Times New Roman" w:cs="Times New Roman"/>
          <w:szCs w:val="24"/>
          <w:lang w:eastAsia="en-CA"/>
        </w:rPr>
        <w:lastRenderedPageBreak/>
        <w:t xml:space="preserve">this information comes from both the Registrar and the CFOs: </w:t>
      </w:r>
      <w:r w:rsidRPr="00136956">
        <w:rPr>
          <w:rFonts w:cs="Times New Roman"/>
          <w:iCs/>
        </w:rPr>
        <w:t>Written contestation and arguments of the defendant Attorney General of Canada and the mis en cause Commissioner of Firearms and Registrar of Firearms</w:t>
      </w:r>
      <w:r w:rsidRPr="00136956">
        <w:rPr>
          <w:rFonts w:cs="Times New Roman"/>
        </w:rPr>
        <w:t>, June</w:t>
      </w:r>
      <w:r>
        <w:rPr>
          <w:rFonts w:cs="Times New Roman"/>
        </w:rPr>
        <w:t xml:space="preserve"> </w:t>
      </w:r>
      <w:r w:rsidRPr="00136956">
        <w:rPr>
          <w:rFonts w:cs="Times New Roman"/>
        </w:rPr>
        <w:t>4, 2012, J.R., vol.</w:t>
      </w:r>
      <w:r>
        <w:rPr>
          <w:rFonts w:cs="Times New Roman"/>
        </w:rPr>
        <w:t xml:space="preserve"> </w:t>
      </w:r>
      <w:r w:rsidRPr="00136956">
        <w:rPr>
          <w:rFonts w:cs="Times New Roman"/>
        </w:rPr>
        <w:t>1, at para.</w:t>
      </w:r>
      <w:r>
        <w:rPr>
          <w:rFonts w:cs="Times New Roman"/>
        </w:rPr>
        <w:t xml:space="preserve"> </w:t>
      </w:r>
      <w:r w:rsidRPr="00136956">
        <w:rPr>
          <w:rFonts w:cs="Times New Roman"/>
        </w:rPr>
        <w:t>160 (emphasis in original). The information entered by the Registrar or by the CFOs can be analyzed by the latter through an interface integrated into the CFIS. Thus, the data in the CFIS are interrelated: affidavit of Pierre Perron</w:t>
      </w:r>
      <w:r w:rsidRPr="00136956">
        <w:rPr>
          <w:rFonts w:cs="Times New Roman"/>
          <w:iCs/>
        </w:rPr>
        <w:t xml:space="preserve">, at </w:t>
      </w:r>
      <w:r w:rsidRPr="00136956">
        <w:rPr>
          <w:rFonts w:cs="Times New Roman"/>
        </w:rPr>
        <w:t>paras.</w:t>
      </w:r>
      <w:r>
        <w:rPr>
          <w:rFonts w:cs="Times New Roman"/>
        </w:rPr>
        <w:t xml:space="preserve"> </w:t>
      </w:r>
      <w:r w:rsidRPr="00136956">
        <w:rPr>
          <w:rFonts w:cs="Times New Roman"/>
        </w:rPr>
        <w:t>27(b) and (d); c</w:t>
      </w:r>
      <w:r w:rsidRPr="00136956">
        <w:rPr>
          <w:rFonts w:cs="Times New Roman"/>
          <w:iCs/>
        </w:rPr>
        <w:t>ross</w:t>
      </w:r>
      <w:r>
        <w:rPr>
          <w:rFonts w:cs="Times New Roman"/>
          <w:iCs/>
        </w:rPr>
        <w:t>-</w:t>
      </w:r>
      <w:r w:rsidRPr="00136956">
        <w:rPr>
          <w:rFonts w:cs="Times New Roman"/>
          <w:iCs/>
        </w:rPr>
        <w:t>examination of Isabelle Boudreault</w:t>
      </w:r>
      <w:r w:rsidRPr="00136956">
        <w:rPr>
          <w:rFonts w:cs="Times New Roman"/>
        </w:rPr>
        <w:t xml:space="preserve"> (Quebec’s Chief Firearms Officer), May 8, 2012, J.R., vol.</w:t>
      </w:r>
      <w:r>
        <w:rPr>
          <w:rFonts w:cs="Times New Roman"/>
        </w:rPr>
        <w:t xml:space="preserve"> </w:t>
      </w:r>
      <w:r w:rsidRPr="00136956">
        <w:rPr>
          <w:rFonts w:cs="Times New Roman"/>
        </w:rPr>
        <w:t>4, at pp.</w:t>
      </w:r>
      <w:r>
        <w:rPr>
          <w:rFonts w:cs="Times New Roman"/>
        </w:rPr>
        <w:t xml:space="preserve"> </w:t>
      </w:r>
      <w:r w:rsidRPr="00136956">
        <w:rPr>
          <w:rFonts w:cs="Times New Roman"/>
        </w:rPr>
        <w:t>63</w:t>
      </w:r>
      <w:r>
        <w:rPr>
          <w:rFonts w:cs="Times New Roman"/>
        </w:rPr>
        <w:t>-</w:t>
      </w:r>
      <w:r w:rsidRPr="00136956">
        <w:rPr>
          <w:rFonts w:cs="Times New Roman"/>
        </w:rPr>
        <w:t xml:space="preserve">64. </w:t>
      </w:r>
    </w:p>
    <w:p w:rsidR="009278C8" w:rsidRPr="00136956" w:rsidRDefault="009278C8" w:rsidP="009278C8">
      <w:pPr>
        <w:pStyle w:val="ParaNoNdepar-AltN"/>
        <w:tabs>
          <w:tab w:val="clear" w:pos="1166"/>
          <w:tab w:val="num" w:pos="1152"/>
        </w:tabs>
        <w:autoSpaceDE w:val="0"/>
        <w:autoSpaceDN w:val="0"/>
        <w:adjustRightInd w:val="0"/>
        <w:rPr>
          <w:rFonts w:cs="Times New Roman"/>
        </w:rPr>
      </w:pPr>
      <w:r w:rsidRPr="00136956">
        <w:rPr>
          <w:rFonts w:cs="Times New Roman"/>
        </w:rPr>
        <w:t>In our view, this finding is reinforced by two additional factors. First, the evidence shows that the RCMP expected it to take several months to delete the data contemplated in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from the CFIS without affecting the other data in that registry: affidavit of Pierre Perron, at pp.</w:t>
      </w:r>
      <w:r>
        <w:rPr>
          <w:rFonts w:cs="Times New Roman"/>
        </w:rPr>
        <w:t xml:space="preserve"> </w:t>
      </w:r>
      <w:r w:rsidRPr="00136956">
        <w:rPr>
          <w:rFonts w:cs="Times New Roman"/>
        </w:rPr>
        <w:t>70 et seq. (“Bill C</w:t>
      </w:r>
      <w:r>
        <w:rPr>
          <w:rFonts w:cs="Times New Roman"/>
        </w:rPr>
        <w:t>-</w:t>
      </w:r>
      <w:r w:rsidRPr="00136956">
        <w:rPr>
          <w:rFonts w:cs="Times New Roman"/>
        </w:rPr>
        <w:t>19 — Implementation Plan Summary”). This is indicative of the extent to which the data accumulated in the CFIS are interrelated and integrated, regardless of where they come from. Second, s.</w:t>
      </w:r>
      <w:r>
        <w:rPr>
          <w:rFonts w:cs="Times New Roman"/>
        </w:rPr>
        <w:t xml:space="preserve"> </w:t>
      </w:r>
      <w:r w:rsidRPr="00136956">
        <w:rPr>
          <w:rFonts w:cs="Times New Roman"/>
        </w:rPr>
        <w:t xml:space="preserve">29(2) of the </w:t>
      </w:r>
      <w:r w:rsidRPr="00136956">
        <w:rPr>
          <w:rFonts w:cs="Times New Roman"/>
          <w:i/>
        </w:rPr>
        <w:t>ELRA</w:t>
      </w:r>
      <w:r w:rsidRPr="00136956">
        <w:rPr>
          <w:rFonts w:cs="Times New Roman"/>
        </w:rPr>
        <w:t xml:space="preserve"> requires that each CFO ensure “the </w:t>
      </w:r>
      <w:proofErr w:type="gramStart"/>
      <w:r w:rsidRPr="00136956">
        <w:rPr>
          <w:rFonts w:cs="Times New Roman"/>
        </w:rPr>
        <w:t xml:space="preserve">destruction </w:t>
      </w:r>
      <w:r>
        <w:rPr>
          <w:rFonts w:cs="Times New Roman"/>
        </w:rPr>
        <w:t>.</w:t>
      </w:r>
      <w:proofErr w:type="gramEnd"/>
      <w:r>
        <w:rPr>
          <w:rFonts w:cs="Times New Roman"/>
        </w:rPr>
        <w:t> . .</w:t>
      </w:r>
      <w:r w:rsidRPr="00136956">
        <w:rPr>
          <w:rFonts w:cs="Times New Roman"/>
        </w:rPr>
        <w:t xml:space="preserve"> of all records under their control related to the registration of [long guns]”. This statutory requirement presupposes that like the Registrar, the CFOs possess certain information with respect to the registration of firearms that they must destroy. The need to have the CFOs intervene in this way in the destruction process is still further evidence of the extent to which all the data relating to long guns are integrated. </w:t>
      </w:r>
    </w:p>
    <w:p w:rsidR="009278C8" w:rsidRPr="00136956" w:rsidRDefault="009278C8" w:rsidP="009278C8">
      <w:pPr>
        <w:pStyle w:val="ParaNoNdepar-AltN"/>
        <w:rPr>
          <w:rFonts w:cs="Times New Roman"/>
        </w:rPr>
      </w:pPr>
      <w:r w:rsidRPr="00136956">
        <w:rPr>
          <w:rFonts w:cs="Times New Roman"/>
        </w:rPr>
        <w:lastRenderedPageBreak/>
        <w:t>Furthermore, as Quebec’s CFO explained, the CFR and the CFOs’ records do not exist independently of the CFIS: [</w:t>
      </w:r>
      <w:r w:rsidRPr="00136956">
        <w:rPr>
          <w:rFonts w:cs="Times New Roman"/>
          <w:smallCaps/>
        </w:rPr>
        <w:t xml:space="preserve">translation] </w:t>
      </w:r>
      <w:r w:rsidRPr="00136956">
        <w:rPr>
          <w:rFonts w:cs="Times New Roman"/>
        </w:rPr>
        <w:t>“</w:t>
      </w:r>
      <w:r>
        <w:rPr>
          <w:rFonts w:cs="Times New Roman"/>
        </w:rPr>
        <w:t>. . .</w:t>
      </w:r>
      <w:r w:rsidRPr="00136956">
        <w:rPr>
          <w:rFonts w:cs="Times New Roman"/>
        </w:rPr>
        <w:t xml:space="preserve"> it’s a shared registry, since my records, I keep them in the CFIS. I don’t have a registry at my level. It’s really a registry I keep in the CFIS” (c</w:t>
      </w:r>
      <w:r w:rsidRPr="00136956">
        <w:rPr>
          <w:rFonts w:cs="Times New Roman"/>
          <w:iCs/>
        </w:rPr>
        <w:t>ross</w:t>
      </w:r>
      <w:r>
        <w:rPr>
          <w:rFonts w:cs="Times New Roman"/>
          <w:iCs/>
        </w:rPr>
        <w:t>-</w:t>
      </w:r>
      <w:r w:rsidRPr="00136956">
        <w:rPr>
          <w:rFonts w:cs="Times New Roman"/>
          <w:iCs/>
        </w:rPr>
        <w:t>examination of Isabelle Boudreault</w:t>
      </w:r>
      <w:r w:rsidRPr="00136956">
        <w:rPr>
          <w:rFonts w:cs="Times New Roman"/>
        </w:rPr>
        <w:t>, at p.</w:t>
      </w:r>
      <w:r>
        <w:rPr>
          <w:rFonts w:cs="Times New Roman"/>
        </w:rPr>
        <w:t xml:space="preserve"> </w:t>
      </w:r>
      <w:r w:rsidRPr="00136956">
        <w:rPr>
          <w:rFonts w:cs="Times New Roman"/>
        </w:rPr>
        <w:t xml:space="preserve">53). In fact, even though the </w:t>
      </w:r>
      <w:r w:rsidRPr="00136956">
        <w:rPr>
          <w:rFonts w:cs="Times New Roman"/>
          <w:i/>
        </w:rPr>
        <w:t>FA</w:t>
      </w:r>
      <w:r w:rsidRPr="00136956">
        <w:rPr>
          <w:rFonts w:cs="Times New Roman"/>
        </w:rPr>
        <w:t xml:space="preserve"> provides that the Registrar and the CFOs can modify only their own records, this restriction does not preclude them from co</w:t>
      </w:r>
      <w:r>
        <w:rPr>
          <w:rFonts w:cs="Times New Roman"/>
        </w:rPr>
        <w:t>-</w:t>
      </w:r>
      <w:r w:rsidRPr="00136956">
        <w:rPr>
          <w:rFonts w:cs="Times New Roman"/>
        </w:rPr>
        <w:t xml:space="preserve">operating to ensure that the data for which they are responsible are accurate. For example, Quebec’s CFO stated that when inspecting businesses, she sometimes finds errors in the entry of firearm registration numbers. Although she cannot herself correct the data relating to registration certificates in the CFIS, she notifies the Registrar, who then makes the necessary changes: </w:t>
      </w:r>
      <w:proofErr w:type="gramStart"/>
      <w:r w:rsidRPr="00136956">
        <w:rPr>
          <w:rFonts w:cs="Times New Roman"/>
          <w:i/>
        </w:rPr>
        <w:t>ibid.</w:t>
      </w:r>
      <w:r w:rsidRPr="00136956">
        <w:rPr>
          <w:rFonts w:cs="Times New Roman"/>
        </w:rPr>
        <w:t>,</w:t>
      </w:r>
      <w:proofErr w:type="gramEnd"/>
      <w:r w:rsidRPr="00136956">
        <w:rPr>
          <w:rFonts w:cs="Times New Roman"/>
          <w:i/>
        </w:rPr>
        <w:t xml:space="preserve"> </w:t>
      </w:r>
      <w:r w:rsidRPr="00136956">
        <w:rPr>
          <w:rFonts w:cs="Times New Roman"/>
        </w:rPr>
        <w:t xml:space="preserve">at </w:t>
      </w:r>
      <w:r w:rsidRPr="00136956">
        <w:rPr>
          <w:rFonts w:cs="Times New Roman"/>
          <w:iCs/>
        </w:rPr>
        <w:t>p.</w:t>
      </w:r>
      <w:r>
        <w:rPr>
          <w:rFonts w:cs="Times New Roman"/>
          <w:iCs/>
        </w:rPr>
        <w:t xml:space="preserve"> </w:t>
      </w:r>
      <w:r w:rsidRPr="00136956">
        <w:rPr>
          <w:rFonts w:cs="Times New Roman"/>
          <w:iCs/>
        </w:rPr>
        <w:t>66</w:t>
      </w:r>
      <w:r w:rsidRPr="00136956">
        <w:rPr>
          <w:rFonts w:cs="Times New Roman"/>
        </w:rPr>
        <w:t>. The Registrar, the CFOs and their employees can also add comments in the CFIS regarding their own work:</w:t>
      </w:r>
      <w:r w:rsidRPr="00136956">
        <w:rPr>
          <w:rFonts w:cs="Times New Roman"/>
          <w:i/>
        </w:rPr>
        <w:t xml:space="preserve"> </w:t>
      </w:r>
      <w:proofErr w:type="gramStart"/>
      <w:r w:rsidRPr="00136956">
        <w:rPr>
          <w:rFonts w:cs="Times New Roman"/>
          <w:i/>
        </w:rPr>
        <w:t>ibid.</w:t>
      </w:r>
      <w:r w:rsidRPr="00136956">
        <w:rPr>
          <w:rFonts w:cs="Times New Roman"/>
        </w:rPr>
        <w:t>,</w:t>
      </w:r>
      <w:proofErr w:type="gramEnd"/>
      <w:r w:rsidRPr="00136956">
        <w:rPr>
          <w:rFonts w:cs="Times New Roman"/>
        </w:rPr>
        <w:t xml:space="preserve"> at pp.</w:t>
      </w:r>
      <w:r>
        <w:rPr>
          <w:rFonts w:cs="Times New Roman"/>
        </w:rPr>
        <w:t xml:space="preserve"> </w:t>
      </w:r>
      <w:r w:rsidRPr="00136956">
        <w:rPr>
          <w:rFonts w:cs="Times New Roman"/>
        </w:rPr>
        <w:t xml:space="preserve">82 et seq.; </w:t>
      </w:r>
      <w:r w:rsidRPr="00136956">
        <w:rPr>
          <w:rFonts w:cs="Times New Roman"/>
          <w:iCs/>
        </w:rPr>
        <w:t>affidavit of Pierre</w:t>
      </w:r>
      <w:r w:rsidRPr="00136956">
        <w:rPr>
          <w:rFonts w:cs="Times New Roman"/>
          <w:i/>
          <w:iCs/>
        </w:rPr>
        <w:t xml:space="preserve"> </w:t>
      </w:r>
      <w:r w:rsidRPr="00136956">
        <w:rPr>
          <w:rFonts w:cs="Times New Roman"/>
          <w:iCs/>
        </w:rPr>
        <w:t>Perron</w:t>
      </w:r>
      <w:r w:rsidRPr="00136956">
        <w:rPr>
          <w:rFonts w:cs="Times New Roman"/>
        </w:rPr>
        <w:t>, at para.</w:t>
      </w:r>
      <w:r>
        <w:rPr>
          <w:rFonts w:cs="Times New Roman"/>
        </w:rPr>
        <w:t xml:space="preserve"> </w:t>
      </w:r>
      <w:r w:rsidRPr="00136956">
        <w:rPr>
          <w:rFonts w:cs="Times New Roman"/>
        </w:rPr>
        <w:t>27(c).</w:t>
      </w:r>
    </w:p>
    <w:p w:rsidR="009278C8" w:rsidRPr="00136956" w:rsidRDefault="009278C8" w:rsidP="009278C8">
      <w:pPr>
        <w:pStyle w:val="ParaNoNdepar-AltN"/>
        <w:tabs>
          <w:tab w:val="clear" w:pos="1166"/>
          <w:tab w:val="num" w:pos="1152"/>
        </w:tabs>
        <w:rPr>
          <w:rFonts w:cs="Times New Roman"/>
        </w:rPr>
      </w:pPr>
      <w:r w:rsidRPr="00136956">
        <w:rPr>
          <w:rFonts w:cs="Times New Roman"/>
        </w:rPr>
        <w:t>We should add that the information with respect to the registration of long guns becomes fully relevant and useful only once it is integrated with and linked to the data on individuals and their licences. Section</w:t>
      </w:r>
      <w:r>
        <w:rPr>
          <w:rFonts w:cs="Times New Roman"/>
        </w:rPr>
        <w:t xml:space="preserve"> </w:t>
      </w:r>
      <w:r w:rsidRPr="00136956">
        <w:rPr>
          <w:rFonts w:cs="Times New Roman"/>
        </w:rPr>
        <w:t xml:space="preserve">13 of the </w:t>
      </w:r>
      <w:r w:rsidRPr="00136956">
        <w:rPr>
          <w:rFonts w:cs="Times New Roman"/>
          <w:i/>
        </w:rPr>
        <w:t>FA</w:t>
      </w:r>
      <w:r w:rsidRPr="00136956">
        <w:rPr>
          <w:rFonts w:cs="Times New Roman"/>
        </w:rPr>
        <w:t xml:space="preserve"> provides that the Registrar cannot register a gun unless a CFO has already issued a licence. The issuance of registration certificates therefore depends directly on the work done by Quebec’s CFO and firearms officers in the issuance of licences. </w:t>
      </w:r>
    </w:p>
    <w:p w:rsidR="009278C8" w:rsidRPr="00136956" w:rsidRDefault="009278C8" w:rsidP="009278C8">
      <w:pPr>
        <w:pStyle w:val="ParaNoNdepar-AltN"/>
        <w:tabs>
          <w:tab w:val="clear" w:pos="1166"/>
          <w:tab w:val="num" w:pos="1152"/>
        </w:tabs>
        <w:rPr>
          <w:rFonts w:cs="Times New Roman"/>
        </w:rPr>
      </w:pPr>
      <w:r w:rsidRPr="00136956">
        <w:rPr>
          <w:rFonts w:cs="Times New Roman"/>
        </w:rPr>
        <w:t>This leads us to conclude that Blanchard J. was right to state that the information entered into the CFR by the Registrar was [</w:t>
      </w:r>
      <w:r w:rsidRPr="00136956">
        <w:rPr>
          <w:rFonts w:cs="Times New Roman"/>
          <w:smallCaps/>
        </w:rPr>
        <w:t xml:space="preserve">translation] </w:t>
      </w:r>
      <w:r w:rsidRPr="00136956">
        <w:rPr>
          <w:rFonts w:cs="Times New Roman"/>
        </w:rPr>
        <w:t xml:space="preserve">“compiled” in the CFIS with the information entered by the CFOs in their records. He did not make </w:t>
      </w:r>
      <w:r w:rsidRPr="00136956">
        <w:rPr>
          <w:rFonts w:cs="Times New Roman"/>
        </w:rPr>
        <w:lastRenderedPageBreak/>
        <w:t>a palpable and overriding error in his factual characterization of the CFIS. To this extent, the Court of Appeal was wrong to find that he had failed to distinguish the CFR from the CFIS. In fact, Blanchard</w:t>
      </w:r>
      <w:r>
        <w:rPr>
          <w:rFonts w:cs="Times New Roman"/>
        </w:rPr>
        <w:t xml:space="preserve"> </w:t>
      </w:r>
      <w:r w:rsidRPr="00136956">
        <w:rPr>
          <w:rFonts w:cs="Times New Roman"/>
        </w:rPr>
        <w:t>J. had based his decision first and foremost on the existence of the CFIS, which he saw as a centralized registry that contains all the information collected by both the Registrar and the CFOs (paras.</w:t>
      </w:r>
      <w:r>
        <w:rPr>
          <w:rFonts w:cs="Times New Roman"/>
        </w:rPr>
        <w:t xml:space="preserve"> </w:t>
      </w:r>
      <w:r w:rsidRPr="00136956">
        <w:rPr>
          <w:rFonts w:cs="Times New Roman"/>
        </w:rPr>
        <w:t xml:space="preserve">28 and 82). As the evidence shows, even though the </w:t>
      </w:r>
      <w:r w:rsidRPr="00136956">
        <w:rPr>
          <w:rFonts w:cs="Times New Roman"/>
          <w:i/>
        </w:rPr>
        <w:t>FA</w:t>
      </w:r>
      <w:r w:rsidRPr="00136956">
        <w:rPr>
          <w:rFonts w:cs="Times New Roman"/>
        </w:rPr>
        <w:t xml:space="preserve"> provides for distinct registries, their implementation depends upon the existence of one common registry, the CFIS. Although s.</w:t>
      </w:r>
      <w:r>
        <w:rPr>
          <w:rFonts w:cs="Times New Roman"/>
        </w:rPr>
        <w:t xml:space="preserve"> </w:t>
      </w:r>
      <w:r w:rsidRPr="00136956">
        <w:rPr>
          <w:rFonts w:cs="Times New Roman"/>
        </w:rPr>
        <w:t xml:space="preserve">29 provides for the destruction of data in the CFR, in light of how the </w:t>
      </w:r>
      <w:r w:rsidRPr="00136956">
        <w:rPr>
          <w:rFonts w:cs="Times New Roman"/>
          <w:i/>
        </w:rPr>
        <w:t>FA</w:t>
      </w:r>
      <w:r w:rsidRPr="00136956">
        <w:rPr>
          <w:rFonts w:cs="Times New Roman"/>
        </w:rPr>
        <w:t xml:space="preserve"> was implemented, the data in question are in fact the data in the CFIS related to the registration of long guns. The data that the province of Quebec wishes to obtain and preserve are therefore the data on long guns in the CFIS that have a connection with Quebec. </w:t>
      </w:r>
    </w:p>
    <w:p w:rsidR="009278C8" w:rsidRPr="00136956" w:rsidRDefault="009278C8" w:rsidP="009278C8">
      <w:pPr>
        <w:pStyle w:val="ParaNoNdepar-AltN"/>
        <w:rPr>
          <w:rFonts w:cs="Times New Roman"/>
        </w:rPr>
      </w:pPr>
      <w:r w:rsidRPr="00136956">
        <w:rPr>
          <w:rFonts w:cs="Times New Roman"/>
        </w:rPr>
        <w:t>In the end, Blanchard</w:t>
      </w:r>
      <w:r>
        <w:rPr>
          <w:rFonts w:cs="Times New Roman"/>
        </w:rPr>
        <w:t xml:space="preserve"> </w:t>
      </w:r>
      <w:r w:rsidRPr="00136956">
        <w:rPr>
          <w:rFonts w:cs="Times New Roman"/>
        </w:rPr>
        <w:t xml:space="preserve">J.’s analysis of the factual background to this appeal is valid on the essential points. The Court of Appeal’s approach, on the other hand, is based upon a compartmentalized view of the </w:t>
      </w:r>
      <w:r w:rsidRPr="00136956">
        <w:rPr>
          <w:rFonts w:cs="Times New Roman"/>
          <w:i/>
        </w:rPr>
        <w:t>FA</w:t>
      </w:r>
      <w:r w:rsidRPr="00136956">
        <w:rPr>
          <w:rFonts w:cs="Times New Roman"/>
        </w:rPr>
        <w:t xml:space="preserve">. The different aspects of the scheme established by the </w:t>
      </w:r>
      <w:r w:rsidRPr="00136956">
        <w:rPr>
          <w:rFonts w:cs="Times New Roman"/>
          <w:i/>
        </w:rPr>
        <w:t>FA</w:t>
      </w:r>
      <w:r w:rsidRPr="00136956">
        <w:rPr>
          <w:rFonts w:cs="Times New Roman"/>
        </w:rPr>
        <w:t xml:space="preserve"> do not operate in isolation. There is an undeniable interaction between the Registrar and the CFOs, which is reflected in particular in the fact that their respective records are interrelated. This interaction is one aspect of the federal</w:t>
      </w:r>
      <w:r>
        <w:rPr>
          <w:rFonts w:cs="Times New Roman"/>
        </w:rPr>
        <w:t>-</w:t>
      </w:r>
      <w:r w:rsidRPr="00136956">
        <w:rPr>
          <w:rFonts w:cs="Times New Roman"/>
        </w:rPr>
        <w:t>provincial partnership upon which Blanchard</w:t>
      </w:r>
      <w:r>
        <w:rPr>
          <w:rFonts w:cs="Times New Roman"/>
        </w:rPr>
        <w:t xml:space="preserve"> </w:t>
      </w:r>
      <w:r w:rsidRPr="00136956">
        <w:rPr>
          <w:rFonts w:cs="Times New Roman"/>
        </w:rPr>
        <w:t>J. focused, and which we will now discuss.</w:t>
      </w:r>
    </w:p>
    <w:p w:rsidR="009278C8" w:rsidRPr="00136956" w:rsidRDefault="009278C8" w:rsidP="009278C8">
      <w:pPr>
        <w:pStyle w:val="Title2LevelTitre2Niveau"/>
        <w:tabs>
          <w:tab w:val="clear" w:pos="576"/>
          <w:tab w:val="num" w:pos="432"/>
        </w:tabs>
        <w:ind w:left="432" w:hanging="432"/>
        <w:outlineLvl w:val="0"/>
        <w:rPr>
          <w:rFonts w:cs="Times New Roman"/>
        </w:rPr>
      </w:pPr>
      <w:bookmarkStart w:id="36" w:name="_Toc411583255"/>
      <w:bookmarkStart w:id="37" w:name="_Toc413306873"/>
      <w:r w:rsidRPr="00136956">
        <w:rPr>
          <w:rFonts w:cs="Times New Roman"/>
        </w:rPr>
        <w:t>Federal</w:t>
      </w:r>
      <w:r>
        <w:rPr>
          <w:rFonts w:cs="Times New Roman"/>
        </w:rPr>
        <w:t>-</w:t>
      </w:r>
      <w:r w:rsidRPr="00136956">
        <w:rPr>
          <w:rFonts w:cs="Times New Roman"/>
        </w:rPr>
        <w:t>Provincial</w:t>
      </w:r>
      <w:bookmarkEnd w:id="36"/>
      <w:r w:rsidRPr="00136956">
        <w:rPr>
          <w:rFonts w:cs="Times New Roman"/>
        </w:rPr>
        <w:t xml:space="preserve"> Partnership</w:t>
      </w:r>
      <w:bookmarkEnd w:id="37"/>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The AGQ relies, as did Blanchard</w:t>
      </w:r>
      <w:r>
        <w:rPr>
          <w:rFonts w:cs="Times New Roman"/>
        </w:rPr>
        <w:t xml:space="preserve"> </w:t>
      </w:r>
      <w:r w:rsidRPr="00136956">
        <w:rPr>
          <w:rFonts w:cs="Times New Roman"/>
        </w:rPr>
        <w:t xml:space="preserve">J., on the existence of a partnership in the broad sense in relation to the application of the </w:t>
      </w:r>
      <w:r w:rsidRPr="00136956">
        <w:rPr>
          <w:rFonts w:cs="Times New Roman"/>
          <w:i/>
        </w:rPr>
        <w:t>FA</w:t>
      </w:r>
      <w:r w:rsidRPr="00136956">
        <w:rPr>
          <w:rFonts w:cs="Times New Roman"/>
        </w:rPr>
        <w:t xml:space="preserve">, one that goes beyond the simple collection of the data in the CFR. He refers to numerous documents from federal government bodies that include expressions of this view of relations between the two levels of government in respect of the implementation of the </w:t>
      </w:r>
      <w:r w:rsidRPr="00136956">
        <w:rPr>
          <w:rFonts w:cs="Times New Roman"/>
          <w:i/>
        </w:rPr>
        <w:t>FA</w:t>
      </w:r>
      <w:r w:rsidRPr="00136956">
        <w:rPr>
          <w:rFonts w:cs="Times New Roman"/>
        </w:rPr>
        <w:t xml:space="preserve">. The AGC agrees instead with the Court of Appeal, arguing that Quebec did not participate in gathering the data in the CFR. He adds that the agreements entered into between Quebec and Canada in relation to the administration of the </w:t>
      </w:r>
      <w:r w:rsidRPr="00136956">
        <w:rPr>
          <w:rFonts w:cs="Times New Roman"/>
          <w:i/>
        </w:rPr>
        <w:t>FA</w:t>
      </w:r>
      <w:r w:rsidRPr="00136956">
        <w:rPr>
          <w:rFonts w:cs="Times New Roman"/>
        </w:rPr>
        <w:t xml:space="preserve"> were strictly financial in nature. Thus, the partnership upon which the appellant relies never existed.</w:t>
      </w:r>
    </w:p>
    <w:p w:rsidR="009278C8" w:rsidRPr="00136956" w:rsidRDefault="009278C8" w:rsidP="009278C8">
      <w:pPr>
        <w:pStyle w:val="ParaNoNdepar-AltN"/>
        <w:tabs>
          <w:tab w:val="clear" w:pos="1166"/>
          <w:tab w:val="num" w:pos="1152"/>
        </w:tabs>
        <w:rPr>
          <w:rFonts w:cs="Times New Roman"/>
        </w:rPr>
      </w:pPr>
      <w:r w:rsidRPr="00136956">
        <w:rPr>
          <w:rFonts w:cs="Times New Roman"/>
        </w:rPr>
        <w:t>In our opinion, Blanchard J. was right to find that there was a partnership between Canada and Quebec in the case at bar. Although it is true that Quebec did not enter the information related to the registration of long guns in the CFIS database, this fact is not incompatible with the existence of a partnership between Quebec and Canada, given that the partnership was not based solely on the entry of the information. We must consider the nature and consequences of the partnership, and the importance to it of the data to which s.</w:t>
      </w:r>
      <w:r>
        <w:rPr>
          <w:rFonts w:cs="Times New Roman"/>
        </w:rPr>
        <w:t xml:space="preserve"> </w:t>
      </w:r>
      <w:r w:rsidRPr="00136956">
        <w:rPr>
          <w:rFonts w:cs="Times New Roman"/>
        </w:rPr>
        <w:t xml:space="preserve">29 applies. This partnership has been at the heart of the evolving implementation of the </w:t>
      </w:r>
      <w:r w:rsidRPr="00136956">
        <w:rPr>
          <w:rFonts w:cs="Times New Roman"/>
          <w:i/>
        </w:rPr>
        <w:t>FA</w:t>
      </w:r>
      <w:r w:rsidRPr="00136956">
        <w:rPr>
          <w:rFonts w:cs="Times New Roman"/>
        </w:rPr>
        <w:t xml:space="preserve"> since the very beginning.</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First of all, even before the </w:t>
      </w:r>
      <w:r w:rsidRPr="00136956">
        <w:rPr>
          <w:rFonts w:cs="Times New Roman"/>
          <w:i/>
        </w:rPr>
        <w:t>FA</w:t>
      </w:r>
      <w:r w:rsidRPr="00136956">
        <w:rPr>
          <w:rFonts w:cs="Times New Roman"/>
        </w:rPr>
        <w:t xml:space="preserve"> came into force, federal government ministers had observed that it would be necessary to work together with the provinces to administer the legislation. Then, in the first year after it was implemented, the Registrar stated that he was “working closely with [his] </w:t>
      </w:r>
      <w:proofErr w:type="gramStart"/>
      <w:r w:rsidRPr="00136956">
        <w:rPr>
          <w:rFonts w:cs="Times New Roman"/>
        </w:rPr>
        <w:t xml:space="preserve">provincial </w:t>
      </w:r>
      <w:r>
        <w:rPr>
          <w:rFonts w:cs="Times New Roman"/>
        </w:rPr>
        <w:t>.</w:t>
      </w:r>
      <w:proofErr w:type="gramEnd"/>
      <w:r>
        <w:rPr>
          <w:rFonts w:cs="Times New Roman"/>
        </w:rPr>
        <w:t> . .</w:t>
      </w:r>
      <w:r w:rsidRPr="00136956">
        <w:rPr>
          <w:rFonts w:cs="Times New Roman"/>
        </w:rPr>
        <w:t xml:space="preserve"> partners”: </w:t>
      </w:r>
      <w:r w:rsidRPr="00136956">
        <w:rPr>
          <w:rFonts w:cs="Times New Roman"/>
        </w:rPr>
        <w:lastRenderedPageBreak/>
        <w:t xml:space="preserve">RCMP, </w:t>
      </w:r>
      <w:r w:rsidRPr="00136956">
        <w:rPr>
          <w:rFonts w:cs="Times New Roman"/>
          <w:i/>
        </w:rPr>
        <w:t xml:space="preserve">Report on the Administration of the Firearms Act to the Solicitor General by the Registrar: Canadian Firearms Registry </w:t>
      </w:r>
      <w:r w:rsidRPr="00136956">
        <w:rPr>
          <w:rFonts w:cs="Times New Roman"/>
        </w:rPr>
        <w:t>(1999), at p.</w:t>
      </w:r>
      <w:r>
        <w:rPr>
          <w:rFonts w:cs="Times New Roman"/>
        </w:rPr>
        <w:t xml:space="preserve"> </w:t>
      </w:r>
      <w:r w:rsidRPr="00136956">
        <w:rPr>
          <w:rFonts w:cs="Times New Roman"/>
        </w:rPr>
        <w:t xml:space="preserve">iv. </w:t>
      </w:r>
    </w:p>
    <w:p w:rsidR="009278C8" w:rsidRPr="00136956" w:rsidRDefault="009278C8" w:rsidP="009278C8">
      <w:pPr>
        <w:pStyle w:val="ParaNoNdepar-AltN"/>
        <w:tabs>
          <w:tab w:val="clear" w:pos="1166"/>
          <w:tab w:val="num" w:pos="1152"/>
        </w:tabs>
        <w:rPr>
          <w:rFonts w:cs="Times New Roman"/>
        </w:rPr>
      </w:pPr>
      <w:r w:rsidRPr="00136956">
        <w:rPr>
          <w:rFonts w:cs="Times New Roman"/>
        </w:rPr>
        <w:t>This co</w:t>
      </w:r>
      <w:r>
        <w:rPr>
          <w:rFonts w:cs="Times New Roman"/>
        </w:rPr>
        <w:t>-</w:t>
      </w:r>
      <w:r w:rsidRPr="00136956">
        <w:rPr>
          <w:rFonts w:cs="Times New Roman"/>
        </w:rPr>
        <w:t xml:space="preserve">operative view continued to ground relations between the various interested parties in subsequent years. For example, the RCMP commented as follows in 2010, when the provisions of the </w:t>
      </w:r>
      <w:r w:rsidRPr="00136956">
        <w:rPr>
          <w:rFonts w:cs="Times New Roman"/>
          <w:i/>
        </w:rPr>
        <w:t>FA</w:t>
      </w:r>
      <w:r w:rsidRPr="00136956">
        <w:rPr>
          <w:rFonts w:cs="Times New Roman"/>
        </w:rPr>
        <w:t xml:space="preserve"> concerning the registration of long guns were still in force: “Effective delivery of the CFP depends upon partnerships involving the federal and provincial governments and law enforcement agencies” (</w:t>
      </w:r>
      <w:r w:rsidRPr="00136956">
        <w:rPr>
          <w:rFonts w:cs="Times New Roman"/>
          <w:i/>
        </w:rPr>
        <w:t>CFP Evaluation</w:t>
      </w:r>
      <w:r w:rsidRPr="00136956">
        <w:rPr>
          <w:rFonts w:cs="Times New Roman"/>
        </w:rPr>
        <w:t>, at p.</w:t>
      </w:r>
      <w:r>
        <w:rPr>
          <w:rFonts w:cs="Times New Roman"/>
        </w:rPr>
        <w:t xml:space="preserve"> </w:t>
      </w:r>
      <w:r w:rsidRPr="00136956">
        <w:rPr>
          <w:rFonts w:cs="Times New Roman"/>
        </w:rPr>
        <w:t>8).</w:t>
      </w:r>
    </w:p>
    <w:p w:rsidR="009278C8" w:rsidRPr="00136956" w:rsidRDefault="009278C8" w:rsidP="009278C8">
      <w:pPr>
        <w:pStyle w:val="ParaNoNdepar-AltN"/>
        <w:tabs>
          <w:tab w:val="clear" w:pos="1166"/>
          <w:tab w:val="num" w:pos="1152"/>
        </w:tabs>
        <w:rPr>
          <w:rFonts w:cs="Times New Roman"/>
        </w:rPr>
      </w:pPr>
      <w:r w:rsidRPr="00136956">
        <w:rPr>
          <w:rFonts w:cs="Times New Roman"/>
        </w:rPr>
        <w:t>The same view continued to be expressed even after the tabling of Bill C</w:t>
      </w:r>
      <w:r>
        <w:rPr>
          <w:rFonts w:cs="Times New Roman"/>
        </w:rPr>
        <w:t>-</w:t>
      </w:r>
      <w:r w:rsidRPr="00136956">
        <w:rPr>
          <w:rFonts w:cs="Times New Roman"/>
        </w:rPr>
        <w:t xml:space="preserve">19, which would become the </w:t>
      </w:r>
      <w:r w:rsidRPr="00136956">
        <w:rPr>
          <w:rFonts w:cs="Times New Roman"/>
          <w:i/>
        </w:rPr>
        <w:t>ELRA</w:t>
      </w:r>
      <w:r w:rsidRPr="00136956">
        <w:rPr>
          <w:rFonts w:cs="Times New Roman"/>
        </w:rPr>
        <w:t xml:space="preserve">: </w:t>
      </w:r>
    </w:p>
    <w:p w:rsidR="009278C8" w:rsidRPr="00136956" w:rsidRDefault="009278C8" w:rsidP="00566BAB">
      <w:pPr>
        <w:pStyle w:val="Citation-AltC"/>
        <w:spacing w:after="480"/>
        <w:ind w:hanging="1166"/>
        <w:contextualSpacing w:val="0"/>
      </w:pPr>
      <w:r w:rsidRPr="00136956">
        <w:tab/>
        <w:t>Delivery of the CFP depends on the existing partnership between the federal government, the provincial governments and law enforcement agencies. The federal government contributes funds to the provinces that are responsible for the administrative work relating to various aspects of the Act, such as processing licences and registration certificates.</w:t>
      </w:r>
    </w:p>
    <w:p w:rsidR="009278C8" w:rsidRPr="00136956" w:rsidRDefault="009278C8" w:rsidP="009278C8">
      <w:pPr>
        <w:pStyle w:val="Citation-AltC"/>
        <w:ind w:hanging="1166"/>
        <w:contextualSpacing w:val="0"/>
      </w:pPr>
      <w:r w:rsidRPr="00136956">
        <w:t>(</w:t>
      </w:r>
      <w:r w:rsidRPr="00136956">
        <w:rPr>
          <w:i/>
          <w:iCs/>
        </w:rPr>
        <w:t>Legislative Summary</w:t>
      </w:r>
      <w:r w:rsidRPr="00136956">
        <w:t>, at p.</w:t>
      </w:r>
      <w:r>
        <w:t xml:space="preserve"> </w:t>
      </w:r>
      <w:r w:rsidRPr="00136956">
        <w:t>4)</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As can be seen from these passages as well as from the declarations to the House of Commons quoted above, the implementation of the </w:t>
      </w:r>
      <w:r w:rsidRPr="00136956">
        <w:rPr>
          <w:rFonts w:cs="Times New Roman"/>
          <w:i/>
        </w:rPr>
        <w:t>FA</w:t>
      </w:r>
      <w:r w:rsidRPr="00136956">
        <w:rPr>
          <w:rFonts w:cs="Times New Roman"/>
        </w:rPr>
        <w:t xml:space="preserve"> and the CFP required provincial collaboration. In this regard, the evidence in the case at bar concerned primarily the specific relationship that developed between the federal government and Quebec. Accordingly, we will concentrate our analysis on the partnership at issue here. </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This partnership is reflected first in the construction of the CFIS database. As we mentioned above, Quebec, through its CFO, collaborated in the CFIS by gathering, analyzing, organizing and modifying certain data that it contained. The validity of this finding is not weakened by the fact that Quebec did not “enter” certain information in the CFIS, since it was a system that contained interrelated data: affidavit of Pierre Perron</w:t>
      </w:r>
      <w:r w:rsidRPr="00136956">
        <w:rPr>
          <w:rFonts w:cs="Times New Roman"/>
          <w:iCs/>
        </w:rPr>
        <w:t>, at paras.</w:t>
      </w:r>
      <w:r>
        <w:rPr>
          <w:rFonts w:cs="Times New Roman"/>
          <w:iCs/>
        </w:rPr>
        <w:t xml:space="preserve"> </w:t>
      </w:r>
      <w:r w:rsidRPr="00136956">
        <w:rPr>
          <w:rFonts w:cs="Times New Roman"/>
          <w:iCs/>
        </w:rPr>
        <w:t>27(b) to (e); cross</w:t>
      </w:r>
      <w:r>
        <w:rPr>
          <w:rFonts w:cs="Times New Roman"/>
          <w:iCs/>
        </w:rPr>
        <w:t>-</w:t>
      </w:r>
      <w:r w:rsidRPr="00136956">
        <w:rPr>
          <w:rFonts w:cs="Times New Roman"/>
          <w:iCs/>
        </w:rPr>
        <w:t>examination of Isabelle Boudreault,</w:t>
      </w:r>
      <w:r w:rsidRPr="00136956">
        <w:rPr>
          <w:rFonts w:cs="Times New Roman"/>
        </w:rPr>
        <w:t xml:space="preserve"> at pp.</w:t>
      </w:r>
      <w:r>
        <w:rPr>
          <w:rFonts w:cs="Times New Roman"/>
        </w:rPr>
        <w:t xml:space="preserve"> </w:t>
      </w:r>
      <w:r w:rsidRPr="00136956">
        <w:rPr>
          <w:rFonts w:cs="Times New Roman"/>
        </w:rPr>
        <w:t>63</w:t>
      </w:r>
      <w:r>
        <w:rPr>
          <w:rFonts w:cs="Times New Roman"/>
        </w:rPr>
        <w:t>-</w:t>
      </w:r>
      <w:r w:rsidRPr="00136956">
        <w:rPr>
          <w:rFonts w:cs="Times New Roman"/>
        </w:rPr>
        <w:t xml:space="preserve">64. </w:t>
      </w:r>
    </w:p>
    <w:p w:rsidR="009278C8" w:rsidRPr="00136956" w:rsidRDefault="009278C8" w:rsidP="009278C8">
      <w:pPr>
        <w:pStyle w:val="ParaNoNdepar-AltN"/>
        <w:tabs>
          <w:tab w:val="clear" w:pos="1166"/>
          <w:tab w:val="num" w:pos="1152"/>
        </w:tabs>
        <w:rPr>
          <w:rFonts w:cs="Times New Roman"/>
          <w:iCs/>
        </w:rPr>
      </w:pPr>
      <w:r w:rsidRPr="00136956">
        <w:rPr>
          <w:rFonts w:cs="Times New Roman"/>
        </w:rPr>
        <w:t xml:space="preserve">Moreover, Quebec’s CFO supported the Registrar’s efforts to create a reliable and comprehensive database that would be updated daily. He or she participated in each stage of firearms registration and worked to ensure that when the Registrar issued a registration certificate, </w:t>
      </w:r>
      <w:r w:rsidR="00566BAB">
        <w:rPr>
          <w:rFonts w:cs="Times New Roman"/>
        </w:rPr>
        <w:t xml:space="preserve">it was done </w:t>
      </w:r>
      <w:r w:rsidRPr="00136956">
        <w:rPr>
          <w:rFonts w:cs="Times New Roman"/>
        </w:rPr>
        <w:t xml:space="preserve">in conformity with the </w:t>
      </w:r>
      <w:r w:rsidRPr="00136956">
        <w:rPr>
          <w:rFonts w:cs="Times New Roman"/>
          <w:i/>
        </w:rPr>
        <w:t>FA</w:t>
      </w:r>
      <w:r w:rsidRPr="00136956">
        <w:rPr>
          <w:rFonts w:cs="Times New Roman"/>
        </w:rPr>
        <w:t>. Furthermore, one CFO explained that when she revoked a licence to possess firearms (under s.</w:t>
      </w:r>
      <w:r>
        <w:rPr>
          <w:rFonts w:cs="Times New Roman"/>
        </w:rPr>
        <w:t xml:space="preserve"> </w:t>
      </w:r>
      <w:r w:rsidRPr="00136956">
        <w:rPr>
          <w:rFonts w:cs="Times New Roman"/>
        </w:rPr>
        <w:t xml:space="preserve">70 </w:t>
      </w:r>
      <w:r w:rsidRPr="00136956">
        <w:rPr>
          <w:rFonts w:cs="Times New Roman"/>
          <w:i/>
        </w:rPr>
        <w:t>FA</w:t>
      </w:r>
      <w:r w:rsidRPr="00136956">
        <w:rPr>
          <w:rFonts w:cs="Times New Roman"/>
        </w:rPr>
        <w:t>), she alerted the Registrar, who then had to revoke the registration certificate: cross</w:t>
      </w:r>
      <w:r>
        <w:rPr>
          <w:rFonts w:cs="Times New Roman"/>
        </w:rPr>
        <w:t>-</w:t>
      </w:r>
      <w:r w:rsidRPr="00136956">
        <w:rPr>
          <w:rFonts w:cs="Times New Roman"/>
        </w:rPr>
        <w:t>examination of Isabelle Boudreault, at pp.</w:t>
      </w:r>
      <w:r>
        <w:rPr>
          <w:rFonts w:cs="Times New Roman"/>
        </w:rPr>
        <w:t xml:space="preserve"> </w:t>
      </w:r>
      <w:r w:rsidRPr="00136956">
        <w:rPr>
          <w:rFonts w:cs="Times New Roman"/>
        </w:rPr>
        <w:t>83</w:t>
      </w:r>
      <w:r>
        <w:rPr>
          <w:rFonts w:cs="Times New Roman"/>
        </w:rPr>
        <w:t>-</w:t>
      </w:r>
      <w:r w:rsidRPr="00136956">
        <w:rPr>
          <w:rFonts w:cs="Times New Roman"/>
        </w:rPr>
        <w:t>84; r</w:t>
      </w:r>
      <w:r w:rsidRPr="00136956">
        <w:rPr>
          <w:rFonts w:cs="Times New Roman"/>
          <w:iCs/>
        </w:rPr>
        <w:t>e</w:t>
      </w:r>
      <w:r>
        <w:rPr>
          <w:rFonts w:cs="Times New Roman"/>
          <w:iCs/>
        </w:rPr>
        <w:t>-</w:t>
      </w:r>
      <w:r w:rsidRPr="00136956">
        <w:rPr>
          <w:rFonts w:cs="Times New Roman"/>
          <w:iCs/>
        </w:rPr>
        <w:t>examination of Isabelle Boudreault</w:t>
      </w:r>
      <w:r w:rsidRPr="00136956">
        <w:rPr>
          <w:rFonts w:cs="Times New Roman"/>
        </w:rPr>
        <w:t>, May</w:t>
      </w:r>
      <w:r>
        <w:rPr>
          <w:rFonts w:cs="Times New Roman"/>
        </w:rPr>
        <w:t xml:space="preserve"> </w:t>
      </w:r>
      <w:r w:rsidRPr="00136956">
        <w:rPr>
          <w:rFonts w:cs="Times New Roman"/>
        </w:rPr>
        <w:t>8, 2012, J.R., vol.</w:t>
      </w:r>
      <w:r>
        <w:rPr>
          <w:rFonts w:cs="Times New Roman"/>
        </w:rPr>
        <w:t xml:space="preserve"> </w:t>
      </w:r>
      <w:r w:rsidRPr="00136956">
        <w:rPr>
          <w:rFonts w:cs="Times New Roman"/>
        </w:rPr>
        <w:t>4, at p.</w:t>
      </w:r>
      <w:r>
        <w:rPr>
          <w:rFonts w:cs="Times New Roman"/>
        </w:rPr>
        <w:t xml:space="preserve"> </w:t>
      </w:r>
      <w:r w:rsidRPr="00136956">
        <w:rPr>
          <w:rFonts w:cs="Times New Roman"/>
        </w:rPr>
        <w:t>153. We should also point out that s.</w:t>
      </w:r>
      <w:r>
        <w:rPr>
          <w:rFonts w:cs="Times New Roman"/>
        </w:rPr>
        <w:t xml:space="preserve"> </w:t>
      </w:r>
      <w:r w:rsidRPr="00136956">
        <w:rPr>
          <w:rFonts w:cs="Times New Roman"/>
        </w:rPr>
        <w:t xml:space="preserve">29(2) of the </w:t>
      </w:r>
      <w:r w:rsidRPr="00136956">
        <w:rPr>
          <w:rFonts w:cs="Times New Roman"/>
          <w:i/>
        </w:rPr>
        <w:t>ELRA</w:t>
      </w:r>
      <w:r w:rsidRPr="00136956">
        <w:rPr>
          <w:rFonts w:cs="Times New Roman"/>
        </w:rPr>
        <w:t xml:space="preserve"> provides that each CFO must ensure “the </w:t>
      </w:r>
      <w:proofErr w:type="gramStart"/>
      <w:r w:rsidRPr="00136956">
        <w:rPr>
          <w:rFonts w:cs="Times New Roman"/>
        </w:rPr>
        <w:t xml:space="preserve">destruction </w:t>
      </w:r>
      <w:r>
        <w:rPr>
          <w:rFonts w:cs="Times New Roman"/>
        </w:rPr>
        <w:t>.</w:t>
      </w:r>
      <w:proofErr w:type="gramEnd"/>
      <w:r>
        <w:rPr>
          <w:rFonts w:cs="Times New Roman"/>
        </w:rPr>
        <w:t> . .</w:t>
      </w:r>
      <w:r w:rsidRPr="00136956">
        <w:rPr>
          <w:rFonts w:cs="Times New Roman"/>
        </w:rPr>
        <w:t xml:space="preserve"> of all records under their control related to the registration of [long guns]”. Thus, according to the </w:t>
      </w:r>
      <w:r w:rsidRPr="00136956">
        <w:rPr>
          <w:rFonts w:cs="Times New Roman"/>
          <w:i/>
        </w:rPr>
        <w:t>ELRA</w:t>
      </w:r>
      <w:r w:rsidRPr="00136956">
        <w:rPr>
          <w:rFonts w:cs="Times New Roman"/>
        </w:rPr>
        <w:t xml:space="preserve">, the collaboration of the CFOs is needed up to the time of the abolition of the requirement to destroy the data related to the registration of long guns. </w:t>
      </w:r>
    </w:p>
    <w:p w:rsidR="009278C8" w:rsidRPr="00136956" w:rsidRDefault="009278C8" w:rsidP="009278C8">
      <w:pPr>
        <w:pStyle w:val="ParaNoNdepar-AltN"/>
        <w:tabs>
          <w:tab w:val="clear" w:pos="1166"/>
          <w:tab w:val="num" w:pos="1152"/>
        </w:tabs>
        <w:rPr>
          <w:rFonts w:cs="Times New Roman"/>
        </w:rPr>
      </w:pPr>
      <w:r w:rsidRPr="00136956">
        <w:rPr>
          <w:rFonts w:cs="Times New Roman"/>
          <w:iCs/>
        </w:rPr>
        <w:t>The AGC argues that the CFOs are federal</w:t>
      </w:r>
      <w:r w:rsidRPr="00136956">
        <w:rPr>
          <w:rFonts w:cs="Times New Roman"/>
          <w:szCs w:val="24"/>
        </w:rPr>
        <w:t xml:space="preserve"> agents who exercise powers conferred on them by federal legislation, even where the provinces choose to designate their own CFOs. He also points out that this position is financed by the </w:t>
      </w:r>
      <w:r w:rsidRPr="00136956">
        <w:rPr>
          <w:rFonts w:cs="Times New Roman"/>
          <w:szCs w:val="24"/>
        </w:rPr>
        <w:lastRenderedPageBreak/>
        <w:t>federal government. In the AGC’s view, this leads to the conclusion that the provincial component of the partnership to which the AGQ refers is in reality federal.</w:t>
      </w:r>
    </w:p>
    <w:p w:rsidR="009278C8" w:rsidRPr="00136956" w:rsidRDefault="009278C8" w:rsidP="009278C8">
      <w:pPr>
        <w:pStyle w:val="ParaNoNdepar-AltN"/>
        <w:tabs>
          <w:tab w:val="clear" w:pos="1166"/>
          <w:tab w:val="num" w:pos="1152"/>
        </w:tabs>
        <w:rPr>
          <w:rFonts w:cs="Times New Roman"/>
        </w:rPr>
      </w:pPr>
      <w:r w:rsidRPr="00136956">
        <w:rPr>
          <w:rFonts w:cs="Times New Roman"/>
          <w:szCs w:val="24"/>
        </w:rPr>
        <w:t>This argument must fail. The AGC is distorting the CFOs’ role. Although it is true that, strictly speaking, the CFOs exercise powers conferred on them by federal legislation</w:t>
      </w:r>
      <w:r w:rsidRPr="00136956">
        <w:rPr>
          <w:rFonts w:cs="Times New Roman"/>
        </w:rPr>
        <w:t xml:space="preserve">, the fact remains that several of them were designated by the provinces. In Quebec’s case, the province set up, managed and supervised the office, and also added to its incumbent’s responsibilities.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For example, Quebec’s CFO performs functions delegated to him or her by Quebec legislation: </w:t>
      </w:r>
      <w:r w:rsidRPr="00136956">
        <w:rPr>
          <w:rFonts w:cs="Times New Roman"/>
          <w:i/>
          <w:iCs/>
        </w:rPr>
        <w:t>An Act to protect persons with regard to activities involving firearms</w:t>
      </w:r>
      <w:r w:rsidRPr="00136956">
        <w:rPr>
          <w:rFonts w:cs="Times New Roman"/>
        </w:rPr>
        <w:t>, CQLR, c.</w:t>
      </w:r>
      <w:r>
        <w:rPr>
          <w:rFonts w:cs="Times New Roman"/>
        </w:rPr>
        <w:t xml:space="preserve"> </w:t>
      </w:r>
      <w:r w:rsidRPr="00136956">
        <w:rPr>
          <w:rFonts w:cs="Times New Roman"/>
        </w:rPr>
        <w:t>P</w:t>
      </w:r>
      <w:r>
        <w:rPr>
          <w:rFonts w:cs="Times New Roman"/>
        </w:rPr>
        <w:t>-</w:t>
      </w:r>
      <w:r w:rsidRPr="00136956">
        <w:rPr>
          <w:rFonts w:cs="Times New Roman"/>
        </w:rPr>
        <w:t>38.0001</w:t>
      </w:r>
      <w:r w:rsidRPr="00136956">
        <w:rPr>
          <w:rFonts w:cs="Times New Roman"/>
          <w:i/>
          <w:iCs/>
        </w:rPr>
        <w:t xml:space="preserve"> </w:t>
      </w:r>
      <w:r w:rsidRPr="00136956">
        <w:rPr>
          <w:rFonts w:cs="Times New Roman"/>
          <w:iCs/>
        </w:rPr>
        <w:t>(“</w:t>
      </w:r>
      <w:r w:rsidRPr="00136956">
        <w:rPr>
          <w:rFonts w:cs="Times New Roman"/>
          <w:i/>
          <w:iCs/>
        </w:rPr>
        <w:t>Anastasia’s Law</w:t>
      </w:r>
      <w:r w:rsidRPr="00136956">
        <w:rPr>
          <w:rFonts w:cs="Times New Roman"/>
          <w:iCs/>
        </w:rPr>
        <w:t>”</w:t>
      </w:r>
      <w:r w:rsidRPr="00136956">
        <w:rPr>
          <w:rFonts w:cs="Times New Roman"/>
        </w:rPr>
        <w:t xml:space="preserve">); </w:t>
      </w:r>
      <w:r w:rsidRPr="00136956">
        <w:rPr>
          <w:rFonts w:cs="Times New Roman"/>
          <w:i/>
          <w:iCs/>
        </w:rPr>
        <w:t>An Act respecting safety in sports</w:t>
      </w:r>
      <w:r w:rsidRPr="00136956">
        <w:rPr>
          <w:rFonts w:cs="Times New Roman"/>
        </w:rPr>
        <w:t>, CQLR, c.</w:t>
      </w:r>
      <w:r>
        <w:rPr>
          <w:rFonts w:cs="Times New Roman"/>
        </w:rPr>
        <w:t xml:space="preserve"> </w:t>
      </w:r>
      <w:r w:rsidRPr="00136956">
        <w:rPr>
          <w:rFonts w:cs="Times New Roman"/>
        </w:rPr>
        <w:t>S</w:t>
      </w:r>
      <w:r>
        <w:rPr>
          <w:rFonts w:cs="Times New Roman"/>
        </w:rPr>
        <w:t>-</w:t>
      </w:r>
      <w:r w:rsidRPr="00136956">
        <w:rPr>
          <w:rFonts w:cs="Times New Roman"/>
        </w:rPr>
        <w:t>3.1, s.</w:t>
      </w:r>
      <w:r>
        <w:rPr>
          <w:rFonts w:cs="Times New Roman"/>
        </w:rPr>
        <w:t xml:space="preserve"> </w:t>
      </w:r>
      <w:r w:rsidRPr="00136956">
        <w:rPr>
          <w:rFonts w:cs="Times New Roman"/>
        </w:rPr>
        <w:t xml:space="preserve">46.31; </w:t>
      </w:r>
      <w:r w:rsidRPr="00136956">
        <w:rPr>
          <w:rFonts w:cs="Times New Roman"/>
          <w:i/>
          <w:iCs/>
        </w:rPr>
        <w:t>Regulation respecting the exclusion of certain premises and certain means of transportation and respecting the exemption of certain persons</w:t>
      </w:r>
      <w:r w:rsidRPr="00136956">
        <w:rPr>
          <w:rFonts w:cs="Times New Roman"/>
        </w:rPr>
        <w:t>, CQLR, c.</w:t>
      </w:r>
      <w:r>
        <w:rPr>
          <w:rFonts w:cs="Times New Roman"/>
        </w:rPr>
        <w:t xml:space="preserve"> </w:t>
      </w:r>
      <w:r w:rsidRPr="00136956">
        <w:rPr>
          <w:rFonts w:cs="Times New Roman"/>
        </w:rPr>
        <w:t>P</w:t>
      </w:r>
      <w:r>
        <w:rPr>
          <w:rFonts w:cs="Times New Roman"/>
        </w:rPr>
        <w:t>-</w:t>
      </w:r>
      <w:r w:rsidRPr="00136956">
        <w:rPr>
          <w:rFonts w:cs="Times New Roman"/>
        </w:rPr>
        <w:t>38.0001, r.</w:t>
      </w:r>
      <w:r>
        <w:rPr>
          <w:rFonts w:cs="Times New Roman"/>
        </w:rPr>
        <w:t xml:space="preserve"> </w:t>
      </w:r>
      <w:r w:rsidRPr="00136956">
        <w:rPr>
          <w:rFonts w:cs="Times New Roman"/>
        </w:rPr>
        <w:t xml:space="preserve">1; </w:t>
      </w:r>
      <w:r w:rsidRPr="00136956">
        <w:rPr>
          <w:rFonts w:cs="Times New Roman"/>
          <w:iCs/>
        </w:rPr>
        <w:t>Delegation of powers of the provincial minister to the Chief Firearms Officer</w:t>
      </w:r>
      <w:r w:rsidRPr="00136956">
        <w:rPr>
          <w:rFonts w:cs="Times New Roman"/>
        </w:rPr>
        <w:t>, J.R., vol.</w:t>
      </w:r>
      <w:r>
        <w:rPr>
          <w:rFonts w:cs="Times New Roman"/>
        </w:rPr>
        <w:t xml:space="preserve"> </w:t>
      </w:r>
      <w:r w:rsidRPr="00136956">
        <w:rPr>
          <w:rFonts w:cs="Times New Roman"/>
        </w:rPr>
        <w:t>11, at p.</w:t>
      </w:r>
      <w:r>
        <w:rPr>
          <w:rFonts w:cs="Times New Roman"/>
        </w:rPr>
        <w:t xml:space="preserve"> </w:t>
      </w:r>
      <w:r w:rsidRPr="00136956">
        <w:rPr>
          <w:rFonts w:cs="Times New Roman"/>
        </w:rPr>
        <w:t>160. Thus,</w:t>
      </w:r>
      <w:r w:rsidRPr="00136956">
        <w:rPr>
          <w:rFonts w:cs="Times New Roman"/>
          <w:i/>
          <w:iCs/>
        </w:rPr>
        <w:t xml:space="preserve"> Anastasia’s Law </w:t>
      </w:r>
      <w:r w:rsidRPr="00136956">
        <w:rPr>
          <w:rFonts w:cs="Times New Roman"/>
          <w:iCs/>
        </w:rPr>
        <w:t>provides that Quebec’s CFO must be informed of any application to a court to obtain that a person refusing to undergo a psychiatric assessment whose mental state is considered to present a danger to that person or to other persons be submitted to such assessment, or that the person be confined against his or her will in a health institution: s</w:t>
      </w:r>
      <w:r w:rsidRPr="00136956">
        <w:rPr>
          <w:rFonts w:cs="Times New Roman"/>
        </w:rPr>
        <w:t>.</w:t>
      </w:r>
      <w:r>
        <w:rPr>
          <w:rFonts w:cs="Times New Roman"/>
        </w:rPr>
        <w:t xml:space="preserve"> </w:t>
      </w:r>
      <w:r w:rsidRPr="00136956">
        <w:rPr>
          <w:rFonts w:cs="Times New Roman"/>
        </w:rPr>
        <w:t>11; see also art.</w:t>
      </w:r>
      <w:r>
        <w:rPr>
          <w:rFonts w:cs="Times New Roman"/>
        </w:rPr>
        <w:t xml:space="preserve"> </w:t>
      </w:r>
      <w:r w:rsidRPr="00136956">
        <w:rPr>
          <w:rFonts w:cs="Times New Roman"/>
        </w:rPr>
        <w:t xml:space="preserve">778 of the </w:t>
      </w:r>
      <w:r w:rsidRPr="00136956">
        <w:rPr>
          <w:rFonts w:cs="Times New Roman"/>
          <w:i/>
        </w:rPr>
        <w:t>Code of Civil Procedure</w:t>
      </w:r>
      <w:r w:rsidRPr="00136956">
        <w:rPr>
          <w:rFonts w:cs="Times New Roman"/>
        </w:rPr>
        <w:t>, CQLR, c.</w:t>
      </w:r>
      <w:r>
        <w:rPr>
          <w:rFonts w:cs="Times New Roman"/>
        </w:rPr>
        <w:t xml:space="preserve"> </w:t>
      </w:r>
      <w:r w:rsidRPr="00136956">
        <w:rPr>
          <w:rFonts w:cs="Times New Roman"/>
        </w:rPr>
        <w:t>C</w:t>
      </w:r>
      <w:r>
        <w:rPr>
          <w:rFonts w:cs="Times New Roman"/>
        </w:rPr>
        <w:t>-</w:t>
      </w:r>
      <w:r w:rsidRPr="00136956">
        <w:rPr>
          <w:rFonts w:cs="Times New Roman"/>
        </w:rPr>
        <w:t>25</w:t>
      </w:r>
      <w:r w:rsidRPr="00136956">
        <w:rPr>
          <w:rFonts w:cs="Times New Roman"/>
          <w:i/>
          <w:iCs/>
        </w:rPr>
        <w:t xml:space="preserve">. </w:t>
      </w:r>
      <w:r w:rsidRPr="00136956">
        <w:rPr>
          <w:rFonts w:cs="Times New Roman"/>
        </w:rPr>
        <w:t>The CFO must then verify “whether the person is in possession of a firearm, has access to a firearm or holds a licence to acquire a firearm”: s.</w:t>
      </w:r>
      <w:r>
        <w:rPr>
          <w:rFonts w:cs="Times New Roman"/>
        </w:rPr>
        <w:t xml:space="preserve"> </w:t>
      </w:r>
      <w:r w:rsidRPr="00136956">
        <w:rPr>
          <w:rFonts w:cs="Times New Roman"/>
        </w:rPr>
        <w:t>1</w:t>
      </w:r>
      <w:r w:rsidRPr="00136956">
        <w:rPr>
          <w:rFonts w:cs="Times New Roman"/>
          <w:iCs/>
        </w:rPr>
        <w:t>1 of</w:t>
      </w:r>
      <w:r w:rsidRPr="00136956">
        <w:rPr>
          <w:rFonts w:cs="Times New Roman"/>
          <w:i/>
          <w:iCs/>
        </w:rPr>
        <w:t xml:space="preserve"> Anastasia’s Law</w:t>
      </w:r>
      <w:r w:rsidRPr="00136956">
        <w:rPr>
          <w:rFonts w:cs="Times New Roman"/>
          <w:iCs/>
        </w:rPr>
        <w:t>. This verification with respect to possession is carried out on the basis of the data on registration certificates</w:t>
      </w:r>
      <w:r w:rsidRPr="00136956">
        <w:rPr>
          <w:rFonts w:cs="Times New Roman"/>
        </w:rPr>
        <w:t xml:space="preserve">: </w:t>
      </w:r>
      <w:r w:rsidRPr="00136956">
        <w:rPr>
          <w:rFonts w:cs="Times New Roman"/>
          <w:iCs/>
        </w:rPr>
        <w:lastRenderedPageBreak/>
        <w:t>affidavit of Isabelle Boudreault</w:t>
      </w:r>
      <w:r w:rsidRPr="00136956">
        <w:rPr>
          <w:rFonts w:cs="Times New Roman"/>
        </w:rPr>
        <w:t>, March</w:t>
      </w:r>
      <w:r>
        <w:rPr>
          <w:rFonts w:cs="Times New Roman"/>
        </w:rPr>
        <w:t xml:space="preserve"> </w:t>
      </w:r>
      <w:r w:rsidRPr="00136956">
        <w:rPr>
          <w:rFonts w:cs="Times New Roman"/>
        </w:rPr>
        <w:t>8, 2012, J.R., vol.</w:t>
      </w:r>
      <w:r>
        <w:rPr>
          <w:rFonts w:cs="Times New Roman"/>
        </w:rPr>
        <w:t xml:space="preserve"> </w:t>
      </w:r>
      <w:r w:rsidRPr="00136956">
        <w:rPr>
          <w:rFonts w:cs="Times New Roman"/>
        </w:rPr>
        <w:t>3, at paras.</w:t>
      </w:r>
      <w:r>
        <w:rPr>
          <w:rFonts w:cs="Times New Roman"/>
        </w:rPr>
        <w:t xml:space="preserve"> </w:t>
      </w:r>
      <w:r w:rsidRPr="00136956">
        <w:rPr>
          <w:rFonts w:cs="Times New Roman"/>
        </w:rPr>
        <w:t>59</w:t>
      </w:r>
      <w:r>
        <w:rPr>
          <w:rFonts w:cs="Times New Roman"/>
        </w:rPr>
        <w:t>-</w:t>
      </w:r>
      <w:r w:rsidRPr="00136956">
        <w:rPr>
          <w:rFonts w:cs="Times New Roman"/>
        </w:rPr>
        <w:t xml:space="preserve">64. </w:t>
      </w:r>
      <w:proofErr w:type="gramStart"/>
      <w:r w:rsidRPr="00136956">
        <w:rPr>
          <w:rFonts w:cs="Times New Roman"/>
        </w:rPr>
        <w:t>The</w:t>
      </w:r>
      <w:proofErr w:type="gramEnd"/>
      <w:r w:rsidRPr="00136956">
        <w:rPr>
          <w:rFonts w:cs="Times New Roman"/>
        </w:rPr>
        <w:t xml:space="preserve"> federal government has never disputed Quebec’s use of CFIS data for purposes of the administration of its provincial legislation.</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Moreover, Quebec police officers, particularly officers of the Sûreté du Québec, also play an important role in the CFP. In fact, Quebec’s CFO is a Sûreté du Québec officer. One example of this role is that they use a computer system to identify individuals involved in certain incidents to which they have responded. In such a case, they register the incident in their system, and an alert is forwarded electronically via the CFIS to the CFO, who decides whether the incident will have an impact on the individual’s eligibility to hold a licence and, consequently, a registration certificate: </w:t>
      </w:r>
      <w:r w:rsidRPr="00136956">
        <w:rPr>
          <w:rFonts w:cs="Times New Roman"/>
          <w:iCs/>
        </w:rPr>
        <w:t>affidavit of Isabelle Boudreault</w:t>
      </w:r>
      <w:r w:rsidRPr="00136956">
        <w:rPr>
          <w:rFonts w:cs="Times New Roman"/>
        </w:rPr>
        <w:t>, at paras.</w:t>
      </w:r>
      <w:r>
        <w:rPr>
          <w:rFonts w:cs="Times New Roman"/>
        </w:rPr>
        <w:t xml:space="preserve"> </w:t>
      </w:r>
      <w:r w:rsidRPr="00136956">
        <w:rPr>
          <w:rFonts w:cs="Times New Roman"/>
        </w:rPr>
        <w:t>13</w:t>
      </w:r>
      <w:r>
        <w:rPr>
          <w:rFonts w:cs="Times New Roman"/>
        </w:rPr>
        <w:t>-</w:t>
      </w:r>
      <w:r w:rsidRPr="00136956">
        <w:rPr>
          <w:rFonts w:cs="Times New Roman"/>
        </w:rPr>
        <w:t xml:space="preserve">15; </w:t>
      </w:r>
      <w:r w:rsidRPr="00136956">
        <w:rPr>
          <w:rFonts w:cs="Times New Roman"/>
          <w:iCs/>
        </w:rPr>
        <w:t>cross</w:t>
      </w:r>
      <w:r>
        <w:rPr>
          <w:rFonts w:cs="Times New Roman"/>
          <w:iCs/>
        </w:rPr>
        <w:t>-</w:t>
      </w:r>
      <w:r w:rsidRPr="00136956">
        <w:rPr>
          <w:rFonts w:cs="Times New Roman"/>
          <w:iCs/>
        </w:rPr>
        <w:t>examination of Pierre Perron</w:t>
      </w:r>
      <w:r w:rsidRPr="00136956">
        <w:rPr>
          <w:rFonts w:cs="Times New Roman"/>
        </w:rPr>
        <w:t>, May</w:t>
      </w:r>
      <w:r>
        <w:rPr>
          <w:rFonts w:cs="Times New Roman"/>
        </w:rPr>
        <w:t xml:space="preserve"> </w:t>
      </w:r>
      <w:r w:rsidRPr="00136956">
        <w:rPr>
          <w:rFonts w:cs="Times New Roman"/>
        </w:rPr>
        <w:t>1, 2012, J.R., vol.</w:t>
      </w:r>
      <w:r>
        <w:rPr>
          <w:rFonts w:cs="Times New Roman"/>
        </w:rPr>
        <w:t xml:space="preserve"> </w:t>
      </w:r>
      <w:r w:rsidRPr="00136956">
        <w:rPr>
          <w:rFonts w:cs="Times New Roman"/>
        </w:rPr>
        <w:t>3, at pp.</w:t>
      </w:r>
      <w:r>
        <w:rPr>
          <w:rFonts w:cs="Times New Roman"/>
        </w:rPr>
        <w:t xml:space="preserve"> </w:t>
      </w:r>
      <w:r w:rsidRPr="00136956">
        <w:rPr>
          <w:rFonts w:cs="Times New Roman"/>
        </w:rPr>
        <w:t xml:space="preserve">102 et seq.; </w:t>
      </w:r>
      <w:r w:rsidRPr="00136956">
        <w:rPr>
          <w:rFonts w:cs="Times New Roman"/>
          <w:iCs/>
        </w:rPr>
        <w:t>re</w:t>
      </w:r>
      <w:r>
        <w:rPr>
          <w:rFonts w:cs="Times New Roman"/>
          <w:iCs/>
        </w:rPr>
        <w:t>-</w:t>
      </w:r>
      <w:r w:rsidRPr="00136956">
        <w:rPr>
          <w:rFonts w:cs="Times New Roman"/>
          <w:iCs/>
        </w:rPr>
        <w:t>examination of Pierre Perron</w:t>
      </w:r>
      <w:r w:rsidRPr="00136956">
        <w:rPr>
          <w:rFonts w:cs="Times New Roman"/>
        </w:rPr>
        <w:t xml:space="preserve">, </w:t>
      </w:r>
      <w:r w:rsidRPr="00136956">
        <w:rPr>
          <w:rFonts w:cs="Times New Roman"/>
          <w:i/>
        </w:rPr>
        <w:t>ibid.</w:t>
      </w:r>
      <w:r w:rsidRPr="00136956">
        <w:rPr>
          <w:rFonts w:cs="Times New Roman"/>
        </w:rPr>
        <w:t>, at pp.</w:t>
      </w:r>
      <w:r>
        <w:rPr>
          <w:rFonts w:cs="Times New Roman"/>
        </w:rPr>
        <w:t xml:space="preserve"> </w:t>
      </w:r>
      <w:r w:rsidRPr="00136956">
        <w:rPr>
          <w:rFonts w:cs="Times New Roman"/>
        </w:rPr>
        <w:t>126</w:t>
      </w:r>
      <w:r>
        <w:rPr>
          <w:rFonts w:cs="Times New Roman"/>
        </w:rPr>
        <w:t>-</w:t>
      </w:r>
      <w:r w:rsidRPr="00136956">
        <w:rPr>
          <w:rFonts w:cs="Times New Roman"/>
        </w:rPr>
        <w:t xml:space="preserve">27. The effectiveness of the entire registration system thus depends on the work of the CFO and, more generally, of the police.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addition, the Quebec police, like all police forces in Canada, have access to a component of the CFIS that assists their officers in responding to calls and conducting investigations: </w:t>
      </w:r>
      <w:r w:rsidRPr="00136956">
        <w:rPr>
          <w:rFonts w:cs="Times New Roman"/>
          <w:i/>
          <w:iCs/>
        </w:rPr>
        <w:t>CFP Evaluation</w:t>
      </w:r>
      <w:r w:rsidRPr="00136956">
        <w:rPr>
          <w:rFonts w:cs="Times New Roman"/>
        </w:rPr>
        <w:t>, at p.</w:t>
      </w:r>
      <w:r>
        <w:rPr>
          <w:rFonts w:cs="Times New Roman"/>
        </w:rPr>
        <w:t xml:space="preserve"> </w:t>
      </w:r>
      <w:r w:rsidRPr="00136956">
        <w:rPr>
          <w:rFonts w:cs="Times New Roman"/>
        </w:rPr>
        <w:t xml:space="preserve">11. It enables officers, before answering a call in a residence, to confirm the possible presence of firearms and determine whether they are possessed legally: </w:t>
      </w:r>
      <w:proofErr w:type="gramStart"/>
      <w:r w:rsidRPr="00136956">
        <w:rPr>
          <w:rFonts w:cs="Times New Roman"/>
          <w:i/>
          <w:iCs/>
        </w:rPr>
        <w:t>ibid.</w:t>
      </w:r>
      <w:r w:rsidRPr="00136956">
        <w:rPr>
          <w:rFonts w:cs="Times New Roman"/>
        </w:rPr>
        <w:t>,</w:t>
      </w:r>
      <w:proofErr w:type="gramEnd"/>
      <w:r w:rsidRPr="00136956">
        <w:rPr>
          <w:rFonts w:cs="Times New Roman"/>
        </w:rPr>
        <w:t xml:space="preserve"> at p.</w:t>
      </w:r>
      <w:r>
        <w:rPr>
          <w:rFonts w:cs="Times New Roman"/>
        </w:rPr>
        <w:t xml:space="preserve"> </w:t>
      </w:r>
      <w:r w:rsidRPr="00136956">
        <w:rPr>
          <w:rFonts w:cs="Times New Roman"/>
        </w:rPr>
        <w:t>17. In 2011, Quebec police officers consulted this component of the CFIS</w:t>
      </w:r>
      <w:r>
        <w:rPr>
          <w:rFonts w:cs="Times New Roman"/>
        </w:rPr>
        <w:t xml:space="preserve"> </w:t>
      </w:r>
      <w:r w:rsidRPr="00136956">
        <w:rPr>
          <w:rFonts w:cs="Times New Roman"/>
        </w:rPr>
        <w:t>more than 700 times a day on average: a</w:t>
      </w:r>
      <w:r w:rsidRPr="00136956">
        <w:rPr>
          <w:rFonts w:cs="Times New Roman"/>
          <w:iCs/>
        </w:rPr>
        <w:t>ffidavit</w:t>
      </w:r>
      <w:r w:rsidRPr="00136956">
        <w:rPr>
          <w:rFonts w:cs="Times New Roman"/>
        </w:rPr>
        <w:t xml:space="preserve"> of </w:t>
      </w:r>
      <w:r w:rsidRPr="00136956">
        <w:rPr>
          <w:rFonts w:cs="Times New Roman"/>
          <w:iCs/>
        </w:rPr>
        <w:t>Isabelle Boudreault</w:t>
      </w:r>
      <w:r w:rsidRPr="00136956">
        <w:rPr>
          <w:rFonts w:cs="Times New Roman"/>
        </w:rPr>
        <w:t>, at para.</w:t>
      </w:r>
      <w:r>
        <w:rPr>
          <w:rFonts w:cs="Times New Roman"/>
        </w:rPr>
        <w:t xml:space="preserve"> </w:t>
      </w:r>
      <w:r w:rsidRPr="00136956">
        <w:rPr>
          <w:rFonts w:cs="Times New Roman"/>
        </w:rPr>
        <w:t xml:space="preserve">65. Thus, the application of certain Quebec </w:t>
      </w:r>
      <w:r w:rsidRPr="00136956">
        <w:rPr>
          <w:rFonts w:cs="Times New Roman"/>
        </w:rPr>
        <w:lastRenderedPageBreak/>
        <w:t xml:space="preserve">legislation and the implementation of Quebec police procedures depend to a large extent upon access to CFIS data. </w:t>
      </w:r>
    </w:p>
    <w:p w:rsidR="009278C8" w:rsidRPr="00136956" w:rsidRDefault="009278C8" w:rsidP="009278C8">
      <w:pPr>
        <w:pStyle w:val="ParaNoNdepar-AltN"/>
        <w:tabs>
          <w:tab w:val="clear" w:pos="1166"/>
          <w:tab w:val="num" w:pos="1152"/>
        </w:tabs>
        <w:rPr>
          <w:rFonts w:cs="Times New Roman"/>
        </w:rPr>
      </w:pPr>
      <w:r w:rsidRPr="00136956">
        <w:rPr>
          <w:rFonts w:cs="Times New Roman"/>
        </w:rPr>
        <w:t>It is thus clear that Quebec uses data from the CFIS for the purposes of its provincial legislation. This goes without saying, given that, as Blanchard</w:t>
      </w:r>
      <w:r>
        <w:rPr>
          <w:rFonts w:cs="Times New Roman"/>
        </w:rPr>
        <w:t xml:space="preserve"> </w:t>
      </w:r>
      <w:r w:rsidRPr="00136956">
        <w:rPr>
          <w:rFonts w:cs="Times New Roman"/>
        </w:rPr>
        <w:t>J. mentioned several times, those data are the product of collaboration. They are also at the heart of a partnership that is grounded in the exercise of both federal and provincial powers. It is in this sense that Blanchard</w:t>
      </w:r>
      <w:r>
        <w:rPr>
          <w:rFonts w:cs="Times New Roman"/>
        </w:rPr>
        <w:t xml:space="preserve"> </w:t>
      </w:r>
      <w:r w:rsidRPr="00136956">
        <w:rPr>
          <w:rFonts w:cs="Times New Roman"/>
        </w:rPr>
        <w:t>J.’s conclusion that the data are not purely “federal” must be understood. We should mention that Blanchard</w:t>
      </w:r>
      <w:r>
        <w:rPr>
          <w:rFonts w:cs="Times New Roman"/>
        </w:rPr>
        <w:t xml:space="preserve"> </w:t>
      </w:r>
      <w:r w:rsidRPr="00136956">
        <w:rPr>
          <w:rFonts w:cs="Times New Roman"/>
        </w:rPr>
        <w:t>J. concluded that Quebec most likely participated in this partnership on the assumption that the federal government would not be able to unilaterally destroy its fruits (para.</w:t>
      </w:r>
      <w:r>
        <w:rPr>
          <w:rFonts w:cs="Times New Roman"/>
        </w:rPr>
        <w:t xml:space="preserve"> </w:t>
      </w:r>
      <w:r w:rsidRPr="00136956">
        <w:rPr>
          <w:rFonts w:cs="Times New Roman"/>
        </w:rPr>
        <w:t>35).</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short, the CFO’s powers under the </w:t>
      </w:r>
      <w:r w:rsidRPr="00136956">
        <w:rPr>
          <w:rFonts w:cs="Times New Roman"/>
          <w:i/>
          <w:szCs w:val="24"/>
        </w:rPr>
        <w:t>FA</w:t>
      </w:r>
      <w:r w:rsidRPr="00136956">
        <w:rPr>
          <w:rFonts w:cs="Times New Roman"/>
          <w:szCs w:val="24"/>
        </w:rPr>
        <w:t xml:space="preserve"> overlap with his or her powers under provincial legislation. To argue that the position of CFO is of purely federal origin is to disregard this reality</w:t>
      </w:r>
      <w:r w:rsidRPr="00136956">
        <w:rPr>
          <w:rFonts w:cs="Times New Roman"/>
        </w:rPr>
        <w:t>.</w:t>
      </w:r>
    </w:p>
    <w:p w:rsidR="009278C8" w:rsidRPr="00136956" w:rsidRDefault="009278C8" w:rsidP="009278C8">
      <w:pPr>
        <w:pStyle w:val="ParaNoNdepar-AltN"/>
        <w:tabs>
          <w:tab w:val="clear" w:pos="1166"/>
          <w:tab w:val="num" w:pos="1152"/>
        </w:tabs>
        <w:rPr>
          <w:rFonts w:cs="Times New Roman"/>
        </w:rPr>
      </w:pPr>
      <w:r w:rsidRPr="00136956">
        <w:rPr>
          <w:rFonts w:cs="Times New Roman"/>
        </w:rPr>
        <w:t>Moreover, s.</w:t>
      </w:r>
      <w:r>
        <w:rPr>
          <w:rFonts w:cs="Times New Roman"/>
        </w:rPr>
        <w:t xml:space="preserve"> </w:t>
      </w:r>
      <w:r w:rsidRPr="00136956">
        <w:rPr>
          <w:rFonts w:cs="Times New Roman"/>
        </w:rPr>
        <w:t xml:space="preserve">95 of the </w:t>
      </w:r>
      <w:r w:rsidRPr="00136956">
        <w:rPr>
          <w:rFonts w:cs="Times New Roman"/>
          <w:i/>
        </w:rPr>
        <w:t>FA</w:t>
      </w:r>
      <w:r w:rsidRPr="00136956">
        <w:rPr>
          <w:rFonts w:cs="Times New Roman"/>
        </w:rPr>
        <w:t xml:space="preserve"> provides that the federal government may enter into agreements with provincial governments to compensate them for administrative costs they have incurred in relation, </w:t>
      </w:r>
      <w:r w:rsidRPr="00136956">
        <w:rPr>
          <w:rFonts w:cs="Times New Roman"/>
          <w:i/>
        </w:rPr>
        <w:t>inter alia</w:t>
      </w:r>
      <w:r w:rsidRPr="00136956">
        <w:rPr>
          <w:rFonts w:cs="Times New Roman"/>
        </w:rPr>
        <w:t>, to processing licences and registration certificates. The federal government did in fact enter into such agreements with Quebec. It can be seen from the Canada</w:t>
      </w:r>
      <w:r>
        <w:rPr>
          <w:rFonts w:cs="Times New Roman"/>
        </w:rPr>
        <w:t>-</w:t>
      </w:r>
      <w:r w:rsidRPr="00136956">
        <w:rPr>
          <w:rFonts w:cs="Times New Roman"/>
        </w:rPr>
        <w:t xml:space="preserve">Quebec financial agreement with respect to the administration of the </w:t>
      </w:r>
      <w:r w:rsidRPr="00136956">
        <w:rPr>
          <w:rFonts w:cs="Times New Roman"/>
          <w:i/>
        </w:rPr>
        <w:t>FA</w:t>
      </w:r>
      <w:r w:rsidRPr="00136956">
        <w:rPr>
          <w:rFonts w:cs="Times New Roman"/>
        </w:rPr>
        <w:t xml:space="preserve"> </w:t>
      </w:r>
      <w:r w:rsidR="00566BAB">
        <w:rPr>
          <w:rFonts w:cs="Times New Roman"/>
        </w:rPr>
        <w:t>(“</w:t>
      </w:r>
      <w:r w:rsidR="00566BAB" w:rsidRPr="00566BAB">
        <w:rPr>
          <w:rFonts w:cs="Times New Roman"/>
          <w:i/>
        </w:rPr>
        <w:t>Accord financier Canada-Québec relati</w:t>
      </w:r>
      <w:r w:rsidR="00162557">
        <w:rPr>
          <w:rFonts w:cs="Times New Roman"/>
          <w:i/>
        </w:rPr>
        <w:t>f</w:t>
      </w:r>
      <w:r w:rsidR="00566BAB" w:rsidRPr="00566BAB">
        <w:rPr>
          <w:rFonts w:cs="Times New Roman"/>
          <w:i/>
        </w:rPr>
        <w:t xml:space="preserve"> à l’</w:t>
      </w:r>
      <w:r w:rsidR="00566BAB">
        <w:rPr>
          <w:rFonts w:cs="Times New Roman"/>
          <w:i/>
        </w:rPr>
        <w:t>administration de la Lo</w:t>
      </w:r>
      <w:r w:rsidR="00566BAB" w:rsidRPr="00566BAB">
        <w:rPr>
          <w:rFonts w:cs="Times New Roman"/>
          <w:i/>
        </w:rPr>
        <w:t>i sur les armes à feu</w:t>
      </w:r>
      <w:r w:rsidR="00566BAB">
        <w:rPr>
          <w:rFonts w:cs="Times New Roman"/>
        </w:rPr>
        <w:t xml:space="preserve">”) </w:t>
      </w:r>
      <w:r w:rsidRPr="00136956">
        <w:rPr>
          <w:rFonts w:cs="Times New Roman"/>
        </w:rPr>
        <w:t>for the period from April</w:t>
      </w:r>
      <w:r>
        <w:rPr>
          <w:rFonts w:cs="Times New Roman"/>
        </w:rPr>
        <w:t xml:space="preserve"> </w:t>
      </w:r>
      <w:r w:rsidRPr="00136956">
        <w:rPr>
          <w:rFonts w:cs="Times New Roman"/>
        </w:rPr>
        <w:t xml:space="preserve">1, 2006 to </w:t>
      </w:r>
      <w:r w:rsidRPr="00136956">
        <w:rPr>
          <w:rFonts w:cs="Times New Roman"/>
        </w:rPr>
        <w:lastRenderedPageBreak/>
        <w:t>March</w:t>
      </w:r>
      <w:r>
        <w:rPr>
          <w:rFonts w:cs="Times New Roman"/>
        </w:rPr>
        <w:t xml:space="preserve"> </w:t>
      </w:r>
      <w:r w:rsidRPr="00136956">
        <w:rPr>
          <w:rFonts w:cs="Times New Roman"/>
        </w:rPr>
        <w:t>31, 2010, agreement No.</w:t>
      </w:r>
      <w:r>
        <w:rPr>
          <w:rFonts w:cs="Times New Roman"/>
        </w:rPr>
        <w:t xml:space="preserve"> </w:t>
      </w:r>
      <w:r w:rsidRPr="00136956">
        <w:rPr>
          <w:rFonts w:cs="Times New Roman"/>
        </w:rPr>
        <w:t>2012</w:t>
      </w:r>
      <w:r>
        <w:rPr>
          <w:rFonts w:cs="Times New Roman"/>
        </w:rPr>
        <w:t>-</w:t>
      </w:r>
      <w:r w:rsidRPr="00136956">
        <w:rPr>
          <w:rFonts w:cs="Times New Roman"/>
        </w:rPr>
        <w:t>004 between the two governments, that although the agreement’s primary purpose was to set out financial terms, it also contained clauses with a broader scope. For example, art.</w:t>
      </w:r>
      <w:r>
        <w:rPr>
          <w:rFonts w:cs="Times New Roman"/>
        </w:rPr>
        <w:t xml:space="preserve"> </w:t>
      </w:r>
      <w:r w:rsidRPr="00136956">
        <w:rPr>
          <w:rFonts w:cs="Times New Roman"/>
        </w:rPr>
        <w:t xml:space="preserve">5 provided that Quebec agreed to deliver all necessary services, described in the agreement, relating to the application of the </w:t>
      </w:r>
      <w:r w:rsidRPr="00136956">
        <w:rPr>
          <w:rFonts w:cs="Times New Roman"/>
          <w:i/>
        </w:rPr>
        <w:t>FA</w:t>
      </w:r>
      <w:r w:rsidRPr="00136956">
        <w:rPr>
          <w:rFonts w:cs="Times New Roman"/>
        </w:rPr>
        <w:t xml:space="preserve"> within its jurisdiction. Under art.</w:t>
      </w:r>
      <w:r>
        <w:rPr>
          <w:rFonts w:cs="Times New Roman"/>
        </w:rPr>
        <w:t xml:space="preserve"> </w:t>
      </w:r>
      <w:r w:rsidRPr="00136956">
        <w:rPr>
          <w:rFonts w:cs="Times New Roman"/>
        </w:rPr>
        <w:t>7, Canada was required to provide Quebec with a functioning and operational CFIS together with its related components. Finally, art.</w:t>
      </w:r>
      <w:r>
        <w:rPr>
          <w:rFonts w:cs="Times New Roman"/>
        </w:rPr>
        <w:t xml:space="preserve"> </w:t>
      </w:r>
      <w:r w:rsidRPr="00136956">
        <w:rPr>
          <w:rFonts w:cs="Times New Roman"/>
        </w:rPr>
        <w:t>23 provided that [</w:t>
      </w:r>
      <w:r w:rsidRPr="00136956">
        <w:rPr>
          <w:rFonts w:cs="Times New Roman"/>
          <w:smallCaps/>
        </w:rPr>
        <w:t>translation</w:t>
      </w:r>
      <w:r w:rsidRPr="00136956">
        <w:rPr>
          <w:rFonts w:cs="Times New Roman"/>
        </w:rPr>
        <w:t>] “[a]ny information collected by Canada or by Quebec under this Agreement is subject to the rights and protections set out in federal and Quebec legislation concerning access to information and the protection of personal information.”</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It should also be noted that notwithstanding the possibility of compensation from the federal government, the provinces that participated in the CFP, including Quebec, had to invest considerable amounts in relation to the implementation of the </w:t>
      </w:r>
      <w:r w:rsidRPr="00136956">
        <w:rPr>
          <w:rFonts w:cs="Times New Roman"/>
          <w:i/>
        </w:rPr>
        <w:t>FA</w:t>
      </w:r>
      <w:r w:rsidRPr="00136956">
        <w:rPr>
          <w:rFonts w:cs="Times New Roman"/>
        </w:rPr>
        <w:t>, as can be seen from an RCMP report:</w:t>
      </w:r>
    </w:p>
    <w:p w:rsidR="009278C8" w:rsidRPr="00136956" w:rsidRDefault="009278C8" w:rsidP="00566BAB">
      <w:pPr>
        <w:pStyle w:val="Citation-AltC"/>
        <w:spacing w:after="480"/>
        <w:ind w:hanging="1166"/>
        <w:contextualSpacing w:val="0"/>
      </w:pPr>
      <w:r w:rsidRPr="00136956">
        <w:tab/>
        <w:t>It appears as if the opt</w:t>
      </w:r>
      <w:r>
        <w:t>-</w:t>
      </w:r>
      <w:r w:rsidRPr="00136956">
        <w:t>out provinces/territories, where the RCMP is the provincial/territorial police service, benefit substantially from the current cost arrangement, in terms of dollar value. The other opt</w:t>
      </w:r>
      <w:r>
        <w:t>-</w:t>
      </w:r>
      <w:r w:rsidRPr="00136956">
        <w:t xml:space="preserve">in provinces, where there are other provincial police services, have made substantial investments to benefit from the weight and services of the </w:t>
      </w:r>
      <w:proofErr w:type="gramStart"/>
      <w:r w:rsidRPr="00136956">
        <w:t>program</w:t>
      </w:r>
      <w:r>
        <w:t xml:space="preserve"> .</w:t>
      </w:r>
      <w:proofErr w:type="gramEnd"/>
      <w:r>
        <w:t> . . .</w:t>
      </w:r>
      <w:r w:rsidRPr="00136956">
        <w:t xml:space="preserve"> </w:t>
      </w:r>
    </w:p>
    <w:p w:rsidR="009278C8" w:rsidRPr="00136956" w:rsidRDefault="009278C8" w:rsidP="009278C8">
      <w:pPr>
        <w:pStyle w:val="Citation-AltC"/>
        <w:ind w:hanging="1166"/>
        <w:contextualSpacing w:val="0"/>
      </w:pPr>
      <w:r w:rsidRPr="00136956">
        <w:t>(</w:t>
      </w:r>
      <w:r w:rsidRPr="00136956">
        <w:rPr>
          <w:i/>
        </w:rPr>
        <w:t>CFP</w:t>
      </w:r>
      <w:r w:rsidRPr="00136956">
        <w:t xml:space="preserve"> </w:t>
      </w:r>
      <w:r w:rsidRPr="00136956">
        <w:rPr>
          <w:i/>
          <w:iCs/>
        </w:rPr>
        <w:t>Evaluation</w:t>
      </w:r>
      <w:r w:rsidRPr="00136956">
        <w:rPr>
          <w:iCs/>
        </w:rPr>
        <w:t xml:space="preserve">, at </w:t>
      </w:r>
      <w:r w:rsidRPr="00136956">
        <w:t>p.</w:t>
      </w:r>
      <w:r>
        <w:t xml:space="preserve"> </w:t>
      </w:r>
      <w:r w:rsidRPr="00136956">
        <w:t>68)</w:t>
      </w:r>
    </w:p>
    <w:p w:rsidR="009278C8" w:rsidRPr="00136956" w:rsidRDefault="009278C8" w:rsidP="009278C8">
      <w:pPr>
        <w:pStyle w:val="ContinueParaSuitedupar-AltP"/>
        <w:rPr>
          <w:rFonts w:cs="Times New Roman"/>
        </w:rPr>
      </w:pPr>
      <w:r w:rsidRPr="00136956">
        <w:rPr>
          <w:rFonts w:cs="Times New Roman"/>
        </w:rPr>
        <w:t xml:space="preserve">It would therefore seem incorrect to say that the province of Quebec made no financial contribution whatsoever to firearms control and to the administration of the </w:t>
      </w:r>
      <w:r w:rsidRPr="00136956">
        <w:rPr>
          <w:rFonts w:cs="Times New Roman"/>
          <w:i/>
        </w:rPr>
        <w:lastRenderedPageBreak/>
        <w:t>FA</w:t>
      </w:r>
      <w:r w:rsidRPr="00136956">
        <w:rPr>
          <w:rFonts w:cs="Times New Roman"/>
        </w:rPr>
        <w:t>. By focusing on the financing of the CFOs, the AGC disregards the broader implications and consequences of the CFP. We cannot accept this approach.</w:t>
      </w:r>
      <w:r>
        <w:rPr>
          <w:rFonts w:cs="Times New Roman"/>
        </w:rPr>
        <w:t xml:space="preserve"> </w:t>
      </w:r>
    </w:p>
    <w:p w:rsidR="009278C8" w:rsidRPr="00136956" w:rsidRDefault="009278C8" w:rsidP="009278C8">
      <w:pPr>
        <w:pStyle w:val="ParaNoNdepar-AltN"/>
        <w:rPr>
          <w:rFonts w:cs="Times New Roman"/>
        </w:rPr>
      </w:pPr>
      <w:r w:rsidRPr="00136956">
        <w:rPr>
          <w:rFonts w:cs="Times New Roman"/>
          <w:szCs w:val="24"/>
        </w:rPr>
        <w:t xml:space="preserve">Indeed, it is our opinion that the AGC is mistaken as regards the </w:t>
      </w:r>
      <w:r w:rsidRPr="00136956">
        <w:rPr>
          <w:rFonts w:cs="Times New Roman"/>
        </w:rPr>
        <w:t xml:space="preserve">nature of the partnership relied on by the AGQ. This partnership involves more than just the entry of data in the CFIS and the functions performed by Quebec’s CFO under the </w:t>
      </w:r>
      <w:r w:rsidRPr="00136956">
        <w:rPr>
          <w:rFonts w:cs="Times New Roman"/>
          <w:i/>
        </w:rPr>
        <w:t>FA</w:t>
      </w:r>
      <w:r w:rsidRPr="00136956">
        <w:rPr>
          <w:rFonts w:cs="Times New Roman"/>
        </w:rPr>
        <w:t xml:space="preserve">. It relates to the whole of the CFP and also includes the role played by Quebec and its police officers in regulating firearms in collaboration with Canada. </w:t>
      </w:r>
    </w:p>
    <w:p w:rsidR="009278C8" w:rsidRPr="00136956" w:rsidRDefault="009278C8" w:rsidP="009278C8">
      <w:pPr>
        <w:pStyle w:val="ParaNoNdepar-AltN"/>
        <w:rPr>
          <w:rFonts w:cs="Times New Roman"/>
        </w:rPr>
      </w:pPr>
      <w:r w:rsidRPr="00136956">
        <w:rPr>
          <w:rFonts w:cs="Times New Roman"/>
        </w:rPr>
        <w:t>Through the role played by the CFO and by Quebec’s police forces, and aided by the CFIS (whose construction it contributed toward), the province of Quebec has for years implemented its own view of firearms control from the perspective of the administration of justice and health. Moreover, the RCMP recognized the possibility of the provinces adapting the program to their needs, as can be seen from the following passage from a report we cited above:</w:t>
      </w:r>
    </w:p>
    <w:p w:rsidR="009278C8" w:rsidRPr="00136956" w:rsidRDefault="009278C8" w:rsidP="00566BAB">
      <w:pPr>
        <w:pStyle w:val="Citation-AltC"/>
        <w:spacing w:after="480"/>
        <w:ind w:hanging="1166"/>
        <w:contextualSpacing w:val="0"/>
      </w:pPr>
      <w:r w:rsidRPr="00136956">
        <w:tab/>
        <w:t>The main benefit cited for creating the opt</w:t>
      </w:r>
      <w:r>
        <w:t>-</w:t>
      </w:r>
      <w:r w:rsidRPr="00136956">
        <w:t>in program was the promotion of a program delivery model that met an identified need for the provinces to be able to adapt the delivery of the program to local circumstances. In this area, it was believed that the opt</w:t>
      </w:r>
      <w:r>
        <w:t>-</w:t>
      </w:r>
      <w:r w:rsidRPr="00136956">
        <w:t xml:space="preserve">in program has been successful; service delivery has been aligned to meet the service delivery priorities of the provincial governments, and be supported to work with other areas of provincial jurisdiction, such as justice and policing, and health. In Québec, this culminates in an integrated service delivery model, and </w:t>
      </w:r>
      <w:r w:rsidRPr="00136956">
        <w:rPr>
          <w:u w:val="single"/>
        </w:rPr>
        <w:t>a profound interest to improve the program to meet heightened provincial public safety and health expectations</w:t>
      </w:r>
      <w:r w:rsidRPr="00136956">
        <w:t xml:space="preserve">. [Emphasis added.] </w:t>
      </w:r>
    </w:p>
    <w:p w:rsidR="009278C8" w:rsidRPr="00136956" w:rsidRDefault="009278C8" w:rsidP="009278C8">
      <w:pPr>
        <w:pStyle w:val="Citation-AltC"/>
        <w:ind w:hanging="1166"/>
        <w:contextualSpacing w:val="0"/>
      </w:pPr>
      <w:r w:rsidRPr="00136956">
        <w:t>(</w:t>
      </w:r>
      <w:r w:rsidRPr="00136956">
        <w:rPr>
          <w:i/>
        </w:rPr>
        <w:t>CFP</w:t>
      </w:r>
      <w:r w:rsidRPr="00136956">
        <w:t xml:space="preserve"> </w:t>
      </w:r>
      <w:r w:rsidRPr="00136956">
        <w:rPr>
          <w:i/>
          <w:iCs/>
        </w:rPr>
        <w:t>Evaluation</w:t>
      </w:r>
      <w:r w:rsidRPr="00136956">
        <w:rPr>
          <w:iCs/>
        </w:rPr>
        <w:t xml:space="preserve">, at </w:t>
      </w:r>
      <w:r w:rsidRPr="00136956">
        <w:t>p.</w:t>
      </w:r>
      <w:r>
        <w:t xml:space="preserve"> </w:t>
      </w:r>
      <w:r w:rsidRPr="00136956">
        <w:t>67)</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We find from the foregoing that a partnership has developed between the federal government and Quebec that is structured around the following main elements:</w:t>
      </w:r>
    </w:p>
    <w:p w:rsidR="009278C8" w:rsidRPr="00136956" w:rsidRDefault="009278C8" w:rsidP="00285743">
      <w:pPr>
        <w:pStyle w:val="Citation-AltC"/>
        <w:tabs>
          <w:tab w:val="left" w:pos="360"/>
        </w:tabs>
        <w:spacing w:after="480" w:line="480" w:lineRule="auto"/>
        <w:ind w:left="360" w:hanging="360"/>
        <w:contextualSpacing w:val="0"/>
      </w:pPr>
      <w:r>
        <w:t>-</w:t>
      </w:r>
      <w:r w:rsidR="00285743">
        <w:tab/>
      </w:r>
      <w:proofErr w:type="gramStart"/>
      <w:r w:rsidRPr="00136956">
        <w:t>the</w:t>
      </w:r>
      <w:proofErr w:type="gramEnd"/>
      <w:r w:rsidRPr="00136956">
        <w:t xml:space="preserve"> design, implementation and administration of the CFP;</w:t>
      </w:r>
    </w:p>
    <w:p w:rsidR="009278C8" w:rsidRPr="00136956" w:rsidRDefault="009278C8" w:rsidP="00285743">
      <w:pPr>
        <w:pStyle w:val="Citation-AltC"/>
        <w:tabs>
          <w:tab w:val="left" w:pos="360"/>
        </w:tabs>
        <w:spacing w:after="480" w:line="480" w:lineRule="auto"/>
        <w:ind w:left="360" w:hanging="360"/>
        <w:contextualSpacing w:val="0"/>
      </w:pPr>
      <w:r>
        <w:t>-</w:t>
      </w:r>
      <w:r w:rsidR="00566BAB">
        <w:tab/>
      </w:r>
      <w:proofErr w:type="gramStart"/>
      <w:r w:rsidRPr="00136956">
        <w:t>the</w:t>
      </w:r>
      <w:proofErr w:type="gramEnd"/>
      <w:r w:rsidRPr="00136956">
        <w:t xml:space="preserve"> compiling and pooling of data by the Registrar and the CFO together with a mutually guaranteed right of access to the data in question;</w:t>
      </w:r>
    </w:p>
    <w:p w:rsidR="009278C8" w:rsidRPr="00136956" w:rsidRDefault="009278C8" w:rsidP="00285743">
      <w:pPr>
        <w:pStyle w:val="Citation-AltC"/>
        <w:tabs>
          <w:tab w:val="left" w:pos="360"/>
        </w:tabs>
        <w:spacing w:after="480" w:line="480" w:lineRule="auto"/>
        <w:ind w:left="360" w:hanging="360"/>
        <w:contextualSpacing w:val="0"/>
      </w:pPr>
      <w:r>
        <w:t>-</w:t>
      </w:r>
      <w:r w:rsidR="00285743">
        <w:tab/>
      </w:r>
      <w:proofErr w:type="gramStart"/>
      <w:r w:rsidRPr="00136956">
        <w:t>the</w:t>
      </w:r>
      <w:proofErr w:type="gramEnd"/>
      <w:r w:rsidRPr="00136956">
        <w:t xml:space="preserve"> use of CFIS data for federal and provincial purposes; and</w:t>
      </w:r>
    </w:p>
    <w:p w:rsidR="009278C8" w:rsidRPr="00136956" w:rsidRDefault="009278C8" w:rsidP="00285743">
      <w:pPr>
        <w:pStyle w:val="Citation-AltC"/>
        <w:tabs>
          <w:tab w:val="left" w:pos="360"/>
        </w:tabs>
        <w:spacing w:after="480" w:line="480" w:lineRule="auto"/>
        <w:ind w:left="360" w:hanging="360"/>
        <w:contextualSpacing w:val="0"/>
      </w:pPr>
      <w:r>
        <w:t>-</w:t>
      </w:r>
      <w:r w:rsidRPr="00136956">
        <w:t xml:space="preserve"> </w:t>
      </w:r>
      <w:r w:rsidR="00285743">
        <w:tab/>
      </w:r>
      <w:proofErr w:type="gramStart"/>
      <w:r w:rsidRPr="00136956">
        <w:t>the</w:t>
      </w:r>
      <w:proofErr w:type="gramEnd"/>
      <w:r w:rsidRPr="00136956">
        <w:t xml:space="preserve"> joint and complementary exercise of provincial and federal powers in the context of firearms control.</w:t>
      </w:r>
    </w:p>
    <w:p w:rsidR="009278C8" w:rsidRPr="00136956" w:rsidRDefault="009278C8" w:rsidP="009278C8">
      <w:pPr>
        <w:pStyle w:val="ParaNoNdepar-AltN"/>
        <w:tabs>
          <w:tab w:val="clear" w:pos="1166"/>
          <w:tab w:val="num" w:pos="1152"/>
        </w:tabs>
        <w:rPr>
          <w:rFonts w:cs="Times New Roman"/>
        </w:rPr>
      </w:pPr>
      <w:r w:rsidRPr="00136956">
        <w:rPr>
          <w:rFonts w:cs="Times New Roman"/>
        </w:rPr>
        <w:t>In our opinion, this factual reality unique to the CFIS and the partnership of which it forms a part is essential to the determination of whether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is constitutional. Before turning to the analysis on that subject, we will briefly discuss the framework applicable to it.</w:t>
      </w:r>
    </w:p>
    <w:p w:rsidR="009278C8" w:rsidRPr="00136956" w:rsidRDefault="009278C8" w:rsidP="009278C8">
      <w:pPr>
        <w:pStyle w:val="Title2LevelTitre2Niveau"/>
        <w:widowControl w:val="0"/>
        <w:tabs>
          <w:tab w:val="clear" w:pos="576"/>
          <w:tab w:val="num" w:pos="432"/>
        </w:tabs>
        <w:ind w:left="432" w:hanging="432"/>
        <w:outlineLvl w:val="0"/>
        <w:rPr>
          <w:rFonts w:cs="Times New Roman"/>
        </w:rPr>
      </w:pPr>
      <w:bookmarkStart w:id="38" w:name="_Toc402196898"/>
      <w:bookmarkStart w:id="39" w:name="_Toc402197076"/>
      <w:bookmarkStart w:id="40" w:name="_Toc402197309"/>
      <w:bookmarkStart w:id="41" w:name="_Toc402211414"/>
      <w:bookmarkStart w:id="42" w:name="_Toc402211663"/>
      <w:bookmarkStart w:id="43" w:name="_Toc402211832"/>
      <w:bookmarkStart w:id="44" w:name="_Toc402211970"/>
      <w:bookmarkStart w:id="45" w:name="_Toc402212108"/>
      <w:bookmarkStart w:id="46" w:name="_Toc402212246"/>
      <w:bookmarkStart w:id="47" w:name="_Toc402212423"/>
      <w:bookmarkStart w:id="48" w:name="_Toc402215731"/>
      <w:bookmarkStart w:id="49" w:name="_Toc402216941"/>
      <w:bookmarkStart w:id="50" w:name="_Toc402217150"/>
      <w:bookmarkStart w:id="51" w:name="_Toc402217294"/>
      <w:bookmarkStart w:id="52" w:name="_Toc402217438"/>
      <w:bookmarkStart w:id="53" w:name="_Toc402196899"/>
      <w:bookmarkStart w:id="54" w:name="_Toc402197077"/>
      <w:bookmarkStart w:id="55" w:name="_Toc402197310"/>
      <w:bookmarkStart w:id="56" w:name="_Toc402211415"/>
      <w:bookmarkStart w:id="57" w:name="_Toc402211664"/>
      <w:bookmarkStart w:id="58" w:name="_Toc402211833"/>
      <w:bookmarkStart w:id="59" w:name="_Toc402211971"/>
      <w:bookmarkStart w:id="60" w:name="_Toc402212109"/>
      <w:bookmarkStart w:id="61" w:name="_Toc402212247"/>
      <w:bookmarkStart w:id="62" w:name="_Toc402212424"/>
      <w:bookmarkStart w:id="63" w:name="_Toc402215732"/>
      <w:bookmarkStart w:id="64" w:name="_Toc402216942"/>
      <w:bookmarkStart w:id="65" w:name="_Toc402217151"/>
      <w:bookmarkStart w:id="66" w:name="_Toc402217295"/>
      <w:bookmarkStart w:id="67" w:name="_Toc402217439"/>
      <w:bookmarkStart w:id="68" w:name="_Toc402196900"/>
      <w:bookmarkStart w:id="69" w:name="_Toc402197078"/>
      <w:bookmarkStart w:id="70" w:name="_Toc402197311"/>
      <w:bookmarkStart w:id="71" w:name="_Toc402211416"/>
      <w:bookmarkStart w:id="72" w:name="_Toc402211665"/>
      <w:bookmarkStart w:id="73" w:name="_Toc402211834"/>
      <w:bookmarkStart w:id="74" w:name="_Toc402211972"/>
      <w:bookmarkStart w:id="75" w:name="_Toc402212110"/>
      <w:bookmarkStart w:id="76" w:name="_Toc402212248"/>
      <w:bookmarkStart w:id="77" w:name="_Toc402212425"/>
      <w:bookmarkStart w:id="78" w:name="_Toc402215733"/>
      <w:bookmarkStart w:id="79" w:name="_Toc402216943"/>
      <w:bookmarkStart w:id="80" w:name="_Toc402217152"/>
      <w:bookmarkStart w:id="81" w:name="_Toc402217296"/>
      <w:bookmarkStart w:id="82" w:name="_Toc402217440"/>
      <w:bookmarkStart w:id="83" w:name="_Toc402196901"/>
      <w:bookmarkStart w:id="84" w:name="_Toc402197079"/>
      <w:bookmarkStart w:id="85" w:name="_Toc402197312"/>
      <w:bookmarkStart w:id="86" w:name="_Toc402211417"/>
      <w:bookmarkStart w:id="87" w:name="_Toc402211666"/>
      <w:bookmarkStart w:id="88" w:name="_Toc402211835"/>
      <w:bookmarkStart w:id="89" w:name="_Toc402211973"/>
      <w:bookmarkStart w:id="90" w:name="_Toc402212111"/>
      <w:bookmarkStart w:id="91" w:name="_Toc402212249"/>
      <w:bookmarkStart w:id="92" w:name="_Toc402212426"/>
      <w:bookmarkStart w:id="93" w:name="_Toc402215734"/>
      <w:bookmarkStart w:id="94" w:name="_Toc402216944"/>
      <w:bookmarkStart w:id="95" w:name="_Toc402217153"/>
      <w:bookmarkStart w:id="96" w:name="_Toc402217297"/>
      <w:bookmarkStart w:id="97" w:name="_Toc402217441"/>
      <w:bookmarkStart w:id="98" w:name="_Toc402196484"/>
      <w:bookmarkStart w:id="99" w:name="_Toc402196538"/>
      <w:bookmarkStart w:id="100" w:name="_Toc402196738"/>
      <w:bookmarkStart w:id="101" w:name="_Toc402196902"/>
      <w:bookmarkStart w:id="102" w:name="_Toc402197080"/>
      <w:bookmarkStart w:id="103" w:name="_Toc402197313"/>
      <w:bookmarkStart w:id="104" w:name="_Toc402211418"/>
      <w:bookmarkStart w:id="105" w:name="_Toc402211667"/>
      <w:bookmarkStart w:id="106" w:name="_Toc402211836"/>
      <w:bookmarkStart w:id="107" w:name="_Toc402211974"/>
      <w:bookmarkStart w:id="108" w:name="_Toc402212112"/>
      <w:bookmarkStart w:id="109" w:name="_Toc402212250"/>
      <w:bookmarkStart w:id="110" w:name="_Toc402212427"/>
      <w:bookmarkStart w:id="111" w:name="_Toc402215735"/>
      <w:bookmarkStart w:id="112" w:name="_Toc402216945"/>
      <w:bookmarkStart w:id="113" w:name="_Toc402217154"/>
      <w:bookmarkStart w:id="114" w:name="_Toc402217298"/>
      <w:bookmarkStart w:id="115" w:name="_Toc402217442"/>
      <w:bookmarkStart w:id="116" w:name="_Toc402196903"/>
      <w:bookmarkStart w:id="117" w:name="_Toc402197081"/>
      <w:bookmarkStart w:id="118" w:name="_Toc402197314"/>
      <w:bookmarkStart w:id="119" w:name="_Toc402211419"/>
      <w:bookmarkStart w:id="120" w:name="_Toc402211668"/>
      <w:bookmarkStart w:id="121" w:name="_Toc402211837"/>
      <w:bookmarkStart w:id="122" w:name="_Toc402211975"/>
      <w:bookmarkStart w:id="123" w:name="_Toc402212113"/>
      <w:bookmarkStart w:id="124" w:name="_Toc402212251"/>
      <w:bookmarkStart w:id="125" w:name="_Toc402212428"/>
      <w:bookmarkStart w:id="126" w:name="_Toc402215736"/>
      <w:bookmarkStart w:id="127" w:name="_Toc402216946"/>
      <w:bookmarkStart w:id="128" w:name="_Toc402217155"/>
      <w:bookmarkStart w:id="129" w:name="_Toc402217299"/>
      <w:bookmarkStart w:id="130" w:name="_Toc402217443"/>
      <w:bookmarkStart w:id="131" w:name="_Toc402196904"/>
      <w:bookmarkStart w:id="132" w:name="_Toc402197082"/>
      <w:bookmarkStart w:id="133" w:name="_Toc402197315"/>
      <w:bookmarkStart w:id="134" w:name="_Toc402211420"/>
      <w:bookmarkStart w:id="135" w:name="_Toc402211669"/>
      <w:bookmarkStart w:id="136" w:name="_Toc402211838"/>
      <w:bookmarkStart w:id="137" w:name="_Toc402211976"/>
      <w:bookmarkStart w:id="138" w:name="_Toc402212114"/>
      <w:bookmarkStart w:id="139" w:name="_Toc402212252"/>
      <w:bookmarkStart w:id="140" w:name="_Toc402212429"/>
      <w:bookmarkStart w:id="141" w:name="_Toc402215737"/>
      <w:bookmarkStart w:id="142" w:name="_Toc402216947"/>
      <w:bookmarkStart w:id="143" w:name="_Toc402217156"/>
      <w:bookmarkStart w:id="144" w:name="_Toc402217300"/>
      <w:bookmarkStart w:id="145" w:name="_Toc402217444"/>
      <w:bookmarkStart w:id="146" w:name="_Toc402196905"/>
      <w:bookmarkStart w:id="147" w:name="_Toc402197083"/>
      <w:bookmarkStart w:id="148" w:name="_Toc402197316"/>
      <w:bookmarkStart w:id="149" w:name="_Toc402211421"/>
      <w:bookmarkStart w:id="150" w:name="_Toc402211670"/>
      <w:bookmarkStart w:id="151" w:name="_Toc402211839"/>
      <w:bookmarkStart w:id="152" w:name="_Toc402211977"/>
      <w:bookmarkStart w:id="153" w:name="_Toc402212115"/>
      <w:bookmarkStart w:id="154" w:name="_Toc402212253"/>
      <w:bookmarkStart w:id="155" w:name="_Toc402212430"/>
      <w:bookmarkStart w:id="156" w:name="_Toc402215738"/>
      <w:bookmarkStart w:id="157" w:name="_Toc402216948"/>
      <w:bookmarkStart w:id="158" w:name="_Toc402217157"/>
      <w:bookmarkStart w:id="159" w:name="_Toc402217301"/>
      <w:bookmarkStart w:id="160" w:name="_Toc402217445"/>
      <w:bookmarkStart w:id="161" w:name="_Toc402196906"/>
      <w:bookmarkStart w:id="162" w:name="_Toc402197084"/>
      <w:bookmarkStart w:id="163" w:name="_Toc402197317"/>
      <w:bookmarkStart w:id="164" w:name="_Toc402211422"/>
      <w:bookmarkStart w:id="165" w:name="_Toc402211671"/>
      <w:bookmarkStart w:id="166" w:name="_Toc402211840"/>
      <w:bookmarkStart w:id="167" w:name="_Toc402211978"/>
      <w:bookmarkStart w:id="168" w:name="_Toc402212116"/>
      <w:bookmarkStart w:id="169" w:name="_Toc402212254"/>
      <w:bookmarkStart w:id="170" w:name="_Toc402212431"/>
      <w:bookmarkStart w:id="171" w:name="_Toc402215739"/>
      <w:bookmarkStart w:id="172" w:name="_Toc402216949"/>
      <w:bookmarkStart w:id="173" w:name="_Toc402217158"/>
      <w:bookmarkStart w:id="174" w:name="_Toc402217302"/>
      <w:bookmarkStart w:id="175" w:name="_Toc402217446"/>
      <w:bookmarkStart w:id="176" w:name="_Toc402196907"/>
      <w:bookmarkStart w:id="177" w:name="_Toc402197085"/>
      <w:bookmarkStart w:id="178" w:name="_Toc402197318"/>
      <w:bookmarkStart w:id="179" w:name="_Toc402211423"/>
      <w:bookmarkStart w:id="180" w:name="_Toc402211672"/>
      <w:bookmarkStart w:id="181" w:name="_Toc402211841"/>
      <w:bookmarkStart w:id="182" w:name="_Toc402211979"/>
      <w:bookmarkStart w:id="183" w:name="_Toc402212117"/>
      <w:bookmarkStart w:id="184" w:name="_Toc402212255"/>
      <w:bookmarkStart w:id="185" w:name="_Toc402212432"/>
      <w:bookmarkStart w:id="186" w:name="_Toc402215740"/>
      <w:bookmarkStart w:id="187" w:name="_Toc402216950"/>
      <w:bookmarkStart w:id="188" w:name="_Toc402217159"/>
      <w:bookmarkStart w:id="189" w:name="_Toc402217303"/>
      <w:bookmarkStart w:id="190" w:name="_Toc402217447"/>
      <w:bookmarkStart w:id="191" w:name="_Toc402196908"/>
      <w:bookmarkStart w:id="192" w:name="_Toc402197086"/>
      <w:bookmarkStart w:id="193" w:name="_Toc402197319"/>
      <w:bookmarkStart w:id="194" w:name="_Toc402211424"/>
      <w:bookmarkStart w:id="195" w:name="_Toc402211673"/>
      <w:bookmarkStart w:id="196" w:name="_Toc402211842"/>
      <w:bookmarkStart w:id="197" w:name="_Toc402211980"/>
      <w:bookmarkStart w:id="198" w:name="_Toc402212118"/>
      <w:bookmarkStart w:id="199" w:name="_Toc402212256"/>
      <w:bookmarkStart w:id="200" w:name="_Toc402212433"/>
      <w:bookmarkStart w:id="201" w:name="_Toc402215741"/>
      <w:bookmarkStart w:id="202" w:name="_Toc402216951"/>
      <w:bookmarkStart w:id="203" w:name="_Toc402217160"/>
      <w:bookmarkStart w:id="204" w:name="_Toc402217304"/>
      <w:bookmarkStart w:id="205" w:name="_Toc402217448"/>
      <w:bookmarkStart w:id="206" w:name="_Toc402196909"/>
      <w:bookmarkStart w:id="207" w:name="_Toc402197087"/>
      <w:bookmarkStart w:id="208" w:name="_Toc402197320"/>
      <w:bookmarkStart w:id="209" w:name="_Toc402211425"/>
      <w:bookmarkStart w:id="210" w:name="_Toc402211674"/>
      <w:bookmarkStart w:id="211" w:name="_Toc402211843"/>
      <w:bookmarkStart w:id="212" w:name="_Toc402211981"/>
      <w:bookmarkStart w:id="213" w:name="_Toc402212119"/>
      <w:bookmarkStart w:id="214" w:name="_Toc402212257"/>
      <w:bookmarkStart w:id="215" w:name="_Toc402212434"/>
      <w:bookmarkStart w:id="216" w:name="_Toc402215742"/>
      <w:bookmarkStart w:id="217" w:name="_Toc402216952"/>
      <w:bookmarkStart w:id="218" w:name="_Toc402217161"/>
      <w:bookmarkStart w:id="219" w:name="_Toc402217305"/>
      <w:bookmarkStart w:id="220" w:name="_Toc402217449"/>
      <w:bookmarkStart w:id="221" w:name="_Toc402196910"/>
      <w:bookmarkStart w:id="222" w:name="_Toc402197088"/>
      <w:bookmarkStart w:id="223" w:name="_Toc402197321"/>
      <w:bookmarkStart w:id="224" w:name="_Toc402211426"/>
      <w:bookmarkStart w:id="225" w:name="_Toc402211675"/>
      <w:bookmarkStart w:id="226" w:name="_Toc402211844"/>
      <w:bookmarkStart w:id="227" w:name="_Toc402211982"/>
      <w:bookmarkStart w:id="228" w:name="_Toc402212120"/>
      <w:bookmarkStart w:id="229" w:name="_Toc402212258"/>
      <w:bookmarkStart w:id="230" w:name="_Toc402212435"/>
      <w:bookmarkStart w:id="231" w:name="_Toc402215743"/>
      <w:bookmarkStart w:id="232" w:name="_Toc402216953"/>
      <w:bookmarkStart w:id="233" w:name="_Toc402217162"/>
      <w:bookmarkStart w:id="234" w:name="_Toc402217306"/>
      <w:bookmarkStart w:id="235" w:name="_Toc402217450"/>
      <w:bookmarkStart w:id="236" w:name="_Toc402196911"/>
      <w:bookmarkStart w:id="237" w:name="_Toc402197089"/>
      <w:bookmarkStart w:id="238" w:name="_Toc402197322"/>
      <w:bookmarkStart w:id="239" w:name="_Toc402211427"/>
      <w:bookmarkStart w:id="240" w:name="_Toc402211676"/>
      <w:bookmarkStart w:id="241" w:name="_Toc402211845"/>
      <w:bookmarkStart w:id="242" w:name="_Toc402211983"/>
      <w:bookmarkStart w:id="243" w:name="_Toc402212121"/>
      <w:bookmarkStart w:id="244" w:name="_Toc402212259"/>
      <w:bookmarkStart w:id="245" w:name="_Toc402212436"/>
      <w:bookmarkStart w:id="246" w:name="_Toc402215744"/>
      <w:bookmarkStart w:id="247" w:name="_Toc402216954"/>
      <w:bookmarkStart w:id="248" w:name="_Toc402217163"/>
      <w:bookmarkStart w:id="249" w:name="_Toc402217307"/>
      <w:bookmarkStart w:id="250" w:name="_Toc402217451"/>
      <w:bookmarkStart w:id="251" w:name="_Toc402196912"/>
      <w:bookmarkStart w:id="252" w:name="_Toc402197090"/>
      <w:bookmarkStart w:id="253" w:name="_Toc402197323"/>
      <w:bookmarkStart w:id="254" w:name="_Toc402211428"/>
      <w:bookmarkStart w:id="255" w:name="_Toc402211677"/>
      <w:bookmarkStart w:id="256" w:name="_Toc402211846"/>
      <w:bookmarkStart w:id="257" w:name="_Toc402211984"/>
      <w:bookmarkStart w:id="258" w:name="_Toc402212122"/>
      <w:bookmarkStart w:id="259" w:name="_Toc402212260"/>
      <w:bookmarkStart w:id="260" w:name="_Toc402212437"/>
      <w:bookmarkStart w:id="261" w:name="_Toc402215745"/>
      <w:bookmarkStart w:id="262" w:name="_Toc402216955"/>
      <w:bookmarkStart w:id="263" w:name="_Toc402217164"/>
      <w:bookmarkStart w:id="264" w:name="_Toc402217308"/>
      <w:bookmarkStart w:id="265" w:name="_Toc402217452"/>
      <w:bookmarkStart w:id="266" w:name="_Toc402196913"/>
      <w:bookmarkStart w:id="267" w:name="_Toc402197091"/>
      <w:bookmarkStart w:id="268" w:name="_Toc402197324"/>
      <w:bookmarkStart w:id="269" w:name="_Toc402211429"/>
      <w:bookmarkStart w:id="270" w:name="_Toc402211678"/>
      <w:bookmarkStart w:id="271" w:name="_Toc402211847"/>
      <w:bookmarkStart w:id="272" w:name="_Toc402211985"/>
      <w:bookmarkStart w:id="273" w:name="_Toc402212123"/>
      <w:bookmarkStart w:id="274" w:name="_Toc402212261"/>
      <w:bookmarkStart w:id="275" w:name="_Toc402212438"/>
      <w:bookmarkStart w:id="276" w:name="_Toc402215746"/>
      <w:bookmarkStart w:id="277" w:name="_Toc402216956"/>
      <w:bookmarkStart w:id="278" w:name="_Toc402217165"/>
      <w:bookmarkStart w:id="279" w:name="_Toc402217309"/>
      <w:bookmarkStart w:id="280" w:name="_Toc402217453"/>
      <w:bookmarkStart w:id="281" w:name="_Toc402196914"/>
      <w:bookmarkStart w:id="282" w:name="_Toc402197092"/>
      <w:bookmarkStart w:id="283" w:name="_Toc402197325"/>
      <w:bookmarkStart w:id="284" w:name="_Toc402211430"/>
      <w:bookmarkStart w:id="285" w:name="_Toc402211679"/>
      <w:bookmarkStart w:id="286" w:name="_Toc402211848"/>
      <w:bookmarkStart w:id="287" w:name="_Toc402211986"/>
      <w:bookmarkStart w:id="288" w:name="_Toc402212124"/>
      <w:bookmarkStart w:id="289" w:name="_Toc402212262"/>
      <w:bookmarkStart w:id="290" w:name="_Toc402212439"/>
      <w:bookmarkStart w:id="291" w:name="_Toc402215747"/>
      <w:bookmarkStart w:id="292" w:name="_Toc402216957"/>
      <w:bookmarkStart w:id="293" w:name="_Toc402217166"/>
      <w:bookmarkStart w:id="294" w:name="_Toc402217310"/>
      <w:bookmarkStart w:id="295" w:name="_Toc402217454"/>
      <w:bookmarkStart w:id="296" w:name="_Toc402196915"/>
      <w:bookmarkStart w:id="297" w:name="_Toc402197093"/>
      <w:bookmarkStart w:id="298" w:name="_Toc402197326"/>
      <w:bookmarkStart w:id="299" w:name="_Toc402211431"/>
      <w:bookmarkStart w:id="300" w:name="_Toc402211680"/>
      <w:bookmarkStart w:id="301" w:name="_Toc402211849"/>
      <w:bookmarkStart w:id="302" w:name="_Toc402211987"/>
      <w:bookmarkStart w:id="303" w:name="_Toc402212125"/>
      <w:bookmarkStart w:id="304" w:name="_Toc402212263"/>
      <w:bookmarkStart w:id="305" w:name="_Toc402212440"/>
      <w:bookmarkStart w:id="306" w:name="_Toc402215748"/>
      <w:bookmarkStart w:id="307" w:name="_Toc402216958"/>
      <w:bookmarkStart w:id="308" w:name="_Toc402217167"/>
      <w:bookmarkStart w:id="309" w:name="_Toc402217311"/>
      <w:bookmarkStart w:id="310" w:name="_Toc402217455"/>
      <w:bookmarkStart w:id="311" w:name="_Toc402196916"/>
      <w:bookmarkStart w:id="312" w:name="_Toc402197094"/>
      <w:bookmarkStart w:id="313" w:name="_Toc402197327"/>
      <w:bookmarkStart w:id="314" w:name="_Toc402211432"/>
      <w:bookmarkStart w:id="315" w:name="_Toc402211681"/>
      <w:bookmarkStart w:id="316" w:name="_Toc402211850"/>
      <w:bookmarkStart w:id="317" w:name="_Toc402211988"/>
      <w:bookmarkStart w:id="318" w:name="_Toc402212126"/>
      <w:bookmarkStart w:id="319" w:name="_Toc402212264"/>
      <w:bookmarkStart w:id="320" w:name="_Toc402212441"/>
      <w:bookmarkStart w:id="321" w:name="_Toc402215749"/>
      <w:bookmarkStart w:id="322" w:name="_Toc402216959"/>
      <w:bookmarkStart w:id="323" w:name="_Toc402217168"/>
      <w:bookmarkStart w:id="324" w:name="_Toc402217312"/>
      <w:bookmarkStart w:id="325" w:name="_Toc402217456"/>
      <w:bookmarkStart w:id="326" w:name="_Toc402196917"/>
      <w:bookmarkStart w:id="327" w:name="_Toc402197095"/>
      <w:bookmarkStart w:id="328" w:name="_Toc402197328"/>
      <w:bookmarkStart w:id="329" w:name="_Toc402211433"/>
      <w:bookmarkStart w:id="330" w:name="_Toc402211682"/>
      <w:bookmarkStart w:id="331" w:name="_Toc402211851"/>
      <w:bookmarkStart w:id="332" w:name="_Toc402211989"/>
      <w:bookmarkStart w:id="333" w:name="_Toc402212127"/>
      <w:bookmarkStart w:id="334" w:name="_Toc402212265"/>
      <w:bookmarkStart w:id="335" w:name="_Toc402212442"/>
      <w:bookmarkStart w:id="336" w:name="_Toc402215750"/>
      <w:bookmarkStart w:id="337" w:name="_Toc402216960"/>
      <w:bookmarkStart w:id="338" w:name="_Toc402217169"/>
      <w:bookmarkStart w:id="339" w:name="_Toc402217313"/>
      <w:bookmarkStart w:id="340" w:name="_Toc402217457"/>
      <w:bookmarkStart w:id="341" w:name="_Toc402196918"/>
      <w:bookmarkStart w:id="342" w:name="_Toc402197096"/>
      <w:bookmarkStart w:id="343" w:name="_Toc402197329"/>
      <w:bookmarkStart w:id="344" w:name="_Toc402211434"/>
      <w:bookmarkStart w:id="345" w:name="_Toc402211683"/>
      <w:bookmarkStart w:id="346" w:name="_Toc402211852"/>
      <w:bookmarkStart w:id="347" w:name="_Toc402211990"/>
      <w:bookmarkStart w:id="348" w:name="_Toc402212128"/>
      <w:bookmarkStart w:id="349" w:name="_Toc402212266"/>
      <w:bookmarkStart w:id="350" w:name="_Toc402212443"/>
      <w:bookmarkStart w:id="351" w:name="_Toc402215751"/>
      <w:bookmarkStart w:id="352" w:name="_Toc402216961"/>
      <w:bookmarkStart w:id="353" w:name="_Toc402217170"/>
      <w:bookmarkStart w:id="354" w:name="_Toc402217314"/>
      <w:bookmarkStart w:id="355" w:name="_Toc402217458"/>
      <w:bookmarkStart w:id="356" w:name="_Toc402196919"/>
      <w:bookmarkStart w:id="357" w:name="_Toc402197097"/>
      <w:bookmarkStart w:id="358" w:name="_Toc402197330"/>
      <w:bookmarkStart w:id="359" w:name="_Toc402211435"/>
      <w:bookmarkStart w:id="360" w:name="_Toc402211684"/>
      <w:bookmarkStart w:id="361" w:name="_Toc402211853"/>
      <w:bookmarkStart w:id="362" w:name="_Toc402211991"/>
      <w:bookmarkStart w:id="363" w:name="_Toc402212129"/>
      <w:bookmarkStart w:id="364" w:name="_Toc402212267"/>
      <w:bookmarkStart w:id="365" w:name="_Toc402212444"/>
      <w:bookmarkStart w:id="366" w:name="_Toc402215752"/>
      <w:bookmarkStart w:id="367" w:name="_Toc402216962"/>
      <w:bookmarkStart w:id="368" w:name="_Toc402217171"/>
      <w:bookmarkStart w:id="369" w:name="_Toc402217315"/>
      <w:bookmarkStart w:id="370" w:name="_Toc402217459"/>
      <w:bookmarkStart w:id="371" w:name="_Toc402196920"/>
      <w:bookmarkStart w:id="372" w:name="_Toc402197098"/>
      <w:bookmarkStart w:id="373" w:name="_Toc402197331"/>
      <w:bookmarkStart w:id="374" w:name="_Toc402211436"/>
      <w:bookmarkStart w:id="375" w:name="_Toc402211685"/>
      <w:bookmarkStart w:id="376" w:name="_Toc402211854"/>
      <w:bookmarkStart w:id="377" w:name="_Toc402211992"/>
      <w:bookmarkStart w:id="378" w:name="_Toc402212130"/>
      <w:bookmarkStart w:id="379" w:name="_Toc402212268"/>
      <w:bookmarkStart w:id="380" w:name="_Toc402212445"/>
      <w:bookmarkStart w:id="381" w:name="_Toc402215753"/>
      <w:bookmarkStart w:id="382" w:name="_Toc402216963"/>
      <w:bookmarkStart w:id="383" w:name="_Toc402217172"/>
      <w:bookmarkStart w:id="384" w:name="_Toc402217316"/>
      <w:bookmarkStart w:id="385" w:name="_Toc402217460"/>
      <w:bookmarkStart w:id="386" w:name="_Toc402196921"/>
      <w:bookmarkStart w:id="387" w:name="_Toc402197099"/>
      <w:bookmarkStart w:id="388" w:name="_Toc402197332"/>
      <w:bookmarkStart w:id="389" w:name="_Toc402211437"/>
      <w:bookmarkStart w:id="390" w:name="_Toc402211686"/>
      <w:bookmarkStart w:id="391" w:name="_Toc402211855"/>
      <w:bookmarkStart w:id="392" w:name="_Toc402211993"/>
      <w:bookmarkStart w:id="393" w:name="_Toc402212131"/>
      <w:bookmarkStart w:id="394" w:name="_Toc402212269"/>
      <w:bookmarkStart w:id="395" w:name="_Toc402212446"/>
      <w:bookmarkStart w:id="396" w:name="_Toc402215754"/>
      <w:bookmarkStart w:id="397" w:name="_Toc402216964"/>
      <w:bookmarkStart w:id="398" w:name="_Toc402217173"/>
      <w:bookmarkStart w:id="399" w:name="_Toc402217317"/>
      <w:bookmarkStart w:id="400" w:name="_Toc402217461"/>
      <w:bookmarkStart w:id="401" w:name="_Toc402196922"/>
      <w:bookmarkStart w:id="402" w:name="_Toc402197100"/>
      <w:bookmarkStart w:id="403" w:name="_Toc402197333"/>
      <w:bookmarkStart w:id="404" w:name="_Toc402211438"/>
      <w:bookmarkStart w:id="405" w:name="_Toc402211687"/>
      <w:bookmarkStart w:id="406" w:name="_Toc402211856"/>
      <w:bookmarkStart w:id="407" w:name="_Toc402211994"/>
      <w:bookmarkStart w:id="408" w:name="_Toc402212132"/>
      <w:bookmarkStart w:id="409" w:name="_Toc402212270"/>
      <w:bookmarkStart w:id="410" w:name="_Toc402212447"/>
      <w:bookmarkStart w:id="411" w:name="_Toc402215755"/>
      <w:bookmarkStart w:id="412" w:name="_Toc402216965"/>
      <w:bookmarkStart w:id="413" w:name="_Toc402217174"/>
      <w:bookmarkStart w:id="414" w:name="_Toc402217318"/>
      <w:bookmarkStart w:id="415" w:name="_Toc402217462"/>
      <w:bookmarkStart w:id="416" w:name="_Toc402196923"/>
      <w:bookmarkStart w:id="417" w:name="_Toc402197101"/>
      <w:bookmarkStart w:id="418" w:name="_Toc402197334"/>
      <w:bookmarkStart w:id="419" w:name="_Toc402211439"/>
      <w:bookmarkStart w:id="420" w:name="_Toc402211688"/>
      <w:bookmarkStart w:id="421" w:name="_Toc402211857"/>
      <w:bookmarkStart w:id="422" w:name="_Toc402211995"/>
      <w:bookmarkStart w:id="423" w:name="_Toc402212133"/>
      <w:bookmarkStart w:id="424" w:name="_Toc402212271"/>
      <w:bookmarkStart w:id="425" w:name="_Toc402212448"/>
      <w:bookmarkStart w:id="426" w:name="_Toc402215756"/>
      <w:bookmarkStart w:id="427" w:name="_Toc402216966"/>
      <w:bookmarkStart w:id="428" w:name="_Toc402217175"/>
      <w:bookmarkStart w:id="429" w:name="_Toc402217319"/>
      <w:bookmarkStart w:id="430" w:name="_Toc402217463"/>
      <w:bookmarkStart w:id="431" w:name="_Toc402196924"/>
      <w:bookmarkStart w:id="432" w:name="_Toc402197102"/>
      <w:bookmarkStart w:id="433" w:name="_Toc402197335"/>
      <w:bookmarkStart w:id="434" w:name="_Toc402211440"/>
      <w:bookmarkStart w:id="435" w:name="_Toc402211689"/>
      <w:bookmarkStart w:id="436" w:name="_Toc402211858"/>
      <w:bookmarkStart w:id="437" w:name="_Toc402211996"/>
      <w:bookmarkStart w:id="438" w:name="_Toc402212134"/>
      <w:bookmarkStart w:id="439" w:name="_Toc402212272"/>
      <w:bookmarkStart w:id="440" w:name="_Toc402212449"/>
      <w:bookmarkStart w:id="441" w:name="_Toc402215757"/>
      <w:bookmarkStart w:id="442" w:name="_Toc402216967"/>
      <w:bookmarkStart w:id="443" w:name="_Toc402217176"/>
      <w:bookmarkStart w:id="444" w:name="_Toc402217320"/>
      <w:bookmarkStart w:id="445" w:name="_Toc402217464"/>
      <w:bookmarkStart w:id="446" w:name="_Toc402196925"/>
      <w:bookmarkStart w:id="447" w:name="_Toc402197103"/>
      <w:bookmarkStart w:id="448" w:name="_Toc402197336"/>
      <w:bookmarkStart w:id="449" w:name="_Toc402211441"/>
      <w:bookmarkStart w:id="450" w:name="_Toc402211690"/>
      <w:bookmarkStart w:id="451" w:name="_Toc402211859"/>
      <w:bookmarkStart w:id="452" w:name="_Toc402211997"/>
      <w:bookmarkStart w:id="453" w:name="_Toc402212135"/>
      <w:bookmarkStart w:id="454" w:name="_Toc402212273"/>
      <w:bookmarkStart w:id="455" w:name="_Toc402212450"/>
      <w:bookmarkStart w:id="456" w:name="_Toc402215758"/>
      <w:bookmarkStart w:id="457" w:name="_Toc402216968"/>
      <w:bookmarkStart w:id="458" w:name="_Toc402217177"/>
      <w:bookmarkStart w:id="459" w:name="_Toc402217321"/>
      <w:bookmarkStart w:id="460" w:name="_Toc402217465"/>
      <w:bookmarkStart w:id="461" w:name="_Toc402196926"/>
      <w:bookmarkStart w:id="462" w:name="_Toc402197104"/>
      <w:bookmarkStart w:id="463" w:name="_Toc402197337"/>
      <w:bookmarkStart w:id="464" w:name="_Toc402211442"/>
      <w:bookmarkStart w:id="465" w:name="_Toc402211691"/>
      <w:bookmarkStart w:id="466" w:name="_Toc402211860"/>
      <w:bookmarkStart w:id="467" w:name="_Toc402211998"/>
      <w:bookmarkStart w:id="468" w:name="_Toc402212136"/>
      <w:bookmarkStart w:id="469" w:name="_Toc402212274"/>
      <w:bookmarkStart w:id="470" w:name="_Toc402212451"/>
      <w:bookmarkStart w:id="471" w:name="_Toc402215759"/>
      <w:bookmarkStart w:id="472" w:name="_Toc402216969"/>
      <w:bookmarkStart w:id="473" w:name="_Toc402217178"/>
      <w:bookmarkStart w:id="474" w:name="_Toc402217322"/>
      <w:bookmarkStart w:id="475" w:name="_Toc402217466"/>
      <w:bookmarkStart w:id="476" w:name="_Toc402196927"/>
      <w:bookmarkStart w:id="477" w:name="_Toc402197105"/>
      <w:bookmarkStart w:id="478" w:name="_Toc402197338"/>
      <w:bookmarkStart w:id="479" w:name="_Toc402211443"/>
      <w:bookmarkStart w:id="480" w:name="_Toc402211692"/>
      <w:bookmarkStart w:id="481" w:name="_Toc402211861"/>
      <w:bookmarkStart w:id="482" w:name="_Toc402211999"/>
      <w:bookmarkStart w:id="483" w:name="_Toc402212137"/>
      <w:bookmarkStart w:id="484" w:name="_Toc402212275"/>
      <w:bookmarkStart w:id="485" w:name="_Toc402212452"/>
      <w:bookmarkStart w:id="486" w:name="_Toc402215760"/>
      <w:bookmarkStart w:id="487" w:name="_Toc402216970"/>
      <w:bookmarkStart w:id="488" w:name="_Toc402217179"/>
      <w:bookmarkStart w:id="489" w:name="_Toc402217323"/>
      <w:bookmarkStart w:id="490" w:name="_Toc402217467"/>
      <w:bookmarkStart w:id="491" w:name="_Toc402196928"/>
      <w:bookmarkStart w:id="492" w:name="_Toc402197106"/>
      <w:bookmarkStart w:id="493" w:name="_Toc402197339"/>
      <w:bookmarkStart w:id="494" w:name="_Toc402211444"/>
      <w:bookmarkStart w:id="495" w:name="_Toc402211693"/>
      <w:bookmarkStart w:id="496" w:name="_Toc402211862"/>
      <w:bookmarkStart w:id="497" w:name="_Toc402212000"/>
      <w:bookmarkStart w:id="498" w:name="_Toc402212138"/>
      <w:bookmarkStart w:id="499" w:name="_Toc402212276"/>
      <w:bookmarkStart w:id="500" w:name="_Toc402212453"/>
      <w:bookmarkStart w:id="501" w:name="_Toc402215761"/>
      <w:bookmarkStart w:id="502" w:name="_Toc402216971"/>
      <w:bookmarkStart w:id="503" w:name="_Toc402217180"/>
      <w:bookmarkStart w:id="504" w:name="_Toc402217324"/>
      <w:bookmarkStart w:id="505" w:name="_Toc402217468"/>
      <w:bookmarkStart w:id="506" w:name="_Toc402196929"/>
      <w:bookmarkStart w:id="507" w:name="_Toc402197107"/>
      <w:bookmarkStart w:id="508" w:name="_Toc402197340"/>
      <w:bookmarkStart w:id="509" w:name="_Toc402211445"/>
      <w:bookmarkStart w:id="510" w:name="_Toc402211694"/>
      <w:bookmarkStart w:id="511" w:name="_Toc402211863"/>
      <w:bookmarkStart w:id="512" w:name="_Toc402212001"/>
      <w:bookmarkStart w:id="513" w:name="_Toc402212139"/>
      <w:bookmarkStart w:id="514" w:name="_Toc402212277"/>
      <w:bookmarkStart w:id="515" w:name="_Toc402212454"/>
      <w:bookmarkStart w:id="516" w:name="_Toc402215762"/>
      <w:bookmarkStart w:id="517" w:name="_Toc402216972"/>
      <w:bookmarkStart w:id="518" w:name="_Toc402217181"/>
      <w:bookmarkStart w:id="519" w:name="_Toc402217325"/>
      <w:bookmarkStart w:id="520" w:name="_Toc402217469"/>
      <w:bookmarkStart w:id="521" w:name="_Toc402196930"/>
      <w:bookmarkStart w:id="522" w:name="_Toc402197108"/>
      <w:bookmarkStart w:id="523" w:name="_Toc402197341"/>
      <w:bookmarkStart w:id="524" w:name="_Toc402211446"/>
      <w:bookmarkStart w:id="525" w:name="_Toc402211695"/>
      <w:bookmarkStart w:id="526" w:name="_Toc402211864"/>
      <w:bookmarkStart w:id="527" w:name="_Toc402212002"/>
      <w:bookmarkStart w:id="528" w:name="_Toc402212140"/>
      <w:bookmarkStart w:id="529" w:name="_Toc402212278"/>
      <w:bookmarkStart w:id="530" w:name="_Toc402212455"/>
      <w:bookmarkStart w:id="531" w:name="_Toc402215763"/>
      <w:bookmarkStart w:id="532" w:name="_Toc402216973"/>
      <w:bookmarkStart w:id="533" w:name="_Toc402217182"/>
      <w:bookmarkStart w:id="534" w:name="_Toc402217326"/>
      <w:bookmarkStart w:id="535" w:name="_Toc402217470"/>
      <w:bookmarkStart w:id="536" w:name="_Toc402196931"/>
      <w:bookmarkStart w:id="537" w:name="_Toc402197109"/>
      <w:bookmarkStart w:id="538" w:name="_Toc402197342"/>
      <w:bookmarkStart w:id="539" w:name="_Toc402211447"/>
      <w:bookmarkStart w:id="540" w:name="_Toc402211696"/>
      <w:bookmarkStart w:id="541" w:name="_Toc402211865"/>
      <w:bookmarkStart w:id="542" w:name="_Toc402212003"/>
      <w:bookmarkStart w:id="543" w:name="_Toc402212141"/>
      <w:bookmarkStart w:id="544" w:name="_Toc402212279"/>
      <w:bookmarkStart w:id="545" w:name="_Toc402212456"/>
      <w:bookmarkStart w:id="546" w:name="_Toc402215764"/>
      <w:bookmarkStart w:id="547" w:name="_Toc402216974"/>
      <w:bookmarkStart w:id="548" w:name="_Toc402217183"/>
      <w:bookmarkStart w:id="549" w:name="_Toc402217327"/>
      <w:bookmarkStart w:id="550" w:name="_Toc402217471"/>
      <w:bookmarkStart w:id="551" w:name="_Toc402196932"/>
      <w:bookmarkStart w:id="552" w:name="_Toc402197110"/>
      <w:bookmarkStart w:id="553" w:name="_Toc402197343"/>
      <w:bookmarkStart w:id="554" w:name="_Toc402211448"/>
      <w:bookmarkStart w:id="555" w:name="_Toc402211697"/>
      <w:bookmarkStart w:id="556" w:name="_Toc402211866"/>
      <w:bookmarkStart w:id="557" w:name="_Toc402212004"/>
      <w:bookmarkStart w:id="558" w:name="_Toc402212142"/>
      <w:bookmarkStart w:id="559" w:name="_Toc402212280"/>
      <w:bookmarkStart w:id="560" w:name="_Toc402212457"/>
      <w:bookmarkStart w:id="561" w:name="_Toc402215765"/>
      <w:bookmarkStart w:id="562" w:name="_Toc402216975"/>
      <w:bookmarkStart w:id="563" w:name="_Toc402217184"/>
      <w:bookmarkStart w:id="564" w:name="_Toc402217328"/>
      <w:bookmarkStart w:id="565" w:name="_Toc402217472"/>
      <w:bookmarkStart w:id="566" w:name="_Toc402196933"/>
      <w:bookmarkStart w:id="567" w:name="_Toc402197111"/>
      <w:bookmarkStart w:id="568" w:name="_Toc402197344"/>
      <w:bookmarkStart w:id="569" w:name="_Toc402211449"/>
      <w:bookmarkStart w:id="570" w:name="_Toc402211698"/>
      <w:bookmarkStart w:id="571" w:name="_Toc402211867"/>
      <w:bookmarkStart w:id="572" w:name="_Toc402212005"/>
      <w:bookmarkStart w:id="573" w:name="_Toc402212143"/>
      <w:bookmarkStart w:id="574" w:name="_Toc402212281"/>
      <w:bookmarkStart w:id="575" w:name="_Toc402212458"/>
      <w:bookmarkStart w:id="576" w:name="_Toc402215766"/>
      <w:bookmarkStart w:id="577" w:name="_Toc402216976"/>
      <w:bookmarkStart w:id="578" w:name="_Toc402217185"/>
      <w:bookmarkStart w:id="579" w:name="_Toc402217329"/>
      <w:bookmarkStart w:id="580" w:name="_Toc402217473"/>
      <w:bookmarkStart w:id="581" w:name="_Toc402196934"/>
      <w:bookmarkStart w:id="582" w:name="_Toc402197112"/>
      <w:bookmarkStart w:id="583" w:name="_Toc402197345"/>
      <w:bookmarkStart w:id="584" w:name="_Toc402211450"/>
      <w:bookmarkStart w:id="585" w:name="_Toc402211699"/>
      <w:bookmarkStart w:id="586" w:name="_Toc402211868"/>
      <w:bookmarkStart w:id="587" w:name="_Toc402212006"/>
      <w:bookmarkStart w:id="588" w:name="_Toc402212144"/>
      <w:bookmarkStart w:id="589" w:name="_Toc402212282"/>
      <w:bookmarkStart w:id="590" w:name="_Toc402212459"/>
      <w:bookmarkStart w:id="591" w:name="_Toc402215767"/>
      <w:bookmarkStart w:id="592" w:name="_Toc402216977"/>
      <w:bookmarkStart w:id="593" w:name="_Toc402217186"/>
      <w:bookmarkStart w:id="594" w:name="_Toc402217330"/>
      <w:bookmarkStart w:id="595" w:name="_Toc402217474"/>
      <w:bookmarkStart w:id="596" w:name="_Toc402196935"/>
      <w:bookmarkStart w:id="597" w:name="_Toc402197113"/>
      <w:bookmarkStart w:id="598" w:name="_Toc402197346"/>
      <w:bookmarkStart w:id="599" w:name="_Toc402211451"/>
      <w:bookmarkStart w:id="600" w:name="_Toc402211700"/>
      <w:bookmarkStart w:id="601" w:name="_Toc402211869"/>
      <w:bookmarkStart w:id="602" w:name="_Toc402212007"/>
      <w:bookmarkStart w:id="603" w:name="_Toc402212145"/>
      <w:bookmarkStart w:id="604" w:name="_Toc402212283"/>
      <w:bookmarkStart w:id="605" w:name="_Toc402212460"/>
      <w:bookmarkStart w:id="606" w:name="_Toc402215768"/>
      <w:bookmarkStart w:id="607" w:name="_Toc402216978"/>
      <w:bookmarkStart w:id="608" w:name="_Toc402217187"/>
      <w:bookmarkStart w:id="609" w:name="_Toc402217331"/>
      <w:bookmarkStart w:id="610" w:name="_Toc402217475"/>
      <w:bookmarkStart w:id="611" w:name="_Toc402197348"/>
      <w:bookmarkStart w:id="612" w:name="_Toc402211453"/>
      <w:bookmarkStart w:id="613" w:name="_Toc402211702"/>
      <w:bookmarkStart w:id="614" w:name="_Toc402211871"/>
      <w:bookmarkStart w:id="615" w:name="_Toc402212009"/>
      <w:bookmarkStart w:id="616" w:name="_Toc402212147"/>
      <w:bookmarkStart w:id="617" w:name="_Toc402212285"/>
      <w:bookmarkStart w:id="618" w:name="_Toc402212462"/>
      <w:bookmarkStart w:id="619" w:name="_Toc402215770"/>
      <w:bookmarkStart w:id="620" w:name="_Toc402216980"/>
      <w:bookmarkStart w:id="621" w:name="_Toc402217189"/>
      <w:bookmarkStart w:id="622" w:name="_Toc402217333"/>
      <w:bookmarkStart w:id="623" w:name="_Toc402217477"/>
      <w:bookmarkStart w:id="624" w:name="_Toc402426686"/>
      <w:bookmarkStart w:id="625" w:name="_Toc402429888"/>
      <w:bookmarkStart w:id="626" w:name="_Toc402429987"/>
      <w:bookmarkStart w:id="627" w:name="_Toc402443598"/>
      <w:bookmarkStart w:id="628" w:name="_Toc402443698"/>
      <w:bookmarkStart w:id="629" w:name="_Toc402443798"/>
      <w:bookmarkStart w:id="630" w:name="_Toc402517688"/>
      <w:bookmarkStart w:id="631" w:name="_Toc402520546"/>
      <w:bookmarkStart w:id="632" w:name="_Toc402520757"/>
      <w:bookmarkStart w:id="633" w:name="_Toc402197349"/>
      <w:bookmarkStart w:id="634" w:name="_Toc402211454"/>
      <w:bookmarkStart w:id="635" w:name="_Toc402211703"/>
      <w:bookmarkStart w:id="636" w:name="_Toc402211872"/>
      <w:bookmarkStart w:id="637" w:name="_Toc402212010"/>
      <w:bookmarkStart w:id="638" w:name="_Toc402212148"/>
      <w:bookmarkStart w:id="639" w:name="_Toc402212286"/>
      <w:bookmarkStart w:id="640" w:name="_Toc402212463"/>
      <w:bookmarkStart w:id="641" w:name="_Toc402215771"/>
      <w:bookmarkStart w:id="642" w:name="_Toc402216981"/>
      <w:bookmarkStart w:id="643" w:name="_Toc402217190"/>
      <w:bookmarkStart w:id="644" w:name="_Toc402217334"/>
      <w:bookmarkStart w:id="645" w:name="_Toc402217478"/>
      <w:bookmarkStart w:id="646" w:name="_Toc402426687"/>
      <w:bookmarkStart w:id="647" w:name="_Toc402429889"/>
      <w:bookmarkStart w:id="648" w:name="_Toc402429988"/>
      <w:bookmarkStart w:id="649" w:name="_Toc402443599"/>
      <w:bookmarkStart w:id="650" w:name="_Toc402443699"/>
      <w:bookmarkStart w:id="651" w:name="_Toc402443799"/>
      <w:bookmarkStart w:id="652" w:name="_Toc402517689"/>
      <w:bookmarkStart w:id="653" w:name="_Toc402520547"/>
      <w:bookmarkStart w:id="654" w:name="_Toc402520758"/>
      <w:bookmarkStart w:id="655" w:name="_Toc402197350"/>
      <w:bookmarkStart w:id="656" w:name="_Toc402211455"/>
      <w:bookmarkStart w:id="657" w:name="_Toc402211704"/>
      <w:bookmarkStart w:id="658" w:name="_Toc402211873"/>
      <w:bookmarkStart w:id="659" w:name="_Toc402212011"/>
      <w:bookmarkStart w:id="660" w:name="_Toc402212149"/>
      <w:bookmarkStart w:id="661" w:name="_Toc402212287"/>
      <w:bookmarkStart w:id="662" w:name="_Toc402212464"/>
      <w:bookmarkStart w:id="663" w:name="_Toc402215772"/>
      <w:bookmarkStart w:id="664" w:name="_Toc402216982"/>
      <w:bookmarkStart w:id="665" w:name="_Toc402217191"/>
      <w:bookmarkStart w:id="666" w:name="_Toc402217335"/>
      <w:bookmarkStart w:id="667" w:name="_Toc402217479"/>
      <w:bookmarkStart w:id="668" w:name="_Toc402426688"/>
      <w:bookmarkStart w:id="669" w:name="_Toc402429890"/>
      <w:bookmarkStart w:id="670" w:name="_Toc402429989"/>
      <w:bookmarkStart w:id="671" w:name="_Toc402443600"/>
      <w:bookmarkStart w:id="672" w:name="_Toc402443700"/>
      <w:bookmarkStart w:id="673" w:name="_Toc402443800"/>
      <w:bookmarkStart w:id="674" w:name="_Toc402517690"/>
      <w:bookmarkStart w:id="675" w:name="_Toc402520548"/>
      <w:bookmarkStart w:id="676" w:name="_Toc402520759"/>
      <w:bookmarkStart w:id="677" w:name="_Toc402197351"/>
      <w:bookmarkStart w:id="678" w:name="_Toc402211456"/>
      <w:bookmarkStart w:id="679" w:name="_Toc402211705"/>
      <w:bookmarkStart w:id="680" w:name="_Toc402211874"/>
      <w:bookmarkStart w:id="681" w:name="_Toc402212012"/>
      <w:bookmarkStart w:id="682" w:name="_Toc402212150"/>
      <w:bookmarkStart w:id="683" w:name="_Toc402212288"/>
      <w:bookmarkStart w:id="684" w:name="_Toc402212465"/>
      <w:bookmarkStart w:id="685" w:name="_Toc402215773"/>
      <w:bookmarkStart w:id="686" w:name="_Toc402216983"/>
      <w:bookmarkStart w:id="687" w:name="_Toc402217192"/>
      <w:bookmarkStart w:id="688" w:name="_Toc402217336"/>
      <w:bookmarkStart w:id="689" w:name="_Toc402217480"/>
      <w:bookmarkStart w:id="690" w:name="_Toc402426689"/>
      <w:bookmarkStart w:id="691" w:name="_Toc402429891"/>
      <w:bookmarkStart w:id="692" w:name="_Toc402429990"/>
      <w:bookmarkStart w:id="693" w:name="_Toc402443601"/>
      <w:bookmarkStart w:id="694" w:name="_Toc402443701"/>
      <w:bookmarkStart w:id="695" w:name="_Toc402443801"/>
      <w:bookmarkStart w:id="696" w:name="_Toc402517691"/>
      <w:bookmarkStart w:id="697" w:name="_Toc402520549"/>
      <w:bookmarkStart w:id="698" w:name="_Toc402520760"/>
      <w:bookmarkStart w:id="699" w:name="_Toc402197352"/>
      <w:bookmarkStart w:id="700" w:name="_Toc402211457"/>
      <w:bookmarkStart w:id="701" w:name="_Toc402211706"/>
      <w:bookmarkStart w:id="702" w:name="_Toc402211875"/>
      <w:bookmarkStart w:id="703" w:name="_Toc402212013"/>
      <w:bookmarkStart w:id="704" w:name="_Toc402212151"/>
      <w:bookmarkStart w:id="705" w:name="_Toc402212289"/>
      <w:bookmarkStart w:id="706" w:name="_Toc402212466"/>
      <w:bookmarkStart w:id="707" w:name="_Toc402215774"/>
      <w:bookmarkStart w:id="708" w:name="_Toc402216984"/>
      <w:bookmarkStart w:id="709" w:name="_Toc402217193"/>
      <w:bookmarkStart w:id="710" w:name="_Toc402217337"/>
      <w:bookmarkStart w:id="711" w:name="_Toc402217481"/>
      <w:bookmarkStart w:id="712" w:name="_Toc402426690"/>
      <w:bookmarkStart w:id="713" w:name="_Toc402429892"/>
      <w:bookmarkStart w:id="714" w:name="_Toc402429991"/>
      <w:bookmarkStart w:id="715" w:name="_Toc402443602"/>
      <w:bookmarkStart w:id="716" w:name="_Toc402443702"/>
      <w:bookmarkStart w:id="717" w:name="_Toc402443802"/>
      <w:bookmarkStart w:id="718" w:name="_Toc402517692"/>
      <w:bookmarkStart w:id="719" w:name="_Toc402520550"/>
      <w:bookmarkStart w:id="720" w:name="_Toc402520761"/>
      <w:bookmarkStart w:id="721" w:name="_Toc402197353"/>
      <w:bookmarkStart w:id="722" w:name="_Toc402211458"/>
      <w:bookmarkStart w:id="723" w:name="_Toc402211707"/>
      <w:bookmarkStart w:id="724" w:name="_Toc402211876"/>
      <w:bookmarkStart w:id="725" w:name="_Toc402212014"/>
      <w:bookmarkStart w:id="726" w:name="_Toc402212152"/>
      <w:bookmarkStart w:id="727" w:name="_Toc402212290"/>
      <w:bookmarkStart w:id="728" w:name="_Toc402212467"/>
      <w:bookmarkStart w:id="729" w:name="_Toc402215775"/>
      <w:bookmarkStart w:id="730" w:name="_Toc402216985"/>
      <w:bookmarkStart w:id="731" w:name="_Toc402217194"/>
      <w:bookmarkStart w:id="732" w:name="_Toc402217338"/>
      <w:bookmarkStart w:id="733" w:name="_Toc402217482"/>
      <w:bookmarkStart w:id="734" w:name="_Toc402426691"/>
      <w:bookmarkStart w:id="735" w:name="_Toc402429893"/>
      <w:bookmarkStart w:id="736" w:name="_Toc402429992"/>
      <w:bookmarkStart w:id="737" w:name="_Toc402443603"/>
      <w:bookmarkStart w:id="738" w:name="_Toc402443703"/>
      <w:bookmarkStart w:id="739" w:name="_Toc402443803"/>
      <w:bookmarkStart w:id="740" w:name="_Toc402517693"/>
      <w:bookmarkStart w:id="741" w:name="_Toc402520551"/>
      <w:bookmarkStart w:id="742" w:name="_Toc402520762"/>
      <w:bookmarkStart w:id="743" w:name="_Toc402197354"/>
      <w:bookmarkStart w:id="744" w:name="_Toc402211459"/>
      <w:bookmarkStart w:id="745" w:name="_Toc402211708"/>
      <w:bookmarkStart w:id="746" w:name="_Toc402211877"/>
      <w:bookmarkStart w:id="747" w:name="_Toc402212015"/>
      <w:bookmarkStart w:id="748" w:name="_Toc402212153"/>
      <w:bookmarkStart w:id="749" w:name="_Toc402212291"/>
      <w:bookmarkStart w:id="750" w:name="_Toc402212468"/>
      <w:bookmarkStart w:id="751" w:name="_Toc402215776"/>
      <w:bookmarkStart w:id="752" w:name="_Toc402216986"/>
      <w:bookmarkStart w:id="753" w:name="_Toc402217195"/>
      <w:bookmarkStart w:id="754" w:name="_Toc402217339"/>
      <w:bookmarkStart w:id="755" w:name="_Toc402217483"/>
      <w:bookmarkStart w:id="756" w:name="_Toc402426692"/>
      <w:bookmarkStart w:id="757" w:name="_Toc402429894"/>
      <w:bookmarkStart w:id="758" w:name="_Toc402429993"/>
      <w:bookmarkStart w:id="759" w:name="_Toc402443604"/>
      <w:bookmarkStart w:id="760" w:name="_Toc402443704"/>
      <w:bookmarkStart w:id="761" w:name="_Toc402443804"/>
      <w:bookmarkStart w:id="762" w:name="_Toc402517694"/>
      <w:bookmarkStart w:id="763" w:name="_Toc402520552"/>
      <w:bookmarkStart w:id="764" w:name="_Toc402520763"/>
      <w:bookmarkStart w:id="765" w:name="_Toc402197355"/>
      <w:bookmarkStart w:id="766" w:name="_Toc402211460"/>
      <w:bookmarkStart w:id="767" w:name="_Toc402211709"/>
      <w:bookmarkStart w:id="768" w:name="_Toc402211878"/>
      <w:bookmarkStart w:id="769" w:name="_Toc402212016"/>
      <w:bookmarkStart w:id="770" w:name="_Toc402212154"/>
      <w:bookmarkStart w:id="771" w:name="_Toc402212292"/>
      <w:bookmarkStart w:id="772" w:name="_Toc402212469"/>
      <w:bookmarkStart w:id="773" w:name="_Toc402215777"/>
      <w:bookmarkStart w:id="774" w:name="_Toc402216987"/>
      <w:bookmarkStart w:id="775" w:name="_Toc402217196"/>
      <w:bookmarkStart w:id="776" w:name="_Toc402217340"/>
      <w:bookmarkStart w:id="777" w:name="_Toc402217484"/>
      <w:bookmarkStart w:id="778" w:name="_Toc402426693"/>
      <w:bookmarkStart w:id="779" w:name="_Toc402429895"/>
      <w:bookmarkStart w:id="780" w:name="_Toc402429994"/>
      <w:bookmarkStart w:id="781" w:name="_Toc402443605"/>
      <w:bookmarkStart w:id="782" w:name="_Toc402443705"/>
      <w:bookmarkStart w:id="783" w:name="_Toc402443805"/>
      <w:bookmarkStart w:id="784" w:name="_Toc402517695"/>
      <w:bookmarkStart w:id="785" w:name="_Toc402520553"/>
      <w:bookmarkStart w:id="786" w:name="_Toc402520764"/>
      <w:bookmarkStart w:id="787" w:name="_Toc402197356"/>
      <w:bookmarkStart w:id="788" w:name="_Toc402211461"/>
      <w:bookmarkStart w:id="789" w:name="_Toc402211710"/>
      <w:bookmarkStart w:id="790" w:name="_Toc402211879"/>
      <w:bookmarkStart w:id="791" w:name="_Toc402212017"/>
      <w:bookmarkStart w:id="792" w:name="_Toc402212155"/>
      <w:bookmarkStart w:id="793" w:name="_Toc402212293"/>
      <w:bookmarkStart w:id="794" w:name="_Toc402212470"/>
      <w:bookmarkStart w:id="795" w:name="_Toc402215778"/>
      <w:bookmarkStart w:id="796" w:name="_Toc402216988"/>
      <w:bookmarkStart w:id="797" w:name="_Toc402217197"/>
      <w:bookmarkStart w:id="798" w:name="_Toc402217341"/>
      <w:bookmarkStart w:id="799" w:name="_Toc402217485"/>
      <w:bookmarkStart w:id="800" w:name="_Toc402426694"/>
      <w:bookmarkStart w:id="801" w:name="_Toc402429896"/>
      <w:bookmarkStart w:id="802" w:name="_Toc402429995"/>
      <w:bookmarkStart w:id="803" w:name="_Toc402443606"/>
      <w:bookmarkStart w:id="804" w:name="_Toc402443706"/>
      <w:bookmarkStart w:id="805" w:name="_Toc402443806"/>
      <w:bookmarkStart w:id="806" w:name="_Toc402517696"/>
      <w:bookmarkStart w:id="807" w:name="_Toc402520554"/>
      <w:bookmarkStart w:id="808" w:name="_Toc402520765"/>
      <w:bookmarkStart w:id="809" w:name="_Toc402197357"/>
      <w:bookmarkStart w:id="810" w:name="_Toc402211462"/>
      <w:bookmarkStart w:id="811" w:name="_Toc402211711"/>
      <w:bookmarkStart w:id="812" w:name="_Toc402211880"/>
      <w:bookmarkStart w:id="813" w:name="_Toc402212018"/>
      <w:bookmarkStart w:id="814" w:name="_Toc402212156"/>
      <w:bookmarkStart w:id="815" w:name="_Toc402212294"/>
      <w:bookmarkStart w:id="816" w:name="_Toc402212471"/>
      <w:bookmarkStart w:id="817" w:name="_Toc402215779"/>
      <w:bookmarkStart w:id="818" w:name="_Toc402216989"/>
      <w:bookmarkStart w:id="819" w:name="_Toc402217198"/>
      <w:bookmarkStart w:id="820" w:name="_Toc402217342"/>
      <w:bookmarkStart w:id="821" w:name="_Toc402217486"/>
      <w:bookmarkStart w:id="822" w:name="_Toc402426695"/>
      <w:bookmarkStart w:id="823" w:name="_Toc402429897"/>
      <w:bookmarkStart w:id="824" w:name="_Toc402429996"/>
      <w:bookmarkStart w:id="825" w:name="_Toc402443607"/>
      <w:bookmarkStart w:id="826" w:name="_Toc402443707"/>
      <w:bookmarkStart w:id="827" w:name="_Toc402443807"/>
      <w:bookmarkStart w:id="828" w:name="_Toc402517697"/>
      <w:bookmarkStart w:id="829" w:name="_Toc402520555"/>
      <w:bookmarkStart w:id="830" w:name="_Toc402520766"/>
      <w:bookmarkStart w:id="831" w:name="_Toc402197358"/>
      <w:bookmarkStart w:id="832" w:name="_Toc402211463"/>
      <w:bookmarkStart w:id="833" w:name="_Toc402211712"/>
      <w:bookmarkStart w:id="834" w:name="_Toc402211881"/>
      <w:bookmarkStart w:id="835" w:name="_Toc402212019"/>
      <w:bookmarkStart w:id="836" w:name="_Toc402212157"/>
      <w:bookmarkStart w:id="837" w:name="_Toc402212295"/>
      <w:bookmarkStart w:id="838" w:name="_Toc402212472"/>
      <w:bookmarkStart w:id="839" w:name="_Toc402215780"/>
      <w:bookmarkStart w:id="840" w:name="_Toc402216990"/>
      <w:bookmarkStart w:id="841" w:name="_Toc402217199"/>
      <w:bookmarkStart w:id="842" w:name="_Toc402217343"/>
      <w:bookmarkStart w:id="843" w:name="_Toc402217487"/>
      <w:bookmarkStart w:id="844" w:name="_Toc402426696"/>
      <w:bookmarkStart w:id="845" w:name="_Toc402429898"/>
      <w:bookmarkStart w:id="846" w:name="_Toc402429997"/>
      <w:bookmarkStart w:id="847" w:name="_Toc402443608"/>
      <w:bookmarkStart w:id="848" w:name="_Toc402443708"/>
      <w:bookmarkStart w:id="849" w:name="_Toc402443808"/>
      <w:bookmarkStart w:id="850" w:name="_Toc402517698"/>
      <w:bookmarkStart w:id="851" w:name="_Toc402520556"/>
      <w:bookmarkStart w:id="852" w:name="_Toc402520767"/>
      <w:bookmarkStart w:id="853" w:name="_Toc402197359"/>
      <w:bookmarkStart w:id="854" w:name="_Toc402211464"/>
      <w:bookmarkStart w:id="855" w:name="_Toc402211713"/>
      <w:bookmarkStart w:id="856" w:name="_Toc402211882"/>
      <w:bookmarkStart w:id="857" w:name="_Toc402212020"/>
      <w:bookmarkStart w:id="858" w:name="_Toc402212158"/>
      <w:bookmarkStart w:id="859" w:name="_Toc402212296"/>
      <w:bookmarkStart w:id="860" w:name="_Toc402212473"/>
      <w:bookmarkStart w:id="861" w:name="_Toc402215781"/>
      <w:bookmarkStart w:id="862" w:name="_Toc402216991"/>
      <w:bookmarkStart w:id="863" w:name="_Toc402217200"/>
      <w:bookmarkStart w:id="864" w:name="_Toc402217344"/>
      <w:bookmarkStart w:id="865" w:name="_Toc402217488"/>
      <w:bookmarkStart w:id="866" w:name="_Toc402426697"/>
      <w:bookmarkStart w:id="867" w:name="_Toc402429899"/>
      <w:bookmarkStart w:id="868" w:name="_Toc402429998"/>
      <w:bookmarkStart w:id="869" w:name="_Toc402443609"/>
      <w:bookmarkStart w:id="870" w:name="_Toc402443709"/>
      <w:bookmarkStart w:id="871" w:name="_Toc402443809"/>
      <w:bookmarkStart w:id="872" w:name="_Toc402517699"/>
      <w:bookmarkStart w:id="873" w:name="_Toc402520557"/>
      <w:bookmarkStart w:id="874" w:name="_Toc402520768"/>
      <w:bookmarkStart w:id="875" w:name="_Toc402197360"/>
      <w:bookmarkStart w:id="876" w:name="_Toc402211465"/>
      <w:bookmarkStart w:id="877" w:name="_Toc402211714"/>
      <w:bookmarkStart w:id="878" w:name="_Toc402211883"/>
      <w:bookmarkStart w:id="879" w:name="_Toc402212021"/>
      <w:bookmarkStart w:id="880" w:name="_Toc402212159"/>
      <w:bookmarkStart w:id="881" w:name="_Toc402212297"/>
      <w:bookmarkStart w:id="882" w:name="_Toc402212474"/>
      <w:bookmarkStart w:id="883" w:name="_Toc402215782"/>
      <w:bookmarkStart w:id="884" w:name="_Toc402216992"/>
      <w:bookmarkStart w:id="885" w:name="_Toc402217201"/>
      <w:bookmarkStart w:id="886" w:name="_Toc402217345"/>
      <w:bookmarkStart w:id="887" w:name="_Toc402217489"/>
      <w:bookmarkStart w:id="888" w:name="_Toc402426698"/>
      <w:bookmarkStart w:id="889" w:name="_Toc402429900"/>
      <w:bookmarkStart w:id="890" w:name="_Toc402429999"/>
      <w:bookmarkStart w:id="891" w:name="_Toc402443610"/>
      <w:bookmarkStart w:id="892" w:name="_Toc402443710"/>
      <w:bookmarkStart w:id="893" w:name="_Toc402443810"/>
      <w:bookmarkStart w:id="894" w:name="_Toc402517700"/>
      <w:bookmarkStart w:id="895" w:name="_Toc402520558"/>
      <w:bookmarkStart w:id="896" w:name="_Toc402520769"/>
      <w:bookmarkStart w:id="897" w:name="_Toc402197361"/>
      <w:bookmarkStart w:id="898" w:name="_Toc402211466"/>
      <w:bookmarkStart w:id="899" w:name="_Toc402211715"/>
      <w:bookmarkStart w:id="900" w:name="_Toc402211884"/>
      <w:bookmarkStart w:id="901" w:name="_Toc402212022"/>
      <w:bookmarkStart w:id="902" w:name="_Toc402212160"/>
      <w:bookmarkStart w:id="903" w:name="_Toc402212298"/>
      <w:bookmarkStart w:id="904" w:name="_Toc402212475"/>
      <w:bookmarkStart w:id="905" w:name="_Toc402215783"/>
      <w:bookmarkStart w:id="906" w:name="_Toc402216993"/>
      <w:bookmarkStart w:id="907" w:name="_Toc402217202"/>
      <w:bookmarkStart w:id="908" w:name="_Toc402217346"/>
      <w:bookmarkStart w:id="909" w:name="_Toc402217490"/>
      <w:bookmarkStart w:id="910" w:name="_Toc402426699"/>
      <w:bookmarkStart w:id="911" w:name="_Toc402429901"/>
      <w:bookmarkStart w:id="912" w:name="_Toc402430000"/>
      <w:bookmarkStart w:id="913" w:name="_Toc402443611"/>
      <w:bookmarkStart w:id="914" w:name="_Toc402443711"/>
      <w:bookmarkStart w:id="915" w:name="_Toc402443811"/>
      <w:bookmarkStart w:id="916" w:name="_Toc402517701"/>
      <w:bookmarkStart w:id="917" w:name="_Toc402520559"/>
      <w:bookmarkStart w:id="918" w:name="_Toc402520770"/>
      <w:bookmarkStart w:id="919" w:name="_Toc402197362"/>
      <w:bookmarkStart w:id="920" w:name="_Toc402211467"/>
      <w:bookmarkStart w:id="921" w:name="_Toc402211716"/>
      <w:bookmarkStart w:id="922" w:name="_Toc402211885"/>
      <w:bookmarkStart w:id="923" w:name="_Toc402212023"/>
      <w:bookmarkStart w:id="924" w:name="_Toc402212161"/>
      <w:bookmarkStart w:id="925" w:name="_Toc402212299"/>
      <w:bookmarkStart w:id="926" w:name="_Toc402212476"/>
      <w:bookmarkStart w:id="927" w:name="_Toc402215784"/>
      <w:bookmarkStart w:id="928" w:name="_Toc402216994"/>
      <w:bookmarkStart w:id="929" w:name="_Toc402217203"/>
      <w:bookmarkStart w:id="930" w:name="_Toc402217347"/>
      <w:bookmarkStart w:id="931" w:name="_Toc402217491"/>
      <w:bookmarkStart w:id="932" w:name="_Toc402426700"/>
      <w:bookmarkStart w:id="933" w:name="_Toc402429902"/>
      <w:bookmarkStart w:id="934" w:name="_Toc402430001"/>
      <w:bookmarkStart w:id="935" w:name="_Toc402443612"/>
      <w:bookmarkStart w:id="936" w:name="_Toc402443712"/>
      <w:bookmarkStart w:id="937" w:name="_Toc402443812"/>
      <w:bookmarkStart w:id="938" w:name="_Toc402517702"/>
      <w:bookmarkStart w:id="939" w:name="_Toc402520560"/>
      <w:bookmarkStart w:id="940" w:name="_Toc402520771"/>
      <w:bookmarkStart w:id="941" w:name="_Toc402197363"/>
      <w:bookmarkStart w:id="942" w:name="_Toc402211468"/>
      <w:bookmarkStart w:id="943" w:name="_Toc402211717"/>
      <w:bookmarkStart w:id="944" w:name="_Toc402211886"/>
      <w:bookmarkStart w:id="945" w:name="_Toc402212024"/>
      <w:bookmarkStart w:id="946" w:name="_Toc402212162"/>
      <w:bookmarkStart w:id="947" w:name="_Toc402212300"/>
      <w:bookmarkStart w:id="948" w:name="_Toc402212477"/>
      <w:bookmarkStart w:id="949" w:name="_Toc402215785"/>
      <w:bookmarkStart w:id="950" w:name="_Toc402216995"/>
      <w:bookmarkStart w:id="951" w:name="_Toc402217204"/>
      <w:bookmarkStart w:id="952" w:name="_Toc402217348"/>
      <w:bookmarkStart w:id="953" w:name="_Toc402217492"/>
      <w:bookmarkStart w:id="954" w:name="_Toc402426701"/>
      <w:bookmarkStart w:id="955" w:name="_Toc402429903"/>
      <w:bookmarkStart w:id="956" w:name="_Toc402430002"/>
      <w:bookmarkStart w:id="957" w:name="_Toc402443613"/>
      <w:bookmarkStart w:id="958" w:name="_Toc402443713"/>
      <w:bookmarkStart w:id="959" w:name="_Toc402443813"/>
      <w:bookmarkStart w:id="960" w:name="_Toc402517703"/>
      <w:bookmarkStart w:id="961" w:name="_Toc402520561"/>
      <w:bookmarkStart w:id="962" w:name="_Toc402520772"/>
      <w:bookmarkStart w:id="963" w:name="_Toc402426703"/>
      <w:bookmarkStart w:id="964" w:name="_Toc402429905"/>
      <w:bookmarkStart w:id="965" w:name="_Toc402430004"/>
      <w:bookmarkStart w:id="966" w:name="_Toc402443615"/>
      <w:bookmarkStart w:id="967" w:name="_Toc402443715"/>
      <w:bookmarkStart w:id="968" w:name="_Toc402443815"/>
      <w:bookmarkStart w:id="969" w:name="_Toc402517705"/>
      <w:bookmarkStart w:id="970" w:name="_Toc402520563"/>
      <w:bookmarkStart w:id="971" w:name="_Toc402520774"/>
      <w:bookmarkStart w:id="972" w:name="_Toc41330687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136956">
        <w:rPr>
          <w:rFonts w:cs="Times New Roman"/>
        </w:rPr>
        <w:t>Analytical Framework Applicable to the Division of Powers</w:t>
      </w:r>
      <w:bookmarkEnd w:id="972"/>
    </w:p>
    <w:p w:rsidR="009278C8" w:rsidRPr="00136956" w:rsidRDefault="009278C8" w:rsidP="009278C8">
      <w:pPr>
        <w:pStyle w:val="Title3LevelTitre3Niveau"/>
        <w:widowControl w:val="0"/>
        <w:tabs>
          <w:tab w:val="clear" w:pos="1152"/>
          <w:tab w:val="num" w:pos="864"/>
        </w:tabs>
        <w:ind w:left="864" w:hanging="432"/>
        <w:outlineLvl w:val="0"/>
        <w:rPr>
          <w:rFonts w:cs="Times New Roman"/>
        </w:rPr>
      </w:pPr>
      <w:bookmarkStart w:id="973" w:name="_Toc413306875"/>
      <w:r w:rsidRPr="00136956">
        <w:rPr>
          <w:rFonts w:cs="Times New Roman"/>
        </w:rPr>
        <w:t>Pith and Substance</w:t>
      </w:r>
      <w:bookmarkEnd w:id="973"/>
    </w:p>
    <w:p w:rsidR="009278C8" w:rsidRPr="00136956" w:rsidRDefault="009278C8" w:rsidP="009278C8">
      <w:pPr>
        <w:pStyle w:val="ParaNoNdepar-AltN"/>
        <w:rPr>
          <w:rFonts w:cs="Times New Roman"/>
        </w:rPr>
      </w:pPr>
      <w:r w:rsidRPr="00136956">
        <w:rPr>
          <w:rFonts w:cs="Times New Roman"/>
        </w:rPr>
        <w:t xml:space="preserve">When the constitutionality of a statutory provision is challenged on the basis of the division of powers, courts turn to the “pith and substance” doctrine. To </w:t>
      </w:r>
      <w:r w:rsidRPr="00136956">
        <w:rPr>
          <w:rFonts w:cs="Times New Roman"/>
        </w:rPr>
        <w:lastRenderedPageBreak/>
        <w:t xml:space="preserve">apply this doctrine, they must review the extent to which the impugned provision intrudes on the powers of the other level of government: </w:t>
      </w:r>
      <w:r w:rsidRPr="00136956">
        <w:rPr>
          <w:rFonts w:cs="Times New Roman"/>
          <w:i/>
        </w:rPr>
        <w:t>Kirkbi AG v</w:t>
      </w:r>
      <w:r w:rsidRPr="00136956">
        <w:rPr>
          <w:rFonts w:cs="Times New Roman"/>
          <w:i/>
          <w:iCs/>
        </w:rPr>
        <w:t>.</w:t>
      </w:r>
      <w:r w:rsidRPr="00136956">
        <w:rPr>
          <w:rFonts w:cs="Times New Roman"/>
          <w:i/>
        </w:rPr>
        <w:t xml:space="preserve"> Ritvik Holdings Inc.</w:t>
      </w:r>
      <w:r w:rsidRPr="00136956">
        <w:rPr>
          <w:rFonts w:cs="Times New Roman"/>
        </w:rPr>
        <w:t>, 2005 SCC 65, [2005] 3 S.C.R. 302, at paras.</w:t>
      </w:r>
      <w:r>
        <w:rPr>
          <w:rFonts w:cs="Times New Roman"/>
        </w:rPr>
        <w:t xml:space="preserve"> </w:t>
      </w:r>
      <w:r w:rsidRPr="00136956">
        <w:rPr>
          <w:rFonts w:cs="Times New Roman"/>
        </w:rPr>
        <w:t>20</w:t>
      </w:r>
      <w:r>
        <w:rPr>
          <w:rFonts w:cs="Times New Roman"/>
        </w:rPr>
        <w:t>-</w:t>
      </w:r>
      <w:r w:rsidRPr="00136956">
        <w:rPr>
          <w:rFonts w:cs="Times New Roman"/>
        </w:rPr>
        <w:t xml:space="preserve">21. According to the principles developed by this Court, it is necessary first to identify the impugned provision’s “pith and substance”, and then to determine whether the provision falls within a head of power of the level of government at which it was enacted: see </w:t>
      </w:r>
      <w:r w:rsidRPr="00136956">
        <w:rPr>
          <w:rFonts w:cs="Times New Roman"/>
          <w:i/>
        </w:rPr>
        <w:t>Reference re Securities Act</w:t>
      </w:r>
      <w:r w:rsidRPr="00136956">
        <w:rPr>
          <w:rFonts w:cs="Times New Roman"/>
        </w:rPr>
        <w:t>, 2011 SCC 66, [2011] 3 S.C.R. 837, at para.</w:t>
      </w:r>
      <w:r>
        <w:rPr>
          <w:rFonts w:cs="Times New Roman"/>
        </w:rPr>
        <w:t xml:space="preserve"> </w:t>
      </w:r>
      <w:r w:rsidRPr="00136956">
        <w:rPr>
          <w:rFonts w:cs="Times New Roman"/>
        </w:rPr>
        <w:t xml:space="preserve">63; </w:t>
      </w:r>
      <w:r w:rsidRPr="00136956">
        <w:rPr>
          <w:rFonts w:cs="Times New Roman"/>
          <w:i/>
        </w:rPr>
        <w:t>Quebec (Attorney General) v. Lacombe</w:t>
      </w:r>
      <w:r w:rsidRPr="00136956">
        <w:rPr>
          <w:rFonts w:cs="Times New Roman"/>
        </w:rPr>
        <w:t>, 2010 SCC 38, [2010] 2 S.C.R. 453, at para.</w:t>
      </w:r>
      <w:r>
        <w:rPr>
          <w:rFonts w:cs="Times New Roman"/>
        </w:rPr>
        <w:t xml:space="preserve"> </w:t>
      </w:r>
      <w:r w:rsidRPr="00136956">
        <w:rPr>
          <w:rFonts w:cs="Times New Roman"/>
        </w:rPr>
        <w:t xml:space="preserve">20; </w:t>
      </w:r>
      <w:r w:rsidRPr="00136956">
        <w:rPr>
          <w:rFonts w:cs="Times New Roman"/>
          <w:i/>
          <w:iCs/>
        </w:rPr>
        <w:t>FA Reference</w:t>
      </w:r>
      <w:r w:rsidRPr="00136956">
        <w:rPr>
          <w:rFonts w:cs="Times New Roman"/>
        </w:rPr>
        <w:t>, at para.</w:t>
      </w:r>
      <w:r>
        <w:rPr>
          <w:rFonts w:cs="Times New Roman"/>
        </w:rPr>
        <w:t xml:space="preserve"> </w:t>
      </w:r>
      <w:r w:rsidRPr="00136956">
        <w:rPr>
          <w:rFonts w:cs="Times New Roman"/>
        </w:rPr>
        <w:t xml:space="preserve">16; </w:t>
      </w:r>
      <w:r w:rsidRPr="00136956">
        <w:rPr>
          <w:rFonts w:cs="Times New Roman"/>
          <w:i/>
        </w:rPr>
        <w:t>Kitkatla Band</w:t>
      </w:r>
      <w:r w:rsidRPr="00136956">
        <w:rPr>
          <w:rFonts w:cs="Times New Roman"/>
          <w:i/>
          <w:iCs/>
        </w:rPr>
        <w:t xml:space="preserve"> v. British Columbia (Minister of Small Business, Tourism and Culture)</w:t>
      </w:r>
      <w:r w:rsidRPr="00136956">
        <w:rPr>
          <w:rFonts w:cs="Times New Roman"/>
        </w:rPr>
        <w:t>, 2002 SCC 31, [2002] 2 S.C.R. 146, at paras.</w:t>
      </w:r>
      <w:r>
        <w:rPr>
          <w:rFonts w:cs="Times New Roman"/>
        </w:rPr>
        <w:t xml:space="preserve"> </w:t>
      </w:r>
      <w:r w:rsidRPr="00136956">
        <w:rPr>
          <w:rFonts w:cs="Times New Roman"/>
        </w:rPr>
        <w:t>52</w:t>
      </w:r>
      <w:r>
        <w:rPr>
          <w:rFonts w:cs="Times New Roman"/>
        </w:rPr>
        <w:t>-</w:t>
      </w:r>
      <w:r w:rsidRPr="00136956">
        <w:rPr>
          <w:rFonts w:cs="Times New Roman"/>
        </w:rPr>
        <w:t>58; see also H.</w:t>
      </w:r>
      <w:r>
        <w:rPr>
          <w:rFonts w:cs="Times New Roman"/>
        </w:rPr>
        <w:t xml:space="preserve"> </w:t>
      </w:r>
      <w:r w:rsidRPr="00136956">
        <w:rPr>
          <w:rFonts w:cs="Times New Roman"/>
        </w:rPr>
        <w:t>Brun, G.</w:t>
      </w:r>
      <w:r>
        <w:rPr>
          <w:rFonts w:cs="Times New Roman"/>
        </w:rPr>
        <w:t xml:space="preserve"> </w:t>
      </w:r>
      <w:r w:rsidRPr="00136956">
        <w:rPr>
          <w:rFonts w:cs="Times New Roman"/>
        </w:rPr>
        <w:t>Tremblay and E.</w:t>
      </w:r>
      <w:r>
        <w:rPr>
          <w:rFonts w:cs="Times New Roman"/>
        </w:rPr>
        <w:t xml:space="preserve"> </w:t>
      </w:r>
      <w:r w:rsidRPr="00136956">
        <w:rPr>
          <w:rFonts w:cs="Times New Roman"/>
        </w:rPr>
        <w:t xml:space="preserve">Brouillet, </w:t>
      </w:r>
      <w:r w:rsidRPr="00136956">
        <w:rPr>
          <w:rFonts w:cs="Times New Roman"/>
          <w:i/>
          <w:iCs/>
        </w:rPr>
        <w:t>Droit constitutionnel</w:t>
      </w:r>
      <w:r w:rsidRPr="00136956">
        <w:rPr>
          <w:rFonts w:cs="Times New Roman"/>
        </w:rPr>
        <w:t xml:space="preserve"> (6th</w:t>
      </w:r>
      <w:r>
        <w:rPr>
          <w:rFonts w:cs="Times New Roman"/>
        </w:rPr>
        <w:t xml:space="preserve"> </w:t>
      </w:r>
      <w:r w:rsidRPr="00136956">
        <w:rPr>
          <w:rFonts w:cs="Times New Roman"/>
        </w:rPr>
        <w:t>ed. 2014), at p.</w:t>
      </w:r>
      <w:r>
        <w:rPr>
          <w:rFonts w:cs="Times New Roman"/>
        </w:rPr>
        <w:t xml:space="preserve"> </w:t>
      </w:r>
      <w:r w:rsidRPr="00136956">
        <w:rPr>
          <w:rFonts w:cs="Times New Roman"/>
        </w:rPr>
        <w:t>463; P.</w:t>
      </w:r>
      <w:r>
        <w:rPr>
          <w:rFonts w:cs="Times New Roman"/>
        </w:rPr>
        <w:t xml:space="preserve"> </w:t>
      </w:r>
      <w:r w:rsidRPr="00136956">
        <w:rPr>
          <w:rFonts w:cs="Times New Roman"/>
        </w:rPr>
        <w:t>W.</w:t>
      </w:r>
      <w:r>
        <w:rPr>
          <w:rFonts w:cs="Times New Roman"/>
        </w:rPr>
        <w:t xml:space="preserve"> </w:t>
      </w:r>
      <w:r w:rsidRPr="00136956">
        <w:rPr>
          <w:rFonts w:cs="Times New Roman"/>
        </w:rPr>
        <w:t xml:space="preserve">Hogg, </w:t>
      </w:r>
      <w:r w:rsidRPr="00136956">
        <w:rPr>
          <w:rFonts w:cs="Times New Roman"/>
          <w:i/>
          <w:iCs/>
        </w:rPr>
        <w:t>Constitutional Law of Canada</w:t>
      </w:r>
      <w:r w:rsidRPr="00136956">
        <w:rPr>
          <w:rFonts w:cs="Times New Roman"/>
        </w:rPr>
        <w:t xml:space="preserve"> (5th ed. Supp.), at pp.</w:t>
      </w:r>
      <w:r>
        <w:rPr>
          <w:rFonts w:cs="Times New Roman"/>
        </w:rPr>
        <w:t xml:space="preserve"> </w:t>
      </w:r>
      <w:r w:rsidRPr="00136956">
        <w:rPr>
          <w:rFonts w:cs="Times New Roman"/>
        </w:rPr>
        <w:t>15</w:t>
      </w:r>
      <w:r>
        <w:rPr>
          <w:rFonts w:cs="Times New Roman"/>
        </w:rPr>
        <w:t>-</w:t>
      </w:r>
      <w:r w:rsidRPr="00136956">
        <w:rPr>
          <w:rFonts w:cs="Times New Roman"/>
        </w:rPr>
        <w:t>5 to 15</w:t>
      </w:r>
      <w:r>
        <w:rPr>
          <w:rFonts w:cs="Times New Roman"/>
        </w:rPr>
        <w:t>-</w:t>
      </w:r>
      <w:r w:rsidRPr="00136956">
        <w:rPr>
          <w:rFonts w:cs="Times New Roman"/>
        </w:rPr>
        <w:t xml:space="preserve">7.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A provision’s pith and substance is its “dominant characteristic”: see </w:t>
      </w:r>
      <w:r w:rsidRPr="00136956">
        <w:rPr>
          <w:rFonts w:cs="Times New Roman"/>
          <w:i/>
          <w:iCs/>
        </w:rPr>
        <w:t>Reference re Same</w:t>
      </w:r>
      <w:r>
        <w:rPr>
          <w:rFonts w:cs="Times New Roman"/>
          <w:i/>
          <w:iCs/>
        </w:rPr>
        <w:t>-</w:t>
      </w:r>
      <w:r w:rsidRPr="00136956">
        <w:rPr>
          <w:rFonts w:cs="Times New Roman"/>
          <w:i/>
          <w:iCs/>
        </w:rPr>
        <w:t>Sex Marriage</w:t>
      </w:r>
      <w:r w:rsidRPr="00136956">
        <w:rPr>
          <w:rFonts w:cs="Times New Roman"/>
          <w:iCs/>
        </w:rPr>
        <w:t>, 2004 SCC 79, [2004] 3 S.C.R. 698, at para.</w:t>
      </w:r>
      <w:r>
        <w:rPr>
          <w:rFonts w:cs="Times New Roman"/>
          <w:iCs/>
        </w:rPr>
        <w:t xml:space="preserve"> </w:t>
      </w:r>
      <w:r w:rsidRPr="00136956">
        <w:rPr>
          <w:rFonts w:cs="Times New Roman"/>
          <w:iCs/>
        </w:rPr>
        <w:t>13</w:t>
      </w:r>
      <w:r w:rsidRPr="00136956">
        <w:rPr>
          <w:rFonts w:cs="Times New Roman"/>
        </w:rPr>
        <w:t>. In this Court’s words, “[a] pith and substance analysis looks at both (1)</w:t>
      </w:r>
      <w:r>
        <w:rPr>
          <w:rFonts w:cs="Times New Roman"/>
        </w:rPr>
        <w:t xml:space="preserve"> </w:t>
      </w:r>
      <w:r w:rsidRPr="00136956">
        <w:rPr>
          <w:rFonts w:cs="Times New Roman"/>
        </w:rPr>
        <w:t>the purpose of the legislation as well as (2)</w:t>
      </w:r>
      <w:r>
        <w:rPr>
          <w:rFonts w:cs="Times New Roman"/>
        </w:rPr>
        <w:t xml:space="preserve"> </w:t>
      </w:r>
      <w:r w:rsidRPr="00136956">
        <w:rPr>
          <w:rFonts w:cs="Times New Roman"/>
        </w:rPr>
        <w:t xml:space="preserve">its effect”: </w:t>
      </w:r>
      <w:r w:rsidRPr="00136956">
        <w:rPr>
          <w:rFonts w:cs="Times New Roman"/>
          <w:i/>
          <w:iCs/>
        </w:rPr>
        <w:t>Kitkatla Band</w:t>
      </w:r>
      <w:r w:rsidRPr="00136956">
        <w:rPr>
          <w:rFonts w:cs="Times New Roman"/>
        </w:rPr>
        <w:t>, at para.</w:t>
      </w:r>
      <w:r>
        <w:rPr>
          <w:rFonts w:cs="Times New Roman"/>
        </w:rPr>
        <w:t xml:space="preserve"> </w:t>
      </w:r>
      <w:r w:rsidRPr="00136956">
        <w:rPr>
          <w:rFonts w:cs="Times New Roman"/>
        </w:rPr>
        <w:t xml:space="preserve">53; see also </w:t>
      </w:r>
      <w:r w:rsidRPr="00136956">
        <w:rPr>
          <w:rFonts w:cs="Times New Roman"/>
          <w:i/>
        </w:rPr>
        <w:t>Reference re Securities Act</w:t>
      </w:r>
      <w:r w:rsidRPr="00136956">
        <w:rPr>
          <w:rFonts w:eastAsia="Times New Roman" w:cs="Times New Roman"/>
        </w:rPr>
        <w:t xml:space="preserve">, at </w:t>
      </w:r>
      <w:r w:rsidRPr="00136956">
        <w:rPr>
          <w:rFonts w:cs="Times New Roman"/>
        </w:rPr>
        <w:t>paras.</w:t>
      </w:r>
      <w:r>
        <w:rPr>
          <w:rFonts w:cs="Times New Roman"/>
        </w:rPr>
        <w:t xml:space="preserve"> </w:t>
      </w:r>
      <w:r w:rsidRPr="00136956">
        <w:rPr>
          <w:rFonts w:cs="Times New Roman"/>
        </w:rPr>
        <w:t>63</w:t>
      </w:r>
      <w:r>
        <w:rPr>
          <w:rFonts w:cs="Times New Roman"/>
        </w:rPr>
        <w:t>-</w:t>
      </w:r>
      <w:r w:rsidRPr="00136956">
        <w:rPr>
          <w:rFonts w:cs="Times New Roman"/>
        </w:rPr>
        <w:t xml:space="preserve">64; </w:t>
      </w:r>
      <w:r w:rsidRPr="00136956">
        <w:rPr>
          <w:rFonts w:cs="Times New Roman"/>
          <w:i/>
          <w:iCs/>
        </w:rPr>
        <w:t>Reference re Assisted Human Reproduction Act</w:t>
      </w:r>
      <w:r w:rsidRPr="00136956">
        <w:rPr>
          <w:rFonts w:cs="Times New Roman"/>
        </w:rPr>
        <w:t>, 2010 SCC 61, [2010] 3 S.C.R. 457, at para.</w:t>
      </w:r>
      <w:r>
        <w:rPr>
          <w:rFonts w:cs="Times New Roman"/>
        </w:rPr>
        <w:t xml:space="preserve"> </w:t>
      </w:r>
      <w:r w:rsidRPr="00136956">
        <w:rPr>
          <w:rFonts w:cs="Times New Roman"/>
        </w:rPr>
        <w:t xml:space="preserve">199. </w:t>
      </w:r>
    </w:p>
    <w:p w:rsidR="009278C8" w:rsidRPr="00136956" w:rsidRDefault="009278C8" w:rsidP="009278C8">
      <w:pPr>
        <w:pStyle w:val="ParaNoNdepar-AltN"/>
        <w:rPr>
          <w:rFonts w:cs="Times New Roman"/>
        </w:rPr>
      </w:pPr>
      <w:r w:rsidRPr="00136956">
        <w:rPr>
          <w:rFonts w:cs="Times New Roman"/>
        </w:rPr>
        <w:t xml:space="preserve">To establish the purpose of legislation or of a statutory provision, “the Court may look at </w:t>
      </w:r>
      <w:proofErr w:type="gramStart"/>
      <w:r w:rsidRPr="00136956">
        <w:rPr>
          <w:rFonts w:cs="Times New Roman"/>
        </w:rPr>
        <w:t xml:space="preserve">both intrinsic evidence, such as purpose clauses, </w:t>
      </w:r>
      <w:r w:rsidR="00ED6582">
        <w:rPr>
          <w:rFonts w:cs="Times New Roman"/>
        </w:rPr>
        <w:t>or</w:t>
      </w:r>
      <w:proofErr w:type="gramEnd"/>
      <w:r w:rsidR="00ED6582">
        <w:rPr>
          <w:rFonts w:cs="Times New Roman"/>
        </w:rPr>
        <w:t xml:space="preserve"> </w:t>
      </w:r>
      <w:r w:rsidRPr="00136956">
        <w:rPr>
          <w:rFonts w:cs="Times New Roman"/>
        </w:rPr>
        <w:t xml:space="preserve">extrinsic evidence, such as Hansard or the minutes of parliamentary committees”: </w:t>
      </w:r>
      <w:r w:rsidRPr="00136956">
        <w:rPr>
          <w:rFonts w:cs="Times New Roman"/>
          <w:i/>
        </w:rPr>
        <w:t>Kitkatla Band</w:t>
      </w:r>
      <w:r w:rsidRPr="00136956">
        <w:rPr>
          <w:rFonts w:cs="Times New Roman"/>
        </w:rPr>
        <w:t>, at para.</w:t>
      </w:r>
      <w:r>
        <w:rPr>
          <w:rFonts w:cs="Times New Roman"/>
        </w:rPr>
        <w:t xml:space="preserve"> </w:t>
      </w:r>
      <w:r w:rsidRPr="00136956">
        <w:rPr>
          <w:rFonts w:cs="Times New Roman"/>
        </w:rPr>
        <w:t xml:space="preserve">53. In this regard, the Court has held that it is necessary to “seek to </w:t>
      </w:r>
      <w:r w:rsidRPr="00136956">
        <w:rPr>
          <w:rFonts w:cs="Times New Roman"/>
        </w:rPr>
        <w:lastRenderedPageBreak/>
        <w:t xml:space="preserve">ascertain the </w:t>
      </w:r>
      <w:r w:rsidRPr="00136956">
        <w:rPr>
          <w:rFonts w:cs="Times New Roman"/>
          <w:i/>
        </w:rPr>
        <w:t>true</w:t>
      </w:r>
      <w:r w:rsidRPr="00136956">
        <w:rPr>
          <w:rFonts w:cs="Times New Roman"/>
        </w:rPr>
        <w:t xml:space="preserve"> purpose of the legislation, as opposed to its mere stated or apparent purpose”: </w:t>
      </w:r>
      <w:r w:rsidRPr="00136956">
        <w:rPr>
          <w:rFonts w:cs="Times New Roman"/>
          <w:i/>
          <w:iCs/>
        </w:rPr>
        <w:t>Canadian Western Bank v. Alberta</w:t>
      </w:r>
      <w:r w:rsidRPr="00136956">
        <w:rPr>
          <w:rFonts w:cs="Times New Roman"/>
          <w:iCs/>
        </w:rPr>
        <w:t xml:space="preserve">, </w:t>
      </w:r>
      <w:r w:rsidRPr="00136956">
        <w:rPr>
          <w:rFonts w:cs="Times New Roman"/>
        </w:rPr>
        <w:t>2007 SCC 22, [2007] 2 S.C.R. 3, at para.</w:t>
      </w:r>
      <w:r>
        <w:rPr>
          <w:rFonts w:cs="Times New Roman"/>
        </w:rPr>
        <w:t xml:space="preserve"> </w:t>
      </w:r>
      <w:r w:rsidRPr="00136956">
        <w:rPr>
          <w:rFonts w:cs="Times New Roman"/>
        </w:rPr>
        <w:t xml:space="preserve">27 (emphasis in original), citing </w:t>
      </w:r>
      <w:r w:rsidRPr="00136956">
        <w:rPr>
          <w:rFonts w:cs="Times New Roman"/>
          <w:i/>
          <w:iCs/>
        </w:rPr>
        <w:t>Attorney</w:t>
      </w:r>
      <w:r>
        <w:rPr>
          <w:rFonts w:cs="Times New Roman"/>
          <w:i/>
          <w:iCs/>
        </w:rPr>
        <w:t>-</w:t>
      </w:r>
      <w:r w:rsidRPr="00136956">
        <w:rPr>
          <w:rFonts w:cs="Times New Roman"/>
          <w:i/>
          <w:iCs/>
        </w:rPr>
        <w:t>General for Ontario v. Reciprocal Insurers</w:t>
      </w:r>
      <w:r w:rsidRPr="00136956">
        <w:rPr>
          <w:rFonts w:cs="Times New Roman"/>
        </w:rPr>
        <w:t>, [1924] A.C. 328 (P.C.), at p.</w:t>
      </w:r>
      <w:r>
        <w:rPr>
          <w:rFonts w:cs="Times New Roman"/>
        </w:rPr>
        <w:t xml:space="preserve"> </w:t>
      </w:r>
      <w:r w:rsidRPr="00136956">
        <w:rPr>
          <w:rFonts w:cs="Times New Roman"/>
        </w:rPr>
        <w:t xml:space="preserve">337. Thus, in any division of powers case, the intention behind a statute, that is, the purpose actually being pursued by the legislature, can cause the entire statute to be invalid: see, e.g., </w:t>
      </w:r>
      <w:r w:rsidRPr="00136956">
        <w:rPr>
          <w:rFonts w:cs="Times New Roman"/>
          <w:i/>
          <w:iCs/>
        </w:rPr>
        <w:t>R. v. Big M Drug Mart Ltd.</w:t>
      </w:r>
      <w:r w:rsidRPr="00136956">
        <w:rPr>
          <w:rFonts w:cs="Times New Roman"/>
          <w:iCs/>
        </w:rPr>
        <w:t>,</w:t>
      </w:r>
      <w:r w:rsidRPr="00136956">
        <w:rPr>
          <w:rFonts w:cs="Times New Roman"/>
          <w:i/>
          <w:iCs/>
        </w:rPr>
        <w:t xml:space="preserve"> </w:t>
      </w:r>
      <w:r w:rsidRPr="00136956">
        <w:rPr>
          <w:rFonts w:cs="Times New Roman"/>
        </w:rPr>
        <w:t xml:space="preserve">[1985] 1 S.C.R. 295; </w:t>
      </w:r>
      <w:r w:rsidRPr="00136956">
        <w:rPr>
          <w:rFonts w:cs="Times New Roman"/>
          <w:i/>
          <w:iCs/>
        </w:rPr>
        <w:t>R. v. Edwards Books and Art Ltd.</w:t>
      </w:r>
      <w:r w:rsidRPr="00136956">
        <w:rPr>
          <w:rFonts w:cs="Times New Roman"/>
        </w:rPr>
        <w:t>,</w:t>
      </w:r>
      <w:r w:rsidRPr="00136956">
        <w:rPr>
          <w:rFonts w:cs="Times New Roman"/>
          <w:i/>
          <w:iCs/>
        </w:rPr>
        <w:t xml:space="preserve"> </w:t>
      </w:r>
      <w:r w:rsidRPr="00136956">
        <w:rPr>
          <w:rFonts w:cs="Times New Roman"/>
        </w:rPr>
        <w:t>[1986] 2 S.C.R. 713.</w:t>
      </w:r>
    </w:p>
    <w:p w:rsidR="009278C8" w:rsidRPr="00136956" w:rsidRDefault="009278C8" w:rsidP="009278C8">
      <w:pPr>
        <w:pStyle w:val="ParaNoNdepar-AltN"/>
        <w:rPr>
          <w:rFonts w:cs="Times New Roman"/>
        </w:rPr>
      </w:pPr>
      <w:r w:rsidRPr="00136956">
        <w:rPr>
          <w:rFonts w:cs="Times New Roman"/>
        </w:rPr>
        <w:t xml:space="preserve">As for the review of the provision’s effects, it concerns both those legal and practical, which include direct effects of the provision and the “side” effects flowing from its application: </w:t>
      </w:r>
      <w:r w:rsidRPr="00136956">
        <w:rPr>
          <w:rFonts w:cs="Times New Roman"/>
          <w:i/>
        </w:rPr>
        <w:t>Kitkatla Band</w:t>
      </w:r>
      <w:r w:rsidRPr="00136956">
        <w:rPr>
          <w:rFonts w:cs="Times New Roman"/>
        </w:rPr>
        <w:t>, at para.</w:t>
      </w:r>
      <w:r>
        <w:rPr>
          <w:rFonts w:cs="Times New Roman"/>
        </w:rPr>
        <w:t xml:space="preserve"> </w:t>
      </w:r>
      <w:r w:rsidRPr="00136956">
        <w:rPr>
          <w:rFonts w:cs="Times New Roman"/>
        </w:rPr>
        <w:t xml:space="preserve">54; </w:t>
      </w:r>
      <w:r w:rsidRPr="00136956">
        <w:rPr>
          <w:rFonts w:cs="Times New Roman"/>
          <w:i/>
        </w:rPr>
        <w:t>Reference re Securities Act</w:t>
      </w:r>
      <w:r w:rsidRPr="00136956">
        <w:rPr>
          <w:rFonts w:eastAsia="Times New Roman" w:cs="Times New Roman"/>
        </w:rPr>
        <w:t xml:space="preserve">, at </w:t>
      </w:r>
      <w:r w:rsidRPr="00136956">
        <w:rPr>
          <w:rFonts w:cs="Times New Roman"/>
        </w:rPr>
        <w:t>para.</w:t>
      </w:r>
      <w:r>
        <w:rPr>
          <w:rFonts w:cs="Times New Roman"/>
        </w:rPr>
        <w:t xml:space="preserve"> </w:t>
      </w:r>
      <w:r w:rsidRPr="00136956">
        <w:rPr>
          <w:rFonts w:cs="Times New Roman"/>
        </w:rPr>
        <w:t xml:space="preserve">64; </w:t>
      </w:r>
      <w:r w:rsidRPr="00136956">
        <w:rPr>
          <w:rFonts w:cs="Times New Roman"/>
          <w:i/>
        </w:rPr>
        <w:t>Lacombe</w:t>
      </w:r>
      <w:r w:rsidRPr="00136956">
        <w:rPr>
          <w:rFonts w:cs="Times New Roman"/>
        </w:rPr>
        <w:t>, at para.</w:t>
      </w:r>
      <w:r>
        <w:rPr>
          <w:rFonts w:cs="Times New Roman"/>
        </w:rPr>
        <w:t xml:space="preserve"> </w:t>
      </w:r>
      <w:r w:rsidRPr="00136956">
        <w:rPr>
          <w:rFonts w:cs="Times New Roman"/>
        </w:rPr>
        <w:t xml:space="preserve">20. The foregoing analysis as a whole </w:t>
      </w:r>
      <w:r w:rsidR="00584396">
        <w:rPr>
          <w:rFonts w:cs="Times New Roman"/>
        </w:rPr>
        <w:t>makes it possible to determine</w:t>
      </w:r>
      <w:r w:rsidRPr="00136956">
        <w:rPr>
          <w:rFonts w:cs="Times New Roman"/>
        </w:rPr>
        <w:t xml:space="preserve"> the constitutional nature of the provision, and to assess whether it encroaches on the powers of the other level of government.</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974" w:name="_Toc413306876"/>
      <w:r w:rsidRPr="00136956">
        <w:rPr>
          <w:rFonts w:cs="Times New Roman"/>
        </w:rPr>
        <w:t>Ancillary Powers</w:t>
      </w:r>
      <w:bookmarkEnd w:id="974"/>
    </w:p>
    <w:p w:rsidR="009278C8" w:rsidRPr="00136956" w:rsidRDefault="009278C8" w:rsidP="009278C8">
      <w:pPr>
        <w:pStyle w:val="ParaNoNdepar-AltN"/>
        <w:rPr>
          <w:rFonts w:cs="Times New Roman"/>
        </w:rPr>
      </w:pPr>
      <w:r w:rsidRPr="00136956">
        <w:rPr>
          <w:rFonts w:cs="Times New Roman"/>
        </w:rPr>
        <w:t xml:space="preserve">Where, because of its pith and substance, a provision found in an otherwise valid statute encroaches on the jurisdiction of the other level of government, the Court must determine whether the encroachment is ancillary: see </w:t>
      </w:r>
      <w:r w:rsidRPr="00136956">
        <w:rPr>
          <w:rFonts w:cs="Times New Roman"/>
          <w:i/>
          <w:iCs/>
        </w:rPr>
        <w:t>Reference re Assisted Human Reproduction Act</w:t>
      </w:r>
      <w:r w:rsidRPr="00136956">
        <w:rPr>
          <w:rFonts w:cs="Times New Roman"/>
        </w:rPr>
        <w:t>, at paras.</w:t>
      </w:r>
      <w:r>
        <w:rPr>
          <w:rFonts w:cs="Times New Roman"/>
        </w:rPr>
        <w:t xml:space="preserve"> </w:t>
      </w:r>
      <w:r w:rsidRPr="00136956">
        <w:rPr>
          <w:rFonts w:cs="Times New Roman"/>
        </w:rPr>
        <w:t>187</w:t>
      </w:r>
      <w:r>
        <w:rPr>
          <w:rFonts w:cs="Times New Roman"/>
        </w:rPr>
        <w:t>-</w:t>
      </w:r>
      <w:r w:rsidRPr="00136956">
        <w:rPr>
          <w:rFonts w:cs="Times New Roman"/>
        </w:rPr>
        <w:t xml:space="preserve">89. </w:t>
      </w:r>
      <w:proofErr w:type="gramStart"/>
      <w:r w:rsidRPr="00136956">
        <w:rPr>
          <w:rFonts w:cs="Times New Roman"/>
        </w:rPr>
        <w:t>If</w:t>
      </w:r>
      <w:proofErr w:type="gramEnd"/>
      <w:r w:rsidRPr="00136956">
        <w:rPr>
          <w:rFonts w:cs="Times New Roman"/>
        </w:rPr>
        <w:t xml:space="preserve"> the encroachment is in fact ancillary, the provision will be considered valid provided that it is sufficiently integrated into the scheme of the statute: </w:t>
      </w:r>
      <w:r w:rsidRPr="00136956">
        <w:rPr>
          <w:rFonts w:cs="Times New Roman"/>
          <w:i/>
        </w:rPr>
        <w:t>Lacombe</w:t>
      </w:r>
      <w:r w:rsidRPr="00136956">
        <w:rPr>
          <w:rFonts w:cs="Times New Roman"/>
        </w:rPr>
        <w:t>, at paras.</w:t>
      </w:r>
      <w:r>
        <w:rPr>
          <w:rFonts w:cs="Times New Roman"/>
        </w:rPr>
        <w:t xml:space="preserve"> </w:t>
      </w:r>
      <w:r w:rsidRPr="00136956">
        <w:rPr>
          <w:rFonts w:cs="Times New Roman"/>
        </w:rPr>
        <w:t>34</w:t>
      </w:r>
      <w:r>
        <w:rPr>
          <w:rFonts w:cs="Times New Roman"/>
        </w:rPr>
        <w:t>-</w:t>
      </w:r>
      <w:r w:rsidRPr="00136956">
        <w:rPr>
          <w:rFonts w:cs="Times New Roman"/>
        </w:rPr>
        <w:t xml:space="preserve">36. </w:t>
      </w:r>
    </w:p>
    <w:p w:rsidR="009278C8" w:rsidRPr="00136956" w:rsidRDefault="009278C8" w:rsidP="009278C8">
      <w:pPr>
        <w:pStyle w:val="ParaNoNdepar-AltN"/>
        <w:rPr>
          <w:rFonts w:cs="Times New Roman"/>
        </w:rPr>
      </w:pPr>
      <w:r w:rsidRPr="00136956">
        <w:rPr>
          <w:rFonts w:cs="Times New Roman"/>
        </w:rPr>
        <w:lastRenderedPageBreak/>
        <w:t>The degree of integration of a provision that is needed for an encroachment to be considered ancillary varies with the seriousness, or extent, of the encroachment. If the encroachment of the impugned provision on the jurisdiction of the other level of government is merely “marginal” or “limited”, a functional relationship between the provision and the statutory scheme may suffice. If, on the other hand, the federal provision is “highly” intrusive vis</w:t>
      </w:r>
      <w:r>
        <w:rPr>
          <w:rFonts w:cs="Times New Roman"/>
        </w:rPr>
        <w:t>-</w:t>
      </w:r>
      <w:r w:rsidRPr="00136956">
        <w:rPr>
          <w:rFonts w:cs="Times New Roman"/>
        </w:rPr>
        <w:t>à</w:t>
      </w:r>
      <w:r>
        <w:rPr>
          <w:rFonts w:cs="Times New Roman"/>
        </w:rPr>
        <w:t>-</w:t>
      </w:r>
      <w:r w:rsidRPr="00136956">
        <w:rPr>
          <w:rFonts w:cs="Times New Roman"/>
        </w:rPr>
        <w:t xml:space="preserve">vis provincial powers, a stricter test of necessity will apply: </w:t>
      </w:r>
      <w:r w:rsidRPr="00136956">
        <w:rPr>
          <w:rFonts w:cs="Times New Roman"/>
          <w:i/>
          <w:iCs/>
        </w:rPr>
        <w:t>General Motors</w:t>
      </w:r>
      <w:r w:rsidRPr="00136956">
        <w:rPr>
          <w:rFonts w:cs="Times New Roman"/>
        </w:rPr>
        <w:t>, at pp.</w:t>
      </w:r>
      <w:r>
        <w:rPr>
          <w:rFonts w:cs="Times New Roman"/>
        </w:rPr>
        <w:t xml:space="preserve"> </w:t>
      </w:r>
      <w:r w:rsidRPr="00136956">
        <w:rPr>
          <w:rFonts w:cs="Times New Roman"/>
        </w:rPr>
        <w:t>668</w:t>
      </w:r>
      <w:r>
        <w:rPr>
          <w:rFonts w:cs="Times New Roman"/>
        </w:rPr>
        <w:t>-</w:t>
      </w:r>
      <w:r w:rsidRPr="00136956">
        <w:rPr>
          <w:rFonts w:cs="Times New Roman"/>
        </w:rPr>
        <w:t>70.</w:t>
      </w:r>
    </w:p>
    <w:p w:rsidR="009278C8" w:rsidRPr="00136956" w:rsidRDefault="009278C8" w:rsidP="009278C8">
      <w:pPr>
        <w:pStyle w:val="ParaNoNdepar-AltN"/>
        <w:rPr>
          <w:rFonts w:cs="Times New Roman"/>
        </w:rPr>
      </w:pPr>
      <w:r w:rsidRPr="00136956">
        <w:rPr>
          <w:rFonts w:eastAsia="Times New Roman" w:cs="Times New Roman"/>
        </w:rPr>
        <w:t xml:space="preserve">More generally, we wish to repeat the following comment about </w:t>
      </w:r>
      <w:r w:rsidRPr="00136956">
        <w:rPr>
          <w:rFonts w:cs="Times New Roman"/>
        </w:rPr>
        <w:t xml:space="preserve">the ancillary powers doctrine made by the Court in </w:t>
      </w:r>
      <w:r w:rsidRPr="00136956">
        <w:rPr>
          <w:rFonts w:cs="Times New Roman"/>
          <w:i/>
        </w:rPr>
        <w:t>Lacombe</w:t>
      </w:r>
      <w:r w:rsidRPr="00136956">
        <w:rPr>
          <w:rFonts w:cs="Times New Roman"/>
        </w:rPr>
        <w:t>:</w:t>
      </w:r>
    </w:p>
    <w:p w:rsidR="009278C8" w:rsidRPr="00136956" w:rsidRDefault="009278C8" w:rsidP="009278C8">
      <w:pPr>
        <w:pStyle w:val="Citation-AltC"/>
        <w:ind w:hanging="1166"/>
        <w:contextualSpacing w:val="0"/>
      </w:pPr>
      <w:bookmarkStart w:id="975" w:name="_Toc402517709"/>
      <w:bookmarkStart w:id="976" w:name="_Toc402520567"/>
      <w:bookmarkStart w:id="977" w:name="_Toc402520778"/>
      <w:bookmarkStart w:id="978" w:name="_Toc402520878"/>
      <w:bookmarkStart w:id="979" w:name="_Toc402960735"/>
      <w:bookmarkStart w:id="980" w:name="_Toc402973955"/>
      <w:bookmarkStart w:id="981" w:name="_Toc402976070"/>
      <w:bookmarkStart w:id="982" w:name="_Toc402976241"/>
      <w:bookmarkStart w:id="983" w:name="_Toc402977119"/>
      <w:bookmarkStart w:id="984" w:name="_Toc402987863"/>
      <w:bookmarkStart w:id="985" w:name="_Toc402988953"/>
      <w:bookmarkStart w:id="986" w:name="_Toc402426708"/>
      <w:bookmarkStart w:id="987" w:name="_Toc402429910"/>
      <w:bookmarkStart w:id="988" w:name="_Toc402430008"/>
      <w:bookmarkStart w:id="989" w:name="_Toc402443619"/>
      <w:bookmarkStart w:id="990" w:name="_Toc402443719"/>
      <w:bookmarkStart w:id="991" w:name="_Toc402443819"/>
      <w:bookmarkStart w:id="992" w:name="_Toc402517710"/>
      <w:bookmarkStart w:id="993" w:name="_Toc402520568"/>
      <w:bookmarkStart w:id="994" w:name="_Toc402520779"/>
      <w:bookmarkStart w:id="995" w:name="_Toc402520879"/>
      <w:bookmarkStart w:id="996" w:name="_Toc402960736"/>
      <w:bookmarkStart w:id="997" w:name="_Toc402973956"/>
      <w:bookmarkStart w:id="998" w:name="_Toc402976071"/>
      <w:bookmarkStart w:id="999" w:name="_Toc402976242"/>
      <w:bookmarkStart w:id="1000" w:name="_Toc402977120"/>
      <w:bookmarkStart w:id="1001" w:name="_Toc402987864"/>
      <w:bookmarkStart w:id="1002" w:name="_Toc402988954"/>
      <w:bookmarkStart w:id="1003" w:name="_Toc402426709"/>
      <w:bookmarkStart w:id="1004" w:name="_Toc402429911"/>
      <w:bookmarkStart w:id="1005" w:name="_Toc402430009"/>
      <w:bookmarkStart w:id="1006" w:name="_Toc402443620"/>
      <w:bookmarkStart w:id="1007" w:name="_Toc402443720"/>
      <w:bookmarkStart w:id="1008" w:name="_Toc402443820"/>
      <w:bookmarkStart w:id="1009" w:name="_Toc402517711"/>
      <w:bookmarkStart w:id="1010" w:name="_Toc402520569"/>
      <w:bookmarkStart w:id="1011" w:name="_Toc402520780"/>
      <w:bookmarkStart w:id="1012" w:name="_Toc402520880"/>
      <w:bookmarkStart w:id="1013" w:name="_Toc402960737"/>
      <w:bookmarkStart w:id="1014" w:name="_Toc402973957"/>
      <w:bookmarkStart w:id="1015" w:name="_Toc402976072"/>
      <w:bookmarkStart w:id="1016" w:name="_Toc402976243"/>
      <w:bookmarkStart w:id="1017" w:name="_Toc402977121"/>
      <w:bookmarkStart w:id="1018" w:name="_Toc402987865"/>
      <w:bookmarkStart w:id="1019" w:name="_Toc402988955"/>
      <w:bookmarkStart w:id="1020" w:name="_Toc402426710"/>
      <w:bookmarkStart w:id="1021" w:name="_Toc402429912"/>
      <w:bookmarkStart w:id="1022" w:name="_Toc402430010"/>
      <w:bookmarkStart w:id="1023" w:name="_Toc402443621"/>
      <w:bookmarkStart w:id="1024" w:name="_Toc402443721"/>
      <w:bookmarkStart w:id="1025" w:name="_Toc402443821"/>
      <w:bookmarkStart w:id="1026" w:name="_Toc402517712"/>
      <w:bookmarkStart w:id="1027" w:name="_Toc402520570"/>
      <w:bookmarkStart w:id="1028" w:name="_Toc402520781"/>
      <w:bookmarkStart w:id="1029" w:name="_Toc402520881"/>
      <w:bookmarkStart w:id="1030" w:name="_Toc402960738"/>
      <w:bookmarkStart w:id="1031" w:name="_Toc402973958"/>
      <w:bookmarkStart w:id="1032" w:name="_Toc402976073"/>
      <w:bookmarkStart w:id="1033" w:name="_Toc402976244"/>
      <w:bookmarkStart w:id="1034" w:name="_Toc402977122"/>
      <w:bookmarkStart w:id="1035" w:name="_Toc402987866"/>
      <w:bookmarkStart w:id="1036" w:name="_Toc402988956"/>
      <w:bookmarkStart w:id="1037" w:name="_Toc402426717"/>
      <w:bookmarkStart w:id="1038" w:name="_Toc402429919"/>
      <w:bookmarkStart w:id="1039" w:name="_Toc402430017"/>
      <w:bookmarkStart w:id="1040" w:name="_Toc402443628"/>
      <w:bookmarkStart w:id="1041" w:name="_Toc402443728"/>
      <w:bookmarkStart w:id="1042" w:name="_Toc402443828"/>
      <w:bookmarkStart w:id="1043" w:name="_Toc402517719"/>
      <w:bookmarkStart w:id="1044" w:name="_Toc402520577"/>
      <w:bookmarkStart w:id="1045" w:name="_Toc402520788"/>
      <w:bookmarkStart w:id="1046" w:name="_Toc402520888"/>
      <w:bookmarkStart w:id="1047" w:name="_Toc402960745"/>
      <w:bookmarkStart w:id="1048" w:name="_Toc402973965"/>
      <w:bookmarkStart w:id="1049" w:name="_Toc402976080"/>
      <w:bookmarkStart w:id="1050" w:name="_Toc402976251"/>
      <w:bookmarkStart w:id="1051" w:name="_Toc402977129"/>
      <w:bookmarkStart w:id="1052" w:name="_Toc402987873"/>
      <w:bookmarkStart w:id="1053" w:name="_Toc402988963"/>
      <w:bookmarkStart w:id="1054" w:name="_Toc402426719"/>
      <w:bookmarkStart w:id="1055" w:name="_Toc402429921"/>
      <w:bookmarkStart w:id="1056" w:name="_Toc402430019"/>
      <w:bookmarkStart w:id="1057" w:name="_Toc402443630"/>
      <w:bookmarkStart w:id="1058" w:name="_Toc402443730"/>
      <w:bookmarkStart w:id="1059" w:name="_Toc402443830"/>
      <w:bookmarkStart w:id="1060" w:name="_Toc402517721"/>
      <w:bookmarkStart w:id="1061" w:name="_Toc402520579"/>
      <w:bookmarkStart w:id="1062" w:name="_Toc402520790"/>
      <w:bookmarkStart w:id="1063" w:name="_Toc402520890"/>
      <w:bookmarkStart w:id="1064" w:name="_Toc402960747"/>
      <w:bookmarkStart w:id="1065" w:name="_Toc402973967"/>
      <w:bookmarkStart w:id="1066" w:name="_Toc402976082"/>
      <w:bookmarkStart w:id="1067" w:name="_Toc402976253"/>
      <w:bookmarkStart w:id="1068" w:name="_Toc402977131"/>
      <w:bookmarkStart w:id="1069" w:name="_Toc402987875"/>
      <w:bookmarkStart w:id="1070" w:name="_Toc402988965"/>
      <w:bookmarkStart w:id="1071" w:name="_Toc402426720"/>
      <w:bookmarkStart w:id="1072" w:name="_Toc402429922"/>
      <w:bookmarkStart w:id="1073" w:name="_Toc402430020"/>
      <w:bookmarkStart w:id="1074" w:name="_Toc402443631"/>
      <w:bookmarkStart w:id="1075" w:name="_Toc402443731"/>
      <w:bookmarkStart w:id="1076" w:name="_Toc402443831"/>
      <w:bookmarkStart w:id="1077" w:name="_Toc402517722"/>
      <w:bookmarkStart w:id="1078" w:name="_Toc402520580"/>
      <w:bookmarkStart w:id="1079" w:name="_Toc402520791"/>
      <w:bookmarkStart w:id="1080" w:name="_Toc402520891"/>
      <w:bookmarkStart w:id="1081" w:name="_Toc402960748"/>
      <w:bookmarkStart w:id="1082" w:name="_Toc402973968"/>
      <w:bookmarkStart w:id="1083" w:name="_Toc402976083"/>
      <w:bookmarkStart w:id="1084" w:name="_Toc402976254"/>
      <w:bookmarkStart w:id="1085" w:name="_Toc402977132"/>
      <w:bookmarkStart w:id="1086" w:name="_Toc402987876"/>
      <w:bookmarkStart w:id="1087" w:name="_Toc402988966"/>
      <w:bookmarkStart w:id="1088" w:name="_Toc402426721"/>
      <w:bookmarkStart w:id="1089" w:name="_Toc402429923"/>
      <w:bookmarkStart w:id="1090" w:name="_Toc402430021"/>
      <w:bookmarkStart w:id="1091" w:name="_Toc402443632"/>
      <w:bookmarkStart w:id="1092" w:name="_Toc402443732"/>
      <w:bookmarkStart w:id="1093" w:name="_Toc402443832"/>
      <w:bookmarkStart w:id="1094" w:name="_Toc402517723"/>
      <w:bookmarkStart w:id="1095" w:name="_Toc402520581"/>
      <w:bookmarkStart w:id="1096" w:name="_Toc402520792"/>
      <w:bookmarkStart w:id="1097" w:name="_Toc402520892"/>
      <w:bookmarkStart w:id="1098" w:name="_Toc402960749"/>
      <w:bookmarkStart w:id="1099" w:name="_Toc402973969"/>
      <w:bookmarkStart w:id="1100" w:name="_Toc402976084"/>
      <w:bookmarkStart w:id="1101" w:name="_Toc402976255"/>
      <w:bookmarkStart w:id="1102" w:name="_Toc402977133"/>
      <w:bookmarkStart w:id="1103" w:name="_Toc402987877"/>
      <w:bookmarkStart w:id="1104" w:name="_Toc402988967"/>
      <w:bookmarkStart w:id="1105" w:name="_Toc402426723"/>
      <w:bookmarkStart w:id="1106" w:name="_Toc402429925"/>
      <w:bookmarkStart w:id="1107" w:name="_Toc402430023"/>
      <w:bookmarkStart w:id="1108" w:name="_Toc402443634"/>
      <w:bookmarkStart w:id="1109" w:name="_Toc402443734"/>
      <w:bookmarkStart w:id="1110" w:name="_Toc402443834"/>
      <w:bookmarkStart w:id="1111" w:name="_Toc402517725"/>
      <w:bookmarkStart w:id="1112" w:name="_Toc402520583"/>
      <w:bookmarkStart w:id="1113" w:name="_Toc402520794"/>
      <w:bookmarkStart w:id="1114" w:name="_Toc402520894"/>
      <w:bookmarkStart w:id="1115" w:name="_Toc402960751"/>
      <w:bookmarkStart w:id="1116" w:name="_Toc402973971"/>
      <w:bookmarkStart w:id="1117" w:name="_Toc402976086"/>
      <w:bookmarkStart w:id="1118" w:name="_Toc402976257"/>
      <w:bookmarkStart w:id="1119" w:name="_Toc402977135"/>
      <w:bookmarkStart w:id="1120" w:name="_Toc402987879"/>
      <w:bookmarkStart w:id="1121" w:name="_Toc402988969"/>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sidRPr="00136956">
        <w:tab/>
      </w:r>
      <w:r>
        <w:t>. . .</w:t>
      </w:r>
      <w:r w:rsidRPr="00136956">
        <w:t xml:space="preserve"> </w:t>
      </w:r>
      <w:proofErr w:type="gramStart"/>
      <w:r w:rsidRPr="00136956">
        <w:t>the</w:t>
      </w:r>
      <w:proofErr w:type="gramEnd"/>
      <w:r w:rsidRPr="00136956">
        <w:t xml:space="preserve"> availability of ancillary powers is </w:t>
      </w:r>
      <w:r w:rsidRPr="00136956">
        <w:rPr>
          <w:u w:val="single"/>
        </w:rPr>
        <w:t>limited to situations in which the intrusion on the powers of the other level of government is justified by the important role</w:t>
      </w:r>
      <w:r w:rsidRPr="00136956">
        <w:t xml:space="preserve"> that the extrajurisdictional provision plays in a valid legislative scheme. The relation cannot be </w:t>
      </w:r>
      <w:proofErr w:type="gramStart"/>
      <w:r w:rsidRPr="00136956">
        <w:t>insubstantial</w:t>
      </w:r>
      <w:r>
        <w:t xml:space="preserve"> .</w:t>
      </w:r>
      <w:proofErr w:type="gramEnd"/>
      <w:r>
        <w:t> . . .</w:t>
      </w:r>
      <w:r w:rsidRPr="00136956">
        <w:t xml:space="preserve"> [Emphasis added; para.</w:t>
      </w:r>
      <w:r>
        <w:t xml:space="preserve"> </w:t>
      </w:r>
      <w:r w:rsidRPr="00136956">
        <w:t>35.]</w:t>
      </w:r>
    </w:p>
    <w:p w:rsidR="009278C8" w:rsidRPr="00136956" w:rsidRDefault="009278C8" w:rsidP="009278C8">
      <w:pPr>
        <w:pStyle w:val="ParaNoNdepar-AltN"/>
        <w:tabs>
          <w:tab w:val="clear" w:pos="1166"/>
          <w:tab w:val="num" w:pos="1152"/>
        </w:tabs>
        <w:rPr>
          <w:rFonts w:eastAsiaTheme="minorHAnsi" w:cs="Times New Roman"/>
        </w:rPr>
      </w:pPr>
      <w:r w:rsidRPr="00136956">
        <w:rPr>
          <w:rFonts w:eastAsiaTheme="minorHAnsi" w:cs="Times New Roman"/>
        </w:rPr>
        <w:t xml:space="preserve">Thus, the Court recognized that a government at one level can validly pass legislation on a matter within its jurisdiction even though the legislation intrudes upon the other level’s jurisdiction. Yet the constitutional doctrines that make such an intrusion permissible — namely the pith and substance and ancillary powers doctrines — cannot be fully understood without considering the constitutional principles upon which they are based: </w:t>
      </w:r>
      <w:r w:rsidRPr="00136956">
        <w:rPr>
          <w:rFonts w:cs="Times New Roman"/>
          <w:i/>
          <w:iCs/>
        </w:rPr>
        <w:t>Reference re Assisted Human Reproduction Act</w:t>
      </w:r>
      <w:r w:rsidRPr="00136956">
        <w:rPr>
          <w:rFonts w:eastAsiaTheme="minorHAnsi" w:cs="Times New Roman"/>
        </w:rPr>
        <w:t>, at para.</w:t>
      </w:r>
      <w:r>
        <w:rPr>
          <w:rFonts w:eastAsiaTheme="minorHAnsi" w:cs="Times New Roman"/>
        </w:rPr>
        <w:t xml:space="preserve"> </w:t>
      </w:r>
      <w:r w:rsidRPr="00136956">
        <w:rPr>
          <w:rFonts w:eastAsiaTheme="minorHAnsi" w:cs="Times New Roman"/>
        </w:rPr>
        <w:t>196. We will now turn to these principles, in particular that of federalism.</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122" w:name="_Toc411583259"/>
      <w:bookmarkStart w:id="1123" w:name="_Toc413306877"/>
      <w:r w:rsidRPr="00136956">
        <w:rPr>
          <w:rFonts w:cs="Times New Roman"/>
        </w:rPr>
        <w:t>Unwritten Principles: Federalism</w:t>
      </w:r>
      <w:bookmarkEnd w:id="1122"/>
      <w:bookmarkEnd w:id="1123"/>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The Court has, while stressing that our written Constitution is paramount, recognized the </w:t>
      </w:r>
      <w:r w:rsidRPr="00136956">
        <w:rPr>
          <w:rFonts w:eastAsiaTheme="minorHAnsi" w:cs="Times New Roman"/>
        </w:rPr>
        <w:t>importance of the unwritten principle</w:t>
      </w:r>
      <w:r w:rsidRPr="00136956">
        <w:rPr>
          <w:rFonts w:cs="Times New Roman"/>
        </w:rPr>
        <w:t>s that underlie it</w:t>
      </w:r>
      <w:r w:rsidRPr="00136956">
        <w:rPr>
          <w:rFonts w:eastAsiaTheme="minorHAnsi" w:cs="Times New Roman"/>
        </w:rPr>
        <w:t>. These principles infuse the analysis and interpretation of the division of powers. They “assist in the interpretation of the text and the delineation of spheres of jurisdiction, the scope of rights and obligations, and the role of our political institutions”</w:t>
      </w:r>
      <w:r w:rsidRPr="00136956">
        <w:rPr>
          <w:rFonts w:eastAsia="Times New Roman" w:cs="Times New Roman"/>
        </w:rPr>
        <w:t xml:space="preserve">: </w:t>
      </w:r>
      <w:r w:rsidRPr="00136956">
        <w:rPr>
          <w:rFonts w:eastAsia="Times New Roman" w:cs="Times New Roman"/>
          <w:i/>
        </w:rPr>
        <w:t>Reference re Secession of Queb</w:t>
      </w:r>
      <w:r w:rsidRPr="00136956">
        <w:rPr>
          <w:rFonts w:eastAsiaTheme="minorHAnsi" w:cs="Times New Roman"/>
          <w:i/>
        </w:rPr>
        <w:t>ec</w:t>
      </w:r>
      <w:r w:rsidRPr="00136956">
        <w:rPr>
          <w:rFonts w:eastAsiaTheme="minorHAnsi" w:cs="Times New Roman"/>
        </w:rPr>
        <w:t>, [1998] 2 S.C.R. 217, at para.</w:t>
      </w:r>
      <w:r>
        <w:rPr>
          <w:rFonts w:eastAsiaTheme="minorHAnsi" w:cs="Times New Roman"/>
        </w:rPr>
        <w:t xml:space="preserve"> </w:t>
      </w:r>
      <w:r w:rsidRPr="00136956">
        <w:rPr>
          <w:rFonts w:eastAsiaTheme="minorHAnsi" w:cs="Times New Roman"/>
        </w:rPr>
        <w:t>52. They also reflect our C</w:t>
      </w:r>
      <w:r w:rsidRPr="00136956">
        <w:rPr>
          <w:rFonts w:cs="Times New Roman"/>
          <w:spacing w:val="-3"/>
        </w:rPr>
        <w:t xml:space="preserve">onstitution’s </w:t>
      </w:r>
      <w:r w:rsidRPr="00136956">
        <w:rPr>
          <w:rFonts w:eastAsiaTheme="minorHAnsi" w:cs="Times New Roman"/>
        </w:rPr>
        <w:t xml:space="preserve">historical context </w:t>
      </w:r>
      <w:r w:rsidRPr="00136956">
        <w:rPr>
          <w:rFonts w:cs="Times New Roman"/>
          <w:spacing w:val="-3"/>
        </w:rPr>
        <w:t>and have facilitated its application throughout its history; thus, they are to the Constitution what sap is to a tree</w:t>
      </w:r>
      <w:r w:rsidRPr="00136956">
        <w:rPr>
          <w:rFonts w:cs="Times New Roman"/>
        </w:rPr>
        <w:t xml:space="preserve">. In this sense, they are “a necessary part of our Constitution because problems or situations may arise which are not expressly dealt with by the text of the Constitution”: </w:t>
      </w:r>
      <w:proofErr w:type="gramStart"/>
      <w:r w:rsidRPr="00136956">
        <w:rPr>
          <w:rFonts w:eastAsia="Times New Roman" w:cs="Times New Roman"/>
          <w:i/>
        </w:rPr>
        <w:t>ibid.</w:t>
      </w:r>
      <w:r w:rsidRPr="00136956">
        <w:rPr>
          <w:rFonts w:cs="Times New Roman"/>
        </w:rPr>
        <w:t>,</w:t>
      </w:r>
      <w:proofErr w:type="gramEnd"/>
      <w:r w:rsidRPr="00136956">
        <w:rPr>
          <w:rFonts w:cs="Times New Roman"/>
        </w:rPr>
        <w:t xml:space="preserve"> at para.</w:t>
      </w:r>
      <w:r>
        <w:rPr>
          <w:rFonts w:cs="Times New Roman"/>
        </w:rPr>
        <w:t xml:space="preserve"> </w:t>
      </w:r>
      <w:r w:rsidRPr="00136956">
        <w:rPr>
          <w:rFonts w:cs="Times New Roman"/>
        </w:rPr>
        <w:t xml:space="preserve">32.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As this Court explained in </w:t>
      </w:r>
      <w:r w:rsidRPr="00136956">
        <w:rPr>
          <w:rFonts w:cs="Times New Roman"/>
          <w:i/>
        </w:rPr>
        <w:t>Reference re Secession of Queb</w:t>
      </w:r>
      <w:r w:rsidRPr="00136956">
        <w:rPr>
          <w:rFonts w:eastAsiaTheme="minorHAnsi" w:cs="Times New Roman"/>
          <w:i/>
        </w:rPr>
        <w:t>ec</w:t>
      </w:r>
      <w:r w:rsidRPr="00136956">
        <w:rPr>
          <w:rFonts w:cs="Times New Roman"/>
        </w:rPr>
        <w:t xml:space="preserve">, federalism “was a legal response to the underlying political and cultural realities that existed at Confederation and continue to exist today”, and “political leaders [had] told their respective communities that the Canadian union would be able to reconcile diversity with unity”: </w:t>
      </w:r>
      <w:r w:rsidRPr="00136956">
        <w:rPr>
          <w:rFonts w:eastAsiaTheme="minorHAnsi" w:cs="Times New Roman"/>
        </w:rPr>
        <w:t>para.</w:t>
      </w:r>
      <w:r>
        <w:rPr>
          <w:rFonts w:eastAsiaTheme="minorHAnsi" w:cs="Times New Roman"/>
        </w:rPr>
        <w:t xml:space="preserve"> </w:t>
      </w:r>
      <w:r w:rsidRPr="00136956">
        <w:rPr>
          <w:rFonts w:eastAsiaTheme="minorHAnsi" w:cs="Times New Roman"/>
        </w:rPr>
        <w:t>43.</w:t>
      </w:r>
      <w:r w:rsidRPr="00136956">
        <w:rPr>
          <w:rFonts w:cs="Times New Roman"/>
        </w:rPr>
        <w:t xml:space="preserve"> The principle of federalism requires that the constitutional division of powers be respected and that a balance be maintained between federal and provincial powers. One “power may not be used in a manner that effectively eviscerates another”: </w:t>
      </w:r>
      <w:r w:rsidRPr="00136956">
        <w:rPr>
          <w:rFonts w:cs="Times New Roman"/>
          <w:i/>
        </w:rPr>
        <w:t>Reference re Securities Act</w:t>
      </w:r>
      <w:r w:rsidRPr="00136956">
        <w:rPr>
          <w:rFonts w:cs="Times New Roman"/>
          <w:spacing w:val="-3"/>
          <w:szCs w:val="24"/>
        </w:rPr>
        <w:t>, at para.</w:t>
      </w:r>
      <w:r>
        <w:rPr>
          <w:rFonts w:cs="Times New Roman"/>
          <w:spacing w:val="-3"/>
          <w:szCs w:val="24"/>
        </w:rPr>
        <w:t xml:space="preserve"> </w:t>
      </w:r>
      <w:r w:rsidRPr="00136956">
        <w:rPr>
          <w:rFonts w:cs="Times New Roman"/>
          <w:spacing w:val="-3"/>
          <w:szCs w:val="24"/>
        </w:rPr>
        <w:t xml:space="preserve">7; </w:t>
      </w:r>
      <w:r w:rsidRPr="00136956">
        <w:rPr>
          <w:rFonts w:cs="Times New Roman"/>
          <w:i/>
        </w:rPr>
        <w:t>Reference re Secession of Queb</w:t>
      </w:r>
      <w:r w:rsidRPr="00136956">
        <w:rPr>
          <w:rFonts w:eastAsiaTheme="minorHAnsi" w:cs="Times New Roman"/>
          <w:i/>
        </w:rPr>
        <w:t>ec</w:t>
      </w:r>
      <w:r w:rsidRPr="00136956">
        <w:rPr>
          <w:rFonts w:cs="Times New Roman"/>
        </w:rPr>
        <w:t>, at paras.</w:t>
      </w:r>
      <w:r>
        <w:rPr>
          <w:rFonts w:cs="Times New Roman"/>
        </w:rPr>
        <w:t xml:space="preserve"> </w:t>
      </w:r>
      <w:r w:rsidRPr="00136956">
        <w:rPr>
          <w:rFonts w:cs="Times New Roman"/>
        </w:rPr>
        <w:t>57</w:t>
      </w:r>
      <w:r>
        <w:rPr>
          <w:rFonts w:cs="Times New Roman"/>
        </w:rPr>
        <w:t>-</w:t>
      </w:r>
      <w:r w:rsidRPr="00136956">
        <w:rPr>
          <w:rFonts w:cs="Times New Roman"/>
        </w:rPr>
        <w:t>58</w:t>
      </w:r>
      <w:r w:rsidRPr="00136956">
        <w:rPr>
          <w:rFonts w:cs="Times New Roman"/>
          <w:spacing w:val="-3"/>
          <w:szCs w:val="24"/>
        </w:rPr>
        <w:t>.</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t xml:space="preserve">According to the “classical” approach favoured by the Judicial Committee of the Privy Council until 1949, the heads of power constituted </w:t>
      </w:r>
      <w:r w:rsidRPr="00136956">
        <w:rPr>
          <w:rFonts w:cs="Times New Roman"/>
        </w:rPr>
        <w:lastRenderedPageBreak/>
        <w:t>“watertight compartments”, and overlaps between them were to be avoided to the extent possible</w:t>
      </w:r>
      <w:r w:rsidRPr="00136956">
        <w:rPr>
          <w:rFonts w:eastAsiaTheme="minorHAnsi" w:cs="Times New Roman"/>
        </w:rPr>
        <w:t xml:space="preserve">: </w:t>
      </w:r>
      <w:r w:rsidRPr="00136956">
        <w:rPr>
          <w:rFonts w:cs="Times New Roman"/>
          <w:i/>
        </w:rPr>
        <w:t>Reference re Securities Act</w:t>
      </w:r>
      <w:r w:rsidRPr="00136956">
        <w:rPr>
          <w:rFonts w:cs="Times New Roman"/>
          <w:spacing w:val="-3"/>
          <w:szCs w:val="24"/>
        </w:rPr>
        <w:t>, at para.</w:t>
      </w:r>
      <w:r>
        <w:rPr>
          <w:rFonts w:cs="Times New Roman"/>
          <w:spacing w:val="-3"/>
          <w:szCs w:val="24"/>
        </w:rPr>
        <w:t xml:space="preserve"> </w:t>
      </w:r>
      <w:r w:rsidRPr="00136956">
        <w:rPr>
          <w:rFonts w:eastAsia="Times New Roman" w:cs="Times New Roman"/>
        </w:rPr>
        <w:t>56</w:t>
      </w:r>
      <w:r w:rsidRPr="00136956">
        <w:rPr>
          <w:rFonts w:eastAsiaTheme="minorHAnsi" w:cs="Times New Roman"/>
        </w:rPr>
        <w:t xml:space="preserve">. </w:t>
      </w:r>
    </w:p>
    <w:p w:rsidR="009278C8" w:rsidRPr="00136956" w:rsidRDefault="009278C8" w:rsidP="009278C8">
      <w:pPr>
        <w:pStyle w:val="ParaNoNdepar-AltN"/>
        <w:tabs>
          <w:tab w:val="clear" w:pos="1166"/>
          <w:tab w:val="num" w:pos="1152"/>
        </w:tabs>
        <w:rPr>
          <w:rFonts w:eastAsiaTheme="minorHAnsi" w:cs="Times New Roman"/>
        </w:rPr>
      </w:pPr>
      <w:r w:rsidRPr="00136956">
        <w:rPr>
          <w:rFonts w:eastAsiaTheme="minorHAnsi" w:cs="Times New Roman"/>
        </w:rPr>
        <w:t>The modern view of federalism rejects this approach and replaces it with a more flexible conception of the division of powers that is dominant in this Court’s recent jurisprudence. This conception “recognizes that in practice there is significant overlap between the federal and provincial areas of jurisdiction, and provides that both governments should be permitted to legislate for their own valid purposes in these areas of overlap”</w:t>
      </w:r>
      <w:r w:rsidRPr="00136956">
        <w:rPr>
          <w:rFonts w:cs="Times New Roman"/>
        </w:rPr>
        <w:t xml:space="preserve">: </w:t>
      </w:r>
      <w:r w:rsidRPr="00136956">
        <w:rPr>
          <w:rFonts w:cs="Times New Roman"/>
          <w:i/>
        </w:rPr>
        <w:t>Canada (Attorney General) v.</w:t>
      </w:r>
      <w:r w:rsidRPr="00136956">
        <w:rPr>
          <w:rFonts w:cs="Times New Roman"/>
        </w:rPr>
        <w:t xml:space="preserve"> </w:t>
      </w:r>
      <w:r w:rsidRPr="00136956">
        <w:rPr>
          <w:rFonts w:cs="Times New Roman"/>
          <w:i/>
        </w:rPr>
        <w:t>PHS Community Services Society</w:t>
      </w:r>
      <w:r w:rsidRPr="00136956">
        <w:rPr>
          <w:rFonts w:cs="Times New Roman"/>
        </w:rPr>
        <w:t>, 2011 SCC 44, [2011] 3 S.C.R. 134, at para.</w:t>
      </w:r>
      <w:r>
        <w:rPr>
          <w:rFonts w:cs="Times New Roman"/>
        </w:rPr>
        <w:t xml:space="preserve"> </w:t>
      </w:r>
      <w:r w:rsidRPr="00136956">
        <w:rPr>
          <w:rFonts w:cs="Times New Roman"/>
        </w:rPr>
        <w:t xml:space="preserve">62; </w:t>
      </w:r>
      <w:r w:rsidRPr="00136956">
        <w:rPr>
          <w:rFonts w:cs="Times New Roman"/>
          <w:i/>
          <w:iCs/>
        </w:rPr>
        <w:t>Canadian Western Bank</w:t>
      </w:r>
      <w:r w:rsidRPr="00136956">
        <w:rPr>
          <w:rFonts w:cs="Times New Roman"/>
          <w:iCs/>
        </w:rPr>
        <w:t>,</w:t>
      </w:r>
      <w:r w:rsidRPr="00136956">
        <w:rPr>
          <w:rFonts w:cs="Times New Roman"/>
        </w:rPr>
        <w:t xml:space="preserve"> at paras.</w:t>
      </w:r>
      <w:r>
        <w:rPr>
          <w:rFonts w:cs="Times New Roman"/>
        </w:rPr>
        <w:t xml:space="preserve"> </w:t>
      </w:r>
      <w:r w:rsidRPr="00136956">
        <w:rPr>
          <w:rFonts w:cs="Times New Roman"/>
        </w:rPr>
        <w:t>36</w:t>
      </w:r>
      <w:r>
        <w:rPr>
          <w:rFonts w:cs="Times New Roman"/>
        </w:rPr>
        <w:t>-</w:t>
      </w:r>
      <w:r w:rsidRPr="00136956">
        <w:rPr>
          <w:rFonts w:cs="Times New Roman"/>
        </w:rPr>
        <w:t xml:space="preserve">37; </w:t>
      </w:r>
      <w:r w:rsidRPr="00136956">
        <w:rPr>
          <w:rFonts w:cs="Times New Roman"/>
          <w:i/>
        </w:rPr>
        <w:t>Reference re Securities Act</w:t>
      </w:r>
      <w:r w:rsidRPr="00136956">
        <w:rPr>
          <w:rFonts w:cs="Times New Roman"/>
          <w:spacing w:val="-3"/>
          <w:szCs w:val="24"/>
        </w:rPr>
        <w:t>, at para.</w:t>
      </w:r>
      <w:r>
        <w:rPr>
          <w:rFonts w:cs="Times New Roman"/>
          <w:spacing w:val="-3"/>
          <w:szCs w:val="24"/>
        </w:rPr>
        <w:t xml:space="preserve"> </w:t>
      </w:r>
      <w:r w:rsidRPr="00136956">
        <w:rPr>
          <w:rFonts w:eastAsia="Times New Roman" w:cs="Times New Roman"/>
        </w:rPr>
        <w:t>57. Such a conception thus facilitates intergovernmental co</w:t>
      </w:r>
      <w:r>
        <w:rPr>
          <w:rFonts w:eastAsia="Times New Roman" w:cs="Times New Roman"/>
        </w:rPr>
        <w:t>-</w:t>
      </w:r>
      <w:r w:rsidRPr="00136956">
        <w:rPr>
          <w:rFonts w:eastAsia="Times New Roman" w:cs="Times New Roman"/>
        </w:rPr>
        <w:t>operation</w:t>
      </w:r>
      <w:r w:rsidRPr="00136956">
        <w:rPr>
          <w:rFonts w:eastAsiaTheme="minorHAnsi" w:cs="Times New Roman"/>
        </w:rPr>
        <w:t xml:space="preserve">: </w:t>
      </w:r>
      <w:r w:rsidR="00E77714">
        <w:rPr>
          <w:rFonts w:cs="Times New Roman"/>
        </w:rPr>
        <w:t>see</w:t>
      </w:r>
      <w:r w:rsidRPr="00136956">
        <w:rPr>
          <w:rFonts w:cs="Times New Roman"/>
        </w:rPr>
        <w:t xml:space="preserve"> </w:t>
      </w:r>
      <w:r w:rsidRPr="00136956">
        <w:rPr>
          <w:rFonts w:cs="Times New Roman"/>
          <w:i/>
          <w:iCs/>
          <w:spacing w:val="-3"/>
        </w:rPr>
        <w:t>OPSEU v. Ontario (Attorney General)</w:t>
      </w:r>
      <w:r w:rsidRPr="00136956">
        <w:rPr>
          <w:rFonts w:cs="Times New Roman"/>
          <w:spacing w:val="-3"/>
        </w:rPr>
        <w:t>, [1987] 2 S.C.R. 2, at pp.</w:t>
      </w:r>
      <w:r>
        <w:rPr>
          <w:rFonts w:cs="Times New Roman"/>
          <w:spacing w:val="-3"/>
        </w:rPr>
        <w:t xml:space="preserve"> </w:t>
      </w:r>
      <w:r w:rsidRPr="00136956">
        <w:rPr>
          <w:rFonts w:cs="Times New Roman"/>
          <w:spacing w:val="-3"/>
        </w:rPr>
        <w:t>19</w:t>
      </w:r>
      <w:r>
        <w:rPr>
          <w:rFonts w:cs="Times New Roman"/>
          <w:spacing w:val="-3"/>
        </w:rPr>
        <w:t>-</w:t>
      </w:r>
      <w:r w:rsidRPr="00136956">
        <w:rPr>
          <w:rFonts w:cs="Times New Roman"/>
          <w:spacing w:val="-3"/>
        </w:rPr>
        <w:t>20, per Dickson</w:t>
      </w:r>
      <w:r>
        <w:rPr>
          <w:rFonts w:cs="Times New Roman"/>
          <w:spacing w:val="-3"/>
        </w:rPr>
        <w:t xml:space="preserve"> </w:t>
      </w:r>
      <w:r w:rsidRPr="00136956">
        <w:rPr>
          <w:rFonts w:cs="Times New Roman"/>
          <w:spacing w:val="-3"/>
        </w:rPr>
        <w:t xml:space="preserve">C.J.; </w:t>
      </w:r>
      <w:r w:rsidRPr="00136956">
        <w:rPr>
          <w:rFonts w:cs="Times New Roman"/>
          <w:i/>
        </w:rPr>
        <w:t>Reference re Securities Act</w:t>
      </w:r>
      <w:r w:rsidRPr="00136956">
        <w:rPr>
          <w:rFonts w:eastAsia="Times New Roman" w:cs="Times New Roman"/>
        </w:rPr>
        <w:t>, at paras.</w:t>
      </w:r>
      <w:r>
        <w:rPr>
          <w:rFonts w:eastAsia="Times New Roman" w:cs="Times New Roman"/>
        </w:rPr>
        <w:t xml:space="preserve"> </w:t>
      </w:r>
      <w:r w:rsidRPr="00136956">
        <w:rPr>
          <w:rFonts w:eastAsia="Times New Roman" w:cs="Times New Roman"/>
        </w:rPr>
        <w:t>57</w:t>
      </w:r>
      <w:r>
        <w:rPr>
          <w:rFonts w:eastAsia="Times New Roman" w:cs="Times New Roman"/>
        </w:rPr>
        <w:t>-</w:t>
      </w:r>
      <w:r w:rsidRPr="00136956">
        <w:rPr>
          <w:rFonts w:eastAsia="Times New Roman" w:cs="Times New Roman"/>
        </w:rPr>
        <w:t xml:space="preserve">58. </w:t>
      </w:r>
      <w:proofErr w:type="gramStart"/>
      <w:r w:rsidRPr="00136956">
        <w:rPr>
          <w:rFonts w:eastAsia="Times New Roman" w:cs="Times New Roman"/>
        </w:rPr>
        <w:t>Both</w:t>
      </w:r>
      <w:proofErr w:type="gramEnd"/>
      <w:r w:rsidRPr="00136956">
        <w:rPr>
          <w:rFonts w:eastAsia="Times New Roman" w:cs="Times New Roman"/>
        </w:rPr>
        <w:t xml:space="preserve"> in law and in the political arena, the concept of “co</w:t>
      </w:r>
      <w:r>
        <w:rPr>
          <w:rFonts w:eastAsia="Times New Roman" w:cs="Times New Roman"/>
        </w:rPr>
        <w:t>-</w:t>
      </w:r>
      <w:r w:rsidRPr="00136956">
        <w:rPr>
          <w:rFonts w:eastAsia="Times New Roman" w:cs="Times New Roman"/>
        </w:rPr>
        <w:t xml:space="preserve">operative federalism” has been developed to adapt the principle of federalism to this modern reality. </w:t>
      </w:r>
    </w:p>
    <w:p w:rsidR="009278C8" w:rsidRPr="00136956" w:rsidRDefault="009278C8" w:rsidP="009278C8">
      <w:pPr>
        <w:pStyle w:val="Title3LevelTitre3Niveau"/>
        <w:numPr>
          <w:ilvl w:val="2"/>
          <w:numId w:val="8"/>
        </w:numPr>
        <w:rPr>
          <w:rFonts w:cs="Times New Roman"/>
        </w:rPr>
      </w:pPr>
      <w:bookmarkStart w:id="1124" w:name="_Toc413306878"/>
      <w:r w:rsidRPr="00136956">
        <w:rPr>
          <w:rFonts w:cs="Times New Roman"/>
        </w:rPr>
        <w:t>Recognition of Co</w:t>
      </w:r>
      <w:r>
        <w:rPr>
          <w:rFonts w:cs="Times New Roman"/>
        </w:rPr>
        <w:t>-</w:t>
      </w:r>
      <w:r w:rsidRPr="00136956">
        <w:rPr>
          <w:rFonts w:cs="Times New Roman"/>
        </w:rPr>
        <w:t>operative Federalism</w:t>
      </w:r>
      <w:bookmarkEnd w:id="1124"/>
    </w:p>
    <w:p w:rsidR="009278C8" w:rsidRPr="00136956" w:rsidRDefault="009278C8" w:rsidP="009278C8">
      <w:pPr>
        <w:pStyle w:val="ParaNoNdepar-AltN"/>
        <w:tabs>
          <w:tab w:val="clear" w:pos="1166"/>
          <w:tab w:val="num" w:pos="1152"/>
        </w:tabs>
        <w:rPr>
          <w:rFonts w:eastAsiaTheme="minorHAnsi" w:cs="Times New Roman"/>
        </w:rPr>
      </w:pPr>
      <w:r w:rsidRPr="00136956">
        <w:rPr>
          <w:rFonts w:eastAsia="Times New Roman" w:cs="Times New Roman"/>
        </w:rPr>
        <w:t>Co</w:t>
      </w:r>
      <w:r>
        <w:rPr>
          <w:rFonts w:eastAsia="Times New Roman" w:cs="Times New Roman"/>
        </w:rPr>
        <w:t>-</w:t>
      </w:r>
      <w:r w:rsidRPr="00136956">
        <w:rPr>
          <w:rFonts w:eastAsia="Times New Roman" w:cs="Times New Roman"/>
        </w:rPr>
        <w:t>operative federalism reflects the realities of an increasingly complex society that requires the enactment of co</w:t>
      </w:r>
      <w:r>
        <w:rPr>
          <w:rFonts w:eastAsia="Times New Roman" w:cs="Times New Roman"/>
        </w:rPr>
        <w:t>-</w:t>
      </w:r>
      <w:r w:rsidRPr="00136956">
        <w:rPr>
          <w:rFonts w:eastAsia="Times New Roman" w:cs="Times New Roman"/>
        </w:rPr>
        <w:t xml:space="preserve">ordinated federal and provincial legislative schemes to better deal with the local needs of unity and diversity: </w:t>
      </w:r>
      <w:r w:rsidRPr="00136956">
        <w:rPr>
          <w:rFonts w:eastAsia="Times New Roman" w:cs="Times New Roman"/>
          <w:i/>
        </w:rPr>
        <w:t>PHS</w:t>
      </w:r>
      <w:r w:rsidRPr="00136956">
        <w:rPr>
          <w:rFonts w:eastAsia="Times New Roman" w:cs="Times New Roman"/>
        </w:rPr>
        <w:t>, at para.</w:t>
      </w:r>
      <w:r>
        <w:rPr>
          <w:rFonts w:eastAsia="Times New Roman" w:cs="Times New Roman"/>
        </w:rPr>
        <w:t xml:space="preserve"> </w:t>
      </w:r>
      <w:r w:rsidRPr="00136956">
        <w:rPr>
          <w:rFonts w:eastAsia="Times New Roman" w:cs="Times New Roman"/>
        </w:rPr>
        <w:t xml:space="preserve">63; </w:t>
      </w:r>
      <w:r w:rsidRPr="00136956">
        <w:rPr>
          <w:rFonts w:eastAsia="Times New Roman" w:cs="Times New Roman"/>
          <w:i/>
          <w:iCs/>
          <w:szCs w:val="24"/>
        </w:rPr>
        <w:t>Tsilhqot’in Nation v. British Columbia</w:t>
      </w:r>
      <w:r w:rsidRPr="00136956">
        <w:rPr>
          <w:rFonts w:eastAsia="Times New Roman" w:cs="Times New Roman"/>
          <w:szCs w:val="24"/>
        </w:rPr>
        <w:t xml:space="preserve">, </w:t>
      </w:r>
      <w:r w:rsidR="006F23EB">
        <w:rPr>
          <w:rFonts w:eastAsia="Times New Roman" w:cs="Times New Roman"/>
          <w:szCs w:val="24"/>
        </w:rPr>
        <w:t>2014 SCC 44, [2014] 2 S.C.R. 257</w:t>
      </w:r>
      <w:r w:rsidRPr="00136956">
        <w:rPr>
          <w:rFonts w:eastAsia="Times New Roman" w:cs="Times New Roman"/>
          <w:szCs w:val="24"/>
        </w:rPr>
        <w:t xml:space="preserve">, at </w:t>
      </w:r>
      <w:r w:rsidRPr="00136956">
        <w:rPr>
          <w:rFonts w:eastAsia="Times New Roman" w:cs="Times New Roman"/>
        </w:rPr>
        <w:t>paras.</w:t>
      </w:r>
      <w:r>
        <w:rPr>
          <w:rFonts w:eastAsia="Times New Roman" w:cs="Times New Roman"/>
        </w:rPr>
        <w:t xml:space="preserve"> </w:t>
      </w:r>
      <w:r w:rsidRPr="00136956">
        <w:rPr>
          <w:rFonts w:eastAsia="Times New Roman" w:cs="Times New Roman"/>
        </w:rPr>
        <w:t>148</w:t>
      </w:r>
      <w:r>
        <w:rPr>
          <w:rFonts w:eastAsia="Times New Roman" w:cs="Times New Roman"/>
        </w:rPr>
        <w:t>-</w:t>
      </w:r>
      <w:r w:rsidRPr="00136956">
        <w:rPr>
          <w:rFonts w:eastAsia="Times New Roman" w:cs="Times New Roman"/>
        </w:rPr>
        <w:t>49. From a legal perspective, it is by allowing for overlapping powers through the application of the pith and substance and ancillary powers doctrines</w:t>
      </w:r>
      <w:r w:rsidRPr="00136956">
        <w:rPr>
          <w:rFonts w:eastAsiaTheme="minorHAnsi" w:cs="Times New Roman"/>
        </w:rPr>
        <w:t xml:space="preserve"> that co</w:t>
      </w:r>
      <w:r>
        <w:rPr>
          <w:rFonts w:eastAsiaTheme="minorHAnsi" w:cs="Times New Roman"/>
        </w:rPr>
        <w:t>-</w:t>
      </w:r>
      <w:r w:rsidRPr="00136956">
        <w:rPr>
          <w:rFonts w:eastAsiaTheme="minorHAnsi" w:cs="Times New Roman"/>
        </w:rPr>
        <w:lastRenderedPageBreak/>
        <w:t>operative federalism is able to meet those needs and, in this sense, to enable the goals of federalism to be realized</w:t>
      </w:r>
      <w:r w:rsidRPr="00136956">
        <w:rPr>
          <w:rFonts w:cs="Times New Roman"/>
        </w:rPr>
        <w:t xml:space="preserve">. </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t>In our opinion, the federal</w:t>
      </w:r>
      <w:r>
        <w:rPr>
          <w:rFonts w:cs="Times New Roman"/>
        </w:rPr>
        <w:t>-</w:t>
      </w:r>
      <w:r w:rsidRPr="00136956">
        <w:rPr>
          <w:rFonts w:cs="Times New Roman"/>
        </w:rPr>
        <w:t>provincial partnership with respect to firearms control is consistent with the spirit of co</w:t>
      </w:r>
      <w:r>
        <w:rPr>
          <w:rFonts w:cs="Times New Roman"/>
        </w:rPr>
        <w:t>-</w:t>
      </w:r>
      <w:r w:rsidRPr="00136956">
        <w:rPr>
          <w:rFonts w:cs="Times New Roman"/>
        </w:rPr>
        <w:t>operative federalism. This partnership has enabled the federal and provincial governments to work together, rather than in isolation, to achieve both federal (criminal law) and provincial (public safety and administration of justice) purposes.</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t>In the case at bar, this Court is not being asked to hold that a co</w:t>
      </w:r>
      <w:r>
        <w:rPr>
          <w:rFonts w:cs="Times New Roman"/>
        </w:rPr>
        <w:t>-</w:t>
      </w:r>
      <w:r w:rsidRPr="00136956">
        <w:rPr>
          <w:rFonts w:cs="Times New Roman"/>
        </w:rPr>
        <w:t>operative scheme based on the powers of both levels of government is valid. Rather, the AGQ is challenging the validity of a provision that contributes to the dismantling of a partnership that was created in the spirit of co</w:t>
      </w:r>
      <w:r>
        <w:rPr>
          <w:rFonts w:cs="Times New Roman"/>
        </w:rPr>
        <w:t>-</w:t>
      </w:r>
      <w:r w:rsidRPr="00136956">
        <w:rPr>
          <w:rFonts w:cs="Times New Roman"/>
        </w:rPr>
        <w:t>operative federalism. This situation is unique and novel.</w:t>
      </w:r>
    </w:p>
    <w:p w:rsidR="009278C8" w:rsidRPr="00136956" w:rsidRDefault="009278C8" w:rsidP="009278C8">
      <w:pPr>
        <w:pStyle w:val="Title3LevelTitre3Niveau"/>
        <w:numPr>
          <w:ilvl w:val="2"/>
          <w:numId w:val="8"/>
        </w:numPr>
        <w:rPr>
          <w:rFonts w:cs="Times New Roman"/>
        </w:rPr>
      </w:pPr>
      <w:bookmarkStart w:id="1125" w:name="_Toc413306879"/>
      <w:r w:rsidRPr="00136956">
        <w:rPr>
          <w:rFonts w:cs="Times New Roman"/>
        </w:rPr>
        <w:t>The End of a Partnership Based on “Co</w:t>
      </w:r>
      <w:r>
        <w:rPr>
          <w:rFonts w:cs="Times New Roman"/>
        </w:rPr>
        <w:t>-</w:t>
      </w:r>
      <w:r w:rsidRPr="00136956">
        <w:rPr>
          <w:rFonts w:cs="Times New Roman"/>
        </w:rPr>
        <w:t>operative Federalism”</w:t>
      </w:r>
      <w:bookmarkEnd w:id="1125"/>
    </w:p>
    <w:p w:rsidR="009278C8" w:rsidRPr="00136956" w:rsidRDefault="009278C8" w:rsidP="009278C8">
      <w:pPr>
        <w:pStyle w:val="ParaNoNdepar-AltN"/>
        <w:tabs>
          <w:tab w:val="clear" w:pos="1166"/>
          <w:tab w:val="num" w:pos="1152"/>
        </w:tabs>
        <w:rPr>
          <w:rFonts w:eastAsiaTheme="minorHAnsi" w:cs="Times New Roman"/>
        </w:rPr>
      </w:pPr>
      <w:r w:rsidRPr="00136956">
        <w:rPr>
          <w:rFonts w:eastAsiaTheme="minorHAnsi" w:cs="Times New Roman"/>
        </w:rPr>
        <w:t>In the novel circumstances of this case, our analysis must be guided by the Constitution’s unwritten principles. In particular, we must be careful not to pla</w:t>
      </w:r>
      <w:r>
        <w:rPr>
          <w:rFonts w:eastAsiaTheme="minorHAnsi" w:cs="Times New Roman"/>
        </w:rPr>
        <w:t>ce the principle of federalism and</w:t>
      </w:r>
      <w:r w:rsidRPr="00136956">
        <w:rPr>
          <w:rFonts w:eastAsiaTheme="minorHAnsi" w:cs="Times New Roman"/>
        </w:rPr>
        <w:t xml:space="preserve"> its modern form — co</w:t>
      </w:r>
      <w:r>
        <w:rPr>
          <w:rFonts w:eastAsiaTheme="minorHAnsi" w:cs="Times New Roman"/>
        </w:rPr>
        <w:t>-</w:t>
      </w:r>
      <w:r w:rsidRPr="00136956">
        <w:rPr>
          <w:rFonts w:eastAsiaTheme="minorHAnsi" w:cs="Times New Roman"/>
        </w:rPr>
        <w:t xml:space="preserve">operative federalism — in jeopardy. As the Court has noted, “the very functioning of Canada’s federal system must continually be reassessed in light of the fundamental values it was designed to serve”: </w:t>
      </w:r>
      <w:r w:rsidRPr="00136956">
        <w:rPr>
          <w:rFonts w:eastAsiaTheme="minorHAnsi" w:cs="Times New Roman"/>
          <w:i/>
        </w:rPr>
        <w:t>Canadian Western Bank</w:t>
      </w:r>
      <w:r w:rsidRPr="00136956">
        <w:rPr>
          <w:rFonts w:eastAsiaTheme="minorHAnsi" w:cs="Times New Roman"/>
        </w:rPr>
        <w:t>, at para.</w:t>
      </w:r>
      <w:r>
        <w:rPr>
          <w:rFonts w:eastAsiaTheme="minorHAnsi" w:cs="Times New Roman"/>
        </w:rPr>
        <w:t xml:space="preserve"> </w:t>
      </w:r>
      <w:r w:rsidRPr="00136956">
        <w:rPr>
          <w:rFonts w:eastAsiaTheme="minorHAnsi" w:cs="Times New Roman"/>
        </w:rPr>
        <w:t xml:space="preserve">23. </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lastRenderedPageBreak/>
        <w:t>The dominant tide with respect to the division of powers admits of overlapping powers and favours co</w:t>
      </w:r>
      <w:r>
        <w:rPr>
          <w:rFonts w:cs="Times New Roman"/>
        </w:rPr>
        <w:t>-</w:t>
      </w:r>
      <w:r w:rsidRPr="00136956">
        <w:rPr>
          <w:rFonts w:cs="Times New Roman"/>
        </w:rPr>
        <w:t>operation between the different levels of governments. It also supports the validity of schemes established jointly through partnerships developed between members of our federation. In our opinion, our courts must protect such schemes both when they are implemented and when they are dismantled. It would hardly make sense to encourage co</w:t>
      </w:r>
      <w:r>
        <w:rPr>
          <w:rFonts w:cs="Times New Roman"/>
        </w:rPr>
        <w:t>-</w:t>
      </w:r>
      <w:r w:rsidRPr="00136956">
        <w:rPr>
          <w:rFonts w:cs="Times New Roman"/>
        </w:rPr>
        <w:t xml:space="preserve">operation and find that schemes established in the context of a partnership are valid while at the same time refusing to take this particular context into account when those schemes are terminated. </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t>In our opinion, the dismantling of a partnership like the one established with respect to gun control must be carried out in a manner that is compatible with the principle of federalism that underlies our Constitution. Thus, Parliament or a provincial legislature cannot adopt legislation to terminate such a partnership without taking into account the reasonably foreseeable consequences of the decision to do so for the other partner. The courts must, in considering whether legislation or a statutory provision having as its purpose to dismantle the partnership is constitutional, be aware of the impact of that legislation or provision on the other partner’s exercise of its powers, especially when the partner that terminates the relationship is intentionally bringing about that impact.</w:t>
      </w:r>
    </w:p>
    <w:p w:rsidR="009278C8" w:rsidRPr="00136956" w:rsidRDefault="009278C8" w:rsidP="009278C8">
      <w:pPr>
        <w:pStyle w:val="ParaNoNdepar-AltN"/>
        <w:tabs>
          <w:tab w:val="clear" w:pos="1166"/>
          <w:tab w:val="num" w:pos="1152"/>
        </w:tabs>
        <w:rPr>
          <w:rFonts w:cs="Times New Roman"/>
          <w:i/>
          <w:iCs/>
          <w:spacing w:val="-3"/>
        </w:rPr>
      </w:pPr>
      <w:r w:rsidRPr="00136956">
        <w:rPr>
          <w:rFonts w:cs="Times New Roman"/>
        </w:rPr>
        <w:t>In other words, a co</w:t>
      </w:r>
      <w:r>
        <w:rPr>
          <w:rFonts w:cs="Times New Roman"/>
        </w:rPr>
        <w:t>-</w:t>
      </w:r>
      <w:r w:rsidRPr="00136956">
        <w:rPr>
          <w:rFonts w:cs="Times New Roman"/>
        </w:rPr>
        <w:t xml:space="preserve">operative scheme from which both the federal and provincial governments benefit cannot be dismantled unilaterally by one of the parties without taking the impact of such a decision on its partner’s heads of power into </w:t>
      </w:r>
      <w:r w:rsidRPr="00136956">
        <w:rPr>
          <w:rFonts w:cs="Times New Roman"/>
        </w:rPr>
        <w:lastRenderedPageBreak/>
        <w:t>account. To conclude otherwise would be to accept a one</w:t>
      </w:r>
      <w:r>
        <w:rPr>
          <w:rFonts w:cs="Times New Roman"/>
        </w:rPr>
        <w:t>-</w:t>
      </w:r>
      <w:r w:rsidRPr="00136956">
        <w:rPr>
          <w:rFonts w:cs="Times New Roman"/>
        </w:rPr>
        <w:t>way form of co</w:t>
      </w:r>
      <w:r>
        <w:rPr>
          <w:rFonts w:cs="Times New Roman"/>
        </w:rPr>
        <w:t>-</w:t>
      </w:r>
      <w:r w:rsidRPr="00136956">
        <w:rPr>
          <w:rFonts w:cs="Times New Roman"/>
        </w:rPr>
        <w:t>operative federalism. That would upset the balance between, on the one hand, the principle of co</w:t>
      </w:r>
      <w:r>
        <w:rPr>
          <w:rFonts w:cs="Times New Roman"/>
        </w:rPr>
        <w:t>-</w:t>
      </w:r>
      <w:r w:rsidRPr="00136956">
        <w:rPr>
          <w:rFonts w:cs="Times New Roman"/>
        </w:rPr>
        <w:t>operative federalism — which permits a government at one level to pass laws that have an impact on the powers of the other level — and, on the other hand, the doctrine of interjurisdictional immunity — which is inherent in the principle of federalism. The requirement that a government respect the other level’s powers is all the more important when the parties have chosen to form a partnership. In a co</w:t>
      </w:r>
      <w:r>
        <w:rPr>
          <w:rFonts w:cs="Times New Roman"/>
        </w:rPr>
        <w:t>-</w:t>
      </w:r>
      <w:r w:rsidRPr="00136956">
        <w:rPr>
          <w:rFonts w:cs="Times New Roman"/>
        </w:rPr>
        <w:t xml:space="preserve">operative context, actions of a government at one level can have serious consequences for the other level. It is therefore necessary to show vigilance for the increased risk of disrupting the constitutional balance that </w:t>
      </w:r>
      <w:r w:rsidR="00AC0630">
        <w:rPr>
          <w:rFonts w:cs="Times New Roman"/>
        </w:rPr>
        <w:t>is protected by</w:t>
      </w:r>
      <w:r w:rsidRPr="00136956">
        <w:rPr>
          <w:rFonts w:cs="Times New Roman"/>
        </w:rPr>
        <w:t xml:space="preserve"> the principle of federalism. The concern here is not to alter the separation of powers in our Constitution through the application of co</w:t>
      </w:r>
      <w:r>
        <w:rPr>
          <w:rFonts w:cs="Times New Roman"/>
        </w:rPr>
        <w:t>-</w:t>
      </w:r>
      <w:r w:rsidRPr="00136956">
        <w:rPr>
          <w:rFonts w:cs="Times New Roman"/>
        </w:rPr>
        <w:t xml:space="preserve">operative federalism, but to ensure that it is respected. The Court explained this as follows in </w:t>
      </w:r>
      <w:r w:rsidRPr="00136956">
        <w:rPr>
          <w:rFonts w:cs="Times New Roman"/>
          <w:i/>
        </w:rPr>
        <w:t>Reference re Securities Act</w:t>
      </w:r>
      <w:r w:rsidRPr="00136956">
        <w:rPr>
          <w:rFonts w:cs="Times New Roman"/>
        </w:rPr>
        <w:t>:</w:t>
      </w:r>
      <w:r w:rsidRPr="00136956">
        <w:rPr>
          <w:rFonts w:cs="Times New Roman"/>
          <w:i/>
          <w:iCs/>
          <w:spacing w:val="-3"/>
        </w:rPr>
        <w:t xml:space="preserve"> </w:t>
      </w:r>
    </w:p>
    <w:p w:rsidR="009278C8" w:rsidRPr="00136956" w:rsidRDefault="009278C8" w:rsidP="009278C8">
      <w:pPr>
        <w:pStyle w:val="Citation-AltC"/>
        <w:tabs>
          <w:tab w:val="left" w:pos="1560"/>
        </w:tabs>
        <w:spacing w:after="240"/>
        <w:ind w:hanging="1166"/>
        <w:contextualSpacing w:val="0"/>
      </w:pPr>
      <w:r w:rsidRPr="00136956">
        <w:tab/>
        <w:t xml:space="preserve">Yet we may appropriately note the growing practice of resolving the complex governance problems that arise in federations, not by the bare logic of either/or, but by seeking cooperative solutions that meet the needs of the country as a whole as well as its constituent parts. </w:t>
      </w:r>
    </w:p>
    <w:p w:rsidR="009278C8" w:rsidRPr="00136956" w:rsidRDefault="009278C8" w:rsidP="009278C8">
      <w:pPr>
        <w:pStyle w:val="Citation-AltC"/>
        <w:tabs>
          <w:tab w:val="left" w:pos="1560"/>
        </w:tabs>
        <w:ind w:hanging="1166"/>
        <w:contextualSpacing w:val="0"/>
      </w:pPr>
      <w:r w:rsidRPr="00136956">
        <w:tab/>
      </w:r>
      <w:r w:rsidRPr="00136956">
        <w:tab/>
        <w:t xml:space="preserve">Such an approach is supported by the Canadian constitutional principles and by the practice adopted by the federal and provincial governments in other fields of activities. </w:t>
      </w:r>
      <w:r w:rsidRPr="00136956">
        <w:rPr>
          <w:u w:val="single"/>
        </w:rPr>
        <w:t>The backbone of these schemes is the respect that each level of government has for each other’s own sphere of jurisdiction. Cooperation is the animating force. The federalism principle upon which Canada’s constitutional framework rests demands nothing less.</w:t>
      </w:r>
      <w:r w:rsidRPr="00136956">
        <w:t xml:space="preserve"> [Emphasis added; paras.</w:t>
      </w:r>
      <w:r>
        <w:t xml:space="preserve"> </w:t>
      </w:r>
      <w:r w:rsidRPr="00136956">
        <w:t>132</w:t>
      </w:r>
      <w:r>
        <w:t>-</w:t>
      </w:r>
      <w:r w:rsidRPr="00136956">
        <w:t>33.]</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t xml:space="preserve">We could not state these principles more clearly than the Court has already done in </w:t>
      </w:r>
      <w:r w:rsidRPr="00136956">
        <w:rPr>
          <w:rFonts w:cs="Times New Roman"/>
          <w:i/>
          <w:iCs/>
        </w:rPr>
        <w:t>Reference re Assisted Human Reproduction Act</w:t>
      </w:r>
      <w:r w:rsidRPr="00136956">
        <w:rPr>
          <w:rFonts w:cs="Times New Roman"/>
        </w:rPr>
        <w:t xml:space="preserve">: </w:t>
      </w:r>
    </w:p>
    <w:p w:rsidR="009278C8" w:rsidRPr="00136956" w:rsidRDefault="009278C8" w:rsidP="009278C8">
      <w:pPr>
        <w:pStyle w:val="Citation-AltC"/>
        <w:tabs>
          <w:tab w:val="left" w:pos="1560"/>
        </w:tabs>
        <w:ind w:hanging="1166"/>
        <w:contextualSpacing w:val="0"/>
      </w:pPr>
      <w:r w:rsidRPr="00136956">
        <w:lastRenderedPageBreak/>
        <w:tab/>
      </w:r>
      <w:r w:rsidRPr="00136956">
        <w:tab/>
        <w:t>In short, care must be taken to maintain the constitutional balance of powers at all stages of the constitutional analysis. Be it in identifying the pith and substance of a statute or a provision or in reviewing the limits of an assigned power or of the exercise of an ancillary power, the courts must bear the importance of the unwritten constitutional principles in mind and must adhere to them. [para.</w:t>
      </w:r>
      <w:r>
        <w:t xml:space="preserve"> </w:t>
      </w:r>
      <w:r w:rsidRPr="00136956">
        <w:t>196]</w:t>
      </w:r>
    </w:p>
    <w:p w:rsidR="009278C8" w:rsidRPr="00136956" w:rsidRDefault="009278C8" w:rsidP="009278C8">
      <w:pPr>
        <w:pStyle w:val="ParaNoNdepar-AltN"/>
        <w:tabs>
          <w:tab w:val="clear" w:pos="1166"/>
          <w:tab w:val="num" w:pos="1152"/>
        </w:tabs>
        <w:rPr>
          <w:rFonts w:eastAsiaTheme="minorHAnsi" w:cs="Times New Roman"/>
        </w:rPr>
      </w:pPr>
      <w:r w:rsidRPr="00136956">
        <w:rPr>
          <w:rFonts w:cs="Times New Roman"/>
        </w:rPr>
        <w:t>Thus, subject to adherence to the above</w:t>
      </w:r>
      <w:r>
        <w:rPr>
          <w:rFonts w:cs="Times New Roman"/>
        </w:rPr>
        <w:t>-</w:t>
      </w:r>
      <w:r w:rsidRPr="00136956">
        <w:rPr>
          <w:rFonts w:cs="Times New Roman"/>
        </w:rPr>
        <w:t>mentioned principles, the courts nonetheless must not stray from the analytical framework applicable to the division of powers. To determine whether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is valid, it is therefore necessary to consider that framework and these principles.</w:t>
      </w:r>
    </w:p>
    <w:p w:rsidR="009278C8" w:rsidRPr="00136956" w:rsidRDefault="009278C8" w:rsidP="009278C8">
      <w:pPr>
        <w:pStyle w:val="Title2LevelTitre2Niveau"/>
        <w:tabs>
          <w:tab w:val="clear" w:pos="576"/>
          <w:tab w:val="num" w:pos="432"/>
        </w:tabs>
        <w:ind w:left="432" w:hanging="432"/>
        <w:outlineLvl w:val="0"/>
        <w:rPr>
          <w:rFonts w:cs="Times New Roman"/>
        </w:rPr>
      </w:pPr>
      <w:bookmarkStart w:id="1126" w:name="_Toc402520586"/>
      <w:bookmarkStart w:id="1127" w:name="_Toc402520797"/>
      <w:bookmarkStart w:id="1128" w:name="_Toc402520897"/>
      <w:bookmarkStart w:id="1129" w:name="_Toc402520587"/>
      <w:bookmarkStart w:id="1130" w:name="_Toc402520798"/>
      <w:bookmarkStart w:id="1131" w:name="_Toc402520898"/>
      <w:bookmarkStart w:id="1132" w:name="_Toc402520588"/>
      <w:bookmarkStart w:id="1133" w:name="_Toc402520799"/>
      <w:bookmarkStart w:id="1134" w:name="_Toc402520899"/>
      <w:bookmarkStart w:id="1135" w:name="_Toc402520590"/>
      <w:bookmarkStart w:id="1136" w:name="_Toc402520801"/>
      <w:bookmarkStart w:id="1137" w:name="_Toc402520901"/>
      <w:bookmarkStart w:id="1138" w:name="_Toc402520591"/>
      <w:bookmarkStart w:id="1139" w:name="_Toc402520802"/>
      <w:bookmarkStart w:id="1140" w:name="_Toc402520902"/>
      <w:bookmarkStart w:id="1141" w:name="_Toc402520592"/>
      <w:bookmarkStart w:id="1142" w:name="_Toc402520803"/>
      <w:bookmarkStart w:id="1143" w:name="_Toc402520903"/>
      <w:bookmarkStart w:id="1144" w:name="_Toc402520593"/>
      <w:bookmarkStart w:id="1145" w:name="_Toc402520804"/>
      <w:bookmarkStart w:id="1146" w:name="_Toc402520904"/>
      <w:bookmarkStart w:id="1147" w:name="_Toc402520594"/>
      <w:bookmarkStart w:id="1148" w:name="_Toc402520805"/>
      <w:bookmarkStart w:id="1149" w:name="_Toc402520905"/>
      <w:bookmarkStart w:id="1150" w:name="_Toc402520595"/>
      <w:bookmarkStart w:id="1151" w:name="_Toc402520806"/>
      <w:bookmarkStart w:id="1152" w:name="_Toc402520906"/>
      <w:bookmarkStart w:id="1153" w:name="_Toc402520596"/>
      <w:bookmarkStart w:id="1154" w:name="_Toc402520807"/>
      <w:bookmarkStart w:id="1155" w:name="_Toc402520907"/>
      <w:bookmarkStart w:id="1156" w:name="_Toc402520597"/>
      <w:bookmarkStart w:id="1157" w:name="_Toc402520808"/>
      <w:bookmarkStart w:id="1158" w:name="_Toc402520908"/>
      <w:bookmarkStart w:id="1159" w:name="_Toc402520598"/>
      <w:bookmarkStart w:id="1160" w:name="_Toc402520809"/>
      <w:bookmarkStart w:id="1161" w:name="_Toc402520909"/>
      <w:bookmarkStart w:id="1162" w:name="_Toc402520599"/>
      <w:bookmarkStart w:id="1163" w:name="_Toc402520810"/>
      <w:bookmarkStart w:id="1164" w:name="_Toc402520910"/>
      <w:bookmarkStart w:id="1165" w:name="_Toc402520600"/>
      <w:bookmarkStart w:id="1166" w:name="_Toc402520811"/>
      <w:bookmarkStart w:id="1167" w:name="_Toc402520911"/>
      <w:bookmarkStart w:id="1168" w:name="_Toc402517728"/>
      <w:bookmarkStart w:id="1169" w:name="_Toc402520602"/>
      <w:bookmarkStart w:id="1170" w:name="_Toc402520813"/>
      <w:bookmarkStart w:id="1171" w:name="_Toc402520913"/>
      <w:bookmarkStart w:id="1172" w:name="_Toc402960754"/>
      <w:bookmarkStart w:id="1173" w:name="_Toc402973974"/>
      <w:bookmarkStart w:id="1174" w:name="_Toc402976089"/>
      <w:bookmarkStart w:id="1175" w:name="_Toc402976260"/>
      <w:bookmarkStart w:id="1176" w:name="_Toc402977138"/>
      <w:bookmarkStart w:id="1177" w:name="_Toc402987882"/>
      <w:bookmarkStart w:id="1178" w:name="_Toc402988972"/>
      <w:bookmarkStart w:id="1179" w:name="_Toc402517731"/>
      <w:bookmarkStart w:id="1180" w:name="_Toc402520605"/>
      <w:bookmarkStart w:id="1181" w:name="_Toc402517732"/>
      <w:bookmarkStart w:id="1182" w:name="_Toc402520606"/>
      <w:bookmarkStart w:id="1183" w:name="_Toc402426725"/>
      <w:bookmarkStart w:id="1184" w:name="_Toc402429928"/>
      <w:bookmarkStart w:id="1185" w:name="_Toc402430026"/>
      <w:bookmarkStart w:id="1186" w:name="_Toc402443637"/>
      <w:bookmarkStart w:id="1187" w:name="_Toc402443737"/>
      <w:bookmarkStart w:id="1188" w:name="_Toc402443837"/>
      <w:bookmarkStart w:id="1189" w:name="_Toc402517734"/>
      <w:bookmarkStart w:id="1190" w:name="_Toc402520608"/>
      <w:bookmarkStart w:id="1191" w:name="_Toc402520816"/>
      <w:bookmarkStart w:id="1192" w:name="_Toc402520916"/>
      <w:bookmarkStart w:id="1193" w:name="_Toc402976092"/>
      <w:bookmarkStart w:id="1194" w:name="_Toc402976263"/>
      <w:bookmarkStart w:id="1195" w:name="_Toc402977141"/>
      <w:bookmarkStart w:id="1196" w:name="_Toc402987885"/>
      <w:bookmarkStart w:id="1197" w:name="_Toc402988975"/>
      <w:bookmarkStart w:id="1198" w:name="_Toc402426726"/>
      <w:bookmarkStart w:id="1199" w:name="_Toc402429929"/>
      <w:bookmarkStart w:id="1200" w:name="_Toc402430027"/>
      <w:bookmarkStart w:id="1201" w:name="_Toc402443638"/>
      <w:bookmarkStart w:id="1202" w:name="_Toc402443738"/>
      <w:bookmarkStart w:id="1203" w:name="_Toc402443838"/>
      <w:bookmarkStart w:id="1204" w:name="_Toc402517735"/>
      <w:bookmarkStart w:id="1205" w:name="_Toc402520609"/>
      <w:bookmarkStart w:id="1206" w:name="_Toc402520817"/>
      <w:bookmarkStart w:id="1207" w:name="_Toc402520917"/>
      <w:bookmarkStart w:id="1208" w:name="_Toc402960758"/>
      <w:bookmarkStart w:id="1209" w:name="_Toc402973978"/>
      <w:bookmarkStart w:id="1210" w:name="_Toc402976093"/>
      <w:bookmarkStart w:id="1211" w:name="_Toc402976264"/>
      <w:bookmarkStart w:id="1212" w:name="_Toc402977142"/>
      <w:bookmarkStart w:id="1213" w:name="_Toc402987886"/>
      <w:bookmarkStart w:id="1214" w:name="_Toc402988976"/>
      <w:bookmarkStart w:id="1215" w:name="_Toc402426727"/>
      <w:bookmarkStart w:id="1216" w:name="_Toc402429930"/>
      <w:bookmarkStart w:id="1217" w:name="_Toc402430028"/>
      <w:bookmarkStart w:id="1218" w:name="_Toc402443639"/>
      <w:bookmarkStart w:id="1219" w:name="_Toc402443739"/>
      <w:bookmarkStart w:id="1220" w:name="_Toc402443839"/>
      <w:bookmarkStart w:id="1221" w:name="_Toc402517736"/>
      <w:bookmarkStart w:id="1222" w:name="_Toc402520610"/>
      <w:bookmarkStart w:id="1223" w:name="_Toc402520818"/>
      <w:bookmarkStart w:id="1224" w:name="_Toc402520918"/>
      <w:bookmarkStart w:id="1225" w:name="_Toc402960759"/>
      <w:bookmarkStart w:id="1226" w:name="_Toc402973979"/>
      <w:bookmarkStart w:id="1227" w:name="_Toc402976094"/>
      <w:bookmarkStart w:id="1228" w:name="_Toc402976265"/>
      <w:bookmarkStart w:id="1229" w:name="_Toc402977143"/>
      <w:bookmarkStart w:id="1230" w:name="_Toc402987887"/>
      <w:bookmarkStart w:id="1231" w:name="_Toc402988977"/>
      <w:bookmarkStart w:id="1232" w:name="_Toc402976095"/>
      <w:bookmarkStart w:id="1233" w:name="_Toc402976266"/>
      <w:bookmarkStart w:id="1234" w:name="_Toc402977144"/>
      <w:bookmarkStart w:id="1235" w:name="_Toc402987888"/>
      <w:bookmarkStart w:id="1236" w:name="_Toc402988978"/>
      <w:bookmarkStart w:id="1237" w:name="_Toc402211727"/>
      <w:bookmarkStart w:id="1238" w:name="_Toc402211896"/>
      <w:bookmarkStart w:id="1239" w:name="_Toc402212034"/>
      <w:bookmarkStart w:id="1240" w:name="_Toc402212172"/>
      <w:bookmarkStart w:id="1241" w:name="_Toc402212310"/>
      <w:bookmarkStart w:id="1242" w:name="_Toc402212487"/>
      <w:bookmarkStart w:id="1243" w:name="_Toc402215795"/>
      <w:bookmarkStart w:id="1244" w:name="_Toc402217005"/>
      <w:bookmarkStart w:id="1245" w:name="_Toc402217214"/>
      <w:bookmarkStart w:id="1246" w:name="_Toc402217358"/>
      <w:bookmarkStart w:id="1247" w:name="_Toc402217502"/>
      <w:bookmarkStart w:id="1248" w:name="_Toc402211473"/>
      <w:bookmarkStart w:id="1249" w:name="_Toc402211728"/>
      <w:bookmarkStart w:id="1250" w:name="_Toc402211897"/>
      <w:bookmarkStart w:id="1251" w:name="_Toc402212035"/>
      <w:bookmarkStart w:id="1252" w:name="_Toc402212173"/>
      <w:bookmarkStart w:id="1253" w:name="_Toc402212311"/>
      <w:bookmarkStart w:id="1254" w:name="_Toc402212488"/>
      <w:bookmarkStart w:id="1255" w:name="_Toc402215796"/>
      <w:bookmarkStart w:id="1256" w:name="_Toc402217006"/>
      <w:bookmarkStart w:id="1257" w:name="_Toc402217215"/>
      <w:bookmarkStart w:id="1258" w:name="_Toc402217359"/>
      <w:bookmarkStart w:id="1259" w:name="_Toc402217503"/>
      <w:bookmarkStart w:id="1260" w:name="_Toc402211474"/>
      <w:bookmarkStart w:id="1261" w:name="_Toc402211729"/>
      <w:bookmarkStart w:id="1262" w:name="_Toc402211898"/>
      <w:bookmarkStart w:id="1263" w:name="_Toc402212036"/>
      <w:bookmarkStart w:id="1264" w:name="_Toc402212174"/>
      <w:bookmarkStart w:id="1265" w:name="_Toc402212312"/>
      <w:bookmarkStart w:id="1266" w:name="_Toc402212489"/>
      <w:bookmarkStart w:id="1267" w:name="_Toc402215797"/>
      <w:bookmarkStart w:id="1268" w:name="_Toc402217007"/>
      <w:bookmarkStart w:id="1269" w:name="_Toc402217216"/>
      <w:bookmarkStart w:id="1270" w:name="_Toc402217360"/>
      <w:bookmarkStart w:id="1271" w:name="_Toc402217504"/>
      <w:bookmarkStart w:id="1272" w:name="_Toc402211475"/>
      <w:bookmarkStart w:id="1273" w:name="_Toc402211730"/>
      <w:bookmarkStart w:id="1274" w:name="_Toc402211899"/>
      <w:bookmarkStart w:id="1275" w:name="_Toc402212037"/>
      <w:bookmarkStart w:id="1276" w:name="_Toc402212175"/>
      <w:bookmarkStart w:id="1277" w:name="_Toc402212313"/>
      <w:bookmarkStart w:id="1278" w:name="_Toc402212490"/>
      <w:bookmarkStart w:id="1279" w:name="_Toc402215798"/>
      <w:bookmarkStart w:id="1280" w:name="_Toc402217008"/>
      <w:bookmarkStart w:id="1281" w:name="_Toc402217217"/>
      <w:bookmarkStart w:id="1282" w:name="_Toc402217361"/>
      <w:bookmarkStart w:id="1283" w:name="_Toc402217505"/>
      <w:bookmarkStart w:id="1284" w:name="_Toc402211476"/>
      <w:bookmarkStart w:id="1285" w:name="_Toc402211731"/>
      <w:bookmarkStart w:id="1286" w:name="_Toc402211900"/>
      <w:bookmarkStart w:id="1287" w:name="_Toc402212038"/>
      <w:bookmarkStart w:id="1288" w:name="_Toc402212176"/>
      <w:bookmarkStart w:id="1289" w:name="_Toc402212314"/>
      <w:bookmarkStart w:id="1290" w:name="_Toc402212491"/>
      <w:bookmarkStart w:id="1291" w:name="_Toc402215799"/>
      <w:bookmarkStart w:id="1292" w:name="_Toc402217009"/>
      <w:bookmarkStart w:id="1293" w:name="_Toc402217218"/>
      <w:bookmarkStart w:id="1294" w:name="_Toc402217362"/>
      <w:bookmarkStart w:id="1295" w:name="_Toc402217506"/>
      <w:bookmarkStart w:id="1296" w:name="_Toc402211477"/>
      <w:bookmarkStart w:id="1297" w:name="_Toc402211732"/>
      <w:bookmarkStart w:id="1298" w:name="_Toc402211901"/>
      <w:bookmarkStart w:id="1299" w:name="_Toc402212039"/>
      <w:bookmarkStart w:id="1300" w:name="_Toc402212177"/>
      <w:bookmarkStart w:id="1301" w:name="_Toc402212315"/>
      <w:bookmarkStart w:id="1302" w:name="_Toc402212492"/>
      <w:bookmarkStart w:id="1303" w:name="_Toc402215800"/>
      <w:bookmarkStart w:id="1304" w:name="_Toc402217010"/>
      <w:bookmarkStart w:id="1305" w:name="_Toc402217219"/>
      <w:bookmarkStart w:id="1306" w:name="_Toc402217363"/>
      <w:bookmarkStart w:id="1307" w:name="_Toc402217507"/>
      <w:bookmarkStart w:id="1308" w:name="_Toc402211478"/>
      <w:bookmarkStart w:id="1309" w:name="_Toc402211733"/>
      <w:bookmarkStart w:id="1310" w:name="_Toc402211902"/>
      <w:bookmarkStart w:id="1311" w:name="_Toc402212040"/>
      <w:bookmarkStart w:id="1312" w:name="_Toc402212178"/>
      <w:bookmarkStart w:id="1313" w:name="_Toc402212316"/>
      <w:bookmarkStart w:id="1314" w:name="_Toc402212493"/>
      <w:bookmarkStart w:id="1315" w:name="_Toc402215801"/>
      <w:bookmarkStart w:id="1316" w:name="_Toc402217011"/>
      <w:bookmarkStart w:id="1317" w:name="_Toc402217220"/>
      <w:bookmarkStart w:id="1318" w:name="_Toc402217364"/>
      <w:bookmarkStart w:id="1319" w:name="_Toc402217508"/>
      <w:bookmarkStart w:id="1320" w:name="_Toc402211479"/>
      <w:bookmarkStart w:id="1321" w:name="_Toc402211734"/>
      <w:bookmarkStart w:id="1322" w:name="_Toc402211903"/>
      <w:bookmarkStart w:id="1323" w:name="_Toc402212041"/>
      <w:bookmarkStart w:id="1324" w:name="_Toc402212179"/>
      <w:bookmarkStart w:id="1325" w:name="_Toc402212317"/>
      <w:bookmarkStart w:id="1326" w:name="_Toc402212494"/>
      <w:bookmarkStart w:id="1327" w:name="_Toc402215802"/>
      <w:bookmarkStart w:id="1328" w:name="_Toc402217012"/>
      <w:bookmarkStart w:id="1329" w:name="_Toc402217221"/>
      <w:bookmarkStart w:id="1330" w:name="_Toc402217365"/>
      <w:bookmarkStart w:id="1331" w:name="_Toc402217509"/>
      <w:bookmarkStart w:id="1332" w:name="_Toc402211480"/>
      <w:bookmarkStart w:id="1333" w:name="_Toc402211735"/>
      <w:bookmarkStart w:id="1334" w:name="_Toc402211904"/>
      <w:bookmarkStart w:id="1335" w:name="_Toc402212042"/>
      <w:bookmarkStart w:id="1336" w:name="_Toc402212180"/>
      <w:bookmarkStart w:id="1337" w:name="_Toc402212318"/>
      <w:bookmarkStart w:id="1338" w:name="_Toc402212495"/>
      <w:bookmarkStart w:id="1339" w:name="_Toc402215803"/>
      <w:bookmarkStart w:id="1340" w:name="_Toc402217013"/>
      <w:bookmarkStart w:id="1341" w:name="_Toc402217222"/>
      <w:bookmarkStart w:id="1342" w:name="_Toc402217366"/>
      <w:bookmarkStart w:id="1343" w:name="_Toc402217510"/>
      <w:bookmarkStart w:id="1344" w:name="_Toc402211481"/>
      <w:bookmarkStart w:id="1345" w:name="_Toc402211736"/>
      <w:bookmarkStart w:id="1346" w:name="_Toc402211905"/>
      <w:bookmarkStart w:id="1347" w:name="_Toc402212043"/>
      <w:bookmarkStart w:id="1348" w:name="_Toc402212181"/>
      <w:bookmarkStart w:id="1349" w:name="_Toc402212319"/>
      <w:bookmarkStart w:id="1350" w:name="_Toc402212496"/>
      <w:bookmarkStart w:id="1351" w:name="_Toc402215804"/>
      <w:bookmarkStart w:id="1352" w:name="_Toc402217014"/>
      <w:bookmarkStart w:id="1353" w:name="_Toc402217223"/>
      <w:bookmarkStart w:id="1354" w:name="_Toc402217367"/>
      <w:bookmarkStart w:id="1355" w:name="_Toc402217511"/>
      <w:bookmarkStart w:id="1356" w:name="_Toc402211482"/>
      <w:bookmarkStart w:id="1357" w:name="_Toc402211737"/>
      <w:bookmarkStart w:id="1358" w:name="_Toc402211906"/>
      <w:bookmarkStart w:id="1359" w:name="_Toc402212044"/>
      <w:bookmarkStart w:id="1360" w:name="_Toc402212182"/>
      <w:bookmarkStart w:id="1361" w:name="_Toc402212320"/>
      <w:bookmarkStart w:id="1362" w:name="_Toc402212497"/>
      <w:bookmarkStart w:id="1363" w:name="_Toc402215805"/>
      <w:bookmarkStart w:id="1364" w:name="_Toc402217015"/>
      <w:bookmarkStart w:id="1365" w:name="_Toc402217224"/>
      <w:bookmarkStart w:id="1366" w:name="_Toc402217368"/>
      <w:bookmarkStart w:id="1367" w:name="_Toc402217512"/>
      <w:bookmarkStart w:id="1368" w:name="_Toc402211483"/>
      <w:bookmarkStart w:id="1369" w:name="_Toc402211738"/>
      <w:bookmarkStart w:id="1370" w:name="_Toc402211907"/>
      <w:bookmarkStart w:id="1371" w:name="_Toc402212045"/>
      <w:bookmarkStart w:id="1372" w:name="_Toc402212183"/>
      <w:bookmarkStart w:id="1373" w:name="_Toc402212321"/>
      <w:bookmarkStart w:id="1374" w:name="_Toc402212498"/>
      <w:bookmarkStart w:id="1375" w:name="_Toc402215806"/>
      <w:bookmarkStart w:id="1376" w:name="_Toc402217016"/>
      <w:bookmarkStart w:id="1377" w:name="_Toc402217225"/>
      <w:bookmarkStart w:id="1378" w:name="_Toc402217369"/>
      <w:bookmarkStart w:id="1379" w:name="_Toc402217513"/>
      <w:bookmarkStart w:id="1380" w:name="_Toc402211484"/>
      <w:bookmarkStart w:id="1381" w:name="_Toc402211739"/>
      <w:bookmarkStart w:id="1382" w:name="_Toc402211908"/>
      <w:bookmarkStart w:id="1383" w:name="_Toc402212046"/>
      <w:bookmarkStart w:id="1384" w:name="_Toc402212184"/>
      <w:bookmarkStart w:id="1385" w:name="_Toc402212322"/>
      <w:bookmarkStart w:id="1386" w:name="_Toc402212499"/>
      <w:bookmarkStart w:id="1387" w:name="_Toc402215807"/>
      <w:bookmarkStart w:id="1388" w:name="_Toc402217017"/>
      <w:bookmarkStart w:id="1389" w:name="_Toc402217226"/>
      <w:bookmarkStart w:id="1390" w:name="_Toc402217370"/>
      <w:bookmarkStart w:id="1391" w:name="_Toc402217514"/>
      <w:bookmarkStart w:id="1392" w:name="_Toc402211485"/>
      <w:bookmarkStart w:id="1393" w:name="_Toc402211740"/>
      <w:bookmarkStart w:id="1394" w:name="_Toc402211909"/>
      <w:bookmarkStart w:id="1395" w:name="_Toc402212047"/>
      <w:bookmarkStart w:id="1396" w:name="_Toc402212185"/>
      <w:bookmarkStart w:id="1397" w:name="_Toc402212323"/>
      <w:bookmarkStart w:id="1398" w:name="_Toc402212500"/>
      <w:bookmarkStart w:id="1399" w:name="_Toc402215808"/>
      <w:bookmarkStart w:id="1400" w:name="_Toc402217018"/>
      <w:bookmarkStart w:id="1401" w:name="_Toc402217227"/>
      <w:bookmarkStart w:id="1402" w:name="_Toc402217371"/>
      <w:bookmarkStart w:id="1403" w:name="_Toc402217515"/>
      <w:bookmarkStart w:id="1404" w:name="_Toc402211486"/>
      <w:bookmarkStart w:id="1405" w:name="_Toc402211741"/>
      <w:bookmarkStart w:id="1406" w:name="_Toc402211910"/>
      <w:bookmarkStart w:id="1407" w:name="_Toc402212048"/>
      <w:bookmarkStart w:id="1408" w:name="_Toc402212186"/>
      <w:bookmarkStart w:id="1409" w:name="_Toc402212324"/>
      <w:bookmarkStart w:id="1410" w:name="_Toc402212501"/>
      <w:bookmarkStart w:id="1411" w:name="_Toc402215809"/>
      <w:bookmarkStart w:id="1412" w:name="_Toc402217019"/>
      <w:bookmarkStart w:id="1413" w:name="_Toc402217228"/>
      <w:bookmarkStart w:id="1414" w:name="_Toc402217372"/>
      <w:bookmarkStart w:id="1415" w:name="_Toc402217516"/>
      <w:bookmarkStart w:id="1416" w:name="_Toc402211487"/>
      <w:bookmarkStart w:id="1417" w:name="_Toc402211742"/>
      <w:bookmarkStart w:id="1418" w:name="_Toc402211911"/>
      <w:bookmarkStart w:id="1419" w:name="_Toc402212049"/>
      <w:bookmarkStart w:id="1420" w:name="_Toc402212187"/>
      <w:bookmarkStart w:id="1421" w:name="_Toc402212325"/>
      <w:bookmarkStart w:id="1422" w:name="_Toc402212502"/>
      <w:bookmarkStart w:id="1423" w:name="_Toc402215810"/>
      <w:bookmarkStart w:id="1424" w:name="_Toc402217020"/>
      <w:bookmarkStart w:id="1425" w:name="_Toc402217229"/>
      <w:bookmarkStart w:id="1426" w:name="_Toc402217373"/>
      <w:bookmarkStart w:id="1427" w:name="_Toc402217517"/>
      <w:bookmarkStart w:id="1428" w:name="_Toc402211488"/>
      <w:bookmarkStart w:id="1429" w:name="_Toc402211743"/>
      <w:bookmarkStart w:id="1430" w:name="_Toc402211912"/>
      <w:bookmarkStart w:id="1431" w:name="_Toc402212050"/>
      <w:bookmarkStart w:id="1432" w:name="_Toc402212188"/>
      <w:bookmarkStart w:id="1433" w:name="_Toc402212326"/>
      <w:bookmarkStart w:id="1434" w:name="_Toc402212503"/>
      <w:bookmarkStart w:id="1435" w:name="_Toc402215811"/>
      <w:bookmarkStart w:id="1436" w:name="_Toc402217021"/>
      <w:bookmarkStart w:id="1437" w:name="_Toc402217230"/>
      <w:bookmarkStart w:id="1438" w:name="_Toc402217374"/>
      <w:bookmarkStart w:id="1439" w:name="_Toc402217518"/>
      <w:bookmarkStart w:id="1440" w:name="_Toc402211489"/>
      <w:bookmarkStart w:id="1441" w:name="_Toc402211744"/>
      <w:bookmarkStart w:id="1442" w:name="_Toc402211913"/>
      <w:bookmarkStart w:id="1443" w:name="_Toc402212051"/>
      <w:bookmarkStart w:id="1444" w:name="_Toc402212189"/>
      <w:bookmarkStart w:id="1445" w:name="_Toc402212327"/>
      <w:bookmarkStart w:id="1446" w:name="_Toc402212504"/>
      <w:bookmarkStart w:id="1447" w:name="_Toc402215812"/>
      <w:bookmarkStart w:id="1448" w:name="_Toc402217022"/>
      <w:bookmarkStart w:id="1449" w:name="_Toc402217231"/>
      <w:bookmarkStart w:id="1450" w:name="_Toc402217375"/>
      <w:bookmarkStart w:id="1451" w:name="_Toc402217519"/>
      <w:bookmarkStart w:id="1452" w:name="_Toc402211490"/>
      <w:bookmarkStart w:id="1453" w:name="_Toc402211745"/>
      <w:bookmarkStart w:id="1454" w:name="_Toc402211914"/>
      <w:bookmarkStart w:id="1455" w:name="_Toc402212052"/>
      <w:bookmarkStart w:id="1456" w:name="_Toc402212190"/>
      <w:bookmarkStart w:id="1457" w:name="_Toc402212328"/>
      <w:bookmarkStart w:id="1458" w:name="_Toc402212505"/>
      <w:bookmarkStart w:id="1459" w:name="_Toc402215813"/>
      <w:bookmarkStart w:id="1460" w:name="_Toc402217023"/>
      <w:bookmarkStart w:id="1461" w:name="_Toc402217232"/>
      <w:bookmarkStart w:id="1462" w:name="_Toc402217376"/>
      <w:bookmarkStart w:id="1463" w:name="_Toc402217520"/>
      <w:bookmarkStart w:id="1464" w:name="_Toc402211491"/>
      <w:bookmarkStart w:id="1465" w:name="_Toc402211746"/>
      <w:bookmarkStart w:id="1466" w:name="_Toc402211915"/>
      <w:bookmarkStart w:id="1467" w:name="_Toc402212053"/>
      <w:bookmarkStart w:id="1468" w:name="_Toc402212191"/>
      <w:bookmarkStart w:id="1469" w:name="_Toc402212329"/>
      <w:bookmarkStart w:id="1470" w:name="_Toc402212506"/>
      <w:bookmarkStart w:id="1471" w:name="_Toc402215814"/>
      <w:bookmarkStart w:id="1472" w:name="_Toc402217024"/>
      <w:bookmarkStart w:id="1473" w:name="_Toc402217233"/>
      <w:bookmarkStart w:id="1474" w:name="_Toc402217377"/>
      <w:bookmarkStart w:id="1475" w:name="_Toc402217521"/>
      <w:bookmarkStart w:id="1476" w:name="_Toc402211492"/>
      <w:bookmarkStart w:id="1477" w:name="_Toc402211747"/>
      <w:bookmarkStart w:id="1478" w:name="_Toc402211916"/>
      <w:bookmarkStart w:id="1479" w:name="_Toc402212054"/>
      <w:bookmarkStart w:id="1480" w:name="_Toc402212192"/>
      <w:bookmarkStart w:id="1481" w:name="_Toc402212330"/>
      <w:bookmarkStart w:id="1482" w:name="_Toc402212507"/>
      <w:bookmarkStart w:id="1483" w:name="_Toc402215815"/>
      <w:bookmarkStart w:id="1484" w:name="_Toc402217025"/>
      <w:bookmarkStart w:id="1485" w:name="_Toc402217234"/>
      <w:bookmarkStart w:id="1486" w:name="_Toc402217378"/>
      <w:bookmarkStart w:id="1487" w:name="_Toc402217522"/>
      <w:bookmarkStart w:id="1488" w:name="_Toc402211493"/>
      <w:bookmarkStart w:id="1489" w:name="_Toc402211748"/>
      <w:bookmarkStart w:id="1490" w:name="_Toc402211917"/>
      <w:bookmarkStart w:id="1491" w:name="_Toc402212055"/>
      <w:bookmarkStart w:id="1492" w:name="_Toc402212193"/>
      <w:bookmarkStart w:id="1493" w:name="_Toc402212331"/>
      <w:bookmarkStart w:id="1494" w:name="_Toc402212508"/>
      <w:bookmarkStart w:id="1495" w:name="_Toc402215816"/>
      <w:bookmarkStart w:id="1496" w:name="_Toc402217026"/>
      <w:bookmarkStart w:id="1497" w:name="_Toc402217235"/>
      <w:bookmarkStart w:id="1498" w:name="_Toc402217379"/>
      <w:bookmarkStart w:id="1499" w:name="_Toc402217523"/>
      <w:bookmarkStart w:id="1500" w:name="_Toc402211494"/>
      <w:bookmarkStart w:id="1501" w:name="_Toc402211749"/>
      <w:bookmarkStart w:id="1502" w:name="_Toc402211918"/>
      <w:bookmarkStart w:id="1503" w:name="_Toc402212056"/>
      <w:bookmarkStart w:id="1504" w:name="_Toc402212194"/>
      <w:bookmarkStart w:id="1505" w:name="_Toc402212332"/>
      <w:bookmarkStart w:id="1506" w:name="_Toc402212509"/>
      <w:bookmarkStart w:id="1507" w:name="_Toc402215817"/>
      <w:bookmarkStart w:id="1508" w:name="_Toc402217027"/>
      <w:bookmarkStart w:id="1509" w:name="_Toc402217236"/>
      <w:bookmarkStart w:id="1510" w:name="_Toc402217380"/>
      <w:bookmarkStart w:id="1511" w:name="_Toc402217524"/>
      <w:bookmarkStart w:id="1512" w:name="_Toc402976102"/>
      <w:bookmarkStart w:id="1513" w:name="_Toc402976103"/>
      <w:bookmarkStart w:id="1514" w:name="_Toc402976104"/>
      <w:bookmarkStart w:id="1515" w:name="_Toc402976105"/>
      <w:bookmarkStart w:id="1516" w:name="_Toc402976106"/>
      <w:bookmarkStart w:id="1517" w:name="_Toc402976107"/>
      <w:bookmarkStart w:id="1518" w:name="_Toc402976108"/>
      <w:bookmarkStart w:id="1519" w:name="_Toc402976109"/>
      <w:bookmarkStart w:id="1520" w:name="_Toc402976110"/>
      <w:bookmarkStart w:id="1521" w:name="_Toc402976111"/>
      <w:bookmarkStart w:id="1522" w:name="_Toc402976112"/>
      <w:bookmarkStart w:id="1523" w:name="_Toc402976113"/>
      <w:bookmarkStart w:id="1524" w:name="_Toc402976114"/>
      <w:bookmarkStart w:id="1525" w:name="_Toc402976115"/>
      <w:bookmarkStart w:id="1526" w:name="_Toc402976116"/>
      <w:bookmarkStart w:id="1527" w:name="_Toc402976117"/>
      <w:bookmarkStart w:id="1528" w:name="_Toc402976118"/>
      <w:bookmarkStart w:id="1529" w:name="_Toc402976119"/>
      <w:bookmarkStart w:id="1530" w:name="_Toc402976121"/>
      <w:bookmarkStart w:id="1531" w:name="_Toc402976122"/>
      <w:bookmarkStart w:id="1532" w:name="_Toc402976123"/>
      <w:bookmarkStart w:id="1533" w:name="_Toc402976124"/>
      <w:bookmarkStart w:id="1534" w:name="_Toc402976125"/>
      <w:bookmarkStart w:id="1535" w:name="_Toc402960781"/>
      <w:bookmarkStart w:id="1536" w:name="_Toc402974001"/>
      <w:bookmarkStart w:id="1537" w:name="_Toc402976142"/>
      <w:bookmarkStart w:id="1538" w:name="_Toc402976288"/>
      <w:bookmarkStart w:id="1539" w:name="_Toc402977166"/>
      <w:bookmarkStart w:id="1540" w:name="_Toc402987911"/>
      <w:bookmarkStart w:id="1541" w:name="_Toc402989001"/>
      <w:bookmarkStart w:id="1542" w:name="_Toc402960782"/>
      <w:bookmarkStart w:id="1543" w:name="_Toc402974002"/>
      <w:bookmarkStart w:id="1544" w:name="_Toc402976143"/>
      <w:bookmarkStart w:id="1545" w:name="_Toc402976289"/>
      <w:bookmarkStart w:id="1546" w:name="_Toc402977167"/>
      <w:bookmarkStart w:id="1547" w:name="_Toc402987912"/>
      <w:bookmarkStart w:id="1548" w:name="_Toc402989002"/>
      <w:bookmarkStart w:id="1549" w:name="_Toc402960783"/>
      <w:bookmarkStart w:id="1550" w:name="_Toc402974003"/>
      <w:bookmarkStart w:id="1551" w:name="_Toc402976144"/>
      <w:bookmarkStart w:id="1552" w:name="_Toc402976290"/>
      <w:bookmarkStart w:id="1553" w:name="_Toc402977168"/>
      <w:bookmarkStart w:id="1554" w:name="_Toc402987913"/>
      <w:bookmarkStart w:id="1555" w:name="_Toc402989003"/>
      <w:bookmarkStart w:id="1556" w:name="_Toc402960784"/>
      <w:bookmarkStart w:id="1557" w:name="_Toc402974004"/>
      <w:bookmarkStart w:id="1558" w:name="_Toc402976145"/>
      <w:bookmarkStart w:id="1559" w:name="_Toc402976291"/>
      <w:bookmarkStart w:id="1560" w:name="_Toc402977169"/>
      <w:bookmarkStart w:id="1561" w:name="_Toc402987914"/>
      <w:bookmarkStart w:id="1562" w:name="_Toc402989004"/>
      <w:bookmarkStart w:id="1563" w:name="_Toc402960785"/>
      <w:bookmarkStart w:id="1564" w:name="_Toc402974005"/>
      <w:bookmarkStart w:id="1565" w:name="_Toc402976146"/>
      <w:bookmarkStart w:id="1566" w:name="_Toc402976292"/>
      <w:bookmarkStart w:id="1567" w:name="_Toc402977170"/>
      <w:bookmarkStart w:id="1568" w:name="_Toc402987915"/>
      <w:bookmarkStart w:id="1569" w:name="_Toc402989005"/>
      <w:bookmarkStart w:id="1570" w:name="_Toc402960786"/>
      <w:bookmarkStart w:id="1571" w:name="_Toc402974006"/>
      <w:bookmarkStart w:id="1572" w:name="_Toc402976147"/>
      <w:bookmarkStart w:id="1573" w:name="_Toc402976293"/>
      <w:bookmarkStart w:id="1574" w:name="_Toc402977171"/>
      <w:bookmarkStart w:id="1575" w:name="_Toc402987916"/>
      <w:bookmarkStart w:id="1576" w:name="_Toc402989006"/>
      <w:bookmarkStart w:id="1577" w:name="_Toc402960787"/>
      <w:bookmarkStart w:id="1578" w:name="_Toc402974007"/>
      <w:bookmarkStart w:id="1579" w:name="_Toc402976148"/>
      <w:bookmarkStart w:id="1580" w:name="_Toc402976294"/>
      <w:bookmarkStart w:id="1581" w:name="_Toc402977172"/>
      <w:bookmarkStart w:id="1582" w:name="_Toc402987917"/>
      <w:bookmarkStart w:id="1583" w:name="_Toc402989007"/>
      <w:bookmarkStart w:id="1584" w:name="_Toc402960788"/>
      <w:bookmarkStart w:id="1585" w:name="_Toc402974008"/>
      <w:bookmarkStart w:id="1586" w:name="_Toc402976149"/>
      <w:bookmarkStart w:id="1587" w:name="_Toc402976295"/>
      <w:bookmarkStart w:id="1588" w:name="_Toc402977173"/>
      <w:bookmarkStart w:id="1589" w:name="_Toc402987918"/>
      <w:bookmarkStart w:id="1590" w:name="_Toc402989008"/>
      <w:bookmarkStart w:id="1591" w:name="_Toc402960789"/>
      <w:bookmarkStart w:id="1592" w:name="_Toc402974009"/>
      <w:bookmarkStart w:id="1593" w:name="_Toc402976150"/>
      <w:bookmarkStart w:id="1594" w:name="_Toc402976296"/>
      <w:bookmarkStart w:id="1595" w:name="_Toc402977174"/>
      <w:bookmarkStart w:id="1596" w:name="_Toc402987919"/>
      <w:bookmarkStart w:id="1597" w:name="_Toc402989009"/>
      <w:bookmarkStart w:id="1598" w:name="_Toc402217038"/>
      <w:bookmarkStart w:id="1599" w:name="_Toc402217243"/>
      <w:bookmarkStart w:id="1600" w:name="_Toc402217387"/>
      <w:bookmarkStart w:id="1601" w:name="_Toc402217531"/>
      <w:bookmarkStart w:id="1602" w:name="_Toc402960790"/>
      <w:bookmarkStart w:id="1603" w:name="_Toc402974010"/>
      <w:bookmarkStart w:id="1604" w:name="_Toc402976151"/>
      <w:bookmarkStart w:id="1605" w:name="_Toc402976297"/>
      <w:bookmarkStart w:id="1606" w:name="_Toc402977175"/>
      <w:bookmarkStart w:id="1607" w:name="_Toc402987920"/>
      <w:bookmarkStart w:id="1608" w:name="_Toc402989010"/>
      <w:bookmarkStart w:id="1609" w:name="_Toc411583260"/>
      <w:bookmarkStart w:id="1610" w:name="_Toc413306880"/>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sidRPr="00136956">
        <w:rPr>
          <w:rFonts w:cs="Times New Roman"/>
        </w:rPr>
        <w:t>Constitutionality of Section</w:t>
      </w:r>
      <w:r>
        <w:rPr>
          <w:rFonts w:cs="Times New Roman"/>
        </w:rPr>
        <w:t xml:space="preserve"> </w:t>
      </w:r>
      <w:r w:rsidRPr="00136956">
        <w:rPr>
          <w:rFonts w:cs="Times New Roman"/>
        </w:rPr>
        <w:t xml:space="preserve">29 </w:t>
      </w:r>
      <w:bookmarkEnd w:id="1609"/>
      <w:r w:rsidRPr="00136956">
        <w:rPr>
          <w:rFonts w:cs="Times New Roman"/>
        </w:rPr>
        <w:t xml:space="preserve">of the </w:t>
      </w:r>
      <w:bookmarkEnd w:id="1610"/>
      <w:r w:rsidRPr="00136956">
        <w:rPr>
          <w:rFonts w:cs="Times New Roman"/>
        </w:rPr>
        <w:t>ELRA</w:t>
      </w:r>
    </w:p>
    <w:p w:rsidR="009278C8" w:rsidRPr="00136956" w:rsidRDefault="009278C8" w:rsidP="009278C8">
      <w:pPr>
        <w:pStyle w:val="ParaNoNdepar-AltN"/>
        <w:tabs>
          <w:tab w:val="clear" w:pos="1166"/>
          <w:tab w:val="num" w:pos="1152"/>
        </w:tabs>
        <w:rPr>
          <w:rFonts w:cs="Times New Roman"/>
        </w:rPr>
      </w:pPr>
      <w:r w:rsidRPr="00136956">
        <w:rPr>
          <w:rFonts w:cs="Times New Roman"/>
        </w:rPr>
        <w:t>In the instant case, the Court of Appeal strayed from the analytical approach the courts must take. It is true that Parliament can repeal or amend legislation it has validly enacted under one of its heads of power</w:t>
      </w:r>
      <w:r w:rsidRPr="00136956">
        <w:rPr>
          <w:rFonts w:eastAsia="Times New Roman" w:cs="Times New Roman"/>
          <w:kern w:val="36"/>
          <w:szCs w:val="24"/>
        </w:rPr>
        <w:t xml:space="preserve">: </w:t>
      </w:r>
      <w:r w:rsidRPr="00136956">
        <w:rPr>
          <w:rFonts w:cs="Times New Roman"/>
          <w:i/>
          <w:iCs/>
          <w:spacing w:val="-3"/>
        </w:rPr>
        <w:t>Reference re Canada Assistance Plan (B.C.)</w:t>
      </w:r>
      <w:r w:rsidRPr="00136956">
        <w:rPr>
          <w:rFonts w:cs="Times New Roman"/>
          <w:spacing w:val="-3"/>
        </w:rPr>
        <w:t>, [1991] 2 S.C.R. 525, at pp.</w:t>
      </w:r>
      <w:r>
        <w:rPr>
          <w:rFonts w:cs="Times New Roman"/>
          <w:spacing w:val="-3"/>
        </w:rPr>
        <w:t xml:space="preserve"> </w:t>
      </w:r>
      <w:r w:rsidRPr="00136956">
        <w:rPr>
          <w:rFonts w:cs="Times New Roman"/>
          <w:spacing w:val="-3"/>
        </w:rPr>
        <w:t>548</w:t>
      </w:r>
      <w:r>
        <w:rPr>
          <w:rFonts w:cs="Times New Roman"/>
          <w:spacing w:val="-3"/>
        </w:rPr>
        <w:t>-</w:t>
      </w:r>
      <w:r w:rsidRPr="00136956">
        <w:rPr>
          <w:rFonts w:cs="Times New Roman"/>
          <w:spacing w:val="-3"/>
        </w:rPr>
        <w:t>49</w:t>
      </w:r>
      <w:r w:rsidRPr="00136956">
        <w:rPr>
          <w:rFonts w:eastAsia="Times New Roman" w:cs="Times New Roman"/>
          <w:kern w:val="36"/>
          <w:szCs w:val="24"/>
        </w:rPr>
        <w:t>. Nevertheless, the courts must consider the impugned provision or legislation to determine whether, in pith and substance, all that it does in fact is repeal or amend legislation that was validly enacted.</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On the one hand, it is not enough in this regard to say, as the Court of Appeal did, that the legislative measure is merely repealing legislation. That does not resolve the issue of whether it is constitutional. In </w:t>
      </w:r>
      <w:r w:rsidRPr="00136956">
        <w:rPr>
          <w:rFonts w:cs="Times New Roman"/>
          <w:i/>
        </w:rPr>
        <w:t>Upper Churchill</w:t>
      </w:r>
      <w:r w:rsidRPr="00136956">
        <w:rPr>
          <w:rFonts w:cs="Times New Roman"/>
        </w:rPr>
        <w:t>, this Court held that repealing legislation can, as a result of its purpose and its effect, be</w:t>
      </w:r>
      <w:r w:rsidRPr="00136956">
        <w:rPr>
          <w:rFonts w:cs="Times New Roman"/>
          <w:i/>
        </w:rPr>
        <w:t xml:space="preserve"> ultra vires</w:t>
      </w:r>
      <w:r w:rsidRPr="00136956">
        <w:rPr>
          <w:rFonts w:cs="Times New Roman"/>
        </w:rPr>
        <w:t xml:space="preserve"> the government that enacted it: see also, on this subject, P.</w:t>
      </w:r>
      <w:r>
        <w:rPr>
          <w:rFonts w:cs="Times New Roman"/>
        </w:rPr>
        <w:t xml:space="preserve"> </w:t>
      </w:r>
      <w:r w:rsidRPr="00136956">
        <w:rPr>
          <w:rFonts w:cs="Times New Roman"/>
        </w:rPr>
        <w:t>Daly, “</w:t>
      </w:r>
      <w:r w:rsidRPr="00136956">
        <w:rPr>
          <w:rFonts w:cs="Times New Roman"/>
          <w:iCs/>
        </w:rPr>
        <w:t xml:space="preserve">Dismantling </w:t>
      </w:r>
      <w:r w:rsidRPr="00136956">
        <w:rPr>
          <w:rFonts w:cs="Times New Roman"/>
          <w:iCs/>
        </w:rPr>
        <w:lastRenderedPageBreak/>
        <w:t>Regulatory Structures: Canada’s Long</w:t>
      </w:r>
      <w:r>
        <w:rPr>
          <w:rFonts w:cs="Times New Roman"/>
          <w:iCs/>
        </w:rPr>
        <w:t>-</w:t>
      </w:r>
      <w:r w:rsidRPr="00136956">
        <w:rPr>
          <w:rFonts w:cs="Times New Roman"/>
          <w:iCs/>
        </w:rPr>
        <w:t>Gun Registry as Case Study”</w:t>
      </w:r>
      <w:r w:rsidRPr="00136956">
        <w:rPr>
          <w:rFonts w:cs="Times New Roman"/>
          <w:i/>
        </w:rPr>
        <w:t xml:space="preserve"> </w:t>
      </w:r>
      <w:r w:rsidRPr="00136956">
        <w:rPr>
          <w:rFonts w:cs="Times New Roman"/>
          <w:iCs/>
        </w:rPr>
        <w:t xml:space="preserve">(2014), 33 </w:t>
      </w:r>
      <w:r w:rsidRPr="00136956">
        <w:rPr>
          <w:rFonts w:cs="Times New Roman"/>
          <w:i/>
        </w:rPr>
        <w:t>N.J.C.L.</w:t>
      </w:r>
      <w:r w:rsidRPr="00136956">
        <w:rPr>
          <w:rFonts w:cs="Times New Roman"/>
          <w:iCs/>
          <w:szCs w:val="24"/>
        </w:rPr>
        <w:t xml:space="preserve"> 169</w:t>
      </w:r>
      <w:r w:rsidRPr="00136956">
        <w:rPr>
          <w:rFonts w:cs="Times New Roman"/>
        </w:rPr>
        <w:t>.</w:t>
      </w:r>
    </w:p>
    <w:p w:rsidR="009278C8" w:rsidRPr="00136956" w:rsidRDefault="009278C8" w:rsidP="009278C8">
      <w:pPr>
        <w:pStyle w:val="ParaNoNdepar-AltN"/>
        <w:tabs>
          <w:tab w:val="clear" w:pos="1166"/>
          <w:tab w:val="num" w:pos="1152"/>
        </w:tabs>
        <w:rPr>
          <w:rFonts w:cs="Times New Roman"/>
        </w:rPr>
      </w:pPr>
      <w:r w:rsidRPr="00136956">
        <w:rPr>
          <w:rFonts w:cs="Times New Roman"/>
        </w:rPr>
        <w:t>On the other hand, a statutory provision might be enacted to abolish a scheme that was incidental to the jurisdiction of the legislature that initially created it. In such a case, the legislature in question might in theory wish to eliminate an encroachment on a head of power that does not belong to it. But it is quite possible that what the legislature intends to do to eliminate that initial encroachment in fact encroaches to an even greater extent on that head of power. This is all the more likely to occur in the context of a partnership.</w:t>
      </w:r>
      <w:r>
        <w:rPr>
          <w:rFonts w:cs="Times New Roman"/>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As a result, whether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is constitutional must be determined in the same way as for any legislation enacted by Parliament. To do this, we must identify the pith and substance of that section and link it to a head of legislative power.</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611" w:name="_Toc411583262"/>
      <w:bookmarkStart w:id="1612" w:name="_Toc413306881"/>
      <w:r w:rsidRPr="00136956">
        <w:rPr>
          <w:rFonts w:cs="Times New Roman"/>
        </w:rPr>
        <w:t>Analysis Regarding the Pith and Substance of Section</w:t>
      </w:r>
      <w:r>
        <w:rPr>
          <w:rFonts w:cs="Times New Roman"/>
        </w:rPr>
        <w:t xml:space="preserve"> </w:t>
      </w:r>
      <w:r w:rsidRPr="00136956">
        <w:rPr>
          <w:rFonts w:cs="Times New Roman"/>
        </w:rPr>
        <w:t>29</w:t>
      </w:r>
      <w:bookmarkEnd w:id="1611"/>
      <w:bookmarkEnd w:id="1612"/>
    </w:p>
    <w:p w:rsidR="009278C8" w:rsidRPr="00136956" w:rsidRDefault="009278C8" w:rsidP="009278C8">
      <w:pPr>
        <w:pStyle w:val="ParaNoNdepar-AltN"/>
        <w:rPr>
          <w:rFonts w:cs="Times New Roman"/>
        </w:rPr>
      </w:pPr>
      <w:bookmarkStart w:id="1613" w:name="_Toc402196362"/>
      <w:bookmarkStart w:id="1614" w:name="_Toc402196416"/>
      <w:bookmarkStart w:id="1615" w:name="_Toc402196497"/>
      <w:bookmarkStart w:id="1616" w:name="_Toc402196551"/>
      <w:bookmarkStart w:id="1617" w:name="_Toc402196751"/>
      <w:bookmarkStart w:id="1618" w:name="_Toc402196816"/>
      <w:bookmarkStart w:id="1619" w:name="_Toc402196947"/>
      <w:bookmarkStart w:id="1620" w:name="_Toc402197126"/>
      <w:bookmarkStart w:id="1621" w:name="_Toc402197376"/>
      <w:bookmarkStart w:id="1622" w:name="_Toc402211504"/>
      <w:bookmarkStart w:id="1623" w:name="_Toc402211759"/>
      <w:bookmarkStart w:id="1624" w:name="_Toc402211928"/>
      <w:bookmarkStart w:id="1625" w:name="_Toc402212066"/>
      <w:bookmarkStart w:id="1626" w:name="_Toc402212204"/>
      <w:bookmarkStart w:id="1627" w:name="_Toc402212342"/>
      <w:bookmarkStart w:id="1628" w:name="_Toc402212519"/>
      <w:bookmarkStart w:id="1629" w:name="_Toc402215827"/>
      <w:bookmarkStart w:id="1630" w:name="_Toc402217043"/>
      <w:bookmarkStart w:id="1631" w:name="_Toc402217248"/>
      <w:bookmarkStart w:id="1632" w:name="_Toc402217392"/>
      <w:bookmarkStart w:id="1633" w:name="_Toc402217536"/>
      <w:bookmarkStart w:id="1634" w:name="_Toc402426739"/>
      <w:bookmarkStart w:id="1635" w:name="_Toc402429942"/>
      <w:bookmarkStart w:id="1636" w:name="_Toc402430040"/>
      <w:bookmarkStart w:id="1637" w:name="_Toc402443653"/>
      <w:bookmarkStart w:id="1638" w:name="_Toc402443753"/>
      <w:bookmarkStart w:id="1639" w:name="_Toc402443852"/>
      <w:bookmarkStart w:id="1640" w:name="_Toc402517749"/>
      <w:bookmarkStart w:id="1641" w:name="_Toc402520623"/>
      <w:bookmarkStart w:id="1642" w:name="_Toc402520831"/>
      <w:bookmarkStart w:id="1643" w:name="_Toc402520931"/>
      <w:bookmarkStart w:id="1644" w:name="_Toc402960795"/>
      <w:bookmarkStart w:id="1645" w:name="_Toc402974015"/>
      <w:bookmarkStart w:id="1646" w:name="_Toc402976156"/>
      <w:bookmarkStart w:id="1647" w:name="_Toc402976302"/>
      <w:bookmarkStart w:id="1648" w:name="_Toc402977180"/>
      <w:bookmarkStart w:id="1649" w:name="_Toc402987925"/>
      <w:bookmarkStart w:id="1650" w:name="_Toc402989015"/>
      <w:bookmarkStart w:id="1651" w:name="_Toc402196363"/>
      <w:bookmarkStart w:id="1652" w:name="_Toc402196417"/>
      <w:bookmarkStart w:id="1653" w:name="_Toc402196498"/>
      <w:bookmarkStart w:id="1654" w:name="_Toc402196552"/>
      <w:bookmarkStart w:id="1655" w:name="_Toc402196752"/>
      <w:bookmarkStart w:id="1656" w:name="_Toc402196817"/>
      <w:bookmarkStart w:id="1657" w:name="_Toc402196948"/>
      <w:bookmarkStart w:id="1658" w:name="_Toc402197127"/>
      <w:bookmarkStart w:id="1659" w:name="_Toc402197377"/>
      <w:bookmarkStart w:id="1660" w:name="_Toc402211505"/>
      <w:bookmarkStart w:id="1661" w:name="_Toc402211760"/>
      <w:bookmarkStart w:id="1662" w:name="_Toc402211929"/>
      <w:bookmarkStart w:id="1663" w:name="_Toc402212067"/>
      <w:bookmarkStart w:id="1664" w:name="_Toc402212205"/>
      <w:bookmarkStart w:id="1665" w:name="_Toc402212343"/>
      <w:bookmarkStart w:id="1666" w:name="_Toc402212520"/>
      <w:bookmarkStart w:id="1667" w:name="_Toc402215828"/>
      <w:bookmarkStart w:id="1668" w:name="_Toc402217044"/>
      <w:bookmarkStart w:id="1669" w:name="_Toc402217249"/>
      <w:bookmarkStart w:id="1670" w:name="_Toc402217393"/>
      <w:bookmarkStart w:id="1671" w:name="_Toc402217537"/>
      <w:bookmarkStart w:id="1672" w:name="_Toc402426740"/>
      <w:bookmarkStart w:id="1673" w:name="_Toc402429943"/>
      <w:bookmarkStart w:id="1674" w:name="_Toc402430041"/>
      <w:bookmarkStart w:id="1675" w:name="_Toc402443654"/>
      <w:bookmarkStart w:id="1676" w:name="_Toc402443754"/>
      <w:bookmarkStart w:id="1677" w:name="_Toc402443853"/>
      <w:bookmarkStart w:id="1678" w:name="_Toc402517750"/>
      <w:bookmarkStart w:id="1679" w:name="_Toc402520624"/>
      <w:bookmarkStart w:id="1680" w:name="_Toc402520832"/>
      <w:bookmarkStart w:id="1681" w:name="_Toc402520932"/>
      <w:bookmarkStart w:id="1682" w:name="_Toc402960796"/>
      <w:bookmarkStart w:id="1683" w:name="_Toc402974016"/>
      <w:bookmarkStart w:id="1684" w:name="_Toc402976157"/>
      <w:bookmarkStart w:id="1685" w:name="_Toc402976303"/>
      <w:bookmarkStart w:id="1686" w:name="_Toc402977181"/>
      <w:bookmarkStart w:id="1687" w:name="_Toc402987926"/>
      <w:bookmarkStart w:id="1688" w:name="_Toc402989016"/>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136956">
        <w:rPr>
          <w:rFonts w:cs="Times New Roman"/>
        </w:rPr>
        <w:t>At first glance, the words of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pose no particular problems of interpretation. The provision orders the Registrar and the CFOs to destroy, as soon as feasible, all records in the CFR that relate to the registration of long guns or are under their control.</w:t>
      </w:r>
    </w:p>
    <w:p w:rsidR="009278C8" w:rsidRPr="00136956" w:rsidRDefault="009278C8" w:rsidP="009278C8">
      <w:pPr>
        <w:pStyle w:val="ParaNoNdepar-AltN"/>
        <w:rPr>
          <w:rFonts w:cs="Times New Roman"/>
          <w:i/>
        </w:rPr>
      </w:pPr>
      <w:r w:rsidRPr="00136956">
        <w:rPr>
          <w:rFonts w:cs="Times New Roman"/>
        </w:rPr>
        <w:lastRenderedPageBreak/>
        <w:t>From a structural standpoint,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is distinct from ss.</w:t>
      </w:r>
      <w:r>
        <w:rPr>
          <w:rFonts w:cs="Times New Roman"/>
        </w:rPr>
        <w:t xml:space="preserve"> </w:t>
      </w:r>
      <w:r w:rsidRPr="00136956">
        <w:rPr>
          <w:rFonts w:cs="Times New Roman"/>
        </w:rPr>
        <w:t xml:space="preserve">2 to 28. The latter sections amend the </w:t>
      </w:r>
      <w:r w:rsidRPr="00136956">
        <w:rPr>
          <w:rFonts w:cs="Times New Roman"/>
          <w:i/>
        </w:rPr>
        <w:t>Criminal Code</w:t>
      </w:r>
      <w:r w:rsidRPr="00136956">
        <w:rPr>
          <w:rFonts w:cs="Times New Roman"/>
        </w:rPr>
        <w:t xml:space="preserve"> and the </w:t>
      </w:r>
      <w:r w:rsidRPr="00136956">
        <w:rPr>
          <w:rFonts w:cs="Times New Roman"/>
          <w:i/>
        </w:rPr>
        <w:t>FA</w:t>
      </w:r>
      <w:r w:rsidRPr="00136956">
        <w:rPr>
          <w:rFonts w:cs="Times New Roman"/>
          <w:iCs/>
        </w:rPr>
        <w:t xml:space="preserve"> to abolish the requirement to register long guns and decriminalize the failure to comply with that requirement</w:t>
      </w:r>
      <w:r w:rsidRPr="00136956">
        <w:rPr>
          <w:rFonts w:cs="Times New Roman"/>
        </w:rPr>
        <w:t>. Section</w:t>
      </w:r>
      <w:r>
        <w:rPr>
          <w:rFonts w:cs="Times New Roman"/>
        </w:rPr>
        <w:t xml:space="preserve"> </w:t>
      </w:r>
      <w:r w:rsidRPr="00136956">
        <w:rPr>
          <w:rFonts w:cs="Times New Roman"/>
        </w:rPr>
        <w:t>29, on the other hand, is a transitional provision. It is also relevant that the destruction of the data under s.</w:t>
      </w:r>
      <w:r>
        <w:rPr>
          <w:rFonts w:cs="Times New Roman"/>
        </w:rPr>
        <w:t xml:space="preserve"> </w:t>
      </w:r>
      <w:r w:rsidRPr="00136956">
        <w:rPr>
          <w:rFonts w:cs="Times New Roman"/>
        </w:rPr>
        <w:t xml:space="preserve">29 is exempted from the application of certain provisions of the </w:t>
      </w:r>
      <w:r w:rsidRPr="00136956">
        <w:rPr>
          <w:rFonts w:cs="Times New Roman"/>
          <w:i/>
        </w:rPr>
        <w:t>Library and Archives of Canada Act</w:t>
      </w:r>
      <w:r w:rsidRPr="00136956">
        <w:rPr>
          <w:rFonts w:cs="Times New Roman"/>
        </w:rPr>
        <w:t>, S.C. 2004, c.</w:t>
      </w:r>
      <w:r>
        <w:rPr>
          <w:rFonts w:cs="Times New Roman"/>
        </w:rPr>
        <w:t xml:space="preserve"> </w:t>
      </w:r>
      <w:r w:rsidRPr="00136956">
        <w:rPr>
          <w:rFonts w:cs="Times New Roman"/>
        </w:rPr>
        <w:t xml:space="preserve">11, and the </w:t>
      </w:r>
      <w:r w:rsidRPr="00136956">
        <w:rPr>
          <w:rFonts w:cs="Times New Roman"/>
          <w:i/>
        </w:rPr>
        <w:t>Privacy Act</w:t>
      </w:r>
      <w:r w:rsidRPr="00136956">
        <w:rPr>
          <w:rFonts w:cs="Times New Roman"/>
        </w:rPr>
        <w:t>, R.S.C. 1985, c.</w:t>
      </w:r>
      <w:r>
        <w:rPr>
          <w:rFonts w:cs="Times New Roman"/>
        </w:rPr>
        <w:t xml:space="preserve"> </w:t>
      </w:r>
      <w:r w:rsidRPr="00136956">
        <w:rPr>
          <w:rFonts w:cs="Times New Roman"/>
        </w:rPr>
        <w:t>P</w:t>
      </w:r>
      <w:r>
        <w:rPr>
          <w:rFonts w:cs="Times New Roman"/>
        </w:rPr>
        <w:t>-</w:t>
      </w:r>
      <w:r w:rsidRPr="00136956">
        <w:rPr>
          <w:rFonts w:cs="Times New Roman"/>
        </w:rPr>
        <w:t>21: s.</w:t>
      </w:r>
      <w:r>
        <w:rPr>
          <w:rFonts w:cs="Times New Roman"/>
        </w:rPr>
        <w:t xml:space="preserve"> </w:t>
      </w:r>
      <w:r w:rsidRPr="00136956">
        <w:rPr>
          <w:rFonts w:cs="Times New Roman"/>
        </w:rPr>
        <w:t xml:space="preserve">29(3) </w:t>
      </w:r>
      <w:r w:rsidRPr="00136956">
        <w:rPr>
          <w:rFonts w:cs="Times New Roman"/>
          <w:i/>
        </w:rPr>
        <w:t>ELRA</w:t>
      </w:r>
      <w:r w:rsidRPr="00136956">
        <w:rPr>
          <w:rFonts w:cs="Times New Roman"/>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From a practical and legal standpoint, the principal effect of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is to delete the data in the CFR, and therefore in the CFIS, forever. Although it is true that s.</w:t>
      </w:r>
      <w:r>
        <w:rPr>
          <w:rFonts w:cs="Times New Roman"/>
        </w:rPr>
        <w:t xml:space="preserve"> </w:t>
      </w:r>
      <w:r w:rsidRPr="00136956">
        <w:rPr>
          <w:rFonts w:cs="Times New Roman"/>
        </w:rPr>
        <w:t xml:space="preserve">84 of the </w:t>
      </w:r>
      <w:r w:rsidRPr="00136956">
        <w:rPr>
          <w:rFonts w:cs="Times New Roman"/>
          <w:i/>
        </w:rPr>
        <w:t>FA</w:t>
      </w:r>
      <w:r w:rsidRPr="00136956">
        <w:rPr>
          <w:rFonts w:cs="Times New Roman"/>
        </w:rPr>
        <w:t xml:space="preserve"> provides that “[t]he Registrar may destroy records kept in the [CFR] at such times and in such circumstances as may be prescribed”, s.</w:t>
      </w:r>
      <w:r>
        <w:rPr>
          <w:rFonts w:cs="Times New Roman"/>
        </w:rPr>
        <w:t xml:space="preserve"> </w:t>
      </w:r>
      <w:r w:rsidRPr="00136956">
        <w:rPr>
          <w:rFonts w:cs="Times New Roman"/>
        </w:rPr>
        <w:t>29 cannot, as the AGC argues, be compared to s.</w:t>
      </w:r>
      <w:r>
        <w:rPr>
          <w:rFonts w:cs="Times New Roman"/>
        </w:rPr>
        <w:t xml:space="preserve"> </w:t>
      </w:r>
      <w:r w:rsidRPr="00136956">
        <w:rPr>
          <w:rFonts w:cs="Times New Roman"/>
        </w:rPr>
        <w:t>84. First, the applicable regulations provide that a record of a registration certificate that is issued or revoked may not be destroyed: s.</w:t>
      </w:r>
      <w:r>
        <w:rPr>
          <w:rFonts w:cs="Times New Roman"/>
        </w:rPr>
        <w:t xml:space="preserve"> </w:t>
      </w:r>
      <w:r w:rsidRPr="00136956">
        <w:rPr>
          <w:rFonts w:cs="Times New Roman"/>
        </w:rPr>
        <w:t xml:space="preserve">4(1) of the </w:t>
      </w:r>
      <w:r w:rsidRPr="00136956">
        <w:rPr>
          <w:rFonts w:cs="Times New Roman"/>
          <w:i/>
        </w:rPr>
        <w:t>Firearms Records Regulations</w:t>
      </w:r>
      <w:r w:rsidRPr="00136956">
        <w:rPr>
          <w:rFonts w:cs="Times New Roman"/>
        </w:rPr>
        <w:t xml:space="preserve">. Second, the destruction of data on a massive scale would be contrary to the very purpose of the </w:t>
      </w:r>
      <w:r w:rsidRPr="00136956">
        <w:rPr>
          <w:rFonts w:cs="Times New Roman"/>
          <w:i/>
        </w:rPr>
        <w:t>FA</w:t>
      </w:r>
      <w:r w:rsidRPr="00136956">
        <w:rPr>
          <w:rFonts w:cs="Times New Roman"/>
        </w:rPr>
        <w:t>.</w:t>
      </w:r>
    </w:p>
    <w:p w:rsidR="009278C8" w:rsidRPr="00136956" w:rsidRDefault="009278C8" w:rsidP="009278C8">
      <w:pPr>
        <w:pStyle w:val="ParaNoNdepar-AltN"/>
        <w:tabs>
          <w:tab w:val="clear" w:pos="1166"/>
          <w:tab w:val="num" w:pos="1152"/>
        </w:tabs>
        <w:rPr>
          <w:rFonts w:cs="Times New Roman"/>
        </w:rPr>
      </w:pPr>
      <w:r w:rsidRPr="00136956">
        <w:rPr>
          <w:rFonts w:cs="Times New Roman"/>
        </w:rPr>
        <w:t>Moreover, the analysis cannot be limited to a finding that s.</w:t>
      </w:r>
      <w:r>
        <w:rPr>
          <w:rFonts w:cs="Times New Roman"/>
        </w:rPr>
        <w:t xml:space="preserve"> </w:t>
      </w:r>
      <w:r w:rsidRPr="00136956">
        <w:rPr>
          <w:rFonts w:cs="Times New Roman"/>
        </w:rPr>
        <w:t>29 provides for the destruction of data. The federal government’s decision to destroy the data without first transferring them to its partners, such as Quebec, will have serious consequences that are relevant to the question whether s.</w:t>
      </w:r>
      <w:r>
        <w:rPr>
          <w:rFonts w:cs="Times New Roman"/>
        </w:rPr>
        <w:t xml:space="preserve"> </w:t>
      </w:r>
      <w:r w:rsidRPr="00136956">
        <w:rPr>
          <w:rFonts w:cs="Times New Roman"/>
        </w:rPr>
        <w:t>29 is constitutional.</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Considered prospectively, the destruction of the data without first transferring them will ensure that the information contained in the records cannot be </w:t>
      </w:r>
      <w:r w:rsidRPr="00136956">
        <w:rPr>
          <w:rFonts w:cs="Times New Roman"/>
        </w:rPr>
        <w:lastRenderedPageBreak/>
        <w:t xml:space="preserve">used by any subsequent federal government, or by the provinces or the police organizations that have, until now, used </w:t>
      </w:r>
      <w:r w:rsidR="006F23EB">
        <w:rPr>
          <w:rFonts w:cs="Times New Roman"/>
        </w:rPr>
        <w:t>it</w:t>
      </w:r>
      <w:r w:rsidRPr="00136956">
        <w:rPr>
          <w:rFonts w:cs="Times New Roman"/>
        </w:rPr>
        <w:t xml:space="preserve"> for various purposes. In particular, the evidence in the record shows that the destruction of data required by s.</w:t>
      </w:r>
      <w:r>
        <w:rPr>
          <w:rFonts w:cs="Times New Roman"/>
        </w:rPr>
        <w:t xml:space="preserve"> </w:t>
      </w:r>
      <w:r w:rsidRPr="00136956">
        <w:rPr>
          <w:rFonts w:cs="Times New Roman"/>
        </w:rPr>
        <w:t>29 will prevent the provinces from using the data to create their own registries.</w:t>
      </w:r>
    </w:p>
    <w:p w:rsidR="009278C8" w:rsidRPr="00136956" w:rsidRDefault="009278C8" w:rsidP="009278C8">
      <w:pPr>
        <w:pStyle w:val="ParaNoNdepar-AltN"/>
        <w:tabs>
          <w:tab w:val="clear" w:pos="1166"/>
          <w:tab w:val="num" w:pos="1152"/>
        </w:tabs>
        <w:rPr>
          <w:rFonts w:cs="Times New Roman"/>
        </w:rPr>
      </w:pPr>
      <w:r w:rsidRPr="00136956">
        <w:rPr>
          <w:rFonts w:cs="Times New Roman"/>
        </w:rPr>
        <w:t>Moreover, this destruction will retrospectively obliterate Quebec’s collaboration in the construction of the long</w:t>
      </w:r>
      <w:r>
        <w:rPr>
          <w:rFonts w:cs="Times New Roman"/>
        </w:rPr>
        <w:t>-</w:t>
      </w:r>
      <w:r w:rsidRPr="00136956">
        <w:rPr>
          <w:rFonts w:cs="Times New Roman"/>
        </w:rPr>
        <w:t>gun database. It will also interfere with the current use of the data by Quebec that we discussed above.</w:t>
      </w:r>
    </w:p>
    <w:p w:rsidR="009278C8" w:rsidRPr="00136956" w:rsidRDefault="009278C8" w:rsidP="009278C8">
      <w:pPr>
        <w:pStyle w:val="ParaNoNdepar-AltN"/>
        <w:tabs>
          <w:tab w:val="clear" w:pos="1166"/>
          <w:tab w:val="num" w:pos="1152"/>
        </w:tabs>
        <w:rPr>
          <w:rFonts w:cs="Times New Roman"/>
        </w:rPr>
      </w:pPr>
      <w:r w:rsidRPr="00136956">
        <w:rPr>
          <w:rFonts w:cs="Times New Roman"/>
        </w:rPr>
        <w:t>The extrinsic evidence shows that the purpose being pursued in enacting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was indeed to prevent the provinces from using the data. This intention is confirmed by some passages from the parliamentary debate that were quoted by Blanchard</w:t>
      </w:r>
      <w:r>
        <w:rPr>
          <w:rFonts w:cs="Times New Roman"/>
        </w:rPr>
        <w:t xml:space="preserve"> </w:t>
      </w:r>
      <w:r w:rsidRPr="00136956">
        <w:rPr>
          <w:rFonts w:cs="Times New Roman"/>
        </w:rPr>
        <w:t>J.:</w:t>
      </w:r>
    </w:p>
    <w:p w:rsidR="009278C8" w:rsidRPr="00136956" w:rsidRDefault="009278C8" w:rsidP="00E77714">
      <w:pPr>
        <w:pStyle w:val="Citation-AltC"/>
        <w:spacing w:after="480"/>
        <w:ind w:hanging="1166"/>
        <w:contextualSpacing w:val="0"/>
      </w:pPr>
      <w:r w:rsidRPr="00136956">
        <w:tab/>
        <w:t>Mr.</w:t>
      </w:r>
      <w:r>
        <w:t xml:space="preserve"> </w:t>
      </w:r>
      <w:r w:rsidRPr="00136956">
        <w:t>Speaker, this government committed to eliminating the ineffective long gun registry and we do not intend to help other levels of government create registries.</w:t>
      </w:r>
    </w:p>
    <w:p w:rsidR="009278C8" w:rsidRPr="00136956" w:rsidRDefault="009278C8" w:rsidP="005F03E0">
      <w:pPr>
        <w:pStyle w:val="Citation-AltC"/>
        <w:spacing w:after="480" w:line="480" w:lineRule="auto"/>
        <w:ind w:left="0"/>
        <w:contextualSpacing w:val="0"/>
      </w:pPr>
      <w:r w:rsidRPr="00136956">
        <w:t>(</w:t>
      </w:r>
      <w:r w:rsidRPr="00136956">
        <w:rPr>
          <w:i/>
        </w:rPr>
        <w:t>House of Commons Debates</w:t>
      </w:r>
      <w:r w:rsidRPr="00136956">
        <w:t>,</w:t>
      </w:r>
      <w:r w:rsidRPr="00136956">
        <w:rPr>
          <w:i/>
        </w:rPr>
        <w:t xml:space="preserve"> </w:t>
      </w:r>
      <w:r w:rsidRPr="00136956">
        <w:rPr>
          <w:iCs/>
        </w:rPr>
        <w:t>vol.</w:t>
      </w:r>
      <w:r>
        <w:rPr>
          <w:iCs/>
        </w:rPr>
        <w:t xml:space="preserve"> </w:t>
      </w:r>
      <w:r w:rsidRPr="00136956">
        <w:rPr>
          <w:iCs/>
        </w:rPr>
        <w:t>146, No.</w:t>
      </w:r>
      <w:r>
        <w:rPr>
          <w:iCs/>
        </w:rPr>
        <w:t xml:space="preserve"> </w:t>
      </w:r>
      <w:r w:rsidRPr="00136956">
        <w:rPr>
          <w:iCs/>
        </w:rPr>
        <w:t>041,</w:t>
      </w:r>
      <w:r w:rsidRPr="00136956">
        <w:rPr>
          <w:i/>
        </w:rPr>
        <w:t xml:space="preserve"> </w:t>
      </w:r>
      <w:r w:rsidRPr="00136956">
        <w:rPr>
          <w:iCs/>
        </w:rPr>
        <w:t>1st Sess., 41st Parl., November</w:t>
      </w:r>
      <w:r>
        <w:rPr>
          <w:iCs/>
        </w:rPr>
        <w:t xml:space="preserve"> </w:t>
      </w:r>
      <w:r w:rsidRPr="00136956">
        <w:rPr>
          <w:iCs/>
        </w:rPr>
        <w:t>1, 2011, at p.</w:t>
      </w:r>
      <w:r>
        <w:rPr>
          <w:iCs/>
        </w:rPr>
        <w:t xml:space="preserve"> </w:t>
      </w:r>
      <w:r w:rsidRPr="00136956">
        <w:rPr>
          <w:iCs/>
        </w:rPr>
        <w:t>2799,</w:t>
      </w:r>
      <w:r w:rsidRPr="00136956">
        <w:t xml:space="preserve"> </w:t>
      </w:r>
      <w:r w:rsidRPr="00136956">
        <w:rPr>
          <w:iCs/>
        </w:rPr>
        <w:t xml:space="preserve">The </w:t>
      </w:r>
      <w:r w:rsidRPr="00136956">
        <w:t>Rt.</w:t>
      </w:r>
      <w:r w:rsidRPr="00136956">
        <w:rPr>
          <w:iCs/>
        </w:rPr>
        <w:t xml:space="preserve"> Hon.</w:t>
      </w:r>
      <w:r w:rsidRPr="00136956">
        <w:t xml:space="preserve"> </w:t>
      </w:r>
      <w:r w:rsidRPr="00136956">
        <w:rPr>
          <w:iCs/>
        </w:rPr>
        <w:t>Stephen Harper,</w:t>
      </w:r>
      <w:r w:rsidRPr="00136956">
        <w:t xml:space="preserve"> </w:t>
      </w:r>
      <w:r w:rsidRPr="00136956">
        <w:rPr>
          <w:iCs/>
        </w:rPr>
        <w:t>Prime Minister of Canada)</w:t>
      </w:r>
    </w:p>
    <w:p w:rsidR="009278C8" w:rsidRPr="00136956" w:rsidRDefault="009278C8" w:rsidP="00E77714">
      <w:pPr>
        <w:pStyle w:val="Citation-AltC"/>
        <w:spacing w:after="480"/>
        <w:ind w:hanging="1166"/>
        <w:contextualSpacing w:val="0"/>
      </w:pPr>
      <w:r w:rsidRPr="00136956">
        <w:tab/>
        <w:t>Our government has no intention of transferring the information that it has in its offices to the provinces, nor will it make available that same information to be used by future governments to be re</w:t>
      </w:r>
      <w:r>
        <w:t>-</w:t>
      </w:r>
      <w:r w:rsidRPr="00136956">
        <w:t>enacted or brought back in the future.</w:t>
      </w:r>
    </w:p>
    <w:p w:rsidR="009278C8" w:rsidRPr="00136956" w:rsidRDefault="009278C8" w:rsidP="005F03E0">
      <w:pPr>
        <w:pStyle w:val="Citation-AltC"/>
        <w:spacing w:after="480" w:line="480" w:lineRule="auto"/>
        <w:ind w:left="0"/>
        <w:contextualSpacing w:val="0"/>
      </w:pPr>
      <w:r w:rsidRPr="00136956">
        <w:t>(</w:t>
      </w:r>
      <w:r w:rsidRPr="00136956">
        <w:rPr>
          <w:i/>
        </w:rPr>
        <w:t>Ibid</w:t>
      </w:r>
      <w:r w:rsidRPr="00136956">
        <w:rPr>
          <w:i/>
          <w:iCs/>
        </w:rPr>
        <w:t>.</w:t>
      </w:r>
      <w:r w:rsidRPr="00136956">
        <w:rPr>
          <w:iCs/>
        </w:rPr>
        <w:t>, at p.</w:t>
      </w:r>
      <w:r>
        <w:rPr>
          <w:iCs/>
        </w:rPr>
        <w:t xml:space="preserve"> </w:t>
      </w:r>
      <w:r w:rsidRPr="00136956">
        <w:rPr>
          <w:iCs/>
        </w:rPr>
        <w:t xml:space="preserve">2779, </w:t>
      </w:r>
      <w:r w:rsidRPr="00136956">
        <w:t xml:space="preserve">The </w:t>
      </w:r>
      <w:r w:rsidRPr="00136956">
        <w:rPr>
          <w:iCs/>
        </w:rPr>
        <w:t>Hon.</w:t>
      </w:r>
      <w:r w:rsidRPr="00136956">
        <w:t xml:space="preserve"> </w:t>
      </w:r>
      <w:r w:rsidRPr="005F03E0">
        <w:rPr>
          <w:iCs/>
        </w:rPr>
        <w:t>Peter</w:t>
      </w:r>
      <w:r w:rsidRPr="00136956">
        <w:t xml:space="preserve"> Penashue</w:t>
      </w:r>
      <w:r w:rsidRPr="00136956">
        <w:rPr>
          <w:iCs/>
        </w:rPr>
        <w:t>,</w:t>
      </w:r>
      <w:r w:rsidRPr="00136956">
        <w:rPr>
          <w:i/>
        </w:rPr>
        <w:t xml:space="preserve"> </w:t>
      </w:r>
      <w:r w:rsidRPr="00136956">
        <w:t>Minister of Intergovernmental Affairs</w:t>
      </w:r>
      <w:r w:rsidRPr="00136956">
        <w:rPr>
          <w:iCs/>
        </w:rPr>
        <w:t>)</w:t>
      </w:r>
      <w:r w:rsidRPr="00136956">
        <w:t xml:space="preserve"> </w:t>
      </w:r>
    </w:p>
    <w:p w:rsidR="009278C8" w:rsidRPr="00136956" w:rsidRDefault="009278C8" w:rsidP="00E77714">
      <w:pPr>
        <w:pStyle w:val="Citation-AltC"/>
        <w:spacing w:after="480"/>
        <w:ind w:hanging="1166"/>
        <w:contextualSpacing w:val="0"/>
      </w:pPr>
      <w:r w:rsidRPr="00136956">
        <w:lastRenderedPageBreak/>
        <w:tab/>
        <w:t xml:space="preserve">We will fulfill the promise that we made and that includes doing the right thing and ensuring that no other government could use the information to resurrect the failed long gun registry. </w:t>
      </w:r>
    </w:p>
    <w:p w:rsidR="009278C8" w:rsidRPr="00136956" w:rsidRDefault="009278C8" w:rsidP="005F03E0">
      <w:pPr>
        <w:pStyle w:val="Citation-AltC"/>
        <w:spacing w:after="480" w:line="480" w:lineRule="auto"/>
        <w:ind w:left="0"/>
        <w:contextualSpacing w:val="0"/>
      </w:pPr>
      <w:r w:rsidRPr="00136956">
        <w:t>(</w:t>
      </w:r>
      <w:r w:rsidRPr="00136956">
        <w:rPr>
          <w:i/>
        </w:rPr>
        <w:t>I</w:t>
      </w:r>
      <w:r w:rsidRPr="00136956">
        <w:rPr>
          <w:i/>
          <w:iCs/>
        </w:rPr>
        <w:t>bid</w:t>
      </w:r>
      <w:r w:rsidRPr="00136956">
        <w:rPr>
          <w:i/>
        </w:rPr>
        <w:t>.</w:t>
      </w:r>
      <w:r w:rsidRPr="00136956">
        <w:t>, at p.</w:t>
      </w:r>
      <w:r>
        <w:t xml:space="preserve"> </w:t>
      </w:r>
      <w:r w:rsidRPr="00136956">
        <w:t xml:space="preserve">2780, </w:t>
      </w:r>
      <w:r w:rsidRPr="00136956">
        <w:rPr>
          <w:iCs/>
        </w:rPr>
        <w:t>Kerry</w:t>
      </w:r>
      <w:r>
        <w:rPr>
          <w:iCs/>
        </w:rPr>
        <w:t>-</w:t>
      </w:r>
      <w:r w:rsidRPr="00136956">
        <w:rPr>
          <w:iCs/>
        </w:rPr>
        <w:t>Lynne</w:t>
      </w:r>
      <w:r>
        <w:rPr>
          <w:iCs/>
        </w:rPr>
        <w:t xml:space="preserve"> </w:t>
      </w:r>
      <w:r w:rsidRPr="00136956">
        <w:rPr>
          <w:iCs/>
        </w:rPr>
        <w:t>D. Findlay, Parliamentary Secretary to the Minister of Justice)</w:t>
      </w:r>
    </w:p>
    <w:p w:rsidR="009278C8" w:rsidRPr="00136956" w:rsidRDefault="009278C8" w:rsidP="009278C8">
      <w:pPr>
        <w:pStyle w:val="ParaNoNdepar-AltN"/>
        <w:tabs>
          <w:tab w:val="clear" w:pos="1166"/>
          <w:tab w:val="num" w:pos="1152"/>
        </w:tabs>
        <w:rPr>
          <w:rFonts w:eastAsia="Times New Roman" w:cs="Times New Roman"/>
          <w:i/>
          <w:iCs/>
          <w:kern w:val="36"/>
          <w:szCs w:val="24"/>
        </w:rPr>
      </w:pPr>
      <w:r w:rsidRPr="00136956">
        <w:rPr>
          <w:rFonts w:eastAsia="Times New Roman" w:cs="Times New Roman"/>
          <w:iCs/>
          <w:kern w:val="36"/>
          <w:szCs w:val="24"/>
        </w:rPr>
        <w:t>These declarations by the Prime Minister and by federal ministers show that the purpose of s.</w:t>
      </w:r>
      <w:r>
        <w:rPr>
          <w:rFonts w:eastAsia="Times New Roman" w:cs="Times New Roman"/>
          <w:iCs/>
          <w:kern w:val="36"/>
          <w:szCs w:val="24"/>
        </w:rPr>
        <w:t xml:space="preserve"> </w:t>
      </w:r>
      <w:r w:rsidRPr="00136956">
        <w:rPr>
          <w:rFonts w:eastAsia="Times New Roman" w:cs="Times New Roman"/>
          <w:iCs/>
          <w:kern w:val="36"/>
          <w:szCs w:val="24"/>
        </w:rPr>
        <w:t>29 was in fact to impose these prospective and retrospective effects of the destruction of the data on the provinces. Blanchard</w:t>
      </w:r>
      <w:r>
        <w:rPr>
          <w:rFonts w:eastAsia="Times New Roman" w:cs="Times New Roman"/>
          <w:iCs/>
          <w:kern w:val="36"/>
          <w:szCs w:val="24"/>
        </w:rPr>
        <w:t xml:space="preserve"> </w:t>
      </w:r>
      <w:r w:rsidRPr="00136956">
        <w:rPr>
          <w:rFonts w:eastAsia="Times New Roman" w:cs="Times New Roman"/>
          <w:iCs/>
          <w:kern w:val="36"/>
          <w:szCs w:val="24"/>
        </w:rPr>
        <w:t xml:space="preserve">J. was therefore right to find that Parliament’s intention in destroying the data was to hinder the provinces. This intention can be seen in how, and how quickly, Parliament wished to act. Allow us to specify that it is not so much the destruction of the data itself that is problematic, but the fact that the data are to be destroyed unilaterally combined with the effect of doing so, that is, </w:t>
      </w:r>
      <w:r w:rsidRPr="00136956">
        <w:rPr>
          <w:rFonts w:eastAsia="Times New Roman" w:cs="Times New Roman"/>
          <w:i/>
          <w:iCs/>
          <w:kern w:val="36"/>
          <w:szCs w:val="24"/>
        </w:rPr>
        <w:t>inter alia</w:t>
      </w:r>
      <w:r w:rsidRPr="00136956">
        <w:rPr>
          <w:rFonts w:eastAsia="Times New Roman" w:cs="Times New Roman"/>
          <w:iCs/>
          <w:kern w:val="36"/>
          <w:szCs w:val="24"/>
        </w:rPr>
        <w:t xml:space="preserve">, to prevent the provinces from using them. </w:t>
      </w:r>
    </w:p>
    <w:p w:rsidR="009278C8" w:rsidRPr="00136956" w:rsidRDefault="009278C8" w:rsidP="009278C8">
      <w:pPr>
        <w:pStyle w:val="ParaNoNdepar-AltN"/>
        <w:tabs>
          <w:tab w:val="clear" w:pos="1166"/>
          <w:tab w:val="num" w:pos="1152"/>
        </w:tabs>
        <w:rPr>
          <w:rFonts w:eastAsia="Times New Roman" w:cs="Times New Roman"/>
          <w:i/>
          <w:iCs/>
          <w:kern w:val="36"/>
          <w:szCs w:val="24"/>
        </w:rPr>
      </w:pPr>
      <w:r w:rsidRPr="00136956">
        <w:rPr>
          <w:rFonts w:eastAsia="Times New Roman" w:cs="Times New Roman"/>
          <w:iCs/>
          <w:kern w:val="36"/>
          <w:szCs w:val="24"/>
        </w:rPr>
        <w:t>In light of the purpose and the effect of s.</w:t>
      </w:r>
      <w:r>
        <w:rPr>
          <w:rFonts w:eastAsia="Times New Roman" w:cs="Times New Roman"/>
          <w:iCs/>
          <w:kern w:val="36"/>
          <w:szCs w:val="24"/>
        </w:rPr>
        <w:t xml:space="preserve"> </w:t>
      </w:r>
      <w:r w:rsidRPr="00136956">
        <w:rPr>
          <w:rFonts w:eastAsia="Times New Roman" w:cs="Times New Roman"/>
          <w:iCs/>
          <w:kern w:val="36"/>
          <w:szCs w:val="24"/>
        </w:rPr>
        <w:t>29, therefore, the scope of the section is broader than the mere destruction of the data. Section</w:t>
      </w:r>
      <w:r>
        <w:rPr>
          <w:rFonts w:eastAsia="Times New Roman" w:cs="Times New Roman"/>
          <w:iCs/>
          <w:kern w:val="36"/>
          <w:szCs w:val="24"/>
        </w:rPr>
        <w:t xml:space="preserve"> </w:t>
      </w:r>
      <w:r w:rsidRPr="00136956">
        <w:rPr>
          <w:rFonts w:eastAsia="Times New Roman" w:cs="Times New Roman"/>
          <w:iCs/>
          <w:kern w:val="36"/>
          <w:szCs w:val="24"/>
        </w:rPr>
        <w:t>29 has harmful consequences for the federal government’s partners. It is these consequences that require, having regard for the principle of federalism, a close consideration of the provision’s pith and substance and the powers upon which the AGC relies in support of its being valid.</w:t>
      </w:r>
    </w:p>
    <w:p w:rsidR="009278C8" w:rsidRPr="00136956" w:rsidRDefault="009278C8" w:rsidP="009278C8">
      <w:pPr>
        <w:pStyle w:val="ParaNoNdepar-AltN"/>
        <w:tabs>
          <w:tab w:val="clear" w:pos="1166"/>
          <w:tab w:val="num" w:pos="1152"/>
        </w:tabs>
        <w:rPr>
          <w:rFonts w:eastAsia="Times New Roman" w:cs="Times New Roman"/>
          <w:kern w:val="36"/>
          <w:szCs w:val="24"/>
        </w:rPr>
      </w:pPr>
      <w:r w:rsidRPr="00136956">
        <w:rPr>
          <w:rFonts w:cs="Times New Roman"/>
          <w:iCs/>
          <w:szCs w:val="24"/>
        </w:rPr>
        <w:t>The AGC submits that s.</w:t>
      </w:r>
      <w:r>
        <w:rPr>
          <w:rFonts w:cs="Times New Roman"/>
          <w:iCs/>
          <w:szCs w:val="24"/>
        </w:rPr>
        <w:t xml:space="preserve"> </w:t>
      </w:r>
      <w:r w:rsidRPr="00136956">
        <w:rPr>
          <w:rFonts w:cs="Times New Roman"/>
          <w:iCs/>
          <w:szCs w:val="24"/>
        </w:rPr>
        <w:t xml:space="preserve">29 falls within the federal criminal law power because its purpose relates to the repeal of part of the </w:t>
      </w:r>
      <w:r w:rsidRPr="00136956">
        <w:rPr>
          <w:rFonts w:cs="Times New Roman"/>
          <w:i/>
          <w:iCs/>
          <w:szCs w:val="24"/>
        </w:rPr>
        <w:t>FA</w:t>
      </w:r>
      <w:r w:rsidRPr="00136956">
        <w:rPr>
          <w:rFonts w:cs="Times New Roman"/>
          <w:iCs/>
          <w:szCs w:val="24"/>
        </w:rPr>
        <w:t>, that is, to the abolition of the long</w:t>
      </w:r>
      <w:r>
        <w:rPr>
          <w:rFonts w:cs="Times New Roman"/>
          <w:iCs/>
          <w:szCs w:val="24"/>
        </w:rPr>
        <w:t>-</w:t>
      </w:r>
      <w:r w:rsidRPr="00136956">
        <w:rPr>
          <w:rFonts w:cs="Times New Roman"/>
          <w:iCs/>
          <w:szCs w:val="24"/>
        </w:rPr>
        <w:t xml:space="preserve">gun registry. A legislative measure must meet three criteria to fall within that </w:t>
      </w:r>
      <w:r w:rsidRPr="00136956">
        <w:rPr>
          <w:rFonts w:cs="Times New Roman"/>
          <w:iCs/>
          <w:szCs w:val="24"/>
        </w:rPr>
        <w:lastRenderedPageBreak/>
        <w:t>head of power</w:t>
      </w:r>
      <w:r w:rsidRPr="00136956">
        <w:rPr>
          <w:rFonts w:cs="Times New Roman"/>
        </w:rPr>
        <w:t xml:space="preserve">. First, it must have a valid public purpose. Second, it must pursue that purpose by means of prohibitions. Third, the prohibitions must be supported by criminal sanctions: see </w:t>
      </w:r>
      <w:r w:rsidRPr="00136956">
        <w:rPr>
          <w:rFonts w:cs="Times New Roman"/>
          <w:i/>
          <w:iCs/>
        </w:rPr>
        <w:t>Reference re Assisted Human Reproduction Act</w:t>
      </w:r>
      <w:r w:rsidRPr="00136956">
        <w:rPr>
          <w:rFonts w:cs="Times New Roman"/>
        </w:rPr>
        <w:t>, at para.</w:t>
      </w:r>
      <w:r>
        <w:rPr>
          <w:rFonts w:cs="Times New Roman"/>
        </w:rPr>
        <w:t xml:space="preserve"> </w:t>
      </w:r>
      <w:r w:rsidRPr="00136956">
        <w:rPr>
          <w:rFonts w:cs="Times New Roman"/>
        </w:rPr>
        <w:t>233. It is impossible to conclude that these three criteria are met in the case of s.</w:t>
      </w:r>
      <w:r>
        <w:rPr>
          <w:rFonts w:cs="Times New Roman"/>
        </w:rPr>
        <w:t xml:space="preserve"> </w:t>
      </w:r>
      <w:r w:rsidRPr="00136956">
        <w:rPr>
          <w:rFonts w:cs="Times New Roman"/>
        </w:rPr>
        <w:t xml:space="preserve">29, however, since what is at issue in the case at bar is the power to </w:t>
      </w:r>
      <w:r w:rsidRPr="00136956">
        <w:rPr>
          <w:rFonts w:cs="Times New Roman"/>
          <w:szCs w:val="24"/>
        </w:rPr>
        <w:t>repeal</w:t>
      </w:r>
      <w:r w:rsidRPr="00136956">
        <w:rPr>
          <w:rFonts w:cs="Times New Roman"/>
          <w:iCs/>
          <w:szCs w:val="24"/>
        </w:rPr>
        <w:t xml:space="preserve"> a statute that was enacted under that head of power.</w:t>
      </w:r>
    </w:p>
    <w:p w:rsidR="009278C8" w:rsidRPr="00136956" w:rsidRDefault="009278C8" w:rsidP="009278C8">
      <w:pPr>
        <w:pStyle w:val="ParaNoNdepar-AltN"/>
        <w:tabs>
          <w:tab w:val="clear" w:pos="1166"/>
          <w:tab w:val="num" w:pos="1152"/>
        </w:tabs>
        <w:rPr>
          <w:rFonts w:cs="Times New Roman"/>
          <w:i/>
        </w:rPr>
      </w:pPr>
      <w:r w:rsidRPr="00136956">
        <w:rPr>
          <w:rFonts w:cs="Times New Roman"/>
        </w:rPr>
        <w:t>Yet we cannot find that the purpose of s.</w:t>
      </w:r>
      <w:r>
        <w:rPr>
          <w:rFonts w:cs="Times New Roman"/>
        </w:rPr>
        <w:t xml:space="preserve"> </w:t>
      </w:r>
      <w:r w:rsidRPr="00136956">
        <w:rPr>
          <w:rFonts w:cs="Times New Roman"/>
        </w:rPr>
        <w:t xml:space="preserve">29 relates to the repeal of the </w:t>
      </w:r>
      <w:r w:rsidRPr="00136956">
        <w:rPr>
          <w:rFonts w:cs="Times New Roman"/>
          <w:i/>
        </w:rPr>
        <w:t>FA</w:t>
      </w:r>
      <w:r w:rsidRPr="00136956">
        <w:rPr>
          <w:rFonts w:cs="Times New Roman"/>
        </w:rPr>
        <w:t xml:space="preserve">. First, as can be seen from the structure of the </w:t>
      </w:r>
      <w:r w:rsidRPr="00136956">
        <w:rPr>
          <w:rFonts w:cs="Times New Roman"/>
          <w:i/>
        </w:rPr>
        <w:t>ELRA</w:t>
      </w:r>
      <w:r w:rsidRPr="00136956">
        <w:rPr>
          <w:rFonts w:cs="Times New Roman"/>
        </w:rPr>
        <w:t>, the abolition by the federal government of the requirement to register long guns and the destruction of the data are two distinct objectives. Second, the purpose of s.</w:t>
      </w:r>
      <w:r>
        <w:rPr>
          <w:rFonts w:cs="Times New Roman"/>
        </w:rPr>
        <w:t xml:space="preserve"> </w:t>
      </w:r>
      <w:r w:rsidRPr="00136956">
        <w:rPr>
          <w:rFonts w:cs="Times New Roman"/>
        </w:rPr>
        <w:t>29 is not simply to destroy the data. Rather, it seeks to abolish a scheme in which those data are used and to terminate the partnership with Quebec.</w:t>
      </w:r>
      <w:r w:rsidRPr="00136956">
        <w:rPr>
          <w:rFonts w:cs="Times New Roman"/>
          <w:i/>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Nor, in this regard, can we conclude, as the Court of Appeal did and as our colleagues do, that s.</w:t>
      </w:r>
      <w:r>
        <w:rPr>
          <w:rFonts w:cs="Times New Roman"/>
        </w:rPr>
        <w:t xml:space="preserve"> </w:t>
      </w:r>
      <w:r w:rsidRPr="00136956">
        <w:rPr>
          <w:rFonts w:cs="Times New Roman"/>
        </w:rPr>
        <w:t>29 merely abolishes a “federal” scheme. We believe that this conclusion is based on the mistaken premise that the scheme abolished by s.</w:t>
      </w:r>
      <w:r>
        <w:rPr>
          <w:rFonts w:cs="Times New Roman"/>
        </w:rPr>
        <w:t xml:space="preserve"> </w:t>
      </w:r>
      <w:r w:rsidRPr="00136956">
        <w:rPr>
          <w:rFonts w:cs="Times New Roman"/>
        </w:rPr>
        <w:t xml:space="preserve">29 was created solely by the </w:t>
      </w:r>
      <w:r w:rsidRPr="00136956">
        <w:rPr>
          <w:rFonts w:cs="Times New Roman"/>
          <w:i/>
        </w:rPr>
        <w:t>FA</w:t>
      </w:r>
      <w:r w:rsidRPr="00136956">
        <w:rPr>
          <w:rFonts w:cs="Times New Roman"/>
        </w:rPr>
        <w:t xml:space="preserve">. Although it is true that the </w:t>
      </w:r>
      <w:r w:rsidRPr="00136956">
        <w:rPr>
          <w:rFonts w:cs="Times New Roman"/>
          <w:i/>
        </w:rPr>
        <w:t>FA</w:t>
      </w:r>
      <w:r w:rsidRPr="00136956">
        <w:rPr>
          <w:rFonts w:cs="Times New Roman"/>
        </w:rPr>
        <w:t xml:space="preserve"> constitutes the statutory framework for the CFR, it must not be forgotten that that framework encroached on provincial jurisdiction at the time of its creation. Even more importantly, the CFR is only one component of the federal</w:t>
      </w:r>
      <w:r>
        <w:rPr>
          <w:rFonts w:cs="Times New Roman"/>
        </w:rPr>
        <w:t>-</w:t>
      </w:r>
      <w:r w:rsidRPr="00136956">
        <w:rPr>
          <w:rFonts w:cs="Times New Roman"/>
        </w:rPr>
        <w:t>provincial partnership for the control of long guns. As we showed above, this partnership, considered in its broad sense, required Quebec’s administrative, financial and legislative participation.</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 xml:space="preserve">We should also mention that unlike the situation in </w:t>
      </w:r>
      <w:r w:rsidRPr="00136956">
        <w:rPr>
          <w:rFonts w:cs="Times New Roman"/>
          <w:i/>
          <w:iCs/>
          <w:spacing w:val="-3"/>
        </w:rPr>
        <w:t>Reference re Canada Assistance Plan</w:t>
      </w:r>
      <w:r w:rsidRPr="00136956">
        <w:rPr>
          <w:rFonts w:cs="Times New Roman"/>
          <w:iCs/>
          <w:spacing w:val="-3"/>
        </w:rPr>
        <w:t>, which concerned the federal spending power,</w:t>
      </w:r>
      <w:r w:rsidRPr="00136956">
        <w:rPr>
          <w:rFonts w:cs="Times New Roman"/>
        </w:rPr>
        <w:t xml:space="preserve"> both the setting up and the maintenance of the CFR at issue in the case at bar gave it a provincial aspect. As the trial judge found, the data to which s.</w:t>
      </w:r>
      <w:r>
        <w:rPr>
          <w:rFonts w:cs="Times New Roman"/>
        </w:rPr>
        <w:t xml:space="preserve"> </w:t>
      </w:r>
      <w:r w:rsidRPr="00136956">
        <w:rPr>
          <w:rFonts w:cs="Times New Roman"/>
        </w:rPr>
        <w:t>29 applies are not only “federal”. The creation of the database, the CFIS, was dependent on co</w:t>
      </w:r>
      <w:r>
        <w:rPr>
          <w:rFonts w:cs="Times New Roman"/>
        </w:rPr>
        <w:t>-</w:t>
      </w:r>
      <w:r w:rsidRPr="00136956">
        <w:rPr>
          <w:rFonts w:cs="Times New Roman"/>
        </w:rPr>
        <w:t>operation between the provinces and the federal government. The interrelated information it contains was accumulated in the context of the close federal</w:t>
      </w:r>
      <w:r>
        <w:rPr>
          <w:rFonts w:cs="Times New Roman"/>
        </w:rPr>
        <w:t>-</w:t>
      </w:r>
      <w:r w:rsidRPr="00136956">
        <w:rPr>
          <w:rFonts w:cs="Times New Roman"/>
        </w:rPr>
        <w:t>provincial partnership described above. In this context,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was, in requiring that the data be destroyed without first being transferred to Quebec, also intended to abolish the “provincial” component of the scheme, both in the broad sense and in respect of the data.</w:t>
      </w:r>
    </w:p>
    <w:p w:rsidR="009278C8" w:rsidRPr="00136956" w:rsidRDefault="009278C8" w:rsidP="009278C8">
      <w:pPr>
        <w:pStyle w:val="ParaNoNdepar-AltN"/>
        <w:tabs>
          <w:tab w:val="clear" w:pos="1166"/>
          <w:tab w:val="num" w:pos="1152"/>
        </w:tabs>
        <w:rPr>
          <w:rFonts w:cs="Times New Roman"/>
        </w:rPr>
      </w:pPr>
      <w:r w:rsidRPr="00136956">
        <w:rPr>
          <w:rFonts w:cs="Times New Roman"/>
          <w:iCs/>
        </w:rPr>
        <w:t>Finally, the AGC asserts that the purpose of s.</w:t>
      </w:r>
      <w:r>
        <w:rPr>
          <w:rFonts w:cs="Times New Roman"/>
          <w:iCs/>
        </w:rPr>
        <w:t xml:space="preserve"> </w:t>
      </w:r>
      <w:r w:rsidRPr="00136956">
        <w:rPr>
          <w:rFonts w:cs="Times New Roman"/>
          <w:iCs/>
        </w:rPr>
        <w:t xml:space="preserve">29 is to eliminate an invasion by the state of the privacy of Canadians. If that were really the case, it is hard to understand why that section </w:t>
      </w:r>
      <w:r w:rsidRPr="00136956">
        <w:rPr>
          <w:rFonts w:cs="Times New Roman"/>
        </w:rPr>
        <w:t xml:space="preserve">was inserted only in the final version of the bill, and only after Quebec had announced that it wanted to create its own registry. Quite obviously, in light of the extrinsic evidence, we do not believe the elimination of an invasion of privacy to have been the federal government’s purpose. </w:t>
      </w:r>
    </w:p>
    <w:p w:rsidR="009278C8" w:rsidRPr="00136956" w:rsidRDefault="009278C8" w:rsidP="009278C8">
      <w:pPr>
        <w:pStyle w:val="ParaNoNdepar-AltN"/>
        <w:tabs>
          <w:tab w:val="clear" w:pos="1166"/>
          <w:tab w:val="num" w:pos="1152"/>
        </w:tabs>
        <w:rPr>
          <w:rFonts w:cs="Times New Roman"/>
        </w:rPr>
      </w:pPr>
      <w:r w:rsidRPr="00136956">
        <w:rPr>
          <w:rFonts w:cs="Times New Roman"/>
        </w:rPr>
        <w:t>What, then, is the pith and substance of s.</w:t>
      </w:r>
      <w:r>
        <w:rPr>
          <w:rFonts w:cs="Times New Roman"/>
        </w:rPr>
        <w:t xml:space="preserve"> </w:t>
      </w:r>
      <w:r w:rsidRPr="00136956">
        <w:rPr>
          <w:rFonts w:cs="Times New Roman"/>
        </w:rPr>
        <w:t xml:space="preserve">29 of the </w:t>
      </w:r>
      <w:r w:rsidRPr="00136956">
        <w:rPr>
          <w:rFonts w:cs="Times New Roman"/>
          <w:i/>
        </w:rPr>
        <w:t>ELRA</w:t>
      </w:r>
      <w:r w:rsidRPr="00136956">
        <w:rPr>
          <w:rFonts w:cs="Times New Roman"/>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In our opinion, in light of its purpose and its effect, s.</w:t>
      </w:r>
      <w:r>
        <w:rPr>
          <w:rFonts w:cs="Times New Roman"/>
        </w:rPr>
        <w:t xml:space="preserve"> </w:t>
      </w:r>
      <w:r w:rsidRPr="00136956">
        <w:rPr>
          <w:rFonts w:cs="Times New Roman"/>
        </w:rPr>
        <w:t xml:space="preserve">29 goes much farther than simply requiring that the data be destroyed. Given that they are to be destroyed with no possibility of their first being transferred to the partners, and therefore without the impact of this measure on the partners’ exercise of their powers </w:t>
      </w:r>
      <w:r w:rsidRPr="00136956">
        <w:rPr>
          <w:rFonts w:cs="Times New Roman"/>
        </w:rPr>
        <w:lastRenderedPageBreak/>
        <w:t>being taken into account, the section’s true purpose is to ensure that the information on long guns can no longer be used for any provincial purposes. As we mentioned above, however, the regulation of long guns and the use of information about them fall primarily within the provinces’ power to make laws in relation to property and civil rights. This is all the more true now that the failure to comply with the requirement to register has been decriminalized, because the use of the information has lost its federal aspect. As a result, the pith and substance of s.</w:t>
      </w:r>
      <w:r>
        <w:rPr>
          <w:rFonts w:cs="Times New Roman"/>
        </w:rPr>
        <w:t xml:space="preserve"> </w:t>
      </w:r>
      <w:r w:rsidRPr="00136956">
        <w:rPr>
          <w:rFonts w:cs="Times New Roman"/>
        </w:rPr>
        <w:t>29 relates to the provinces’ power over property and civil rights.</w:t>
      </w:r>
    </w:p>
    <w:p w:rsidR="009278C8" w:rsidRPr="00136956" w:rsidRDefault="009278C8" w:rsidP="009278C8">
      <w:pPr>
        <w:pStyle w:val="ParaNoNdepar-AltN"/>
        <w:tabs>
          <w:tab w:val="clear" w:pos="1166"/>
          <w:tab w:val="num" w:pos="1152"/>
        </w:tabs>
        <w:rPr>
          <w:rFonts w:cs="Times New Roman"/>
        </w:rPr>
      </w:pPr>
      <w:r w:rsidRPr="00136956">
        <w:rPr>
          <w:rFonts w:cs="Times New Roman"/>
        </w:rPr>
        <w:t>To be valid, therefore, s.</w:t>
      </w:r>
      <w:r>
        <w:rPr>
          <w:rFonts w:cs="Times New Roman"/>
        </w:rPr>
        <w:t xml:space="preserve"> </w:t>
      </w:r>
      <w:r w:rsidRPr="00136956">
        <w:rPr>
          <w:rFonts w:cs="Times New Roman"/>
        </w:rPr>
        <w:t xml:space="preserve">29 must be integrated into the </w:t>
      </w:r>
      <w:r w:rsidRPr="00136956">
        <w:rPr>
          <w:rFonts w:cs="Times New Roman"/>
          <w:i/>
        </w:rPr>
        <w:t>ELRA</w:t>
      </w:r>
      <w:r w:rsidRPr="00136956">
        <w:rPr>
          <w:rFonts w:cs="Times New Roman"/>
        </w:rPr>
        <w:t xml:space="preserve"> as a whole. This conclusion makes sense to us, given that whether the CFR is constitutional in fact depends on its being ancillary to a criminal law purpose, as the Court found in the </w:t>
      </w:r>
      <w:r w:rsidRPr="00136956">
        <w:rPr>
          <w:rFonts w:cs="Times New Roman"/>
          <w:i/>
        </w:rPr>
        <w:t>FA Reference</w:t>
      </w:r>
      <w:r w:rsidRPr="00136956">
        <w:rPr>
          <w:rFonts w:cs="Times New Roman"/>
        </w:rPr>
        <w:t>.</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689" w:name="_Toc402211726"/>
      <w:bookmarkStart w:id="1690" w:name="_Toc402211895"/>
      <w:bookmarkStart w:id="1691" w:name="_Toc402212033"/>
      <w:bookmarkStart w:id="1692" w:name="_Toc402212171"/>
      <w:bookmarkStart w:id="1693" w:name="_Toc402212309"/>
      <w:bookmarkStart w:id="1694" w:name="_Toc402212486"/>
      <w:bookmarkStart w:id="1695" w:name="_Toc402215794"/>
      <w:bookmarkStart w:id="1696" w:name="_Toc402217004"/>
      <w:bookmarkStart w:id="1697" w:name="_Toc402217213"/>
      <w:bookmarkStart w:id="1698" w:name="_Toc402217357"/>
      <w:bookmarkStart w:id="1699" w:name="_Toc402217501"/>
      <w:bookmarkStart w:id="1700" w:name="_Toc413306882"/>
      <w:bookmarkEnd w:id="1689"/>
      <w:bookmarkEnd w:id="1690"/>
      <w:bookmarkEnd w:id="1691"/>
      <w:bookmarkEnd w:id="1692"/>
      <w:bookmarkEnd w:id="1693"/>
      <w:bookmarkEnd w:id="1694"/>
      <w:bookmarkEnd w:id="1695"/>
      <w:bookmarkEnd w:id="1696"/>
      <w:bookmarkEnd w:id="1697"/>
      <w:bookmarkEnd w:id="1698"/>
      <w:bookmarkEnd w:id="1699"/>
      <w:r w:rsidRPr="00136956">
        <w:rPr>
          <w:rFonts w:cs="Times New Roman"/>
        </w:rPr>
        <w:t>Ancillary Powers</w:t>
      </w:r>
      <w:bookmarkEnd w:id="1700"/>
      <w:r w:rsidRPr="00136956">
        <w:rPr>
          <w:rFonts w:cs="Times New Roman"/>
        </w:rPr>
        <w:t xml:space="preserve"> Analysis</w:t>
      </w:r>
    </w:p>
    <w:p w:rsidR="009278C8" w:rsidRPr="00136956" w:rsidRDefault="009278C8" w:rsidP="009278C8">
      <w:pPr>
        <w:pStyle w:val="ParaNoNdepar-AltN"/>
        <w:tabs>
          <w:tab w:val="clear" w:pos="1166"/>
          <w:tab w:val="num" w:pos="1152"/>
        </w:tabs>
        <w:rPr>
          <w:rFonts w:cs="Times New Roman"/>
        </w:rPr>
      </w:pPr>
      <w:r w:rsidRPr="00136956">
        <w:rPr>
          <w:rFonts w:cs="Times New Roman"/>
        </w:rPr>
        <w:t>To determine whether s.</w:t>
      </w:r>
      <w:r>
        <w:rPr>
          <w:rFonts w:cs="Times New Roman"/>
        </w:rPr>
        <w:t xml:space="preserve"> </w:t>
      </w:r>
      <w:r w:rsidRPr="00136956">
        <w:rPr>
          <w:rFonts w:cs="Times New Roman"/>
        </w:rPr>
        <w:t xml:space="preserve">29 of the </w:t>
      </w:r>
      <w:r w:rsidRPr="00136956">
        <w:rPr>
          <w:rFonts w:cs="Times New Roman"/>
          <w:i/>
        </w:rPr>
        <w:t xml:space="preserve">ELRA </w:t>
      </w:r>
      <w:r w:rsidRPr="00136956">
        <w:rPr>
          <w:rFonts w:cs="Times New Roman"/>
        </w:rPr>
        <w:t xml:space="preserve">is constitutional on the basis of the ancillary powers doctrine, we must consider the seriousness, or extent, of its encroachment on provincial powers, bearing in mind that the provincial power to make laws in relation to property and civil rights is a head that should not be intruded upon lightly: </w:t>
      </w:r>
      <w:r w:rsidRPr="00136956">
        <w:rPr>
          <w:rFonts w:cs="Times New Roman"/>
          <w:i/>
        </w:rPr>
        <w:t>General Motors</w:t>
      </w:r>
      <w:r w:rsidRPr="00136956">
        <w:rPr>
          <w:rFonts w:cs="Times New Roman"/>
        </w:rPr>
        <w:t>, at pp.</w:t>
      </w:r>
      <w:r>
        <w:rPr>
          <w:rFonts w:cs="Times New Roman"/>
        </w:rPr>
        <w:t xml:space="preserve"> </w:t>
      </w:r>
      <w:r w:rsidRPr="00136956">
        <w:rPr>
          <w:rFonts w:cs="Times New Roman"/>
        </w:rPr>
        <w:t>672</w:t>
      </w:r>
      <w:r>
        <w:rPr>
          <w:rFonts w:cs="Times New Roman"/>
        </w:rPr>
        <w:t>-</w:t>
      </w:r>
      <w:r w:rsidRPr="00136956">
        <w:rPr>
          <w:rFonts w:cs="Times New Roman"/>
        </w:rPr>
        <w:t>73. We should mention that s.</w:t>
      </w:r>
      <w:r>
        <w:rPr>
          <w:rFonts w:cs="Times New Roman"/>
        </w:rPr>
        <w:t xml:space="preserve"> </w:t>
      </w:r>
      <w:r w:rsidRPr="00136956">
        <w:rPr>
          <w:rFonts w:cs="Times New Roman"/>
        </w:rPr>
        <w:t>29 may also encroach on the provinces’ powers in relation to the administration of justice, as can be seen from our analysis below.</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The seriousness of the encroachment of s.</w:t>
      </w:r>
      <w:r>
        <w:rPr>
          <w:rFonts w:cs="Times New Roman"/>
        </w:rPr>
        <w:t xml:space="preserve"> </w:t>
      </w:r>
      <w:r w:rsidRPr="00136956">
        <w:rPr>
          <w:rFonts w:cs="Times New Roman"/>
        </w:rPr>
        <w:t xml:space="preserve">29 must be analyzed on the basis of the specific factual and legal context of the instant case, which includes the existence of the partnership between the federal government and Quebec.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By enacting the </w:t>
      </w:r>
      <w:r w:rsidRPr="00136956">
        <w:rPr>
          <w:rFonts w:cs="Times New Roman"/>
          <w:i/>
        </w:rPr>
        <w:t>FA</w:t>
      </w:r>
      <w:r w:rsidRPr="00136956">
        <w:rPr>
          <w:rFonts w:cs="Times New Roman"/>
        </w:rPr>
        <w:t>, the federal government effectively took over the field of firearms regulation. The decision to do so had two major consequences. On the one hand, the provinces had to deal with a national registry. As a result, the creation of a provincial long</w:t>
      </w:r>
      <w:r>
        <w:rPr>
          <w:rFonts w:cs="Times New Roman"/>
        </w:rPr>
        <w:t>-</w:t>
      </w:r>
      <w:r w:rsidRPr="00136956">
        <w:rPr>
          <w:rFonts w:cs="Times New Roman"/>
        </w:rPr>
        <w:t>gun registry became unnecessary, especially given that the existence of the federal legislation made it possible for the provinces to play a major role in the CFP and in the creation of registries and of databases such as the CFIS through the joint and complementary exercise of their powers in relation to property and civil rights and the administration of justice. As well, Quebec passed legislation based upon this partnership with the federal government. The creation and management of a federal firearms registry thus led to the development of a provincial aspect. To destroy the registry unilaterally without taking this reality into account is to negate Quebec’s financial, administrative and legislative participation.</w:t>
      </w:r>
    </w:p>
    <w:p w:rsidR="009278C8" w:rsidRPr="00136956" w:rsidRDefault="009278C8" w:rsidP="009278C8">
      <w:pPr>
        <w:pStyle w:val="ParaNoNdepar-AltN"/>
        <w:rPr>
          <w:rFonts w:cs="Times New Roman"/>
        </w:rPr>
      </w:pPr>
      <w:r w:rsidRPr="00136956">
        <w:rPr>
          <w:rFonts w:cs="Times New Roman"/>
        </w:rPr>
        <w:t xml:space="preserve">On the other hand, although the </w:t>
      </w:r>
      <w:r w:rsidRPr="00136956">
        <w:rPr>
          <w:rFonts w:cs="Times New Roman"/>
          <w:i/>
        </w:rPr>
        <w:t>FA</w:t>
      </w:r>
      <w:r w:rsidRPr="00136956">
        <w:rPr>
          <w:rFonts w:cs="Times New Roman"/>
        </w:rPr>
        <w:t xml:space="preserve"> did not have a significant effect on the provinces’ powers with respect to firearms at the time of its </w:t>
      </w:r>
      <w:proofErr w:type="gramStart"/>
      <w:r w:rsidRPr="00136956">
        <w:rPr>
          <w:rFonts w:cs="Times New Roman"/>
        </w:rPr>
        <w:t>enactment, that</w:t>
      </w:r>
      <w:proofErr w:type="gramEnd"/>
      <w:r w:rsidRPr="00136956">
        <w:rPr>
          <w:rFonts w:cs="Times New Roman"/>
        </w:rPr>
        <w:t xml:space="preserve"> is no longer true today in a context in which the data are to be destroyed without first being transferred to Quebec. The consequences of the loss of the information collected since 1998 will not be only financial in nature. The quality and usefulness of a restored registry created by Quebec would be diminished, since, to give one example, the chain of ownership of each weapon will have been lost. We note that in 2011, </w:t>
      </w:r>
      <w:r w:rsidRPr="00136956">
        <w:rPr>
          <w:rFonts w:cs="Times New Roman"/>
        </w:rPr>
        <w:lastRenderedPageBreak/>
        <w:t xml:space="preserve">long guns represented more than </w:t>
      </w:r>
      <w:r w:rsidRPr="00136956">
        <w:rPr>
          <w:rFonts w:cs="Times New Roman"/>
          <w:szCs w:val="24"/>
        </w:rPr>
        <w:t>90</w:t>
      </w:r>
      <w:r>
        <w:rPr>
          <w:rFonts w:cs="Times New Roman"/>
          <w:szCs w:val="24"/>
        </w:rPr>
        <w:t xml:space="preserve"> </w:t>
      </w:r>
      <w:r w:rsidRPr="00136956">
        <w:rPr>
          <w:rFonts w:cs="Times New Roman"/>
          <w:szCs w:val="24"/>
        </w:rPr>
        <w:t xml:space="preserve">percent of registered firearms in Quebec: </w:t>
      </w:r>
      <w:r w:rsidRPr="00136956">
        <w:rPr>
          <w:rFonts w:cs="Times New Roman"/>
          <w:iCs/>
        </w:rPr>
        <w:t>affidavit of Isabelle Boudreault</w:t>
      </w:r>
      <w:r w:rsidRPr="00136956">
        <w:rPr>
          <w:rFonts w:cs="Times New Roman"/>
        </w:rPr>
        <w:t>, at paras.</w:t>
      </w:r>
      <w:r>
        <w:rPr>
          <w:rFonts w:cs="Times New Roman"/>
        </w:rPr>
        <w:t xml:space="preserve"> </w:t>
      </w:r>
      <w:r w:rsidRPr="00136956">
        <w:rPr>
          <w:rFonts w:cs="Times New Roman"/>
        </w:rPr>
        <w:t>18 and 31</w:t>
      </w:r>
      <w:r w:rsidRPr="00136956">
        <w:rPr>
          <w:rFonts w:cs="Times New Roman"/>
          <w:bCs/>
        </w:rPr>
        <w:t>. Quebec maintains that, if it does not obtain and cannot retain the data concerning the registrations of interest to it, it will lose track of more than one and one half million long guns</w:t>
      </w:r>
      <w:r w:rsidRPr="00136956">
        <w:rPr>
          <w:rFonts w:cs="Times New Roman"/>
        </w:rPr>
        <w:t>:</w:t>
      </w:r>
      <w:r w:rsidRPr="00136956">
        <w:rPr>
          <w:rFonts w:cs="Times New Roman"/>
          <w:i/>
          <w:iCs/>
        </w:rPr>
        <w:t xml:space="preserve"> Evidence of the Standing Committee on Public Safety and National Security</w:t>
      </w:r>
      <w:r w:rsidRPr="00136956">
        <w:rPr>
          <w:rFonts w:cs="Times New Roman"/>
        </w:rPr>
        <w:t xml:space="preserve">, </w:t>
      </w:r>
      <w:r w:rsidRPr="00136956">
        <w:rPr>
          <w:rFonts w:cs="Times New Roman"/>
          <w:bCs/>
        </w:rPr>
        <w:t>at p.</w:t>
      </w:r>
      <w:r>
        <w:rPr>
          <w:rFonts w:cs="Times New Roman"/>
          <w:bCs/>
        </w:rPr>
        <w:t xml:space="preserve"> </w:t>
      </w:r>
      <w:r w:rsidRPr="00136956">
        <w:rPr>
          <w:rFonts w:cs="Times New Roman"/>
          <w:bCs/>
        </w:rPr>
        <w:t xml:space="preserve">2. </w:t>
      </w:r>
      <w:r w:rsidRPr="00136956">
        <w:rPr>
          <w:rFonts w:cs="Times New Roman"/>
        </w:rPr>
        <w:t xml:space="preserve">Thus, the destruction of the data would compromise the creation and the usefulness of a future Quebec firearms registry.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Furthermore, the CFO’s role under the </w:t>
      </w:r>
      <w:r w:rsidRPr="00136956">
        <w:rPr>
          <w:rFonts w:cs="Times New Roman"/>
          <w:i/>
        </w:rPr>
        <w:t>FA</w:t>
      </w:r>
      <w:r w:rsidRPr="00136956">
        <w:rPr>
          <w:rFonts w:cs="Times New Roman"/>
        </w:rPr>
        <w:t xml:space="preserve"> and the partnership discussed above led to the enactment by Quebec of legislation that falls within its powers in relation to the administration of justice. Destruction of the data would therefore interfere with the use Quebec makes of them in the administration of certain provincial legislative schemes, such as </w:t>
      </w:r>
      <w:r w:rsidR="00CF2162">
        <w:rPr>
          <w:rFonts w:cs="Times New Roman"/>
        </w:rPr>
        <w:t xml:space="preserve">that of </w:t>
      </w:r>
      <w:r w:rsidRPr="00136956">
        <w:rPr>
          <w:rFonts w:cs="Times New Roman"/>
          <w:i/>
        </w:rPr>
        <w:t>Anastasia’s Law</w:t>
      </w:r>
      <w:r w:rsidRPr="00136956">
        <w:rPr>
          <w:rFonts w:cs="Times New Roman"/>
        </w:rPr>
        <w:t>, and with their use by the police in investigations in particular.</w:t>
      </w:r>
      <w:r w:rsidRPr="00136956">
        <w:rPr>
          <w:rFonts w:cs="Times New Roman"/>
          <w:i/>
        </w:rPr>
        <w:t xml:space="preserve"> </w:t>
      </w:r>
    </w:p>
    <w:p w:rsidR="009278C8" w:rsidRPr="00136956" w:rsidRDefault="009278C8" w:rsidP="009278C8">
      <w:pPr>
        <w:pStyle w:val="ParaNoNdepar-AltN"/>
        <w:tabs>
          <w:tab w:val="clear" w:pos="1166"/>
          <w:tab w:val="num" w:pos="1152"/>
        </w:tabs>
        <w:rPr>
          <w:rFonts w:cs="Times New Roman"/>
        </w:rPr>
      </w:pPr>
      <w:r w:rsidRPr="00136956">
        <w:rPr>
          <w:rFonts w:cs="Times New Roman"/>
        </w:rPr>
        <w:t>Finally, the federal government could have implemented its vision of firearms control without involving the provinces in any significant way, but it did not choose to take that approach. Doubtless for the sake of efficiency, it instead developed a legislative scheme that required active provincial participation and took the form of a partnership. This cannot be disregarded in analyzing the seriousness of the encroachment on the powers of the other level of government and, consequently, in determining the scope and validity of s.</w:t>
      </w:r>
      <w:r>
        <w:rPr>
          <w:rFonts w:cs="Times New Roman"/>
        </w:rPr>
        <w:t xml:space="preserve"> </w:t>
      </w:r>
      <w:r w:rsidRPr="00136956">
        <w:rPr>
          <w:rFonts w:cs="Times New Roman"/>
        </w:rPr>
        <w:t>29.</w:t>
      </w:r>
    </w:p>
    <w:p w:rsidR="009278C8" w:rsidRPr="00136956" w:rsidRDefault="009278C8" w:rsidP="009278C8">
      <w:pPr>
        <w:pStyle w:val="ParaNoNdepar-AltN"/>
        <w:tabs>
          <w:tab w:val="clear" w:pos="1166"/>
          <w:tab w:val="num" w:pos="1152"/>
        </w:tabs>
        <w:rPr>
          <w:rFonts w:cs="Times New Roman"/>
          <w:i/>
          <w:iCs/>
          <w:spacing w:val="-3"/>
        </w:rPr>
      </w:pPr>
      <w:r w:rsidRPr="00136956">
        <w:rPr>
          <w:rFonts w:cs="Times New Roman"/>
          <w:iCs/>
        </w:rPr>
        <w:lastRenderedPageBreak/>
        <w:t xml:space="preserve">This leads us to conclude that </w:t>
      </w:r>
      <w:r w:rsidRPr="00136956">
        <w:rPr>
          <w:rFonts w:cs="Times New Roman"/>
        </w:rPr>
        <w:t>in terms of both its nature and its effects</w:t>
      </w:r>
      <w:r w:rsidRPr="00136956">
        <w:rPr>
          <w:rFonts w:cs="Times New Roman"/>
          <w:iCs/>
        </w:rPr>
        <w:t>, s</w:t>
      </w:r>
      <w:r w:rsidRPr="00136956">
        <w:rPr>
          <w:rFonts w:cs="Times New Roman"/>
        </w:rPr>
        <w:t>.</w:t>
      </w:r>
      <w:r>
        <w:rPr>
          <w:rFonts w:cs="Times New Roman"/>
        </w:rPr>
        <w:t xml:space="preserve"> </w:t>
      </w:r>
      <w:r w:rsidRPr="00136956">
        <w:rPr>
          <w:rFonts w:cs="Times New Roman"/>
        </w:rPr>
        <w:t>29 causes a substantial encroachment on provincial jurisdiction. In such a case, the Court’s past decisions tell us that for the encroachment of s.</w:t>
      </w:r>
      <w:r>
        <w:rPr>
          <w:rFonts w:cs="Times New Roman"/>
        </w:rPr>
        <w:t xml:space="preserve"> </w:t>
      </w:r>
      <w:r w:rsidRPr="00136956">
        <w:rPr>
          <w:rFonts w:cs="Times New Roman"/>
        </w:rPr>
        <w:t xml:space="preserve">29 to be found to be ancillary to the </w:t>
      </w:r>
      <w:r w:rsidRPr="00136956">
        <w:rPr>
          <w:rFonts w:cs="Times New Roman"/>
          <w:i/>
        </w:rPr>
        <w:t>ELRA</w:t>
      </w:r>
      <w:r w:rsidRPr="00136956">
        <w:rPr>
          <w:rFonts w:cs="Times New Roman"/>
        </w:rPr>
        <w:t xml:space="preserve">, the degree to which the section is integrated into the Act must be high, that is, it must satisfy the necessity or “integral part” criterion: </w:t>
      </w:r>
      <w:r w:rsidRPr="00136956">
        <w:rPr>
          <w:rFonts w:cs="Times New Roman"/>
          <w:i/>
          <w:iCs/>
        </w:rPr>
        <w:t>General Motors</w:t>
      </w:r>
      <w:r w:rsidRPr="00136956">
        <w:rPr>
          <w:rFonts w:cs="Times New Roman"/>
        </w:rPr>
        <w:t>, at p.</w:t>
      </w:r>
      <w:r>
        <w:rPr>
          <w:rFonts w:cs="Times New Roman"/>
        </w:rPr>
        <w:t xml:space="preserve"> </w:t>
      </w:r>
      <w:r w:rsidRPr="00136956">
        <w:rPr>
          <w:rFonts w:cs="Times New Roman"/>
        </w:rPr>
        <w:t xml:space="preserve">671; see also </w:t>
      </w:r>
      <w:r w:rsidRPr="00136956">
        <w:rPr>
          <w:rFonts w:cs="Times New Roman"/>
          <w:i/>
          <w:iCs/>
          <w:spacing w:val="-3"/>
        </w:rPr>
        <w:t>Northern Telecom Ltd. v. Communications Workers of Canada</w:t>
      </w:r>
      <w:r w:rsidRPr="00136956">
        <w:rPr>
          <w:rFonts w:cs="Times New Roman"/>
          <w:spacing w:val="-3"/>
        </w:rPr>
        <w:t>, [1980] 1 S.C.R. 115;</w:t>
      </w:r>
      <w:r w:rsidRPr="00136956">
        <w:rPr>
          <w:rFonts w:cs="Times New Roman"/>
          <w:i/>
          <w:iCs/>
          <w:spacing w:val="-3"/>
        </w:rPr>
        <w:t xml:space="preserve"> Clark v. Canadian National Railway Co</w:t>
      </w:r>
      <w:r w:rsidR="005F03E0">
        <w:rPr>
          <w:rFonts w:cs="Times New Roman"/>
          <w:i/>
          <w:iCs/>
          <w:spacing w:val="-3"/>
        </w:rPr>
        <w:t>.</w:t>
      </w:r>
      <w:r w:rsidRPr="00136956">
        <w:rPr>
          <w:rFonts w:cs="Times New Roman"/>
          <w:spacing w:val="-3"/>
        </w:rPr>
        <w:t>,</w:t>
      </w:r>
      <w:r w:rsidRPr="00136956">
        <w:rPr>
          <w:rFonts w:cs="Times New Roman"/>
          <w:i/>
          <w:iCs/>
          <w:spacing w:val="-3"/>
        </w:rPr>
        <w:t xml:space="preserve"> </w:t>
      </w:r>
      <w:r w:rsidRPr="00136956">
        <w:rPr>
          <w:rFonts w:cs="Times New Roman"/>
          <w:spacing w:val="-3"/>
        </w:rPr>
        <w:t xml:space="preserve">[1988] 2 S.C.R. 680; </w:t>
      </w:r>
      <w:r w:rsidRPr="00136956">
        <w:rPr>
          <w:rFonts w:cs="Times New Roman"/>
          <w:i/>
          <w:iCs/>
          <w:spacing w:val="-3"/>
        </w:rPr>
        <w:t>R. v. Thomas Fuller Construction Co. (1958) Ltd.</w:t>
      </w:r>
      <w:r w:rsidRPr="00136956">
        <w:rPr>
          <w:rFonts w:cs="Times New Roman"/>
          <w:spacing w:val="-3"/>
        </w:rPr>
        <w:t xml:space="preserve">, [1980] 1 S.C.R. 695. </w:t>
      </w:r>
    </w:p>
    <w:p w:rsidR="009278C8" w:rsidRPr="00136956" w:rsidRDefault="009278C8" w:rsidP="009278C8">
      <w:pPr>
        <w:pStyle w:val="ParaNoNdepar-AltN"/>
        <w:tabs>
          <w:tab w:val="clear" w:pos="1166"/>
          <w:tab w:val="num" w:pos="1152"/>
        </w:tabs>
        <w:rPr>
          <w:rFonts w:cs="Times New Roman"/>
          <w:i/>
          <w:iCs/>
          <w:spacing w:val="-3"/>
        </w:rPr>
      </w:pPr>
      <w:r w:rsidRPr="00136956">
        <w:rPr>
          <w:rFonts w:cs="Times New Roman"/>
          <w:spacing w:val="-3"/>
        </w:rPr>
        <w:t xml:space="preserve">The purpose of the </w:t>
      </w:r>
      <w:r w:rsidRPr="00136956">
        <w:rPr>
          <w:rFonts w:cs="Times New Roman"/>
          <w:i/>
          <w:spacing w:val="-3"/>
        </w:rPr>
        <w:t>ELRA</w:t>
      </w:r>
      <w:r w:rsidRPr="00136956">
        <w:rPr>
          <w:rFonts w:cs="Times New Roman"/>
          <w:spacing w:val="-3"/>
        </w:rPr>
        <w:t xml:space="preserve"> as a whole, with the exception of s.</w:t>
      </w:r>
      <w:r>
        <w:rPr>
          <w:rFonts w:cs="Times New Roman"/>
          <w:spacing w:val="-3"/>
        </w:rPr>
        <w:t xml:space="preserve"> </w:t>
      </w:r>
      <w:r w:rsidRPr="00136956">
        <w:rPr>
          <w:rFonts w:cs="Times New Roman"/>
          <w:spacing w:val="-3"/>
        </w:rPr>
        <w:t xml:space="preserve">29, is to abolish the requirement to register long guns. The fact that the “summary” of the </w:t>
      </w:r>
      <w:r w:rsidRPr="00136956">
        <w:rPr>
          <w:rFonts w:cs="Times New Roman"/>
          <w:i/>
          <w:spacing w:val="-3"/>
        </w:rPr>
        <w:t>ELRA</w:t>
      </w:r>
      <w:r w:rsidRPr="00136956">
        <w:rPr>
          <w:rFonts w:cs="Times New Roman"/>
          <w:spacing w:val="-3"/>
        </w:rPr>
        <w:t xml:space="preserve"> refers to two purposes cannot serve on its own as proof of the true purpose of the </w:t>
      </w:r>
      <w:r w:rsidRPr="00136956">
        <w:rPr>
          <w:rFonts w:cs="Times New Roman"/>
          <w:i/>
          <w:spacing w:val="-3"/>
        </w:rPr>
        <w:t>ELRA</w:t>
      </w:r>
      <w:r w:rsidRPr="00136956">
        <w:rPr>
          <w:rFonts w:cs="Times New Roman"/>
          <w:spacing w:val="-3"/>
        </w:rPr>
        <w:t>. It goes without saying that the courts, in determining whether legislation is constitutionally valid, must look beyond the legislation’s declared or apparent purpose. Were they not to do so, it would be possible for a legislature to shield statutory provisions from constitutional challenge simply by drafting a preamble. Furthermore, it is only s.</w:t>
      </w:r>
      <w:r>
        <w:rPr>
          <w:rFonts w:cs="Times New Roman"/>
          <w:spacing w:val="-3"/>
        </w:rPr>
        <w:t xml:space="preserve"> </w:t>
      </w:r>
      <w:r w:rsidRPr="00136956">
        <w:rPr>
          <w:rFonts w:cs="Times New Roman"/>
          <w:spacing w:val="-3"/>
        </w:rPr>
        <w:t xml:space="preserve">29 of the </w:t>
      </w:r>
      <w:r w:rsidRPr="00136956">
        <w:rPr>
          <w:rFonts w:cs="Times New Roman"/>
          <w:i/>
          <w:spacing w:val="-3"/>
        </w:rPr>
        <w:t>ELRA</w:t>
      </w:r>
      <w:r w:rsidRPr="00136956">
        <w:rPr>
          <w:rFonts w:cs="Times New Roman"/>
          <w:spacing w:val="-3"/>
        </w:rPr>
        <w:t xml:space="preserve"> that is related to the supposed second purpose of the Act.</w:t>
      </w:r>
    </w:p>
    <w:p w:rsidR="009278C8" w:rsidRPr="00136956" w:rsidRDefault="009278C8" w:rsidP="009278C8">
      <w:pPr>
        <w:pStyle w:val="ParaNoNdepar-AltN"/>
        <w:tabs>
          <w:tab w:val="clear" w:pos="1166"/>
          <w:tab w:val="num" w:pos="1152"/>
        </w:tabs>
        <w:rPr>
          <w:rFonts w:cs="Times New Roman"/>
        </w:rPr>
      </w:pPr>
      <w:r w:rsidRPr="00136956">
        <w:rPr>
          <w:rFonts w:cs="Times New Roman"/>
          <w:spacing w:val="-3"/>
        </w:rPr>
        <w:t>In our opinion, the destruction of the data in question in s.</w:t>
      </w:r>
      <w:r>
        <w:rPr>
          <w:rFonts w:cs="Times New Roman"/>
          <w:spacing w:val="-3"/>
        </w:rPr>
        <w:t xml:space="preserve"> </w:t>
      </w:r>
      <w:r w:rsidRPr="00136956">
        <w:rPr>
          <w:rFonts w:cs="Times New Roman"/>
          <w:spacing w:val="-3"/>
        </w:rPr>
        <w:t xml:space="preserve">29 cannot be considered necessary to the </w:t>
      </w:r>
      <w:r w:rsidRPr="00136956">
        <w:rPr>
          <w:rFonts w:cs="Times New Roman"/>
        </w:rPr>
        <w:t>abolition of the requirement to register long guns. These two purposes are distinct. Moreover, as we mentioned above, the earlier bills did not provide for the destruction of these data.</w:t>
      </w:r>
    </w:p>
    <w:p w:rsidR="009278C8" w:rsidRPr="00136956" w:rsidRDefault="009278C8" w:rsidP="009278C8">
      <w:pPr>
        <w:pStyle w:val="ParaNoNdepar-AltN"/>
        <w:rPr>
          <w:rFonts w:cs="Times New Roman"/>
        </w:rPr>
      </w:pPr>
      <w:r w:rsidRPr="00136956">
        <w:rPr>
          <w:rFonts w:cs="Times New Roman"/>
        </w:rPr>
        <w:lastRenderedPageBreak/>
        <w:t>We also doubt that s.</w:t>
      </w:r>
      <w:r>
        <w:rPr>
          <w:rFonts w:cs="Times New Roman"/>
        </w:rPr>
        <w:t xml:space="preserve"> </w:t>
      </w:r>
      <w:r w:rsidRPr="00136956">
        <w:rPr>
          <w:rFonts w:cs="Times New Roman"/>
        </w:rPr>
        <w:t xml:space="preserve">29 can be linked to the </w:t>
      </w:r>
      <w:r w:rsidRPr="00136956">
        <w:rPr>
          <w:rFonts w:cs="Times New Roman"/>
          <w:i/>
          <w:spacing w:val="-3"/>
        </w:rPr>
        <w:t>ELRA</w:t>
      </w:r>
      <w:r w:rsidRPr="00136956">
        <w:rPr>
          <w:rFonts w:cs="Times New Roman"/>
          <w:spacing w:val="-3"/>
        </w:rPr>
        <w:t xml:space="preserve"> </w:t>
      </w:r>
      <w:r w:rsidR="00C02E1F">
        <w:rPr>
          <w:rFonts w:cs="Times New Roman"/>
        </w:rPr>
        <w:t>on the basis of</w:t>
      </w:r>
      <w:r w:rsidRPr="00136956">
        <w:rPr>
          <w:rFonts w:cs="Times New Roman"/>
        </w:rPr>
        <w:t xml:space="preserve"> a test of rationality. Although the destruction of data in which the federal government is no longer interested might seem rational at first glance, we find it hard to reconcile the manner in which their destruction was provided for with the desire certain provinces might show </w:t>
      </w:r>
      <w:r>
        <w:rPr>
          <w:rFonts w:cs="Times New Roman"/>
        </w:rPr>
        <w:t>to</w:t>
      </w:r>
      <w:r w:rsidRPr="00136956">
        <w:rPr>
          <w:rFonts w:cs="Times New Roman"/>
        </w:rPr>
        <w:t xml:space="preserve"> maintain a registry within the limits of their powers. The AGC in fact acknowledged at the hearing that what was problematic was not really the fact of transferring the data to the government of Quebec, but that of transmitting personal information about long-gun owners: transcript, at p.</w:t>
      </w:r>
      <w:r>
        <w:rPr>
          <w:rFonts w:cs="Times New Roman"/>
        </w:rPr>
        <w:t xml:space="preserve"> </w:t>
      </w:r>
      <w:r w:rsidRPr="00136956">
        <w:rPr>
          <w:rFonts w:cs="Times New Roman"/>
        </w:rPr>
        <w:t>55. We have already rejected this argument as an explanation of the refusal to transfer the data.</w:t>
      </w:r>
    </w:p>
    <w:p w:rsidR="009278C8" w:rsidRPr="00136956" w:rsidRDefault="009278C8" w:rsidP="009278C8">
      <w:pPr>
        <w:pStyle w:val="ParaNoNdepar-AltN"/>
        <w:tabs>
          <w:tab w:val="clear" w:pos="1166"/>
          <w:tab w:val="num" w:pos="1152"/>
        </w:tabs>
        <w:rPr>
          <w:rFonts w:cs="Times New Roman"/>
        </w:rPr>
      </w:pPr>
      <w:r w:rsidRPr="00136956">
        <w:rPr>
          <w:rFonts w:cs="Times New Roman"/>
        </w:rPr>
        <w:t>Finally, we agree with Blanchard</w:t>
      </w:r>
      <w:r>
        <w:rPr>
          <w:rFonts w:cs="Times New Roman"/>
        </w:rPr>
        <w:t xml:space="preserve"> </w:t>
      </w:r>
      <w:r w:rsidRPr="00136956">
        <w:rPr>
          <w:rFonts w:cs="Times New Roman"/>
        </w:rPr>
        <w:t xml:space="preserve">J. that Parliament’s declared intention to cause harm to the other level of government cannot be disregarded. This Court had written the following in the </w:t>
      </w:r>
      <w:r w:rsidRPr="00136956">
        <w:rPr>
          <w:rFonts w:cs="Times New Roman"/>
          <w:i/>
        </w:rPr>
        <w:t>FA Reference</w:t>
      </w:r>
      <w:r w:rsidRPr="00136956">
        <w:rPr>
          <w:rFonts w:cs="Times New Roman"/>
        </w:rPr>
        <w:t>:</w:t>
      </w:r>
    </w:p>
    <w:p w:rsidR="009278C8" w:rsidRPr="00136956" w:rsidRDefault="009278C8" w:rsidP="009278C8">
      <w:pPr>
        <w:pStyle w:val="Citation-AltC"/>
        <w:ind w:hanging="1166"/>
        <w:contextualSpacing w:val="0"/>
      </w:pPr>
      <w:r w:rsidRPr="00136956">
        <w:tab/>
        <w:t>This law does not allow the federal government to significantly expand its jurisdictional powers to the detriment of the provinces. There is no colourable intrusion into provincial jurisdiction, either in the sense that Parliament has an improper motive or that it is taking over provincial powers under the guise of the criminal law. [para.</w:t>
      </w:r>
      <w:r>
        <w:t xml:space="preserve"> </w:t>
      </w:r>
      <w:r w:rsidRPr="00136956">
        <w:t>53]</w:t>
      </w:r>
    </w:p>
    <w:p w:rsidR="009278C8" w:rsidRPr="00136956" w:rsidRDefault="009278C8" w:rsidP="009278C8">
      <w:pPr>
        <w:pStyle w:val="ContinueParaSuitedupar-AltP"/>
        <w:rPr>
          <w:rFonts w:cs="Times New Roman"/>
        </w:rPr>
      </w:pPr>
      <w:r w:rsidRPr="00136956">
        <w:rPr>
          <w:rFonts w:cs="Times New Roman"/>
          <w:iCs/>
        </w:rPr>
        <w:t xml:space="preserve">In this appeal, we cannot say the same thing about the </w:t>
      </w:r>
      <w:r w:rsidRPr="00136956">
        <w:rPr>
          <w:rFonts w:cs="Times New Roman"/>
          <w:i/>
          <w:iCs/>
        </w:rPr>
        <w:t>ELRA</w:t>
      </w:r>
      <w:r w:rsidRPr="00136956">
        <w:rPr>
          <w:rFonts w:cs="Times New Roman"/>
        </w:rPr>
        <w:t xml:space="preserve">, as the exact opposite is true.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Although it is not necessary to take this into account for the purposes of our analysis, the intention to cause harm is all the more relevant in that it arises in a context in which Quebec and the federal government had agreed to act jointly, in the </w:t>
      </w:r>
      <w:r w:rsidRPr="00136956">
        <w:rPr>
          <w:rFonts w:cs="Times New Roman"/>
        </w:rPr>
        <w:lastRenderedPageBreak/>
        <w:t>spirit of co</w:t>
      </w:r>
      <w:r>
        <w:rPr>
          <w:rFonts w:cs="Times New Roman"/>
        </w:rPr>
        <w:t>-</w:t>
      </w:r>
      <w:r w:rsidRPr="00136956">
        <w:rPr>
          <w:rFonts w:cs="Times New Roman"/>
        </w:rPr>
        <w:t>operative federalism, a principle whose source lies in the growing need for intergovernmental co</w:t>
      </w:r>
      <w:r>
        <w:rPr>
          <w:rFonts w:cs="Times New Roman"/>
        </w:rPr>
        <w:t>-</w:t>
      </w:r>
      <w:r w:rsidRPr="00136956">
        <w:rPr>
          <w:rFonts w:cs="Times New Roman"/>
        </w:rPr>
        <w:t>operation in order to enable the Canadian federation to act to address questions of a polycentric nature. In this context, it is hard to imagine how a provision whose purpose is to put an end to this co</w:t>
      </w:r>
      <w:r>
        <w:rPr>
          <w:rFonts w:cs="Times New Roman"/>
        </w:rPr>
        <w:t>-</w:t>
      </w:r>
      <w:r w:rsidRPr="00136956">
        <w:rPr>
          <w:rFonts w:cs="Times New Roman"/>
        </w:rPr>
        <w:t>operation and that is enacted with an intention to cause harm to a partner can be rational.</w:t>
      </w:r>
    </w:p>
    <w:p w:rsidR="009278C8" w:rsidRPr="00136956" w:rsidRDefault="009278C8" w:rsidP="009278C8">
      <w:pPr>
        <w:pStyle w:val="ParaNoNdepar-AltN"/>
        <w:tabs>
          <w:tab w:val="clear" w:pos="1166"/>
          <w:tab w:val="num" w:pos="1152"/>
        </w:tabs>
        <w:rPr>
          <w:rFonts w:cs="Times New Roman"/>
        </w:rPr>
      </w:pPr>
      <w:r w:rsidRPr="00136956">
        <w:rPr>
          <w:rFonts w:cs="Times New Roman"/>
        </w:rPr>
        <w:t>The foregoing analysis leads to an inescapable conclusion: because of its pith and substance, s.</w:t>
      </w:r>
      <w:r>
        <w:rPr>
          <w:rFonts w:cs="Times New Roman"/>
        </w:rPr>
        <w:t xml:space="preserve"> </w:t>
      </w:r>
      <w:r w:rsidRPr="00136956">
        <w:rPr>
          <w:rFonts w:cs="Times New Roman"/>
        </w:rPr>
        <w:t xml:space="preserve">29 of the </w:t>
      </w:r>
      <w:r w:rsidRPr="00136956">
        <w:rPr>
          <w:rFonts w:cs="Times New Roman"/>
          <w:i/>
          <w:iCs/>
        </w:rPr>
        <w:t>ELRA</w:t>
      </w:r>
      <w:r w:rsidRPr="00136956">
        <w:rPr>
          <w:rFonts w:cs="Times New Roman"/>
        </w:rPr>
        <w:t xml:space="preserve"> does not fall within the federal criminal law power and is not ancillary to the </w:t>
      </w:r>
      <w:r w:rsidRPr="00136956">
        <w:rPr>
          <w:rFonts w:cs="Times New Roman"/>
          <w:i/>
          <w:iCs/>
        </w:rPr>
        <w:t>ELRA</w:t>
      </w:r>
      <w:r w:rsidRPr="00136956">
        <w:rPr>
          <w:rFonts w:cs="Times New Roman"/>
        </w:rPr>
        <w:t>, which is otherwise valid. The section has not therefore been shown to be constitutionally valid. In our opinion, a legislative measure cannot be found to be valid that (1)</w:t>
      </w:r>
      <w:r>
        <w:rPr>
          <w:rFonts w:cs="Times New Roman"/>
        </w:rPr>
        <w:t xml:space="preserve"> </w:t>
      </w:r>
      <w:r w:rsidRPr="00136956">
        <w:rPr>
          <w:rFonts w:cs="Times New Roman"/>
        </w:rPr>
        <w:t>does not fall within the federal criminal law power and that (2)</w:t>
      </w:r>
      <w:r>
        <w:rPr>
          <w:rFonts w:cs="Times New Roman"/>
        </w:rPr>
        <w:t xml:space="preserve"> </w:t>
      </w:r>
      <w:r w:rsidRPr="00136956">
        <w:rPr>
          <w:rFonts w:cs="Times New Roman"/>
        </w:rPr>
        <w:t>thwarts, by the substantial encroachment it causes, the corollary exercise of provincial powers that flowed from the partnership. To conclude otherwise would be inconsistent with the principles of federalism.</w:t>
      </w:r>
    </w:p>
    <w:p w:rsidR="009278C8" w:rsidRPr="00136956" w:rsidRDefault="009278C8" w:rsidP="009278C8">
      <w:pPr>
        <w:pStyle w:val="ParaNoNdepar-AltN"/>
        <w:tabs>
          <w:tab w:val="clear" w:pos="1166"/>
          <w:tab w:val="num" w:pos="1152"/>
        </w:tabs>
        <w:rPr>
          <w:rFonts w:cs="Times New Roman"/>
        </w:rPr>
      </w:pPr>
      <w:r w:rsidRPr="00136956">
        <w:rPr>
          <w:rFonts w:cs="Times New Roman"/>
        </w:rPr>
        <w:t>Our conclusion does not necessarily mean that Parliament cannot enact legislation to destroy the data. What we are saying is merely that to destroy the data, as provided for in s.</w:t>
      </w:r>
      <w:r>
        <w:rPr>
          <w:rFonts w:cs="Times New Roman"/>
        </w:rPr>
        <w:t xml:space="preserve"> </w:t>
      </w:r>
      <w:r w:rsidRPr="00136956">
        <w:rPr>
          <w:rFonts w:cs="Times New Roman"/>
        </w:rPr>
        <w:t>29, without first offering to transfer them is unconstitutional. This conclusion is therefore not incompatible with the principle of parliamentary sovereignty as set out in s.</w:t>
      </w:r>
      <w:r>
        <w:rPr>
          <w:rFonts w:cs="Times New Roman"/>
        </w:rPr>
        <w:t xml:space="preserve"> </w:t>
      </w:r>
      <w:r w:rsidRPr="00136956">
        <w:rPr>
          <w:rFonts w:cs="Times New Roman"/>
        </w:rPr>
        <w:t xml:space="preserve">42 of the </w:t>
      </w:r>
      <w:r w:rsidRPr="00136956">
        <w:rPr>
          <w:rFonts w:cs="Times New Roman"/>
          <w:i/>
        </w:rPr>
        <w:t>Interpretation Act</w:t>
      </w:r>
      <w:r w:rsidRPr="00136956">
        <w:rPr>
          <w:rFonts w:cs="Times New Roman"/>
        </w:rPr>
        <w:t>, R.S.C. 1985, c.</w:t>
      </w:r>
      <w:r>
        <w:rPr>
          <w:rFonts w:cs="Times New Roman"/>
        </w:rPr>
        <w:t xml:space="preserve"> </w:t>
      </w:r>
      <w:r w:rsidRPr="00136956">
        <w:rPr>
          <w:rFonts w:cs="Times New Roman"/>
        </w:rPr>
        <w:t>I</w:t>
      </w:r>
      <w:r>
        <w:rPr>
          <w:rFonts w:cs="Times New Roman"/>
        </w:rPr>
        <w:t>-</w:t>
      </w:r>
      <w:r w:rsidRPr="00136956">
        <w:rPr>
          <w:rFonts w:cs="Times New Roman"/>
        </w:rPr>
        <w:t>21, as parliamentary sovereignty is applicable only where Parliament has exercised one of its legislative powers validly, that is, in a manner consistent with the Constitution. That is not the case here.</w:t>
      </w:r>
    </w:p>
    <w:p w:rsidR="009278C8" w:rsidRPr="00136956" w:rsidRDefault="009278C8" w:rsidP="009278C8">
      <w:pPr>
        <w:pStyle w:val="Title2LevelTitre2Niveau"/>
        <w:tabs>
          <w:tab w:val="clear" w:pos="576"/>
          <w:tab w:val="num" w:pos="432"/>
        </w:tabs>
        <w:ind w:left="432" w:hanging="432"/>
        <w:outlineLvl w:val="0"/>
        <w:rPr>
          <w:rFonts w:cs="Times New Roman"/>
        </w:rPr>
      </w:pPr>
      <w:bookmarkStart w:id="1701" w:name="_Toc411583264"/>
      <w:bookmarkStart w:id="1702" w:name="_Toc413306883"/>
      <w:r w:rsidRPr="00136956">
        <w:rPr>
          <w:rFonts w:cs="Times New Roman"/>
        </w:rPr>
        <w:lastRenderedPageBreak/>
        <w:t>Appropri</w:t>
      </w:r>
      <w:bookmarkEnd w:id="1701"/>
      <w:r w:rsidRPr="00136956">
        <w:rPr>
          <w:rFonts w:cs="Times New Roman"/>
        </w:rPr>
        <w:t>ate Remedy</w:t>
      </w:r>
      <w:bookmarkEnd w:id="1702"/>
    </w:p>
    <w:p w:rsidR="009278C8" w:rsidRPr="00136956" w:rsidRDefault="009278C8" w:rsidP="009278C8">
      <w:pPr>
        <w:pStyle w:val="Title3LevelTitre3Niveau"/>
        <w:tabs>
          <w:tab w:val="clear" w:pos="1152"/>
          <w:tab w:val="num" w:pos="864"/>
        </w:tabs>
        <w:ind w:left="864" w:hanging="432"/>
        <w:outlineLvl w:val="0"/>
        <w:rPr>
          <w:rFonts w:cs="Times New Roman"/>
        </w:rPr>
      </w:pPr>
      <w:bookmarkStart w:id="1703" w:name="_Toc402977196"/>
      <w:bookmarkStart w:id="1704" w:name="_Toc402987941"/>
      <w:bookmarkStart w:id="1705" w:name="_Toc402989031"/>
      <w:bookmarkStart w:id="1706" w:name="_Toc411583265"/>
      <w:bookmarkStart w:id="1707" w:name="_Toc413306884"/>
      <w:bookmarkEnd w:id="1703"/>
      <w:bookmarkEnd w:id="1704"/>
      <w:bookmarkEnd w:id="1705"/>
      <w:r w:rsidRPr="00136956">
        <w:rPr>
          <w:rFonts w:cs="Times New Roman"/>
        </w:rPr>
        <w:t>Declaration of Invalidit</w:t>
      </w:r>
      <w:bookmarkEnd w:id="1706"/>
      <w:r w:rsidRPr="00136956">
        <w:rPr>
          <w:rFonts w:cs="Times New Roman"/>
        </w:rPr>
        <w:t>y</w:t>
      </w:r>
      <w:bookmarkEnd w:id="1707"/>
      <w:r w:rsidRPr="00136956">
        <w:rPr>
          <w:rFonts w:cs="Times New Roman"/>
        </w:rPr>
        <w:t xml:space="preserve"> </w:t>
      </w:r>
    </w:p>
    <w:p w:rsidR="009278C8" w:rsidRPr="00136956" w:rsidRDefault="009278C8" w:rsidP="009278C8">
      <w:pPr>
        <w:pStyle w:val="ParaNoNdepar-AltN"/>
        <w:rPr>
          <w:rFonts w:cs="Times New Roman"/>
        </w:rPr>
      </w:pPr>
      <w:r w:rsidRPr="00136956">
        <w:rPr>
          <w:rFonts w:cs="Times New Roman"/>
        </w:rPr>
        <w:t>In light of this conclusion, s.</w:t>
      </w:r>
      <w:r>
        <w:rPr>
          <w:rFonts w:cs="Times New Roman"/>
        </w:rPr>
        <w:t xml:space="preserve"> </w:t>
      </w:r>
      <w:r w:rsidRPr="00136956">
        <w:rPr>
          <w:rFonts w:cs="Times New Roman"/>
        </w:rPr>
        <w:t xml:space="preserve">29 of the </w:t>
      </w:r>
      <w:r w:rsidRPr="00136956">
        <w:rPr>
          <w:rFonts w:cs="Times New Roman"/>
          <w:i/>
          <w:iCs/>
        </w:rPr>
        <w:t>ELRA</w:t>
      </w:r>
      <w:r w:rsidRPr="00136956">
        <w:rPr>
          <w:rFonts w:cs="Times New Roman"/>
        </w:rPr>
        <w:t xml:space="preserve"> must be declared to be invalid under s.</w:t>
      </w:r>
      <w:r>
        <w:rPr>
          <w:rFonts w:cs="Times New Roman"/>
        </w:rPr>
        <w:t xml:space="preserve"> </w:t>
      </w:r>
      <w:r w:rsidRPr="00136956">
        <w:rPr>
          <w:rFonts w:cs="Times New Roman"/>
        </w:rPr>
        <w:t xml:space="preserve">52 of the </w:t>
      </w:r>
      <w:bookmarkStart w:id="1708" w:name="_Ref399498108"/>
      <w:r w:rsidRPr="00136956">
        <w:rPr>
          <w:rFonts w:cs="Times New Roman"/>
          <w:i/>
          <w:iCs/>
        </w:rPr>
        <w:t>Constitution Act, 1982</w:t>
      </w:r>
      <w:r w:rsidRPr="00136956">
        <w:rPr>
          <w:rFonts w:cs="Times New Roman"/>
        </w:rPr>
        <w:t xml:space="preserve">: </w:t>
      </w:r>
      <w:r w:rsidRPr="00136956">
        <w:rPr>
          <w:rFonts w:cs="Times New Roman"/>
          <w:i/>
        </w:rPr>
        <w:t>Canadian Western Bank</w:t>
      </w:r>
      <w:r w:rsidRPr="00136956">
        <w:rPr>
          <w:rFonts w:cs="Times New Roman"/>
        </w:rPr>
        <w:t>, at para.</w:t>
      </w:r>
      <w:r>
        <w:rPr>
          <w:rFonts w:cs="Times New Roman"/>
        </w:rPr>
        <w:t xml:space="preserve"> </w:t>
      </w:r>
      <w:r w:rsidRPr="00136956">
        <w:rPr>
          <w:rFonts w:cs="Times New Roman"/>
        </w:rPr>
        <w:t>26</w:t>
      </w:r>
      <w:bookmarkEnd w:id="1708"/>
      <w:r w:rsidRPr="00136956">
        <w:rPr>
          <w:rFonts w:cs="Times New Roman"/>
        </w:rPr>
        <w:t xml:space="preserve">. </w:t>
      </w:r>
    </w:p>
    <w:p w:rsidR="009278C8" w:rsidRPr="00136956" w:rsidRDefault="009278C8" w:rsidP="009278C8">
      <w:pPr>
        <w:pStyle w:val="ParaNoNdepar-AltN"/>
        <w:rPr>
          <w:rFonts w:cs="Times New Roman"/>
        </w:rPr>
      </w:pPr>
      <w:r w:rsidRPr="00136956">
        <w:rPr>
          <w:rFonts w:cs="Times New Roman"/>
        </w:rPr>
        <w:t>The Superior Court judge tailored the declaration of invalidity of s.</w:t>
      </w:r>
      <w:r>
        <w:rPr>
          <w:rFonts w:cs="Times New Roman"/>
        </w:rPr>
        <w:t xml:space="preserve"> </w:t>
      </w:r>
      <w:r w:rsidRPr="00136956">
        <w:rPr>
          <w:rFonts w:cs="Times New Roman"/>
        </w:rPr>
        <w:t>29 to limit it to data from Quebec with respect to long guns (that is, to data originating in Quebec or concerning citizens of Quebec, persons living there or persons who have committed acts involving firearms) (para.</w:t>
      </w:r>
      <w:r>
        <w:rPr>
          <w:rFonts w:cs="Times New Roman"/>
        </w:rPr>
        <w:t xml:space="preserve"> </w:t>
      </w:r>
      <w:r w:rsidRPr="00136956">
        <w:rPr>
          <w:rFonts w:cs="Times New Roman"/>
        </w:rPr>
        <w:t>194). Moreover, data from the other provinces relating to the registration of long guns have been destroyed since Blanchard</w:t>
      </w:r>
      <w:r>
        <w:rPr>
          <w:rFonts w:cs="Times New Roman"/>
        </w:rPr>
        <w:t xml:space="preserve"> </w:t>
      </w:r>
      <w:r w:rsidRPr="00136956">
        <w:rPr>
          <w:rFonts w:cs="Times New Roman"/>
        </w:rPr>
        <w:t>J.’s judgment, on October</w:t>
      </w:r>
      <w:r>
        <w:rPr>
          <w:rFonts w:cs="Times New Roman"/>
        </w:rPr>
        <w:t xml:space="preserve"> </w:t>
      </w:r>
      <w:r w:rsidRPr="00136956">
        <w:rPr>
          <w:rFonts w:cs="Times New Roman"/>
        </w:rPr>
        <w:t>31, 2012: Court of Appeal’s reasons, at para.</w:t>
      </w:r>
      <w:r>
        <w:rPr>
          <w:rFonts w:cs="Times New Roman"/>
        </w:rPr>
        <w:t xml:space="preserve"> </w:t>
      </w:r>
      <w:r w:rsidRPr="00136956">
        <w:rPr>
          <w:rFonts w:cs="Times New Roman"/>
        </w:rPr>
        <w:t>9; transcript, at p.</w:t>
      </w:r>
      <w:r>
        <w:rPr>
          <w:rFonts w:cs="Times New Roman"/>
        </w:rPr>
        <w:t xml:space="preserve"> </w:t>
      </w:r>
      <w:r w:rsidRPr="00136956">
        <w:rPr>
          <w:rFonts w:cs="Times New Roman"/>
        </w:rPr>
        <w:t>87. Like Blanchard</w:t>
      </w:r>
      <w:r>
        <w:rPr>
          <w:rFonts w:cs="Times New Roman"/>
        </w:rPr>
        <w:t xml:space="preserve"> </w:t>
      </w:r>
      <w:r w:rsidRPr="00136956">
        <w:rPr>
          <w:rFonts w:cs="Times New Roman"/>
        </w:rPr>
        <w:t xml:space="preserve">J., therefore, we would limit the declaration of invalidity to data with respect to long guns that have a connection with Quebec. </w:t>
      </w:r>
    </w:p>
    <w:p w:rsidR="009278C8" w:rsidRPr="00136956" w:rsidRDefault="009278C8" w:rsidP="009278C8">
      <w:pPr>
        <w:pStyle w:val="Title3LevelTitre3Niveau"/>
        <w:tabs>
          <w:tab w:val="clear" w:pos="1152"/>
          <w:tab w:val="num" w:pos="864"/>
        </w:tabs>
        <w:ind w:left="864" w:hanging="432"/>
        <w:outlineLvl w:val="0"/>
        <w:rPr>
          <w:rFonts w:cs="Times New Roman"/>
        </w:rPr>
      </w:pPr>
      <w:bookmarkStart w:id="1709" w:name="_Toc413306885"/>
      <w:r w:rsidRPr="00136956">
        <w:rPr>
          <w:rFonts w:cs="Times New Roman"/>
        </w:rPr>
        <w:t>Order to Transfer the Data</w:t>
      </w:r>
      <w:bookmarkEnd w:id="1709"/>
    </w:p>
    <w:p w:rsidR="009278C8" w:rsidRPr="00136956" w:rsidRDefault="009278C8" w:rsidP="009278C8">
      <w:pPr>
        <w:pStyle w:val="ParaNoNdepar-AltN"/>
        <w:rPr>
          <w:rFonts w:cs="Times New Roman"/>
        </w:rPr>
      </w:pPr>
      <w:r w:rsidRPr="00136956">
        <w:rPr>
          <w:rFonts w:cs="Times New Roman"/>
        </w:rPr>
        <w:t>The trial judge also declared that Quebec was entitled to receive the data referred to in the declaration of invalidity within 30 days (para.</w:t>
      </w:r>
      <w:r>
        <w:rPr>
          <w:rFonts w:cs="Times New Roman"/>
        </w:rPr>
        <w:t xml:space="preserve"> </w:t>
      </w:r>
      <w:r w:rsidRPr="00136956">
        <w:rPr>
          <w:rFonts w:cs="Times New Roman"/>
        </w:rPr>
        <w:t xml:space="preserve">195). In support of this declaration, he cited </w:t>
      </w:r>
      <w:r w:rsidRPr="00136956">
        <w:rPr>
          <w:rFonts w:cs="Times New Roman"/>
          <w:i/>
        </w:rPr>
        <w:t>Doucet</w:t>
      </w:r>
      <w:r>
        <w:rPr>
          <w:rFonts w:cs="Times New Roman"/>
          <w:i/>
        </w:rPr>
        <w:t>-</w:t>
      </w:r>
      <w:r w:rsidRPr="00136956">
        <w:rPr>
          <w:rFonts w:cs="Times New Roman"/>
          <w:i/>
        </w:rPr>
        <w:t>Boudreau v. Nova Scotia (Minister of Education)</w:t>
      </w:r>
      <w:r w:rsidRPr="00136956">
        <w:rPr>
          <w:rFonts w:cs="Times New Roman"/>
        </w:rPr>
        <w:t>, 2003 SCC 62,</w:t>
      </w:r>
      <w:r w:rsidRPr="00136956">
        <w:rPr>
          <w:rFonts w:cs="Times New Roman"/>
          <w:i/>
        </w:rPr>
        <w:t xml:space="preserve"> </w:t>
      </w:r>
      <w:r w:rsidRPr="00136956">
        <w:rPr>
          <w:rFonts w:cs="Times New Roman"/>
        </w:rPr>
        <w:t xml:space="preserve">[2003] 3 S.C.R. 3, and found that, although that case concerned possible remedies under the </w:t>
      </w:r>
      <w:r w:rsidRPr="00136956">
        <w:rPr>
          <w:rFonts w:cs="Times New Roman"/>
          <w:i/>
        </w:rPr>
        <w:t>Canadian Charter of Rights and Freedoms</w:t>
      </w:r>
      <w:r w:rsidRPr="00136956">
        <w:rPr>
          <w:rFonts w:cs="Times New Roman"/>
        </w:rPr>
        <w:t xml:space="preserve">, the principles </w:t>
      </w:r>
      <w:r w:rsidRPr="00136956">
        <w:rPr>
          <w:rFonts w:cs="Times New Roman"/>
        </w:rPr>
        <w:lastRenderedPageBreak/>
        <w:t>developed in it could serve as a guide in the case at bar (para.</w:t>
      </w:r>
      <w:r>
        <w:rPr>
          <w:rFonts w:cs="Times New Roman"/>
        </w:rPr>
        <w:t xml:space="preserve"> </w:t>
      </w:r>
      <w:r w:rsidRPr="00136956">
        <w:rPr>
          <w:rFonts w:cs="Times New Roman"/>
        </w:rPr>
        <w:t>163). Blanchard</w:t>
      </w:r>
      <w:r>
        <w:rPr>
          <w:rFonts w:cs="Times New Roman"/>
        </w:rPr>
        <w:t xml:space="preserve"> </w:t>
      </w:r>
      <w:r w:rsidRPr="00136956">
        <w:rPr>
          <w:rFonts w:cs="Times New Roman"/>
        </w:rPr>
        <w:t>J. thus stated that [</w:t>
      </w:r>
      <w:r w:rsidRPr="00136956">
        <w:rPr>
          <w:rFonts w:cs="Times New Roman"/>
          <w:smallCaps/>
        </w:rPr>
        <w:t>translation</w:t>
      </w:r>
      <w:r w:rsidRPr="00136956">
        <w:rPr>
          <w:rFonts w:cs="Times New Roman"/>
        </w:rPr>
        <w:t>] “the remedy must be adapted to the circumstances of the case and the nature of the right infringed” (para.</w:t>
      </w:r>
      <w:r>
        <w:rPr>
          <w:rFonts w:cs="Times New Roman"/>
        </w:rPr>
        <w:t xml:space="preserve"> </w:t>
      </w:r>
      <w:r w:rsidRPr="00136956">
        <w:rPr>
          <w:rFonts w:cs="Times New Roman"/>
        </w:rPr>
        <w:t>164). He also noted “that an appropriate and just remedy should have the capacity to evolve to meet new challenges, [as a] traditional and historical practice must not create barriers to the requirements of a reasoned and compelling notion of the appropriate remedy” (para.</w:t>
      </w:r>
      <w:r>
        <w:rPr>
          <w:rFonts w:cs="Times New Roman"/>
        </w:rPr>
        <w:t xml:space="preserve"> </w:t>
      </w:r>
      <w:r w:rsidRPr="00136956">
        <w:rPr>
          <w:rFonts w:cs="Times New Roman"/>
        </w:rPr>
        <w:t>165). However, he expressed the following reservation:</w:t>
      </w:r>
    </w:p>
    <w:p w:rsidR="009278C8" w:rsidRPr="00136956" w:rsidRDefault="009278C8" w:rsidP="009278C8">
      <w:pPr>
        <w:pStyle w:val="Citation-AltC"/>
        <w:tabs>
          <w:tab w:val="left" w:pos="1560"/>
        </w:tabs>
        <w:ind w:hanging="1166"/>
        <w:contextualSpacing w:val="0"/>
      </w:pPr>
      <w:r w:rsidRPr="00136956">
        <w:tab/>
      </w:r>
      <w:r w:rsidRPr="00136956">
        <w:tab/>
      </w:r>
      <w:r w:rsidR="005F03E0">
        <w:t>[</w:t>
      </w:r>
      <w:r w:rsidR="005F03E0" w:rsidRPr="005F03E0">
        <w:rPr>
          <w:smallCaps/>
        </w:rPr>
        <w:t>translation</w:t>
      </w:r>
      <w:r w:rsidR="005F03E0">
        <w:t xml:space="preserve">] </w:t>
      </w:r>
      <w:r w:rsidRPr="00136956">
        <w:t>With respect to constitutional remedies, the Court must show deference. It must correct the wrong by prescribing the appropriate solution, without going beyond what is required to remedy the violation of the constitutional right. [para.</w:t>
      </w:r>
      <w:r>
        <w:t xml:space="preserve"> </w:t>
      </w:r>
      <w:r w:rsidRPr="00136956">
        <w:t>167]</w:t>
      </w:r>
    </w:p>
    <w:p w:rsidR="009278C8" w:rsidRPr="00136956" w:rsidRDefault="009278C8" w:rsidP="009278C8">
      <w:pPr>
        <w:pStyle w:val="ParaNoNdepar-AltN"/>
        <w:rPr>
          <w:rFonts w:cs="Times New Roman"/>
        </w:rPr>
      </w:pPr>
      <w:r w:rsidRPr="00136956">
        <w:rPr>
          <w:rFonts w:cs="Times New Roman"/>
        </w:rPr>
        <w:t>Because of the [</w:t>
      </w:r>
      <w:r w:rsidRPr="00136956">
        <w:rPr>
          <w:rFonts w:cs="Times New Roman"/>
          <w:smallCaps/>
        </w:rPr>
        <w:t>translation</w:t>
      </w:r>
      <w:r w:rsidRPr="00136956">
        <w:rPr>
          <w:rFonts w:cs="Times New Roman"/>
        </w:rPr>
        <w:t xml:space="preserve">] “remarkable history of compliance with court decisions </w:t>
      </w:r>
      <w:proofErr w:type="gramStart"/>
      <w:r w:rsidRPr="00136956">
        <w:rPr>
          <w:rFonts w:cs="Times New Roman"/>
        </w:rPr>
        <w:t xml:space="preserve">by </w:t>
      </w:r>
      <w:r>
        <w:rPr>
          <w:rFonts w:cs="Times New Roman"/>
        </w:rPr>
        <w:t>.</w:t>
      </w:r>
      <w:proofErr w:type="gramEnd"/>
      <w:r>
        <w:rPr>
          <w:rFonts w:cs="Times New Roman"/>
        </w:rPr>
        <w:t> . .</w:t>
      </w:r>
      <w:r w:rsidRPr="00136956">
        <w:rPr>
          <w:rFonts w:cs="Times New Roman"/>
        </w:rPr>
        <w:t xml:space="preserve"> governmental institutions”, Blanchard</w:t>
      </w:r>
      <w:r>
        <w:rPr>
          <w:rFonts w:cs="Times New Roman"/>
        </w:rPr>
        <w:t xml:space="preserve"> </w:t>
      </w:r>
      <w:r w:rsidRPr="00136956">
        <w:rPr>
          <w:rFonts w:cs="Times New Roman"/>
        </w:rPr>
        <w:t>J. found that it would be inappropriate to issue an injunction against the AGC (para.</w:t>
      </w:r>
      <w:r>
        <w:rPr>
          <w:rFonts w:cs="Times New Roman"/>
        </w:rPr>
        <w:t xml:space="preserve"> </w:t>
      </w:r>
      <w:r w:rsidRPr="00136956">
        <w:rPr>
          <w:rFonts w:cs="Times New Roman"/>
        </w:rPr>
        <w:t>190). He stated that a declaratory judgment “will certainly suffice as an efficient and effective determination of the rights and obligations of the parties” (</w:t>
      </w:r>
      <w:r w:rsidRPr="00136956">
        <w:rPr>
          <w:rFonts w:cs="Times New Roman"/>
          <w:i/>
        </w:rPr>
        <w:t>ibid.</w:t>
      </w:r>
      <w:r w:rsidRPr="00136956">
        <w:rPr>
          <w:rFonts w:cs="Times New Roman"/>
        </w:rPr>
        <w:t>).</w:t>
      </w:r>
    </w:p>
    <w:p w:rsidR="009278C8" w:rsidRPr="00136956" w:rsidRDefault="009278C8" w:rsidP="009278C8">
      <w:pPr>
        <w:pStyle w:val="ParaNoNdepar-AltN"/>
        <w:rPr>
          <w:rFonts w:cs="Times New Roman"/>
        </w:rPr>
      </w:pPr>
      <w:r w:rsidRPr="00136956">
        <w:rPr>
          <w:rFonts w:cs="Times New Roman"/>
        </w:rPr>
        <w:t>The Court of Appeal, after having found that s.</w:t>
      </w:r>
      <w:r>
        <w:rPr>
          <w:rFonts w:cs="Times New Roman"/>
        </w:rPr>
        <w:t xml:space="preserve"> </w:t>
      </w:r>
      <w:r w:rsidRPr="00136956">
        <w:rPr>
          <w:rFonts w:cs="Times New Roman"/>
        </w:rPr>
        <w:t>29 was constitutional, dealt briefly with the remedy granted at trial, simply stating that the declaration that the data had to be transferred to Quebec was [</w:t>
      </w:r>
      <w:r w:rsidRPr="00136956">
        <w:rPr>
          <w:rFonts w:cs="Times New Roman"/>
          <w:smallCaps/>
        </w:rPr>
        <w:t>translation</w:t>
      </w:r>
      <w:r w:rsidRPr="00136956">
        <w:rPr>
          <w:rFonts w:cs="Times New Roman"/>
        </w:rPr>
        <w:t>] “clearly inappropriate” and pointing out that “[t]he courts must not substitute their assessment of the appropriateness of a legislative measure for the intent of the legislature” (para.</w:t>
      </w:r>
      <w:r>
        <w:rPr>
          <w:rFonts w:cs="Times New Roman"/>
        </w:rPr>
        <w:t xml:space="preserve"> </w:t>
      </w:r>
      <w:r w:rsidRPr="00136956">
        <w:rPr>
          <w:rFonts w:cs="Times New Roman"/>
        </w:rPr>
        <w:t>64).</w:t>
      </w:r>
    </w:p>
    <w:p w:rsidR="009278C8" w:rsidRPr="00136956" w:rsidRDefault="009278C8" w:rsidP="009278C8">
      <w:pPr>
        <w:pStyle w:val="ParaNoNdepar-AltN"/>
        <w:tabs>
          <w:tab w:val="clear" w:pos="1166"/>
          <w:tab w:val="num" w:pos="1152"/>
        </w:tabs>
        <w:rPr>
          <w:rFonts w:cs="Times New Roman"/>
        </w:rPr>
      </w:pPr>
      <w:r w:rsidRPr="00136956">
        <w:rPr>
          <w:rFonts w:cs="Times New Roman"/>
        </w:rPr>
        <w:lastRenderedPageBreak/>
        <w:t>In this Court, the AGQ argued that the federal government cannot refuse to transfer data that Quebec participated in compiling and enriching for provincial and federal purposes in the context of the partnership that existed between them. Such a refusal would be inconsistent with co</w:t>
      </w:r>
      <w:r>
        <w:rPr>
          <w:rFonts w:cs="Times New Roman"/>
        </w:rPr>
        <w:t>-</w:t>
      </w:r>
      <w:r w:rsidRPr="00136956">
        <w:rPr>
          <w:rFonts w:cs="Times New Roman"/>
        </w:rPr>
        <w:t>operative federalism. At the hearing, the AGQ instead stressed the principle of federalism. The AGQ added that a transfer of data would not be in breach of existing privacy legislation. The AGC responds that, regardless of “[t]he</w:t>
      </w:r>
      <w:r w:rsidR="00F97898">
        <w:rPr>
          <w:rFonts w:cs="Times New Roman"/>
        </w:rPr>
        <w:t xml:space="preserve"> designation of a Chief Firearms O</w:t>
      </w:r>
      <w:r w:rsidRPr="00136956">
        <w:rPr>
          <w:rFonts w:cs="Times New Roman"/>
        </w:rPr>
        <w:t xml:space="preserve">fficer, </w:t>
      </w:r>
      <w:r w:rsidR="00F97898">
        <w:rPr>
          <w:rFonts w:cs="Times New Roman"/>
        </w:rPr>
        <w:t xml:space="preserve">the right </w:t>
      </w:r>
      <w:r w:rsidRPr="00136956">
        <w:rPr>
          <w:rFonts w:cs="Times New Roman"/>
        </w:rPr>
        <w:t xml:space="preserve">to </w:t>
      </w:r>
      <w:r w:rsidR="00D47035">
        <w:rPr>
          <w:rFonts w:cs="Times New Roman"/>
        </w:rPr>
        <w:t xml:space="preserve">access </w:t>
      </w:r>
      <w:bookmarkStart w:id="1710" w:name="_GoBack"/>
      <w:bookmarkEnd w:id="1710"/>
      <w:r w:rsidRPr="00136956">
        <w:rPr>
          <w:rFonts w:cs="Times New Roman"/>
        </w:rPr>
        <w:t>the regis</w:t>
      </w:r>
      <w:r w:rsidR="00F97898">
        <w:rPr>
          <w:rFonts w:cs="Times New Roman"/>
        </w:rPr>
        <w:t>tration records, the financial A</w:t>
      </w:r>
      <w:r w:rsidRPr="00136956">
        <w:rPr>
          <w:rFonts w:cs="Times New Roman"/>
        </w:rPr>
        <w:t xml:space="preserve">greements </w:t>
      </w:r>
      <w:r w:rsidR="00F97898">
        <w:rPr>
          <w:rFonts w:cs="Times New Roman"/>
        </w:rPr>
        <w:t>as well as the notices concerning the protection of personal information</w:t>
      </w:r>
      <w:r w:rsidRPr="00136956">
        <w:rPr>
          <w:rFonts w:cs="Times New Roman"/>
        </w:rPr>
        <w:t>”, Quebec has no right to the data, given that they are under the Registrar’s control: R.F., at para.</w:t>
      </w:r>
      <w:r>
        <w:rPr>
          <w:rFonts w:cs="Times New Roman"/>
        </w:rPr>
        <w:t xml:space="preserve"> </w:t>
      </w:r>
      <w:r w:rsidRPr="00136956">
        <w:rPr>
          <w:rFonts w:cs="Times New Roman"/>
        </w:rPr>
        <w:t>104.</w:t>
      </w:r>
    </w:p>
    <w:p w:rsidR="009278C8" w:rsidRPr="00136956" w:rsidRDefault="009278C8" w:rsidP="009278C8">
      <w:pPr>
        <w:pStyle w:val="ParaNoNdepar-AltN"/>
        <w:rPr>
          <w:rFonts w:cs="Times New Roman"/>
        </w:rPr>
      </w:pPr>
      <w:r w:rsidRPr="00136956">
        <w:rPr>
          <w:rFonts w:cs="Times New Roman"/>
        </w:rPr>
        <w:t>In our opinion, the AGQ has not established a legal basis for its claim to the data. The absence of a legal barrier to the transfer of the data does not necessarily mean that Quebec has proven that it is entitled to obtain them through the courts.</w:t>
      </w:r>
    </w:p>
    <w:p w:rsidR="009278C8" w:rsidRPr="00136956" w:rsidRDefault="009278C8" w:rsidP="009278C8">
      <w:pPr>
        <w:pStyle w:val="ParaNoNdepar-AltN"/>
        <w:spacing w:before="240"/>
        <w:rPr>
          <w:rFonts w:cs="Times New Roman"/>
        </w:rPr>
      </w:pPr>
      <w:r w:rsidRPr="00136956">
        <w:rPr>
          <w:rFonts w:cs="Times New Roman"/>
        </w:rPr>
        <w:t>Blanchard</w:t>
      </w:r>
      <w:r>
        <w:rPr>
          <w:rFonts w:cs="Times New Roman"/>
        </w:rPr>
        <w:t xml:space="preserve"> </w:t>
      </w:r>
      <w:r w:rsidRPr="00136956">
        <w:rPr>
          <w:rFonts w:cs="Times New Roman"/>
        </w:rPr>
        <w:t>J.’s declaration that Quebec is entitled to receive the data essentially amounted to an injunction. E</w:t>
      </w:r>
      <w:r w:rsidRPr="00136956">
        <w:rPr>
          <w:rFonts w:cs="Times New Roman"/>
          <w:iCs/>
        </w:rPr>
        <w:t>ven though this Court has the power to make orders that are incidental to declarations of invalidity, it must refrain from intervening actively in legislative and governmental functions</w:t>
      </w:r>
      <w:r w:rsidRPr="00136956">
        <w:rPr>
          <w:rFonts w:cs="Times New Roman"/>
        </w:rPr>
        <w:t xml:space="preserve">: see </w:t>
      </w:r>
      <w:r w:rsidRPr="00136956">
        <w:rPr>
          <w:rFonts w:cs="Times New Roman"/>
          <w:i/>
          <w:iCs/>
        </w:rPr>
        <w:t>R. v. Prosper</w:t>
      </w:r>
      <w:r w:rsidRPr="00136956">
        <w:rPr>
          <w:rFonts w:cs="Times New Roman"/>
        </w:rPr>
        <w:t>, [1994] 3 S.C.R. 236, at pp.</w:t>
      </w:r>
      <w:r>
        <w:rPr>
          <w:rFonts w:cs="Times New Roman"/>
        </w:rPr>
        <w:t xml:space="preserve"> </w:t>
      </w:r>
      <w:r w:rsidRPr="00136956">
        <w:rPr>
          <w:rFonts w:cs="Times New Roman"/>
        </w:rPr>
        <w:t>298</w:t>
      </w:r>
      <w:r>
        <w:rPr>
          <w:rFonts w:cs="Times New Roman"/>
        </w:rPr>
        <w:t>-</w:t>
      </w:r>
      <w:r w:rsidRPr="00136956">
        <w:rPr>
          <w:rFonts w:cs="Times New Roman"/>
        </w:rPr>
        <w:t xml:space="preserve">99. The Court has stated on several occasions that it is generally up to the legislatures to fill legislative gaps that are incompatible with the Constitution, and not up to the courts to supply an exact description of the laws the legislatures must adopt to fulfill their constitutional obligations: see </w:t>
      </w:r>
      <w:r w:rsidRPr="00136956">
        <w:rPr>
          <w:rFonts w:cs="Times New Roman"/>
          <w:i/>
          <w:iCs/>
        </w:rPr>
        <w:t>Reference re Securities Act</w:t>
      </w:r>
      <w:r w:rsidRPr="00136956">
        <w:rPr>
          <w:rFonts w:cs="Times New Roman"/>
        </w:rPr>
        <w:t>, at para.</w:t>
      </w:r>
      <w:r>
        <w:rPr>
          <w:rFonts w:cs="Times New Roman"/>
        </w:rPr>
        <w:t xml:space="preserve"> </w:t>
      </w:r>
      <w:r w:rsidRPr="00136956">
        <w:rPr>
          <w:rFonts w:cs="Times New Roman"/>
        </w:rPr>
        <w:t xml:space="preserve">132; </w:t>
      </w:r>
      <w:r w:rsidRPr="00136956">
        <w:rPr>
          <w:rFonts w:cs="Times New Roman"/>
          <w:i/>
          <w:iCs/>
          <w:szCs w:val="24"/>
        </w:rPr>
        <w:t>Hunter v. Southam Inc.</w:t>
      </w:r>
      <w:r w:rsidRPr="00136956">
        <w:rPr>
          <w:rFonts w:cs="Times New Roman"/>
          <w:szCs w:val="24"/>
        </w:rPr>
        <w:t>, [1984] 2 S.C.R. 145</w:t>
      </w:r>
      <w:r w:rsidRPr="00136956">
        <w:rPr>
          <w:rFonts w:cs="Times New Roman"/>
        </w:rPr>
        <w:t>, at p.</w:t>
      </w:r>
      <w:r>
        <w:rPr>
          <w:rFonts w:cs="Times New Roman"/>
        </w:rPr>
        <w:t xml:space="preserve"> </w:t>
      </w:r>
      <w:r w:rsidRPr="00136956">
        <w:rPr>
          <w:rFonts w:cs="Times New Roman"/>
        </w:rPr>
        <w:t xml:space="preserve">169; </w:t>
      </w:r>
      <w:r w:rsidRPr="00136956">
        <w:rPr>
          <w:rFonts w:cs="Times New Roman"/>
          <w:i/>
          <w:iCs/>
        </w:rPr>
        <w:t>Edwards Books</w:t>
      </w:r>
      <w:r w:rsidRPr="00136956">
        <w:rPr>
          <w:rFonts w:cs="Times New Roman"/>
        </w:rPr>
        <w:t xml:space="preserve">, at </w:t>
      </w:r>
      <w:r w:rsidRPr="00136956">
        <w:rPr>
          <w:rFonts w:cs="Times New Roman"/>
        </w:rPr>
        <w:lastRenderedPageBreak/>
        <w:t>p.</w:t>
      </w:r>
      <w:r>
        <w:rPr>
          <w:rFonts w:cs="Times New Roman"/>
        </w:rPr>
        <w:t xml:space="preserve"> </w:t>
      </w:r>
      <w:r w:rsidRPr="00136956">
        <w:rPr>
          <w:rFonts w:cs="Times New Roman"/>
        </w:rPr>
        <w:t xml:space="preserve">783; </w:t>
      </w:r>
      <w:r w:rsidRPr="00136956">
        <w:rPr>
          <w:rFonts w:cs="Times New Roman"/>
          <w:i/>
          <w:iCs/>
          <w:spacing w:val="-3"/>
        </w:rPr>
        <w:t>Reference re Public Schools Act</w:t>
      </w:r>
      <w:r w:rsidRPr="00136956">
        <w:rPr>
          <w:rFonts w:cs="Times New Roman"/>
          <w:i/>
          <w:spacing w:val="-3"/>
        </w:rPr>
        <w:t xml:space="preserve"> (Man.), s.</w:t>
      </w:r>
      <w:r>
        <w:rPr>
          <w:rFonts w:cs="Times New Roman"/>
          <w:i/>
          <w:spacing w:val="-3"/>
        </w:rPr>
        <w:t xml:space="preserve"> </w:t>
      </w:r>
      <w:r w:rsidRPr="00136956">
        <w:rPr>
          <w:rFonts w:cs="Times New Roman"/>
          <w:i/>
          <w:spacing w:val="-3"/>
        </w:rPr>
        <w:t>79(3), (4) and (7)</w:t>
      </w:r>
      <w:r w:rsidRPr="00136956">
        <w:rPr>
          <w:rFonts w:cs="Times New Roman"/>
          <w:spacing w:val="-3"/>
        </w:rPr>
        <w:t>, [1993] 1 S.C.R. 839</w:t>
      </w:r>
      <w:r w:rsidRPr="00136956">
        <w:rPr>
          <w:rFonts w:cs="Times New Roman"/>
        </w:rPr>
        <w:t>, at pp.</w:t>
      </w:r>
      <w:r>
        <w:rPr>
          <w:rFonts w:cs="Times New Roman"/>
        </w:rPr>
        <w:t xml:space="preserve"> </w:t>
      </w:r>
      <w:r w:rsidRPr="00136956">
        <w:rPr>
          <w:rFonts w:cs="Times New Roman"/>
        </w:rPr>
        <w:t>860</w:t>
      </w:r>
      <w:r>
        <w:rPr>
          <w:rFonts w:cs="Times New Roman"/>
        </w:rPr>
        <w:t>-</w:t>
      </w:r>
      <w:r w:rsidRPr="00136956">
        <w:rPr>
          <w:rFonts w:cs="Times New Roman"/>
        </w:rPr>
        <w:t>61.</w:t>
      </w:r>
      <w:r w:rsidRPr="00136956">
        <w:rPr>
          <w:rFonts w:cs="Times New Roman"/>
          <w:iCs/>
        </w:rPr>
        <w:t xml:space="preserve"> In some cases, the source of the appropriate remedy must lie in the political process rather than in the courts: </w:t>
      </w:r>
      <w:r w:rsidRPr="00136956">
        <w:rPr>
          <w:rFonts w:cs="Times New Roman"/>
          <w:i/>
          <w:iCs/>
        </w:rPr>
        <w:t>Reference re Secession of Quebec</w:t>
      </w:r>
      <w:r w:rsidRPr="00136956">
        <w:rPr>
          <w:rFonts w:cs="Times New Roman"/>
        </w:rPr>
        <w:t>, at para.</w:t>
      </w:r>
      <w:r>
        <w:rPr>
          <w:rFonts w:cs="Times New Roman"/>
        </w:rPr>
        <w:t xml:space="preserve"> </w:t>
      </w:r>
      <w:r w:rsidRPr="00136956">
        <w:rPr>
          <w:rFonts w:cs="Times New Roman"/>
        </w:rPr>
        <w:t xml:space="preserve">102. </w:t>
      </w:r>
    </w:p>
    <w:p w:rsidR="009278C8" w:rsidRPr="00136956" w:rsidRDefault="009278C8" w:rsidP="009278C8">
      <w:pPr>
        <w:pStyle w:val="ParaNoNdepar-AltN"/>
        <w:tabs>
          <w:tab w:val="clear" w:pos="1166"/>
          <w:tab w:val="num" w:pos="1152"/>
        </w:tabs>
        <w:rPr>
          <w:rFonts w:cs="Times New Roman"/>
        </w:rPr>
      </w:pPr>
      <w:r w:rsidRPr="00136956">
        <w:rPr>
          <w:rFonts w:cs="Times New Roman"/>
        </w:rPr>
        <w:t xml:space="preserve">In the case at bar, if the Court were to make an order in the nature of an injunction or to declare that Quebec is entitled to receive the data, it would be overstepping the limits of its role in the Canadian constitutional order. Although it is true that the federal government cannot decide unilaterally to destroy the data accumulated within the framework of the partnership without considering the impact of such a measure on provincial heads of power, the other side of the coin is that Quebec cannot dictate to the federal government what it is “entitled” to receive when their relationship comes to an end. It </w:t>
      </w:r>
      <w:r>
        <w:rPr>
          <w:rFonts w:cs="Times New Roman"/>
        </w:rPr>
        <w:t>wa</w:t>
      </w:r>
      <w:r w:rsidRPr="00136956">
        <w:rPr>
          <w:rFonts w:cs="Times New Roman"/>
        </w:rPr>
        <w:t xml:space="preserve">s up to the members of the partnership to set out the conditions that </w:t>
      </w:r>
      <w:r>
        <w:rPr>
          <w:rFonts w:cs="Times New Roman"/>
        </w:rPr>
        <w:t>were</w:t>
      </w:r>
      <w:r w:rsidRPr="00136956">
        <w:rPr>
          <w:rFonts w:cs="Times New Roman"/>
        </w:rPr>
        <w:t xml:space="preserve"> to apply upon termination of their joint venture in their agreements or, if they </w:t>
      </w:r>
      <w:r>
        <w:rPr>
          <w:rFonts w:cs="Times New Roman"/>
        </w:rPr>
        <w:t>did</w:t>
      </w:r>
      <w:r w:rsidRPr="00136956">
        <w:rPr>
          <w:rFonts w:cs="Times New Roman"/>
        </w:rPr>
        <w:t xml:space="preserve"> not do so, </w:t>
      </w:r>
      <w:r>
        <w:rPr>
          <w:rFonts w:cs="Times New Roman"/>
        </w:rPr>
        <w:t xml:space="preserve">it is up to them </w:t>
      </w:r>
      <w:r w:rsidRPr="00136956">
        <w:rPr>
          <w:rFonts w:cs="Times New Roman"/>
        </w:rPr>
        <w:t>to agree now on the applicable terms in this regard, including the destruction of the data by the federal government. Thus, how their collaborative relationship is to be terminated is primarily dependent upon their will.</w:t>
      </w:r>
    </w:p>
    <w:p w:rsidR="009278C8" w:rsidRPr="00136956" w:rsidRDefault="009278C8" w:rsidP="009278C8">
      <w:pPr>
        <w:pStyle w:val="ParaNoNdepar-AltN"/>
        <w:tabs>
          <w:tab w:val="clear" w:pos="1166"/>
          <w:tab w:val="num" w:pos="1152"/>
        </w:tabs>
        <w:rPr>
          <w:rFonts w:cs="Times New Roman"/>
        </w:rPr>
      </w:pPr>
      <w:r w:rsidRPr="00136956">
        <w:rPr>
          <w:rFonts w:cs="Times New Roman"/>
        </w:rPr>
        <w:t>However, these observations change nothing. Since s.</w:t>
      </w:r>
      <w:r>
        <w:rPr>
          <w:rFonts w:cs="Times New Roman"/>
        </w:rPr>
        <w:t xml:space="preserve"> </w:t>
      </w:r>
      <w:r w:rsidRPr="00136956">
        <w:rPr>
          <w:rFonts w:cs="Times New Roman"/>
        </w:rPr>
        <w:t xml:space="preserve">29 does not, in pith and substance, fall within a federal head of power and since it is not sufficiently integrated into the </w:t>
      </w:r>
      <w:r w:rsidRPr="00136956">
        <w:rPr>
          <w:rFonts w:cs="Times New Roman"/>
          <w:i/>
          <w:iCs/>
        </w:rPr>
        <w:t>ELRA</w:t>
      </w:r>
      <w:r w:rsidRPr="00136956">
        <w:rPr>
          <w:rFonts w:cs="Times New Roman"/>
        </w:rPr>
        <w:t>, it is invalid.</w:t>
      </w:r>
    </w:p>
    <w:p w:rsidR="009278C8" w:rsidRPr="00136956" w:rsidRDefault="009278C8" w:rsidP="009278C8">
      <w:pPr>
        <w:pStyle w:val="Title1LevelTitre1Niveau-AltL"/>
        <w:tabs>
          <w:tab w:val="clear" w:pos="576"/>
          <w:tab w:val="left" w:pos="432"/>
        </w:tabs>
        <w:ind w:left="432" w:hanging="432"/>
        <w:outlineLvl w:val="0"/>
        <w:rPr>
          <w:rFonts w:cs="Times New Roman"/>
          <w:spacing w:val="-3"/>
        </w:rPr>
      </w:pPr>
      <w:bookmarkStart w:id="1711" w:name="_Toc411583267"/>
      <w:bookmarkStart w:id="1712" w:name="_Toc413306886"/>
      <w:r w:rsidRPr="00136956">
        <w:rPr>
          <w:rFonts w:cs="Times New Roman"/>
          <w:spacing w:val="-3"/>
        </w:rPr>
        <w:t>Conclusion</w:t>
      </w:r>
      <w:bookmarkEnd w:id="1711"/>
      <w:bookmarkEnd w:id="1712"/>
    </w:p>
    <w:p w:rsidR="009278C8" w:rsidRPr="00136956" w:rsidRDefault="009278C8" w:rsidP="009278C8">
      <w:pPr>
        <w:pStyle w:val="ParaNoNdepar-AltN"/>
        <w:tabs>
          <w:tab w:val="clear" w:pos="1166"/>
          <w:tab w:val="num" w:pos="1152"/>
        </w:tabs>
        <w:rPr>
          <w:rFonts w:cs="Times New Roman"/>
          <w:spacing w:val="-3"/>
        </w:rPr>
      </w:pPr>
      <w:r w:rsidRPr="00136956">
        <w:rPr>
          <w:rFonts w:cs="Times New Roman"/>
          <w:spacing w:val="-3"/>
        </w:rPr>
        <w:lastRenderedPageBreak/>
        <w:t xml:space="preserve">We would allow this appeal in part and answer the constitutional question as follows: </w:t>
      </w:r>
    </w:p>
    <w:p w:rsidR="009278C8" w:rsidRPr="00136956" w:rsidRDefault="009278C8" w:rsidP="00E77714">
      <w:pPr>
        <w:pStyle w:val="Citation-AltC"/>
        <w:spacing w:after="480"/>
        <w:ind w:hanging="1166"/>
        <w:contextualSpacing w:val="0"/>
        <w:rPr>
          <w:i/>
          <w:iCs/>
        </w:rPr>
      </w:pPr>
      <w:r w:rsidRPr="00136956">
        <w:tab/>
        <w:t>Is s.</w:t>
      </w:r>
      <w:r>
        <w:t xml:space="preserve"> </w:t>
      </w:r>
      <w:r w:rsidRPr="00136956">
        <w:t xml:space="preserve">29 of the </w:t>
      </w:r>
      <w:r w:rsidRPr="00136956">
        <w:rPr>
          <w:i/>
        </w:rPr>
        <w:t>Ending the Long</w:t>
      </w:r>
      <w:r>
        <w:rPr>
          <w:i/>
        </w:rPr>
        <w:t>-</w:t>
      </w:r>
      <w:r w:rsidRPr="00136956">
        <w:rPr>
          <w:i/>
        </w:rPr>
        <w:t>gun Registry Act</w:t>
      </w:r>
      <w:r w:rsidRPr="00136956">
        <w:t>, S.C. 2012, c.</w:t>
      </w:r>
      <w:r>
        <w:t xml:space="preserve"> </w:t>
      </w:r>
      <w:r w:rsidRPr="00136956">
        <w:t xml:space="preserve">6, </w:t>
      </w:r>
      <w:r w:rsidRPr="00136956">
        <w:rPr>
          <w:i/>
        </w:rPr>
        <w:t>ultra vires</w:t>
      </w:r>
      <w:r w:rsidRPr="00136956">
        <w:t xml:space="preserve"> Parliament having regard to its criminal law power under s.</w:t>
      </w:r>
      <w:r>
        <w:t xml:space="preserve"> </w:t>
      </w:r>
      <w:r w:rsidRPr="00136956">
        <w:t xml:space="preserve">91(27) of the </w:t>
      </w:r>
      <w:r w:rsidRPr="00136956">
        <w:rPr>
          <w:i/>
        </w:rPr>
        <w:t>Constitution Act, 1867</w:t>
      </w:r>
      <w:r w:rsidRPr="00136956">
        <w:rPr>
          <w:iCs/>
        </w:rPr>
        <w:t>?</w:t>
      </w:r>
    </w:p>
    <w:p w:rsidR="009278C8" w:rsidRPr="00136956" w:rsidRDefault="009278C8" w:rsidP="009278C8">
      <w:pPr>
        <w:pStyle w:val="Citation-AltC"/>
        <w:ind w:hanging="1166"/>
        <w:contextualSpacing w:val="0"/>
      </w:pPr>
      <w:r w:rsidRPr="00136956">
        <w:t xml:space="preserve">Yes. </w:t>
      </w:r>
    </w:p>
    <w:p w:rsidR="009278C8" w:rsidRPr="00136956" w:rsidRDefault="009278C8" w:rsidP="009278C8">
      <w:pPr>
        <w:pStyle w:val="ParaNoNdepar-AltN"/>
        <w:tabs>
          <w:tab w:val="clear" w:pos="1166"/>
          <w:tab w:val="num" w:pos="1152"/>
        </w:tabs>
        <w:rPr>
          <w:rFonts w:cs="Times New Roman"/>
        </w:rPr>
      </w:pPr>
      <w:r w:rsidRPr="00136956">
        <w:rPr>
          <w:rFonts w:cs="Times New Roman"/>
        </w:rPr>
        <w:t>The other orders being sought — an injunction or a safeguard order — are not justified, however, and should be rejected. In view of the qualified success on both sides, costs should be awarded to no one.</w:t>
      </w:r>
    </w:p>
    <w:p w:rsidR="009B57B3" w:rsidRPr="00004B26" w:rsidRDefault="009B57B3" w:rsidP="00896079">
      <w:pPr>
        <w:pStyle w:val="SCCNormalDoubleSpacing"/>
        <w:spacing w:before="480" w:after="480"/>
      </w:pPr>
      <w:r w:rsidRPr="00004B26">
        <w:rPr>
          <w:lang w:val="en-US"/>
        </w:rPr>
        <w:tab/>
      </w:r>
      <w:r w:rsidR="00656313" w:rsidRPr="00004B26">
        <w:rPr>
          <w:i/>
        </w:rPr>
        <w:t>Appeal</w:t>
      </w:r>
      <w:r w:rsidR="007D3E30" w:rsidRPr="00004B26">
        <w:rPr>
          <w:i/>
        </w:rPr>
        <w:t xml:space="preserve"> </w:t>
      </w:r>
      <w:r w:rsidR="00A01A93" w:rsidRPr="00004B26">
        <w:rPr>
          <w:i/>
        </w:rPr>
        <w:t>dismissed with costs</w:t>
      </w:r>
      <w:r w:rsidR="00A81AB0" w:rsidRPr="00004B26">
        <w:rPr>
          <w:i/>
        </w:rPr>
        <w:t xml:space="preserve"> throughout</w:t>
      </w:r>
      <w:r w:rsidR="00A81A93" w:rsidRPr="00004B26">
        <w:rPr>
          <w:i/>
        </w:rPr>
        <w:t xml:space="preserve">, </w:t>
      </w:r>
      <w:r w:rsidR="00A81A93" w:rsidRPr="00004B26">
        <w:rPr>
          <w:smallCaps/>
        </w:rPr>
        <w:t>LeBel</w:t>
      </w:r>
      <w:r w:rsidR="00A81A93" w:rsidRPr="00004B26">
        <w:rPr>
          <w:i/>
        </w:rPr>
        <w:t xml:space="preserve">, </w:t>
      </w:r>
      <w:r w:rsidR="00A81A93" w:rsidRPr="00004B26">
        <w:rPr>
          <w:smallCaps/>
        </w:rPr>
        <w:t>Abella</w:t>
      </w:r>
      <w:r w:rsidR="00A81A93" w:rsidRPr="00004B26">
        <w:rPr>
          <w:i/>
        </w:rPr>
        <w:t xml:space="preserve">, </w:t>
      </w:r>
      <w:r w:rsidR="00A81A93" w:rsidRPr="00004B26">
        <w:rPr>
          <w:smallCaps/>
        </w:rPr>
        <w:t>Wagner</w:t>
      </w:r>
      <w:r w:rsidR="00A81A93" w:rsidRPr="00004B26">
        <w:rPr>
          <w:i/>
        </w:rPr>
        <w:t xml:space="preserve"> and </w:t>
      </w:r>
      <w:r w:rsidR="00A81A93" w:rsidRPr="00004B26">
        <w:rPr>
          <w:smallCaps/>
        </w:rPr>
        <w:t>Gascon JJ.</w:t>
      </w:r>
      <w:r w:rsidR="00A81A93" w:rsidRPr="00004B26">
        <w:rPr>
          <w:i/>
        </w:rPr>
        <w:t xml:space="preserve"> </w:t>
      </w:r>
      <w:proofErr w:type="gramStart"/>
      <w:r w:rsidR="00A81A93" w:rsidRPr="00004B26">
        <w:rPr>
          <w:i/>
        </w:rPr>
        <w:t>dissenting</w:t>
      </w:r>
      <w:proofErr w:type="gramEnd"/>
      <w:r w:rsidR="007D3E30" w:rsidRPr="00004B26">
        <w:rPr>
          <w:i/>
        </w:rPr>
        <w:t>.</w:t>
      </w:r>
    </w:p>
    <w:p w:rsidR="007D3E30" w:rsidRPr="00004B26" w:rsidRDefault="007D3E30" w:rsidP="00896079">
      <w:pPr>
        <w:pStyle w:val="SCCLawFirm"/>
        <w:spacing w:before="480" w:after="480"/>
        <w:outlineLvl w:val="0"/>
      </w:pPr>
      <w:r w:rsidRPr="00004B26">
        <w:tab/>
        <w:t>Solicitors for the appellant</w:t>
      </w:r>
      <w:r w:rsidR="00896079" w:rsidRPr="00004B26">
        <w:t>:</w:t>
      </w:r>
      <w:r w:rsidR="009278C8">
        <w:t xml:space="preserve"> </w:t>
      </w:r>
      <w:r w:rsidRPr="00004B26">
        <w:t>Bernard, Roy &amp; Associés, Montréal.</w:t>
      </w:r>
    </w:p>
    <w:p w:rsidR="007D3E30" w:rsidRPr="00004B26" w:rsidRDefault="007D3E30" w:rsidP="00896079">
      <w:pPr>
        <w:pStyle w:val="SCCLawFirm"/>
        <w:spacing w:before="480" w:after="480"/>
        <w:outlineLvl w:val="0"/>
        <w:rPr>
          <w:lang w:val="en-US"/>
        </w:rPr>
      </w:pPr>
      <w:r w:rsidRPr="00004B26">
        <w:tab/>
      </w:r>
      <w:r w:rsidRPr="00004B26">
        <w:rPr>
          <w:lang w:val="en-US"/>
        </w:rPr>
        <w:t>Solicitor for the respondents</w:t>
      </w:r>
      <w:r w:rsidR="00896079" w:rsidRPr="00004B26">
        <w:rPr>
          <w:lang w:val="en-US"/>
        </w:rPr>
        <w:t>:</w:t>
      </w:r>
      <w:r w:rsidR="009278C8">
        <w:rPr>
          <w:lang w:val="en-US"/>
        </w:rPr>
        <w:t xml:space="preserve"> </w:t>
      </w:r>
      <w:r w:rsidRPr="00004B26">
        <w:rPr>
          <w:lang w:val="en-US"/>
        </w:rPr>
        <w:t>Attorney General of Canada, Montréal.</w:t>
      </w:r>
    </w:p>
    <w:p w:rsidR="007D3E30" w:rsidRPr="00004B26" w:rsidRDefault="007D3E30" w:rsidP="00896079">
      <w:pPr>
        <w:pStyle w:val="SCCLawFirm"/>
        <w:spacing w:before="480" w:after="480"/>
        <w:rPr>
          <w:lang w:val="en-US"/>
        </w:rPr>
      </w:pPr>
      <w:r w:rsidRPr="00004B26">
        <w:rPr>
          <w:lang w:val="en-US"/>
        </w:rPr>
        <w:tab/>
        <w:t>Solicitors for the intervener the Coalition for Gun Control</w:t>
      </w:r>
      <w:r w:rsidR="00896079" w:rsidRPr="00004B26">
        <w:rPr>
          <w:lang w:val="en-US"/>
        </w:rPr>
        <w:t>:</w:t>
      </w:r>
      <w:r w:rsidR="009278C8">
        <w:rPr>
          <w:lang w:val="en-US"/>
        </w:rPr>
        <w:t xml:space="preserve"> </w:t>
      </w:r>
      <w:r w:rsidRPr="00004B26">
        <w:rPr>
          <w:lang w:val="en-US"/>
        </w:rPr>
        <w:t>Juripop, Saint</w:t>
      </w:r>
      <w:r w:rsidR="009278C8">
        <w:rPr>
          <w:lang w:val="en-US"/>
        </w:rPr>
        <w:t>-</w:t>
      </w:r>
      <w:r w:rsidRPr="00004B26">
        <w:rPr>
          <w:lang w:val="en-US"/>
        </w:rPr>
        <w:t>Constant, Quebec; Deveau, Bourgeois, Gagné, Hébert &amp; associés, Gatineau.</w:t>
      </w:r>
    </w:p>
    <w:p w:rsidR="002D62D9" w:rsidRDefault="007D3E30" w:rsidP="00AF16B1">
      <w:pPr>
        <w:pStyle w:val="SCCLawFirm"/>
        <w:rPr>
          <w:b/>
          <w:i w:val="0"/>
        </w:rPr>
      </w:pPr>
      <w:r w:rsidRPr="00004B26">
        <w:rPr>
          <w:lang w:val="en-US"/>
        </w:rPr>
        <w:tab/>
        <w:t>Solicitor for the intervener Canada’s National Firearms Association</w:t>
      </w:r>
      <w:r w:rsidR="00896079" w:rsidRPr="00004B26">
        <w:rPr>
          <w:lang w:val="en-US"/>
        </w:rPr>
        <w:t>:</w:t>
      </w:r>
      <w:r w:rsidR="009278C8">
        <w:rPr>
          <w:lang w:val="en-US"/>
        </w:rPr>
        <w:t xml:space="preserve"> </w:t>
      </w:r>
      <w:r w:rsidRPr="00004B26">
        <w:rPr>
          <w:lang w:val="en-US"/>
        </w:rPr>
        <w:t>Guy Lavergne, Saint</w:t>
      </w:r>
      <w:r w:rsidR="009278C8">
        <w:rPr>
          <w:lang w:val="en-US"/>
        </w:rPr>
        <w:t>-</w:t>
      </w:r>
      <w:r w:rsidRPr="00004B26">
        <w:rPr>
          <w:lang w:val="en-US"/>
        </w:rPr>
        <w:t>Lazare, Quebec.</w:t>
      </w:r>
    </w:p>
    <w:p w:rsidR="00AF16B1" w:rsidRPr="00AF16B1" w:rsidRDefault="00AF16B1" w:rsidP="00AF16B1">
      <w:pPr>
        <w:pStyle w:val="SCCNormalDoubleSpacing"/>
      </w:pPr>
    </w:p>
    <w:sectPr w:rsidR="00AF16B1" w:rsidRPr="00AF16B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EC" w:rsidRDefault="000F25EC">
      <w:r>
        <w:separator/>
      </w:r>
    </w:p>
  </w:endnote>
  <w:endnote w:type="continuationSeparator" w:id="0">
    <w:p w:rsidR="000F25EC" w:rsidRDefault="000F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EC" w:rsidRDefault="000F25EC">
      <w:r>
        <w:separator/>
      </w:r>
    </w:p>
  </w:footnote>
  <w:footnote w:type="continuationSeparator" w:id="0">
    <w:p w:rsidR="000F25EC" w:rsidRDefault="000F25EC">
      <w:r>
        <w:continuationSeparator/>
      </w:r>
    </w:p>
  </w:footnote>
  <w:footnote w:id="1">
    <w:p w:rsidR="000F25EC" w:rsidRPr="000F4467" w:rsidRDefault="000F25EC" w:rsidP="003619CB">
      <w:pPr>
        <w:pStyle w:val="FootnoteText"/>
        <w:ind w:left="180" w:hanging="180"/>
        <w:jc w:val="both"/>
        <w:rPr>
          <w:lang w:val="en-US"/>
        </w:rPr>
      </w:pPr>
      <w:r>
        <w:rPr>
          <w:rStyle w:val="FootnoteReference"/>
        </w:rPr>
        <w:footnoteRef/>
      </w:r>
      <w:r>
        <w:t xml:space="preserve"> </w:t>
      </w:r>
      <w:r>
        <w:tab/>
      </w:r>
      <w:r>
        <w:rPr>
          <w:lang w:val="en-US"/>
        </w:rPr>
        <w:t xml:space="preserve">The </w:t>
      </w:r>
      <w:r>
        <w:rPr>
          <w:i/>
          <w:lang w:val="en-US"/>
        </w:rPr>
        <w:t>ELRA</w:t>
      </w:r>
      <w:r>
        <w:rPr>
          <w:lang w:val="en-US"/>
        </w:rPr>
        <w:t xml:space="preserve"> relates only to the registration of long guns. It does not affect the licensing or authorization of individuals by the CFOs.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EC" w:rsidRPr="00450352" w:rsidRDefault="000F25E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13F75FC"/>
    <w:multiLevelType w:val="hybridMultilevel"/>
    <w:tmpl w:val="BE4A93DA"/>
    <w:lvl w:ilvl="0" w:tplc="7A84779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8B50E3"/>
    <w:multiLevelType w:val="hybridMultilevel"/>
    <w:tmpl w:val="CE120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427796"/>
    <w:multiLevelType w:val="hybridMultilevel"/>
    <w:tmpl w:val="2508EF84"/>
    <w:lvl w:ilvl="0" w:tplc="BBAEA6B6">
      <w:start w:val="1"/>
      <w:numFmt w:val="bullet"/>
      <w:lvlText w:val=""/>
      <w:lvlJc w:val="left"/>
      <w:pPr>
        <w:ind w:left="720" w:hanging="360"/>
      </w:pPr>
      <w:rPr>
        <w:rFonts w:ascii="Wingdings" w:hAnsi="Wingdings" w:hint="default"/>
      </w:rPr>
    </w:lvl>
    <w:lvl w:ilvl="1" w:tplc="18D650BC" w:tentative="1">
      <w:start w:val="1"/>
      <w:numFmt w:val="bullet"/>
      <w:lvlText w:val="o"/>
      <w:lvlJc w:val="left"/>
      <w:pPr>
        <w:ind w:left="1440" w:hanging="360"/>
      </w:pPr>
      <w:rPr>
        <w:rFonts w:ascii="Courier New" w:hAnsi="Courier New" w:cs="Courier New" w:hint="default"/>
      </w:rPr>
    </w:lvl>
    <w:lvl w:ilvl="2" w:tplc="BD5E3FBA" w:tentative="1">
      <w:start w:val="1"/>
      <w:numFmt w:val="bullet"/>
      <w:lvlText w:val=""/>
      <w:lvlJc w:val="left"/>
      <w:pPr>
        <w:ind w:left="2160" w:hanging="360"/>
      </w:pPr>
      <w:rPr>
        <w:rFonts w:ascii="Wingdings" w:hAnsi="Wingdings" w:hint="default"/>
      </w:rPr>
    </w:lvl>
    <w:lvl w:ilvl="3" w:tplc="3E9679DA" w:tentative="1">
      <w:start w:val="1"/>
      <w:numFmt w:val="bullet"/>
      <w:lvlText w:val=""/>
      <w:lvlJc w:val="left"/>
      <w:pPr>
        <w:ind w:left="2880" w:hanging="360"/>
      </w:pPr>
      <w:rPr>
        <w:rFonts w:ascii="Symbol" w:hAnsi="Symbol" w:hint="default"/>
      </w:rPr>
    </w:lvl>
    <w:lvl w:ilvl="4" w:tplc="FFEED69C" w:tentative="1">
      <w:start w:val="1"/>
      <w:numFmt w:val="bullet"/>
      <w:lvlText w:val="o"/>
      <w:lvlJc w:val="left"/>
      <w:pPr>
        <w:ind w:left="3600" w:hanging="360"/>
      </w:pPr>
      <w:rPr>
        <w:rFonts w:ascii="Courier New" w:hAnsi="Courier New" w:cs="Courier New" w:hint="default"/>
      </w:rPr>
    </w:lvl>
    <w:lvl w:ilvl="5" w:tplc="A49A1698" w:tentative="1">
      <w:start w:val="1"/>
      <w:numFmt w:val="bullet"/>
      <w:lvlText w:val=""/>
      <w:lvlJc w:val="left"/>
      <w:pPr>
        <w:ind w:left="4320" w:hanging="360"/>
      </w:pPr>
      <w:rPr>
        <w:rFonts w:ascii="Wingdings" w:hAnsi="Wingdings" w:hint="default"/>
      </w:rPr>
    </w:lvl>
    <w:lvl w:ilvl="6" w:tplc="3E2202EC" w:tentative="1">
      <w:start w:val="1"/>
      <w:numFmt w:val="bullet"/>
      <w:lvlText w:val=""/>
      <w:lvlJc w:val="left"/>
      <w:pPr>
        <w:ind w:left="5040" w:hanging="360"/>
      </w:pPr>
      <w:rPr>
        <w:rFonts w:ascii="Symbol" w:hAnsi="Symbol" w:hint="default"/>
      </w:rPr>
    </w:lvl>
    <w:lvl w:ilvl="7" w:tplc="85E06F52" w:tentative="1">
      <w:start w:val="1"/>
      <w:numFmt w:val="bullet"/>
      <w:lvlText w:val="o"/>
      <w:lvlJc w:val="left"/>
      <w:pPr>
        <w:ind w:left="5760" w:hanging="360"/>
      </w:pPr>
      <w:rPr>
        <w:rFonts w:ascii="Courier New" w:hAnsi="Courier New" w:cs="Courier New" w:hint="default"/>
      </w:rPr>
    </w:lvl>
    <w:lvl w:ilvl="8" w:tplc="0A1C571A"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webHidden w:val="0"/>
        <w:color w:val="auto"/>
        <w:sz w:val="22"/>
        <w:szCs w:val="22"/>
        <w:u w:val="none"/>
        <w:effect w:val="none"/>
        <w:vertAlign w:val="baseline"/>
        <w:specVanish w:val="0"/>
      </w:rPr>
    </w:lvl>
    <w:lvl w:ilvl="1" w:tplc="D278D728">
      <w:start w:val="1"/>
      <w:numFmt w:val="decimal"/>
      <w:pStyle w:val="21Paragraphesnumrots"/>
      <w:lvlText w:val="%2."/>
      <w:lvlJc w:val="left"/>
      <w:pPr>
        <w:tabs>
          <w:tab w:val="num" w:pos="1440"/>
        </w:tabs>
        <w:ind w:left="1440" w:hanging="360"/>
      </w:pPr>
      <w:rPr>
        <w:b w:val="0"/>
        <w:i w:val="0"/>
        <w:caps w:val="0"/>
        <w:strike w:val="0"/>
        <w:dstrike w:val="0"/>
        <w:vanish w:val="0"/>
        <w:webHidden w:val="0"/>
        <w:color w:val="auto"/>
        <w:sz w:val="24"/>
        <w:szCs w:val="24"/>
        <w:u w:val="none"/>
        <w:effect w:val="none"/>
        <w:vertAlign w:val="baseline"/>
        <w:specVanish w:val="0"/>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 w15:restartNumberingAfterBreak="0">
    <w:nsid w:val="21E6216A"/>
    <w:multiLevelType w:val="hybridMultilevel"/>
    <w:tmpl w:val="EDD0E3FC"/>
    <w:lvl w:ilvl="0" w:tplc="176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430E76"/>
    <w:multiLevelType w:val="multilevel"/>
    <w:tmpl w:val="D598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3202C"/>
    <w:multiLevelType w:val="hybridMultilevel"/>
    <w:tmpl w:val="E1E6F7E2"/>
    <w:lvl w:ilvl="0" w:tplc="84BEF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055927"/>
    <w:multiLevelType w:val="multilevel"/>
    <w:tmpl w:val="E550EF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B19AA"/>
    <w:multiLevelType w:val="hybridMultilevel"/>
    <w:tmpl w:val="A81A900E"/>
    <w:lvl w:ilvl="0" w:tplc="1009000B">
      <w:start w:val="1"/>
      <w:numFmt w:val="decimal"/>
      <w:lvlText w:val="%1-"/>
      <w:lvlJc w:val="left"/>
      <w:pPr>
        <w:ind w:left="1080" w:hanging="360"/>
      </w:pPr>
      <w:rPr>
        <w:rFonts w:hint="default"/>
      </w:rPr>
    </w:lvl>
    <w:lvl w:ilvl="1" w:tplc="10090003" w:tentative="1">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11" w15:restartNumberingAfterBreak="0">
    <w:nsid w:val="45016D49"/>
    <w:multiLevelType w:val="hybridMultilevel"/>
    <w:tmpl w:val="67E6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342522"/>
    <w:multiLevelType w:val="multilevel"/>
    <w:tmpl w:val="CD1AF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405B2"/>
    <w:multiLevelType w:val="hybridMultilevel"/>
    <w:tmpl w:val="6C1044F6"/>
    <w:lvl w:ilvl="0" w:tplc="1009000B">
      <w:start w:val="1"/>
      <w:numFmt w:val="bullet"/>
      <w:lvlText w:val=""/>
      <w:lvlJc w:val="left"/>
      <w:pPr>
        <w:ind w:left="1500" w:hanging="360"/>
      </w:pPr>
      <w:rPr>
        <w:rFonts w:ascii="Wingdings" w:hAnsi="Wingdings"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7" w15:restartNumberingAfterBreak="0">
    <w:nsid w:val="54283EE8"/>
    <w:multiLevelType w:val="multilevel"/>
    <w:tmpl w:val="684A34E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277B5E"/>
    <w:multiLevelType w:val="multilevel"/>
    <w:tmpl w:val="3AC6143A"/>
    <w:lvl w:ilvl="0">
      <w:start w:val="1"/>
      <w:numFmt w:val="bullet"/>
      <w:lvlText w:val=""/>
      <w:lvlJc w:val="left"/>
      <w:pPr>
        <w:tabs>
          <w:tab w:val="num" w:pos="1152"/>
        </w:tabs>
        <w:ind w:left="0" w:firstLine="0"/>
      </w:pPr>
      <w:rPr>
        <w:rFonts w:ascii="Symbol" w:hAnsi="Symbol" w:hint="default"/>
        <w:sz w:val="24"/>
      </w:rPr>
    </w:lvl>
    <w:lvl w:ilvl="1">
      <w:start w:val="1"/>
      <w:numFmt w:val="upperLetter"/>
      <w:lvlText w:val="%2."/>
      <w:lvlJc w:val="left"/>
      <w:pPr>
        <w:ind w:left="720" w:hanging="360"/>
      </w:pPr>
      <w:rPr>
        <w:rFonts w:ascii="Times New Roman" w:eastAsiaTheme="minorEastAsia" w:hAnsi="Times New Roman" w:cstheme="minorBidi"/>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9908A0"/>
    <w:multiLevelType w:val="hybridMultilevel"/>
    <w:tmpl w:val="319CB4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BB1156"/>
    <w:multiLevelType w:val="hybridMultilevel"/>
    <w:tmpl w:val="42144C2E"/>
    <w:lvl w:ilvl="0" w:tplc="0864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31C13"/>
    <w:multiLevelType w:val="hybridMultilevel"/>
    <w:tmpl w:val="13227FC6"/>
    <w:lvl w:ilvl="0" w:tplc="2D961F10">
      <w:start w:val="13"/>
      <w:numFmt w:val="bullet"/>
      <w:lvlText w:val="-"/>
      <w:lvlJc w:val="left"/>
      <w:pPr>
        <w:ind w:left="1080" w:hanging="360"/>
      </w:pPr>
      <w:rPr>
        <w:rFonts w:ascii="Times New Roman" w:eastAsiaTheme="minorHAnsi" w:hAnsi="Times New Roman" w:cs="Times New Roman" w:hint="default"/>
      </w:rPr>
    </w:lvl>
    <w:lvl w:ilvl="1" w:tplc="2D961F10">
      <w:start w:val="1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920FB1"/>
    <w:multiLevelType w:val="hybridMultilevel"/>
    <w:tmpl w:val="D8966E66"/>
    <w:lvl w:ilvl="0" w:tplc="CF92D176">
      <w:start w:val="1"/>
      <w:numFmt w:val="decimal"/>
      <w:lvlText w:val="%1)"/>
      <w:lvlJc w:val="left"/>
      <w:pPr>
        <w:ind w:left="1080" w:hanging="360"/>
      </w:pPr>
      <w:rPr>
        <w:rFonts w:hint="default"/>
      </w:rPr>
    </w:lvl>
    <w:lvl w:ilvl="1" w:tplc="2B46A050">
      <w:start w:val="1"/>
      <w:numFmt w:val="lowerLetter"/>
      <w:lvlText w:val="%2."/>
      <w:lvlJc w:val="left"/>
      <w:pPr>
        <w:ind w:left="1800" w:hanging="360"/>
      </w:pPr>
    </w:lvl>
    <w:lvl w:ilvl="2" w:tplc="C70CA380" w:tentative="1">
      <w:start w:val="1"/>
      <w:numFmt w:val="lowerRoman"/>
      <w:lvlText w:val="%3."/>
      <w:lvlJc w:val="right"/>
      <w:pPr>
        <w:ind w:left="2520" w:hanging="180"/>
      </w:pPr>
    </w:lvl>
    <w:lvl w:ilvl="3" w:tplc="FAA098E0" w:tentative="1">
      <w:start w:val="1"/>
      <w:numFmt w:val="decimal"/>
      <w:lvlText w:val="%4."/>
      <w:lvlJc w:val="left"/>
      <w:pPr>
        <w:ind w:left="3240" w:hanging="360"/>
      </w:pPr>
    </w:lvl>
    <w:lvl w:ilvl="4" w:tplc="47CE3F58" w:tentative="1">
      <w:start w:val="1"/>
      <w:numFmt w:val="lowerLetter"/>
      <w:lvlText w:val="%5."/>
      <w:lvlJc w:val="left"/>
      <w:pPr>
        <w:ind w:left="3960" w:hanging="360"/>
      </w:pPr>
    </w:lvl>
    <w:lvl w:ilvl="5" w:tplc="7EEC8D5A" w:tentative="1">
      <w:start w:val="1"/>
      <w:numFmt w:val="lowerRoman"/>
      <w:lvlText w:val="%6."/>
      <w:lvlJc w:val="right"/>
      <w:pPr>
        <w:ind w:left="4680" w:hanging="180"/>
      </w:pPr>
    </w:lvl>
    <w:lvl w:ilvl="6" w:tplc="589834C8" w:tentative="1">
      <w:start w:val="1"/>
      <w:numFmt w:val="decimal"/>
      <w:lvlText w:val="%7."/>
      <w:lvlJc w:val="left"/>
      <w:pPr>
        <w:ind w:left="5400" w:hanging="360"/>
      </w:pPr>
    </w:lvl>
    <w:lvl w:ilvl="7" w:tplc="5D82DDC4" w:tentative="1">
      <w:start w:val="1"/>
      <w:numFmt w:val="lowerLetter"/>
      <w:lvlText w:val="%8."/>
      <w:lvlJc w:val="left"/>
      <w:pPr>
        <w:ind w:left="6120" w:hanging="360"/>
      </w:pPr>
    </w:lvl>
    <w:lvl w:ilvl="8" w:tplc="68983160" w:tentative="1">
      <w:start w:val="1"/>
      <w:numFmt w:val="lowerRoman"/>
      <w:lvlText w:val="%9."/>
      <w:lvlJc w:val="right"/>
      <w:pPr>
        <w:ind w:left="6840" w:hanging="180"/>
      </w:pPr>
    </w:lvl>
  </w:abstractNum>
  <w:abstractNum w:abstractNumId="24" w15:restartNumberingAfterBreak="0">
    <w:nsid w:val="777100B4"/>
    <w:multiLevelType w:val="hybridMultilevel"/>
    <w:tmpl w:val="C618FDC8"/>
    <w:lvl w:ilvl="0" w:tplc="6808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75C40"/>
    <w:multiLevelType w:val="hybridMultilevel"/>
    <w:tmpl w:val="802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C6D01"/>
    <w:multiLevelType w:val="hybridMultilevel"/>
    <w:tmpl w:val="05D4E81A"/>
    <w:lvl w:ilvl="0" w:tplc="B17EB25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CE1296"/>
    <w:multiLevelType w:val="hybridMultilevel"/>
    <w:tmpl w:val="B2F02C20"/>
    <w:lvl w:ilvl="0" w:tplc="DB12E628">
      <w:start w:val="1"/>
      <w:numFmt w:val="decimal"/>
      <w:lvlText w:val="%1)"/>
      <w:lvlJc w:val="left"/>
      <w:pPr>
        <w:ind w:left="1080" w:hanging="360"/>
      </w:pPr>
      <w:rPr>
        <w:rFonts w:hint="default"/>
        <w:i w:val="0"/>
      </w:rPr>
    </w:lvl>
    <w:lvl w:ilvl="1" w:tplc="52DACCFA" w:tentative="1">
      <w:start w:val="1"/>
      <w:numFmt w:val="lowerLetter"/>
      <w:lvlText w:val="%2."/>
      <w:lvlJc w:val="left"/>
      <w:pPr>
        <w:ind w:left="1800" w:hanging="360"/>
      </w:pPr>
    </w:lvl>
    <w:lvl w:ilvl="2" w:tplc="3A9CBEFC" w:tentative="1">
      <w:start w:val="1"/>
      <w:numFmt w:val="lowerRoman"/>
      <w:lvlText w:val="%3."/>
      <w:lvlJc w:val="right"/>
      <w:pPr>
        <w:ind w:left="2520" w:hanging="180"/>
      </w:pPr>
    </w:lvl>
    <w:lvl w:ilvl="3" w:tplc="5088D0D4" w:tentative="1">
      <w:start w:val="1"/>
      <w:numFmt w:val="decimal"/>
      <w:lvlText w:val="%4."/>
      <w:lvlJc w:val="left"/>
      <w:pPr>
        <w:ind w:left="3240" w:hanging="360"/>
      </w:pPr>
    </w:lvl>
    <w:lvl w:ilvl="4" w:tplc="CAB2894C" w:tentative="1">
      <w:start w:val="1"/>
      <w:numFmt w:val="lowerLetter"/>
      <w:lvlText w:val="%5."/>
      <w:lvlJc w:val="left"/>
      <w:pPr>
        <w:ind w:left="3960" w:hanging="360"/>
      </w:pPr>
    </w:lvl>
    <w:lvl w:ilvl="5" w:tplc="AEF812F8" w:tentative="1">
      <w:start w:val="1"/>
      <w:numFmt w:val="lowerRoman"/>
      <w:lvlText w:val="%6."/>
      <w:lvlJc w:val="right"/>
      <w:pPr>
        <w:ind w:left="4680" w:hanging="180"/>
      </w:pPr>
    </w:lvl>
    <w:lvl w:ilvl="6" w:tplc="12F0F694" w:tentative="1">
      <w:start w:val="1"/>
      <w:numFmt w:val="decimal"/>
      <w:lvlText w:val="%7."/>
      <w:lvlJc w:val="left"/>
      <w:pPr>
        <w:ind w:left="5400" w:hanging="360"/>
      </w:pPr>
    </w:lvl>
    <w:lvl w:ilvl="7" w:tplc="4800AF36" w:tentative="1">
      <w:start w:val="1"/>
      <w:numFmt w:val="lowerLetter"/>
      <w:lvlText w:val="%8."/>
      <w:lvlJc w:val="left"/>
      <w:pPr>
        <w:ind w:left="6120" w:hanging="360"/>
      </w:pPr>
    </w:lvl>
    <w:lvl w:ilvl="8" w:tplc="5798F0F2" w:tentative="1">
      <w:start w:val="1"/>
      <w:numFmt w:val="lowerRoman"/>
      <w:lvlText w:val="%9."/>
      <w:lvlJc w:val="right"/>
      <w:pPr>
        <w:ind w:left="6840" w:hanging="180"/>
      </w:pPr>
    </w:lvl>
  </w:abstractNum>
  <w:num w:numId="1">
    <w:abstractNumId w:val="17"/>
  </w:num>
  <w:num w:numId="2">
    <w:abstractNumId w:val="21"/>
  </w:num>
  <w:num w:numId="3">
    <w:abstractNumId w:val="4"/>
  </w:num>
  <w:num w:numId="4">
    <w:abstractNumId w:val="1"/>
  </w:num>
  <w:num w:numId="5">
    <w:abstractNumId w:val="13"/>
  </w:num>
  <w:num w:numId="6">
    <w:abstractNumId w:val="14"/>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23"/>
  </w:num>
  <w:num w:numId="14">
    <w:abstractNumId w:val="7"/>
  </w:num>
  <w:num w:numId="15">
    <w:abstractNumId w:val="3"/>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1"/>
  </w:num>
  <w:num w:numId="21">
    <w:abstractNumId w:val="8"/>
  </w:num>
  <w:num w:numId="22">
    <w:abstractNumId w:val="24"/>
  </w:num>
  <w:num w:numId="23">
    <w:abstractNumId w:val="26"/>
  </w:num>
  <w:num w:numId="24">
    <w:abstractNumId w:val="6"/>
  </w:num>
  <w:num w:numId="25">
    <w:abstractNumId w:val="25"/>
  </w:num>
  <w:num w:numId="26">
    <w:abstractNumId w:val="16"/>
  </w:num>
  <w:num w:numId="27">
    <w:abstractNumId w:val="1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4B26"/>
    <w:rsid w:val="0001626A"/>
    <w:rsid w:val="00024266"/>
    <w:rsid w:val="00025198"/>
    <w:rsid w:val="00042859"/>
    <w:rsid w:val="00053C4A"/>
    <w:rsid w:val="000578A3"/>
    <w:rsid w:val="000648CC"/>
    <w:rsid w:val="000757A4"/>
    <w:rsid w:val="000950CB"/>
    <w:rsid w:val="000C4919"/>
    <w:rsid w:val="000C59B8"/>
    <w:rsid w:val="000C6AF0"/>
    <w:rsid w:val="000F25EC"/>
    <w:rsid w:val="000F6591"/>
    <w:rsid w:val="00104F33"/>
    <w:rsid w:val="00111DE2"/>
    <w:rsid w:val="00116B38"/>
    <w:rsid w:val="00117D25"/>
    <w:rsid w:val="00135406"/>
    <w:rsid w:val="00135972"/>
    <w:rsid w:val="001426A9"/>
    <w:rsid w:val="00152BE2"/>
    <w:rsid w:val="00154D7C"/>
    <w:rsid w:val="001570B0"/>
    <w:rsid w:val="0015752C"/>
    <w:rsid w:val="00157737"/>
    <w:rsid w:val="00162557"/>
    <w:rsid w:val="00165277"/>
    <w:rsid w:val="00165F47"/>
    <w:rsid w:val="00170592"/>
    <w:rsid w:val="00186351"/>
    <w:rsid w:val="00195D83"/>
    <w:rsid w:val="001A00C1"/>
    <w:rsid w:val="001A4921"/>
    <w:rsid w:val="001B33E0"/>
    <w:rsid w:val="001B4573"/>
    <w:rsid w:val="001B525E"/>
    <w:rsid w:val="001C779F"/>
    <w:rsid w:val="001C7E5C"/>
    <w:rsid w:val="001D0DDA"/>
    <w:rsid w:val="001D10E5"/>
    <w:rsid w:val="001D2AC1"/>
    <w:rsid w:val="001D471E"/>
    <w:rsid w:val="001D4E88"/>
    <w:rsid w:val="001E009C"/>
    <w:rsid w:val="001F18FB"/>
    <w:rsid w:val="00201315"/>
    <w:rsid w:val="00212868"/>
    <w:rsid w:val="002137C8"/>
    <w:rsid w:val="00220FC2"/>
    <w:rsid w:val="002222F4"/>
    <w:rsid w:val="00224FC0"/>
    <w:rsid w:val="00225EA4"/>
    <w:rsid w:val="00226743"/>
    <w:rsid w:val="00226EAF"/>
    <w:rsid w:val="00231F3A"/>
    <w:rsid w:val="00234199"/>
    <w:rsid w:val="002406EE"/>
    <w:rsid w:val="00243EC8"/>
    <w:rsid w:val="0025044F"/>
    <w:rsid w:val="00264277"/>
    <w:rsid w:val="002643F2"/>
    <w:rsid w:val="00266524"/>
    <w:rsid w:val="00270D93"/>
    <w:rsid w:val="002745CC"/>
    <w:rsid w:val="00276C59"/>
    <w:rsid w:val="00285743"/>
    <w:rsid w:val="002872B5"/>
    <w:rsid w:val="00291528"/>
    <w:rsid w:val="00297A10"/>
    <w:rsid w:val="002A44E9"/>
    <w:rsid w:val="002B7924"/>
    <w:rsid w:val="002C57A9"/>
    <w:rsid w:val="002D28C3"/>
    <w:rsid w:val="002D3608"/>
    <w:rsid w:val="002D39A4"/>
    <w:rsid w:val="002D62D9"/>
    <w:rsid w:val="002E6705"/>
    <w:rsid w:val="002E729D"/>
    <w:rsid w:val="002E7448"/>
    <w:rsid w:val="002F0C98"/>
    <w:rsid w:val="002F79B9"/>
    <w:rsid w:val="00300EEE"/>
    <w:rsid w:val="00301D08"/>
    <w:rsid w:val="0030329A"/>
    <w:rsid w:val="0031086F"/>
    <w:rsid w:val="00312071"/>
    <w:rsid w:val="00313F2B"/>
    <w:rsid w:val="0031414C"/>
    <w:rsid w:val="00314E01"/>
    <w:rsid w:val="0032089D"/>
    <w:rsid w:val="0032649A"/>
    <w:rsid w:val="003310DE"/>
    <w:rsid w:val="003323B0"/>
    <w:rsid w:val="00346728"/>
    <w:rsid w:val="0035169A"/>
    <w:rsid w:val="0035259D"/>
    <w:rsid w:val="003619CB"/>
    <w:rsid w:val="00364B18"/>
    <w:rsid w:val="00371344"/>
    <w:rsid w:val="00373E1E"/>
    <w:rsid w:val="00380A76"/>
    <w:rsid w:val="00380EF7"/>
    <w:rsid w:val="0038785E"/>
    <w:rsid w:val="003A125D"/>
    <w:rsid w:val="003A361A"/>
    <w:rsid w:val="003A4C70"/>
    <w:rsid w:val="003A7DD8"/>
    <w:rsid w:val="003B11CD"/>
    <w:rsid w:val="003B215F"/>
    <w:rsid w:val="003B7D74"/>
    <w:rsid w:val="003C799C"/>
    <w:rsid w:val="003D0399"/>
    <w:rsid w:val="003E1C71"/>
    <w:rsid w:val="003E765D"/>
    <w:rsid w:val="003F327B"/>
    <w:rsid w:val="00406166"/>
    <w:rsid w:val="0040704B"/>
    <w:rsid w:val="00410A55"/>
    <w:rsid w:val="00411300"/>
    <w:rsid w:val="00415417"/>
    <w:rsid w:val="00426659"/>
    <w:rsid w:val="00431A74"/>
    <w:rsid w:val="0043404F"/>
    <w:rsid w:val="00434B54"/>
    <w:rsid w:val="004465E8"/>
    <w:rsid w:val="00450352"/>
    <w:rsid w:val="00454BDB"/>
    <w:rsid w:val="00460B89"/>
    <w:rsid w:val="00464800"/>
    <w:rsid w:val="00464943"/>
    <w:rsid w:val="00465132"/>
    <w:rsid w:val="00470BC3"/>
    <w:rsid w:val="00480C90"/>
    <w:rsid w:val="0048396F"/>
    <w:rsid w:val="00485339"/>
    <w:rsid w:val="00493C18"/>
    <w:rsid w:val="004A600C"/>
    <w:rsid w:val="004A6118"/>
    <w:rsid w:val="004B4045"/>
    <w:rsid w:val="004B58BA"/>
    <w:rsid w:val="004C478D"/>
    <w:rsid w:val="004D0AAC"/>
    <w:rsid w:val="004E2C26"/>
    <w:rsid w:val="004F36FF"/>
    <w:rsid w:val="004F7718"/>
    <w:rsid w:val="005125A8"/>
    <w:rsid w:val="00521AE8"/>
    <w:rsid w:val="00526643"/>
    <w:rsid w:val="00527180"/>
    <w:rsid w:val="00533F8C"/>
    <w:rsid w:val="00540B4D"/>
    <w:rsid w:val="0054201E"/>
    <w:rsid w:val="00547E54"/>
    <w:rsid w:val="00551668"/>
    <w:rsid w:val="00555291"/>
    <w:rsid w:val="005631F2"/>
    <w:rsid w:val="00566AD1"/>
    <w:rsid w:val="00566BAB"/>
    <w:rsid w:val="00583EDE"/>
    <w:rsid w:val="00584396"/>
    <w:rsid w:val="005871A2"/>
    <w:rsid w:val="0059711A"/>
    <w:rsid w:val="00597417"/>
    <w:rsid w:val="005A6079"/>
    <w:rsid w:val="005B56B7"/>
    <w:rsid w:val="005C6ED9"/>
    <w:rsid w:val="005D0A51"/>
    <w:rsid w:val="005D2D9F"/>
    <w:rsid w:val="005E4698"/>
    <w:rsid w:val="005F03E0"/>
    <w:rsid w:val="005F3CA3"/>
    <w:rsid w:val="00610539"/>
    <w:rsid w:val="0061227E"/>
    <w:rsid w:val="00613969"/>
    <w:rsid w:val="00621A2C"/>
    <w:rsid w:val="00625C35"/>
    <w:rsid w:val="00640075"/>
    <w:rsid w:val="00653AB7"/>
    <w:rsid w:val="00656313"/>
    <w:rsid w:val="006565F4"/>
    <w:rsid w:val="0066088C"/>
    <w:rsid w:val="006624D9"/>
    <w:rsid w:val="00683BDC"/>
    <w:rsid w:val="00684EEA"/>
    <w:rsid w:val="00694A25"/>
    <w:rsid w:val="0069689B"/>
    <w:rsid w:val="006A1551"/>
    <w:rsid w:val="006B5FF5"/>
    <w:rsid w:val="006D2017"/>
    <w:rsid w:val="006F23EB"/>
    <w:rsid w:val="006F30AF"/>
    <w:rsid w:val="006F526D"/>
    <w:rsid w:val="00701759"/>
    <w:rsid w:val="00701B0B"/>
    <w:rsid w:val="00703945"/>
    <w:rsid w:val="00705C15"/>
    <w:rsid w:val="0071600E"/>
    <w:rsid w:val="007208D1"/>
    <w:rsid w:val="0074518C"/>
    <w:rsid w:val="00746F3B"/>
    <w:rsid w:val="00747288"/>
    <w:rsid w:val="00747DD3"/>
    <w:rsid w:val="007549C8"/>
    <w:rsid w:val="00754A0B"/>
    <w:rsid w:val="00755753"/>
    <w:rsid w:val="00766D14"/>
    <w:rsid w:val="00767A0F"/>
    <w:rsid w:val="00767A49"/>
    <w:rsid w:val="00782CC1"/>
    <w:rsid w:val="007A05F6"/>
    <w:rsid w:val="007A2391"/>
    <w:rsid w:val="007B6F4A"/>
    <w:rsid w:val="007C10C3"/>
    <w:rsid w:val="007D21D9"/>
    <w:rsid w:val="007D3E30"/>
    <w:rsid w:val="007D4BEF"/>
    <w:rsid w:val="007D5B68"/>
    <w:rsid w:val="007D7658"/>
    <w:rsid w:val="007E1C47"/>
    <w:rsid w:val="007E337A"/>
    <w:rsid w:val="007E5C70"/>
    <w:rsid w:val="007F2FF5"/>
    <w:rsid w:val="007F3F08"/>
    <w:rsid w:val="00804CC6"/>
    <w:rsid w:val="008075A4"/>
    <w:rsid w:val="00817190"/>
    <w:rsid w:val="00820EE5"/>
    <w:rsid w:val="008260E2"/>
    <w:rsid w:val="008322BD"/>
    <w:rsid w:val="00833367"/>
    <w:rsid w:val="0083370D"/>
    <w:rsid w:val="00833E0A"/>
    <w:rsid w:val="00834F73"/>
    <w:rsid w:val="00853FBE"/>
    <w:rsid w:val="00864CF8"/>
    <w:rsid w:val="00872819"/>
    <w:rsid w:val="00874914"/>
    <w:rsid w:val="00891422"/>
    <w:rsid w:val="00892E1A"/>
    <w:rsid w:val="00896079"/>
    <w:rsid w:val="008A3F29"/>
    <w:rsid w:val="008A7FB9"/>
    <w:rsid w:val="008B031F"/>
    <w:rsid w:val="008B4A6E"/>
    <w:rsid w:val="008B54EA"/>
    <w:rsid w:val="008B660A"/>
    <w:rsid w:val="008B70AA"/>
    <w:rsid w:val="008C01DA"/>
    <w:rsid w:val="008C2E0A"/>
    <w:rsid w:val="008D2C4A"/>
    <w:rsid w:val="008E6BFB"/>
    <w:rsid w:val="008F78E9"/>
    <w:rsid w:val="008F7A9F"/>
    <w:rsid w:val="009103B3"/>
    <w:rsid w:val="00911989"/>
    <w:rsid w:val="009179F9"/>
    <w:rsid w:val="009278C8"/>
    <w:rsid w:val="00933E5E"/>
    <w:rsid w:val="00935218"/>
    <w:rsid w:val="009403F3"/>
    <w:rsid w:val="009431E9"/>
    <w:rsid w:val="009555B7"/>
    <w:rsid w:val="009567AA"/>
    <w:rsid w:val="00966628"/>
    <w:rsid w:val="00967374"/>
    <w:rsid w:val="009700F3"/>
    <w:rsid w:val="0097746C"/>
    <w:rsid w:val="009805C5"/>
    <w:rsid w:val="00985349"/>
    <w:rsid w:val="00985AAD"/>
    <w:rsid w:val="009A054D"/>
    <w:rsid w:val="009A343A"/>
    <w:rsid w:val="009B24EF"/>
    <w:rsid w:val="009B2F23"/>
    <w:rsid w:val="009B5577"/>
    <w:rsid w:val="009B57B3"/>
    <w:rsid w:val="009B5DDE"/>
    <w:rsid w:val="009C5B92"/>
    <w:rsid w:val="009D2920"/>
    <w:rsid w:val="009D5AEB"/>
    <w:rsid w:val="009E586C"/>
    <w:rsid w:val="009F0896"/>
    <w:rsid w:val="009F0E33"/>
    <w:rsid w:val="009F7229"/>
    <w:rsid w:val="00A01A93"/>
    <w:rsid w:val="00A030CE"/>
    <w:rsid w:val="00A149DF"/>
    <w:rsid w:val="00A1755C"/>
    <w:rsid w:val="00A21B90"/>
    <w:rsid w:val="00A350F1"/>
    <w:rsid w:val="00A41805"/>
    <w:rsid w:val="00A42DCD"/>
    <w:rsid w:val="00A4379B"/>
    <w:rsid w:val="00A44EDA"/>
    <w:rsid w:val="00A472BA"/>
    <w:rsid w:val="00A52AFB"/>
    <w:rsid w:val="00A548CB"/>
    <w:rsid w:val="00A5521C"/>
    <w:rsid w:val="00A5667F"/>
    <w:rsid w:val="00A643E7"/>
    <w:rsid w:val="00A73C38"/>
    <w:rsid w:val="00A81A93"/>
    <w:rsid w:val="00A81AB0"/>
    <w:rsid w:val="00A95E6E"/>
    <w:rsid w:val="00AA3B2C"/>
    <w:rsid w:val="00AB096E"/>
    <w:rsid w:val="00AB670D"/>
    <w:rsid w:val="00AC0630"/>
    <w:rsid w:val="00AC2C81"/>
    <w:rsid w:val="00AC42DF"/>
    <w:rsid w:val="00AC7053"/>
    <w:rsid w:val="00AD0E6B"/>
    <w:rsid w:val="00AD7BA3"/>
    <w:rsid w:val="00AE024E"/>
    <w:rsid w:val="00AE0BC7"/>
    <w:rsid w:val="00AF03C5"/>
    <w:rsid w:val="00AF16B1"/>
    <w:rsid w:val="00AF2A1D"/>
    <w:rsid w:val="00AF378A"/>
    <w:rsid w:val="00B000D8"/>
    <w:rsid w:val="00B00F75"/>
    <w:rsid w:val="00B145B6"/>
    <w:rsid w:val="00B279EB"/>
    <w:rsid w:val="00B27A4A"/>
    <w:rsid w:val="00B336F6"/>
    <w:rsid w:val="00B36622"/>
    <w:rsid w:val="00B440D9"/>
    <w:rsid w:val="00B44D41"/>
    <w:rsid w:val="00B47AA8"/>
    <w:rsid w:val="00B50C81"/>
    <w:rsid w:val="00B557F8"/>
    <w:rsid w:val="00B6473D"/>
    <w:rsid w:val="00B815FC"/>
    <w:rsid w:val="00B82162"/>
    <w:rsid w:val="00B82D0D"/>
    <w:rsid w:val="00B83B51"/>
    <w:rsid w:val="00B927C2"/>
    <w:rsid w:val="00B93A0A"/>
    <w:rsid w:val="00B93FBC"/>
    <w:rsid w:val="00BA5A15"/>
    <w:rsid w:val="00BA7DA0"/>
    <w:rsid w:val="00BB2EE4"/>
    <w:rsid w:val="00BB377C"/>
    <w:rsid w:val="00BC2108"/>
    <w:rsid w:val="00BD0E9E"/>
    <w:rsid w:val="00BD1BEC"/>
    <w:rsid w:val="00BD32FF"/>
    <w:rsid w:val="00BE2BC8"/>
    <w:rsid w:val="00C02092"/>
    <w:rsid w:val="00C02E1F"/>
    <w:rsid w:val="00C20380"/>
    <w:rsid w:val="00C231A3"/>
    <w:rsid w:val="00C24D91"/>
    <w:rsid w:val="00C34C90"/>
    <w:rsid w:val="00C53F14"/>
    <w:rsid w:val="00C600CF"/>
    <w:rsid w:val="00C6084F"/>
    <w:rsid w:val="00C62A66"/>
    <w:rsid w:val="00C71458"/>
    <w:rsid w:val="00C75AC8"/>
    <w:rsid w:val="00C7721A"/>
    <w:rsid w:val="00C77613"/>
    <w:rsid w:val="00C828E7"/>
    <w:rsid w:val="00C86719"/>
    <w:rsid w:val="00C921DD"/>
    <w:rsid w:val="00CA6391"/>
    <w:rsid w:val="00CB6282"/>
    <w:rsid w:val="00CC34BD"/>
    <w:rsid w:val="00CD44D7"/>
    <w:rsid w:val="00CE161A"/>
    <w:rsid w:val="00CE3171"/>
    <w:rsid w:val="00CF1601"/>
    <w:rsid w:val="00CF2162"/>
    <w:rsid w:val="00CF3E8F"/>
    <w:rsid w:val="00D00BD9"/>
    <w:rsid w:val="00D0172F"/>
    <w:rsid w:val="00D068A7"/>
    <w:rsid w:val="00D1444A"/>
    <w:rsid w:val="00D17476"/>
    <w:rsid w:val="00D32086"/>
    <w:rsid w:val="00D33348"/>
    <w:rsid w:val="00D37A3F"/>
    <w:rsid w:val="00D41F3A"/>
    <w:rsid w:val="00D4431D"/>
    <w:rsid w:val="00D45913"/>
    <w:rsid w:val="00D4667A"/>
    <w:rsid w:val="00D47035"/>
    <w:rsid w:val="00D61A56"/>
    <w:rsid w:val="00D63982"/>
    <w:rsid w:val="00D63A1C"/>
    <w:rsid w:val="00D74438"/>
    <w:rsid w:val="00D745BB"/>
    <w:rsid w:val="00D7516F"/>
    <w:rsid w:val="00D8579F"/>
    <w:rsid w:val="00D958CA"/>
    <w:rsid w:val="00D95F8E"/>
    <w:rsid w:val="00D9694B"/>
    <w:rsid w:val="00D96DE1"/>
    <w:rsid w:val="00DA0590"/>
    <w:rsid w:val="00DA4E46"/>
    <w:rsid w:val="00DB43F6"/>
    <w:rsid w:val="00DB7BEA"/>
    <w:rsid w:val="00DC1739"/>
    <w:rsid w:val="00DC1788"/>
    <w:rsid w:val="00DD4EAB"/>
    <w:rsid w:val="00DE319C"/>
    <w:rsid w:val="00DF0CA8"/>
    <w:rsid w:val="00DF2B48"/>
    <w:rsid w:val="00DF49A7"/>
    <w:rsid w:val="00E07EE2"/>
    <w:rsid w:val="00E07FD1"/>
    <w:rsid w:val="00E209FC"/>
    <w:rsid w:val="00E24573"/>
    <w:rsid w:val="00E25E1E"/>
    <w:rsid w:val="00E27EE7"/>
    <w:rsid w:val="00E35404"/>
    <w:rsid w:val="00E36036"/>
    <w:rsid w:val="00E37320"/>
    <w:rsid w:val="00E423C5"/>
    <w:rsid w:val="00E45109"/>
    <w:rsid w:val="00E47B7A"/>
    <w:rsid w:val="00E52E12"/>
    <w:rsid w:val="00E53E41"/>
    <w:rsid w:val="00E56A44"/>
    <w:rsid w:val="00E60269"/>
    <w:rsid w:val="00E60A20"/>
    <w:rsid w:val="00E6428A"/>
    <w:rsid w:val="00E77714"/>
    <w:rsid w:val="00E77932"/>
    <w:rsid w:val="00E96975"/>
    <w:rsid w:val="00E97830"/>
    <w:rsid w:val="00EA5942"/>
    <w:rsid w:val="00EC2328"/>
    <w:rsid w:val="00ED6582"/>
    <w:rsid w:val="00ED7467"/>
    <w:rsid w:val="00EE643C"/>
    <w:rsid w:val="00EF0683"/>
    <w:rsid w:val="00EF69D2"/>
    <w:rsid w:val="00EF766E"/>
    <w:rsid w:val="00F0070C"/>
    <w:rsid w:val="00F00EB7"/>
    <w:rsid w:val="00F01764"/>
    <w:rsid w:val="00F04BB8"/>
    <w:rsid w:val="00F15FA2"/>
    <w:rsid w:val="00F2523F"/>
    <w:rsid w:val="00F36AB6"/>
    <w:rsid w:val="00F37A09"/>
    <w:rsid w:val="00F409CE"/>
    <w:rsid w:val="00F4379D"/>
    <w:rsid w:val="00F437B4"/>
    <w:rsid w:val="00F47C47"/>
    <w:rsid w:val="00F50D2D"/>
    <w:rsid w:val="00F56C8B"/>
    <w:rsid w:val="00F66810"/>
    <w:rsid w:val="00F7289F"/>
    <w:rsid w:val="00F843A5"/>
    <w:rsid w:val="00F846D9"/>
    <w:rsid w:val="00F84DF4"/>
    <w:rsid w:val="00F85C97"/>
    <w:rsid w:val="00F863CA"/>
    <w:rsid w:val="00F9051A"/>
    <w:rsid w:val="00F97898"/>
    <w:rsid w:val="00FA2D95"/>
    <w:rsid w:val="00FA6D8A"/>
    <w:rsid w:val="00FB37D2"/>
    <w:rsid w:val="00FC4EFB"/>
    <w:rsid w:val="00FD068D"/>
    <w:rsid w:val="00FD3F0F"/>
    <w:rsid w:val="00FD4F28"/>
    <w:rsid w:val="00FD7313"/>
    <w:rsid w:val="00FE6784"/>
    <w:rsid w:val="00FF039F"/>
    <w:rsid w:val="00FF0B62"/>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78C8"/>
    <w:pPr>
      <w:keepNext/>
      <w:keepLines/>
      <w:spacing w:before="200"/>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unhideWhenUsed/>
    <w:qFormat/>
    <w:rsid w:val="009278C8"/>
    <w:pPr>
      <w:keepNext/>
      <w:keepLines/>
      <w:spacing w:before="200"/>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9278C8"/>
    <w:pPr>
      <w:keepNext/>
      <w:keepLines/>
      <w:spacing w:before="200"/>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9278C8"/>
    <w:pPr>
      <w:keepNext/>
      <w:keepLines/>
      <w:spacing w:before="200"/>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unhideWhenUsed/>
    <w:qFormat/>
    <w:rsid w:val="009278C8"/>
    <w:pPr>
      <w:keepNext/>
      <w:keepLines/>
      <w:spacing w:before="200"/>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9278C8"/>
    <w:pPr>
      <w:keepNext/>
      <w:keepLines/>
      <w:spacing w:before="200"/>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9278C8"/>
    <w:pPr>
      <w:keepNext/>
      <w:keepLines/>
      <w:spacing w:before="200"/>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DocumentMap">
    <w:name w:val="Document Map"/>
    <w:basedOn w:val="Normal"/>
    <w:link w:val="DocumentMapChar"/>
    <w:uiPriority w:val="99"/>
    <w:semiHidden/>
    <w:unhideWhenUsed/>
    <w:rsid w:val="00AE0BC7"/>
    <w:rPr>
      <w:rFonts w:ascii="Tahoma" w:hAnsi="Tahoma" w:cs="Tahoma"/>
      <w:sz w:val="16"/>
      <w:szCs w:val="16"/>
    </w:rPr>
  </w:style>
  <w:style w:type="character" w:customStyle="1" w:styleId="DocumentMapChar">
    <w:name w:val="Document Map Char"/>
    <w:basedOn w:val="DefaultParagraphFont"/>
    <w:link w:val="DocumentMap"/>
    <w:uiPriority w:val="99"/>
    <w:semiHidden/>
    <w:rsid w:val="00AE0BC7"/>
    <w:rPr>
      <w:rFonts w:ascii="Tahoma" w:hAnsi="Tahoma" w:cs="Tahoma"/>
      <w:sz w:val="16"/>
      <w:szCs w:val="16"/>
    </w:rPr>
  </w:style>
  <w:style w:type="paragraph" w:customStyle="1" w:styleId="ParaNoNdepar-AltN">
    <w:name w:val="Para. No. / Nº de par. - Alt N"/>
    <w:qFormat/>
    <w:rsid w:val="009805C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278C8"/>
    <w:pPr>
      <w:spacing w:after="480"/>
    </w:pPr>
    <w:rPr>
      <w:rFonts w:eastAsiaTheme="minorHAnsi" w:cstheme="minorBidi"/>
      <w:szCs w:val="22"/>
      <w:lang w:eastAsia="en-US"/>
    </w:rPr>
  </w:style>
  <w:style w:type="paragraph" w:customStyle="1" w:styleId="SCCCoram">
    <w:name w:val="SCC.Coram"/>
    <w:basedOn w:val="Normal"/>
    <w:next w:val="Normal"/>
    <w:link w:val="SCCCoramChar"/>
    <w:rsid w:val="009278C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278C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278C8"/>
    <w:rPr>
      <w:rFonts w:eastAsiaTheme="minorHAnsi" w:cstheme="minorBidi"/>
      <w:sz w:val="24"/>
      <w:szCs w:val="22"/>
      <w:lang w:eastAsia="en-US"/>
    </w:rPr>
  </w:style>
  <w:style w:type="character" w:customStyle="1" w:styleId="SCCBanSummaryChar">
    <w:name w:val="SCC.BanSummary Char"/>
    <w:basedOn w:val="DefaultParagraphFont"/>
    <w:link w:val="SCCBanSummary"/>
    <w:rsid w:val="009278C8"/>
    <w:rPr>
      <w:b/>
      <w:sz w:val="24"/>
    </w:rPr>
  </w:style>
  <w:style w:type="table" w:styleId="TableGrid">
    <w:name w:val="Table Grid"/>
    <w:basedOn w:val="TableNormal"/>
    <w:uiPriority w:val="59"/>
    <w:rsid w:val="009278C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278C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278C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278C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278C8"/>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278C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278C8"/>
    <w:pPr>
      <w:numPr>
        <w:ilvl w:val="2"/>
      </w:numPr>
    </w:pPr>
  </w:style>
  <w:style w:type="paragraph" w:customStyle="1" w:styleId="Title4LevelTitre4Niveau">
    <w:name w:val="Title 4 Level / Titre 4 Niveau"/>
    <w:basedOn w:val="Title3LevelTitre3Niveau"/>
    <w:next w:val="ParaNoNdepar-AltN"/>
    <w:uiPriority w:val="4"/>
    <w:qFormat/>
    <w:rsid w:val="009278C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278C8"/>
    <w:pPr>
      <w:numPr>
        <w:ilvl w:val="4"/>
      </w:numPr>
    </w:pPr>
  </w:style>
  <w:style w:type="paragraph" w:styleId="TOC1">
    <w:name w:val="toc 1"/>
    <w:basedOn w:val="Normal"/>
    <w:next w:val="Normal"/>
    <w:autoRedefine/>
    <w:uiPriority w:val="39"/>
    <w:unhideWhenUsed/>
    <w:qFormat/>
    <w:rsid w:val="009278C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qFormat/>
    <w:rsid w:val="009278C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qFormat/>
    <w:rsid w:val="009278C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278C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278C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278C8"/>
    <w:pPr>
      <w:tabs>
        <w:tab w:val="left" w:pos="2160"/>
        <w:tab w:val="right" w:leader="dot" w:pos="8270"/>
      </w:tabs>
      <w:spacing w:after="100"/>
      <w:ind w:left="1800"/>
    </w:pPr>
    <w:rPr>
      <w:noProof/>
    </w:rPr>
  </w:style>
  <w:style w:type="table" w:customStyle="1" w:styleId="TableGrid1">
    <w:name w:val="Table Grid1"/>
    <w:basedOn w:val="TableNormal"/>
    <w:uiPriority w:val="59"/>
    <w:rsid w:val="009278C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278C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278C8"/>
    <w:pPr>
      <w:numPr>
        <w:ilvl w:val="5"/>
      </w:numPr>
    </w:pPr>
    <w:rPr>
      <w:i/>
      <w:u w:val="none"/>
    </w:rPr>
  </w:style>
  <w:style w:type="character" w:styleId="CommentReference">
    <w:name w:val="annotation reference"/>
    <w:basedOn w:val="DefaultParagraphFont"/>
    <w:uiPriority w:val="99"/>
    <w:semiHidden/>
    <w:unhideWhenUsed/>
    <w:rsid w:val="009278C8"/>
    <w:rPr>
      <w:sz w:val="16"/>
      <w:szCs w:val="16"/>
    </w:rPr>
  </w:style>
  <w:style w:type="paragraph" w:styleId="CommentText">
    <w:name w:val="annotation text"/>
    <w:basedOn w:val="Normal"/>
    <w:link w:val="CommentTextChar"/>
    <w:uiPriority w:val="99"/>
    <w:unhideWhenUsed/>
    <w:rsid w:val="009278C8"/>
    <w:rPr>
      <w:sz w:val="20"/>
    </w:rPr>
  </w:style>
  <w:style w:type="character" w:customStyle="1" w:styleId="CommentTextChar">
    <w:name w:val="Comment Text Char"/>
    <w:basedOn w:val="DefaultParagraphFont"/>
    <w:link w:val="CommentText"/>
    <w:uiPriority w:val="99"/>
    <w:rsid w:val="009278C8"/>
  </w:style>
  <w:style w:type="paragraph" w:styleId="CommentSubject">
    <w:name w:val="annotation subject"/>
    <w:basedOn w:val="CommentText"/>
    <w:next w:val="CommentText"/>
    <w:link w:val="CommentSubjectChar"/>
    <w:uiPriority w:val="99"/>
    <w:semiHidden/>
    <w:unhideWhenUsed/>
    <w:rsid w:val="009278C8"/>
    <w:rPr>
      <w:b/>
      <w:bCs/>
    </w:rPr>
  </w:style>
  <w:style w:type="character" w:customStyle="1" w:styleId="CommentSubjectChar">
    <w:name w:val="Comment Subject Char"/>
    <w:basedOn w:val="CommentTextChar"/>
    <w:link w:val="CommentSubject"/>
    <w:uiPriority w:val="99"/>
    <w:semiHidden/>
    <w:rsid w:val="009278C8"/>
    <w:rPr>
      <w:b/>
      <w:bCs/>
    </w:rPr>
  </w:style>
  <w:style w:type="paragraph" w:styleId="ListParagraph">
    <w:name w:val="List Paragraph"/>
    <w:basedOn w:val="Normal"/>
    <w:uiPriority w:val="34"/>
    <w:qFormat/>
    <w:rsid w:val="009278C8"/>
    <w:pPr>
      <w:ind w:left="720"/>
    </w:pPr>
    <w:rPr>
      <w:rFonts w:ascii="Calibri" w:eastAsiaTheme="minorHAnsi" w:hAnsi="Calibri" w:cs="Calibri"/>
      <w:sz w:val="22"/>
      <w:szCs w:val="22"/>
    </w:rPr>
  </w:style>
  <w:style w:type="paragraph" w:styleId="FootnoteText">
    <w:name w:val="footnote text"/>
    <w:basedOn w:val="Normal"/>
    <w:link w:val="FootnoteTextChar"/>
    <w:unhideWhenUsed/>
    <w:rsid w:val="009278C8"/>
    <w:rPr>
      <w:sz w:val="20"/>
    </w:rPr>
  </w:style>
  <w:style w:type="character" w:customStyle="1" w:styleId="FootnoteTextChar">
    <w:name w:val="Footnote Text Char"/>
    <w:basedOn w:val="DefaultParagraphFont"/>
    <w:link w:val="FootnoteText"/>
    <w:rsid w:val="009278C8"/>
  </w:style>
  <w:style w:type="character" w:styleId="FootnoteReference">
    <w:name w:val="footnote reference"/>
    <w:basedOn w:val="DefaultParagraphFont"/>
    <w:unhideWhenUsed/>
    <w:rsid w:val="009278C8"/>
    <w:rPr>
      <w:vertAlign w:val="superscript"/>
    </w:rPr>
  </w:style>
  <w:style w:type="paragraph" w:styleId="Revision">
    <w:name w:val="Revision"/>
    <w:hidden/>
    <w:uiPriority w:val="99"/>
    <w:semiHidden/>
    <w:rsid w:val="009278C8"/>
    <w:rPr>
      <w:sz w:val="24"/>
      <w:szCs w:val="24"/>
    </w:rPr>
  </w:style>
  <w:style w:type="character" w:customStyle="1" w:styleId="Heading3Char">
    <w:name w:val="Heading 3 Char"/>
    <w:basedOn w:val="DefaultParagraphFont"/>
    <w:link w:val="Heading3"/>
    <w:uiPriority w:val="9"/>
    <w:rsid w:val="009278C8"/>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rsid w:val="009278C8"/>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9278C8"/>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9278C8"/>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rsid w:val="009278C8"/>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9278C8"/>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9278C8"/>
    <w:rPr>
      <w:rFonts w:asciiTheme="majorHAnsi" w:eastAsiaTheme="majorEastAsia" w:hAnsiTheme="majorHAnsi" w:cstheme="majorBidi"/>
      <w:i/>
      <w:iCs/>
      <w:color w:val="404040" w:themeColor="text1" w:themeTint="BF"/>
      <w:lang w:val="fr-CA" w:eastAsia="en-US" w:bidi="en-US"/>
    </w:rPr>
  </w:style>
  <w:style w:type="paragraph" w:customStyle="1" w:styleId="11">
    <w:name w:val="11"/>
    <w:basedOn w:val="Normal"/>
    <w:rsid w:val="009278C8"/>
    <w:pPr>
      <w:autoSpaceDE w:val="0"/>
      <w:autoSpaceDN w:val="0"/>
      <w:ind w:hanging="720"/>
    </w:pPr>
    <w:rPr>
      <w:rFonts w:eastAsiaTheme="minorHAnsi" w:cstheme="minorBidi"/>
      <w:szCs w:val="22"/>
      <w:lang w:val="fr-CA" w:eastAsia="en-US" w:bidi="en-US"/>
    </w:rPr>
  </w:style>
  <w:style w:type="paragraph" w:styleId="NormalWeb">
    <w:name w:val="Normal (Web)"/>
    <w:basedOn w:val="Normal"/>
    <w:uiPriority w:val="99"/>
    <w:semiHidden/>
    <w:unhideWhenUsed/>
    <w:rsid w:val="009278C8"/>
    <w:pPr>
      <w:spacing w:before="100" w:beforeAutospacing="1" w:after="100" w:afterAutospacing="1"/>
    </w:pPr>
    <w:rPr>
      <w:rFonts w:eastAsiaTheme="minorHAnsi" w:cstheme="minorBidi"/>
      <w:szCs w:val="22"/>
      <w:lang w:val="fr-CA" w:eastAsia="en-US" w:bidi="en-US"/>
    </w:rPr>
  </w:style>
  <w:style w:type="character" w:styleId="Hyperlink">
    <w:name w:val="Hyperlink"/>
    <w:basedOn w:val="DefaultParagraphFont"/>
    <w:uiPriority w:val="99"/>
    <w:unhideWhenUsed/>
    <w:rsid w:val="009278C8"/>
    <w:rPr>
      <w:color w:val="0000FF" w:themeColor="hyperlink"/>
      <w:u w:val="single"/>
    </w:rPr>
  </w:style>
  <w:style w:type="character" w:styleId="SubtleEmphasis">
    <w:name w:val="Subtle Emphasis"/>
    <w:basedOn w:val="DefaultParagraphFont"/>
    <w:uiPriority w:val="19"/>
    <w:rsid w:val="009278C8"/>
    <w:rPr>
      <w:i/>
      <w:iCs/>
      <w:color w:val="808080" w:themeColor="text1" w:themeTint="7F"/>
    </w:rPr>
  </w:style>
  <w:style w:type="paragraph" w:customStyle="1" w:styleId="citationenretrait1">
    <w:name w:val="citationenretrait1"/>
    <w:basedOn w:val="Normal"/>
    <w:rsid w:val="009278C8"/>
    <w:pPr>
      <w:spacing w:before="120" w:after="120"/>
      <w:ind w:left="720" w:right="648"/>
      <w:jc w:val="both"/>
    </w:pPr>
    <w:rPr>
      <w:rFonts w:ascii="Arial" w:eastAsiaTheme="minorHAnsi" w:hAnsi="Arial" w:cs="Arial"/>
      <w:color w:val="000000"/>
      <w:sz w:val="22"/>
      <w:szCs w:val="22"/>
      <w:lang w:val="fr-CA" w:eastAsia="en-US" w:bidi="en-US"/>
    </w:rPr>
  </w:style>
  <w:style w:type="character" w:customStyle="1" w:styleId="ssl21">
    <w:name w:val="ss_l21"/>
    <w:basedOn w:val="DefaultParagraphFont"/>
    <w:rsid w:val="009278C8"/>
    <w:rPr>
      <w:color w:val="000000"/>
      <w:sz w:val="24"/>
      <w:szCs w:val="24"/>
    </w:rPr>
  </w:style>
  <w:style w:type="character" w:styleId="Emphasis">
    <w:name w:val="Emphasis"/>
    <w:basedOn w:val="DefaultParagraphFont"/>
    <w:uiPriority w:val="20"/>
    <w:qFormat/>
    <w:rsid w:val="009278C8"/>
    <w:rPr>
      <w:i/>
      <w:iCs/>
    </w:rPr>
  </w:style>
  <w:style w:type="paragraph" w:customStyle="1" w:styleId="section">
    <w:name w:val="section"/>
    <w:basedOn w:val="Normal"/>
    <w:rsid w:val="009278C8"/>
    <w:pPr>
      <w:spacing w:before="100" w:beforeAutospacing="1" w:after="100" w:afterAutospacing="1"/>
    </w:pPr>
    <w:rPr>
      <w:rFonts w:eastAsiaTheme="minorHAnsi" w:cstheme="minorBidi"/>
      <w:szCs w:val="22"/>
      <w:lang w:val="fr-CA" w:eastAsia="en-US" w:bidi="en-US"/>
    </w:rPr>
  </w:style>
  <w:style w:type="paragraph" w:customStyle="1" w:styleId="paragraph">
    <w:name w:val="paragraph"/>
    <w:basedOn w:val="Normal"/>
    <w:rsid w:val="009278C8"/>
    <w:pPr>
      <w:spacing w:before="100" w:beforeAutospacing="1" w:after="100" w:afterAutospacing="1"/>
    </w:pPr>
    <w:rPr>
      <w:rFonts w:eastAsiaTheme="minorHAnsi" w:cstheme="minorBidi"/>
      <w:szCs w:val="22"/>
      <w:lang w:val="fr-CA" w:eastAsia="en-US" w:bidi="en-US"/>
    </w:rPr>
  </w:style>
  <w:style w:type="paragraph" w:customStyle="1" w:styleId="continuedsectionsubsection">
    <w:name w:val="continuedsectionsubsection"/>
    <w:basedOn w:val="Normal"/>
    <w:rsid w:val="009278C8"/>
    <w:pPr>
      <w:spacing w:before="100" w:beforeAutospacing="1" w:after="100" w:afterAutospacing="1"/>
    </w:pPr>
    <w:rPr>
      <w:rFonts w:eastAsiaTheme="minorHAnsi" w:cstheme="minorBidi"/>
      <w:szCs w:val="22"/>
      <w:lang w:val="fr-CA" w:eastAsia="en-US" w:bidi="en-US"/>
    </w:rPr>
  </w:style>
  <w:style w:type="character" w:customStyle="1" w:styleId="italic1">
    <w:name w:val="italic1"/>
    <w:basedOn w:val="DefaultParagraphFont"/>
    <w:rsid w:val="009278C8"/>
    <w:rPr>
      <w:i/>
      <w:iCs/>
    </w:rPr>
  </w:style>
  <w:style w:type="character" w:customStyle="1" w:styleId="bold1">
    <w:name w:val="bold1"/>
    <w:basedOn w:val="DefaultParagraphFont"/>
    <w:rsid w:val="009278C8"/>
    <w:rPr>
      <w:b/>
      <w:bCs/>
    </w:rPr>
  </w:style>
  <w:style w:type="character" w:customStyle="1" w:styleId="sfbbfee58">
    <w:name w:val="sfbbfee58"/>
    <w:basedOn w:val="DefaultParagraphFont"/>
    <w:rsid w:val="009278C8"/>
  </w:style>
  <w:style w:type="character" w:customStyle="1" w:styleId="s1a844bc0">
    <w:name w:val="s1a844bc0"/>
    <w:basedOn w:val="DefaultParagraphFont"/>
    <w:rsid w:val="009278C8"/>
  </w:style>
  <w:style w:type="character" w:customStyle="1" w:styleId="sb8d990e2">
    <w:name w:val="sb8d990e2"/>
    <w:basedOn w:val="DefaultParagraphFont"/>
    <w:rsid w:val="009278C8"/>
  </w:style>
  <w:style w:type="character" w:customStyle="1" w:styleId="s6b621b36">
    <w:name w:val="s6b621b36"/>
    <w:basedOn w:val="DefaultParagraphFont"/>
    <w:rsid w:val="009278C8"/>
  </w:style>
  <w:style w:type="paragraph" w:styleId="PlainText">
    <w:name w:val="Plain Text"/>
    <w:basedOn w:val="Normal"/>
    <w:link w:val="PlainTextChar"/>
    <w:uiPriority w:val="99"/>
    <w:semiHidden/>
    <w:unhideWhenUsed/>
    <w:rsid w:val="009278C8"/>
    <w:rPr>
      <w:rFonts w:ascii="Consolas" w:eastAsiaTheme="minorHAnsi" w:hAnsi="Consolas" w:cs="Consolas"/>
      <w:sz w:val="21"/>
      <w:szCs w:val="21"/>
      <w:lang w:val="fr-CA" w:eastAsia="en-US" w:bidi="en-US"/>
    </w:rPr>
  </w:style>
  <w:style w:type="character" w:customStyle="1" w:styleId="PlainTextChar">
    <w:name w:val="Plain Text Char"/>
    <w:basedOn w:val="DefaultParagraphFont"/>
    <w:link w:val="PlainText"/>
    <w:uiPriority w:val="99"/>
    <w:semiHidden/>
    <w:rsid w:val="009278C8"/>
    <w:rPr>
      <w:rFonts w:ascii="Consolas" w:eastAsiaTheme="minorHAnsi" w:hAnsi="Consolas" w:cs="Consolas"/>
      <w:sz w:val="21"/>
      <w:szCs w:val="21"/>
      <w:lang w:val="fr-CA" w:eastAsia="en-US" w:bidi="en-US"/>
    </w:rPr>
  </w:style>
  <w:style w:type="character" w:customStyle="1" w:styleId="JudgeJugeChar">
    <w:name w:val="Judge / Juge Char"/>
    <w:basedOn w:val="DefaultParagraphFont"/>
    <w:link w:val="JudgeJuge"/>
    <w:uiPriority w:val="3"/>
    <w:rsid w:val="009278C8"/>
    <w:rPr>
      <w:smallCaps/>
      <w:sz w:val="24"/>
      <w:szCs w:val="24"/>
    </w:rPr>
  </w:style>
  <w:style w:type="paragraph" w:styleId="NoSpacing">
    <w:name w:val="No Spacing"/>
    <w:uiPriority w:val="1"/>
    <w:rsid w:val="009278C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278C8"/>
    <w:pPr>
      <w:spacing w:before="480" w:after="0"/>
      <w:ind w:left="0" w:firstLine="0"/>
      <w:outlineLvl w:val="9"/>
    </w:pPr>
    <w:rPr>
      <w:lang w:val="fr-CA" w:eastAsia="en-US" w:bidi="en-US"/>
    </w:rPr>
  </w:style>
  <w:style w:type="paragraph" w:styleId="Caption">
    <w:name w:val="caption"/>
    <w:basedOn w:val="Normal"/>
    <w:next w:val="Normal"/>
    <w:uiPriority w:val="35"/>
    <w:semiHidden/>
    <w:unhideWhenUsed/>
    <w:qFormat/>
    <w:rsid w:val="009278C8"/>
    <w:rPr>
      <w:rFonts w:eastAsiaTheme="minorHAnsi" w:cstheme="minorBidi"/>
      <w:b/>
      <w:bCs/>
      <w:color w:val="4F81BD" w:themeColor="accent1"/>
      <w:sz w:val="18"/>
      <w:szCs w:val="18"/>
      <w:lang w:val="fr-CA" w:eastAsia="en-US" w:bidi="en-US"/>
    </w:rPr>
  </w:style>
  <w:style w:type="paragraph" w:styleId="Title">
    <w:name w:val="Title"/>
    <w:basedOn w:val="Normal"/>
    <w:next w:val="Normal"/>
    <w:link w:val="TitleChar"/>
    <w:uiPriority w:val="10"/>
    <w:rsid w:val="00927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9278C8"/>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9278C8"/>
    <w:pPr>
      <w:numPr>
        <w:ilvl w:val="1"/>
      </w:numPr>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9278C8"/>
    <w:rPr>
      <w:rFonts w:asciiTheme="majorHAnsi" w:eastAsiaTheme="majorEastAsia" w:hAnsiTheme="majorHAnsi" w:cstheme="majorBidi"/>
      <w:i/>
      <w:iCs/>
      <w:color w:val="4F81BD" w:themeColor="accent1"/>
      <w:spacing w:val="15"/>
      <w:sz w:val="24"/>
      <w:szCs w:val="24"/>
      <w:lang w:val="fr-CA" w:eastAsia="en-US" w:bidi="en-US"/>
    </w:rPr>
  </w:style>
  <w:style w:type="paragraph" w:styleId="IntenseQuote">
    <w:name w:val="Intense Quote"/>
    <w:basedOn w:val="Normal"/>
    <w:next w:val="Normal"/>
    <w:link w:val="IntenseQuoteChar"/>
    <w:uiPriority w:val="30"/>
    <w:rsid w:val="009278C8"/>
    <w:pPr>
      <w:pBdr>
        <w:bottom w:val="single" w:sz="4" w:space="4" w:color="4F81BD" w:themeColor="accent1"/>
      </w:pBdr>
      <w:spacing w:before="200" w:after="280"/>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9278C8"/>
    <w:rPr>
      <w:rFonts w:eastAsiaTheme="minorHAnsi" w:cstheme="minorBidi"/>
      <w:b/>
      <w:bCs/>
      <w:i/>
      <w:iCs/>
      <w:color w:val="4F81BD" w:themeColor="accent1"/>
      <w:sz w:val="24"/>
      <w:szCs w:val="22"/>
      <w:lang w:val="fr-CA" w:eastAsia="en-US" w:bidi="en-US"/>
    </w:rPr>
  </w:style>
  <w:style w:type="character" w:styleId="IntenseEmphasis">
    <w:name w:val="Intense Emphasis"/>
    <w:basedOn w:val="DefaultParagraphFont"/>
    <w:uiPriority w:val="21"/>
    <w:rsid w:val="009278C8"/>
    <w:rPr>
      <w:b/>
      <w:bCs/>
      <w:i/>
      <w:iCs/>
      <w:color w:val="4F81BD" w:themeColor="accent1"/>
    </w:rPr>
  </w:style>
  <w:style w:type="character" w:styleId="SubtleReference">
    <w:name w:val="Subtle Reference"/>
    <w:basedOn w:val="DefaultParagraphFont"/>
    <w:uiPriority w:val="31"/>
    <w:rsid w:val="009278C8"/>
    <w:rPr>
      <w:smallCaps/>
      <w:color w:val="C0504D" w:themeColor="accent2"/>
      <w:u w:val="single"/>
    </w:rPr>
  </w:style>
  <w:style w:type="character" w:styleId="IntenseReference">
    <w:name w:val="Intense Reference"/>
    <w:basedOn w:val="DefaultParagraphFont"/>
    <w:uiPriority w:val="32"/>
    <w:rsid w:val="009278C8"/>
    <w:rPr>
      <w:b/>
      <w:bCs/>
      <w:smallCaps/>
      <w:color w:val="C0504D" w:themeColor="accent2"/>
      <w:spacing w:val="5"/>
      <w:u w:val="single"/>
    </w:rPr>
  </w:style>
  <w:style w:type="character" w:styleId="BookTitle">
    <w:name w:val="Book Title"/>
    <w:basedOn w:val="DefaultParagraphFont"/>
    <w:uiPriority w:val="33"/>
    <w:rsid w:val="009278C8"/>
    <w:rPr>
      <w:b/>
      <w:bCs/>
      <w:smallCaps/>
      <w:spacing w:val="5"/>
    </w:rPr>
  </w:style>
  <w:style w:type="character" w:customStyle="1" w:styleId="canliisection1">
    <w:name w:val="canlii_section1"/>
    <w:basedOn w:val="DefaultParagraphFont"/>
    <w:rsid w:val="009278C8"/>
    <w:rPr>
      <w:color w:val="027ABB"/>
      <w:shd w:val="clear" w:color="auto" w:fill="F3F3F3"/>
    </w:rPr>
  </w:style>
  <w:style w:type="character" w:customStyle="1" w:styleId="Appelnotedebasdep1">
    <w:name w:val="Appel note de bas de p.1"/>
    <w:rsid w:val="009278C8"/>
    <w:rPr>
      <w:vertAlign w:val="superscript"/>
    </w:rPr>
  </w:style>
  <w:style w:type="character" w:customStyle="1" w:styleId="decisia-reflex2-icon">
    <w:name w:val="decisia-reflex2-icon"/>
    <w:basedOn w:val="DefaultParagraphFont"/>
    <w:rsid w:val="009278C8"/>
    <w:rPr>
      <w:strike w:val="0"/>
      <w:dstrike w:val="0"/>
      <w:sz w:val="19"/>
      <w:szCs w:val="19"/>
      <w:u w:val="none"/>
      <w:effect w:val="none"/>
    </w:rPr>
  </w:style>
  <w:style w:type="character" w:customStyle="1" w:styleId="sccrespondentforindexchar1">
    <w:name w:val="sccrespondentforindexchar1"/>
    <w:basedOn w:val="DefaultParagraphFont"/>
    <w:rsid w:val="009278C8"/>
    <w:rPr>
      <w:rFonts w:ascii="Times New Roman" w:hAnsi="Times New Roman" w:cs="Times New Roman" w:hint="default"/>
      <w:b/>
      <w:bCs/>
    </w:rPr>
  </w:style>
  <w:style w:type="character" w:customStyle="1" w:styleId="sccrespondentforrunningheadchar1">
    <w:name w:val="sccrespondentforrunningheadchar1"/>
    <w:basedOn w:val="DefaultParagraphFont"/>
    <w:rsid w:val="009278C8"/>
    <w:rPr>
      <w:rFonts w:ascii="Times New Roman" w:hAnsi="Times New Roman" w:cs="Times New Roman" w:hint="default"/>
      <w:smallCaps/>
    </w:rPr>
  </w:style>
  <w:style w:type="paragraph" w:customStyle="1" w:styleId="paragraphe1">
    <w:name w:val="paragraphe1"/>
    <w:basedOn w:val="Normal"/>
    <w:rsid w:val="009278C8"/>
    <w:pPr>
      <w:spacing w:before="120" w:after="120"/>
      <w:jc w:val="both"/>
    </w:pPr>
    <w:rPr>
      <w:rFonts w:ascii="Arial" w:hAnsi="Arial" w:cs="Arial"/>
      <w:szCs w:val="24"/>
      <w:lang w:val="en-US" w:eastAsia="en-US"/>
    </w:rPr>
  </w:style>
  <w:style w:type="paragraph" w:customStyle="1" w:styleId="21Paragraphesnumrots">
    <w:name w:val="2.1 Paragraphes numérotés"/>
    <w:basedOn w:val="Normal"/>
    <w:rsid w:val="009278C8"/>
    <w:pPr>
      <w:numPr>
        <w:ilvl w:val="1"/>
        <w:numId w:val="32"/>
      </w:numPr>
      <w:spacing w:after="360" w:line="360" w:lineRule="auto"/>
      <w:jc w:val="both"/>
    </w:pPr>
    <w:rPr>
      <w:szCs w:val="24"/>
      <w:lang w:eastAsia="fr-FR"/>
    </w:rPr>
  </w:style>
  <w:style w:type="paragraph" w:customStyle="1" w:styleId="5Notebaspagemmoire">
    <w:name w:val="5. Note bas page mémoire"/>
    <w:basedOn w:val="Normal"/>
    <w:rsid w:val="009278C8"/>
    <w:pPr>
      <w:tabs>
        <w:tab w:val="left" w:pos="540"/>
        <w:tab w:val="center" w:pos="4536"/>
        <w:tab w:val="right" w:pos="9072"/>
      </w:tabs>
      <w:ind w:left="540" w:hanging="540"/>
      <w:jc w:val="both"/>
    </w:pPr>
    <w:rPr>
      <w:sz w:val="22"/>
      <w:szCs w:val="22"/>
      <w:lang w:val="fr-CA" w:eastAsia="fr-FR"/>
    </w:rPr>
  </w:style>
  <w:style w:type="character" w:styleId="HTMLAcronym">
    <w:name w:val="HTML Acronym"/>
    <w:basedOn w:val="DefaultParagraphFont"/>
    <w:uiPriority w:val="99"/>
    <w:semiHidden/>
    <w:unhideWhenUsed/>
    <w:rsid w:val="009278C8"/>
  </w:style>
  <w:style w:type="character" w:styleId="HTMLCite">
    <w:name w:val="HTML Cite"/>
    <w:basedOn w:val="DefaultParagraphFont"/>
    <w:uiPriority w:val="99"/>
    <w:semiHidden/>
    <w:unhideWhenUsed/>
    <w:rsid w:val="009278C8"/>
    <w:rPr>
      <w:i/>
      <w:iCs/>
    </w:rPr>
  </w:style>
  <w:style w:type="character" w:customStyle="1" w:styleId="SCCLsocPartyRoleChar">
    <w:name w:val="SCC.Lsoc.PartyRole Char"/>
    <w:basedOn w:val="DefaultParagraphFont"/>
    <w:rsid w:val="00E209FC"/>
    <w:rPr>
      <w:lang w:val="en-CA"/>
    </w:rPr>
  </w:style>
  <w:style w:type="paragraph" w:customStyle="1" w:styleId="SCCLsocPrefix">
    <w:name w:val="SCC.Lsoc.Prefix"/>
    <w:basedOn w:val="Normal"/>
    <w:next w:val="Normal"/>
    <w:link w:val="SCCLsocPrefixChar"/>
    <w:rsid w:val="00E209FC"/>
    <w:rPr>
      <w:rFonts w:eastAsiaTheme="minorHAnsi" w:cstheme="minorBidi"/>
      <w:b/>
      <w:smallCaps/>
      <w:szCs w:val="24"/>
      <w:lang w:eastAsia="en-US"/>
    </w:rPr>
  </w:style>
  <w:style w:type="character" w:customStyle="1" w:styleId="SCCLsocPrefixChar">
    <w:name w:val="SCC.Lsoc.Prefix Char"/>
    <w:basedOn w:val="DefaultParagraphFont"/>
    <w:link w:val="SCCLsocPrefix"/>
    <w:rsid w:val="00E209F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26FF-43EC-44F7-8B46-C43F216F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24012</Words>
  <Characters>136871</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2015-03-26T18:54:00Z</dcterms:created>
  <dcterms:modified xsi:type="dcterms:W3CDTF">2015-10-02T17:38:00Z</dcterms:modified>
</cp:coreProperties>
</file>