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528" w:rsidRDefault="00912528" w:rsidP="00912528">
      <w:pPr>
        <w:pStyle w:val="Court"/>
      </w:pPr>
      <w:r>
        <w:t>Supreme Court of Canada</w:t>
      </w:r>
    </w:p>
    <w:p w:rsidR="00912528" w:rsidRDefault="00912528" w:rsidP="00912528">
      <w:pPr>
        <w:pStyle w:val="CitationLine"/>
      </w:pPr>
      <w:r w:rsidRPr="00912528">
        <w:t xml:space="preserve">Merritt </w:t>
      </w:r>
      <w:r w:rsidRPr="00912528">
        <w:rPr>
          <w:i/>
          <w:iCs/>
        </w:rPr>
        <w:t xml:space="preserve">v. </w:t>
      </w:r>
      <w:r w:rsidRPr="00912528">
        <w:t>Hepenstal</w:t>
      </w:r>
      <w:r>
        <w:t xml:space="preserve"> (1895) 25 SCR 150</w:t>
      </w:r>
    </w:p>
    <w:p w:rsidR="00912528" w:rsidRDefault="00912528" w:rsidP="00912528">
      <w:pPr>
        <w:pStyle w:val="DateISO"/>
      </w:pPr>
      <w:r>
        <w:t>Date: 1895-10-31</w:t>
      </w:r>
    </w:p>
    <w:p w:rsidR="00373E39" w:rsidRPr="00912528" w:rsidRDefault="00912528" w:rsidP="00912528">
      <w:pPr>
        <w:pStyle w:val="Metadata"/>
      </w:pPr>
      <w:r w:rsidRPr="00912528">
        <w:t xml:space="preserve">William </w:t>
      </w:r>
      <w:r w:rsidR="00373E39" w:rsidRPr="00912528">
        <w:t xml:space="preserve">H. </w:t>
      </w:r>
      <w:r w:rsidRPr="00912528">
        <w:t xml:space="preserve">Merritt </w:t>
      </w:r>
      <w:r w:rsidR="00373E39" w:rsidRPr="00912528">
        <w:t>(Defendant)</w:t>
      </w:r>
    </w:p>
    <w:p w:rsidR="00373E39" w:rsidRPr="00912528" w:rsidRDefault="00373E39" w:rsidP="00912528">
      <w:pPr>
        <w:pStyle w:val="Metadata"/>
      </w:pPr>
      <w:r w:rsidRPr="00912528">
        <w:t>Appellant</w:t>
      </w:r>
    </w:p>
    <w:p w:rsidR="00373E39" w:rsidRPr="00912528" w:rsidRDefault="00912528" w:rsidP="00912528">
      <w:pPr>
        <w:pStyle w:val="Metadata"/>
      </w:pPr>
      <w:r>
        <w:t>A</w:t>
      </w:r>
      <w:r w:rsidR="00373E39" w:rsidRPr="00912528">
        <w:t>nd</w:t>
      </w:r>
    </w:p>
    <w:p w:rsidR="00373E39" w:rsidRPr="00912528" w:rsidRDefault="00912528" w:rsidP="00912528">
      <w:pPr>
        <w:pStyle w:val="Metadata"/>
      </w:pPr>
      <w:r w:rsidRPr="00912528">
        <w:t xml:space="preserve">Reginald </w:t>
      </w:r>
      <w:r w:rsidR="00373E39" w:rsidRPr="00912528">
        <w:t xml:space="preserve">F. D. </w:t>
      </w:r>
      <w:r w:rsidRPr="00912528">
        <w:t xml:space="preserve">Hepenstal </w:t>
      </w:r>
      <w:r w:rsidR="00373E39" w:rsidRPr="00912528">
        <w:t>(Plaintiff)</w:t>
      </w:r>
    </w:p>
    <w:p w:rsidR="00373E39" w:rsidRPr="00912528" w:rsidRDefault="00373E39" w:rsidP="00912528">
      <w:pPr>
        <w:pStyle w:val="Metadata"/>
      </w:pPr>
      <w:r w:rsidRPr="00912528">
        <w:t>Respondent</w:t>
      </w:r>
    </w:p>
    <w:p w:rsidR="00912528" w:rsidRPr="00D91704" w:rsidRDefault="00912528" w:rsidP="00912528">
      <w:pPr>
        <w:pStyle w:val="Metadata"/>
      </w:pPr>
      <w:r w:rsidRPr="00D91704">
        <w:t>1895</w:t>
      </w:r>
      <w:r>
        <w:t xml:space="preserve">: </w:t>
      </w:r>
      <w:r w:rsidRPr="00D91704">
        <w:t>Oct. 31.</w:t>
      </w:r>
    </w:p>
    <w:p w:rsidR="00912528" w:rsidRDefault="00912528" w:rsidP="00912528">
      <w:pPr>
        <w:pStyle w:val="Metadata"/>
        <w:rPr>
          <w:smallCaps/>
        </w:rPr>
      </w:pPr>
      <w:r w:rsidRPr="00912528">
        <w:t>Present</w:t>
      </w:r>
      <w:r w:rsidRPr="00D91704">
        <w:rPr>
          <w:smallCaps/>
        </w:rPr>
        <w:t>:</w:t>
      </w:r>
      <w:r w:rsidRPr="00D91704">
        <w:t>—Sir Henry Strong C.J., and Taschereau, Gwynne, King and Girouard JJ.</w:t>
      </w:r>
    </w:p>
    <w:p w:rsidR="00373E39" w:rsidRPr="00912528" w:rsidRDefault="00912528" w:rsidP="00912528">
      <w:pPr>
        <w:pStyle w:val="Metadata"/>
      </w:pPr>
      <w:r w:rsidRPr="00912528">
        <w:t>ON APPEAL FROM THE SUPREME COURT OF NEW BRUNSWICK.</w:t>
      </w:r>
    </w:p>
    <w:p w:rsidR="00373E39" w:rsidRPr="00D91704" w:rsidRDefault="00373E39" w:rsidP="00912528">
      <w:pPr>
        <w:pStyle w:val="Keywords"/>
      </w:pPr>
      <w:r w:rsidRPr="00D91704">
        <w:t>Master and servant—Negligence of servant—Deviation from employment—Resumption—Contributory negligence—Infant—Evidence.</w:t>
      </w:r>
    </w:p>
    <w:p w:rsidR="00373E39" w:rsidRPr="00D91704" w:rsidRDefault="00912528" w:rsidP="00912528">
      <w:pPr>
        <w:pStyle w:val="Summary"/>
      </w:pPr>
      <w:r w:rsidRPr="00912528">
        <w:t>A</w:t>
      </w:r>
      <w:r w:rsidR="00373E39" w:rsidRPr="00D91704">
        <w:rPr>
          <w:smallCaps/>
        </w:rPr>
        <w:t xml:space="preserve"> </w:t>
      </w:r>
      <w:r w:rsidR="00373E39" w:rsidRPr="00D91704">
        <w:t>tradesman’s teamster, sent out to deliver parcels, went to his supper before completing the delivery. He afterwards started to finish his work and in doing so he ran over and injured a child.</w:t>
      </w:r>
    </w:p>
    <w:p w:rsidR="00373E39" w:rsidRPr="00D91704" w:rsidRDefault="00373E39" w:rsidP="00912528">
      <w:pPr>
        <w:pStyle w:val="Summary"/>
        <w:rPr>
          <w:szCs w:val="24"/>
        </w:rPr>
      </w:pPr>
      <w:r w:rsidRPr="00D91704">
        <w:rPr>
          <w:i/>
          <w:iCs/>
          <w:szCs w:val="24"/>
        </w:rPr>
        <w:t xml:space="preserve">Held, </w:t>
      </w:r>
      <w:r w:rsidRPr="00D91704">
        <w:rPr>
          <w:szCs w:val="24"/>
        </w:rPr>
        <w:t>affirming the decision of the Supreme Court of New Brunswick, that from the moment he had started to complete the business in which he had been engaged he was in his master’s employ just as if he had returned to the master’s store and made a fresh start.</w:t>
      </w:r>
    </w:p>
    <w:p w:rsidR="00373E39" w:rsidRPr="00D91704" w:rsidRDefault="00373E39" w:rsidP="00912528">
      <w:pPr>
        <w:pStyle w:val="Summary"/>
        <w:rPr>
          <w:szCs w:val="24"/>
        </w:rPr>
      </w:pPr>
      <w:r w:rsidRPr="00D91704">
        <w:rPr>
          <w:szCs w:val="24"/>
        </w:rPr>
        <w:t xml:space="preserve">The doctrine of contributory negligence does not apply to an infant of tender age. </w:t>
      </w:r>
      <w:r w:rsidRPr="00D91704">
        <w:rPr>
          <w:i/>
          <w:iCs/>
          <w:szCs w:val="24"/>
        </w:rPr>
        <w:t xml:space="preserve">Gardner </w:t>
      </w:r>
      <w:r w:rsidRPr="00D91704">
        <w:rPr>
          <w:szCs w:val="24"/>
        </w:rPr>
        <w:t xml:space="preserve">v. </w:t>
      </w:r>
      <w:r w:rsidRPr="00D91704">
        <w:rPr>
          <w:i/>
          <w:iCs/>
          <w:szCs w:val="24"/>
        </w:rPr>
        <w:t xml:space="preserve">Grace </w:t>
      </w:r>
      <w:r w:rsidRPr="00D91704">
        <w:rPr>
          <w:smallCaps/>
          <w:szCs w:val="24"/>
        </w:rPr>
        <w:t xml:space="preserve">(1 f. &amp; f. 359) </w:t>
      </w:r>
      <w:r w:rsidRPr="00D91704">
        <w:rPr>
          <w:szCs w:val="24"/>
        </w:rPr>
        <w:t>followed.</w:t>
      </w:r>
    </w:p>
    <w:p w:rsidR="00373E39" w:rsidRPr="00D91704" w:rsidRDefault="00373E39" w:rsidP="00912528">
      <w:pPr>
        <w:pStyle w:val="Summary"/>
        <w:rPr>
          <w:szCs w:val="24"/>
        </w:rPr>
      </w:pPr>
      <w:r w:rsidRPr="00D91704">
        <w:rPr>
          <w:szCs w:val="24"/>
        </w:rPr>
        <w:t>If in a case tried without a jury evidence has been improperly admitted a court of appeal may reject it and maintain the verdict if the remaining evidence warrants it.</w:t>
      </w:r>
    </w:p>
    <w:p w:rsidR="00373E39" w:rsidRPr="00D91704" w:rsidRDefault="00373E39" w:rsidP="00912528">
      <w:pPr>
        <w:pStyle w:val="History"/>
      </w:pPr>
      <w:r w:rsidRPr="00912528">
        <w:t>Appeal</w:t>
      </w:r>
      <w:r w:rsidRPr="00D91704">
        <w:rPr>
          <w:smallCaps/>
        </w:rPr>
        <w:t xml:space="preserve"> </w:t>
      </w:r>
      <w:r w:rsidRPr="00D91704">
        <w:t>from a decision of the Supreme Court of New Brunswick</w:t>
      </w:r>
      <w:r w:rsidR="00362F88">
        <w:rPr>
          <w:rStyle w:val="FootnoteReference"/>
          <w:rFonts w:cs="Arial"/>
          <w:szCs w:val="24"/>
        </w:rPr>
        <w:footnoteReference w:id="2"/>
      </w:r>
      <w:r w:rsidRPr="00D91704">
        <w:t xml:space="preserve"> sustaining a verdict for the plaintiff and refusing a new trial.</w:t>
      </w:r>
    </w:p>
    <w:p w:rsidR="00373E39" w:rsidRPr="00D91704" w:rsidRDefault="00373E39" w:rsidP="00912528">
      <w:pPr>
        <w:pStyle w:val="History"/>
        <w:rPr>
          <w:rFonts w:cs="Arial"/>
          <w:szCs w:val="24"/>
        </w:rPr>
      </w:pPr>
      <w:r w:rsidRPr="00D91704">
        <w:rPr>
          <w:rFonts w:cs="Arial"/>
          <w:szCs w:val="24"/>
        </w:rPr>
        <w:t xml:space="preserve">The defendant Merritt is a grocer in St. John N.B., and his teamster, Gorman, having been sent out one day with parcels of goods for delivery to customers, delivered all but one and then went home to his supper; after supper he started out to finish his </w:t>
      </w:r>
      <w:r w:rsidRPr="00D91704">
        <w:rPr>
          <w:rFonts w:cs="Arial"/>
          <w:szCs w:val="24"/>
        </w:rPr>
        <w:lastRenderedPageBreak/>
        <w:t>work and on the way ran over the infant child of the plaintiff who brought an action against Merritt for compensation. On the trial of the action it was shown</w:t>
      </w:r>
    </w:p>
    <w:p w:rsidR="00373E39" w:rsidRPr="00D91704" w:rsidRDefault="00A6519D" w:rsidP="00A6519D">
      <w:pPr>
        <w:pStyle w:val="Page"/>
      </w:pPr>
      <w:r>
        <w:rPr>
          <w:rFonts w:cs="Arial"/>
          <w:szCs w:val="24"/>
        </w:rPr>
        <w:t xml:space="preserve">[Page </w:t>
      </w:r>
      <w:r w:rsidR="00373E39" w:rsidRPr="00D91704">
        <w:rPr>
          <w:rFonts w:cs="Arial"/>
          <w:szCs w:val="24"/>
        </w:rPr>
        <w:t>151]</w:t>
      </w:r>
    </w:p>
    <w:p w:rsidR="00373E39" w:rsidRPr="00D91704" w:rsidRDefault="00373E39" w:rsidP="00FA1FA4">
      <w:pPr>
        <w:pStyle w:val="History"/>
        <w:ind w:firstLine="0"/>
        <w:rPr>
          <w:rFonts w:cs="Arial"/>
          <w:szCs w:val="24"/>
        </w:rPr>
      </w:pPr>
      <w:r w:rsidRPr="00D91704">
        <w:rPr>
          <w:rFonts w:cs="Arial"/>
          <w:szCs w:val="24"/>
        </w:rPr>
        <w:t>that the child ran out from the sidewalk to the middle of the street when the waggon was approaching and evidence was admitted of the nurse who attended the child after he was hurt to the effect that since the accident he was affected with urinary trouble. The trial judge, who tried the case without a jury, found that the action of the child in running out upon the street contributed to the accident, but that it could have been avoided by the exercise of reasonable care on Gorman’s part, and he gave a verdict for the plaintiff. A judgment for defendant or a new trial was moved for on the grounds that Gorman, having abandoned defendant’s business when he went to his supper, could only resume it by returning to the place where he had delivered the last parcel and that he had not, in fact, resumed it when the accident happened; that the negligence of the child caused the accident; and that the evidence of the nurse should not have been admitted, as she was not called as an expert and was contradicted by the physician who attended the child. The verdict having been sustained defendant appealed to this court.</w:t>
      </w:r>
    </w:p>
    <w:p w:rsidR="00373E39" w:rsidRPr="00D91704" w:rsidRDefault="00373E39" w:rsidP="00FA1FA4">
      <w:pPr>
        <w:pStyle w:val="History"/>
        <w:rPr>
          <w:rFonts w:cs="Arial"/>
          <w:szCs w:val="24"/>
        </w:rPr>
      </w:pPr>
      <w:r w:rsidRPr="00D91704">
        <w:rPr>
          <w:rFonts w:cs="Arial"/>
          <w:i/>
          <w:iCs/>
          <w:szCs w:val="24"/>
        </w:rPr>
        <w:t xml:space="preserve">C. A. Stockton </w:t>
      </w:r>
      <w:r w:rsidRPr="00D91704">
        <w:rPr>
          <w:rFonts w:cs="Arial"/>
          <w:szCs w:val="24"/>
        </w:rPr>
        <w:t xml:space="preserve">for the appellant. Gorman was not in defendant’s employ when the accident occurred. </w:t>
      </w:r>
      <w:r w:rsidRPr="00D91704">
        <w:rPr>
          <w:rFonts w:cs="Arial"/>
          <w:i/>
          <w:iCs/>
          <w:szCs w:val="24"/>
        </w:rPr>
        <w:t xml:space="preserve">Rayner </w:t>
      </w:r>
      <w:r w:rsidRPr="00D91704">
        <w:rPr>
          <w:rFonts w:cs="Arial"/>
          <w:szCs w:val="24"/>
        </w:rPr>
        <w:t xml:space="preserve">v. </w:t>
      </w:r>
      <w:r w:rsidRPr="00D91704">
        <w:rPr>
          <w:rFonts w:cs="Arial"/>
          <w:i/>
          <w:iCs/>
          <w:szCs w:val="24"/>
        </w:rPr>
        <w:t>Mitchell</w:t>
      </w:r>
      <w:r w:rsidR="00362F88">
        <w:rPr>
          <w:rStyle w:val="FootnoteReference"/>
          <w:rFonts w:cs="Arial"/>
          <w:i/>
          <w:iCs/>
          <w:szCs w:val="24"/>
        </w:rPr>
        <w:footnoteReference w:id="3"/>
      </w:r>
      <w:r w:rsidRPr="00D91704">
        <w:rPr>
          <w:rFonts w:cs="Arial"/>
          <w:szCs w:val="24"/>
        </w:rPr>
        <w:t xml:space="preserve">; </w:t>
      </w:r>
      <w:r w:rsidRPr="00D91704">
        <w:rPr>
          <w:rFonts w:cs="Arial"/>
          <w:i/>
          <w:iCs/>
          <w:szCs w:val="24"/>
        </w:rPr>
        <w:t xml:space="preserve">Mitchell </w:t>
      </w:r>
      <w:r w:rsidRPr="00D91704">
        <w:rPr>
          <w:rFonts w:cs="Arial"/>
          <w:szCs w:val="24"/>
        </w:rPr>
        <w:t xml:space="preserve">v. </w:t>
      </w:r>
      <w:r w:rsidRPr="00D91704">
        <w:rPr>
          <w:rFonts w:cs="Arial"/>
          <w:i/>
          <w:iCs/>
          <w:szCs w:val="24"/>
        </w:rPr>
        <w:t>Crassweller</w:t>
      </w:r>
      <w:r w:rsidR="00362F88">
        <w:rPr>
          <w:rStyle w:val="FootnoteReference"/>
          <w:rFonts w:cs="Arial"/>
          <w:i/>
          <w:iCs/>
          <w:szCs w:val="24"/>
        </w:rPr>
        <w:footnoteReference w:id="4"/>
      </w:r>
      <w:r w:rsidRPr="00D91704">
        <w:rPr>
          <w:rFonts w:cs="Arial"/>
          <w:szCs w:val="24"/>
        </w:rPr>
        <w:t xml:space="preserve">; </w:t>
      </w:r>
      <w:r w:rsidRPr="00D91704">
        <w:rPr>
          <w:rFonts w:cs="Arial"/>
          <w:i/>
          <w:iCs/>
          <w:szCs w:val="24"/>
        </w:rPr>
        <w:t xml:space="preserve">Storey </w:t>
      </w:r>
      <w:r w:rsidRPr="00D91704">
        <w:rPr>
          <w:rFonts w:cs="Arial"/>
          <w:szCs w:val="24"/>
        </w:rPr>
        <w:t xml:space="preserve">v. </w:t>
      </w:r>
      <w:r w:rsidRPr="00D91704">
        <w:rPr>
          <w:rFonts w:cs="Arial"/>
          <w:i/>
          <w:iCs/>
          <w:szCs w:val="24"/>
        </w:rPr>
        <w:t>Ashton</w:t>
      </w:r>
      <w:r w:rsidR="00362F88">
        <w:rPr>
          <w:rStyle w:val="FootnoteReference"/>
          <w:rFonts w:cs="Arial"/>
          <w:i/>
          <w:iCs/>
          <w:szCs w:val="24"/>
        </w:rPr>
        <w:footnoteReference w:id="5"/>
      </w:r>
      <w:r w:rsidRPr="00D91704">
        <w:rPr>
          <w:rFonts w:cs="Arial"/>
          <w:szCs w:val="24"/>
        </w:rPr>
        <w:t>.</w:t>
      </w:r>
    </w:p>
    <w:p w:rsidR="00373E39" w:rsidRPr="00D91704" w:rsidRDefault="00373E39" w:rsidP="00FA1FA4">
      <w:pPr>
        <w:pStyle w:val="History"/>
        <w:rPr>
          <w:rFonts w:cs="Arial"/>
          <w:szCs w:val="24"/>
        </w:rPr>
      </w:pPr>
      <w:r w:rsidRPr="00D91704">
        <w:rPr>
          <w:rFonts w:cs="Arial"/>
          <w:szCs w:val="24"/>
        </w:rPr>
        <w:t xml:space="preserve">There was contradictory evidence as to the speed at which Gorman was driving, and the whole being consistent with the absence as well as with the existence of negligence a non-suit should have been granted. </w:t>
      </w:r>
      <w:r w:rsidRPr="00D91704">
        <w:rPr>
          <w:rFonts w:cs="Arial"/>
          <w:i/>
          <w:iCs/>
          <w:szCs w:val="24"/>
        </w:rPr>
        <w:t xml:space="preserve">Cotton </w:t>
      </w:r>
      <w:r w:rsidRPr="00D91704">
        <w:rPr>
          <w:rFonts w:cs="Arial"/>
          <w:szCs w:val="24"/>
        </w:rPr>
        <w:t xml:space="preserve">v. </w:t>
      </w:r>
      <w:r w:rsidRPr="00D91704">
        <w:rPr>
          <w:rFonts w:cs="Arial"/>
          <w:i/>
          <w:iCs/>
          <w:szCs w:val="24"/>
        </w:rPr>
        <w:t>Wood</w:t>
      </w:r>
      <w:r w:rsidR="00362F88">
        <w:rPr>
          <w:rStyle w:val="FootnoteReference"/>
          <w:rFonts w:cs="Arial"/>
          <w:i/>
          <w:iCs/>
          <w:szCs w:val="24"/>
        </w:rPr>
        <w:footnoteReference w:id="6"/>
      </w:r>
      <w:r w:rsidRPr="00D91704">
        <w:rPr>
          <w:rFonts w:cs="Arial"/>
          <w:szCs w:val="24"/>
        </w:rPr>
        <w:t>.</w:t>
      </w:r>
    </w:p>
    <w:p w:rsidR="00373E39" w:rsidRPr="00D91704" w:rsidRDefault="00373E39" w:rsidP="00FA1FA4">
      <w:pPr>
        <w:pStyle w:val="History"/>
        <w:rPr>
          <w:rFonts w:cs="Arial"/>
          <w:szCs w:val="24"/>
        </w:rPr>
      </w:pPr>
      <w:r w:rsidRPr="00D91704">
        <w:rPr>
          <w:rFonts w:cs="Arial"/>
          <w:i/>
          <w:iCs/>
          <w:szCs w:val="24"/>
        </w:rPr>
        <w:t xml:space="preserve">Armstrong </w:t>
      </w:r>
      <w:r w:rsidRPr="00D91704">
        <w:rPr>
          <w:rFonts w:cs="Arial"/>
          <w:szCs w:val="24"/>
        </w:rPr>
        <w:t>Q.C. for the respondent was not called upon.</w:t>
      </w:r>
    </w:p>
    <w:p w:rsidR="00373E39" w:rsidRPr="00D91704" w:rsidRDefault="00373E39" w:rsidP="00FA1FA4">
      <w:pPr>
        <w:pStyle w:val="Reasons"/>
      </w:pPr>
      <w:r w:rsidRPr="00D91704">
        <w:t>The judgment of the court was delivered by:</w:t>
      </w:r>
    </w:p>
    <w:p w:rsidR="00373E39" w:rsidRPr="00D91704" w:rsidRDefault="00A6519D" w:rsidP="00A6519D">
      <w:pPr>
        <w:pStyle w:val="Page"/>
      </w:pPr>
      <w:r>
        <w:rPr>
          <w:rFonts w:cs="Arial"/>
          <w:szCs w:val="24"/>
        </w:rPr>
        <w:t xml:space="preserve">[Page </w:t>
      </w:r>
      <w:r w:rsidR="00373E39" w:rsidRPr="00D91704">
        <w:rPr>
          <w:rFonts w:cs="Arial"/>
          <w:szCs w:val="24"/>
        </w:rPr>
        <w:t>152]</w:t>
      </w:r>
    </w:p>
    <w:p w:rsidR="00373E39" w:rsidRPr="00D91704" w:rsidRDefault="00FA1FA4" w:rsidP="00FA1FA4">
      <w:pPr>
        <w:pStyle w:val="Reasons"/>
        <w:rPr>
          <w:rFonts w:cs="Arial"/>
          <w:szCs w:val="24"/>
        </w:rPr>
      </w:pPr>
      <w:r w:rsidRPr="00FA1FA4">
        <w:rPr>
          <w:rFonts w:cs="Arial"/>
          <w:szCs w:val="24"/>
        </w:rPr>
        <w:t>THE CHIEF JUSTICE</w:t>
      </w:r>
      <w:r w:rsidRPr="00D91704">
        <w:rPr>
          <w:rFonts w:cs="Arial"/>
          <w:smallCaps/>
          <w:szCs w:val="24"/>
        </w:rPr>
        <w:t xml:space="preserve"> </w:t>
      </w:r>
      <w:r w:rsidR="00373E39" w:rsidRPr="00D91704">
        <w:rPr>
          <w:rFonts w:cs="Arial"/>
          <w:szCs w:val="24"/>
        </w:rPr>
        <w:t xml:space="preserve">(Oral):—We are all of opinion that this appeal should be dismissed. Negligence by the servant of the appellant is clearly proved, in fact there could not be a stronger case, and the defence as to contributory negligence entirely fails, not only on the authority of </w:t>
      </w:r>
      <w:r w:rsidR="00373E39" w:rsidRPr="00D91704">
        <w:rPr>
          <w:rFonts w:cs="Arial"/>
          <w:i/>
          <w:iCs/>
          <w:szCs w:val="24"/>
        </w:rPr>
        <w:t xml:space="preserve">Davies </w:t>
      </w:r>
      <w:r w:rsidR="00373E39" w:rsidRPr="00D91704">
        <w:rPr>
          <w:rFonts w:cs="Arial"/>
          <w:szCs w:val="24"/>
        </w:rPr>
        <w:t xml:space="preserve">v. </w:t>
      </w:r>
      <w:r w:rsidR="00373E39" w:rsidRPr="00D91704">
        <w:rPr>
          <w:rFonts w:cs="Arial"/>
          <w:i/>
          <w:iCs/>
          <w:szCs w:val="24"/>
        </w:rPr>
        <w:t>Mann</w:t>
      </w:r>
      <w:r w:rsidR="00362F88">
        <w:rPr>
          <w:rStyle w:val="FootnoteReference"/>
          <w:rFonts w:cs="Arial"/>
          <w:i/>
          <w:iCs/>
          <w:szCs w:val="24"/>
        </w:rPr>
        <w:footnoteReference w:id="7"/>
      </w:r>
      <w:r w:rsidR="00373E39" w:rsidRPr="00D91704">
        <w:rPr>
          <w:rFonts w:cs="Arial"/>
          <w:szCs w:val="24"/>
        </w:rPr>
        <w:t xml:space="preserve">, but also on the opinions expressed in </w:t>
      </w:r>
      <w:r w:rsidR="00373E39" w:rsidRPr="00D91704">
        <w:rPr>
          <w:rFonts w:cs="Arial"/>
          <w:i/>
          <w:iCs/>
          <w:szCs w:val="24"/>
        </w:rPr>
        <w:t>Gardner v. Grace</w:t>
      </w:r>
      <w:r w:rsidR="00362F88">
        <w:rPr>
          <w:rStyle w:val="FootnoteReference"/>
          <w:rFonts w:cs="Arial"/>
          <w:i/>
          <w:iCs/>
          <w:szCs w:val="24"/>
        </w:rPr>
        <w:footnoteReference w:id="8"/>
      </w:r>
      <w:r w:rsidR="00373E39" w:rsidRPr="00D91704">
        <w:rPr>
          <w:rFonts w:cs="Arial"/>
          <w:szCs w:val="24"/>
        </w:rPr>
        <w:t xml:space="preserve">, where the cause of action was an injury to a child of three years of </w:t>
      </w:r>
      <w:r w:rsidR="00373E39" w:rsidRPr="00D91704">
        <w:rPr>
          <w:rFonts w:cs="Arial"/>
          <w:szCs w:val="24"/>
        </w:rPr>
        <w:lastRenderedPageBreak/>
        <w:t>age. In that case Channell B. said:</w:t>
      </w:r>
    </w:p>
    <w:p w:rsidR="00373E39" w:rsidRPr="00D91704" w:rsidRDefault="00373E39" w:rsidP="00FA1FA4">
      <w:pPr>
        <w:pStyle w:val="Indent1"/>
      </w:pPr>
      <w:r w:rsidRPr="00D91704">
        <w:t>The doctrine of contributory negligence does not apply to an infant of tender age. To disentitle the plaintiff to recover, it must be shown that the injury was occasioned entirely by his own negligence.</w:t>
      </w:r>
    </w:p>
    <w:p w:rsidR="00373E39" w:rsidRPr="00D91704" w:rsidRDefault="00373E39" w:rsidP="00FA1FA4">
      <w:pPr>
        <w:pStyle w:val="Reasons"/>
        <w:rPr>
          <w:rFonts w:cs="Arial"/>
          <w:szCs w:val="24"/>
        </w:rPr>
      </w:pPr>
      <w:r w:rsidRPr="00D91704">
        <w:rPr>
          <w:rFonts w:cs="Arial"/>
          <w:szCs w:val="24"/>
        </w:rPr>
        <w:t>This seems to be the result of the cases, English as well as American, though there may be some contradictory decisions.</w:t>
      </w:r>
    </w:p>
    <w:p w:rsidR="00373E39" w:rsidRPr="00D91704" w:rsidRDefault="00373E39" w:rsidP="00FA1FA4">
      <w:pPr>
        <w:pStyle w:val="Reasons"/>
        <w:rPr>
          <w:rFonts w:cs="Arial"/>
          <w:szCs w:val="24"/>
        </w:rPr>
      </w:pPr>
      <w:r w:rsidRPr="00D91704">
        <w:rPr>
          <w:rFonts w:cs="Arial"/>
          <w:szCs w:val="24"/>
        </w:rPr>
        <w:t>A new trial is asked for on the ground of the improper admission of the evidence of the nurse who attended the plaintiff’s child, that in her opinion a urinary trouble with which the child was affected resulted from the accident. I cannot find in the record that any such opinion was expressed by the nurse, but if it was, we could reject her evidence altogether and still maintain the verdict.</w:t>
      </w:r>
    </w:p>
    <w:p w:rsidR="00373E39" w:rsidRPr="00D91704" w:rsidRDefault="00373E39" w:rsidP="00FA1FA4">
      <w:pPr>
        <w:pStyle w:val="Reasons"/>
        <w:rPr>
          <w:rFonts w:cs="Arial"/>
          <w:szCs w:val="24"/>
        </w:rPr>
      </w:pPr>
      <w:r w:rsidRPr="00D91704">
        <w:rPr>
          <w:rFonts w:cs="Arial"/>
          <w:szCs w:val="24"/>
        </w:rPr>
        <w:t xml:space="preserve">The case was tried by a judge without a jury, and the position of a Court of Appeal in such a case, as distinguished from a case tried with a jury, is clearly pointed out by Bramwell B. in the case of </w:t>
      </w:r>
      <w:r w:rsidRPr="00D91704">
        <w:rPr>
          <w:rFonts w:cs="Arial"/>
          <w:i/>
          <w:iCs/>
          <w:szCs w:val="24"/>
        </w:rPr>
        <w:t xml:space="preserve">Jones </w:t>
      </w:r>
      <w:r w:rsidRPr="00D91704">
        <w:rPr>
          <w:rFonts w:cs="Arial"/>
          <w:szCs w:val="24"/>
        </w:rPr>
        <w:t xml:space="preserve">v. </w:t>
      </w:r>
      <w:r w:rsidRPr="00D91704">
        <w:rPr>
          <w:rFonts w:cs="Arial"/>
          <w:i/>
          <w:iCs/>
          <w:szCs w:val="24"/>
        </w:rPr>
        <w:t>Hough</w:t>
      </w:r>
      <w:r w:rsidR="00362F88">
        <w:rPr>
          <w:rStyle w:val="FootnoteReference"/>
          <w:rFonts w:cs="Arial"/>
          <w:i/>
          <w:iCs/>
          <w:szCs w:val="24"/>
        </w:rPr>
        <w:footnoteReference w:id="9"/>
      </w:r>
      <w:r w:rsidRPr="00D91704">
        <w:rPr>
          <w:rFonts w:cs="Arial"/>
          <w:szCs w:val="24"/>
        </w:rPr>
        <w:t>, in these words:</w:t>
      </w:r>
    </w:p>
    <w:p w:rsidR="00373E39" w:rsidRPr="00D91704" w:rsidRDefault="00373E39" w:rsidP="00FA1FA4">
      <w:pPr>
        <w:pStyle w:val="Indent1"/>
      </w:pPr>
      <w:r w:rsidRPr="00D91704">
        <w:t>A great difference exists between a finding by a judge and a finding by the jury. Where the jury find the facts the court cannot be substituted for them, because the parties have agreed that the facts shall be decided by a jury; but where the judge finds the facts there the Court of Appeal has the same jurisdiction that he has, and can find the facts whichever way they like.</w:t>
      </w:r>
    </w:p>
    <w:p w:rsidR="00373E39" w:rsidRPr="00D91704" w:rsidRDefault="00A6519D" w:rsidP="00A6519D">
      <w:pPr>
        <w:pStyle w:val="Page"/>
      </w:pPr>
      <w:r>
        <w:rPr>
          <w:rFonts w:cs="Arial"/>
          <w:szCs w:val="24"/>
        </w:rPr>
        <w:t xml:space="preserve">[Page </w:t>
      </w:r>
      <w:r w:rsidR="00373E39" w:rsidRPr="00D91704">
        <w:rPr>
          <w:rFonts w:cs="Arial"/>
          <w:szCs w:val="24"/>
        </w:rPr>
        <w:t>153]</w:t>
      </w:r>
    </w:p>
    <w:p w:rsidR="00373E39" w:rsidRPr="00D91704" w:rsidRDefault="00373E39" w:rsidP="00FA1FA4">
      <w:pPr>
        <w:pStyle w:val="Reasons"/>
        <w:rPr>
          <w:rFonts w:cs="Arial"/>
          <w:szCs w:val="24"/>
        </w:rPr>
      </w:pPr>
      <w:r w:rsidRPr="00D91704">
        <w:rPr>
          <w:rFonts w:cs="Arial"/>
          <w:szCs w:val="24"/>
        </w:rPr>
        <w:t xml:space="preserve">Another point argued was that Gorman was not in the employ of the defendant when the accident happened. That he was in such employ at the time there can, in our opinion, be no doubt. </w:t>
      </w:r>
      <w:r w:rsidRPr="00D91704">
        <w:rPr>
          <w:rFonts w:cs="Arial"/>
          <w:i/>
          <w:iCs/>
          <w:szCs w:val="24"/>
        </w:rPr>
        <w:t xml:space="preserve">Whatman </w:t>
      </w:r>
      <w:r w:rsidRPr="00D91704">
        <w:rPr>
          <w:rFonts w:cs="Arial"/>
          <w:szCs w:val="24"/>
        </w:rPr>
        <w:t xml:space="preserve">v. </w:t>
      </w:r>
      <w:r w:rsidRPr="00D91704">
        <w:rPr>
          <w:rFonts w:cs="Arial"/>
          <w:i/>
          <w:iCs/>
          <w:szCs w:val="24"/>
        </w:rPr>
        <w:t>Pearson</w:t>
      </w:r>
      <w:r w:rsidR="00362F88">
        <w:rPr>
          <w:rStyle w:val="FootnoteReference"/>
          <w:rFonts w:cs="Arial"/>
          <w:i/>
          <w:iCs/>
          <w:szCs w:val="24"/>
        </w:rPr>
        <w:footnoteReference w:id="10"/>
      </w:r>
      <w:r w:rsidRPr="00D91704">
        <w:rPr>
          <w:rFonts w:cs="Arial"/>
          <w:szCs w:val="24"/>
        </w:rPr>
        <w:t xml:space="preserve"> was a stronger case than the one before us, and I do not think the learned counsel has been successful in his attempt to distinguish it from the present. Though Gorman had for a time abandoned his master’s business, he had resumed it when he started out to deliver the remaining parcel just as much as if he had returned to the store and made a fresh start.</w:t>
      </w:r>
    </w:p>
    <w:p w:rsidR="00373E39" w:rsidRPr="00D91704" w:rsidRDefault="00373E39" w:rsidP="00FA1FA4">
      <w:pPr>
        <w:pStyle w:val="Reasons"/>
        <w:rPr>
          <w:rFonts w:cs="Arial"/>
          <w:szCs w:val="24"/>
        </w:rPr>
      </w:pPr>
      <w:r w:rsidRPr="00D91704">
        <w:rPr>
          <w:rFonts w:cs="Arial"/>
          <w:szCs w:val="24"/>
        </w:rPr>
        <w:lastRenderedPageBreak/>
        <w:t>As to damages Mr. Justice Hanington, in giving judgment in the court below on the motion for a new trial, says:</w:t>
      </w:r>
    </w:p>
    <w:p w:rsidR="00373E39" w:rsidRPr="00D91704" w:rsidRDefault="00373E39" w:rsidP="00FA1FA4">
      <w:pPr>
        <w:pStyle w:val="Indent1"/>
      </w:pPr>
      <w:r w:rsidRPr="00D91704">
        <w:t xml:space="preserve">This case comes clearly within the doctrine laid down in </w:t>
      </w:r>
      <w:r w:rsidRPr="00D91704">
        <w:rPr>
          <w:i/>
          <w:iCs/>
        </w:rPr>
        <w:t xml:space="preserve">Whatman </w:t>
      </w:r>
      <w:r w:rsidRPr="00D91704">
        <w:t xml:space="preserve">v. </w:t>
      </w:r>
      <w:r w:rsidRPr="00D91704">
        <w:rPr>
          <w:i/>
          <w:iCs/>
        </w:rPr>
        <w:t>Pearson</w:t>
      </w:r>
      <w:r w:rsidRPr="00D91704">
        <w:t>(1). If there is any cause for complaint it is that the damages are too small.</w:t>
      </w:r>
    </w:p>
    <w:p w:rsidR="00373E39" w:rsidRPr="00D91704" w:rsidRDefault="00373E39" w:rsidP="00FA1FA4">
      <w:pPr>
        <w:pStyle w:val="Reasons"/>
        <w:rPr>
          <w:rFonts w:cs="Arial"/>
          <w:szCs w:val="24"/>
        </w:rPr>
      </w:pPr>
      <w:r w:rsidRPr="00D91704">
        <w:rPr>
          <w:rFonts w:cs="Arial"/>
          <w:szCs w:val="24"/>
        </w:rPr>
        <w:t>In this I entirely concur.</w:t>
      </w:r>
    </w:p>
    <w:p w:rsidR="00373E39" w:rsidRPr="00D91704" w:rsidRDefault="00373E39" w:rsidP="00FA1FA4">
      <w:pPr>
        <w:pStyle w:val="Reasons"/>
        <w:rPr>
          <w:rFonts w:cs="Arial"/>
          <w:szCs w:val="24"/>
        </w:rPr>
      </w:pPr>
      <w:r w:rsidRPr="00D91704">
        <w:rPr>
          <w:rFonts w:cs="Arial"/>
          <w:szCs w:val="24"/>
        </w:rPr>
        <w:t>I think the learned judge who tried the case was right in his findings as to the facts, as well as in his ruling as to the law.</w:t>
      </w:r>
    </w:p>
    <w:p w:rsidR="00373E39" w:rsidRPr="00D91704" w:rsidRDefault="00373E39" w:rsidP="00FA1FA4">
      <w:pPr>
        <w:pStyle w:val="Reasons"/>
        <w:rPr>
          <w:rFonts w:cs="Arial"/>
          <w:szCs w:val="24"/>
        </w:rPr>
      </w:pPr>
      <w:r w:rsidRPr="00D91704">
        <w:rPr>
          <w:rFonts w:cs="Arial"/>
          <w:szCs w:val="24"/>
        </w:rPr>
        <w:t>The appeal should be dismissed with costs.</w:t>
      </w:r>
    </w:p>
    <w:p w:rsidR="00373E39" w:rsidRPr="00FA1FA4" w:rsidRDefault="00373E39" w:rsidP="00FA1FA4">
      <w:pPr>
        <w:pStyle w:val="Reasons"/>
      </w:pPr>
      <w:r w:rsidRPr="00FA1FA4">
        <w:t>Appeal dismissed with costs.</w:t>
      </w:r>
    </w:p>
    <w:p w:rsidR="00373E39" w:rsidRPr="00D91704" w:rsidRDefault="00373E39" w:rsidP="00FA1FA4">
      <w:pPr>
        <w:pStyle w:val="Sollicitors"/>
        <w:rPr>
          <w:iCs/>
        </w:rPr>
      </w:pPr>
      <w:r w:rsidRPr="00D91704">
        <w:t xml:space="preserve">Solicitor for the appellant: </w:t>
      </w:r>
      <w:r w:rsidRPr="00D91704">
        <w:rPr>
          <w:iCs/>
        </w:rPr>
        <w:t>C. A. Stockton.</w:t>
      </w:r>
    </w:p>
    <w:p w:rsidR="003824D9" w:rsidRDefault="00373E39" w:rsidP="00FA1FA4">
      <w:pPr>
        <w:pStyle w:val="Sollicitors"/>
      </w:pPr>
      <w:r w:rsidRPr="00D91704">
        <w:t xml:space="preserve">Solicitor for the respondent: </w:t>
      </w:r>
      <w:r w:rsidRPr="00D91704">
        <w:rPr>
          <w:iCs/>
        </w:rPr>
        <w:t>J.</w:t>
      </w:r>
      <w:r w:rsidRPr="00D91704">
        <w:t xml:space="preserve"> </w:t>
      </w:r>
      <w:r w:rsidRPr="00D91704">
        <w:rPr>
          <w:iCs/>
        </w:rPr>
        <w:t>R. Armstrong.</w:t>
      </w:r>
    </w:p>
    <w:sectPr w:rsidR="003824D9" w:rsidSect="00A337B0">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B53" w:rsidRDefault="00331B53" w:rsidP="00A337B0">
      <w:r>
        <w:separator/>
      </w:r>
    </w:p>
  </w:endnote>
  <w:endnote w:type="continuationSeparator" w:id="1">
    <w:p w:rsidR="00331B53" w:rsidRDefault="00331B53" w:rsidP="00A337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B0" w:rsidRDefault="00A337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B0" w:rsidRDefault="00A337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B0" w:rsidRPr="00230A7A" w:rsidRDefault="00A337B0" w:rsidP="00A337B0">
    <w:pPr>
      <w:pStyle w:val="Footer"/>
      <w:rPr>
        <w:rFonts w:ascii="Arial" w:hAnsi="Arial" w:cs="Arial"/>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B53" w:rsidRDefault="00331B53" w:rsidP="00A337B0">
      <w:r>
        <w:separator/>
      </w:r>
    </w:p>
  </w:footnote>
  <w:footnote w:type="continuationSeparator" w:id="1">
    <w:p w:rsidR="00331B53" w:rsidRDefault="00331B53" w:rsidP="00A337B0">
      <w:r>
        <w:continuationSeparator/>
      </w:r>
    </w:p>
  </w:footnote>
  <w:footnote w:id="2">
    <w:p w:rsidR="00362F88" w:rsidRPr="00362F88" w:rsidRDefault="00362F88">
      <w:pPr>
        <w:pStyle w:val="FootnoteText"/>
        <w:rPr>
          <w:lang w:val="en-US"/>
        </w:rPr>
      </w:pPr>
      <w:r>
        <w:rPr>
          <w:rStyle w:val="FootnoteReference"/>
        </w:rPr>
        <w:footnoteRef/>
      </w:r>
      <w:r>
        <w:t xml:space="preserve"> </w:t>
      </w:r>
      <w:r w:rsidRPr="00D91704">
        <w:rPr>
          <w:rFonts w:cs="Arial"/>
          <w:smallCaps/>
          <w:szCs w:val="24"/>
        </w:rPr>
        <w:t xml:space="preserve">33 </w:t>
      </w:r>
      <w:r w:rsidRPr="00D91704">
        <w:rPr>
          <w:rFonts w:cs="Arial"/>
          <w:szCs w:val="24"/>
        </w:rPr>
        <w:t xml:space="preserve">N. B. Rep. </w:t>
      </w:r>
      <w:r w:rsidRPr="00D91704">
        <w:rPr>
          <w:rFonts w:cs="Arial"/>
          <w:smallCaps/>
          <w:szCs w:val="24"/>
        </w:rPr>
        <w:t>91.</w:t>
      </w:r>
    </w:p>
  </w:footnote>
  <w:footnote w:id="3">
    <w:p w:rsidR="00362F88" w:rsidRPr="00362F88" w:rsidRDefault="00362F88">
      <w:pPr>
        <w:pStyle w:val="FootnoteText"/>
        <w:rPr>
          <w:lang w:val="en-US"/>
        </w:rPr>
      </w:pPr>
      <w:r>
        <w:rPr>
          <w:rStyle w:val="FootnoteReference"/>
        </w:rPr>
        <w:footnoteRef/>
      </w:r>
      <w:r>
        <w:t xml:space="preserve"> </w:t>
      </w:r>
      <w:r w:rsidRPr="00D91704">
        <w:rPr>
          <w:rFonts w:cs="Arial"/>
          <w:szCs w:val="24"/>
        </w:rPr>
        <w:t>2 C. P. D. 357.</w:t>
      </w:r>
    </w:p>
  </w:footnote>
  <w:footnote w:id="4">
    <w:p w:rsidR="00362F88" w:rsidRPr="00362F88" w:rsidRDefault="00362F88">
      <w:pPr>
        <w:pStyle w:val="FootnoteText"/>
        <w:rPr>
          <w:lang w:val="en-US"/>
        </w:rPr>
      </w:pPr>
      <w:r>
        <w:rPr>
          <w:rStyle w:val="FootnoteReference"/>
        </w:rPr>
        <w:footnoteRef/>
      </w:r>
      <w:r>
        <w:t xml:space="preserve"> </w:t>
      </w:r>
      <w:r w:rsidRPr="00D91704">
        <w:rPr>
          <w:rFonts w:cs="Arial"/>
          <w:szCs w:val="24"/>
        </w:rPr>
        <w:t>13 C. B. 237.</w:t>
      </w:r>
    </w:p>
  </w:footnote>
  <w:footnote w:id="5">
    <w:p w:rsidR="00362F88" w:rsidRPr="00362F88" w:rsidRDefault="00362F88">
      <w:pPr>
        <w:pStyle w:val="FootnoteText"/>
        <w:rPr>
          <w:lang w:val="en-US"/>
        </w:rPr>
      </w:pPr>
      <w:r>
        <w:rPr>
          <w:rStyle w:val="FootnoteReference"/>
        </w:rPr>
        <w:footnoteRef/>
      </w:r>
      <w:r>
        <w:t xml:space="preserve"> </w:t>
      </w:r>
      <w:r w:rsidRPr="00D91704">
        <w:rPr>
          <w:rFonts w:cs="Arial"/>
          <w:szCs w:val="24"/>
        </w:rPr>
        <w:t>L. R. 4 Q. B. 476.</w:t>
      </w:r>
    </w:p>
  </w:footnote>
  <w:footnote w:id="6">
    <w:p w:rsidR="00362F88" w:rsidRPr="00362F88" w:rsidRDefault="00362F88">
      <w:pPr>
        <w:pStyle w:val="FootnoteText"/>
        <w:rPr>
          <w:lang w:val="en-US"/>
        </w:rPr>
      </w:pPr>
      <w:r>
        <w:rPr>
          <w:rStyle w:val="FootnoteReference"/>
        </w:rPr>
        <w:footnoteRef/>
      </w:r>
      <w:r>
        <w:t xml:space="preserve"> </w:t>
      </w:r>
      <w:r w:rsidRPr="00D91704">
        <w:rPr>
          <w:rFonts w:cs="Arial"/>
          <w:szCs w:val="24"/>
        </w:rPr>
        <w:t>8 C. B. N. S. 568.</w:t>
      </w:r>
    </w:p>
  </w:footnote>
  <w:footnote w:id="7">
    <w:p w:rsidR="00362F88" w:rsidRPr="00362F88" w:rsidRDefault="00362F88">
      <w:pPr>
        <w:pStyle w:val="FootnoteText"/>
        <w:rPr>
          <w:lang w:val="en-US"/>
        </w:rPr>
      </w:pPr>
      <w:r>
        <w:rPr>
          <w:rStyle w:val="FootnoteReference"/>
        </w:rPr>
        <w:footnoteRef/>
      </w:r>
      <w:r>
        <w:t xml:space="preserve"> </w:t>
      </w:r>
      <w:r w:rsidRPr="00D91704">
        <w:rPr>
          <w:rFonts w:cs="Arial"/>
          <w:szCs w:val="24"/>
        </w:rPr>
        <w:t>10 M. &amp; W. 546.</w:t>
      </w:r>
    </w:p>
  </w:footnote>
  <w:footnote w:id="8">
    <w:p w:rsidR="00362F88" w:rsidRPr="00362F88" w:rsidRDefault="00362F88">
      <w:pPr>
        <w:pStyle w:val="FootnoteText"/>
        <w:rPr>
          <w:lang w:val="en-US"/>
        </w:rPr>
      </w:pPr>
      <w:r>
        <w:rPr>
          <w:rStyle w:val="FootnoteReference"/>
        </w:rPr>
        <w:footnoteRef/>
      </w:r>
      <w:r>
        <w:t xml:space="preserve"> </w:t>
      </w:r>
      <w:r w:rsidRPr="00D91704">
        <w:rPr>
          <w:rFonts w:cs="Arial"/>
          <w:szCs w:val="24"/>
        </w:rPr>
        <w:t>1 F. &amp; F. 359.</w:t>
      </w:r>
    </w:p>
  </w:footnote>
  <w:footnote w:id="9">
    <w:p w:rsidR="00362F88" w:rsidRPr="00362F88" w:rsidRDefault="00362F88">
      <w:pPr>
        <w:pStyle w:val="FootnoteText"/>
        <w:rPr>
          <w:lang w:val="en-US"/>
        </w:rPr>
      </w:pPr>
      <w:r>
        <w:rPr>
          <w:rStyle w:val="FootnoteReference"/>
        </w:rPr>
        <w:footnoteRef/>
      </w:r>
      <w:r>
        <w:t xml:space="preserve"> </w:t>
      </w:r>
      <w:r w:rsidRPr="00D91704">
        <w:rPr>
          <w:rFonts w:cs="Arial"/>
          <w:szCs w:val="24"/>
        </w:rPr>
        <w:t>5 Ex. D. 122.</w:t>
      </w:r>
    </w:p>
  </w:footnote>
  <w:footnote w:id="10">
    <w:p w:rsidR="00362F88" w:rsidRPr="00362F88" w:rsidRDefault="00362F88">
      <w:pPr>
        <w:pStyle w:val="FootnoteText"/>
        <w:rPr>
          <w:lang w:val="en-US"/>
        </w:rPr>
      </w:pPr>
      <w:r>
        <w:rPr>
          <w:rStyle w:val="FootnoteReference"/>
        </w:rPr>
        <w:footnoteRef/>
      </w:r>
      <w:r>
        <w:t xml:space="preserve"> </w:t>
      </w:r>
      <w:r>
        <w:rPr>
          <w:lang w:val="en-US"/>
        </w:rPr>
        <w:t>L. R. 3 C. P. 422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B0" w:rsidRDefault="00A337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B0" w:rsidRPr="00230A7A" w:rsidRDefault="00A337B0" w:rsidP="00A337B0">
    <w:pPr>
      <w:pStyle w:val="Footer"/>
      <w:rPr>
        <w:rFonts w:ascii="Arial" w:hAnsi="Arial" w:cs="Arial"/>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B0" w:rsidRDefault="00A337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3D62D6E">
      <w:start w:val="1"/>
      <w:numFmt w:val="decimal"/>
      <w:pStyle w:val="ParagNum"/>
      <w:lvlText w:val="[%1]"/>
      <w:lvlJc w:val="left"/>
      <w:pPr>
        <w:tabs>
          <w:tab w:val="num" w:pos="369"/>
        </w:tabs>
        <w:ind w:left="369" w:hanging="369"/>
      </w:pPr>
    </w:lvl>
    <w:lvl w:ilvl="1" w:tplc="3FDEBBF2" w:tentative="1">
      <w:start w:val="1"/>
      <w:numFmt w:val="lowerLetter"/>
      <w:lvlText w:val="%2."/>
      <w:lvlJc w:val="left"/>
      <w:pPr>
        <w:tabs>
          <w:tab w:val="num" w:pos="1440"/>
        </w:tabs>
        <w:ind w:left="1440" w:hanging="360"/>
      </w:pPr>
    </w:lvl>
    <w:lvl w:ilvl="2" w:tplc="C840E9F2" w:tentative="1">
      <w:start w:val="1"/>
      <w:numFmt w:val="lowerRoman"/>
      <w:lvlText w:val="%3."/>
      <w:lvlJc w:val="right"/>
      <w:pPr>
        <w:tabs>
          <w:tab w:val="num" w:pos="2160"/>
        </w:tabs>
        <w:ind w:left="2160" w:hanging="180"/>
      </w:pPr>
    </w:lvl>
    <w:lvl w:ilvl="3" w:tplc="9A4CE890" w:tentative="1">
      <w:start w:val="1"/>
      <w:numFmt w:val="decimal"/>
      <w:lvlText w:val="%4."/>
      <w:lvlJc w:val="left"/>
      <w:pPr>
        <w:tabs>
          <w:tab w:val="num" w:pos="2880"/>
        </w:tabs>
        <w:ind w:left="2880" w:hanging="360"/>
      </w:pPr>
    </w:lvl>
    <w:lvl w:ilvl="4" w:tplc="8AB8472C" w:tentative="1">
      <w:start w:val="1"/>
      <w:numFmt w:val="lowerLetter"/>
      <w:lvlText w:val="%5."/>
      <w:lvlJc w:val="left"/>
      <w:pPr>
        <w:tabs>
          <w:tab w:val="num" w:pos="3600"/>
        </w:tabs>
        <w:ind w:left="3600" w:hanging="360"/>
      </w:pPr>
    </w:lvl>
    <w:lvl w:ilvl="5" w:tplc="B0F65F9A" w:tentative="1">
      <w:start w:val="1"/>
      <w:numFmt w:val="lowerRoman"/>
      <w:lvlText w:val="%6."/>
      <w:lvlJc w:val="right"/>
      <w:pPr>
        <w:tabs>
          <w:tab w:val="num" w:pos="4320"/>
        </w:tabs>
        <w:ind w:left="4320" w:hanging="180"/>
      </w:pPr>
    </w:lvl>
    <w:lvl w:ilvl="6" w:tplc="1B920768" w:tentative="1">
      <w:start w:val="1"/>
      <w:numFmt w:val="decimal"/>
      <w:lvlText w:val="%7."/>
      <w:lvlJc w:val="left"/>
      <w:pPr>
        <w:tabs>
          <w:tab w:val="num" w:pos="5040"/>
        </w:tabs>
        <w:ind w:left="5040" w:hanging="360"/>
      </w:pPr>
    </w:lvl>
    <w:lvl w:ilvl="7" w:tplc="913AE1D2" w:tentative="1">
      <w:start w:val="1"/>
      <w:numFmt w:val="lowerLetter"/>
      <w:lvlText w:val="%8."/>
      <w:lvlJc w:val="left"/>
      <w:pPr>
        <w:tabs>
          <w:tab w:val="num" w:pos="5760"/>
        </w:tabs>
        <w:ind w:left="5760" w:hanging="360"/>
      </w:pPr>
    </w:lvl>
    <w:lvl w:ilvl="8" w:tplc="F24036D2"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73E39"/>
    <w:rsid w:val="00013FDA"/>
    <w:rsid w:val="000173FB"/>
    <w:rsid w:val="000655EC"/>
    <w:rsid w:val="0007721C"/>
    <w:rsid w:val="00077D2F"/>
    <w:rsid w:val="000B6688"/>
    <w:rsid w:val="000C3415"/>
    <w:rsid w:val="000D6B80"/>
    <w:rsid w:val="00121409"/>
    <w:rsid w:val="00125F0C"/>
    <w:rsid w:val="00126A8E"/>
    <w:rsid w:val="00177E13"/>
    <w:rsid w:val="001837F3"/>
    <w:rsid w:val="001D0D42"/>
    <w:rsid w:val="001D5C4A"/>
    <w:rsid w:val="001F6A76"/>
    <w:rsid w:val="002209AC"/>
    <w:rsid w:val="002428EB"/>
    <w:rsid w:val="00276375"/>
    <w:rsid w:val="002A74DD"/>
    <w:rsid w:val="002B30C5"/>
    <w:rsid w:val="002C186C"/>
    <w:rsid w:val="002D5E01"/>
    <w:rsid w:val="002F4F64"/>
    <w:rsid w:val="002F7D00"/>
    <w:rsid w:val="00331B53"/>
    <w:rsid w:val="00361108"/>
    <w:rsid w:val="00362F88"/>
    <w:rsid w:val="00373E39"/>
    <w:rsid w:val="003824D9"/>
    <w:rsid w:val="003E5AF5"/>
    <w:rsid w:val="003F602F"/>
    <w:rsid w:val="004277EE"/>
    <w:rsid w:val="0043543D"/>
    <w:rsid w:val="00442713"/>
    <w:rsid w:val="00457BC5"/>
    <w:rsid w:val="00463F5F"/>
    <w:rsid w:val="00482CDC"/>
    <w:rsid w:val="004C7ED4"/>
    <w:rsid w:val="004F7A6C"/>
    <w:rsid w:val="00511D93"/>
    <w:rsid w:val="00514003"/>
    <w:rsid w:val="00537980"/>
    <w:rsid w:val="00540A03"/>
    <w:rsid w:val="00563767"/>
    <w:rsid w:val="005667DA"/>
    <w:rsid w:val="00576CC9"/>
    <w:rsid w:val="00593C8B"/>
    <w:rsid w:val="005C05F7"/>
    <w:rsid w:val="00644967"/>
    <w:rsid w:val="006D2BED"/>
    <w:rsid w:val="006D6F42"/>
    <w:rsid w:val="006E5FEA"/>
    <w:rsid w:val="00747F2C"/>
    <w:rsid w:val="00751F7D"/>
    <w:rsid w:val="00771E5F"/>
    <w:rsid w:val="007969C4"/>
    <w:rsid w:val="007B3A90"/>
    <w:rsid w:val="007D6DD5"/>
    <w:rsid w:val="008027F3"/>
    <w:rsid w:val="008433A9"/>
    <w:rsid w:val="008550EF"/>
    <w:rsid w:val="00872F75"/>
    <w:rsid w:val="00880FBB"/>
    <w:rsid w:val="008B0B7A"/>
    <w:rsid w:val="0090184D"/>
    <w:rsid w:val="00912528"/>
    <w:rsid w:val="00926406"/>
    <w:rsid w:val="009A7B1B"/>
    <w:rsid w:val="009D37B6"/>
    <w:rsid w:val="009E64DC"/>
    <w:rsid w:val="00A337B0"/>
    <w:rsid w:val="00A42830"/>
    <w:rsid w:val="00A4371F"/>
    <w:rsid w:val="00A54E5B"/>
    <w:rsid w:val="00A61128"/>
    <w:rsid w:val="00A6519D"/>
    <w:rsid w:val="00A928C9"/>
    <w:rsid w:val="00A94C52"/>
    <w:rsid w:val="00AB09B8"/>
    <w:rsid w:val="00B007EC"/>
    <w:rsid w:val="00B177F7"/>
    <w:rsid w:val="00B41B49"/>
    <w:rsid w:val="00B532F0"/>
    <w:rsid w:val="00B639A4"/>
    <w:rsid w:val="00B65282"/>
    <w:rsid w:val="00B772A6"/>
    <w:rsid w:val="00BC4595"/>
    <w:rsid w:val="00C17A0C"/>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357"/>
    <w:rsid w:val="00E51D18"/>
    <w:rsid w:val="00E55FEF"/>
    <w:rsid w:val="00E86DF4"/>
    <w:rsid w:val="00EB3437"/>
    <w:rsid w:val="00EF2358"/>
    <w:rsid w:val="00F13669"/>
    <w:rsid w:val="00F177D8"/>
    <w:rsid w:val="00F60320"/>
    <w:rsid w:val="00F64D86"/>
    <w:rsid w:val="00FA1FA4"/>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519D"/>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A6519D"/>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A6519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6519D"/>
  </w:style>
  <w:style w:type="paragraph" w:styleId="Header">
    <w:name w:val="header"/>
    <w:basedOn w:val="Normal"/>
    <w:link w:val="HeaderChar"/>
    <w:uiPriority w:val="99"/>
    <w:unhideWhenUsed/>
    <w:rsid w:val="00A6519D"/>
    <w:pPr>
      <w:tabs>
        <w:tab w:val="center" w:pos="4680"/>
        <w:tab w:val="right" w:pos="9360"/>
      </w:tabs>
    </w:pPr>
    <w:rPr>
      <w:rFonts w:ascii="Times New Roman" w:hAnsi="Times New Roman"/>
    </w:rPr>
  </w:style>
  <w:style w:type="character" w:customStyle="1" w:styleId="HeaderChar">
    <w:name w:val="Header Char"/>
    <w:link w:val="Header"/>
    <w:uiPriority w:val="99"/>
    <w:rsid w:val="00A6519D"/>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A6519D"/>
    <w:pPr>
      <w:tabs>
        <w:tab w:val="center" w:pos="4680"/>
        <w:tab w:val="right" w:pos="9360"/>
      </w:tabs>
    </w:pPr>
    <w:rPr>
      <w:rFonts w:ascii="Times New Roman" w:hAnsi="Times New Roman"/>
    </w:rPr>
  </w:style>
  <w:style w:type="character" w:customStyle="1" w:styleId="FooterChar">
    <w:name w:val="Footer Char"/>
    <w:link w:val="Footer"/>
    <w:uiPriority w:val="99"/>
    <w:rsid w:val="00A6519D"/>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0D6B8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6519D"/>
    <w:pPr>
      <w:spacing w:before="100" w:beforeAutospacing="1"/>
      <w:ind w:left="567"/>
      <w:jc w:val="both"/>
    </w:pPr>
  </w:style>
  <w:style w:type="paragraph" w:customStyle="1" w:styleId="Metadata">
    <w:name w:val="Metadata"/>
    <w:basedOn w:val="Normal"/>
    <w:rsid w:val="00A6519D"/>
    <w:pPr>
      <w:spacing w:before="100" w:beforeAutospacing="1" w:after="100" w:afterAutospacing="1"/>
    </w:pPr>
    <w:rPr>
      <w:rFonts w:cs="Arial"/>
      <w:szCs w:val="24"/>
    </w:rPr>
  </w:style>
  <w:style w:type="paragraph" w:customStyle="1" w:styleId="Page">
    <w:name w:val="Page"/>
    <w:basedOn w:val="Normal"/>
    <w:link w:val="PageChar"/>
    <w:rsid w:val="00A6519D"/>
    <w:pPr>
      <w:spacing w:before="100" w:beforeAutospacing="1" w:after="100" w:afterAutospacing="1"/>
    </w:pPr>
    <w:rPr>
      <w:i/>
    </w:rPr>
  </w:style>
  <w:style w:type="paragraph" w:styleId="FootnoteText">
    <w:name w:val="footnote text"/>
    <w:basedOn w:val="Normal"/>
    <w:link w:val="FootnoteTextChar"/>
    <w:autoRedefine/>
    <w:semiHidden/>
    <w:rsid w:val="00A6519D"/>
    <w:rPr>
      <w:sz w:val="16"/>
      <w:szCs w:val="20"/>
    </w:rPr>
  </w:style>
  <w:style w:type="character" w:customStyle="1" w:styleId="FootnoteTextChar">
    <w:name w:val="Footnote Text Char"/>
    <w:link w:val="FootnoteText"/>
    <w:semiHidden/>
    <w:rsid w:val="00A6519D"/>
    <w:rPr>
      <w:rFonts w:ascii="Arial" w:eastAsia="MS Mincho" w:hAnsi="Arial" w:cs="Times New Roman"/>
      <w:sz w:val="16"/>
      <w:szCs w:val="20"/>
      <w:lang w:val="en-CA" w:eastAsia="ja-JP"/>
    </w:rPr>
  </w:style>
  <w:style w:type="character" w:styleId="FootnoteReference">
    <w:name w:val="footnote reference"/>
    <w:semiHidden/>
    <w:rsid w:val="00A6519D"/>
    <w:rPr>
      <w:vertAlign w:val="superscript"/>
    </w:rPr>
  </w:style>
  <w:style w:type="paragraph" w:customStyle="1" w:styleId="ParagNum">
    <w:name w:val="ParagNum"/>
    <w:basedOn w:val="Normal"/>
    <w:rsid w:val="00A6519D"/>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6519D"/>
    <w:pPr>
      <w:spacing w:before="100" w:beforeAutospacing="1" w:after="100" w:afterAutospacing="1" w:line="360" w:lineRule="auto"/>
    </w:pPr>
  </w:style>
  <w:style w:type="paragraph" w:customStyle="1" w:styleId="Indent2">
    <w:name w:val="Indent 2"/>
    <w:basedOn w:val="Indent1"/>
    <w:rsid w:val="00A6519D"/>
    <w:pPr>
      <w:ind w:left="1134"/>
    </w:pPr>
  </w:style>
  <w:style w:type="paragraph" w:customStyle="1" w:styleId="Indent3">
    <w:name w:val="Indent 3"/>
    <w:basedOn w:val="Indent1"/>
    <w:rsid w:val="00A6519D"/>
    <w:pPr>
      <w:ind w:left="1701"/>
    </w:pPr>
  </w:style>
  <w:style w:type="paragraph" w:customStyle="1" w:styleId="Indent4">
    <w:name w:val="Indent 4"/>
    <w:basedOn w:val="Indent1"/>
    <w:rsid w:val="00A6519D"/>
    <w:pPr>
      <w:ind w:left="2268"/>
    </w:pPr>
  </w:style>
  <w:style w:type="paragraph" w:customStyle="1" w:styleId="Indent10">
    <w:name w:val="Indent1"/>
    <w:basedOn w:val="Reasons"/>
    <w:rsid w:val="00A6519D"/>
    <w:pPr>
      <w:ind w:left="567"/>
    </w:pPr>
  </w:style>
  <w:style w:type="paragraph" w:customStyle="1" w:styleId="Indent20">
    <w:name w:val="Indent2"/>
    <w:basedOn w:val="Indent10"/>
    <w:rsid w:val="00A6519D"/>
    <w:pPr>
      <w:ind w:left="1134"/>
    </w:pPr>
  </w:style>
  <w:style w:type="paragraph" w:customStyle="1" w:styleId="Indent30">
    <w:name w:val="Indent3"/>
    <w:basedOn w:val="Indent10"/>
    <w:rsid w:val="00A6519D"/>
    <w:pPr>
      <w:ind w:left="1701"/>
    </w:pPr>
  </w:style>
  <w:style w:type="paragraph" w:customStyle="1" w:styleId="Indent40">
    <w:name w:val="Indent4"/>
    <w:basedOn w:val="Indent10"/>
    <w:rsid w:val="00A6519D"/>
    <w:pPr>
      <w:ind w:left="2268"/>
    </w:pPr>
  </w:style>
  <w:style w:type="paragraph" w:customStyle="1" w:styleId="Keywords">
    <w:name w:val="Keywords"/>
    <w:basedOn w:val="Normal"/>
    <w:rsid w:val="00A6519D"/>
    <w:pPr>
      <w:spacing w:before="100" w:beforeAutospacing="1" w:after="100" w:afterAutospacing="1"/>
    </w:pPr>
    <w:rPr>
      <w:rFonts w:cs="Arial"/>
      <w:i/>
      <w:szCs w:val="24"/>
    </w:rPr>
  </w:style>
  <w:style w:type="paragraph" w:customStyle="1" w:styleId="Summary">
    <w:name w:val="Summary"/>
    <w:basedOn w:val="Normal"/>
    <w:autoRedefine/>
    <w:rsid w:val="00A6519D"/>
    <w:pPr>
      <w:spacing w:before="100" w:beforeAutospacing="1" w:after="100" w:afterAutospacing="1"/>
      <w:ind w:left="562" w:hanging="562"/>
    </w:pPr>
    <w:rPr>
      <w:rFonts w:cs="Arial"/>
    </w:rPr>
  </w:style>
  <w:style w:type="paragraph" w:customStyle="1" w:styleId="History">
    <w:name w:val="History"/>
    <w:basedOn w:val="Normal"/>
    <w:rsid w:val="00A6519D"/>
    <w:pPr>
      <w:spacing w:before="100" w:beforeAutospacing="1" w:after="100" w:afterAutospacing="1"/>
      <w:ind w:firstLine="567"/>
    </w:pPr>
  </w:style>
  <w:style w:type="paragraph" w:customStyle="1" w:styleId="T1">
    <w:name w:val="T1"/>
    <w:basedOn w:val="Normal"/>
    <w:rsid w:val="00A6519D"/>
    <w:pPr>
      <w:spacing w:before="240" w:after="100" w:afterAutospacing="1"/>
    </w:pPr>
    <w:rPr>
      <w:b/>
    </w:rPr>
  </w:style>
  <w:style w:type="paragraph" w:customStyle="1" w:styleId="T2">
    <w:name w:val="T2"/>
    <w:basedOn w:val="Normal"/>
    <w:rsid w:val="00A6519D"/>
    <w:pPr>
      <w:spacing w:before="240" w:after="100" w:afterAutospacing="1"/>
    </w:pPr>
  </w:style>
  <w:style w:type="paragraph" w:customStyle="1" w:styleId="Sollicitors">
    <w:name w:val="Sollicitors"/>
    <w:basedOn w:val="Normal"/>
    <w:rsid w:val="00A6519D"/>
    <w:pPr>
      <w:spacing w:before="100" w:beforeAutospacing="1" w:after="100" w:afterAutospacing="1"/>
    </w:pPr>
    <w:rPr>
      <w:i/>
    </w:rPr>
  </w:style>
  <w:style w:type="paragraph" w:customStyle="1" w:styleId="Court">
    <w:name w:val="Court"/>
    <w:basedOn w:val="Normal"/>
    <w:rsid w:val="00A6519D"/>
    <w:rPr>
      <w:rFonts w:cs="Arial"/>
      <w:b/>
      <w:szCs w:val="24"/>
    </w:rPr>
  </w:style>
  <w:style w:type="character" w:customStyle="1" w:styleId="PageChar">
    <w:name w:val="Page Char"/>
    <w:link w:val="Page"/>
    <w:rsid w:val="00A6519D"/>
    <w:rPr>
      <w:rFonts w:ascii="Arial" w:eastAsia="MS Mincho" w:hAnsi="Arial" w:cs="Times New Roman"/>
      <w:i/>
      <w:sz w:val="24"/>
      <w:szCs w:val="28"/>
      <w:lang w:val="en-CA" w:eastAsia="ja-JP"/>
    </w:rPr>
  </w:style>
  <w:style w:type="character" w:customStyle="1" w:styleId="ReasonsCar">
    <w:name w:val="Reasons Car"/>
    <w:link w:val="Reasons"/>
    <w:rsid w:val="00A6519D"/>
    <w:rPr>
      <w:rFonts w:ascii="Arial" w:eastAsia="MS Mincho" w:hAnsi="Arial" w:cs="Times New Roman"/>
      <w:sz w:val="24"/>
      <w:szCs w:val="28"/>
      <w:lang w:val="en-CA" w:eastAsia="ja-JP"/>
    </w:rPr>
  </w:style>
  <w:style w:type="paragraph" w:customStyle="1" w:styleId="CitationLine">
    <w:name w:val="CitationLine"/>
    <w:basedOn w:val="Court"/>
    <w:rsid w:val="00A6519D"/>
  </w:style>
  <w:style w:type="paragraph" w:customStyle="1" w:styleId="DateISO">
    <w:name w:val="DateISO"/>
    <w:basedOn w:val="Court"/>
    <w:rsid w:val="00A651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TotalTime>
  <Pages>4</Pages>
  <Words>941</Words>
  <Characters>5366</Characters>
  <Application>Microsoft Office Word</Application>
  <DocSecurity>0</DocSecurity>
  <Lines>44</Lines>
  <Paragraphs>12</Paragraphs>
  <ScaleCrop>false</ScaleCrop>
  <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2015-03-17T08:09:00Z</dcterms:created>
  <dcterms:modified xsi:type="dcterms:W3CDTF">2015-03-23T10:22:00Z</dcterms:modified>
</cp:coreProperties>
</file>