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71" w:rsidRDefault="00844F71" w:rsidP="00844F71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8" o:title=""/>
          </v:shape>
          <o:OLEObject Type="Embed" ProgID="Presentations.Drawing.13" ShapeID="_x0000_i1025" DrawAspect="Content" ObjectID="_1505731608" r:id="rId9"/>
        </w:object>
      </w:r>
      <w:r>
        <w:t xml:space="preserve"> </w:t>
      </w:r>
      <w:r>
        <w:ptab w:relativeTo="margin" w:alignment="right" w:leader="none"/>
      </w:r>
    </w:p>
    <w:p w:rsidR="00844F71" w:rsidRDefault="00844F71" w:rsidP="00844F71">
      <w:pPr>
        <w:pStyle w:val="Header"/>
      </w:pPr>
    </w:p>
    <w:p w:rsidR="00844F71" w:rsidRPr="006B210C" w:rsidRDefault="00844F71" w:rsidP="00844F71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844F71" w:rsidRDefault="00844F71" w:rsidP="00844F71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768"/>
        <w:gridCol w:w="2808"/>
      </w:tblGrid>
      <w:tr w:rsidR="00844F71" w:rsidRPr="006B210C" w:rsidTr="00BC0EE5">
        <w:trPr>
          <w:cantSplit/>
        </w:trPr>
        <w:tc>
          <w:tcPr>
            <w:tcW w:w="6768" w:type="dxa"/>
          </w:tcPr>
          <w:p w:rsidR="00844F71" w:rsidRPr="006B210C" w:rsidRDefault="00844F71" w:rsidP="00BC0EE5">
            <w:r w:rsidRPr="006B210C">
              <w:rPr>
                <w:b/>
                <w:smallCaps/>
              </w:rPr>
              <w:t>Citation</w:t>
            </w:r>
            <w:r>
              <w:rPr>
                <w:b/>
                <w:smallCaps/>
              </w:rPr>
              <w:t xml:space="preserve">: </w:t>
            </w:r>
            <w:r w:rsidRPr="00A91423">
              <w:rPr>
                <w:rStyle w:val="SCCAppellantForIndexChar"/>
                <w:b w:val="0"/>
              </w:rPr>
              <w:t>Zurich Insurance Co.</w:t>
            </w:r>
            <w:r w:rsidRPr="00A91423">
              <w:rPr>
                <w:b/>
              </w:rPr>
              <w:t xml:space="preserve"> </w:t>
            </w:r>
            <w:r w:rsidRPr="00A91423">
              <w:rPr>
                <w:i/>
              </w:rPr>
              <w:t>v.</w:t>
            </w:r>
            <w:r w:rsidRPr="00A91423">
              <w:rPr>
                <w:b/>
              </w:rPr>
              <w:t xml:space="preserve"> </w:t>
            </w:r>
            <w:r w:rsidRPr="00A91423">
              <w:rPr>
                <w:rStyle w:val="SCCRespondentForIndexChar"/>
                <w:b w:val="0"/>
              </w:rPr>
              <w:t>Chubb Insurance Co. of Canada</w:t>
            </w:r>
            <w:r>
              <w:t>, 2015 SCC 19, [2015] 2 S.C.R. 134</w:t>
            </w:r>
          </w:p>
        </w:tc>
        <w:tc>
          <w:tcPr>
            <w:tcW w:w="2808" w:type="dxa"/>
          </w:tcPr>
          <w:p w:rsidR="00844F71" w:rsidRPr="006B210C" w:rsidRDefault="00844F71" w:rsidP="00BC0EE5">
            <w:r w:rsidRPr="006B210C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20150417</w:t>
            </w:r>
          </w:p>
          <w:p w:rsidR="00844F71" w:rsidRPr="006B210C" w:rsidRDefault="00844F71" w:rsidP="00BC0EE5"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36002</w:t>
            </w:r>
          </w:p>
        </w:tc>
      </w:tr>
    </w:tbl>
    <w:p w:rsidR="00844F71" w:rsidRPr="006B210C" w:rsidRDefault="00844F71" w:rsidP="00844F71"/>
    <w:p w:rsidR="00844F71" w:rsidRDefault="00844F71" w:rsidP="00844F71">
      <w:pPr>
        <w:pStyle w:val="SCCLsocPrefix"/>
      </w:pPr>
      <w:r>
        <w:t>Between:</w:t>
      </w:r>
    </w:p>
    <w:p w:rsidR="00844F71" w:rsidRDefault="00844F71" w:rsidP="00844F71">
      <w:pPr>
        <w:pStyle w:val="SCCLsocParty"/>
        <w:jc w:val="center"/>
      </w:pPr>
      <w:r>
        <w:t>Zurich Insurance Company</w:t>
      </w:r>
    </w:p>
    <w:p w:rsidR="00844F71" w:rsidRDefault="00844F71" w:rsidP="00844F71">
      <w:pPr>
        <w:jc w:val="center"/>
      </w:pPr>
      <w:r>
        <w:t>Appellant</w:t>
      </w:r>
    </w:p>
    <w:p w:rsidR="00844F71" w:rsidRPr="00844F71" w:rsidRDefault="00844F71" w:rsidP="00844F71">
      <w:pPr>
        <w:pStyle w:val="SCCLsocVersus"/>
        <w:spacing w:after="0"/>
        <w:jc w:val="center"/>
        <w:rPr>
          <w:i w:val="0"/>
        </w:rPr>
      </w:pPr>
      <w:r w:rsidRPr="00844F71">
        <w:rPr>
          <w:i w:val="0"/>
        </w:rPr>
        <w:t>and</w:t>
      </w:r>
    </w:p>
    <w:p w:rsidR="00844F71" w:rsidRDefault="00844F71" w:rsidP="00844F71">
      <w:pPr>
        <w:pStyle w:val="SCCLsocParty"/>
        <w:jc w:val="center"/>
      </w:pPr>
      <w:r>
        <w:t>Chubb Insurance Company of Canada</w:t>
      </w:r>
    </w:p>
    <w:p w:rsidR="00844F71" w:rsidRDefault="00844F71" w:rsidP="00844F71">
      <w:pPr>
        <w:jc w:val="center"/>
      </w:pPr>
      <w:r>
        <w:t>Respondent</w:t>
      </w:r>
    </w:p>
    <w:p w:rsidR="00844F71" w:rsidRDefault="00844F71" w:rsidP="00844F71"/>
    <w:p w:rsidR="00844F71" w:rsidRDefault="00844F71" w:rsidP="00844F71"/>
    <w:p w:rsidR="00844F71" w:rsidRPr="006B210C" w:rsidRDefault="00844F71" w:rsidP="00844F71"/>
    <w:p w:rsidR="00844F71" w:rsidRPr="006B210C" w:rsidRDefault="00844F71" w:rsidP="00844F71"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r>
        <w:t xml:space="preserve"> Abella, Rothstein, Cromwell, Karakatsanis, Wagner, Gascon and Côté JJ.</w:t>
      </w:r>
    </w:p>
    <w:p w:rsidR="00844F71" w:rsidRPr="006B210C" w:rsidRDefault="00844F71" w:rsidP="00844F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844F71" w:rsidRPr="006B210C" w:rsidTr="00BC0EE5">
        <w:trPr>
          <w:cantSplit/>
        </w:trPr>
        <w:tc>
          <w:tcPr>
            <w:tcW w:w="3618" w:type="dxa"/>
          </w:tcPr>
          <w:p w:rsidR="00844F71" w:rsidRDefault="00844F71" w:rsidP="00BC0EE5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 Judgment</w:t>
            </w:r>
            <w:r>
              <w:rPr>
                <w:b/>
                <w:smallCaps/>
              </w:rPr>
              <w:t>:</w:t>
            </w:r>
          </w:p>
          <w:p w:rsidR="00844F71" w:rsidRPr="006B210C" w:rsidRDefault="00844F71" w:rsidP="00BC0EE5">
            <w:r>
              <w:t>(para. 1)</w:t>
            </w:r>
          </w:p>
        </w:tc>
        <w:tc>
          <w:tcPr>
            <w:tcW w:w="5958" w:type="dxa"/>
          </w:tcPr>
          <w:p w:rsidR="00844F71" w:rsidRPr="006B210C" w:rsidRDefault="00844F71" w:rsidP="00BC0EE5">
            <w:r>
              <w:t>The Court</w:t>
            </w:r>
          </w:p>
        </w:tc>
      </w:tr>
    </w:tbl>
    <w:p w:rsidR="00844F71" w:rsidRPr="006B210C" w:rsidRDefault="00844F71" w:rsidP="00844F71"/>
    <w:p w:rsidR="00844F71" w:rsidRPr="006B210C" w:rsidRDefault="00CA3588" w:rsidP="00844F7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+T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"/>
        </w:pict>
      </w:r>
    </w:p>
    <w:p w:rsidR="00844F71" w:rsidRDefault="00844F71" w:rsidP="00B072B9">
      <w:pPr>
        <w:spacing w:after="720"/>
        <w:jc w:val="both"/>
        <w:rPr>
          <w:rStyle w:val="SCCAppellantForRunningHeadChar"/>
          <w:smallCaps w:val="0"/>
        </w:rPr>
      </w:pPr>
    </w:p>
    <w:p w:rsidR="008322BD" w:rsidRPr="003A62CA" w:rsidRDefault="003A62CA" w:rsidP="00B072B9">
      <w:pPr>
        <w:spacing w:after="720"/>
        <w:jc w:val="both"/>
        <w:rPr>
          <w:smallCaps/>
        </w:rPr>
      </w:pPr>
      <w:r>
        <w:rPr>
          <w:rStyle w:val="SCCAppellantForRunningHeadChar"/>
          <w:smallCaps w:val="0"/>
        </w:rPr>
        <w:t>Zurich Insurance C</w:t>
      </w:r>
      <w:r w:rsidR="008F78E9" w:rsidRPr="003A62CA">
        <w:rPr>
          <w:rStyle w:val="SCCAppellantForRunningHeadChar"/>
          <w:smallCaps w:val="0"/>
        </w:rPr>
        <w:t>o</w:t>
      </w:r>
      <w:r w:rsidR="00C7567E" w:rsidRPr="003A62CA">
        <w:rPr>
          <w:rStyle w:val="SCCAppellantForRunningHeadChar"/>
          <w:smallCaps w:val="0"/>
        </w:rPr>
        <w:t>.</w:t>
      </w:r>
      <w:r w:rsidR="00480C90" w:rsidRPr="003A62CA">
        <w:rPr>
          <w:smallCaps/>
        </w:rPr>
        <w:t xml:space="preserve"> </w:t>
      </w:r>
      <w:r w:rsidR="009B57B3" w:rsidRPr="003A62CA">
        <w:rPr>
          <w:i/>
        </w:rPr>
        <w:t>v.</w:t>
      </w:r>
      <w:r w:rsidR="00B000D8" w:rsidRPr="003A62CA">
        <w:rPr>
          <w:smallCaps/>
        </w:rPr>
        <w:t xml:space="preserve"> </w:t>
      </w:r>
      <w:r>
        <w:rPr>
          <w:rStyle w:val="SCCRespondentForRunningHeadChar"/>
          <w:smallCaps w:val="0"/>
        </w:rPr>
        <w:t>Chubb Insurance C</w:t>
      </w:r>
      <w:r w:rsidR="00C7567E" w:rsidRPr="003A62CA">
        <w:rPr>
          <w:rStyle w:val="SCCRespondentForRunningHeadChar"/>
          <w:smallCaps w:val="0"/>
        </w:rPr>
        <w:t>o.</w:t>
      </w:r>
      <w:r>
        <w:rPr>
          <w:rStyle w:val="SCCRespondentForRunningHeadChar"/>
          <w:smallCaps w:val="0"/>
        </w:rPr>
        <w:t xml:space="preserve"> of Canada, </w:t>
      </w:r>
      <w:r>
        <w:t>2015 SCC</w:t>
      </w:r>
      <w:r w:rsidR="00B072B9">
        <w:t xml:space="preserve"> </w:t>
      </w:r>
      <w:r>
        <w:t>19</w:t>
      </w:r>
      <w:r w:rsidR="00C013D0">
        <w:t>, [2015] 2 S.C.R</w:t>
      </w:r>
      <w:r w:rsidR="00CA3588">
        <w:t>.</w:t>
      </w:r>
      <w:bookmarkStart w:id="0" w:name="_GoBack"/>
      <w:bookmarkEnd w:id="0"/>
      <w:r w:rsidR="00C013D0">
        <w:t xml:space="preserve"> 134</w:t>
      </w:r>
    </w:p>
    <w:p w:rsidR="005F4A40" w:rsidRDefault="00A73579" w:rsidP="00B072B9">
      <w:pPr>
        <w:pStyle w:val="SCCLsocLastPartyInRole"/>
      </w:pPr>
      <w:r>
        <w:t>Zurich Insurance Company</w:t>
      </w:r>
      <w:r>
        <w:rPr>
          <w:rStyle w:val="SCCLsocPartyRole"/>
        </w:rPr>
        <w:tab/>
        <w:t>Appellant</w:t>
      </w:r>
    </w:p>
    <w:p w:rsidR="005F4A40" w:rsidRDefault="00A73579" w:rsidP="00B072B9">
      <w:pPr>
        <w:pStyle w:val="SCCLsocVersus"/>
      </w:pPr>
      <w:r>
        <w:t>v.</w:t>
      </w:r>
    </w:p>
    <w:p w:rsidR="005F4A40" w:rsidRDefault="00A73579" w:rsidP="00B072B9">
      <w:pPr>
        <w:pStyle w:val="SCCLsocLastPartyInRole"/>
      </w:pPr>
      <w:r>
        <w:t>Chubb Insurance Company of Canada</w:t>
      </w:r>
      <w:r>
        <w:rPr>
          <w:rStyle w:val="SCCLsocPartyRole"/>
        </w:rPr>
        <w:tab/>
        <w:t>Respondent</w:t>
      </w:r>
    </w:p>
    <w:p w:rsidR="00426659" w:rsidRPr="00426659" w:rsidRDefault="00426659" w:rsidP="00B072B9">
      <w:pPr>
        <w:spacing w:after="720"/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>
        <w:rPr>
          <w:rStyle w:val="SCCAppellantForIndexChar"/>
        </w:rPr>
        <w:t>Zurich Insurance Co</w:t>
      </w:r>
      <w:r w:rsidR="00D23F32">
        <w:rPr>
          <w:rStyle w:val="SCCAppellantForIndexChar"/>
        </w:rPr>
        <w:t>.</w:t>
      </w:r>
      <w:r w:rsidRPr="00426659">
        <w:rPr>
          <w:b/>
        </w:rPr>
        <w:t xml:space="preserve">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r w:rsidR="00F21747">
        <w:rPr>
          <w:rStyle w:val="SCCRespondentForIndexChar"/>
        </w:rPr>
        <w:t>Chubb Insurance Co.</w:t>
      </w:r>
      <w:r>
        <w:rPr>
          <w:rStyle w:val="SCCRespondentForIndexChar"/>
        </w:rPr>
        <w:t xml:space="preserve"> of C</w:t>
      </w:r>
      <w:r w:rsidR="00F21747">
        <w:rPr>
          <w:rStyle w:val="SCCRespondentForIndexChar"/>
        </w:rPr>
        <w:t>anada</w:t>
      </w:r>
    </w:p>
    <w:p w:rsidR="00426659" w:rsidRPr="00C02092" w:rsidRDefault="004F36FF" w:rsidP="00B072B9">
      <w:pPr>
        <w:pStyle w:val="SCCSystemYear"/>
        <w:spacing w:after="720"/>
        <w:jc w:val="both"/>
      </w:pPr>
      <w:r>
        <w:t>2015</w:t>
      </w:r>
      <w:r w:rsidR="003D0399">
        <w:t xml:space="preserve"> </w:t>
      </w:r>
      <w:r w:rsidR="00A73579">
        <w:t>SCC 19</w:t>
      </w:r>
    </w:p>
    <w:p w:rsidR="008322BD" w:rsidRDefault="00D8008C" w:rsidP="00B072B9">
      <w:pPr>
        <w:spacing w:after="720"/>
        <w:jc w:val="both"/>
      </w:pPr>
      <w:r>
        <w:lastRenderedPageBreak/>
        <w:t xml:space="preserve">File No.: </w:t>
      </w:r>
      <w:r w:rsidR="009B57B3">
        <w:t>36002</w:t>
      </w:r>
      <w:r w:rsidR="009B57B3" w:rsidRPr="001426A9">
        <w:t>.</w:t>
      </w:r>
    </w:p>
    <w:p w:rsidR="008322BD" w:rsidRDefault="00D8008C" w:rsidP="00B072B9">
      <w:pPr>
        <w:spacing w:after="720"/>
        <w:jc w:val="both"/>
      </w:pPr>
      <w:r>
        <w:t xml:space="preserve">2015: </w:t>
      </w:r>
      <w:r w:rsidR="004F36FF">
        <w:t>April 17</w:t>
      </w:r>
      <w:r w:rsidR="009B57B3" w:rsidRPr="001426A9">
        <w:t>.</w:t>
      </w:r>
    </w:p>
    <w:p w:rsidR="008322BD" w:rsidRDefault="009B57B3" w:rsidP="00B072B9">
      <w:pPr>
        <w:spacing w:after="720"/>
        <w:jc w:val="both"/>
      </w:pPr>
      <w:r w:rsidRPr="001426A9">
        <w:t xml:space="preserve">Present:  </w:t>
      </w:r>
      <w:r>
        <w:t>Abella, Rothstein, Cromwell, Karakatsanis, Wagner, Gascon and Côté JJ.</w:t>
      </w:r>
    </w:p>
    <w:p w:rsidR="008322BD" w:rsidRPr="001C779F" w:rsidRDefault="00656313" w:rsidP="00FC4EFB">
      <w:pPr>
        <w:pStyle w:val="SCCLowerCourtNameLowercase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>court of appeal for ontario</w:t>
      </w:r>
    </w:p>
    <w:p w:rsidR="003A4C70" w:rsidRPr="001426A9" w:rsidRDefault="003A4C70" w:rsidP="00FC4EFB">
      <w:pPr>
        <w:pStyle w:val="SCCNormalDoubleSpacing"/>
      </w:pPr>
    </w:p>
    <w:p w:rsidR="008322BD" w:rsidRPr="001420D9" w:rsidRDefault="009B57B3" w:rsidP="00FC4EFB">
      <w:pPr>
        <w:pStyle w:val="SCCNormalDoubleSpacing"/>
        <w:rPr>
          <w:i/>
        </w:rPr>
      </w:pPr>
      <w:r w:rsidRPr="001420D9">
        <w:rPr>
          <w:i/>
        </w:rPr>
        <w:tab/>
      </w:r>
      <w:r w:rsidR="009C38BD" w:rsidRPr="001420D9">
        <w:rPr>
          <w:i/>
        </w:rPr>
        <w:t>Insurance</w:t>
      </w:r>
      <w:r w:rsidR="004E51C4">
        <w:rPr>
          <w:i/>
        </w:rPr>
        <w:t xml:space="preserve"> </w:t>
      </w:r>
      <w:r w:rsidR="00095528">
        <w:rPr>
          <w:i/>
        </w:rPr>
        <w:t>—</w:t>
      </w:r>
      <w:r w:rsidR="009A35FA" w:rsidRPr="001420D9">
        <w:rPr>
          <w:i/>
        </w:rPr>
        <w:t xml:space="preserve"> Automobile</w:t>
      </w:r>
      <w:r w:rsidR="008E6A33" w:rsidRPr="001420D9">
        <w:rPr>
          <w:i/>
        </w:rPr>
        <w:t xml:space="preserve"> insurance </w:t>
      </w:r>
      <w:r w:rsidR="00095528">
        <w:rPr>
          <w:i/>
        </w:rPr>
        <w:t>—</w:t>
      </w:r>
      <w:r w:rsidR="008E6A33" w:rsidRPr="001420D9">
        <w:rPr>
          <w:i/>
        </w:rPr>
        <w:t xml:space="preserve"> Statutory accident</w:t>
      </w:r>
      <w:r w:rsidR="009C38BD" w:rsidRPr="001420D9">
        <w:rPr>
          <w:i/>
        </w:rPr>
        <w:t xml:space="preserve"> benefits </w:t>
      </w:r>
      <w:r w:rsidR="00595013" w:rsidRPr="001420D9">
        <w:rPr>
          <w:i/>
        </w:rPr>
        <w:t>scheme</w:t>
      </w:r>
      <w:r w:rsidR="00095528">
        <w:rPr>
          <w:i/>
        </w:rPr>
        <w:t xml:space="preserve"> —</w:t>
      </w:r>
      <w:r w:rsidR="009C38BD" w:rsidRPr="001420D9">
        <w:rPr>
          <w:i/>
        </w:rPr>
        <w:t xml:space="preserve"> Claimant </w:t>
      </w:r>
      <w:r w:rsidR="00595013" w:rsidRPr="001420D9">
        <w:rPr>
          <w:i/>
        </w:rPr>
        <w:t xml:space="preserve">having </w:t>
      </w:r>
      <w:r w:rsidR="009C38BD" w:rsidRPr="001420D9">
        <w:rPr>
          <w:i/>
        </w:rPr>
        <w:t>declined optional motor vehicle liabili</w:t>
      </w:r>
      <w:r w:rsidR="008E6A33" w:rsidRPr="001420D9">
        <w:rPr>
          <w:i/>
        </w:rPr>
        <w:t xml:space="preserve">ty policy </w:t>
      </w:r>
      <w:r w:rsidR="009A35FA" w:rsidRPr="001420D9">
        <w:rPr>
          <w:i/>
        </w:rPr>
        <w:t xml:space="preserve">from insurance company </w:t>
      </w:r>
      <w:r w:rsidR="00194402" w:rsidRPr="001420D9">
        <w:rPr>
          <w:i/>
        </w:rPr>
        <w:t>upon</w:t>
      </w:r>
      <w:r w:rsidR="008E6A33" w:rsidRPr="001420D9">
        <w:rPr>
          <w:i/>
        </w:rPr>
        <w:t xml:space="preserve"> renting vehicle </w:t>
      </w:r>
      <w:r w:rsidR="00595013" w:rsidRPr="001420D9">
        <w:rPr>
          <w:i/>
        </w:rPr>
        <w:t>subsequently injured</w:t>
      </w:r>
      <w:r w:rsidR="009C38BD" w:rsidRPr="001420D9">
        <w:rPr>
          <w:i/>
        </w:rPr>
        <w:t xml:space="preserve"> in single-vehicle acc</w:t>
      </w:r>
      <w:r w:rsidR="00595013" w:rsidRPr="001420D9">
        <w:rPr>
          <w:i/>
        </w:rPr>
        <w:t>ident</w:t>
      </w:r>
      <w:r w:rsidR="009A35FA" w:rsidRPr="001420D9">
        <w:rPr>
          <w:i/>
        </w:rPr>
        <w:t xml:space="preserve"> </w:t>
      </w:r>
      <w:r w:rsidR="00095528">
        <w:rPr>
          <w:i/>
        </w:rPr>
        <w:t>—</w:t>
      </w:r>
      <w:r w:rsidR="009C38BD" w:rsidRPr="001420D9">
        <w:rPr>
          <w:i/>
        </w:rPr>
        <w:t xml:space="preserve"> Insur</w:t>
      </w:r>
      <w:r w:rsidR="009A35FA" w:rsidRPr="001420D9">
        <w:rPr>
          <w:i/>
        </w:rPr>
        <w:t>ance company refusing</w:t>
      </w:r>
      <w:r w:rsidR="008E6A33" w:rsidRPr="001420D9">
        <w:rPr>
          <w:i/>
        </w:rPr>
        <w:t xml:space="preserve"> to provide benefits</w:t>
      </w:r>
      <w:r w:rsidR="00595013" w:rsidRPr="001420D9">
        <w:rPr>
          <w:i/>
        </w:rPr>
        <w:t xml:space="preserve"> available under statutory scheme</w:t>
      </w:r>
      <w:r w:rsidR="00095528">
        <w:rPr>
          <w:i/>
        </w:rPr>
        <w:t xml:space="preserve"> —</w:t>
      </w:r>
      <w:r w:rsidR="009C38BD" w:rsidRPr="001420D9">
        <w:rPr>
          <w:i/>
        </w:rPr>
        <w:t xml:space="preserve"> </w:t>
      </w:r>
      <w:r w:rsidR="004E51C4">
        <w:rPr>
          <w:i/>
        </w:rPr>
        <w:t>Nexus between insurer and claimant — Application judge correctly found that arbitrator erred in</w:t>
      </w:r>
      <w:r w:rsidR="009A35FA" w:rsidRPr="001420D9">
        <w:rPr>
          <w:i/>
        </w:rPr>
        <w:t xml:space="preserve"> concluding that insurance company not an insurer for purposes of statutory scheme </w:t>
      </w:r>
      <w:r w:rsidR="00095528">
        <w:rPr>
          <w:i/>
        </w:rPr>
        <w:t>—</w:t>
      </w:r>
      <w:r w:rsidR="008E6A33" w:rsidRPr="001420D9">
        <w:rPr>
          <w:i/>
        </w:rPr>
        <w:t xml:space="preserve"> </w:t>
      </w:r>
      <w:r w:rsidR="009C38BD" w:rsidRPr="001420D9">
        <w:rPr>
          <w:i/>
        </w:rPr>
        <w:t>Insurance Act</w:t>
      </w:r>
      <w:r w:rsidR="008E6A33" w:rsidRPr="001420D9">
        <w:rPr>
          <w:i/>
        </w:rPr>
        <w:t xml:space="preserve">, R.S.O. 1990, </w:t>
      </w:r>
      <w:r w:rsidR="00194402" w:rsidRPr="001420D9">
        <w:rPr>
          <w:i/>
        </w:rPr>
        <w:t xml:space="preserve">c. I.8, </w:t>
      </w:r>
      <w:r w:rsidR="00095528">
        <w:rPr>
          <w:i/>
        </w:rPr>
        <w:t>s. 268 —</w:t>
      </w:r>
      <w:r w:rsidR="009C38BD" w:rsidRPr="001420D9">
        <w:rPr>
          <w:i/>
        </w:rPr>
        <w:t xml:space="preserve"> Disputes Between Insurers</w:t>
      </w:r>
      <w:r w:rsidR="00FB2B57">
        <w:rPr>
          <w:i/>
        </w:rPr>
        <w:t>, O. Reg. 283/95</w:t>
      </w:r>
      <w:r w:rsidR="004E51C4">
        <w:rPr>
          <w:i/>
        </w:rPr>
        <w:t>.</w:t>
      </w:r>
    </w:p>
    <w:p w:rsidR="00A149DF" w:rsidRDefault="00A149DF" w:rsidP="00FC4EFB">
      <w:pPr>
        <w:pStyle w:val="SCCNormalDoubleSpacing"/>
      </w:pPr>
    </w:p>
    <w:p w:rsidR="00656313" w:rsidRPr="009A79A6" w:rsidRDefault="004C5E5E" w:rsidP="00FC4EFB">
      <w:pPr>
        <w:pStyle w:val="SCCNormalDoubleSpacing"/>
      </w:pPr>
      <w:r>
        <w:tab/>
      </w:r>
      <w:r w:rsidR="009B57B3" w:rsidRPr="001426A9">
        <w:t xml:space="preserve">APPEAL from a judgment of the </w:t>
      </w:r>
      <w:r w:rsidR="00D8008C">
        <w:t>Ontario Court of Appeal (</w:t>
      </w:r>
      <w:r w:rsidR="00B939B4" w:rsidRPr="00B939B4">
        <w:t xml:space="preserve">Juriansz, Pepall </w:t>
      </w:r>
      <w:r w:rsidR="00B939B4">
        <w:t>and</w:t>
      </w:r>
      <w:r w:rsidR="00B939B4" w:rsidRPr="00B939B4">
        <w:t xml:space="preserve"> Pardu</w:t>
      </w:r>
      <w:r w:rsidR="00B939B4">
        <w:t xml:space="preserve"> JJ.A.</w:t>
      </w:r>
      <w:r w:rsidR="00B939B4" w:rsidRPr="00B939B4">
        <w:t>)</w:t>
      </w:r>
      <w:r w:rsidR="00B939B4">
        <w:t xml:space="preserve">, </w:t>
      </w:r>
      <w:r w:rsidR="00F01C6B" w:rsidRPr="00F01C6B">
        <w:t>2014 ONCA 400, 120 O.R. (3d) 161, 319 O.A.C. 287, 379 D.L.R. (4th) 427, 65 M.V.R. (6th) 159, 34 C.C.L.I. (5th) 216, [2014] I.L.R. I-5615, [2014] O.J. No. 2330 (QL), 2014 CarswellOnt 6274 (WL Can.)</w:t>
      </w:r>
      <w:r w:rsidR="00F01C6B">
        <w:t xml:space="preserve">, </w:t>
      </w:r>
      <w:r w:rsidR="009A79A6">
        <w:t xml:space="preserve">setting aside the decision of Goldstein J., </w:t>
      </w:r>
      <w:r w:rsidR="009A79A6" w:rsidRPr="009A79A6">
        <w:t>2012 ONSC 6363, 15 C.C.L.I. (5th) 287, [2013] I.L.R. I-5360, [2012] O.J. No. 5336 (QL), 2012 CarswellOnt 14170</w:t>
      </w:r>
      <w:r w:rsidR="009A79A6">
        <w:t xml:space="preserve"> (WL Can.)</w:t>
      </w:r>
      <w:r w:rsidR="009A79A6" w:rsidRPr="009A79A6">
        <w:t>.</w:t>
      </w:r>
      <w:r w:rsidR="00A77E66">
        <w:t xml:space="preserve"> Appeal allowed</w:t>
      </w:r>
      <w:r w:rsidR="00475938">
        <w:t>.</w:t>
      </w:r>
    </w:p>
    <w:p w:rsidR="00656313" w:rsidRDefault="00656313" w:rsidP="00FC4EFB">
      <w:pPr>
        <w:pStyle w:val="SCCNormalDoubleSpacing"/>
      </w:pPr>
    </w:p>
    <w:p w:rsidR="005F4A40" w:rsidRDefault="00A73579">
      <w:pPr>
        <w:pStyle w:val="SCCNormalDoubleSpacing"/>
      </w:pPr>
      <w:r>
        <w:rPr>
          <w:rStyle w:val="SCCCounselNameChar"/>
        </w:rPr>
        <w:lastRenderedPageBreak/>
        <w:tab/>
      </w:r>
      <w:r w:rsidRPr="003D34FE">
        <w:rPr>
          <w:rStyle w:val="SCCCounselNameChar"/>
        </w:rPr>
        <w:t>Eric K. Grossman</w:t>
      </w:r>
      <w:r w:rsidRPr="003D34FE">
        <w:rPr>
          <w:rStyle w:val="SCCCounselSeparatorChar"/>
        </w:rPr>
        <w:t xml:space="preserve">, </w:t>
      </w:r>
      <w:r w:rsidR="007660FF" w:rsidRPr="003D34FE">
        <w:rPr>
          <w:rStyle w:val="SCCCounselNameChar"/>
        </w:rPr>
        <w:t xml:space="preserve">Michael Warfe </w:t>
      </w:r>
      <w:r w:rsidR="007660FF" w:rsidRPr="003D34FE">
        <w:rPr>
          <w:rStyle w:val="SCCCounselSeparatorChar"/>
        </w:rPr>
        <w:t>and</w:t>
      </w:r>
      <w:r w:rsidR="007660FF" w:rsidRPr="003D34FE">
        <w:rPr>
          <w:rStyle w:val="SCCCounselNameChar"/>
        </w:rPr>
        <w:t xml:space="preserve"> </w:t>
      </w:r>
      <w:r w:rsidRPr="003D34FE">
        <w:rPr>
          <w:rStyle w:val="SCCCounselNameChar"/>
        </w:rPr>
        <w:t>Kate M. MacLeod</w:t>
      </w:r>
      <w:r w:rsidRPr="003D34FE">
        <w:rPr>
          <w:rStyle w:val="SCCCounselPartyRoleChar"/>
        </w:rPr>
        <w:t>, for the appellant.</w:t>
      </w:r>
    </w:p>
    <w:p w:rsidR="005F4A40" w:rsidRDefault="005F4A40">
      <w:pPr>
        <w:pStyle w:val="SCCNormalDoubleSpacing"/>
      </w:pPr>
    </w:p>
    <w:p w:rsidR="005F4A40" w:rsidRDefault="00A73579">
      <w:pPr>
        <w:pStyle w:val="SCCNormalDoubleSpacing"/>
      </w:pPr>
      <w:r>
        <w:rPr>
          <w:rStyle w:val="SCCCounselNameChar"/>
        </w:rPr>
        <w:tab/>
      </w:r>
      <w:r w:rsidR="004719F7">
        <w:rPr>
          <w:rStyle w:val="SCCCounselNameChar"/>
        </w:rPr>
        <w:t xml:space="preserve">Eugene </w:t>
      </w:r>
      <w:r w:rsidR="004719F7" w:rsidRPr="004719F7">
        <w:rPr>
          <w:rStyle w:val="SCCCounselNameChar"/>
        </w:rPr>
        <w:t>Meehan</w:t>
      </w:r>
      <w:r w:rsidR="004719F7">
        <w:rPr>
          <w:rStyle w:val="SCCCounselNameChar"/>
          <w:i w:val="0"/>
        </w:rPr>
        <w:t xml:space="preserve">, </w:t>
      </w:r>
      <w:r w:rsidR="004719F7">
        <w:rPr>
          <w:rStyle w:val="SCCCounselNameChar"/>
        </w:rPr>
        <w:t>Q.C.</w:t>
      </w:r>
      <w:r w:rsidR="004719F7">
        <w:rPr>
          <w:rStyle w:val="SCCCounselNameChar"/>
          <w:i w:val="0"/>
        </w:rPr>
        <w:t xml:space="preserve">, and </w:t>
      </w:r>
      <w:r w:rsidRPr="004719F7">
        <w:rPr>
          <w:rStyle w:val="SCCCounselNameChar"/>
        </w:rPr>
        <w:t xml:space="preserve">George </w:t>
      </w:r>
      <w:r>
        <w:rPr>
          <w:rStyle w:val="SCCCounselNameChar"/>
        </w:rPr>
        <w:t>Kanellakos</w:t>
      </w:r>
      <w:r>
        <w:rPr>
          <w:rStyle w:val="SCCCounselPartyRoleChar"/>
        </w:rPr>
        <w:t>, for the respondent.</w:t>
      </w:r>
    </w:p>
    <w:p w:rsidR="005F4A40" w:rsidRDefault="005F4A40">
      <w:pPr>
        <w:pStyle w:val="SCCNormalDoubleSpacing"/>
      </w:pPr>
    </w:p>
    <w:p w:rsidR="00FC4BD9" w:rsidRDefault="00BC0C53" w:rsidP="00FC4BD9">
      <w:pPr>
        <w:pStyle w:val="SCCNormalDoubleSpacing"/>
        <w:jc w:val="left"/>
      </w:pPr>
      <w:r>
        <w:tab/>
      </w:r>
      <w:r w:rsidR="00BD4F61">
        <w:t xml:space="preserve">The </w:t>
      </w:r>
      <w:r w:rsidR="004E51C4">
        <w:t xml:space="preserve">following is the </w:t>
      </w:r>
      <w:r w:rsidR="00FC4BD9" w:rsidRPr="00FC4BD9">
        <w:t>judgment delivered orally by</w:t>
      </w:r>
    </w:p>
    <w:p w:rsidR="00FC4BD9" w:rsidRPr="00A77E66" w:rsidRDefault="004E51C4" w:rsidP="00A77E66">
      <w:pPr>
        <w:pStyle w:val="ParaNoNdepar-AltN"/>
        <w:tabs>
          <w:tab w:val="clear" w:pos="1152"/>
          <w:tab w:val="left" w:pos="1166"/>
        </w:tabs>
        <w:rPr>
          <w:szCs w:val="24"/>
        </w:rPr>
      </w:pPr>
      <w:r>
        <w:rPr>
          <w:smallCaps/>
          <w:szCs w:val="24"/>
        </w:rPr>
        <w:t>The Court</w:t>
      </w:r>
      <w:r w:rsidR="006E07DA" w:rsidRPr="00B95C9F">
        <w:rPr>
          <w:szCs w:val="24"/>
        </w:rPr>
        <w:t xml:space="preserve"> </w:t>
      </w:r>
      <w:r w:rsidR="006E07DA" w:rsidRPr="00B95C9F">
        <w:rPr>
          <w:rFonts w:cs="Times New Roman"/>
          <w:szCs w:val="24"/>
        </w:rPr>
        <w:t>—</w:t>
      </w:r>
      <w:r w:rsidR="006E07DA" w:rsidRPr="00B95C9F">
        <w:rPr>
          <w:szCs w:val="24"/>
        </w:rPr>
        <w:t xml:space="preserve"> </w:t>
      </w:r>
      <w:r w:rsidR="00BD4F61" w:rsidRPr="00BD4F61">
        <w:rPr>
          <w:szCs w:val="24"/>
        </w:rPr>
        <w:t>We are of the view that the appeal should be allowed with costs for the reasons of Juriansz J.A.</w:t>
      </w:r>
    </w:p>
    <w:p w:rsidR="009B57B3" w:rsidRDefault="009B57B3" w:rsidP="00FC4BD9">
      <w:pPr>
        <w:pStyle w:val="SCCNormalDoubleSpacing"/>
        <w:jc w:val="left"/>
      </w:pPr>
      <w:r w:rsidRPr="001426A9">
        <w:tab/>
      </w:r>
      <w:r w:rsidR="006E07DA" w:rsidRPr="006E07DA">
        <w:rPr>
          <w:i/>
        </w:rPr>
        <w:t>Judgment accordingly.</w:t>
      </w:r>
    </w:p>
    <w:p w:rsidR="00A149DF" w:rsidRPr="001426A9" w:rsidRDefault="00A149DF" w:rsidP="00FC4EFB">
      <w:pPr>
        <w:pStyle w:val="SCCNormalDoubleSpacing"/>
      </w:pPr>
    </w:p>
    <w:p w:rsidR="00BD4F61" w:rsidRDefault="00A73579" w:rsidP="00BD4F61">
      <w:pPr>
        <w:pStyle w:val="SCCLawFirm"/>
      </w:pPr>
      <w:r>
        <w:tab/>
      </w:r>
      <w:r w:rsidR="00BD4F61">
        <w:t>Solicitors for the appellant: Zarek Taylor Grossman Hanrahan, Toronto.</w:t>
      </w:r>
    </w:p>
    <w:p w:rsidR="00BD4F61" w:rsidRDefault="00BD4F61" w:rsidP="00BD4F61">
      <w:pPr>
        <w:pStyle w:val="SCCLawFirm"/>
      </w:pPr>
    </w:p>
    <w:p w:rsidR="00BD4F61" w:rsidRDefault="00BD4F61" w:rsidP="00BD4F61">
      <w:pPr>
        <w:pStyle w:val="SCCLawFirm"/>
      </w:pPr>
      <w:r>
        <w:tab/>
        <w:t>Solicitors for the respondent: Supreme Advocacy, Ottawa; KBM Law, Toronto.</w:t>
      </w:r>
    </w:p>
    <w:p w:rsidR="005F4A40" w:rsidRDefault="005F4A40" w:rsidP="00BD4F61">
      <w:pPr>
        <w:pStyle w:val="SCCLawFirm"/>
      </w:pPr>
    </w:p>
    <w:sectPr w:rsidR="005F4A40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57" w:rsidRDefault="00FB2B57">
      <w:r>
        <w:separator/>
      </w:r>
    </w:p>
  </w:endnote>
  <w:endnote w:type="continuationSeparator" w:id="0">
    <w:p w:rsidR="00FB2B57" w:rsidRDefault="00FB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57" w:rsidRDefault="00FB2B57">
      <w:r>
        <w:separator/>
      </w:r>
    </w:p>
  </w:footnote>
  <w:footnote w:type="continuationSeparator" w:id="0">
    <w:p w:rsidR="00FB2B57" w:rsidRDefault="00FB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83EE8"/>
    <w:multiLevelType w:val="multilevel"/>
    <w:tmpl w:val="461CEFC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14C"/>
    <w:rsid w:val="00000ED4"/>
    <w:rsid w:val="000173B3"/>
    <w:rsid w:val="00025198"/>
    <w:rsid w:val="000578A3"/>
    <w:rsid w:val="000648CC"/>
    <w:rsid w:val="00095528"/>
    <w:rsid w:val="000C59B8"/>
    <w:rsid w:val="000C6AF0"/>
    <w:rsid w:val="00104F33"/>
    <w:rsid w:val="00111DE2"/>
    <w:rsid w:val="00116B38"/>
    <w:rsid w:val="00126AB0"/>
    <w:rsid w:val="00135406"/>
    <w:rsid w:val="00135972"/>
    <w:rsid w:val="001420D9"/>
    <w:rsid w:val="001426A9"/>
    <w:rsid w:val="00154D7C"/>
    <w:rsid w:val="001570B0"/>
    <w:rsid w:val="0015752C"/>
    <w:rsid w:val="00157737"/>
    <w:rsid w:val="00165277"/>
    <w:rsid w:val="00170592"/>
    <w:rsid w:val="00186351"/>
    <w:rsid w:val="00194402"/>
    <w:rsid w:val="00195D83"/>
    <w:rsid w:val="001A00C1"/>
    <w:rsid w:val="001A4D37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61B70"/>
    <w:rsid w:val="00270D93"/>
    <w:rsid w:val="002745CC"/>
    <w:rsid w:val="00295A1C"/>
    <w:rsid w:val="002B7924"/>
    <w:rsid w:val="002C49DA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64B18"/>
    <w:rsid w:val="003A125D"/>
    <w:rsid w:val="003A18B1"/>
    <w:rsid w:val="003A4C70"/>
    <w:rsid w:val="003A62CA"/>
    <w:rsid w:val="003B215F"/>
    <w:rsid w:val="003C799C"/>
    <w:rsid w:val="003D0399"/>
    <w:rsid w:val="003D34FE"/>
    <w:rsid w:val="003E1C71"/>
    <w:rsid w:val="003F327B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719F7"/>
    <w:rsid w:val="00475938"/>
    <w:rsid w:val="00480C90"/>
    <w:rsid w:val="0048396F"/>
    <w:rsid w:val="00493C18"/>
    <w:rsid w:val="004A600C"/>
    <w:rsid w:val="004A6118"/>
    <w:rsid w:val="004C478D"/>
    <w:rsid w:val="004C5E5E"/>
    <w:rsid w:val="004E2C26"/>
    <w:rsid w:val="004E51C4"/>
    <w:rsid w:val="004F36FF"/>
    <w:rsid w:val="005125A8"/>
    <w:rsid w:val="00521AE8"/>
    <w:rsid w:val="00527180"/>
    <w:rsid w:val="0054201E"/>
    <w:rsid w:val="00555291"/>
    <w:rsid w:val="00556B9E"/>
    <w:rsid w:val="00566AD1"/>
    <w:rsid w:val="00583EDE"/>
    <w:rsid w:val="00595013"/>
    <w:rsid w:val="005A6079"/>
    <w:rsid w:val="005D3DEA"/>
    <w:rsid w:val="005E4698"/>
    <w:rsid w:val="005E4BAA"/>
    <w:rsid w:val="005F2CAD"/>
    <w:rsid w:val="005F4A40"/>
    <w:rsid w:val="00610539"/>
    <w:rsid w:val="00613969"/>
    <w:rsid w:val="00625C35"/>
    <w:rsid w:val="00656313"/>
    <w:rsid w:val="006565F4"/>
    <w:rsid w:val="00684EEA"/>
    <w:rsid w:val="0069689B"/>
    <w:rsid w:val="006A1551"/>
    <w:rsid w:val="006B5FF5"/>
    <w:rsid w:val="006E07DA"/>
    <w:rsid w:val="006F30AF"/>
    <w:rsid w:val="00701759"/>
    <w:rsid w:val="00705C15"/>
    <w:rsid w:val="0071600E"/>
    <w:rsid w:val="007208D1"/>
    <w:rsid w:val="007323BC"/>
    <w:rsid w:val="0073423B"/>
    <w:rsid w:val="00747288"/>
    <w:rsid w:val="00747DD3"/>
    <w:rsid w:val="007549C8"/>
    <w:rsid w:val="00754A0B"/>
    <w:rsid w:val="007660FF"/>
    <w:rsid w:val="00766D14"/>
    <w:rsid w:val="00767A0F"/>
    <w:rsid w:val="007A05F6"/>
    <w:rsid w:val="007B6331"/>
    <w:rsid w:val="007B6F4A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44F71"/>
    <w:rsid w:val="00845204"/>
    <w:rsid w:val="00860765"/>
    <w:rsid w:val="00864CF8"/>
    <w:rsid w:val="00872819"/>
    <w:rsid w:val="00874914"/>
    <w:rsid w:val="00891422"/>
    <w:rsid w:val="00892E1A"/>
    <w:rsid w:val="008A3F29"/>
    <w:rsid w:val="008B660A"/>
    <w:rsid w:val="008C01DA"/>
    <w:rsid w:val="008E6A33"/>
    <w:rsid w:val="008F78E9"/>
    <w:rsid w:val="00911989"/>
    <w:rsid w:val="00911FEB"/>
    <w:rsid w:val="009179F9"/>
    <w:rsid w:val="00933E5E"/>
    <w:rsid w:val="00935218"/>
    <w:rsid w:val="009403F3"/>
    <w:rsid w:val="009555B7"/>
    <w:rsid w:val="009567AA"/>
    <w:rsid w:val="00967374"/>
    <w:rsid w:val="009A343A"/>
    <w:rsid w:val="009A35FA"/>
    <w:rsid w:val="009A79A6"/>
    <w:rsid w:val="009B2F23"/>
    <w:rsid w:val="009B57B3"/>
    <w:rsid w:val="009C38BD"/>
    <w:rsid w:val="009C5B92"/>
    <w:rsid w:val="009D2920"/>
    <w:rsid w:val="009D5AEB"/>
    <w:rsid w:val="009F0E33"/>
    <w:rsid w:val="00A030CE"/>
    <w:rsid w:val="00A149DF"/>
    <w:rsid w:val="00A1755C"/>
    <w:rsid w:val="00A21B90"/>
    <w:rsid w:val="00A4071C"/>
    <w:rsid w:val="00A41805"/>
    <w:rsid w:val="00A42DCD"/>
    <w:rsid w:val="00A52AFB"/>
    <w:rsid w:val="00A548CB"/>
    <w:rsid w:val="00A5521C"/>
    <w:rsid w:val="00A643E7"/>
    <w:rsid w:val="00A67E5C"/>
    <w:rsid w:val="00A73579"/>
    <w:rsid w:val="00A73C38"/>
    <w:rsid w:val="00A77E66"/>
    <w:rsid w:val="00AB670D"/>
    <w:rsid w:val="00AF03C5"/>
    <w:rsid w:val="00B000D8"/>
    <w:rsid w:val="00B00F75"/>
    <w:rsid w:val="00B072B9"/>
    <w:rsid w:val="00B145B6"/>
    <w:rsid w:val="00B279EB"/>
    <w:rsid w:val="00B460C9"/>
    <w:rsid w:val="00B50C81"/>
    <w:rsid w:val="00B557F8"/>
    <w:rsid w:val="00B815FC"/>
    <w:rsid w:val="00B939B4"/>
    <w:rsid w:val="00B93FBC"/>
    <w:rsid w:val="00BA7DA0"/>
    <w:rsid w:val="00BB2EE4"/>
    <w:rsid w:val="00BC0C53"/>
    <w:rsid w:val="00BC2108"/>
    <w:rsid w:val="00BD0E9E"/>
    <w:rsid w:val="00BD1BEC"/>
    <w:rsid w:val="00BD32FF"/>
    <w:rsid w:val="00BD4F61"/>
    <w:rsid w:val="00C013D0"/>
    <w:rsid w:val="00C02092"/>
    <w:rsid w:val="00C24D91"/>
    <w:rsid w:val="00C53F14"/>
    <w:rsid w:val="00C600CF"/>
    <w:rsid w:val="00C6084F"/>
    <w:rsid w:val="00C60EE0"/>
    <w:rsid w:val="00C62A66"/>
    <w:rsid w:val="00C71458"/>
    <w:rsid w:val="00C7567E"/>
    <w:rsid w:val="00C77613"/>
    <w:rsid w:val="00C828E7"/>
    <w:rsid w:val="00C86719"/>
    <w:rsid w:val="00C921DD"/>
    <w:rsid w:val="00CA3588"/>
    <w:rsid w:val="00CA6391"/>
    <w:rsid w:val="00CC34BD"/>
    <w:rsid w:val="00CE161A"/>
    <w:rsid w:val="00CE162F"/>
    <w:rsid w:val="00CE3171"/>
    <w:rsid w:val="00CF1601"/>
    <w:rsid w:val="00D0172F"/>
    <w:rsid w:val="00D068A7"/>
    <w:rsid w:val="00D17476"/>
    <w:rsid w:val="00D23F32"/>
    <w:rsid w:val="00D32086"/>
    <w:rsid w:val="00D37A3F"/>
    <w:rsid w:val="00D4431D"/>
    <w:rsid w:val="00D4667A"/>
    <w:rsid w:val="00D63A1C"/>
    <w:rsid w:val="00D7516F"/>
    <w:rsid w:val="00D8008C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41AE"/>
    <w:rsid w:val="00E44398"/>
    <w:rsid w:val="00E45109"/>
    <w:rsid w:val="00E47B7A"/>
    <w:rsid w:val="00E56A44"/>
    <w:rsid w:val="00E60269"/>
    <w:rsid w:val="00E77932"/>
    <w:rsid w:val="00E97830"/>
    <w:rsid w:val="00EE643C"/>
    <w:rsid w:val="00EF0683"/>
    <w:rsid w:val="00EF69D2"/>
    <w:rsid w:val="00EF766E"/>
    <w:rsid w:val="00F0070C"/>
    <w:rsid w:val="00F00EB7"/>
    <w:rsid w:val="00F01C6B"/>
    <w:rsid w:val="00F21747"/>
    <w:rsid w:val="00F258F6"/>
    <w:rsid w:val="00F36AB6"/>
    <w:rsid w:val="00F37A09"/>
    <w:rsid w:val="00F409CE"/>
    <w:rsid w:val="00F4379D"/>
    <w:rsid w:val="00F50D2D"/>
    <w:rsid w:val="00F56C8B"/>
    <w:rsid w:val="00F66810"/>
    <w:rsid w:val="00F66E84"/>
    <w:rsid w:val="00F846D9"/>
    <w:rsid w:val="00F84DF4"/>
    <w:rsid w:val="00F85C97"/>
    <w:rsid w:val="00FA60D4"/>
    <w:rsid w:val="00FB2B57"/>
    <w:rsid w:val="00FB37D2"/>
    <w:rsid w:val="00FC4BD9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customStyle="1" w:styleId="ParaNoNdepar-AltN">
    <w:name w:val="Para. No. / Nº de par. - Alt N"/>
    <w:qFormat/>
    <w:rsid w:val="006E07DA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844F71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844F71"/>
    <w:rPr>
      <w:rFonts w:ascii="Times New Roman" w:hAnsi="Times New Roman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844F71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844F71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648EA-1CD6-4798-9CF6-13EB046C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2015-04-24T17:57:00Z</dcterms:created>
  <dcterms:modified xsi:type="dcterms:W3CDTF">2015-10-07T18:00:00Z</dcterms:modified>
</cp:coreProperties>
</file>