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89A" w:rsidRDefault="00B2189A" w:rsidP="00B2189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05547847" r:id="rId9"/>
        </w:object>
      </w:r>
      <w:r>
        <w:t xml:space="preserve"> </w:t>
      </w:r>
      <w:r>
        <w:ptab w:relativeTo="margin" w:alignment="right" w:leader="none"/>
      </w:r>
    </w:p>
    <w:p w:rsidR="00B2189A" w:rsidRDefault="00B2189A" w:rsidP="00B2189A">
      <w:pPr>
        <w:pStyle w:val="Header"/>
      </w:pPr>
    </w:p>
    <w:p w:rsidR="00B2189A" w:rsidRPr="006B210C" w:rsidRDefault="00B2189A" w:rsidP="00B2189A">
      <w:pPr>
        <w:jc w:val="center"/>
        <w:rPr>
          <w:b/>
        </w:rPr>
      </w:pPr>
      <w:r w:rsidRPr="006B210C">
        <w:rPr>
          <w:b/>
        </w:rPr>
        <w:t>SUPREME COURT OF CANADA</w:t>
      </w:r>
    </w:p>
    <w:p w:rsidR="00B2189A" w:rsidRDefault="00B2189A" w:rsidP="00B2189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B2189A" w:rsidRPr="006B210C" w:rsidTr="00BC0EE5">
        <w:trPr>
          <w:cantSplit/>
        </w:trPr>
        <w:tc>
          <w:tcPr>
            <w:tcW w:w="6768" w:type="dxa"/>
          </w:tcPr>
          <w:p w:rsidR="00B2189A" w:rsidRPr="00926241" w:rsidRDefault="00B2189A" w:rsidP="00BC0EE5">
            <w:pPr>
              <w:rPr>
                <w:lang w:val="fr-CA"/>
              </w:rPr>
            </w:pPr>
            <w:r w:rsidRPr="00926241">
              <w:rPr>
                <w:b/>
                <w:smallCaps/>
                <w:lang w:val="fr-CA"/>
              </w:rPr>
              <w:t>Citation:</w:t>
            </w:r>
            <w:r w:rsidRPr="00926241">
              <w:rPr>
                <w:lang w:val="fr-CA"/>
              </w:rPr>
              <w:t xml:space="preserve"> </w:t>
            </w:r>
            <w:r w:rsidRPr="00B60013">
              <w:rPr>
                <w:lang w:val="fr-FR"/>
              </w:rPr>
              <w:t>Association des parents de l</w:t>
            </w:r>
            <w:r>
              <w:rPr>
                <w:lang w:val="fr-FR"/>
              </w:rPr>
              <w:t>’école Rose-des-</w:t>
            </w:r>
            <w:r w:rsidRPr="00B60013">
              <w:rPr>
                <w:lang w:val="fr-FR"/>
              </w:rPr>
              <w:t xml:space="preserve">vents </w:t>
            </w:r>
            <w:r w:rsidRPr="00B60013">
              <w:rPr>
                <w:i/>
                <w:lang w:val="fr-FR"/>
              </w:rPr>
              <w:t>v.</w:t>
            </w:r>
            <w:r w:rsidRPr="00B60013">
              <w:rPr>
                <w:lang w:val="fr-FR"/>
              </w:rPr>
              <w:t xml:space="preserve"> British Columbia (Education)</w:t>
            </w:r>
            <w:r w:rsidRPr="00926241">
              <w:rPr>
                <w:lang w:val="fr-CA"/>
              </w:rPr>
              <w:t xml:space="preserve">, 2015 SCC </w:t>
            </w:r>
            <w:r>
              <w:rPr>
                <w:lang w:val="fr-CA"/>
              </w:rPr>
              <w:t>21, [2015] 2 S.C.R. 139</w:t>
            </w:r>
          </w:p>
        </w:tc>
        <w:tc>
          <w:tcPr>
            <w:tcW w:w="2808" w:type="dxa"/>
          </w:tcPr>
          <w:p w:rsidR="00B2189A" w:rsidRPr="006B210C" w:rsidRDefault="00B2189A" w:rsidP="00BC0EE5">
            <w:r w:rsidRPr="006B210C">
              <w:rPr>
                <w:b/>
                <w:smallCaps/>
              </w:rPr>
              <w:t>Date</w:t>
            </w:r>
            <w:r>
              <w:rPr>
                <w:b/>
                <w:smallCaps/>
              </w:rPr>
              <w:t>:</w:t>
            </w:r>
            <w:r w:rsidRPr="006B210C">
              <w:t xml:space="preserve"> </w:t>
            </w:r>
            <w:r>
              <w:t>20150424</w:t>
            </w:r>
          </w:p>
          <w:p w:rsidR="00B2189A" w:rsidRPr="006B210C" w:rsidRDefault="00B2189A" w:rsidP="00BC0EE5">
            <w:r w:rsidRPr="006B210C">
              <w:rPr>
                <w:b/>
                <w:smallCaps/>
              </w:rPr>
              <w:t>Docket</w:t>
            </w:r>
            <w:r>
              <w:rPr>
                <w:b/>
                <w:smallCaps/>
              </w:rPr>
              <w:t>:</w:t>
            </w:r>
            <w:r w:rsidRPr="006B210C">
              <w:t xml:space="preserve"> </w:t>
            </w:r>
            <w:r>
              <w:t>35619</w:t>
            </w:r>
          </w:p>
        </w:tc>
      </w:tr>
    </w:tbl>
    <w:p w:rsidR="00B2189A" w:rsidRPr="006B210C" w:rsidRDefault="00B2189A" w:rsidP="00B2189A"/>
    <w:p w:rsidR="00B2189A" w:rsidRDefault="00B2189A" w:rsidP="00B2189A">
      <w:pPr>
        <w:pStyle w:val="SCCLsocPrefix"/>
      </w:pPr>
      <w:r>
        <w:t>Between:</w:t>
      </w:r>
    </w:p>
    <w:p w:rsidR="00B2189A" w:rsidRPr="00AB1245" w:rsidRDefault="00B2189A" w:rsidP="00B2189A">
      <w:bookmarkStart w:id="0" w:name="_GoBack"/>
      <w:bookmarkEnd w:id="0"/>
    </w:p>
    <w:p w:rsidR="00B2189A" w:rsidRDefault="00B2189A" w:rsidP="00B2189A">
      <w:pPr>
        <w:pStyle w:val="SCCLsocParty"/>
        <w:jc w:val="center"/>
      </w:pPr>
      <w:r>
        <w:t>Association des parents de l’école Rose-des-vents, Joseph Pagé, in his name and in the name of all citizens of Canada residing west of Main Street in the city of Vancouver whose first language learned and still understood is French, or who have received their primary school instruction in Canada in French, or of whom any child has received or is receiving primary or secondary school instruction in French in Canada, and Conseil scolaire francophone de la Colombie-Britannique</w:t>
      </w:r>
    </w:p>
    <w:p w:rsidR="00B2189A" w:rsidRDefault="00B2189A" w:rsidP="00B2189A">
      <w:pPr>
        <w:jc w:val="center"/>
      </w:pPr>
      <w:r>
        <w:t>Appellants</w:t>
      </w:r>
    </w:p>
    <w:p w:rsidR="00B2189A" w:rsidRPr="00B2189A" w:rsidRDefault="00B2189A" w:rsidP="00B2189A">
      <w:pPr>
        <w:pStyle w:val="SCCLsocVersus"/>
        <w:spacing w:after="0"/>
        <w:jc w:val="center"/>
        <w:rPr>
          <w:i w:val="0"/>
        </w:rPr>
      </w:pPr>
      <w:r w:rsidRPr="00B2189A">
        <w:rPr>
          <w:i w:val="0"/>
        </w:rPr>
        <w:t>and</w:t>
      </w:r>
    </w:p>
    <w:p w:rsidR="00B2189A" w:rsidRDefault="00B2189A" w:rsidP="00B2189A">
      <w:pPr>
        <w:pStyle w:val="SCCLsocParty"/>
        <w:jc w:val="center"/>
      </w:pPr>
      <w:r>
        <w:t>Minister of Education of British Columbia and Attorney General of British Columbia</w:t>
      </w:r>
    </w:p>
    <w:p w:rsidR="00B2189A" w:rsidRDefault="00B2189A" w:rsidP="00B2189A">
      <w:pPr>
        <w:jc w:val="center"/>
      </w:pPr>
      <w:r>
        <w:t>Respondents</w:t>
      </w:r>
    </w:p>
    <w:p w:rsidR="00B2189A" w:rsidRDefault="00B2189A" w:rsidP="00B2189A">
      <w:pPr>
        <w:jc w:val="center"/>
      </w:pPr>
      <w:r>
        <w:t>- and -</w:t>
      </w:r>
    </w:p>
    <w:p w:rsidR="00B2189A" w:rsidRDefault="00B2189A" w:rsidP="00B2189A">
      <w:pPr>
        <w:pStyle w:val="SCCLsocParty"/>
        <w:jc w:val="center"/>
      </w:pPr>
      <w:r>
        <w:t>Attorney General for Saskatchewan, Attorney General of Alberta, Attorney General of the Northwest Territories, Attorney General of the Yukon Territory, Commissioner of Official Languages of Canada, Commission scolaire francophone, Territoires du Nord-Ouest, Fédération nationale des conseils scolaires francophones, Conseil des écoles fransaskoises and Commission scolaire francophone du Yukon</w:t>
      </w:r>
    </w:p>
    <w:p w:rsidR="00B2189A" w:rsidRDefault="00B2189A" w:rsidP="00B2189A">
      <w:pPr>
        <w:jc w:val="center"/>
      </w:pPr>
      <w:r>
        <w:t>Interveners</w:t>
      </w:r>
    </w:p>
    <w:p w:rsidR="00B2189A" w:rsidRDefault="00B2189A" w:rsidP="00B2189A"/>
    <w:p w:rsidR="00B2189A" w:rsidRPr="006B210C" w:rsidRDefault="00B2189A" w:rsidP="00B2189A">
      <w:r w:rsidRPr="006B210C">
        <w:rPr>
          <w:b/>
          <w:smallCaps/>
        </w:rPr>
        <w:t>Coram</w:t>
      </w:r>
      <w:r>
        <w:rPr>
          <w:b/>
          <w:smallCaps/>
        </w:rPr>
        <w:t>:</w:t>
      </w:r>
      <w:r w:rsidRPr="006B210C">
        <w:t xml:space="preserve"> </w:t>
      </w:r>
      <w:r>
        <w:t>McLachlin C.J. and Abella, Rothstein, Moldaver, Karakatsanis, Wagner and Gascon JJ.</w:t>
      </w:r>
    </w:p>
    <w:p w:rsidR="00B2189A" w:rsidRPr="006B210C" w:rsidRDefault="00B2189A" w:rsidP="00B218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2189A" w:rsidRPr="006B210C" w:rsidTr="00BC0EE5">
        <w:trPr>
          <w:cantSplit/>
        </w:trPr>
        <w:tc>
          <w:tcPr>
            <w:tcW w:w="3618" w:type="dxa"/>
          </w:tcPr>
          <w:p w:rsidR="00B2189A" w:rsidRDefault="00B2189A" w:rsidP="00BC0EE5">
            <w:pPr>
              <w:rPr>
                <w:b/>
                <w:smallCaps/>
              </w:rPr>
            </w:pPr>
            <w:r w:rsidRPr="006B210C">
              <w:rPr>
                <w:b/>
                <w:smallCaps/>
              </w:rPr>
              <w:t>Reasons for Judgment</w:t>
            </w:r>
            <w:r>
              <w:rPr>
                <w:b/>
                <w:smallCaps/>
              </w:rPr>
              <w:t>:</w:t>
            </w:r>
          </w:p>
          <w:p w:rsidR="00B2189A" w:rsidRPr="00AB1245" w:rsidRDefault="00B2189A" w:rsidP="00BC0EE5">
            <w:r w:rsidRPr="00AB1245">
              <w:t>(paras 1 to 90)</w:t>
            </w:r>
          </w:p>
        </w:tc>
        <w:tc>
          <w:tcPr>
            <w:tcW w:w="5958" w:type="dxa"/>
          </w:tcPr>
          <w:p w:rsidR="00B2189A" w:rsidRPr="006B210C" w:rsidRDefault="00B2189A" w:rsidP="00BC0EE5">
            <w:r>
              <w:t>Karakatsanis J. (McLachlin C.J. and Abella, Rothstein, Moldaver, Wagner and Gascon JJ. concurring)</w:t>
            </w:r>
          </w:p>
        </w:tc>
      </w:tr>
    </w:tbl>
    <w:p w:rsidR="00B2189A" w:rsidRDefault="00B2189A" w:rsidP="00B2189A"/>
    <w:p w:rsidR="00B2189A" w:rsidRPr="006B210C" w:rsidRDefault="00B2189A" w:rsidP="00B2189A">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B2189A" w:rsidRPr="00B2189A" w:rsidRDefault="00B2189A" w:rsidP="001E4C48">
      <w:pPr>
        <w:widowControl w:val="0"/>
        <w:spacing w:after="720"/>
        <w:jc w:val="both"/>
        <w:rPr>
          <w:rStyle w:val="SCCAppellantForIndexChar"/>
          <w:b w:val="0"/>
        </w:rPr>
      </w:pPr>
    </w:p>
    <w:p w:rsidR="008322BD" w:rsidRPr="00C942F4" w:rsidRDefault="002D33D8" w:rsidP="001E4C48">
      <w:pPr>
        <w:widowControl w:val="0"/>
        <w:spacing w:after="720"/>
        <w:jc w:val="both"/>
        <w:rPr>
          <w:smallCaps/>
          <w:lang w:val="fr-CA"/>
        </w:rPr>
      </w:pPr>
      <w:r w:rsidRPr="002D33D8">
        <w:rPr>
          <w:rStyle w:val="SCCAppellantForIndexChar"/>
          <w:b w:val="0"/>
          <w:lang w:val="fr-CA"/>
        </w:rPr>
        <w:t>Association des parents de l’</w:t>
      </w:r>
      <w:r>
        <w:rPr>
          <w:rStyle w:val="SCCAppellantForRunningHeadChar"/>
          <w:smallCaps w:val="0"/>
          <w:lang w:val="fr-CA"/>
        </w:rPr>
        <w:t>école R</w:t>
      </w:r>
      <w:r w:rsidR="00F316BE" w:rsidRPr="002D33D8">
        <w:rPr>
          <w:rStyle w:val="SCCAppellantForRunningHeadChar"/>
          <w:smallCaps w:val="0"/>
          <w:lang w:val="fr-CA"/>
        </w:rPr>
        <w:t>ose</w:t>
      </w:r>
      <w:r w:rsidR="001E4C48" w:rsidRPr="002D33D8">
        <w:rPr>
          <w:rStyle w:val="SCCAppellantForRunningHeadChar"/>
          <w:smallCaps w:val="0"/>
          <w:lang w:val="fr-CA"/>
        </w:rPr>
        <w:t>-</w:t>
      </w:r>
      <w:r w:rsidR="00F316BE" w:rsidRPr="002D33D8">
        <w:rPr>
          <w:rStyle w:val="SCCAppellantForRunningHeadChar"/>
          <w:smallCaps w:val="0"/>
          <w:lang w:val="fr-CA"/>
        </w:rPr>
        <w:t>des</w:t>
      </w:r>
      <w:r w:rsidR="001E4C48" w:rsidRPr="002D33D8">
        <w:rPr>
          <w:rStyle w:val="SCCAppellantForRunningHeadChar"/>
          <w:smallCaps w:val="0"/>
          <w:lang w:val="fr-CA"/>
        </w:rPr>
        <w:t>-</w:t>
      </w:r>
      <w:r w:rsidR="00F316BE" w:rsidRPr="002D33D8">
        <w:rPr>
          <w:rStyle w:val="SCCAppellantForRunningHeadChar"/>
          <w:smallCaps w:val="0"/>
          <w:lang w:val="fr-CA"/>
        </w:rPr>
        <w:t xml:space="preserve">vents </w:t>
      </w:r>
      <w:r w:rsidR="009B57B3" w:rsidRPr="002D33D8">
        <w:rPr>
          <w:i/>
          <w:lang w:val="fr-CA"/>
        </w:rPr>
        <w:t>v.</w:t>
      </w:r>
      <w:r w:rsidR="00B000D8" w:rsidRPr="002D33D8">
        <w:rPr>
          <w:smallCaps/>
          <w:lang w:val="fr-CA"/>
        </w:rPr>
        <w:t xml:space="preserve"> </w:t>
      </w:r>
      <w:r>
        <w:rPr>
          <w:rStyle w:val="SCCRespondentForRunningHeadChar"/>
          <w:smallCaps w:val="0"/>
          <w:lang w:val="fr-CA"/>
        </w:rPr>
        <w:t>British Columbia (E</w:t>
      </w:r>
      <w:r w:rsidR="00E413D7" w:rsidRPr="002D33D8">
        <w:rPr>
          <w:rStyle w:val="SCCRespondentForRunningHeadChar"/>
          <w:smallCaps w:val="0"/>
          <w:lang w:val="fr-CA"/>
        </w:rPr>
        <w:t>ducation)</w:t>
      </w:r>
      <w:r w:rsidR="00C942F4">
        <w:rPr>
          <w:rStyle w:val="SCCRespondentForRunningHeadChar"/>
          <w:smallCaps w:val="0"/>
          <w:lang w:val="fr-CA"/>
        </w:rPr>
        <w:t xml:space="preserve">, </w:t>
      </w:r>
      <w:r w:rsidR="00C942F4" w:rsidRPr="00C942F4">
        <w:rPr>
          <w:lang w:val="fr-CA"/>
        </w:rPr>
        <w:t>2015 SCC 21</w:t>
      </w:r>
      <w:r w:rsidR="00C942F4">
        <w:rPr>
          <w:lang w:val="fr-CA"/>
        </w:rPr>
        <w:t>, [2015] 2 S.C.R. 139</w:t>
      </w:r>
    </w:p>
    <w:p w:rsidR="00D86B59" w:rsidRPr="0042252B" w:rsidRDefault="00406F89" w:rsidP="001E4C48">
      <w:pPr>
        <w:pStyle w:val="SCCLsocParty"/>
        <w:widowControl w:val="0"/>
        <w:outlineLvl w:val="0"/>
        <w:rPr>
          <w:lang w:val="fr-CA"/>
        </w:rPr>
      </w:pPr>
      <w:r w:rsidRPr="0042252B">
        <w:rPr>
          <w:lang w:val="fr-CA"/>
        </w:rPr>
        <w:lastRenderedPageBreak/>
        <w:t>Association des parents de l</w:t>
      </w:r>
      <w:r w:rsidR="00F316BE" w:rsidRPr="0042252B">
        <w:rPr>
          <w:lang w:val="fr-CA"/>
        </w:rPr>
        <w:t>’</w:t>
      </w:r>
      <w:r w:rsidRPr="0042252B">
        <w:rPr>
          <w:lang w:val="fr-CA"/>
        </w:rPr>
        <w:t>école Rose</w:t>
      </w:r>
      <w:r w:rsidR="001E4C48">
        <w:rPr>
          <w:lang w:val="fr-CA"/>
        </w:rPr>
        <w:t>-</w:t>
      </w:r>
      <w:r w:rsidRPr="0042252B">
        <w:rPr>
          <w:lang w:val="fr-CA"/>
        </w:rPr>
        <w:t>des</w:t>
      </w:r>
      <w:r w:rsidR="001E4C48">
        <w:rPr>
          <w:lang w:val="fr-CA"/>
        </w:rPr>
        <w:t>-</w:t>
      </w:r>
      <w:r w:rsidRPr="0042252B">
        <w:rPr>
          <w:lang w:val="fr-CA"/>
        </w:rPr>
        <w:t>vents,</w:t>
      </w:r>
    </w:p>
    <w:p w:rsidR="00F316BE" w:rsidRPr="0042252B" w:rsidRDefault="00406F89" w:rsidP="001E4C48">
      <w:pPr>
        <w:pStyle w:val="SCCLsocParty"/>
        <w:widowControl w:val="0"/>
        <w:outlineLvl w:val="0"/>
      </w:pPr>
      <w:r w:rsidRPr="0042252B">
        <w:t>Joseph Pagé</w:t>
      </w:r>
      <w:r w:rsidR="002B2172" w:rsidRPr="0042252B">
        <w:t>,</w:t>
      </w:r>
      <w:r w:rsidRPr="0042252B">
        <w:t xml:space="preserve"> </w:t>
      </w:r>
      <w:r w:rsidR="00371049" w:rsidRPr="0042252B">
        <w:t>in his name and in the name</w:t>
      </w:r>
      <w:r w:rsidRPr="0042252B">
        <w:t xml:space="preserve"> of all citizens of </w:t>
      </w:r>
    </w:p>
    <w:p w:rsidR="00F316BE" w:rsidRPr="0042252B" w:rsidRDefault="00406F89" w:rsidP="001E4C48">
      <w:pPr>
        <w:pStyle w:val="SCCLsocParty"/>
        <w:widowControl w:val="0"/>
        <w:outlineLvl w:val="0"/>
      </w:pPr>
      <w:r w:rsidRPr="0042252B">
        <w:t xml:space="preserve">Canada residing west of Main Street in the city of Vancouver </w:t>
      </w:r>
    </w:p>
    <w:p w:rsidR="00F316BE" w:rsidRPr="0042252B" w:rsidRDefault="00406F89" w:rsidP="001E4C48">
      <w:pPr>
        <w:pStyle w:val="SCCLsocParty"/>
        <w:widowControl w:val="0"/>
      </w:pPr>
      <w:r w:rsidRPr="0042252B">
        <w:t xml:space="preserve">whose first language learned </w:t>
      </w:r>
      <w:r w:rsidR="00F316BE" w:rsidRPr="0042252B">
        <w:t xml:space="preserve">and still understood is French, </w:t>
      </w:r>
      <w:r w:rsidRPr="0042252B">
        <w:t xml:space="preserve">or </w:t>
      </w:r>
    </w:p>
    <w:p w:rsidR="00F316BE" w:rsidRPr="0042252B" w:rsidRDefault="00406F89" w:rsidP="001E4C48">
      <w:pPr>
        <w:pStyle w:val="SCCLsocParty"/>
        <w:widowControl w:val="0"/>
      </w:pPr>
      <w:r w:rsidRPr="0042252B">
        <w:t xml:space="preserve">who have received their primary school instruction in Canada </w:t>
      </w:r>
    </w:p>
    <w:p w:rsidR="00F316BE" w:rsidRPr="0042252B" w:rsidRDefault="00406F89" w:rsidP="001E4C48">
      <w:pPr>
        <w:pStyle w:val="SCCLsocParty"/>
        <w:widowControl w:val="0"/>
      </w:pPr>
      <w:r w:rsidRPr="0042252B">
        <w:t xml:space="preserve">in French, or of whom any child has received or is receiving </w:t>
      </w:r>
    </w:p>
    <w:p w:rsidR="00D86B59" w:rsidRPr="0042252B" w:rsidRDefault="00406F89" w:rsidP="001E4C48">
      <w:pPr>
        <w:pStyle w:val="SCCLsocParty"/>
        <w:widowControl w:val="0"/>
      </w:pPr>
      <w:r w:rsidRPr="0042252B">
        <w:t xml:space="preserve">primary or secondary school </w:t>
      </w:r>
      <w:r w:rsidR="00F316BE" w:rsidRPr="0042252B">
        <w:t>instruction in French in Canada</w:t>
      </w:r>
      <w:r w:rsidR="002B2172" w:rsidRPr="0042252B">
        <w:t>,</w:t>
      </w:r>
      <w:r w:rsidR="00F316BE" w:rsidRPr="0042252B">
        <w:t xml:space="preserve"> and</w:t>
      </w:r>
    </w:p>
    <w:p w:rsidR="00D86B59" w:rsidRPr="0042252B" w:rsidRDefault="00406F89" w:rsidP="001E4C48">
      <w:pPr>
        <w:pStyle w:val="SCCLsocLastPartyInRole"/>
        <w:widowControl w:val="0"/>
        <w:rPr>
          <w:lang w:val="fr-CA"/>
        </w:rPr>
      </w:pPr>
      <w:r w:rsidRPr="0042252B">
        <w:rPr>
          <w:lang w:val="fr-CA"/>
        </w:rPr>
        <w:t>Conseil scolaire francophone de la Colombie</w:t>
      </w:r>
      <w:r w:rsidR="001E4C48">
        <w:rPr>
          <w:lang w:val="fr-CA"/>
        </w:rPr>
        <w:t>-</w:t>
      </w:r>
      <w:r w:rsidRPr="0042252B">
        <w:rPr>
          <w:lang w:val="fr-CA"/>
        </w:rPr>
        <w:t>Britannique</w:t>
      </w:r>
      <w:r w:rsidRPr="0042252B">
        <w:rPr>
          <w:rStyle w:val="SCCLsocPartyRole"/>
          <w:lang w:val="fr-CA"/>
        </w:rPr>
        <w:tab/>
        <w:t>Appellants</w:t>
      </w:r>
    </w:p>
    <w:p w:rsidR="00D86B59" w:rsidRPr="0042252B" w:rsidRDefault="00406F89" w:rsidP="001E4C48">
      <w:pPr>
        <w:pStyle w:val="SCCLsocVersus"/>
        <w:widowControl w:val="0"/>
      </w:pPr>
      <w:r w:rsidRPr="0042252B">
        <w:t>v.</w:t>
      </w:r>
    </w:p>
    <w:p w:rsidR="00D86B59" w:rsidRPr="0042252B" w:rsidRDefault="003D1F53" w:rsidP="001E4C48">
      <w:pPr>
        <w:pStyle w:val="SCCLsocParty"/>
        <w:widowControl w:val="0"/>
        <w:outlineLvl w:val="0"/>
      </w:pPr>
      <w:r w:rsidRPr="0042252B">
        <w:t>Minister</w:t>
      </w:r>
      <w:r w:rsidR="00406F89" w:rsidRPr="0042252B">
        <w:t xml:space="preserve"> of Education of British Columbia</w:t>
      </w:r>
      <w:r w:rsidR="00F316BE" w:rsidRPr="0042252B">
        <w:t xml:space="preserve"> and</w:t>
      </w:r>
    </w:p>
    <w:p w:rsidR="00D86B59" w:rsidRPr="0042252B" w:rsidRDefault="00406F89" w:rsidP="001E4C48">
      <w:pPr>
        <w:pStyle w:val="SCCLsocLastPartyInRole"/>
        <w:widowControl w:val="0"/>
      </w:pPr>
      <w:r w:rsidRPr="0042252B">
        <w:t>Attorney General of British Columbia</w:t>
      </w:r>
      <w:r w:rsidRPr="0042252B">
        <w:rPr>
          <w:rStyle w:val="SCCLsocPartyRole"/>
        </w:rPr>
        <w:tab/>
        <w:t>Respondents</w:t>
      </w:r>
    </w:p>
    <w:p w:rsidR="00D86B59" w:rsidRPr="0042252B" w:rsidRDefault="00406F89" w:rsidP="001E4C48">
      <w:pPr>
        <w:pStyle w:val="SCCLsocOtherPartySeparator"/>
        <w:widowControl w:val="0"/>
      </w:pPr>
      <w:r w:rsidRPr="0042252B">
        <w:t>and</w:t>
      </w:r>
    </w:p>
    <w:p w:rsidR="00BC23FD" w:rsidRPr="0042252B" w:rsidRDefault="00BC23FD" w:rsidP="001E4C48">
      <w:pPr>
        <w:pStyle w:val="SCCLsocParty"/>
        <w:widowControl w:val="0"/>
        <w:outlineLvl w:val="0"/>
      </w:pPr>
      <w:r w:rsidRPr="0042252B">
        <w:t>Attorney General for Saskatchewan,</w:t>
      </w:r>
    </w:p>
    <w:p w:rsidR="00BC23FD" w:rsidRPr="0042252B" w:rsidRDefault="00BC23FD" w:rsidP="001E4C48">
      <w:pPr>
        <w:pStyle w:val="SCCLsocParty"/>
        <w:widowControl w:val="0"/>
        <w:outlineLvl w:val="0"/>
      </w:pPr>
      <w:r w:rsidRPr="0042252B">
        <w:t>Attorney General of Alberta,</w:t>
      </w:r>
    </w:p>
    <w:p w:rsidR="00D86B59" w:rsidRPr="0042252B" w:rsidRDefault="00406F89" w:rsidP="001E4C48">
      <w:pPr>
        <w:pStyle w:val="SCCLsocParty"/>
        <w:widowControl w:val="0"/>
        <w:outlineLvl w:val="0"/>
      </w:pPr>
      <w:r w:rsidRPr="0042252B">
        <w:t>Attorney General of the Northwest Territories,</w:t>
      </w:r>
    </w:p>
    <w:p w:rsidR="00D86B59" w:rsidRPr="0042252B" w:rsidRDefault="00406F89" w:rsidP="001E4C48">
      <w:pPr>
        <w:pStyle w:val="SCCLsocParty"/>
        <w:widowControl w:val="0"/>
        <w:outlineLvl w:val="0"/>
      </w:pPr>
      <w:r w:rsidRPr="0042252B">
        <w:t>Attorney General of the Yukon</w:t>
      </w:r>
      <w:r w:rsidR="00371049" w:rsidRPr="0042252B">
        <w:t xml:space="preserve"> Territory</w:t>
      </w:r>
      <w:r w:rsidRPr="0042252B">
        <w:t>,</w:t>
      </w:r>
    </w:p>
    <w:p w:rsidR="00D86B59" w:rsidRPr="0042252B" w:rsidRDefault="00406F89" w:rsidP="001E4C48">
      <w:pPr>
        <w:pStyle w:val="SCCLsocParty"/>
        <w:widowControl w:val="0"/>
        <w:outlineLvl w:val="0"/>
      </w:pPr>
      <w:r w:rsidRPr="0042252B">
        <w:t>Commissioner of Official Languages of Canada,</w:t>
      </w:r>
    </w:p>
    <w:p w:rsidR="00D86B59" w:rsidRPr="0042252B" w:rsidRDefault="00DA4858" w:rsidP="001E4C48">
      <w:pPr>
        <w:pStyle w:val="SCCLsocParty"/>
        <w:widowControl w:val="0"/>
        <w:outlineLvl w:val="0"/>
        <w:rPr>
          <w:lang w:val="fr-CA"/>
        </w:rPr>
      </w:pPr>
      <w:r w:rsidRPr="0042252B">
        <w:rPr>
          <w:lang w:val="fr-CA"/>
        </w:rPr>
        <w:t xml:space="preserve">Commission scolaire francophone, </w:t>
      </w:r>
      <w:r w:rsidR="00406F89" w:rsidRPr="0042252B">
        <w:rPr>
          <w:lang w:val="fr-CA"/>
        </w:rPr>
        <w:t>Territoires du Nord</w:t>
      </w:r>
      <w:r w:rsidR="001E4C48">
        <w:rPr>
          <w:lang w:val="fr-CA"/>
        </w:rPr>
        <w:t>-</w:t>
      </w:r>
      <w:r w:rsidR="00406F89" w:rsidRPr="0042252B">
        <w:rPr>
          <w:lang w:val="fr-CA"/>
        </w:rPr>
        <w:t>Ouest,</w:t>
      </w:r>
    </w:p>
    <w:p w:rsidR="00D86B59" w:rsidRPr="0042252B" w:rsidRDefault="00406F89" w:rsidP="001E4C48">
      <w:pPr>
        <w:pStyle w:val="SCCLsocParty"/>
        <w:widowControl w:val="0"/>
        <w:outlineLvl w:val="0"/>
        <w:rPr>
          <w:lang w:val="fr-CA"/>
        </w:rPr>
      </w:pPr>
      <w:r w:rsidRPr="0042252B">
        <w:rPr>
          <w:lang w:val="fr-CA"/>
        </w:rPr>
        <w:t>Fédération nationale des conseils scolaires francophones,</w:t>
      </w:r>
    </w:p>
    <w:p w:rsidR="00D86B59" w:rsidRPr="0042252B" w:rsidRDefault="00406F89" w:rsidP="001E4C48">
      <w:pPr>
        <w:pStyle w:val="SCCLsocParty"/>
        <w:widowControl w:val="0"/>
        <w:outlineLvl w:val="0"/>
        <w:rPr>
          <w:lang w:val="fr-CA"/>
        </w:rPr>
      </w:pPr>
      <w:r w:rsidRPr="0042252B">
        <w:rPr>
          <w:lang w:val="fr-CA"/>
        </w:rPr>
        <w:t>C</w:t>
      </w:r>
      <w:r w:rsidR="00BC23FD" w:rsidRPr="0042252B">
        <w:rPr>
          <w:lang w:val="fr-CA"/>
        </w:rPr>
        <w:t>onseil des écoles fransaskoises and</w:t>
      </w:r>
    </w:p>
    <w:p w:rsidR="00D86B59" w:rsidRPr="0042252B" w:rsidRDefault="00406F89" w:rsidP="001E4C48">
      <w:pPr>
        <w:pStyle w:val="SCCLsocLastPartyInRole"/>
        <w:widowControl w:val="0"/>
        <w:rPr>
          <w:lang w:val="fr-CA"/>
        </w:rPr>
      </w:pPr>
      <w:r w:rsidRPr="0042252B">
        <w:rPr>
          <w:lang w:val="fr-CA"/>
        </w:rPr>
        <w:t>Commission scolaire francophone du Yukon</w:t>
      </w:r>
      <w:r w:rsidRPr="0042252B">
        <w:rPr>
          <w:rStyle w:val="SCCLsocPartyRole"/>
          <w:lang w:val="fr-CA"/>
        </w:rPr>
        <w:tab/>
        <w:t>Interveners</w:t>
      </w:r>
    </w:p>
    <w:p w:rsidR="00426659" w:rsidRPr="0042252B" w:rsidRDefault="00426659" w:rsidP="001E4C48">
      <w:pPr>
        <w:widowControl w:val="0"/>
        <w:spacing w:after="720"/>
        <w:jc w:val="both"/>
        <w:rPr>
          <w:b/>
          <w:lang w:val="fr-CA"/>
        </w:rPr>
      </w:pPr>
      <w:r w:rsidRPr="0042252B">
        <w:rPr>
          <w:b/>
          <w:lang w:val="fr-CA"/>
        </w:rPr>
        <w:t xml:space="preserve">Indexed as: </w:t>
      </w:r>
      <w:r w:rsidRPr="0042252B">
        <w:rPr>
          <w:rStyle w:val="SCCAppellantForIndexChar"/>
          <w:lang w:val="fr-CA"/>
        </w:rPr>
        <w:t>Association des par</w:t>
      </w:r>
      <w:r w:rsidR="00BC23FD" w:rsidRPr="0042252B">
        <w:rPr>
          <w:rStyle w:val="SCCAppellantForIndexChar"/>
          <w:lang w:val="fr-CA"/>
        </w:rPr>
        <w:t>ents de l’école Rose</w:t>
      </w:r>
      <w:r w:rsidR="001E4C48">
        <w:rPr>
          <w:rStyle w:val="SCCAppellantForIndexChar"/>
          <w:lang w:val="fr-CA"/>
        </w:rPr>
        <w:t>-</w:t>
      </w:r>
      <w:r w:rsidR="00BC23FD" w:rsidRPr="0042252B">
        <w:rPr>
          <w:rStyle w:val="SCCAppellantForIndexChar"/>
          <w:lang w:val="fr-CA"/>
        </w:rPr>
        <w:t>des</w:t>
      </w:r>
      <w:r w:rsidR="001E4C48">
        <w:rPr>
          <w:rStyle w:val="SCCAppellantForIndexChar"/>
          <w:lang w:val="fr-CA"/>
        </w:rPr>
        <w:t>-</w:t>
      </w:r>
      <w:r w:rsidR="00BC23FD" w:rsidRPr="0042252B">
        <w:rPr>
          <w:rStyle w:val="SCCAppellantForIndexChar"/>
          <w:lang w:val="fr-CA"/>
        </w:rPr>
        <w:t>vents</w:t>
      </w:r>
      <w:r w:rsidRPr="0042252B">
        <w:rPr>
          <w:b/>
          <w:lang w:val="fr-CA"/>
        </w:rPr>
        <w:t xml:space="preserve"> </w:t>
      </w:r>
      <w:r w:rsidRPr="0042252B">
        <w:rPr>
          <w:b/>
          <w:i/>
          <w:lang w:val="fr-CA"/>
        </w:rPr>
        <w:t>v.</w:t>
      </w:r>
      <w:r w:rsidRPr="0042252B">
        <w:rPr>
          <w:b/>
          <w:lang w:val="fr-CA"/>
        </w:rPr>
        <w:t xml:space="preserve"> </w:t>
      </w:r>
      <w:r w:rsidR="00BC23FD" w:rsidRPr="0042252B">
        <w:rPr>
          <w:b/>
          <w:lang w:val="fr-CA"/>
        </w:rPr>
        <w:t>British Columbia (</w:t>
      </w:r>
      <w:r w:rsidR="00BC23FD" w:rsidRPr="0042252B">
        <w:rPr>
          <w:rStyle w:val="SCCRespondentForIndexChar"/>
          <w:lang w:val="fr-CA"/>
        </w:rPr>
        <w:t>Education)</w:t>
      </w:r>
    </w:p>
    <w:p w:rsidR="00426659" w:rsidRPr="0042252B" w:rsidRDefault="004F36FF" w:rsidP="001E4C48">
      <w:pPr>
        <w:pStyle w:val="SCCSystemYear"/>
        <w:widowControl w:val="0"/>
        <w:spacing w:after="720"/>
        <w:jc w:val="both"/>
        <w:outlineLvl w:val="0"/>
        <w:rPr>
          <w:lang w:val="en-US"/>
        </w:rPr>
      </w:pPr>
      <w:r w:rsidRPr="0042252B">
        <w:rPr>
          <w:lang w:val="en-US"/>
        </w:rPr>
        <w:t>2015</w:t>
      </w:r>
      <w:r w:rsidR="003D0399" w:rsidRPr="0042252B">
        <w:rPr>
          <w:lang w:val="en-US"/>
        </w:rPr>
        <w:t xml:space="preserve"> </w:t>
      </w:r>
      <w:r w:rsidR="00426659" w:rsidRPr="0042252B">
        <w:rPr>
          <w:lang w:val="en-US"/>
        </w:rPr>
        <w:t>SCC</w:t>
      </w:r>
      <w:r w:rsidR="00E413D7">
        <w:rPr>
          <w:lang w:val="en-US"/>
        </w:rPr>
        <w:t xml:space="preserve"> </w:t>
      </w:r>
      <w:r w:rsidR="00722E17">
        <w:rPr>
          <w:lang w:val="en-US"/>
        </w:rPr>
        <w:t>21</w:t>
      </w:r>
    </w:p>
    <w:p w:rsidR="008322BD" w:rsidRPr="0042252B" w:rsidRDefault="00F94AAB" w:rsidP="001E4C48">
      <w:pPr>
        <w:widowControl w:val="0"/>
        <w:spacing w:after="720"/>
        <w:jc w:val="both"/>
        <w:outlineLvl w:val="0"/>
      </w:pPr>
      <w:r w:rsidRPr="0042252B">
        <w:t xml:space="preserve">File No.: </w:t>
      </w:r>
      <w:r w:rsidR="009B57B3" w:rsidRPr="0042252B">
        <w:t>35619.</w:t>
      </w:r>
    </w:p>
    <w:p w:rsidR="008322BD" w:rsidRPr="0042252B" w:rsidRDefault="00F94AAB" w:rsidP="001E4C48">
      <w:pPr>
        <w:widowControl w:val="0"/>
        <w:spacing w:after="720"/>
        <w:jc w:val="both"/>
      </w:pPr>
      <w:r w:rsidRPr="0042252B">
        <w:t>2014:</w:t>
      </w:r>
      <w:r w:rsidR="00E413D7">
        <w:t xml:space="preserve"> </w:t>
      </w:r>
      <w:r w:rsidRPr="0042252B">
        <w:t>December</w:t>
      </w:r>
      <w:r w:rsidR="00E413D7">
        <w:t xml:space="preserve"> </w:t>
      </w:r>
      <w:r w:rsidR="004F36FF" w:rsidRPr="0042252B">
        <w:t>2</w:t>
      </w:r>
      <w:r w:rsidR="00405A66" w:rsidRPr="0042252B">
        <w:t>; 2015:</w:t>
      </w:r>
      <w:r w:rsidR="00E413D7">
        <w:t xml:space="preserve"> </w:t>
      </w:r>
      <w:r w:rsidR="00405A66" w:rsidRPr="0042252B">
        <w:t>April</w:t>
      </w:r>
      <w:r w:rsidR="00E413D7">
        <w:t xml:space="preserve"> </w:t>
      </w:r>
      <w:r w:rsidR="00BF0EAD" w:rsidRPr="0042252B">
        <w:t>24</w:t>
      </w:r>
      <w:r w:rsidR="009B57B3" w:rsidRPr="0042252B">
        <w:t>.</w:t>
      </w:r>
    </w:p>
    <w:p w:rsidR="008322BD" w:rsidRPr="0042252B" w:rsidRDefault="009B57B3" w:rsidP="001E4C48">
      <w:pPr>
        <w:widowControl w:val="0"/>
        <w:spacing w:after="720"/>
        <w:jc w:val="both"/>
      </w:pPr>
      <w:r w:rsidRPr="0042252B">
        <w:lastRenderedPageBreak/>
        <w:t>Present:  McLachlin</w:t>
      </w:r>
      <w:r w:rsidR="00E413D7">
        <w:t xml:space="preserve"> </w:t>
      </w:r>
      <w:r w:rsidRPr="0042252B">
        <w:t>C.J. and Abella, Rothstein, Moldaver, Karakatsanis, Wagner and Gascon</w:t>
      </w:r>
      <w:r w:rsidR="00E413D7">
        <w:t xml:space="preserve"> </w:t>
      </w:r>
      <w:r w:rsidRPr="0042252B">
        <w:t>JJ.</w:t>
      </w:r>
    </w:p>
    <w:p w:rsidR="008322BD" w:rsidRPr="0042252B" w:rsidRDefault="00656313" w:rsidP="001E4C48">
      <w:pPr>
        <w:pStyle w:val="SCCLowerCourtNameLowercase"/>
        <w:widowControl w:val="0"/>
        <w:spacing w:after="720" w:line="240" w:lineRule="auto"/>
        <w:outlineLvl w:val="0"/>
      </w:pPr>
      <w:r w:rsidRPr="0042252B">
        <w:t>o</w:t>
      </w:r>
      <w:r w:rsidR="00170592" w:rsidRPr="0042252B">
        <w:t>n</w:t>
      </w:r>
      <w:r w:rsidR="00224FC0" w:rsidRPr="0042252B">
        <w:t xml:space="preserve"> </w:t>
      </w:r>
      <w:r w:rsidRPr="0042252B">
        <w:t>a</w:t>
      </w:r>
      <w:r w:rsidR="00170592" w:rsidRPr="0042252B">
        <w:t>ppeal</w:t>
      </w:r>
      <w:r w:rsidR="00224FC0" w:rsidRPr="0042252B">
        <w:t xml:space="preserve"> </w:t>
      </w:r>
      <w:r w:rsidR="00170592" w:rsidRPr="0042252B">
        <w:t>from</w:t>
      </w:r>
      <w:r w:rsidR="009567AA" w:rsidRPr="0042252B">
        <w:t xml:space="preserve"> the</w:t>
      </w:r>
      <w:r w:rsidR="00224FC0" w:rsidRPr="0042252B">
        <w:t xml:space="preserve"> </w:t>
      </w:r>
      <w:r w:rsidR="009B57B3" w:rsidRPr="0042252B">
        <w:t xml:space="preserve">court of appeal </w:t>
      </w:r>
      <w:r w:rsidR="00BC23FD" w:rsidRPr="0042252B">
        <w:t>for british columbia</w:t>
      </w:r>
    </w:p>
    <w:p w:rsidR="008B145D" w:rsidRPr="0042252B" w:rsidRDefault="009B57B3" w:rsidP="001E4C48">
      <w:pPr>
        <w:pStyle w:val="SCCNormalDoubleSpacing"/>
        <w:widowControl w:val="0"/>
        <w:spacing w:before="480" w:after="480"/>
        <w:rPr>
          <w:i/>
          <w:lang w:val="en-US"/>
        </w:rPr>
      </w:pPr>
      <w:r w:rsidRPr="0042252B">
        <w:tab/>
      </w:r>
      <w:r w:rsidR="008B145D" w:rsidRPr="0042252B">
        <w:rPr>
          <w:i/>
          <w:lang w:val="en-US"/>
        </w:rPr>
        <w:t>Constitutional law — Charter of Rights — Minority language educational rights — Substantive equality — Manner in which court should assess whether children of rights holders are provided with educational experience equivalent to that provided in schools of linguistic majority of province or territory — Are issues of costs and practicalities relevant to equivalence analysis</w:t>
      </w:r>
      <w:r w:rsidR="00642DA5">
        <w:rPr>
          <w:i/>
          <w:lang w:val="en-US"/>
        </w:rPr>
        <w:t>?</w:t>
      </w:r>
      <w:r w:rsidR="008B145D" w:rsidRPr="0042252B">
        <w:rPr>
          <w:i/>
          <w:lang w:val="en-US"/>
        </w:rPr>
        <w:t xml:space="preserve"> — Whether a finding of lack of equivalence amounts to Charter breach — Whether it is necessary to determine responsibility as between province or territory and school board prior to finding prima facie breach of </w:t>
      </w:r>
      <w:r w:rsidR="00405A66" w:rsidRPr="0042252B">
        <w:rPr>
          <w:i/>
          <w:lang w:val="en-US"/>
        </w:rPr>
        <w:t>s.</w:t>
      </w:r>
      <w:r w:rsidR="00E413D7">
        <w:rPr>
          <w:i/>
          <w:lang w:val="en-US"/>
        </w:rPr>
        <w:t xml:space="preserve"> </w:t>
      </w:r>
      <w:r w:rsidR="008B145D" w:rsidRPr="0042252B">
        <w:rPr>
          <w:i/>
          <w:lang w:val="en-US"/>
        </w:rPr>
        <w:t>23 of Canadian Charter of Rights and Freedoms.</w:t>
      </w:r>
    </w:p>
    <w:p w:rsidR="008B145D" w:rsidRPr="0042252B" w:rsidRDefault="008B145D" w:rsidP="001E4C48">
      <w:pPr>
        <w:pStyle w:val="SCCNormalDoubleSpacing"/>
        <w:widowControl w:val="0"/>
        <w:spacing w:before="480" w:after="480"/>
        <w:rPr>
          <w:i/>
          <w:lang w:val="en-US"/>
        </w:rPr>
      </w:pPr>
      <w:r w:rsidRPr="0042252B">
        <w:rPr>
          <w:i/>
          <w:lang w:val="en-US"/>
        </w:rPr>
        <w:tab/>
        <w:t xml:space="preserve">Constitutional law — Charter of Rights — Procedure — Hearing — Procedural fairness — Phasing of proceedings — Relevance of pleadings — Petition judge phasing proceedings, leaving determination of responsibility for Charter breach to later phase — Petition judge striking portions of province’s pleadings as irrelevant to first phase — Whether procedures adopted by petition judge procedurally unfair. </w:t>
      </w:r>
    </w:p>
    <w:p w:rsidR="008B145D" w:rsidRPr="0042252B" w:rsidRDefault="008B145D" w:rsidP="001E4C48">
      <w:pPr>
        <w:pStyle w:val="SCCNormalDoubleSpacing"/>
        <w:widowControl w:val="0"/>
        <w:spacing w:before="480" w:after="480"/>
        <w:rPr>
          <w:lang w:val="en-US"/>
        </w:rPr>
      </w:pPr>
      <w:r w:rsidRPr="0042252B">
        <w:rPr>
          <w:lang w:val="en-US"/>
        </w:rPr>
        <w:tab/>
      </w:r>
      <w:r w:rsidRPr="0042252B">
        <w:rPr>
          <w:szCs w:val="24"/>
          <w:lang w:val="en-US"/>
        </w:rPr>
        <w:t>L’é</w:t>
      </w:r>
      <w:r w:rsidRPr="0042252B">
        <w:rPr>
          <w:lang w:val="en-US"/>
        </w:rPr>
        <w:t>cole élémentaire Rose</w:t>
      </w:r>
      <w:r w:rsidR="001E4C48">
        <w:rPr>
          <w:lang w:val="en-US"/>
        </w:rPr>
        <w:t>-</w:t>
      </w:r>
      <w:r w:rsidRPr="0042252B">
        <w:rPr>
          <w:lang w:val="en-US"/>
        </w:rPr>
        <w:t>des</w:t>
      </w:r>
      <w:r w:rsidR="001E4C48">
        <w:rPr>
          <w:lang w:val="en-US"/>
        </w:rPr>
        <w:t>-</w:t>
      </w:r>
      <w:r w:rsidRPr="0042252B">
        <w:rPr>
          <w:lang w:val="en-US"/>
        </w:rPr>
        <w:t>vents (“RDV”) is the only publicly</w:t>
      </w:r>
      <w:r w:rsidR="001E4C48">
        <w:rPr>
          <w:lang w:val="en-US"/>
        </w:rPr>
        <w:t>-</w:t>
      </w:r>
      <w:r w:rsidRPr="0042252B">
        <w:rPr>
          <w:lang w:val="en-US"/>
        </w:rPr>
        <w:t>funded French</w:t>
      </w:r>
      <w:r w:rsidR="001E4C48">
        <w:rPr>
          <w:lang w:val="en-US"/>
        </w:rPr>
        <w:t>-</w:t>
      </w:r>
      <w:r w:rsidRPr="0042252B">
        <w:rPr>
          <w:lang w:val="en-US"/>
        </w:rPr>
        <w:t>language elementary school for children living west of Main Street in the city of Vancouver.</w:t>
      </w:r>
      <w:r w:rsidR="00405A66" w:rsidRPr="0042252B">
        <w:rPr>
          <w:lang w:val="en-US"/>
        </w:rPr>
        <w:t xml:space="preserve"> </w:t>
      </w:r>
      <w:r w:rsidRPr="0042252B">
        <w:rPr>
          <w:lang w:val="en-US"/>
        </w:rPr>
        <w:t>The school is overcrowded and enrollment is growing.</w:t>
      </w:r>
      <w:r w:rsidR="00405A66" w:rsidRPr="0042252B">
        <w:rPr>
          <w:lang w:val="en-US"/>
        </w:rPr>
        <w:t xml:space="preserve"> </w:t>
      </w:r>
      <w:r w:rsidR="0040703D" w:rsidRPr="0042252B">
        <w:rPr>
          <w:lang w:val="en-US"/>
        </w:rPr>
        <w:t xml:space="preserve">RDV is small </w:t>
      </w:r>
      <w:r w:rsidRPr="0042252B">
        <w:rPr>
          <w:lang w:val="en-US"/>
        </w:rPr>
        <w:t>and the classrooms are significantly smaller than those in other schools.</w:t>
      </w:r>
      <w:r w:rsidR="00405A66" w:rsidRPr="0042252B">
        <w:rPr>
          <w:lang w:val="en-US"/>
        </w:rPr>
        <w:t xml:space="preserve"> </w:t>
      </w:r>
      <w:r w:rsidRPr="0042252B">
        <w:rPr>
          <w:lang w:val="en-US"/>
        </w:rPr>
        <w:t>Some have no windows and only three classrooms meet the recommended size for classrooms.</w:t>
      </w:r>
      <w:r w:rsidR="00405A66" w:rsidRPr="0042252B">
        <w:rPr>
          <w:lang w:val="en-US"/>
        </w:rPr>
        <w:t xml:space="preserve"> </w:t>
      </w:r>
      <w:r w:rsidRPr="0042252B">
        <w:rPr>
          <w:lang w:val="en-US"/>
        </w:rPr>
        <w:lastRenderedPageBreak/>
        <w:t>The library is very small, the washrooms are inadequate and there is no available flexible space in the school. Roughly 85</w:t>
      </w:r>
      <w:r w:rsidR="00E413D7">
        <w:rPr>
          <w:lang w:val="en-US"/>
        </w:rPr>
        <w:t xml:space="preserve"> </w:t>
      </w:r>
      <w:r w:rsidRPr="0042252B">
        <w:rPr>
          <w:lang w:val="en-US"/>
        </w:rPr>
        <w:t>percent of students attending RDV are</w:t>
      </w:r>
      <w:r w:rsidR="0040703D" w:rsidRPr="0042252B">
        <w:rPr>
          <w:lang w:val="en-US"/>
        </w:rPr>
        <w:t xml:space="preserve"> </w:t>
      </w:r>
      <w:r w:rsidRPr="0042252B">
        <w:rPr>
          <w:lang w:val="en-US"/>
        </w:rPr>
        <w:t>transported to school by bus and over two</w:t>
      </w:r>
      <w:r w:rsidR="001E4C48">
        <w:rPr>
          <w:lang w:val="en-US"/>
        </w:rPr>
        <w:t>-</w:t>
      </w:r>
      <w:r w:rsidRPr="0042252B">
        <w:rPr>
          <w:lang w:val="en-US"/>
        </w:rPr>
        <w:t>thirds of those have bus trips of</w:t>
      </w:r>
      <w:r w:rsidR="00405A66" w:rsidRPr="0042252B">
        <w:rPr>
          <w:lang w:val="en-US"/>
        </w:rPr>
        <w:t xml:space="preserve"> more than 30</w:t>
      </w:r>
      <w:r w:rsidR="00E413D7">
        <w:rPr>
          <w:lang w:val="en-US"/>
        </w:rPr>
        <w:t xml:space="preserve"> </w:t>
      </w:r>
      <w:r w:rsidRPr="0042252B">
        <w:rPr>
          <w:lang w:val="en-US"/>
        </w:rPr>
        <w:t>minutes per tri</w:t>
      </w:r>
      <w:r w:rsidR="00405A66" w:rsidRPr="0042252B">
        <w:rPr>
          <w:lang w:val="en-US"/>
        </w:rPr>
        <w:t xml:space="preserve">p. </w:t>
      </w:r>
      <w:r w:rsidR="00EB131D" w:rsidRPr="0042252B">
        <w:rPr>
          <w:lang w:val="en-US"/>
        </w:rPr>
        <w:t>By contrast, the English</w:t>
      </w:r>
      <w:r w:rsidR="001E4C48">
        <w:rPr>
          <w:lang w:val="en-US"/>
        </w:rPr>
        <w:t>-</w:t>
      </w:r>
      <w:r w:rsidRPr="0042252B">
        <w:rPr>
          <w:lang w:val="en-US"/>
        </w:rPr>
        <w:t>language schools in RDV’s catchment area are larger, with larger classrooms, larger and better playing fields, and more spacious libraries.</w:t>
      </w:r>
      <w:r w:rsidR="00405A66" w:rsidRPr="0042252B">
        <w:rPr>
          <w:lang w:val="en-US"/>
        </w:rPr>
        <w:t xml:space="preserve"> </w:t>
      </w:r>
      <w:r w:rsidRPr="0042252B">
        <w:rPr>
          <w:lang w:val="en-US"/>
        </w:rPr>
        <w:t>M</w:t>
      </w:r>
      <w:r w:rsidR="00EB131D" w:rsidRPr="0042252B">
        <w:rPr>
          <w:lang w:val="en-US"/>
        </w:rPr>
        <w:t>ost students attending English</w:t>
      </w:r>
      <w:r w:rsidR="001E4C48">
        <w:rPr>
          <w:lang w:val="en-US"/>
        </w:rPr>
        <w:t>-</w:t>
      </w:r>
      <w:r w:rsidRPr="0042252B">
        <w:rPr>
          <w:lang w:val="en-US"/>
        </w:rPr>
        <w:t>language schools in the area live within one kilometre of their schools.</w:t>
      </w:r>
    </w:p>
    <w:p w:rsidR="008B145D" w:rsidRPr="0042252B" w:rsidRDefault="008B145D" w:rsidP="001E4C48">
      <w:pPr>
        <w:pStyle w:val="SCCNormalDoubleSpacing"/>
        <w:widowControl w:val="0"/>
        <w:spacing w:before="480" w:after="480"/>
      </w:pPr>
      <w:r w:rsidRPr="0042252B">
        <w:tab/>
        <w:t xml:space="preserve">In 2010, </w:t>
      </w:r>
      <w:r w:rsidRPr="0042252B">
        <w:rPr>
          <w:lang w:val="en-US"/>
        </w:rPr>
        <w:t>parents of children attending RDV challenged their school board and the provincial government, seeking a declaration that the educational services made available to their children were not equ</w:t>
      </w:r>
      <w:r w:rsidR="00EB131D" w:rsidRPr="0042252B">
        <w:rPr>
          <w:lang w:val="en-US"/>
        </w:rPr>
        <w:t>ivalent to those of the English</w:t>
      </w:r>
      <w:r w:rsidR="001E4C48">
        <w:rPr>
          <w:lang w:val="en-US"/>
        </w:rPr>
        <w:t>-</w:t>
      </w:r>
      <w:r w:rsidRPr="0042252B">
        <w:rPr>
          <w:lang w:val="en-US"/>
        </w:rPr>
        <w:t>language schools in the area and that</w:t>
      </w:r>
      <w:r w:rsidR="0040703D" w:rsidRPr="0042252B">
        <w:rPr>
          <w:lang w:val="en-US"/>
        </w:rPr>
        <w:t xml:space="preserve"> </w:t>
      </w:r>
      <w:r w:rsidRPr="0042252B">
        <w:t xml:space="preserve">their minority language education rights under </w:t>
      </w:r>
      <w:r w:rsidR="00405A66" w:rsidRPr="0042252B">
        <w:t>s.</w:t>
      </w:r>
      <w:r w:rsidR="00E413D7">
        <w:t xml:space="preserve"> </w:t>
      </w:r>
      <w:r w:rsidRPr="0042252B">
        <w:t xml:space="preserve">23 of the </w:t>
      </w:r>
      <w:r w:rsidRPr="0042252B">
        <w:rPr>
          <w:i/>
        </w:rPr>
        <w:t>Charter</w:t>
      </w:r>
      <w:r w:rsidRPr="0042252B">
        <w:t xml:space="preserve"> had been breached</w:t>
      </w:r>
      <w:r w:rsidR="0040703D" w:rsidRPr="0042252B">
        <w:t>.</w:t>
      </w:r>
      <w:r w:rsidR="00405A66" w:rsidRPr="0042252B">
        <w:t xml:space="preserve"> </w:t>
      </w:r>
      <w:r w:rsidRPr="0042252B">
        <w:t>They requested that the legal proceedings be phased so that they could obtain a declaration while leaving the</w:t>
      </w:r>
      <w:r w:rsidR="0040703D" w:rsidRPr="0042252B">
        <w:t xml:space="preserve"> </w:t>
      </w:r>
      <w:r w:rsidRPr="0042252B">
        <w:t>question of responsibility for the alleged inadequacies to a later phase, if necessary.</w:t>
      </w:r>
      <w:r w:rsidR="00405A66" w:rsidRPr="0042252B">
        <w:t xml:space="preserve"> </w:t>
      </w:r>
      <w:r w:rsidRPr="0042252B">
        <w:t>Their hope was that obtaining a declaration would be sufficient to obtain a favourable government response.</w:t>
      </w:r>
    </w:p>
    <w:p w:rsidR="008B145D" w:rsidRPr="0042252B" w:rsidRDefault="008B145D" w:rsidP="001E4C48">
      <w:pPr>
        <w:pStyle w:val="SCCNormalDoubleSpacing"/>
        <w:widowControl w:val="0"/>
        <w:spacing w:before="480" w:after="480"/>
        <w:rPr>
          <w:lang w:val="en-US"/>
        </w:rPr>
      </w:pPr>
      <w:r w:rsidRPr="0042252B">
        <w:tab/>
        <w:t xml:space="preserve">The petition judge accepted the request </w:t>
      </w:r>
      <w:r w:rsidRPr="0042252B">
        <w:rPr>
          <w:szCs w:val="24"/>
          <w:lang w:val="en-US"/>
        </w:rPr>
        <w:t xml:space="preserve">to phase the proceedings, deciding to first assess only </w:t>
      </w:r>
      <w:r w:rsidRPr="0042252B">
        <w:rPr>
          <w:lang w:val="en-US"/>
        </w:rPr>
        <w:t xml:space="preserve">whether the children of rights holders were being provided with instruction and facilities equivalent to majority language schools, as guaranteed under </w:t>
      </w:r>
      <w:r w:rsidR="00405A66" w:rsidRPr="0042252B">
        <w:rPr>
          <w:lang w:val="en-US"/>
        </w:rPr>
        <w:t>s.</w:t>
      </w:r>
      <w:r w:rsidR="00E413D7">
        <w:rPr>
          <w:lang w:val="en-US"/>
        </w:rPr>
        <w:t xml:space="preserve"> </w:t>
      </w:r>
      <w:r w:rsidRPr="0042252B">
        <w:rPr>
          <w:lang w:val="en-US"/>
        </w:rPr>
        <w:t xml:space="preserve">23 of the </w:t>
      </w:r>
      <w:r w:rsidRPr="0042252B">
        <w:rPr>
          <w:i/>
          <w:lang w:val="en-US"/>
        </w:rPr>
        <w:t>Charter</w:t>
      </w:r>
      <w:r w:rsidRPr="0042252B">
        <w:rPr>
          <w:lang w:val="en-US"/>
        </w:rPr>
        <w:t>.</w:t>
      </w:r>
      <w:r w:rsidR="00405A66" w:rsidRPr="0042252B">
        <w:rPr>
          <w:lang w:val="en-US"/>
        </w:rPr>
        <w:t xml:space="preserve"> </w:t>
      </w:r>
      <w:r w:rsidRPr="0042252B">
        <w:rPr>
          <w:lang w:val="en-US"/>
        </w:rPr>
        <w:t>Prior to undertaking this initial phase of the proceedings, the judge struck certain parts of the province’s pleadings on the grounds that they were not relevant to that phase.</w:t>
      </w:r>
      <w:r w:rsidR="00405A66" w:rsidRPr="0042252B">
        <w:rPr>
          <w:lang w:val="en-US"/>
        </w:rPr>
        <w:t xml:space="preserve"> </w:t>
      </w:r>
      <w:r w:rsidRPr="0042252B">
        <w:rPr>
          <w:lang w:val="en-US"/>
        </w:rPr>
        <w:t xml:space="preserve">At the conclusion of the first phase of the proceedings, the judge issued a declaration that the parents are not being provided the minority language educational facilities guaranteed to them by </w:t>
      </w:r>
      <w:r w:rsidR="00405A66" w:rsidRPr="0042252B">
        <w:rPr>
          <w:lang w:val="en-US"/>
        </w:rPr>
        <w:t>s.</w:t>
      </w:r>
      <w:r w:rsidR="00E413D7">
        <w:rPr>
          <w:lang w:val="en-US"/>
        </w:rPr>
        <w:t xml:space="preserve"> </w:t>
      </w:r>
      <w:r w:rsidRPr="0042252B">
        <w:rPr>
          <w:lang w:val="en-US"/>
        </w:rPr>
        <w:t xml:space="preserve">23 of the </w:t>
      </w:r>
      <w:r w:rsidRPr="0042252B">
        <w:rPr>
          <w:i/>
          <w:iCs/>
          <w:lang w:val="en-US"/>
        </w:rPr>
        <w:t>Charter</w:t>
      </w:r>
      <w:r w:rsidRPr="0042252B">
        <w:rPr>
          <w:iCs/>
          <w:lang w:val="en-US"/>
        </w:rPr>
        <w:t>.</w:t>
      </w:r>
      <w:r w:rsidR="00405A66" w:rsidRPr="0042252B">
        <w:rPr>
          <w:iCs/>
          <w:lang w:val="en-US"/>
        </w:rPr>
        <w:t xml:space="preserve"> </w:t>
      </w:r>
      <w:r w:rsidRPr="0042252B">
        <w:rPr>
          <w:lang w:val="en-US"/>
        </w:rPr>
        <w:lastRenderedPageBreak/>
        <w:t>He did not assign responsibility for the failure to meet the constitutional standard.</w:t>
      </w:r>
      <w:r w:rsidR="00405A66" w:rsidRPr="0042252B">
        <w:rPr>
          <w:lang w:val="en-US"/>
        </w:rPr>
        <w:t xml:space="preserve"> </w:t>
      </w:r>
      <w:r w:rsidRPr="0042252B">
        <w:rPr>
          <w:lang w:val="en-US"/>
        </w:rPr>
        <w:t>The Court of Appeal</w:t>
      </w:r>
      <w:r w:rsidR="0040703D" w:rsidRPr="0042252B">
        <w:rPr>
          <w:lang w:val="en-US"/>
        </w:rPr>
        <w:t xml:space="preserve"> </w:t>
      </w:r>
      <w:r w:rsidRPr="0042252B">
        <w:rPr>
          <w:lang w:val="en-US"/>
        </w:rPr>
        <w:t>allowed the appeal brought by the province.</w:t>
      </w:r>
      <w:r w:rsidR="00405A66" w:rsidRPr="0042252B">
        <w:rPr>
          <w:lang w:val="en-US"/>
        </w:rPr>
        <w:t xml:space="preserve"> </w:t>
      </w:r>
      <w:r w:rsidRPr="0042252B">
        <w:rPr>
          <w:lang w:val="en-US"/>
        </w:rPr>
        <w:t xml:space="preserve">It set aside both the order striking some of the province’s pleadings, and the declaration. </w:t>
      </w:r>
    </w:p>
    <w:p w:rsidR="008B145D" w:rsidRPr="0042252B" w:rsidRDefault="008B145D" w:rsidP="001E4C48">
      <w:pPr>
        <w:pStyle w:val="SCCNormalDoubleSpacing"/>
        <w:widowControl w:val="0"/>
        <w:spacing w:before="480" w:after="480"/>
        <w:rPr>
          <w:lang w:val="en-US"/>
        </w:rPr>
      </w:pPr>
      <w:r w:rsidRPr="0042252B">
        <w:rPr>
          <w:rStyle w:val="QuoteChar"/>
          <w:color w:val="auto"/>
        </w:rPr>
        <w:tab/>
        <w:t>Held</w:t>
      </w:r>
      <w:r w:rsidRPr="0042252B">
        <w:rPr>
          <w:rStyle w:val="QuoteChar"/>
          <w:i w:val="0"/>
          <w:color w:val="auto"/>
        </w:rPr>
        <w:t>:</w:t>
      </w:r>
      <w:r w:rsidRPr="0042252B">
        <w:t xml:space="preserve"> The appeal should be</w:t>
      </w:r>
      <w:r w:rsidRPr="0042252B">
        <w:rPr>
          <w:lang w:val="en-US"/>
        </w:rPr>
        <w:t xml:space="preserve"> allowed and the petition judge’s declaration reinstated.</w:t>
      </w:r>
      <w:r w:rsidR="00405A66" w:rsidRPr="0042252B">
        <w:rPr>
          <w:lang w:val="en-US"/>
        </w:rPr>
        <w:t xml:space="preserve"> </w:t>
      </w:r>
      <w:r w:rsidR="00A51AE4" w:rsidRPr="0042252B">
        <w:rPr>
          <w:lang w:val="en-US"/>
        </w:rPr>
        <w:t>The award of special costs issued by the petition judge is restored.</w:t>
      </w:r>
      <w:r w:rsidR="00405A66" w:rsidRPr="0042252B">
        <w:rPr>
          <w:lang w:val="en-US"/>
        </w:rPr>
        <w:t xml:space="preserve"> </w:t>
      </w:r>
      <w:r w:rsidRPr="0042252B">
        <w:rPr>
          <w:lang w:val="en-US"/>
        </w:rPr>
        <w:t xml:space="preserve">The matter should be remitted to the Supreme Court of British Columbia for the next phase of the </w:t>
      </w:r>
      <w:r w:rsidR="002E51C1">
        <w:rPr>
          <w:lang w:val="en-US"/>
        </w:rPr>
        <w:t>petition</w:t>
      </w:r>
      <w:r w:rsidRPr="0042252B">
        <w:rPr>
          <w:lang w:val="en-US"/>
        </w:rPr>
        <w:t xml:space="preserve">, if necessary. </w:t>
      </w:r>
      <w:r w:rsidR="00A51AE4" w:rsidRPr="0042252B">
        <w:rPr>
          <w:lang w:val="en-US"/>
        </w:rPr>
        <w:t>Special costs are awarded to the appellants for the appeal proceedings.</w:t>
      </w:r>
    </w:p>
    <w:p w:rsidR="008B145D" w:rsidRPr="0042252B" w:rsidRDefault="00405A66" w:rsidP="001E4C48">
      <w:pPr>
        <w:pStyle w:val="SCCNormalDoubleSpacing"/>
        <w:widowControl w:val="0"/>
        <w:spacing w:before="480" w:after="480"/>
      </w:pPr>
      <w:r w:rsidRPr="0042252B">
        <w:tab/>
        <w:t>Section</w:t>
      </w:r>
      <w:r w:rsidR="00E413D7">
        <w:t xml:space="preserve"> </w:t>
      </w:r>
      <w:r w:rsidR="008B145D" w:rsidRPr="0042252B">
        <w:t xml:space="preserve">23 of the </w:t>
      </w:r>
      <w:r w:rsidR="008B145D" w:rsidRPr="0042252B">
        <w:rPr>
          <w:i/>
        </w:rPr>
        <w:t>Charter</w:t>
      </w:r>
      <w:r w:rsidR="008B145D" w:rsidRPr="0042252B">
        <w:t xml:space="preserve"> guarantees a “sliding scale” of minority language education rights.</w:t>
      </w:r>
      <w:r w:rsidRPr="0042252B">
        <w:t xml:space="preserve"> </w:t>
      </w:r>
      <w:r w:rsidR="008B145D" w:rsidRPr="0042252B">
        <w:t>At the upper limit of the sliding scale, rights holders are entitled to full educational facilities that are distinct from, and equivalent to, those found in the schools of the majority language grou</w:t>
      </w:r>
      <w:r w:rsidRPr="0042252B">
        <w:t xml:space="preserve">p. </w:t>
      </w:r>
      <w:r w:rsidR="008B145D" w:rsidRPr="0042252B">
        <w:t xml:space="preserve">The focus in giving effect to </w:t>
      </w:r>
      <w:r w:rsidRPr="0042252B">
        <w:t>s.</w:t>
      </w:r>
      <w:r w:rsidR="00E413D7">
        <w:t xml:space="preserve"> </w:t>
      </w:r>
      <w:r w:rsidR="008B145D" w:rsidRPr="0042252B">
        <w:t xml:space="preserve">23 rights should be on substantive equivalence, not on </w:t>
      </w:r>
      <w:r w:rsidR="008B145D" w:rsidRPr="0042252B">
        <w:rPr>
          <w:i/>
        </w:rPr>
        <w:t>per capita</w:t>
      </w:r>
      <w:r w:rsidR="008B145D" w:rsidRPr="0042252B">
        <w:t xml:space="preserve"> costs and other markers of formal equivalence.</w:t>
      </w:r>
      <w:r w:rsidRPr="0042252B">
        <w:t xml:space="preserve"> </w:t>
      </w:r>
      <w:r w:rsidR="008B145D" w:rsidRPr="0042252B">
        <w:t xml:space="preserve">What is paramount is that the educational experience of the children of </w:t>
      </w:r>
      <w:r w:rsidRPr="0042252B">
        <w:t>s.</w:t>
      </w:r>
      <w:r w:rsidR="00E413D7">
        <w:t xml:space="preserve"> </w:t>
      </w:r>
      <w:r w:rsidR="008B145D" w:rsidRPr="0042252B">
        <w:t xml:space="preserve">23 rights holders at the upper end of the sliding scale be of meaningfully similar quality to the educational experience of majority language students. </w:t>
      </w:r>
    </w:p>
    <w:p w:rsidR="008B145D" w:rsidRPr="0042252B" w:rsidRDefault="008B145D" w:rsidP="001E4C48">
      <w:pPr>
        <w:pStyle w:val="SCCNormalDoubleSpacing"/>
        <w:widowControl w:val="0"/>
        <w:spacing w:before="480" w:after="480"/>
      </w:pPr>
      <w:r w:rsidRPr="0042252B">
        <w:tab/>
        <w:t xml:space="preserve">When assessing substantive equivalence, a purposive approach requires a court to consider the educational choices available from the perspective of </w:t>
      </w:r>
      <w:r w:rsidR="00405A66" w:rsidRPr="0042252B">
        <w:t>s.</w:t>
      </w:r>
      <w:r w:rsidR="00E413D7">
        <w:t xml:space="preserve"> </w:t>
      </w:r>
      <w:r w:rsidRPr="0042252B">
        <w:t>23 rights holders.</w:t>
      </w:r>
      <w:r w:rsidR="00405A66" w:rsidRPr="0042252B">
        <w:t xml:space="preserve"> </w:t>
      </w:r>
      <w:r w:rsidRPr="0042252B">
        <w:t>The comparator group that will generally be appropriate for that assessment will be the neighbouring majority language schools that represent a realistic alternative for rights holders.</w:t>
      </w:r>
      <w:r w:rsidR="00405A66" w:rsidRPr="0042252B">
        <w:t xml:space="preserve"> </w:t>
      </w:r>
      <w:r w:rsidRPr="0042252B">
        <w:t xml:space="preserve">The question to be examined is whether reasonable </w:t>
      </w:r>
      <w:r w:rsidRPr="0042252B">
        <w:lastRenderedPageBreak/>
        <w:t>rights</w:t>
      </w:r>
      <w:r w:rsidR="001E4C48">
        <w:t>-</w:t>
      </w:r>
      <w:r w:rsidRPr="0042252B">
        <w:t>holder parents would</w:t>
      </w:r>
      <w:r w:rsidR="0040703D" w:rsidRPr="0042252B">
        <w:t xml:space="preserve"> </w:t>
      </w:r>
      <w:r w:rsidRPr="0042252B">
        <w:t>be deterred from sending their children to a minority language school because it is meaningfully inferior to an ava</w:t>
      </w:r>
      <w:r w:rsidR="00432F1D">
        <w:t>ilable majority language school.</w:t>
      </w:r>
      <w:r w:rsidR="00405A66" w:rsidRPr="0042252B">
        <w:t xml:space="preserve"> </w:t>
      </w:r>
      <w:r w:rsidRPr="0042252B">
        <w:t xml:space="preserve">If so, the remedial purpose of </w:t>
      </w:r>
      <w:r w:rsidR="00405A66" w:rsidRPr="0042252B">
        <w:t>s.</w:t>
      </w:r>
      <w:r w:rsidR="00E413D7">
        <w:t xml:space="preserve"> </w:t>
      </w:r>
      <w:r w:rsidRPr="0042252B">
        <w:t>23 is threatened.</w:t>
      </w:r>
      <w:r w:rsidR="00405A66" w:rsidRPr="0042252B">
        <w:t xml:space="preserve"> </w:t>
      </w:r>
      <w:r w:rsidRPr="0042252B">
        <w:t>If the educational experience, viewed globally, is sufficiently superior in the majority language schools, that fact could undermine the parents’ desire to have their children educated in the minority language, and thus could lead to assimilation.</w:t>
      </w:r>
    </w:p>
    <w:p w:rsidR="008B145D" w:rsidRPr="0042252B" w:rsidRDefault="0040703D" w:rsidP="001E4C48">
      <w:pPr>
        <w:pStyle w:val="SCCNormalDoubleSpacing"/>
        <w:widowControl w:val="0"/>
        <w:spacing w:before="480" w:after="480"/>
      </w:pPr>
      <w:r w:rsidRPr="0042252B">
        <w:tab/>
      </w:r>
      <w:r w:rsidR="008B145D" w:rsidRPr="0042252B">
        <w:t>The comparative exercise must be alive to the varied factors that reasonable parents use to assess equivalence.</w:t>
      </w:r>
      <w:r w:rsidR="00405A66" w:rsidRPr="0042252B">
        <w:t xml:space="preserve"> </w:t>
      </w:r>
      <w:r w:rsidR="008B145D" w:rsidRPr="0042252B">
        <w:t>The exercise is contextual and holistic, accounting for not only physical facilities, but also quality of instruction, educational outcomes, extracurricular activities, and travel times, amongst other factors.</w:t>
      </w:r>
      <w:r w:rsidR="00405A66" w:rsidRPr="0042252B">
        <w:t xml:space="preserve"> </w:t>
      </w:r>
      <w:r w:rsidR="008B145D" w:rsidRPr="0042252B">
        <w:t>Such an approach is similar to the way parents make decisions regarding their children’s education.</w:t>
      </w:r>
      <w:r w:rsidR="00405A66" w:rsidRPr="0042252B">
        <w:t xml:space="preserve"> </w:t>
      </w:r>
      <w:r w:rsidR="008B145D" w:rsidRPr="0042252B">
        <w:t>The extent to which any given factor will represent a live issue in assessing equivalence will be dictated by the circumstances of each case.</w:t>
      </w:r>
      <w:r w:rsidR="00405A66" w:rsidRPr="0042252B">
        <w:t xml:space="preserve"> </w:t>
      </w:r>
      <w:r w:rsidR="008B145D" w:rsidRPr="0042252B">
        <w:t>The relevant factors are considered together in assessing whether the overall educational experience is inferior in a way that could discourage rights holders from enrolling their children in a minority language school.</w:t>
      </w:r>
      <w:r w:rsidR="00405A66" w:rsidRPr="0042252B">
        <w:t xml:space="preserve"> </w:t>
      </w:r>
      <w:r w:rsidR="008B145D" w:rsidRPr="0042252B">
        <w:t xml:space="preserve">If, on balance, the experience is equivalent, the requirements of </w:t>
      </w:r>
      <w:r w:rsidR="00405A66" w:rsidRPr="0042252B">
        <w:t>s.</w:t>
      </w:r>
      <w:r w:rsidR="00E413D7">
        <w:t xml:space="preserve"> </w:t>
      </w:r>
      <w:r w:rsidR="008B145D" w:rsidRPr="0042252B">
        <w:t>23 will be met.</w:t>
      </w:r>
    </w:p>
    <w:p w:rsidR="008B145D" w:rsidRPr="0042252B" w:rsidRDefault="008B145D" w:rsidP="001E4C48">
      <w:pPr>
        <w:pStyle w:val="SCCNormalDoubleSpacing"/>
        <w:widowControl w:val="0"/>
        <w:spacing w:before="480" w:after="480"/>
      </w:pPr>
      <w:r w:rsidRPr="0042252B">
        <w:tab/>
        <w:t>Issues of costs and practicalities are considered in the determination of the level of educational services a group of rights holders is entitled to on the sliding scale.</w:t>
      </w:r>
      <w:r w:rsidR="00405A66" w:rsidRPr="0042252B">
        <w:t xml:space="preserve"> </w:t>
      </w:r>
      <w:r w:rsidRPr="0042252B">
        <w:t>It would undermine that analysis to consider costs and practicalities again, after the appropriate level of educational services has already been determined.</w:t>
      </w:r>
      <w:r w:rsidR="00405A66" w:rsidRPr="0042252B">
        <w:t xml:space="preserve"> </w:t>
      </w:r>
      <w:r w:rsidRPr="0042252B">
        <w:t>Accordingly, it is not appropriate for provincial or territorial governments to invoke issues of practicality or cost as part of the inquiry into equivalence.</w:t>
      </w:r>
      <w:r w:rsidR="00405A66" w:rsidRPr="0042252B">
        <w:t xml:space="preserve"> </w:t>
      </w:r>
      <w:r w:rsidRPr="0042252B">
        <w:t xml:space="preserve">Costs and </w:t>
      </w:r>
      <w:r w:rsidRPr="0042252B">
        <w:lastRenderedPageBreak/>
        <w:t xml:space="preserve">practicalities may, however, be relevant in attempts to justify a breach of </w:t>
      </w:r>
      <w:r w:rsidR="00405A66" w:rsidRPr="0042252B">
        <w:t>s.</w:t>
      </w:r>
      <w:r w:rsidR="00E413D7">
        <w:t xml:space="preserve"> </w:t>
      </w:r>
      <w:r w:rsidRPr="0042252B">
        <w:t>23, and in attempts to fashion an appropriate and just remedy for a breach.</w:t>
      </w:r>
    </w:p>
    <w:p w:rsidR="008B145D" w:rsidRPr="0042252B" w:rsidRDefault="008B145D" w:rsidP="001E4C48">
      <w:pPr>
        <w:pStyle w:val="SCCNormalDoubleSpacing"/>
        <w:widowControl w:val="0"/>
        <w:spacing w:before="480" w:after="480"/>
      </w:pPr>
      <w:r w:rsidRPr="0042252B">
        <w:tab/>
        <w:t>In the present case, the petition judge applied the correct test to assess equivalence.</w:t>
      </w:r>
      <w:r w:rsidR="00405A66" w:rsidRPr="0042252B">
        <w:t xml:space="preserve"> </w:t>
      </w:r>
      <w:r w:rsidRPr="0042252B">
        <w:t xml:space="preserve">He comprehensively and holistically assessed the relevant factors and </w:t>
      </w:r>
      <w:r w:rsidR="00EB131D" w:rsidRPr="0042252B">
        <w:t>compared RDV to the English</w:t>
      </w:r>
      <w:r w:rsidR="001E4C48">
        <w:t>-</w:t>
      </w:r>
      <w:r w:rsidRPr="0042252B">
        <w:t>language schools in the relevant catchment area in Vancouver.</w:t>
      </w:r>
      <w:r w:rsidR="00405A66" w:rsidRPr="0042252B">
        <w:t xml:space="preserve"> </w:t>
      </w:r>
      <w:r w:rsidRPr="0042252B">
        <w:t>In the determination of overall substantive equivalence, he concluded that the programs offered at RDV were not so superior as to offset its inadequate facilities, overcrowding and long travel times.</w:t>
      </w:r>
      <w:r w:rsidR="00405A66" w:rsidRPr="0042252B">
        <w:t xml:space="preserve"> </w:t>
      </w:r>
      <w:r w:rsidRPr="0042252B">
        <w:t>In his opinion, the disparity between the minority and majority language schools was such as to limit enrol</w:t>
      </w:r>
      <w:r w:rsidR="00B81DB8">
        <w:t>l</w:t>
      </w:r>
      <w:r w:rsidRPr="0042252B">
        <w:t>ment and contribute to assimilation.</w:t>
      </w:r>
      <w:r w:rsidR="00405A66" w:rsidRPr="0042252B">
        <w:t xml:space="preserve"> </w:t>
      </w:r>
      <w:r w:rsidRPr="0042252B">
        <w:t>There is</w:t>
      </w:r>
      <w:r w:rsidR="0040703D" w:rsidRPr="0042252B">
        <w:t xml:space="preserve"> </w:t>
      </w:r>
      <w:r w:rsidRPr="0042252B">
        <w:t xml:space="preserve">no error in principle in </w:t>
      </w:r>
      <w:r w:rsidR="0040703D" w:rsidRPr="0042252B">
        <w:t xml:space="preserve">the petition judge’s </w:t>
      </w:r>
      <w:r w:rsidRPr="0042252B">
        <w:t>analysis.</w:t>
      </w:r>
    </w:p>
    <w:p w:rsidR="008B145D" w:rsidRPr="0042252B" w:rsidRDefault="008B145D" w:rsidP="001E4C48">
      <w:pPr>
        <w:pStyle w:val="SCCNormalDoubleSpacing"/>
        <w:widowControl w:val="0"/>
        <w:spacing w:before="480" w:after="480"/>
      </w:pPr>
      <w:r w:rsidRPr="0042252B">
        <w:tab/>
        <w:t xml:space="preserve">The declaration issued by the petition judge represents the equivalent of a declaration of a </w:t>
      </w:r>
      <w:r w:rsidRPr="0042252B">
        <w:rPr>
          <w:i/>
        </w:rPr>
        <w:t>prima facie</w:t>
      </w:r>
      <w:r w:rsidRPr="0042252B">
        <w:t xml:space="preserve"> breach of </w:t>
      </w:r>
      <w:r w:rsidR="00405A66" w:rsidRPr="0042252B">
        <w:t>s.</w:t>
      </w:r>
      <w:r w:rsidR="00E413D7">
        <w:t xml:space="preserve"> </w:t>
      </w:r>
      <w:r w:rsidRPr="0042252B">
        <w:t>23, subject to the future determination of responsibility, justification for the breach (if applicable), and positive remedy.</w:t>
      </w:r>
      <w:r w:rsidR="00405A66" w:rsidRPr="0042252B">
        <w:t xml:space="preserve"> </w:t>
      </w:r>
      <w:r w:rsidRPr="0042252B">
        <w:t xml:space="preserve">Where the children of </w:t>
      </w:r>
      <w:r w:rsidR="00405A66" w:rsidRPr="0042252B">
        <w:t>s.</w:t>
      </w:r>
      <w:r w:rsidR="00E413D7">
        <w:t xml:space="preserve"> </w:t>
      </w:r>
      <w:r w:rsidRPr="0042252B">
        <w:t xml:space="preserve">23 rights holders are entitled to an educational experience equivalent to that of majority language children, there is no difference between a finding of a lack of equivalence and a finding that the rights holders have not received the services to which they are entitled under </w:t>
      </w:r>
      <w:r w:rsidR="00405A66" w:rsidRPr="0042252B">
        <w:t>s.</w:t>
      </w:r>
      <w:r w:rsidR="00E413D7">
        <w:t xml:space="preserve"> </w:t>
      </w:r>
      <w:r w:rsidRPr="0042252B">
        <w:t>23.</w:t>
      </w:r>
      <w:r w:rsidR="00405A66" w:rsidRPr="0042252B">
        <w:t xml:space="preserve"> </w:t>
      </w:r>
      <w:r w:rsidRPr="0042252B">
        <w:t xml:space="preserve">However, since responsibility for the breach has not yet been assigned ― and leaving open the possibility that the responsible party or parties may seek to justify the breach ― it cannot be said that the judge’s declaration constitutes a complete finding of a </w:t>
      </w:r>
      <w:r w:rsidRPr="0042252B">
        <w:rPr>
          <w:i/>
        </w:rPr>
        <w:t>Charter</w:t>
      </w:r>
      <w:r w:rsidRPr="0042252B">
        <w:t xml:space="preserve"> violation.</w:t>
      </w:r>
    </w:p>
    <w:p w:rsidR="008B145D" w:rsidRPr="0042252B" w:rsidRDefault="008B145D" w:rsidP="001E4C48">
      <w:pPr>
        <w:pStyle w:val="SCCNormalDoubleSpacing"/>
        <w:widowControl w:val="0"/>
        <w:spacing w:before="480" w:after="480"/>
      </w:pPr>
      <w:r w:rsidRPr="0042252B">
        <w:tab/>
        <w:t xml:space="preserve">Where a proceeding has been formally phased to separate the question of substantive equivalence from other elements of the </w:t>
      </w:r>
      <w:r w:rsidR="00405A66" w:rsidRPr="0042252B">
        <w:t>s.</w:t>
      </w:r>
      <w:r w:rsidR="00E413D7">
        <w:t xml:space="preserve"> </w:t>
      </w:r>
      <w:r w:rsidRPr="0042252B">
        <w:t xml:space="preserve">23 analysis, evidence that does </w:t>
      </w:r>
      <w:r w:rsidRPr="0042252B">
        <w:lastRenderedPageBreak/>
        <w:t>not assist in answering t</w:t>
      </w:r>
      <w:r w:rsidR="0002478A" w:rsidRPr="0042252B">
        <w:t xml:space="preserve">hat </w:t>
      </w:r>
      <w:r w:rsidRPr="0042252B">
        <w:t>question would normally not be relevant. Considered from this perspective, the petition judge was entitled to strike the portions of the province’s pleadings as they</w:t>
      </w:r>
      <w:r w:rsidR="003A51AA" w:rsidRPr="0042252B">
        <w:t xml:space="preserve"> </w:t>
      </w:r>
      <w:r w:rsidRPr="0042252B">
        <w:t xml:space="preserve">were not relevant to the inquiry into </w:t>
      </w:r>
      <w:r w:rsidR="003A51AA" w:rsidRPr="0042252B">
        <w:t>s</w:t>
      </w:r>
      <w:r w:rsidRPr="0042252B">
        <w:t xml:space="preserve">ubstantive equivalence. </w:t>
      </w:r>
    </w:p>
    <w:p w:rsidR="007E1C47" w:rsidRPr="0042252B" w:rsidRDefault="002E6705" w:rsidP="001E4C48">
      <w:pPr>
        <w:pStyle w:val="SCCNormalDoubleSpacing"/>
        <w:widowControl w:val="0"/>
        <w:spacing w:after="720" w:line="240" w:lineRule="auto"/>
        <w:outlineLvl w:val="0"/>
        <w:rPr>
          <w:b/>
        </w:rPr>
      </w:pPr>
      <w:r w:rsidRPr="0042252B">
        <w:rPr>
          <w:b/>
        </w:rPr>
        <w:t>Cases Cited</w:t>
      </w:r>
      <w:r w:rsidR="00C54DF3" w:rsidRPr="0042252B">
        <w:rPr>
          <w:b/>
        </w:rPr>
        <w:t xml:space="preserve"> </w:t>
      </w:r>
    </w:p>
    <w:p w:rsidR="004E2C26" w:rsidRPr="0042252B" w:rsidRDefault="002E6705" w:rsidP="001E4C48">
      <w:pPr>
        <w:pStyle w:val="SCCNormalDoubleSpacing"/>
        <w:widowControl w:val="0"/>
        <w:spacing w:before="480" w:after="480"/>
      </w:pPr>
      <w:r w:rsidRPr="0042252B">
        <w:tab/>
      </w:r>
      <w:r w:rsidR="005F2E04" w:rsidRPr="005F2E04">
        <w:rPr>
          <w:b/>
        </w:rPr>
        <w:t>Applied</w:t>
      </w:r>
      <w:r w:rsidR="005F2E04">
        <w:rPr>
          <w:b/>
        </w:rPr>
        <w:t xml:space="preserve">: </w:t>
      </w:r>
      <w:r w:rsidR="005F2E04" w:rsidRPr="0042252B">
        <w:rPr>
          <w:i/>
          <w:iCs/>
          <w:lang w:val="en-US" w:bidi="en-US"/>
        </w:rPr>
        <w:t>Carter v. Canada (Attorney General)</w:t>
      </w:r>
      <w:r w:rsidR="005F2E04" w:rsidRPr="0042252B">
        <w:rPr>
          <w:iCs/>
          <w:lang w:val="en-US" w:bidi="en-US"/>
        </w:rPr>
        <w:t>, 2015 SCC 5</w:t>
      </w:r>
      <w:r w:rsidR="00642DA5">
        <w:rPr>
          <w:iCs/>
          <w:lang w:val="en-US" w:bidi="en-US"/>
        </w:rPr>
        <w:t>, [2015] 1 S.C.R. 331</w:t>
      </w:r>
      <w:r w:rsidR="005F2E04" w:rsidRPr="0042252B">
        <w:rPr>
          <w:iCs/>
          <w:lang w:val="en-US" w:bidi="en-US"/>
        </w:rPr>
        <w:t>;</w:t>
      </w:r>
      <w:r w:rsidR="005F2E04">
        <w:rPr>
          <w:iCs/>
          <w:lang w:val="en-US" w:bidi="en-US"/>
        </w:rPr>
        <w:t xml:space="preserve"> </w:t>
      </w:r>
      <w:r w:rsidR="005F2E04" w:rsidRPr="005F2E04">
        <w:rPr>
          <w:b/>
          <w:iCs/>
          <w:lang w:val="en-US" w:bidi="en-US"/>
        </w:rPr>
        <w:t>d</w:t>
      </w:r>
      <w:r w:rsidR="004F2112" w:rsidRPr="00050FF1">
        <w:rPr>
          <w:b/>
        </w:rPr>
        <w:t>iscussed</w:t>
      </w:r>
      <w:r w:rsidR="00050FF1">
        <w:rPr>
          <w:b/>
        </w:rPr>
        <w:t>:</w:t>
      </w:r>
      <w:r w:rsidR="00050FF1" w:rsidRPr="00050FF1">
        <w:rPr>
          <w:b/>
        </w:rPr>
        <w:t xml:space="preserve"> </w:t>
      </w:r>
      <w:r w:rsidR="00050FF1" w:rsidRPr="0042252B">
        <w:rPr>
          <w:i/>
          <w:lang w:bidi="en-US"/>
        </w:rPr>
        <w:t>Mahe v. Alberta</w:t>
      </w:r>
      <w:r w:rsidR="00050FF1" w:rsidRPr="0042252B">
        <w:rPr>
          <w:lang w:bidi="en-US"/>
        </w:rPr>
        <w:t>, [1990] 1 S.C.R. 342</w:t>
      </w:r>
      <w:r w:rsidR="00050FF1">
        <w:rPr>
          <w:lang w:bidi="en-US"/>
        </w:rPr>
        <w:t xml:space="preserve">; </w:t>
      </w:r>
      <w:r w:rsidR="00050FF1">
        <w:rPr>
          <w:b/>
        </w:rPr>
        <w:t>r</w:t>
      </w:r>
      <w:r w:rsidRPr="0042252B">
        <w:rPr>
          <w:b/>
        </w:rPr>
        <w:t>eferred to:</w:t>
      </w:r>
      <w:r w:rsidR="00BD0E9E" w:rsidRPr="0042252B">
        <w:t xml:space="preserve"> </w:t>
      </w:r>
      <w:r w:rsidR="00590091" w:rsidRPr="0042252B">
        <w:rPr>
          <w:i/>
          <w:lang w:bidi="en-US"/>
        </w:rPr>
        <w:t>Assn</w:t>
      </w:r>
      <w:r w:rsidR="00CA0A35" w:rsidRPr="0042252B">
        <w:rPr>
          <w:i/>
          <w:lang w:bidi="en-US"/>
        </w:rPr>
        <w:t>. des Parents Francophones (</w:t>
      </w:r>
      <w:r w:rsidR="004B3B1F" w:rsidRPr="0042252B">
        <w:rPr>
          <w:i/>
          <w:lang w:bidi="en-US"/>
        </w:rPr>
        <w:t>Colombie</w:t>
      </w:r>
      <w:r w:rsidR="001E4C48">
        <w:rPr>
          <w:i/>
          <w:lang w:bidi="en-US"/>
        </w:rPr>
        <w:t>-</w:t>
      </w:r>
      <w:r w:rsidR="004B3B1F" w:rsidRPr="0042252B">
        <w:rPr>
          <w:i/>
          <w:lang w:bidi="en-US"/>
        </w:rPr>
        <w:t>Britannique</w:t>
      </w:r>
      <w:r w:rsidR="00CA0A35" w:rsidRPr="0042252B">
        <w:rPr>
          <w:i/>
          <w:lang w:bidi="en-US"/>
        </w:rPr>
        <w:t>)</w:t>
      </w:r>
      <w:r w:rsidR="004B3B1F" w:rsidRPr="0042252B">
        <w:rPr>
          <w:i/>
          <w:lang w:bidi="en-US"/>
        </w:rPr>
        <w:t xml:space="preserve"> v. </w:t>
      </w:r>
      <w:r w:rsidR="00CA0A35" w:rsidRPr="0042252B">
        <w:rPr>
          <w:i/>
          <w:lang w:bidi="en-US"/>
        </w:rPr>
        <w:t>British Columbia</w:t>
      </w:r>
      <w:r w:rsidR="004B3B1F" w:rsidRPr="0042252B">
        <w:rPr>
          <w:i/>
          <w:lang w:bidi="en-US"/>
        </w:rPr>
        <w:t xml:space="preserve"> </w:t>
      </w:r>
      <w:r w:rsidR="004B3B1F" w:rsidRPr="0042252B">
        <w:rPr>
          <w:lang w:bidi="en-US"/>
        </w:rPr>
        <w:t xml:space="preserve">(1996), 27 B.C.L.R. (3d) 83; </w:t>
      </w:r>
      <w:r w:rsidR="00E239AF" w:rsidRPr="0042252B">
        <w:rPr>
          <w:i/>
          <w:lang w:bidi="en-US"/>
        </w:rPr>
        <w:t>Doucet</w:t>
      </w:r>
      <w:r w:rsidR="001E4C48">
        <w:rPr>
          <w:i/>
          <w:lang w:bidi="en-US"/>
        </w:rPr>
        <w:t>-</w:t>
      </w:r>
      <w:r w:rsidR="00E239AF" w:rsidRPr="0042252B">
        <w:rPr>
          <w:i/>
          <w:lang w:bidi="en-US"/>
        </w:rPr>
        <w:t>Boudreau v. Nova Scotia (Minister of Education)</w:t>
      </w:r>
      <w:r w:rsidR="00E239AF" w:rsidRPr="0042252B">
        <w:rPr>
          <w:lang w:bidi="en-US"/>
        </w:rPr>
        <w:t>,</w:t>
      </w:r>
      <w:r w:rsidR="00E239AF" w:rsidRPr="0042252B">
        <w:rPr>
          <w:i/>
          <w:lang w:bidi="en-US"/>
        </w:rPr>
        <w:t xml:space="preserve"> </w:t>
      </w:r>
      <w:r w:rsidR="00E239AF" w:rsidRPr="0042252B">
        <w:rPr>
          <w:lang w:bidi="en-US"/>
        </w:rPr>
        <w:t xml:space="preserve">2003 SCC 62, [2003] 3 S.C.R. 3; </w:t>
      </w:r>
      <w:r w:rsidR="002F0635" w:rsidRPr="0042252B">
        <w:rPr>
          <w:i/>
          <w:lang w:bidi="en-US"/>
        </w:rPr>
        <w:t>Arsenault</w:t>
      </w:r>
      <w:r w:rsidR="001E4C48">
        <w:rPr>
          <w:i/>
          <w:lang w:bidi="en-US"/>
        </w:rPr>
        <w:t>-</w:t>
      </w:r>
      <w:r w:rsidR="002F0635" w:rsidRPr="0042252B">
        <w:rPr>
          <w:i/>
          <w:lang w:bidi="en-US"/>
        </w:rPr>
        <w:t>Cameron v. Prince Edward Island</w:t>
      </w:r>
      <w:r w:rsidR="002F0635" w:rsidRPr="0042252B">
        <w:rPr>
          <w:lang w:bidi="en-US"/>
        </w:rPr>
        <w:t>, 2000 SCC 1, [2000] 1 S.C.R. 3</w:t>
      </w:r>
      <w:r w:rsidR="00C74240" w:rsidRPr="0042252B">
        <w:rPr>
          <w:lang w:bidi="en-US"/>
        </w:rPr>
        <w:t xml:space="preserve">; </w:t>
      </w:r>
      <w:r w:rsidR="00C74240" w:rsidRPr="0042252B">
        <w:rPr>
          <w:i/>
          <w:lang w:val="en-US" w:bidi="en-US"/>
        </w:rPr>
        <w:t>Reference re Public Schools Act (Man.)</w:t>
      </w:r>
      <w:r w:rsidR="00BD746B" w:rsidRPr="0042252B">
        <w:rPr>
          <w:i/>
          <w:lang w:val="en-US" w:bidi="en-US"/>
        </w:rPr>
        <w:t xml:space="preserve">, </w:t>
      </w:r>
      <w:r w:rsidR="00DC5298" w:rsidRPr="0042252B">
        <w:rPr>
          <w:i/>
          <w:lang w:val="en-US" w:bidi="en-US"/>
        </w:rPr>
        <w:t>s.</w:t>
      </w:r>
      <w:r w:rsidR="00E413D7">
        <w:rPr>
          <w:i/>
          <w:lang w:val="en-US" w:bidi="en-US"/>
        </w:rPr>
        <w:t xml:space="preserve"> </w:t>
      </w:r>
      <w:r w:rsidR="00BD746B" w:rsidRPr="0042252B">
        <w:rPr>
          <w:i/>
          <w:lang w:val="en-US" w:bidi="en-US"/>
        </w:rPr>
        <w:t>79(3), (4) and (7)</w:t>
      </w:r>
      <w:r w:rsidR="00C74240" w:rsidRPr="0042252B">
        <w:rPr>
          <w:lang w:val="en-US" w:bidi="en-US"/>
        </w:rPr>
        <w:t xml:space="preserve">, [1993] 1 S.C.R. 839; </w:t>
      </w:r>
      <w:r w:rsidR="003649B3" w:rsidRPr="0042252B">
        <w:rPr>
          <w:i/>
          <w:iCs/>
          <w:lang w:val="en-US" w:bidi="en-US"/>
        </w:rPr>
        <w:t>Multani v. Commission scolaire Marguerite</w:t>
      </w:r>
      <w:r w:rsidR="001E4C48">
        <w:rPr>
          <w:i/>
          <w:iCs/>
          <w:lang w:val="en-US" w:bidi="en-US"/>
        </w:rPr>
        <w:t>-</w:t>
      </w:r>
      <w:r w:rsidR="003649B3" w:rsidRPr="0042252B">
        <w:rPr>
          <w:i/>
          <w:iCs/>
          <w:lang w:val="en-US" w:bidi="en-US"/>
        </w:rPr>
        <w:t>Bourgeoys</w:t>
      </w:r>
      <w:r w:rsidR="003649B3" w:rsidRPr="0042252B">
        <w:rPr>
          <w:lang w:val="en-US" w:bidi="en-US"/>
        </w:rPr>
        <w:t xml:space="preserve">, 2006 SCC 6, [2006] 1 S.C.R. 256; </w:t>
      </w:r>
      <w:r w:rsidR="00363706" w:rsidRPr="0042252B">
        <w:rPr>
          <w:i/>
          <w:lang w:val="en-GB" w:bidi="en-US"/>
        </w:rPr>
        <w:t>Solski (Tutor of) v. Quebec (Attorney General)</w:t>
      </w:r>
      <w:r w:rsidR="00363706" w:rsidRPr="0042252B">
        <w:rPr>
          <w:lang w:val="en-GB" w:bidi="en-US"/>
        </w:rPr>
        <w:t xml:space="preserve">, 2005 SCC 14, [2005] 1 S.C.R. 201; </w:t>
      </w:r>
      <w:r w:rsidR="00D02CA2" w:rsidRPr="0042252B">
        <w:rPr>
          <w:i/>
          <w:lang w:val="en-US" w:bidi="en-US"/>
        </w:rPr>
        <w:t>Hryniak v. Mauldin</w:t>
      </w:r>
      <w:r w:rsidR="00D02CA2" w:rsidRPr="0042252B">
        <w:rPr>
          <w:lang w:val="en-US" w:bidi="en-US"/>
        </w:rPr>
        <w:t xml:space="preserve">, 2014 SCC 7, [2014] </w:t>
      </w:r>
      <w:r w:rsidR="005C783D" w:rsidRPr="0042252B">
        <w:rPr>
          <w:lang w:val="en-US" w:bidi="en-US"/>
        </w:rPr>
        <w:t xml:space="preserve">1 </w:t>
      </w:r>
      <w:r w:rsidR="00D02CA2" w:rsidRPr="0042252B">
        <w:rPr>
          <w:lang w:val="en-US" w:bidi="en-US"/>
        </w:rPr>
        <w:t xml:space="preserve">S.C.R. 87; </w:t>
      </w:r>
      <w:r w:rsidR="002C4B8D" w:rsidRPr="0042252B">
        <w:rPr>
          <w:i/>
          <w:iCs/>
          <w:lang w:val="en-US" w:bidi="en-US"/>
        </w:rPr>
        <w:t>Hamilton v. Open Window Bakery Ltd.</w:t>
      </w:r>
      <w:r w:rsidR="002C4B8D" w:rsidRPr="0042252B">
        <w:rPr>
          <w:iCs/>
          <w:lang w:val="en-US" w:bidi="en-US"/>
        </w:rPr>
        <w:t>, 2004 SCC 9</w:t>
      </w:r>
      <w:r w:rsidR="00430F9D" w:rsidRPr="0042252B">
        <w:rPr>
          <w:iCs/>
          <w:lang w:val="en-US" w:bidi="en-US"/>
        </w:rPr>
        <w:t>, [2004] 1 S.C.R. 303</w:t>
      </w:r>
      <w:r w:rsidR="002C4B8D" w:rsidRPr="0042252B">
        <w:rPr>
          <w:iCs/>
          <w:lang w:val="en-US" w:bidi="en-US"/>
        </w:rPr>
        <w:t xml:space="preserve">; </w:t>
      </w:r>
      <w:r w:rsidR="00D63466" w:rsidRPr="0042252B">
        <w:rPr>
          <w:i/>
          <w:iCs/>
          <w:lang w:val="en-US" w:bidi="en-US"/>
        </w:rPr>
        <w:t>British Columbia (Minister of Forests) v. Okanagan Indian Band</w:t>
      </w:r>
      <w:r w:rsidR="00D63466" w:rsidRPr="0042252B">
        <w:rPr>
          <w:iCs/>
          <w:lang w:val="en-US" w:bidi="en-US"/>
        </w:rPr>
        <w:t xml:space="preserve">, 2003 SCC 71, [2003] </w:t>
      </w:r>
      <w:r w:rsidR="00303F36" w:rsidRPr="0042252B">
        <w:rPr>
          <w:iCs/>
          <w:lang w:val="en-US" w:bidi="en-US"/>
        </w:rPr>
        <w:t xml:space="preserve">3 </w:t>
      </w:r>
      <w:r w:rsidR="00D63466" w:rsidRPr="0042252B">
        <w:rPr>
          <w:iCs/>
          <w:lang w:val="en-US" w:bidi="en-US"/>
        </w:rPr>
        <w:t xml:space="preserve">S.C.R. 371; </w:t>
      </w:r>
      <w:r w:rsidR="00E410F1" w:rsidRPr="0042252B">
        <w:rPr>
          <w:i/>
          <w:iCs/>
          <w:lang w:val="en-US" w:bidi="en-US"/>
        </w:rPr>
        <w:t>Victoria (City) v. Adams</w:t>
      </w:r>
      <w:r w:rsidR="00E410F1" w:rsidRPr="0042252B">
        <w:rPr>
          <w:iCs/>
          <w:lang w:val="en-US" w:bidi="en-US"/>
        </w:rPr>
        <w:t xml:space="preserve">, 2009 BCCA 563, 100 B.C.L.R. (4th) 28; </w:t>
      </w:r>
      <w:r w:rsidR="003F2A15" w:rsidRPr="0042252B">
        <w:rPr>
          <w:i/>
          <w:iCs/>
          <w:lang w:val="en-US" w:bidi="en-US"/>
        </w:rPr>
        <w:t>Arsenault</w:t>
      </w:r>
      <w:r w:rsidR="001E4C48">
        <w:rPr>
          <w:i/>
          <w:iCs/>
          <w:lang w:val="en-US" w:bidi="en-US"/>
        </w:rPr>
        <w:t>-</w:t>
      </w:r>
      <w:r w:rsidR="003F2A15" w:rsidRPr="0042252B">
        <w:rPr>
          <w:i/>
          <w:iCs/>
          <w:lang w:val="en-US" w:bidi="en-US"/>
        </w:rPr>
        <w:t>Cameron v. Prince Edward Island</w:t>
      </w:r>
      <w:r w:rsidR="00D311E1" w:rsidRPr="0042252B">
        <w:rPr>
          <w:i/>
          <w:iCs/>
          <w:lang w:val="en-US" w:bidi="en-US"/>
        </w:rPr>
        <w:t xml:space="preserve"> </w:t>
      </w:r>
      <w:r w:rsidR="00D311E1" w:rsidRPr="0042252B">
        <w:rPr>
          <w:iCs/>
          <w:lang w:val="en-US" w:bidi="en-US"/>
        </w:rPr>
        <w:t>(1997), 149</w:t>
      </w:r>
      <w:r w:rsidR="003F2A15" w:rsidRPr="0042252B">
        <w:rPr>
          <w:iCs/>
          <w:lang w:val="en-US" w:bidi="en-US"/>
        </w:rPr>
        <w:t xml:space="preserve"> Nfld. </w:t>
      </w:r>
      <w:r w:rsidR="00D311E1" w:rsidRPr="0042252B">
        <w:rPr>
          <w:iCs/>
          <w:lang w:val="en-US" w:bidi="en-US"/>
        </w:rPr>
        <w:t>&amp; P.E.I.R. 96</w:t>
      </w:r>
      <w:r w:rsidR="003F2A15" w:rsidRPr="0042252B">
        <w:rPr>
          <w:iCs/>
          <w:lang w:val="en-US" w:bidi="en-US"/>
        </w:rPr>
        <w:t xml:space="preserve">; </w:t>
      </w:r>
      <w:r w:rsidR="003F2A15" w:rsidRPr="0042252B">
        <w:rPr>
          <w:i/>
          <w:iCs/>
          <w:lang w:val="en-US" w:bidi="en-US"/>
        </w:rPr>
        <w:t>Marchand v. Simcoe County Board of Education</w:t>
      </w:r>
      <w:r w:rsidR="003F2A15" w:rsidRPr="0042252B">
        <w:rPr>
          <w:iCs/>
          <w:lang w:val="en-US" w:bidi="en-US"/>
        </w:rPr>
        <w:t xml:space="preserve"> (1986), 12 C.P.C. (2d) 140</w:t>
      </w:r>
      <w:r w:rsidR="005A4E6B" w:rsidRPr="0042252B">
        <w:rPr>
          <w:iCs/>
          <w:lang w:val="en-US" w:bidi="en-US"/>
        </w:rPr>
        <w:t>.</w:t>
      </w:r>
    </w:p>
    <w:p w:rsidR="003B215F" w:rsidRPr="0042252B" w:rsidRDefault="002E6705" w:rsidP="001E4C48">
      <w:pPr>
        <w:pStyle w:val="SCCNormalDoubleSpacing"/>
        <w:widowControl w:val="0"/>
        <w:spacing w:after="720" w:line="240" w:lineRule="auto"/>
        <w:outlineLvl w:val="0"/>
      </w:pPr>
      <w:r w:rsidRPr="0042252B">
        <w:rPr>
          <w:b/>
        </w:rPr>
        <w:t>Statutes and Regulations Cite</w:t>
      </w:r>
      <w:r w:rsidR="00A41805" w:rsidRPr="0042252B">
        <w:rPr>
          <w:b/>
        </w:rPr>
        <w:t>d</w:t>
      </w:r>
    </w:p>
    <w:p w:rsidR="00BC23FD" w:rsidRPr="0042252B" w:rsidRDefault="00C3579A" w:rsidP="001E4C48">
      <w:pPr>
        <w:pStyle w:val="SCCNormalDoubleSpacing"/>
        <w:widowControl w:val="0"/>
        <w:spacing w:after="720" w:line="240" w:lineRule="auto"/>
        <w:ind w:left="547" w:hanging="547"/>
        <w:outlineLvl w:val="0"/>
      </w:pPr>
      <w:r w:rsidRPr="0042252B">
        <w:rPr>
          <w:i/>
          <w:lang w:bidi="en-US"/>
        </w:rPr>
        <w:t>Canadian Charter of Rights and Freedoms</w:t>
      </w:r>
      <w:r w:rsidRPr="0042252B">
        <w:rPr>
          <w:lang w:bidi="en-US"/>
        </w:rPr>
        <w:t xml:space="preserve">, </w:t>
      </w:r>
      <w:r w:rsidR="00405A66" w:rsidRPr="0042252B">
        <w:rPr>
          <w:lang w:bidi="en-US"/>
        </w:rPr>
        <w:t>ss.</w:t>
      </w:r>
      <w:r w:rsidR="00E413D7">
        <w:rPr>
          <w:lang w:bidi="en-US"/>
        </w:rPr>
        <w:t xml:space="preserve"> </w:t>
      </w:r>
      <w:r w:rsidR="007C51EC" w:rsidRPr="0042252B">
        <w:rPr>
          <w:lang w:bidi="en-US"/>
        </w:rPr>
        <w:t xml:space="preserve">1, </w:t>
      </w:r>
      <w:r w:rsidRPr="0042252B">
        <w:rPr>
          <w:lang w:bidi="en-US"/>
        </w:rPr>
        <w:t>23</w:t>
      </w:r>
      <w:r w:rsidR="003649B3" w:rsidRPr="0042252B">
        <w:rPr>
          <w:lang w:bidi="en-US"/>
        </w:rPr>
        <w:t>, 24(1)</w:t>
      </w:r>
      <w:r w:rsidRPr="0042252B">
        <w:rPr>
          <w:lang w:bidi="en-US"/>
        </w:rPr>
        <w:t>.</w:t>
      </w:r>
    </w:p>
    <w:p w:rsidR="002E6705" w:rsidRPr="0042252B" w:rsidRDefault="002E6705" w:rsidP="001E4C48">
      <w:pPr>
        <w:pStyle w:val="SCCNormalDoubleSpacing"/>
        <w:widowControl w:val="0"/>
        <w:spacing w:after="720" w:line="240" w:lineRule="auto"/>
        <w:outlineLvl w:val="0"/>
        <w:rPr>
          <w:b/>
        </w:rPr>
      </w:pPr>
      <w:r w:rsidRPr="0042252B">
        <w:rPr>
          <w:b/>
        </w:rPr>
        <w:lastRenderedPageBreak/>
        <w:t>Authors Cited</w:t>
      </w:r>
    </w:p>
    <w:p w:rsidR="003C0B45" w:rsidRPr="0042252B" w:rsidRDefault="003C0B45" w:rsidP="001E4C48">
      <w:pPr>
        <w:pStyle w:val="SCCNormalDoubleSpacing"/>
        <w:widowControl w:val="0"/>
        <w:spacing w:after="240" w:line="240" w:lineRule="auto"/>
        <w:ind w:left="1166" w:hanging="1166"/>
        <w:rPr>
          <w:lang w:val="en-US" w:bidi="en-US"/>
        </w:rPr>
      </w:pPr>
      <w:r w:rsidRPr="0042252B">
        <w:rPr>
          <w:lang w:bidi="en-US"/>
        </w:rPr>
        <w:t>Bastarache, Michel. “Education Rights of Provincial Official Language Minorities (</w:t>
      </w:r>
      <w:r w:rsidR="00435B96" w:rsidRPr="0042252B">
        <w:rPr>
          <w:lang w:bidi="en-US"/>
        </w:rPr>
        <w:t>Section</w:t>
      </w:r>
      <w:r w:rsidR="00E413D7">
        <w:rPr>
          <w:lang w:bidi="en-US"/>
        </w:rPr>
        <w:t xml:space="preserve"> </w:t>
      </w:r>
      <w:r w:rsidRPr="0042252B">
        <w:rPr>
          <w:lang w:bidi="en-US"/>
        </w:rPr>
        <w:t>23)”, in G.</w:t>
      </w:r>
      <w:r w:rsidR="001E4C48">
        <w:rPr>
          <w:lang w:bidi="en-US"/>
        </w:rPr>
        <w:t>-</w:t>
      </w:r>
      <w:r w:rsidR="00F94AAB" w:rsidRPr="0042252B">
        <w:rPr>
          <w:lang w:bidi="en-US"/>
        </w:rPr>
        <w:t>A.</w:t>
      </w:r>
      <w:r w:rsidR="00E413D7">
        <w:rPr>
          <w:lang w:bidi="en-US"/>
        </w:rPr>
        <w:t xml:space="preserve"> </w:t>
      </w:r>
      <w:r w:rsidRPr="0042252B">
        <w:rPr>
          <w:lang w:bidi="en-US"/>
        </w:rPr>
        <w:t xml:space="preserve">Beaudoin and E. Ratushny, eds., </w:t>
      </w:r>
      <w:r w:rsidRPr="0042252B">
        <w:rPr>
          <w:i/>
          <w:lang w:bidi="en-US"/>
        </w:rPr>
        <w:t>The Canadian Charter of Rights and Freedoms</w:t>
      </w:r>
      <w:r w:rsidRPr="0042252B">
        <w:rPr>
          <w:lang w:bidi="en-US"/>
        </w:rPr>
        <w:t xml:space="preserve">, 2nd ed. </w:t>
      </w:r>
      <w:r w:rsidRPr="0042252B">
        <w:rPr>
          <w:lang w:val="en-US" w:bidi="en-US"/>
        </w:rPr>
        <w:t xml:space="preserve">Toronto: Carswell, 1989, 687. </w:t>
      </w:r>
    </w:p>
    <w:p w:rsidR="003C0B45" w:rsidRPr="0042252B" w:rsidRDefault="003C0B45" w:rsidP="001E4C48">
      <w:pPr>
        <w:pStyle w:val="SCCNormalDoubleSpacing"/>
        <w:widowControl w:val="0"/>
        <w:spacing w:after="240" w:line="240" w:lineRule="auto"/>
        <w:ind w:left="1166" w:hanging="1166"/>
        <w:rPr>
          <w:lang w:val="fr-CA"/>
        </w:rPr>
      </w:pPr>
      <w:r w:rsidRPr="0042252B">
        <w:t xml:space="preserve">Canada. Royal Commission on Bilingualism and Biculturalism. </w:t>
      </w:r>
      <w:r w:rsidRPr="0042252B">
        <w:rPr>
          <w:i/>
        </w:rPr>
        <w:t>Report of the Royal Commission on Bilingualism and Biculturalism</w:t>
      </w:r>
      <w:r w:rsidR="00F94AAB" w:rsidRPr="0042252B">
        <w:t>, Book</w:t>
      </w:r>
      <w:r w:rsidR="00E413D7">
        <w:t xml:space="preserve"> </w:t>
      </w:r>
      <w:r w:rsidR="00EC6A32" w:rsidRPr="0042252B">
        <w:t>II</w:t>
      </w:r>
      <w:r w:rsidRPr="0042252B">
        <w:t xml:space="preserve">, </w:t>
      </w:r>
      <w:r w:rsidRPr="0042252B">
        <w:rPr>
          <w:i/>
        </w:rPr>
        <w:t>Education</w:t>
      </w:r>
      <w:r w:rsidR="00F20930" w:rsidRPr="0042252B">
        <w:t>.</w:t>
      </w:r>
      <w:r w:rsidRPr="0042252B">
        <w:t xml:space="preserve"> </w:t>
      </w:r>
      <w:r w:rsidRPr="0042252B">
        <w:rPr>
          <w:lang w:val="fr-CA"/>
        </w:rPr>
        <w:t>Ottawa:</w:t>
      </w:r>
      <w:r w:rsidR="00405A66" w:rsidRPr="0042252B">
        <w:rPr>
          <w:lang w:val="fr-CA"/>
        </w:rPr>
        <w:t xml:space="preserve"> </w:t>
      </w:r>
      <w:r w:rsidRPr="0042252B">
        <w:rPr>
          <w:lang w:val="fr-CA"/>
        </w:rPr>
        <w:t>Queen’s Printer, 1968.</w:t>
      </w:r>
    </w:p>
    <w:p w:rsidR="003C0B45" w:rsidRPr="0042252B" w:rsidRDefault="003C0B45" w:rsidP="001E4C48">
      <w:pPr>
        <w:pStyle w:val="SCCNormalDoubleSpacing"/>
        <w:widowControl w:val="0"/>
        <w:spacing w:after="240" w:line="240" w:lineRule="auto"/>
        <w:ind w:left="1166" w:hanging="1166"/>
        <w:rPr>
          <w:lang w:val="fr-CA" w:bidi="en-US"/>
        </w:rPr>
      </w:pPr>
      <w:r w:rsidRPr="0042252B">
        <w:rPr>
          <w:lang w:val="fr-CA" w:bidi="en-US"/>
        </w:rPr>
        <w:t>Doucet, Michel.</w:t>
      </w:r>
      <w:r w:rsidR="00F94AAB" w:rsidRPr="0042252B">
        <w:rPr>
          <w:lang w:val="fr-CA" w:bidi="en-US"/>
        </w:rPr>
        <w:t xml:space="preserve"> “L’article</w:t>
      </w:r>
      <w:r w:rsidR="00E413D7">
        <w:rPr>
          <w:lang w:val="fr-CA" w:bidi="en-US"/>
        </w:rPr>
        <w:t xml:space="preserve"> </w:t>
      </w:r>
      <w:r w:rsidRPr="0042252B">
        <w:rPr>
          <w:lang w:val="fr-CA" w:bidi="en-US"/>
        </w:rPr>
        <w:t xml:space="preserve">23 de la </w:t>
      </w:r>
      <w:r w:rsidRPr="0042252B">
        <w:rPr>
          <w:i/>
          <w:lang w:val="fr-CA" w:bidi="en-US"/>
        </w:rPr>
        <w:t>Charte canadienne des droits et libertés</w:t>
      </w:r>
      <w:r w:rsidRPr="0042252B">
        <w:rPr>
          <w:lang w:val="fr-CA" w:bidi="en-US"/>
        </w:rPr>
        <w:t xml:space="preserve">” (2013), 62 </w:t>
      </w:r>
      <w:r w:rsidRPr="0042252B">
        <w:rPr>
          <w:i/>
          <w:lang w:val="fr-CA" w:bidi="en-US"/>
        </w:rPr>
        <w:t>S.C.L.R.</w:t>
      </w:r>
      <w:r w:rsidRPr="0042252B">
        <w:rPr>
          <w:lang w:val="fr-CA" w:bidi="en-US"/>
        </w:rPr>
        <w:t xml:space="preserve"> (2d) 421.</w:t>
      </w:r>
    </w:p>
    <w:p w:rsidR="003C0B45" w:rsidRPr="0042252B" w:rsidRDefault="003C0B45" w:rsidP="001E4C48">
      <w:pPr>
        <w:pStyle w:val="SCCNormalDoubleSpacing"/>
        <w:widowControl w:val="0"/>
        <w:spacing w:after="240" w:line="240" w:lineRule="auto"/>
        <w:ind w:left="1166" w:hanging="1166"/>
        <w:rPr>
          <w:lang w:val="en-US" w:bidi="en-US"/>
        </w:rPr>
      </w:pPr>
      <w:r w:rsidRPr="0042252B">
        <w:rPr>
          <w:lang w:val="en-US" w:bidi="en-US"/>
        </w:rPr>
        <w:t>Hogg,</w:t>
      </w:r>
      <w:r w:rsidR="00F94AAB" w:rsidRPr="0042252B">
        <w:rPr>
          <w:lang w:val="en-US" w:bidi="en-US"/>
        </w:rPr>
        <w:t xml:space="preserve"> Peter</w:t>
      </w:r>
      <w:r w:rsidR="00E413D7">
        <w:rPr>
          <w:lang w:val="en-US" w:bidi="en-US"/>
        </w:rPr>
        <w:t xml:space="preserve"> </w:t>
      </w:r>
      <w:r w:rsidRPr="0042252B">
        <w:rPr>
          <w:lang w:val="en-US" w:bidi="en-US"/>
        </w:rPr>
        <w:t xml:space="preserve">W. </w:t>
      </w:r>
      <w:r w:rsidRPr="0042252B">
        <w:rPr>
          <w:i/>
          <w:lang w:val="en-US" w:bidi="en-US"/>
        </w:rPr>
        <w:t>Constitutional Law of Canada</w:t>
      </w:r>
      <w:r w:rsidRPr="0042252B">
        <w:rPr>
          <w:lang w:val="en-US" w:bidi="en-US"/>
        </w:rPr>
        <w:t>, 5th ed. Su</w:t>
      </w:r>
      <w:r w:rsidR="00405A66" w:rsidRPr="0042252B">
        <w:rPr>
          <w:lang w:val="en-US" w:bidi="en-US"/>
        </w:rPr>
        <w:t>pp.</w:t>
      </w:r>
      <w:r w:rsidR="00E413D7">
        <w:rPr>
          <w:lang w:val="en-US" w:bidi="en-US"/>
        </w:rPr>
        <w:t xml:space="preserve"> </w:t>
      </w:r>
      <w:r w:rsidRPr="0042252B">
        <w:rPr>
          <w:lang w:val="en-US" w:bidi="en-US"/>
        </w:rPr>
        <w:t>Toronto</w:t>
      </w:r>
      <w:r w:rsidR="00F94AAB" w:rsidRPr="0042252B">
        <w:rPr>
          <w:lang w:val="en-US" w:bidi="en-US"/>
        </w:rPr>
        <w:t>:</w:t>
      </w:r>
      <w:r w:rsidRPr="0042252B">
        <w:rPr>
          <w:lang w:val="en-US" w:bidi="en-US"/>
        </w:rPr>
        <w:t xml:space="preserve"> Thomson/Carswell, 2007 (updated 2014, release 1). </w:t>
      </w:r>
    </w:p>
    <w:p w:rsidR="002B10A1" w:rsidRPr="0042252B" w:rsidRDefault="002B10A1" w:rsidP="001E4C48">
      <w:pPr>
        <w:pStyle w:val="SCCNormalDoubleSpacing"/>
        <w:widowControl w:val="0"/>
        <w:spacing w:after="240" w:line="240" w:lineRule="auto"/>
        <w:ind w:left="1166" w:hanging="1166"/>
        <w:rPr>
          <w:lang w:val="fr-CA" w:bidi="en-US"/>
        </w:rPr>
      </w:pPr>
      <w:r w:rsidRPr="0042252B">
        <w:rPr>
          <w:lang w:bidi="en-US"/>
        </w:rPr>
        <w:t xml:space="preserve">Landry, Rodrigue, and Réal Allard. </w:t>
      </w:r>
      <w:r w:rsidRPr="0042252B">
        <w:rPr>
          <w:lang w:val="fr-CA" w:bidi="en-US"/>
        </w:rPr>
        <w:t xml:space="preserve">“L’exogamie et le maintien de deux langues et de deux cultures: le rôle de la francité familioscolaire” (1997), 23 </w:t>
      </w:r>
      <w:r w:rsidRPr="0042252B">
        <w:rPr>
          <w:i/>
          <w:lang w:val="fr-CA" w:bidi="en-US"/>
        </w:rPr>
        <w:t xml:space="preserve">Revue des sciences de l’éducation </w:t>
      </w:r>
      <w:r w:rsidRPr="0042252B">
        <w:rPr>
          <w:lang w:val="fr-CA" w:bidi="en-US"/>
        </w:rPr>
        <w:t xml:space="preserve">561. </w:t>
      </w:r>
    </w:p>
    <w:p w:rsidR="003C0B45" w:rsidRPr="0042252B" w:rsidRDefault="003C0B45" w:rsidP="001E4C48">
      <w:pPr>
        <w:pStyle w:val="SCCNormalDoubleSpacing"/>
        <w:widowControl w:val="0"/>
        <w:spacing w:after="720" w:line="240" w:lineRule="auto"/>
        <w:ind w:left="1166" w:hanging="1166"/>
        <w:rPr>
          <w:lang w:bidi="en-US"/>
        </w:rPr>
      </w:pPr>
      <w:r w:rsidRPr="0042252B">
        <w:rPr>
          <w:lang w:bidi="en-US"/>
        </w:rPr>
        <w:t>Power, Mark, and Pierre Foucher. “Language Rights and Education”, in G.</w:t>
      </w:r>
      <w:r w:rsidR="001E4C48">
        <w:rPr>
          <w:lang w:bidi="en-US"/>
        </w:rPr>
        <w:t>-</w:t>
      </w:r>
      <w:r w:rsidR="00F94AAB" w:rsidRPr="0042252B">
        <w:rPr>
          <w:lang w:bidi="en-US"/>
        </w:rPr>
        <w:t>A.</w:t>
      </w:r>
      <w:r w:rsidR="00E413D7">
        <w:rPr>
          <w:lang w:bidi="en-US"/>
        </w:rPr>
        <w:t xml:space="preserve"> </w:t>
      </w:r>
      <w:r w:rsidRPr="0042252B">
        <w:rPr>
          <w:lang w:bidi="en-US"/>
        </w:rPr>
        <w:t>Beaudoin and E.</w:t>
      </w:r>
      <w:r w:rsidR="00E413D7">
        <w:rPr>
          <w:lang w:bidi="en-US"/>
        </w:rPr>
        <w:t xml:space="preserve"> </w:t>
      </w:r>
      <w:r w:rsidRPr="0042252B">
        <w:rPr>
          <w:lang w:bidi="en-US"/>
        </w:rPr>
        <w:t xml:space="preserve">Mendes, eds., </w:t>
      </w:r>
      <w:r w:rsidRPr="0042252B">
        <w:rPr>
          <w:i/>
          <w:lang w:bidi="en-US"/>
        </w:rPr>
        <w:t>Canadian Charter of Rights and Freedoms</w:t>
      </w:r>
      <w:r w:rsidRPr="0042252B">
        <w:rPr>
          <w:lang w:bidi="en-US"/>
        </w:rPr>
        <w:t xml:space="preserve">, 4th ed. Markham, Ont.: LexisNexis Canada, 2005, 1095. </w:t>
      </w:r>
    </w:p>
    <w:p w:rsidR="00745B76" w:rsidRPr="0042252B" w:rsidRDefault="00BC23FD" w:rsidP="001E4C48">
      <w:pPr>
        <w:pStyle w:val="SCCNormalDoubleSpacing"/>
        <w:widowControl w:val="0"/>
        <w:spacing w:before="480" w:after="480"/>
        <w:rPr>
          <w:lang w:val="fr-CA"/>
        </w:rPr>
      </w:pPr>
      <w:r w:rsidRPr="0042252B">
        <w:tab/>
      </w:r>
      <w:r w:rsidR="009B57B3" w:rsidRPr="0042252B">
        <w:t>APPEAL from judgment</w:t>
      </w:r>
      <w:r w:rsidR="00BF0EAD" w:rsidRPr="0042252B">
        <w:t>s</w:t>
      </w:r>
      <w:r w:rsidR="009B57B3" w:rsidRPr="0042252B">
        <w:t xml:space="preserve"> of the </w:t>
      </w:r>
      <w:r w:rsidRPr="0042252B">
        <w:t xml:space="preserve">British Columbia </w:t>
      </w:r>
      <w:r w:rsidR="009B57B3" w:rsidRPr="0042252B">
        <w:t xml:space="preserve">Court of Appeal </w:t>
      </w:r>
      <w:r w:rsidRPr="0042252B">
        <w:t>(</w:t>
      </w:r>
      <w:r w:rsidR="00D21F92" w:rsidRPr="0042252B">
        <w:t>Saunders, Bennett and Hinkson</w:t>
      </w:r>
      <w:r w:rsidR="00E413D7">
        <w:t xml:space="preserve"> </w:t>
      </w:r>
      <w:r w:rsidR="00D21F92" w:rsidRPr="0042252B">
        <w:t xml:space="preserve">JJ.A.), </w:t>
      </w:r>
      <w:r w:rsidR="00745B76" w:rsidRPr="0042252B">
        <w:t xml:space="preserve">2013 BCCA 407, 49 B.C.L.R. (5th) 246, 342 B.C.A.C. 251, </w:t>
      </w:r>
      <w:r w:rsidR="00853006" w:rsidRPr="0042252B">
        <w:t xml:space="preserve">585 </w:t>
      </w:r>
      <w:r w:rsidR="00745B76" w:rsidRPr="0042252B">
        <w:t xml:space="preserve">W.A.C. 251, 367 D.L.R. (4th) 387, 291 C.R.R. (2d) 106, 44 C.P.C. (7th) 122, [2014] 1 W.W.R. 1, [2013] B.C.J. </w:t>
      </w:r>
      <w:r w:rsidR="00405A66" w:rsidRPr="0042252B">
        <w:t>No.</w:t>
      </w:r>
      <w:r w:rsidR="00E413D7">
        <w:t xml:space="preserve"> </w:t>
      </w:r>
      <w:r w:rsidR="00745B76" w:rsidRPr="0042252B">
        <w:t>2057 (QL), 2013 C</w:t>
      </w:r>
      <w:r w:rsidR="005D2B3F" w:rsidRPr="0042252B">
        <w:t>arswellBC 2799</w:t>
      </w:r>
      <w:r w:rsidR="006414A8" w:rsidRPr="0042252B">
        <w:t xml:space="preserve"> (WL Can.)</w:t>
      </w:r>
      <w:r w:rsidR="00B65715" w:rsidRPr="0042252B">
        <w:t>;</w:t>
      </w:r>
      <w:r w:rsidR="005D2B3F" w:rsidRPr="0042252B">
        <w:t xml:space="preserve"> </w:t>
      </w:r>
      <w:r w:rsidR="00651961" w:rsidRPr="0042252B">
        <w:t xml:space="preserve">and 2014 BCCA 40, </w:t>
      </w:r>
      <w:r w:rsidR="006E3288" w:rsidRPr="0042252B">
        <w:t xml:space="preserve">54 B.C.L.R. (5th) 79, 350 B.C.A.C. 142, [2014] 4 W.W.R. 528, 58 C.P.C. (7th) 230, [2014] B.C.J. </w:t>
      </w:r>
      <w:r w:rsidR="00405A66" w:rsidRPr="0042252B">
        <w:t>No.</w:t>
      </w:r>
      <w:r w:rsidR="00E413D7">
        <w:t xml:space="preserve"> </w:t>
      </w:r>
      <w:r w:rsidR="006E3288" w:rsidRPr="0042252B">
        <w:t>155 (QL), 2014 CarswellBC 225 (WL Can.)</w:t>
      </w:r>
      <w:r w:rsidR="00E015B0" w:rsidRPr="0042252B">
        <w:t xml:space="preserve">, </w:t>
      </w:r>
      <w:r w:rsidR="006414A8" w:rsidRPr="0042252B">
        <w:t>setting aside</w:t>
      </w:r>
      <w:r w:rsidR="00C77EAD" w:rsidRPr="0042252B">
        <w:t xml:space="preserve"> </w:t>
      </w:r>
      <w:r w:rsidR="00853006" w:rsidRPr="0042252B">
        <w:t>decision</w:t>
      </w:r>
      <w:r w:rsidR="00C77EAD" w:rsidRPr="0042252B">
        <w:t>s</w:t>
      </w:r>
      <w:r w:rsidR="00853006" w:rsidRPr="0042252B">
        <w:t xml:space="preserve"> of Will</w:t>
      </w:r>
      <w:r w:rsidR="004E1AEB" w:rsidRPr="0042252B">
        <w:t>c</w:t>
      </w:r>
      <w:r w:rsidR="00853006" w:rsidRPr="0042252B">
        <w:t xml:space="preserve">ock J., </w:t>
      </w:r>
      <w:r w:rsidR="00C77EAD" w:rsidRPr="0042252B">
        <w:t xml:space="preserve">2011 BCSC 1495, 21 C.P.C. (7th) 111, [2011] B.C.J. </w:t>
      </w:r>
      <w:r w:rsidR="00405A66" w:rsidRPr="0042252B">
        <w:t>No.</w:t>
      </w:r>
      <w:r w:rsidR="00E413D7">
        <w:t xml:space="preserve"> </w:t>
      </w:r>
      <w:r w:rsidR="00C77EAD" w:rsidRPr="0042252B">
        <w:t>2096 (QL), 2011 CarswellBC 3303</w:t>
      </w:r>
      <w:r w:rsidR="006414A8" w:rsidRPr="0042252B">
        <w:t xml:space="preserve"> (WL Can.)</w:t>
      </w:r>
      <w:r w:rsidR="006D5324" w:rsidRPr="0042252B">
        <w:t>;</w:t>
      </w:r>
      <w:r w:rsidR="00E015B0" w:rsidRPr="0042252B">
        <w:t xml:space="preserve"> </w:t>
      </w:r>
      <w:r w:rsidR="00C8142E" w:rsidRPr="0042252B">
        <w:t xml:space="preserve">2012 BCSC 1614, 39 B.C.L.R. (5th) 144, 270 C.R.R. (2d) 220, [2013] 2 W.W.R. 528, [2012] B.C.J. </w:t>
      </w:r>
      <w:r w:rsidR="00405A66" w:rsidRPr="0042252B">
        <w:t>No.</w:t>
      </w:r>
      <w:r w:rsidR="00E413D7">
        <w:t xml:space="preserve"> </w:t>
      </w:r>
      <w:r w:rsidR="00C8142E" w:rsidRPr="0042252B">
        <w:t>2247 (QL), 2012 CarswellBC 3373</w:t>
      </w:r>
      <w:r w:rsidR="006414A8" w:rsidRPr="0042252B">
        <w:t xml:space="preserve"> (WL Can.)</w:t>
      </w:r>
      <w:r w:rsidR="006D5324" w:rsidRPr="0042252B">
        <w:t>;</w:t>
      </w:r>
      <w:r w:rsidR="00E015B0" w:rsidRPr="0042252B">
        <w:t xml:space="preserve"> and </w:t>
      </w:r>
      <w:r w:rsidR="0040744A" w:rsidRPr="0042252B">
        <w:t xml:space="preserve">2013 BCSC 1111, </w:t>
      </w:r>
      <w:r w:rsidR="009E3595" w:rsidRPr="0042252B">
        <w:t xml:space="preserve">49 B.C.L.R. (5th) 189, [2013] 10 W.W.R. 602, 40 C.P.C. (7th) 274, 61 Admin. L.R. (5th) 310, [2013] B.C.J. </w:t>
      </w:r>
      <w:r w:rsidR="00405A66" w:rsidRPr="0042252B">
        <w:t>No.</w:t>
      </w:r>
      <w:r w:rsidR="00E413D7">
        <w:t xml:space="preserve"> </w:t>
      </w:r>
      <w:r w:rsidR="009E3595" w:rsidRPr="0042252B">
        <w:t xml:space="preserve">1352 (QL), 2013 </w:t>
      </w:r>
      <w:r w:rsidR="009E3595" w:rsidRPr="0042252B">
        <w:lastRenderedPageBreak/>
        <w:t>CarswellBC 1871 (WL Can.)</w:t>
      </w:r>
      <w:r w:rsidR="00C8142E" w:rsidRPr="0042252B">
        <w:t xml:space="preserve">. </w:t>
      </w:r>
      <w:r w:rsidR="00C8142E" w:rsidRPr="0042252B">
        <w:rPr>
          <w:lang w:val="fr-CA"/>
        </w:rPr>
        <w:t xml:space="preserve">Appeal </w:t>
      </w:r>
      <w:r w:rsidR="000C5FE7" w:rsidRPr="0042252B">
        <w:rPr>
          <w:lang w:val="fr-CA"/>
        </w:rPr>
        <w:t>allowed</w:t>
      </w:r>
      <w:r w:rsidR="00C8142E" w:rsidRPr="0042252B">
        <w:rPr>
          <w:lang w:val="fr-CA"/>
        </w:rPr>
        <w:t>.</w:t>
      </w:r>
    </w:p>
    <w:p w:rsidR="001645AB" w:rsidRPr="0042252B" w:rsidRDefault="00405A66" w:rsidP="001E4C48">
      <w:pPr>
        <w:pStyle w:val="SCCNormalDoubleSpacing"/>
        <w:widowControl w:val="0"/>
        <w:spacing w:before="480" w:after="480"/>
        <w:rPr>
          <w:rStyle w:val="SCCCounselPartyRoleChar"/>
          <w:lang w:val="fr-CA"/>
        </w:rPr>
      </w:pPr>
      <w:r w:rsidRPr="0042252B">
        <w:rPr>
          <w:rStyle w:val="SCCCounselNameChar"/>
          <w:lang w:val="fr-CA"/>
        </w:rPr>
        <w:tab/>
        <w:t>Nicolas</w:t>
      </w:r>
      <w:r w:rsidR="00E413D7">
        <w:rPr>
          <w:rStyle w:val="SCCCounselNameChar"/>
          <w:lang w:val="fr-CA"/>
        </w:rPr>
        <w:t xml:space="preserve"> </w:t>
      </w:r>
      <w:r w:rsidR="00406F89" w:rsidRPr="0042252B">
        <w:rPr>
          <w:rStyle w:val="SCCCounselNameChar"/>
          <w:lang w:val="fr-CA"/>
        </w:rPr>
        <w:t>M. Rouleau</w:t>
      </w:r>
      <w:r w:rsidR="00406F89" w:rsidRPr="0042252B">
        <w:rPr>
          <w:rStyle w:val="SCCCounselPartyRoleChar"/>
          <w:lang w:val="fr-CA"/>
        </w:rPr>
        <w:t xml:space="preserve"> </w:t>
      </w:r>
      <w:r w:rsidR="001645AB" w:rsidRPr="0042252B">
        <w:rPr>
          <w:rStyle w:val="SCCCounselPartyRoleChar"/>
          <w:lang w:val="fr-CA"/>
        </w:rPr>
        <w:t xml:space="preserve">and </w:t>
      </w:r>
      <w:r w:rsidR="001645AB" w:rsidRPr="0042252B">
        <w:rPr>
          <w:rStyle w:val="SCCCounselPartyRoleChar"/>
          <w:i/>
          <w:lang w:val="fr-CA"/>
        </w:rPr>
        <w:t>Joseph Pagé</w:t>
      </w:r>
      <w:r w:rsidR="001645AB" w:rsidRPr="0042252B">
        <w:rPr>
          <w:rStyle w:val="SCCCounselPartyRoleChar"/>
          <w:lang w:val="fr-CA"/>
        </w:rPr>
        <w:t xml:space="preserve">, </w:t>
      </w:r>
      <w:r w:rsidR="00406F89" w:rsidRPr="0042252B">
        <w:rPr>
          <w:rStyle w:val="SCCCounselPartyRoleChar"/>
          <w:lang w:val="fr-CA"/>
        </w:rPr>
        <w:t>for the appellant</w:t>
      </w:r>
      <w:r w:rsidR="001645AB" w:rsidRPr="0042252B">
        <w:rPr>
          <w:rStyle w:val="SCCCounselPartyRoleChar"/>
          <w:lang w:val="fr-CA"/>
        </w:rPr>
        <w:t>s Association des parents de l’école Rose</w:t>
      </w:r>
      <w:r w:rsidR="001E4C48">
        <w:rPr>
          <w:rStyle w:val="SCCCounselPartyRoleChar"/>
          <w:lang w:val="fr-CA"/>
        </w:rPr>
        <w:t>-</w:t>
      </w:r>
      <w:r w:rsidR="001645AB" w:rsidRPr="0042252B">
        <w:rPr>
          <w:rStyle w:val="SCCCounselPartyRoleChar"/>
          <w:lang w:val="fr-CA"/>
        </w:rPr>
        <w:t>des</w:t>
      </w:r>
      <w:r w:rsidR="001E4C48">
        <w:rPr>
          <w:rStyle w:val="SCCCounselPartyRoleChar"/>
          <w:lang w:val="fr-CA"/>
        </w:rPr>
        <w:t>-</w:t>
      </w:r>
      <w:r w:rsidR="001645AB" w:rsidRPr="0042252B">
        <w:rPr>
          <w:rStyle w:val="SCCCounselPartyRoleChar"/>
          <w:lang w:val="fr-CA"/>
        </w:rPr>
        <w:t xml:space="preserve">vents </w:t>
      </w:r>
      <w:r w:rsidR="000C5FE7" w:rsidRPr="0042252B">
        <w:rPr>
          <w:rStyle w:val="SCCCounselPartyRoleChar"/>
          <w:lang w:val="fr-CA"/>
        </w:rPr>
        <w:t>et al</w:t>
      </w:r>
      <w:r w:rsidR="001645AB" w:rsidRPr="0042252B">
        <w:rPr>
          <w:rStyle w:val="SCCCounselPartyRoleChar"/>
          <w:lang w:val="fr-CA"/>
        </w:rPr>
        <w:t>.</w:t>
      </w:r>
    </w:p>
    <w:p w:rsidR="001645AB" w:rsidRPr="0042252B" w:rsidRDefault="00406F89" w:rsidP="001E4C48">
      <w:pPr>
        <w:pStyle w:val="SCCNormalDoubleSpacing"/>
        <w:widowControl w:val="0"/>
        <w:spacing w:before="480" w:after="480"/>
        <w:rPr>
          <w:lang w:val="fr-CA"/>
        </w:rPr>
      </w:pPr>
      <w:r w:rsidRPr="0042252B">
        <w:rPr>
          <w:rStyle w:val="SCCCounselNameChar"/>
          <w:lang w:val="fr-CA"/>
        </w:rPr>
        <w:tab/>
      </w:r>
      <w:r w:rsidR="00405A66" w:rsidRPr="0042252B">
        <w:rPr>
          <w:rStyle w:val="SCCCounselNameChar"/>
          <w:lang w:val="fr-CA"/>
        </w:rPr>
        <w:t>Robert</w:t>
      </w:r>
      <w:r w:rsidR="00E413D7">
        <w:rPr>
          <w:rStyle w:val="SCCCounselNameChar"/>
          <w:lang w:val="fr-CA"/>
        </w:rPr>
        <w:t xml:space="preserve"> </w:t>
      </w:r>
      <w:r w:rsidR="00D02B10" w:rsidRPr="0042252B">
        <w:rPr>
          <w:rStyle w:val="SCCCounselNameChar"/>
          <w:lang w:val="fr-CA"/>
        </w:rPr>
        <w:t xml:space="preserve">W. </w:t>
      </w:r>
      <w:r w:rsidR="001645AB" w:rsidRPr="0042252B">
        <w:rPr>
          <w:rStyle w:val="SCCCounselNameChar"/>
          <w:lang w:val="fr-CA"/>
        </w:rPr>
        <w:t>Grant</w:t>
      </w:r>
      <w:r w:rsidR="00C51AE1" w:rsidRPr="0042252B">
        <w:rPr>
          <w:rStyle w:val="SCCCounselNameChar"/>
          <w:i w:val="0"/>
          <w:lang w:val="fr-CA"/>
        </w:rPr>
        <w:t>,</w:t>
      </w:r>
      <w:r w:rsidR="00FA3ABD" w:rsidRPr="0042252B">
        <w:rPr>
          <w:rStyle w:val="SCCCounselNameChar"/>
          <w:lang w:val="fr-CA"/>
        </w:rPr>
        <w:t xml:space="preserve"> Q.C.</w:t>
      </w:r>
      <w:r w:rsidR="007C5A8E" w:rsidRPr="0042252B">
        <w:rPr>
          <w:rStyle w:val="SCCCounselNameChar"/>
          <w:i w:val="0"/>
          <w:lang w:val="fr-CA"/>
        </w:rPr>
        <w:t xml:space="preserve">, </w:t>
      </w:r>
      <w:r w:rsidR="001645AB" w:rsidRPr="0042252B">
        <w:rPr>
          <w:rStyle w:val="SCCCounselNameChar"/>
          <w:lang w:val="fr-CA"/>
        </w:rPr>
        <w:t>Jean</w:t>
      </w:r>
      <w:r w:rsidR="001E4C48">
        <w:rPr>
          <w:rStyle w:val="SCCCounselNameChar"/>
          <w:lang w:val="fr-CA"/>
        </w:rPr>
        <w:t>-</w:t>
      </w:r>
      <w:r w:rsidR="001645AB" w:rsidRPr="0042252B">
        <w:rPr>
          <w:rStyle w:val="SCCCounselNameChar"/>
          <w:lang w:val="fr-CA"/>
        </w:rPr>
        <w:t>Pierre Hachey</w:t>
      </w:r>
      <w:r w:rsidR="001645AB" w:rsidRPr="0042252B">
        <w:rPr>
          <w:rStyle w:val="SCCCounselPartyRoleChar"/>
          <w:lang w:val="fr-CA"/>
        </w:rPr>
        <w:t>,</w:t>
      </w:r>
      <w:r w:rsidR="007C5A8E" w:rsidRPr="0042252B">
        <w:rPr>
          <w:rStyle w:val="SCCCounselPartyRoleChar"/>
          <w:lang w:val="fr-CA"/>
        </w:rPr>
        <w:t xml:space="preserve"> </w:t>
      </w:r>
      <w:r w:rsidR="002C2B90" w:rsidRPr="0042252B">
        <w:rPr>
          <w:rStyle w:val="SCCCounselNameChar"/>
          <w:lang w:val="fr-CA"/>
        </w:rPr>
        <w:t>Mark</w:t>
      </w:r>
      <w:r w:rsidR="00E413D7">
        <w:rPr>
          <w:rStyle w:val="SCCCounselNameChar"/>
          <w:lang w:val="fr-CA"/>
        </w:rPr>
        <w:t xml:space="preserve"> </w:t>
      </w:r>
      <w:r w:rsidRPr="0042252B">
        <w:rPr>
          <w:rStyle w:val="SCCCounselNameChar"/>
          <w:lang w:val="fr-CA"/>
        </w:rPr>
        <w:t>C. Power</w:t>
      </w:r>
      <w:r w:rsidR="007C5A8E" w:rsidRPr="0042252B">
        <w:rPr>
          <w:rStyle w:val="SCCCounselSeparatorChar"/>
          <w:lang w:val="fr-CA"/>
        </w:rPr>
        <w:t xml:space="preserve"> and</w:t>
      </w:r>
      <w:r w:rsidRPr="0042252B">
        <w:rPr>
          <w:rStyle w:val="SCCCounselSeparatorChar"/>
          <w:lang w:val="fr-CA"/>
        </w:rPr>
        <w:t xml:space="preserve"> </w:t>
      </w:r>
      <w:r w:rsidR="002C2B90" w:rsidRPr="0042252B">
        <w:rPr>
          <w:rStyle w:val="SCCCounselNameChar"/>
          <w:lang w:val="fr-CA"/>
        </w:rPr>
        <w:t>David</w:t>
      </w:r>
      <w:r w:rsidR="00E413D7">
        <w:rPr>
          <w:rStyle w:val="SCCCounselNameChar"/>
          <w:lang w:val="fr-CA"/>
        </w:rPr>
        <w:t xml:space="preserve"> </w:t>
      </w:r>
      <w:r w:rsidR="00405A66" w:rsidRPr="0042252B">
        <w:rPr>
          <w:rStyle w:val="SCCCounselNameChar"/>
          <w:lang w:val="fr-CA"/>
        </w:rPr>
        <w:t xml:space="preserve">P. </w:t>
      </w:r>
      <w:r w:rsidRPr="0042252B">
        <w:rPr>
          <w:rStyle w:val="SCCCounselNameChar"/>
          <w:lang w:val="fr-CA"/>
        </w:rPr>
        <w:t>Taylor</w:t>
      </w:r>
      <w:r w:rsidRPr="0042252B">
        <w:rPr>
          <w:rStyle w:val="SCCCounselNameChar"/>
          <w:i w:val="0"/>
          <w:lang w:val="fr-CA"/>
        </w:rPr>
        <w:t>,</w:t>
      </w:r>
      <w:r w:rsidRPr="0042252B">
        <w:rPr>
          <w:rStyle w:val="SCCCounselNameChar"/>
          <w:lang w:val="fr-CA"/>
        </w:rPr>
        <w:t xml:space="preserve"> </w:t>
      </w:r>
      <w:r w:rsidRPr="0042252B">
        <w:rPr>
          <w:rStyle w:val="SCCCounselPartyRoleChar"/>
          <w:lang w:val="fr-CA"/>
        </w:rPr>
        <w:t>for the appellant</w:t>
      </w:r>
      <w:r w:rsidR="001645AB" w:rsidRPr="0042252B">
        <w:rPr>
          <w:rStyle w:val="SCCCounselPartyRoleChar"/>
          <w:lang w:val="fr-CA"/>
        </w:rPr>
        <w:t xml:space="preserve"> Conseil scolaire francophone de la Colombie</w:t>
      </w:r>
      <w:r w:rsidR="001E4C48">
        <w:rPr>
          <w:rStyle w:val="SCCCounselPartyRoleChar"/>
          <w:lang w:val="fr-CA"/>
        </w:rPr>
        <w:t>-</w:t>
      </w:r>
      <w:r w:rsidR="001645AB" w:rsidRPr="0042252B">
        <w:rPr>
          <w:rStyle w:val="SCCCounselPartyRoleChar"/>
          <w:lang w:val="fr-CA"/>
        </w:rPr>
        <w:t>Britannique.</w:t>
      </w:r>
    </w:p>
    <w:p w:rsidR="00D86B59" w:rsidRPr="0042252B" w:rsidRDefault="00406F89" w:rsidP="001E4C48">
      <w:pPr>
        <w:pStyle w:val="SCCNormalDoubleSpacing"/>
        <w:widowControl w:val="0"/>
        <w:spacing w:before="480" w:after="480"/>
      </w:pPr>
      <w:r w:rsidRPr="0042252B">
        <w:rPr>
          <w:rStyle w:val="SCCCounselNameChar"/>
          <w:lang w:val="fr-CA"/>
        </w:rPr>
        <w:tab/>
      </w:r>
      <w:r w:rsidR="00612B1D" w:rsidRPr="0042252B">
        <w:rPr>
          <w:rStyle w:val="SCCCounselNameChar"/>
        </w:rPr>
        <w:t>Leonard</w:t>
      </w:r>
      <w:r w:rsidR="00E413D7">
        <w:rPr>
          <w:rStyle w:val="SCCCounselNameChar"/>
        </w:rPr>
        <w:t xml:space="preserve"> </w:t>
      </w:r>
      <w:r w:rsidR="00612B1D" w:rsidRPr="0042252B">
        <w:rPr>
          <w:rStyle w:val="SCCCounselNameChar"/>
        </w:rPr>
        <w:t>T. Doust</w:t>
      </w:r>
      <w:r w:rsidR="00612B1D" w:rsidRPr="0042252B">
        <w:rPr>
          <w:rStyle w:val="SCCCounselNameChar"/>
          <w:i w:val="0"/>
        </w:rPr>
        <w:t xml:space="preserve">, </w:t>
      </w:r>
      <w:r w:rsidR="00612B1D" w:rsidRPr="0042252B">
        <w:rPr>
          <w:rStyle w:val="SCCCounselNameChar"/>
        </w:rPr>
        <w:t>Q.C.</w:t>
      </w:r>
      <w:r w:rsidR="00612B1D" w:rsidRPr="0042252B">
        <w:rPr>
          <w:rStyle w:val="SCCCounselPartyRoleChar"/>
        </w:rPr>
        <w:t xml:space="preserve">, </w:t>
      </w:r>
      <w:r w:rsidRPr="0042252B">
        <w:rPr>
          <w:rStyle w:val="SCCCounselNameChar"/>
        </w:rPr>
        <w:t>Karrie Wolfe</w:t>
      </w:r>
      <w:r w:rsidR="00612B1D" w:rsidRPr="0042252B">
        <w:rPr>
          <w:rStyle w:val="SCCCounselNameChar"/>
        </w:rPr>
        <w:t xml:space="preserve"> </w:t>
      </w:r>
      <w:r w:rsidR="00612B1D" w:rsidRPr="0042252B">
        <w:rPr>
          <w:rStyle w:val="SCCCounselNameChar"/>
          <w:i w:val="0"/>
        </w:rPr>
        <w:t>and</w:t>
      </w:r>
      <w:r w:rsidRPr="0042252B">
        <w:rPr>
          <w:rStyle w:val="SCCCounselSeparatorChar"/>
        </w:rPr>
        <w:t xml:space="preserve"> </w:t>
      </w:r>
      <w:r w:rsidRPr="0042252B">
        <w:rPr>
          <w:rStyle w:val="SCCCounselNameChar"/>
        </w:rPr>
        <w:t>Warren</w:t>
      </w:r>
      <w:r w:rsidR="00E413D7">
        <w:rPr>
          <w:rStyle w:val="SCCCounselNameChar"/>
        </w:rPr>
        <w:t xml:space="preserve"> </w:t>
      </w:r>
      <w:r w:rsidRPr="0042252B">
        <w:rPr>
          <w:rStyle w:val="SCCCounselNameChar"/>
        </w:rPr>
        <w:t>B. Milman</w:t>
      </w:r>
      <w:r w:rsidR="00612B1D" w:rsidRPr="0042252B">
        <w:rPr>
          <w:rStyle w:val="SCCCounselSeparatorChar"/>
        </w:rPr>
        <w:t xml:space="preserve">, </w:t>
      </w:r>
      <w:r w:rsidRPr="0042252B">
        <w:rPr>
          <w:rStyle w:val="SCCCounselPartyRoleChar"/>
        </w:rPr>
        <w:t>for the respondent</w:t>
      </w:r>
      <w:r w:rsidR="00612B1D" w:rsidRPr="0042252B">
        <w:rPr>
          <w:rStyle w:val="SCCCounselPartyRoleChar"/>
        </w:rPr>
        <w:t>s</w:t>
      </w:r>
      <w:r w:rsidRPr="0042252B">
        <w:rPr>
          <w:rStyle w:val="SCCCounselPartyRoleChar"/>
        </w:rPr>
        <w:t>.</w:t>
      </w:r>
    </w:p>
    <w:p w:rsidR="00D86B59" w:rsidRPr="0042252B" w:rsidRDefault="002C2B90" w:rsidP="001E4C48">
      <w:pPr>
        <w:pStyle w:val="SCCNormalDoubleSpacing"/>
        <w:widowControl w:val="0"/>
        <w:spacing w:before="480" w:after="480"/>
        <w:rPr>
          <w:rStyle w:val="SCCCounselPartyRoleChar"/>
        </w:rPr>
      </w:pPr>
      <w:r w:rsidRPr="0042252B">
        <w:rPr>
          <w:rStyle w:val="SCCCounselNameChar"/>
        </w:rPr>
        <w:tab/>
        <w:t>Alan</w:t>
      </w:r>
      <w:r w:rsidR="00E413D7">
        <w:rPr>
          <w:rStyle w:val="SCCCounselNameChar"/>
        </w:rPr>
        <w:t xml:space="preserve"> </w:t>
      </w:r>
      <w:r w:rsidR="00406F89" w:rsidRPr="0042252B">
        <w:rPr>
          <w:rStyle w:val="SCCCounselNameChar"/>
        </w:rPr>
        <w:t>F. Jacobson</w:t>
      </w:r>
      <w:r w:rsidR="00406F89" w:rsidRPr="0042252B">
        <w:rPr>
          <w:rStyle w:val="SCCCounselSeparatorChar"/>
        </w:rPr>
        <w:t xml:space="preserve"> and </w:t>
      </w:r>
      <w:r w:rsidRPr="0042252B">
        <w:rPr>
          <w:rStyle w:val="SCCCounselNameChar"/>
        </w:rPr>
        <w:t>Barbara</w:t>
      </w:r>
      <w:r w:rsidR="00E413D7">
        <w:rPr>
          <w:rStyle w:val="SCCCounselNameChar"/>
        </w:rPr>
        <w:t xml:space="preserve"> </w:t>
      </w:r>
      <w:r w:rsidR="00406F89" w:rsidRPr="0042252B">
        <w:rPr>
          <w:rStyle w:val="SCCCounselNameChar"/>
        </w:rPr>
        <w:t>C. Mysko</w:t>
      </w:r>
      <w:r w:rsidR="00406F89" w:rsidRPr="0042252B">
        <w:rPr>
          <w:rStyle w:val="SCCCounselPartyRoleChar"/>
        </w:rPr>
        <w:t xml:space="preserve">, for the intervener </w:t>
      </w:r>
      <w:r w:rsidR="00BB198B" w:rsidRPr="0042252B">
        <w:rPr>
          <w:rStyle w:val="SCCCounselPartyRoleChar"/>
        </w:rPr>
        <w:t xml:space="preserve">the </w:t>
      </w:r>
      <w:r w:rsidR="00406F89" w:rsidRPr="0042252B">
        <w:rPr>
          <w:rStyle w:val="SCCCounselPartyRoleChar"/>
        </w:rPr>
        <w:t>Attorney General for Saskatchewan.</w:t>
      </w:r>
    </w:p>
    <w:p w:rsidR="00BB198B" w:rsidRPr="0042252B" w:rsidRDefault="00BB198B" w:rsidP="001E4C48">
      <w:pPr>
        <w:pStyle w:val="SCCNormalDoubleSpacing"/>
        <w:widowControl w:val="0"/>
        <w:spacing w:before="480" w:after="480"/>
        <w:outlineLvl w:val="0"/>
      </w:pPr>
      <w:r w:rsidRPr="0042252B">
        <w:rPr>
          <w:rStyle w:val="SCCCounselNameChar"/>
        </w:rPr>
        <w:tab/>
        <w:t>Randy Steele</w:t>
      </w:r>
      <w:r w:rsidRPr="0042252B">
        <w:rPr>
          <w:rStyle w:val="SCCCounselPartyRoleChar"/>
        </w:rPr>
        <w:t>, for the intervener the Attorney General of Alberta.</w:t>
      </w:r>
    </w:p>
    <w:p w:rsidR="00D86B59" w:rsidRPr="0042252B" w:rsidRDefault="00406F89" w:rsidP="001E4C48">
      <w:pPr>
        <w:pStyle w:val="SCCNormalDoubleSpacing"/>
        <w:widowControl w:val="0"/>
        <w:spacing w:before="480" w:after="480"/>
      </w:pPr>
      <w:r w:rsidRPr="0042252B">
        <w:rPr>
          <w:rStyle w:val="SCCCounselNameChar"/>
        </w:rPr>
        <w:tab/>
        <w:t>François Baril</w:t>
      </w:r>
      <w:r w:rsidRPr="0042252B">
        <w:rPr>
          <w:rStyle w:val="SCCCounselPartyRoleChar"/>
        </w:rPr>
        <w:t xml:space="preserve">, for the intervener </w:t>
      </w:r>
      <w:r w:rsidR="00BB198B" w:rsidRPr="0042252B">
        <w:rPr>
          <w:rStyle w:val="SCCCounselPartyRoleChar"/>
        </w:rPr>
        <w:t xml:space="preserve">the </w:t>
      </w:r>
      <w:r w:rsidRPr="0042252B">
        <w:rPr>
          <w:rStyle w:val="SCCCounselPartyRoleChar"/>
        </w:rPr>
        <w:t>Attorney General of the Northwest Territories.</w:t>
      </w:r>
    </w:p>
    <w:p w:rsidR="00D86B59" w:rsidRPr="0042252B" w:rsidRDefault="00406F89" w:rsidP="001E4C48">
      <w:pPr>
        <w:pStyle w:val="SCCNormalDoubleSpacing"/>
        <w:widowControl w:val="0"/>
        <w:spacing w:before="480" w:after="480"/>
        <w:rPr>
          <w:rStyle w:val="SCCCounselPartyRoleChar"/>
        </w:rPr>
      </w:pPr>
      <w:r w:rsidRPr="0042252B">
        <w:rPr>
          <w:rStyle w:val="SCCCounselNameChar"/>
        </w:rPr>
        <w:tab/>
        <w:t>Maxime Faille</w:t>
      </w:r>
      <w:r w:rsidRPr="0042252B">
        <w:rPr>
          <w:rStyle w:val="SCCCounselSeparatorChar"/>
        </w:rPr>
        <w:t xml:space="preserve">, </w:t>
      </w:r>
      <w:r w:rsidRPr="0042252B">
        <w:rPr>
          <w:rStyle w:val="SCCCounselNameChar"/>
        </w:rPr>
        <w:t>Guy Régimbald</w:t>
      </w:r>
      <w:r w:rsidRPr="0042252B">
        <w:rPr>
          <w:rStyle w:val="SCCCounselSeparatorChar"/>
        </w:rPr>
        <w:t xml:space="preserve"> and </w:t>
      </w:r>
      <w:r w:rsidRPr="0042252B">
        <w:rPr>
          <w:rStyle w:val="SCCCounselNameChar"/>
        </w:rPr>
        <w:t>Pippa Lawson</w:t>
      </w:r>
      <w:r w:rsidRPr="0042252B">
        <w:rPr>
          <w:rStyle w:val="SCCCounselPartyRoleChar"/>
        </w:rPr>
        <w:t xml:space="preserve">, for the intervener </w:t>
      </w:r>
      <w:r w:rsidR="00BB198B" w:rsidRPr="0042252B">
        <w:rPr>
          <w:rStyle w:val="SCCCounselPartyRoleChar"/>
        </w:rPr>
        <w:t xml:space="preserve">the </w:t>
      </w:r>
      <w:r w:rsidRPr="0042252B">
        <w:rPr>
          <w:rStyle w:val="SCCCounselPartyRoleChar"/>
        </w:rPr>
        <w:t>Attorney General of the Yukon</w:t>
      </w:r>
      <w:r w:rsidR="00FA6A05" w:rsidRPr="0042252B">
        <w:rPr>
          <w:rStyle w:val="SCCCounselPartyRoleChar"/>
        </w:rPr>
        <w:t xml:space="preserve"> Territory</w:t>
      </w:r>
      <w:r w:rsidRPr="0042252B">
        <w:rPr>
          <w:rStyle w:val="SCCCounselPartyRoleChar"/>
        </w:rPr>
        <w:t>.</w:t>
      </w:r>
    </w:p>
    <w:p w:rsidR="00A8549F" w:rsidRPr="0042252B" w:rsidRDefault="00A8549F" w:rsidP="001E4C48">
      <w:pPr>
        <w:pStyle w:val="SCCNormalDoubleSpacing"/>
        <w:widowControl w:val="0"/>
        <w:spacing w:before="480" w:after="480"/>
        <w:rPr>
          <w:rStyle w:val="SCCCounselPartyRoleChar"/>
        </w:rPr>
      </w:pPr>
      <w:r w:rsidRPr="0042252B">
        <w:rPr>
          <w:rStyle w:val="SCCCounselNameChar"/>
        </w:rPr>
        <w:tab/>
        <w:t>Christine Ruest Norrena</w:t>
      </w:r>
      <w:r w:rsidRPr="0042252B">
        <w:rPr>
          <w:rStyle w:val="SCCCounselSeparatorChar"/>
        </w:rPr>
        <w:t xml:space="preserve"> and </w:t>
      </w:r>
      <w:r w:rsidRPr="0042252B">
        <w:rPr>
          <w:rStyle w:val="SCCCounselNameChar"/>
        </w:rPr>
        <w:t>Isabelle Bousquet</w:t>
      </w:r>
      <w:r w:rsidRPr="0042252B">
        <w:rPr>
          <w:rStyle w:val="SCCCounselPartyRoleChar"/>
        </w:rPr>
        <w:t>, for the intervener the Commissioner of Official Languages of Canada.</w:t>
      </w:r>
    </w:p>
    <w:p w:rsidR="00D86B59" w:rsidRPr="0042252B" w:rsidRDefault="00D45866" w:rsidP="001E4C48">
      <w:pPr>
        <w:pStyle w:val="SCCNormalDoubleSpacing"/>
        <w:widowControl w:val="0"/>
        <w:spacing w:before="480" w:after="480"/>
        <w:rPr>
          <w:lang w:val="fr-CA"/>
        </w:rPr>
      </w:pPr>
      <w:r w:rsidRPr="0042252B">
        <w:rPr>
          <w:rStyle w:val="SCCCounselNameChar"/>
        </w:rPr>
        <w:tab/>
      </w:r>
      <w:r w:rsidR="002C2B90" w:rsidRPr="0042252B">
        <w:rPr>
          <w:rStyle w:val="SCCCounselNameChar"/>
          <w:lang w:val="fr-CA"/>
        </w:rPr>
        <w:t>Roger</w:t>
      </w:r>
      <w:r w:rsidR="00E413D7">
        <w:rPr>
          <w:rStyle w:val="SCCCounselNameChar"/>
          <w:lang w:val="fr-CA"/>
        </w:rPr>
        <w:t xml:space="preserve"> </w:t>
      </w:r>
      <w:r w:rsidRPr="0042252B">
        <w:rPr>
          <w:rStyle w:val="SCCCounselNameChar"/>
          <w:lang w:val="fr-CA"/>
        </w:rPr>
        <w:t>J.</w:t>
      </w:r>
      <w:r w:rsidR="00E413D7">
        <w:rPr>
          <w:rStyle w:val="SCCCounselNameChar"/>
          <w:lang w:val="fr-CA"/>
        </w:rPr>
        <w:t xml:space="preserve"> </w:t>
      </w:r>
      <w:r w:rsidRPr="0042252B">
        <w:rPr>
          <w:rStyle w:val="SCCCounselNameChar"/>
          <w:lang w:val="fr-CA"/>
        </w:rPr>
        <w:t>F. Lepage</w:t>
      </w:r>
      <w:r w:rsidRPr="0042252B">
        <w:rPr>
          <w:rStyle w:val="SCCCounselSeparatorChar"/>
          <w:lang w:val="fr-CA"/>
        </w:rPr>
        <w:t xml:space="preserve"> and </w:t>
      </w:r>
      <w:r w:rsidRPr="0042252B">
        <w:rPr>
          <w:rStyle w:val="SCCCounselNameChar"/>
          <w:lang w:val="fr-CA"/>
        </w:rPr>
        <w:t>Francis</w:t>
      </w:r>
      <w:r w:rsidR="00E413D7">
        <w:rPr>
          <w:rStyle w:val="SCCCounselNameChar"/>
          <w:lang w:val="fr-CA"/>
        </w:rPr>
        <w:t xml:space="preserve"> </w:t>
      </w:r>
      <w:r w:rsidR="00405A66" w:rsidRPr="0042252B">
        <w:rPr>
          <w:rStyle w:val="SCCCounselNameChar"/>
          <w:lang w:val="fr-CA"/>
        </w:rPr>
        <w:t xml:space="preserve">P. </w:t>
      </w:r>
      <w:r w:rsidRPr="0042252B">
        <w:rPr>
          <w:rStyle w:val="SCCCounselNameChar"/>
          <w:lang w:val="fr-CA"/>
        </w:rPr>
        <w:t>Poulin</w:t>
      </w:r>
      <w:r w:rsidRPr="0042252B">
        <w:rPr>
          <w:rStyle w:val="SCCCounselPartyRoleChar"/>
          <w:lang w:val="fr-CA"/>
        </w:rPr>
        <w:t xml:space="preserve">, for the interveners </w:t>
      </w:r>
      <w:r w:rsidR="00DA4858" w:rsidRPr="0042252B">
        <w:rPr>
          <w:rStyle w:val="SCCCounselPartyRoleChar"/>
          <w:lang w:val="fr-CA"/>
        </w:rPr>
        <w:lastRenderedPageBreak/>
        <w:t xml:space="preserve">Commission scolaire francophone, </w:t>
      </w:r>
      <w:r w:rsidRPr="0042252B">
        <w:rPr>
          <w:rStyle w:val="SCCCounselPartyRoleChar"/>
          <w:lang w:val="fr-CA"/>
        </w:rPr>
        <w:t>Territoires du Nord</w:t>
      </w:r>
      <w:r w:rsidR="001E4C48">
        <w:rPr>
          <w:rStyle w:val="SCCCounselPartyRoleChar"/>
          <w:lang w:val="fr-CA"/>
        </w:rPr>
        <w:t>-</w:t>
      </w:r>
      <w:r w:rsidRPr="0042252B">
        <w:rPr>
          <w:rStyle w:val="SCCCounselPartyRoleChar"/>
          <w:lang w:val="fr-CA"/>
        </w:rPr>
        <w:t xml:space="preserve">Ouest, </w:t>
      </w:r>
      <w:r w:rsidR="00406F89" w:rsidRPr="0042252B">
        <w:rPr>
          <w:rStyle w:val="SCCCounselPartyRoleChar"/>
          <w:lang w:val="fr-CA"/>
        </w:rPr>
        <w:t>Fédération nationale des conseils scolaires francophones</w:t>
      </w:r>
      <w:r w:rsidRPr="0042252B">
        <w:rPr>
          <w:rStyle w:val="SCCCounselPartyRoleChar"/>
          <w:lang w:val="fr-CA"/>
        </w:rPr>
        <w:t xml:space="preserve">, </w:t>
      </w:r>
      <w:r w:rsidR="00406F89" w:rsidRPr="0042252B">
        <w:rPr>
          <w:rStyle w:val="SCCCounselPartyRoleChar"/>
          <w:lang w:val="fr-CA"/>
        </w:rPr>
        <w:t>Conseil des écoles fransaskoises</w:t>
      </w:r>
      <w:r w:rsidRPr="0042252B">
        <w:rPr>
          <w:rStyle w:val="SCCCounselPartyRoleChar"/>
          <w:lang w:val="fr-CA"/>
        </w:rPr>
        <w:t xml:space="preserve"> and </w:t>
      </w:r>
      <w:r w:rsidR="00406F89" w:rsidRPr="0042252B">
        <w:rPr>
          <w:rStyle w:val="SCCCounselPartyRoleChar"/>
          <w:lang w:val="fr-CA"/>
        </w:rPr>
        <w:t>Commission scolaire francophone du Yukon.</w:t>
      </w:r>
    </w:p>
    <w:p w:rsidR="001E4C48" w:rsidRPr="00275A80" w:rsidRDefault="00275A80" w:rsidP="001E4C48">
      <w:pPr>
        <w:pStyle w:val="JudgeJuge"/>
        <w:widowControl w:val="0"/>
        <w:rPr>
          <w:smallCaps w:val="0"/>
        </w:rPr>
      </w:pPr>
      <w:r w:rsidRPr="002D33D8">
        <w:rPr>
          <w:lang w:val="fr-CA"/>
        </w:rPr>
        <w:tab/>
      </w:r>
      <w:r w:rsidRPr="00275A80">
        <w:rPr>
          <w:smallCaps w:val="0"/>
        </w:rPr>
        <w:t>The</w:t>
      </w:r>
      <w:r>
        <w:rPr>
          <w:smallCaps w:val="0"/>
        </w:rPr>
        <w:t xml:space="preserve"> judgment of the Court was delivered by</w:t>
      </w:r>
    </w:p>
    <w:p w:rsidR="001E4C48" w:rsidRPr="00D24884" w:rsidRDefault="00275A80" w:rsidP="001E4C48">
      <w:pPr>
        <w:pStyle w:val="ParaNoNdepar-AltN"/>
        <w:widowControl w:val="0"/>
        <w:rPr>
          <w:rFonts w:cs="Times New Roman"/>
        </w:rPr>
      </w:pPr>
      <w:r w:rsidRPr="00275A80">
        <w:rPr>
          <w:smallCaps/>
        </w:rPr>
        <w:t>Karakatsanis J.</w:t>
      </w:r>
      <w:r w:rsidRPr="00D24884">
        <w:t xml:space="preserve"> — </w:t>
      </w:r>
      <w:r w:rsidR="001E4C48" w:rsidRPr="00D24884">
        <w:rPr>
          <w:rFonts w:cs="Times New Roman"/>
        </w:rPr>
        <w:t>This appeal reflects a new generation of issues for minority language education rights.  When is the quality of a minority language school education equivalent to that of the majority language schools?  What factors go into determining equivalence?</w:t>
      </w:r>
    </w:p>
    <w:p w:rsidR="001E4C48" w:rsidRPr="00D24884" w:rsidRDefault="001E4C48" w:rsidP="001E4C48">
      <w:pPr>
        <w:pStyle w:val="ParaNoNdepar-AltN"/>
        <w:widowControl w:val="0"/>
        <w:rPr>
          <w:rFonts w:cs="Times New Roman"/>
        </w:rPr>
      </w:pPr>
      <w:r w:rsidRPr="00D24884">
        <w:rPr>
          <w:rFonts w:cs="Times New Roman"/>
        </w:rPr>
        <w:t xml:space="preserve">These questions lie at the heart of this appeal.  They engage s. 23 of the </w:t>
      </w:r>
      <w:r w:rsidRPr="00D24884">
        <w:rPr>
          <w:rFonts w:cs="Times New Roman"/>
          <w:i/>
        </w:rPr>
        <w:t>Canadian Charter of Rights and Freedoms</w:t>
      </w:r>
      <w:r w:rsidRPr="00D24884">
        <w:rPr>
          <w:rFonts w:cs="Times New Roman"/>
        </w:rPr>
        <w:t xml:space="preserve">, the minority language education provision that guarantees </w:t>
      </w:r>
      <w:r>
        <w:rPr>
          <w:rFonts w:cs="Times New Roman"/>
        </w:rPr>
        <w:t>minority language rights holders the right to have their children receive primary and secondary school instruction in English or French.</w:t>
      </w:r>
      <w:r w:rsidRPr="00D24884">
        <w:rPr>
          <w:rFonts w:cs="Times New Roman"/>
        </w:rPr>
        <w:t xml:space="preserve">  While this Court has considered this </w:t>
      </w:r>
      <w:r w:rsidRPr="00D24884">
        <w:rPr>
          <w:rFonts w:cs="Times New Roman"/>
          <w:i/>
        </w:rPr>
        <w:t>Charter</w:t>
      </w:r>
      <w:r w:rsidRPr="00D24884">
        <w:rPr>
          <w:rFonts w:cs="Times New Roman"/>
        </w:rPr>
        <w:t xml:space="preserve"> right on several occasions over the past 30 years, the present appeal illustrates the evolution of minority language education disputes since </w:t>
      </w:r>
      <w:r>
        <w:rPr>
          <w:rFonts w:cs="Times New Roman"/>
        </w:rPr>
        <w:t xml:space="preserve">the adoption of the </w:t>
      </w:r>
      <w:r>
        <w:rPr>
          <w:rFonts w:cs="Times New Roman"/>
          <w:i/>
        </w:rPr>
        <w:t>Charter</w:t>
      </w:r>
      <w:r w:rsidRPr="00D24884">
        <w:rPr>
          <w:rFonts w:cs="Times New Roman"/>
        </w:rPr>
        <w:t xml:space="preserve">:  rather than focusing on a group’s initial entitlement to a given level of minority language educational services, this appeal asks how </w:t>
      </w:r>
      <w:r>
        <w:rPr>
          <w:rFonts w:cs="Times New Roman"/>
        </w:rPr>
        <w:t xml:space="preserve">a court may determine </w:t>
      </w:r>
      <w:r w:rsidRPr="00D24884">
        <w:rPr>
          <w:rFonts w:cs="Times New Roman"/>
        </w:rPr>
        <w:t>whether a group is, in fact, receiving its entitlement.</w:t>
      </w:r>
    </w:p>
    <w:p w:rsidR="001E4C48" w:rsidRPr="00D24884" w:rsidRDefault="001E4C48" w:rsidP="001E4C48">
      <w:pPr>
        <w:pStyle w:val="ParaNoNdepar-AltN"/>
        <w:widowControl w:val="0"/>
        <w:rPr>
          <w:rFonts w:cs="Times New Roman"/>
        </w:rPr>
      </w:pPr>
      <w:r w:rsidRPr="00D24884">
        <w:rPr>
          <w:rFonts w:cs="Times New Roman"/>
        </w:rPr>
        <w:t>It is well established that where the number</w:t>
      </w:r>
      <w:r>
        <w:rPr>
          <w:rFonts w:cs="Times New Roman"/>
        </w:rPr>
        <w:t xml:space="preserve"> of children of minority language rights holders</w:t>
      </w:r>
      <w:r w:rsidRPr="00D24884">
        <w:rPr>
          <w:rFonts w:cs="Times New Roman"/>
        </w:rPr>
        <w:t xml:space="preserve"> warrant</w:t>
      </w:r>
      <w:r>
        <w:rPr>
          <w:rFonts w:cs="Times New Roman"/>
        </w:rPr>
        <w:t>s</w:t>
      </w:r>
      <w:r w:rsidRPr="00D24884">
        <w:rPr>
          <w:rFonts w:cs="Times New Roman"/>
        </w:rPr>
        <w:t xml:space="preserve"> the highest level of services envisioned by s. 23, th</w:t>
      </w:r>
      <w:r>
        <w:rPr>
          <w:rFonts w:cs="Times New Roman"/>
        </w:rPr>
        <w:t>ose</w:t>
      </w:r>
      <w:r w:rsidRPr="00D24884">
        <w:rPr>
          <w:rFonts w:cs="Times New Roman"/>
        </w:rPr>
        <w:t xml:space="preserve"> rights holders are entitled to instruction and educational facilities equivalent in quality to that provided to </w:t>
      </w:r>
      <w:r>
        <w:rPr>
          <w:rFonts w:cs="Times New Roman"/>
        </w:rPr>
        <w:t xml:space="preserve">the official language </w:t>
      </w:r>
      <w:r w:rsidRPr="00D24884">
        <w:rPr>
          <w:rFonts w:cs="Times New Roman"/>
        </w:rPr>
        <w:t xml:space="preserve">majority </w:t>
      </w:r>
      <w:r>
        <w:rPr>
          <w:rFonts w:cs="Times New Roman"/>
        </w:rPr>
        <w:t>of the province or territory</w:t>
      </w:r>
      <w:r w:rsidRPr="00D24884">
        <w:rPr>
          <w:rFonts w:cs="Times New Roman"/>
        </w:rPr>
        <w:t xml:space="preserve">.  This Court’s past jurisprudence has recognized that, because of the remedial nature of </w:t>
      </w:r>
      <w:r w:rsidRPr="00D24884">
        <w:rPr>
          <w:rFonts w:cs="Times New Roman"/>
        </w:rPr>
        <w:lastRenderedPageBreak/>
        <w:t>s. 23 rights, equality may mean something different than formal equality.</w:t>
      </w:r>
      <w:r>
        <w:rPr>
          <w:rFonts w:cs="Times New Roman"/>
        </w:rPr>
        <w:t xml:space="preserve">  It requires substantive equality.</w:t>
      </w:r>
      <w:r w:rsidRPr="00D24884">
        <w:rPr>
          <w:rFonts w:cs="Times New Roman"/>
        </w:rPr>
        <w:t xml:space="preserve">  In this appeal, we are called upon to give guidance on how to measure </w:t>
      </w:r>
      <w:r>
        <w:rPr>
          <w:rFonts w:cs="Times New Roman"/>
        </w:rPr>
        <w:t xml:space="preserve">this </w:t>
      </w:r>
      <w:r w:rsidRPr="00D24884">
        <w:rPr>
          <w:rFonts w:cs="Times New Roman"/>
        </w:rPr>
        <w:t xml:space="preserve">equivalence.  We are also asked to determine the significance of a finding of lack of equivalence, and whether it amounts to a breach of s. 23 </w:t>
      </w:r>
      <w:r>
        <w:rPr>
          <w:rFonts w:cs="Times New Roman"/>
        </w:rPr>
        <w:t xml:space="preserve">of the </w:t>
      </w:r>
      <w:r>
        <w:rPr>
          <w:rFonts w:cs="Times New Roman"/>
          <w:i/>
        </w:rPr>
        <w:t>Charter</w:t>
      </w:r>
      <w:r w:rsidRPr="00D24884">
        <w:rPr>
          <w:rFonts w:cs="Times New Roman"/>
        </w:rPr>
        <w:t>.</w:t>
      </w:r>
    </w:p>
    <w:p w:rsidR="001E4C48" w:rsidRPr="00D24884" w:rsidRDefault="001E4C48" w:rsidP="001E4C48">
      <w:pPr>
        <w:pStyle w:val="ParaNoNdepar-AltN"/>
        <w:widowControl w:val="0"/>
        <w:rPr>
          <w:rFonts w:cs="Times New Roman"/>
        </w:rPr>
      </w:pPr>
      <w:r w:rsidRPr="00D24884">
        <w:rPr>
          <w:rFonts w:cs="Times New Roman"/>
        </w:rPr>
        <w:t>In this case, the parents of children attending a French</w:t>
      </w:r>
      <w:r>
        <w:rPr>
          <w:rFonts w:cs="Times New Roman"/>
        </w:rPr>
        <w:t>-</w:t>
      </w:r>
      <w:r w:rsidRPr="00D24884">
        <w:rPr>
          <w:rFonts w:cs="Times New Roman"/>
        </w:rPr>
        <w:t xml:space="preserve">language elementary school challenged their school board and the </w:t>
      </w:r>
      <w:r>
        <w:rPr>
          <w:rFonts w:cs="Times New Roman"/>
        </w:rPr>
        <w:t xml:space="preserve">provincial </w:t>
      </w:r>
      <w:r w:rsidRPr="00D24884">
        <w:rPr>
          <w:rFonts w:cs="Times New Roman"/>
        </w:rPr>
        <w:t xml:space="preserve">government, and sought a declaration that the </w:t>
      </w:r>
      <w:r>
        <w:rPr>
          <w:rFonts w:cs="Times New Roman"/>
        </w:rPr>
        <w:t>educational services</w:t>
      </w:r>
      <w:r w:rsidRPr="00D24884">
        <w:rPr>
          <w:rFonts w:cs="Times New Roman"/>
        </w:rPr>
        <w:t xml:space="preserve"> were not equivalent to those of the English</w:t>
      </w:r>
      <w:r>
        <w:rPr>
          <w:rFonts w:cs="Times New Roman"/>
        </w:rPr>
        <w:t>-</w:t>
      </w:r>
      <w:r w:rsidRPr="00D24884">
        <w:rPr>
          <w:rFonts w:cs="Times New Roman"/>
        </w:rPr>
        <w:t>language schools in the area.  In my view, they were entitled to that declaration.  As a result, I would allow the appeal and restore the declaration of the petition judge.</w:t>
      </w:r>
    </w:p>
    <w:p w:rsidR="001E4C48" w:rsidRPr="00D24884" w:rsidRDefault="001E4C48" w:rsidP="001E4C48">
      <w:pPr>
        <w:pStyle w:val="Title1LevelTitre1Niveau-AltL"/>
        <w:widowControl w:val="0"/>
        <w:numPr>
          <w:ilvl w:val="0"/>
          <w:numId w:val="8"/>
        </w:numPr>
        <w:rPr>
          <w:rFonts w:cs="Times New Roman"/>
        </w:rPr>
      </w:pPr>
      <w:r w:rsidRPr="00D24884">
        <w:rPr>
          <w:rFonts w:cs="Times New Roman"/>
        </w:rPr>
        <w:t>Facts</w:t>
      </w:r>
    </w:p>
    <w:p w:rsidR="001E4C48" w:rsidRPr="00D24884" w:rsidRDefault="001E4C48" w:rsidP="001E4C48">
      <w:pPr>
        <w:pStyle w:val="ParaNoNdepar-AltN"/>
        <w:widowControl w:val="0"/>
        <w:rPr>
          <w:rFonts w:cs="Times New Roman"/>
        </w:rPr>
      </w:pPr>
      <w:r w:rsidRPr="00D24884">
        <w:rPr>
          <w:rFonts w:cs="Times New Roman"/>
        </w:rPr>
        <w:t xml:space="preserve">L’école élémentaire Rose-des-vents (RDV) is the only </w:t>
      </w:r>
      <w:r>
        <w:rPr>
          <w:rFonts w:cs="Times New Roman"/>
        </w:rPr>
        <w:t xml:space="preserve">publicly-funded </w:t>
      </w:r>
      <w:r w:rsidRPr="00D24884">
        <w:rPr>
          <w:rFonts w:cs="Times New Roman"/>
        </w:rPr>
        <w:t>Fr</w:t>
      </w:r>
      <w:r>
        <w:rPr>
          <w:rFonts w:cs="Times New Roman"/>
        </w:rPr>
        <w:t xml:space="preserve">ench-language </w:t>
      </w:r>
      <w:r w:rsidRPr="00D24884">
        <w:rPr>
          <w:rFonts w:cs="Times New Roman"/>
        </w:rPr>
        <w:t>elementary school for students living west of Main Street in the city of Vancouver.  It was established in 2001, five years after the Supreme Court of British Columbia ruled that the number of children</w:t>
      </w:r>
      <w:r w:rsidRPr="00D24884">
        <w:rPr>
          <w:rFonts w:cs="Times New Roman"/>
          <w:szCs w:val="24"/>
        </w:rPr>
        <w:t xml:space="preserve"> of rights holders</w:t>
      </w:r>
      <w:r w:rsidRPr="00D24884">
        <w:rPr>
          <w:rFonts w:cs="Times New Roman"/>
        </w:rPr>
        <w:t xml:space="preserve"> in the geographic area of Vancouver/Lower Mainland and Victoria</w:t>
      </w:r>
      <w:r w:rsidRPr="00D24884">
        <w:rPr>
          <w:rFonts w:cs="Times New Roman"/>
          <w:szCs w:val="24"/>
        </w:rPr>
        <w:t xml:space="preserve"> warranted the </w:t>
      </w:r>
      <w:r>
        <w:rPr>
          <w:rFonts w:cs="Times New Roman"/>
          <w:szCs w:val="24"/>
        </w:rPr>
        <w:t>highest measure</w:t>
      </w:r>
      <w:r w:rsidRPr="00D24884">
        <w:rPr>
          <w:rFonts w:cs="Times New Roman"/>
          <w:szCs w:val="24"/>
        </w:rPr>
        <w:t xml:space="preserve"> of management and control contemplated under s. 23 (</w:t>
      </w:r>
      <w:r w:rsidRPr="00363ADD">
        <w:rPr>
          <w:rFonts w:cs="Times New Roman"/>
          <w:i/>
          <w:szCs w:val="24"/>
        </w:rPr>
        <w:t>Assn.</w:t>
      </w:r>
      <w:r w:rsidRPr="00D24884">
        <w:rPr>
          <w:rFonts w:cs="Times New Roman"/>
          <w:i/>
        </w:rPr>
        <w:t xml:space="preserve"> </w:t>
      </w:r>
      <w:r>
        <w:rPr>
          <w:rFonts w:cs="Times New Roman"/>
          <w:i/>
        </w:rPr>
        <w:t>d</w:t>
      </w:r>
      <w:r w:rsidRPr="00D24884">
        <w:rPr>
          <w:rFonts w:cs="Times New Roman"/>
          <w:i/>
        </w:rPr>
        <w:t xml:space="preserve">es Parents Francophones </w:t>
      </w:r>
      <w:r>
        <w:rPr>
          <w:rFonts w:cs="Times New Roman"/>
          <w:i/>
        </w:rPr>
        <w:t>(</w:t>
      </w:r>
      <w:r w:rsidRPr="00D24884">
        <w:rPr>
          <w:rFonts w:cs="Times New Roman"/>
          <w:i/>
        </w:rPr>
        <w:t>Colombie-Britannique</w:t>
      </w:r>
      <w:r>
        <w:rPr>
          <w:rFonts w:cs="Times New Roman"/>
          <w:i/>
        </w:rPr>
        <w:t xml:space="preserve">) </w:t>
      </w:r>
      <w:r w:rsidRPr="00D24884">
        <w:rPr>
          <w:rFonts w:cs="Times New Roman"/>
          <w:i/>
        </w:rPr>
        <w:t>v.</w:t>
      </w:r>
      <w:r>
        <w:rPr>
          <w:rFonts w:cs="Times New Roman"/>
          <w:i/>
        </w:rPr>
        <w:t xml:space="preserve"> British Columbia </w:t>
      </w:r>
      <w:r w:rsidRPr="00D24884">
        <w:rPr>
          <w:rFonts w:cs="Times New Roman"/>
        </w:rPr>
        <w:t>(1996), 27 B.C.L.R. (3d) 83).  The court concluded that the B.C. legislature could no longer delay putting in place an appropriate minority language education scheme.</w:t>
      </w:r>
    </w:p>
    <w:p w:rsidR="001E4C48" w:rsidRPr="00D24884" w:rsidRDefault="001E4C48" w:rsidP="001E4C48">
      <w:pPr>
        <w:pStyle w:val="ParaNoNdepar-AltN"/>
        <w:widowControl w:val="0"/>
        <w:rPr>
          <w:rFonts w:cs="Times New Roman"/>
        </w:rPr>
      </w:pPr>
      <w:r>
        <w:rPr>
          <w:rFonts w:cs="Times New Roman"/>
        </w:rPr>
        <w:t xml:space="preserve">As the petition judge held, </w:t>
      </w:r>
      <w:r w:rsidRPr="00D24884">
        <w:rPr>
          <w:rFonts w:cs="Times New Roman"/>
        </w:rPr>
        <w:t xml:space="preserve">enrollment at RDV has increased </w:t>
      </w:r>
      <w:r>
        <w:rPr>
          <w:rFonts w:cs="Times New Roman"/>
        </w:rPr>
        <w:t xml:space="preserve">since 2001 </w:t>
      </w:r>
      <w:r w:rsidRPr="00D24884">
        <w:rPr>
          <w:rFonts w:cs="Times New Roman"/>
        </w:rPr>
        <w:lastRenderedPageBreak/>
        <w:t>and the school, which currently shares facilities with a Fr</w:t>
      </w:r>
      <w:r>
        <w:rPr>
          <w:rFonts w:cs="Times New Roman"/>
        </w:rPr>
        <w:t>ench-language</w:t>
      </w:r>
      <w:r w:rsidRPr="00D24884">
        <w:rPr>
          <w:rFonts w:cs="Times New Roman"/>
        </w:rPr>
        <w:t xml:space="preserve"> secondary school, has become increasingly overcrowded.  In 2012, RDV had a </w:t>
      </w:r>
      <w:r w:rsidRPr="00D24884">
        <w:rPr>
          <w:rFonts w:cs="Times New Roman"/>
          <w:iCs/>
        </w:rPr>
        <w:t>nominal capacity</w:t>
      </w:r>
      <w:r w:rsidRPr="00D24884">
        <w:rPr>
          <w:rFonts w:cs="Times New Roman"/>
        </w:rPr>
        <w:t xml:space="preserve"> of 215 students and an </w:t>
      </w:r>
      <w:r w:rsidRPr="00D24884">
        <w:rPr>
          <w:rFonts w:cs="Times New Roman"/>
          <w:iCs/>
        </w:rPr>
        <w:t>operating capacity</w:t>
      </w:r>
      <w:r w:rsidRPr="00D24884">
        <w:rPr>
          <w:rFonts w:cs="Times New Roman"/>
        </w:rPr>
        <w:t xml:space="preserve"> of 199 students</w:t>
      </w:r>
      <w:r>
        <w:rPr>
          <w:rFonts w:cs="Times New Roman"/>
        </w:rPr>
        <w:t xml:space="preserve">.  </w:t>
      </w:r>
      <w:r w:rsidRPr="00D24884">
        <w:rPr>
          <w:rFonts w:cs="Times New Roman"/>
        </w:rPr>
        <w:t>Enrollment in 2011 was 344 students, and enrollment is growing.</w:t>
      </w:r>
    </w:p>
    <w:p w:rsidR="001E4C48" w:rsidRPr="00D24884" w:rsidRDefault="001E4C48" w:rsidP="001E4C48">
      <w:pPr>
        <w:pStyle w:val="ParaNoNdepar-AltN"/>
        <w:widowControl w:val="0"/>
        <w:rPr>
          <w:rFonts w:cs="Times New Roman"/>
        </w:rPr>
      </w:pPr>
      <w:r w:rsidRPr="00D24884">
        <w:rPr>
          <w:rFonts w:cs="Times New Roman"/>
        </w:rPr>
        <w:t xml:space="preserve">RDV is small, with narrow hallways and no coat hooks or lockers.  There is a lack of storage space.  This is said to have contributed to the spread of lice among students.  There is no available flexible space in the school.  The washrooms are inadequate.  The library is very small, and the classrooms are significantly smaller than those in other schools.  </w:t>
      </w:r>
      <w:r>
        <w:rPr>
          <w:rFonts w:cs="Times New Roman"/>
        </w:rPr>
        <w:t xml:space="preserve">Only three classrooms meet the recommended size for classrooms.  </w:t>
      </w:r>
      <w:r w:rsidRPr="00D24884">
        <w:rPr>
          <w:rFonts w:cs="Times New Roman"/>
        </w:rPr>
        <w:t>Two classrooms have no windows.  The playground is divided into small sections.  Due to the space sharing arrangement with the secondary school, the space made available to RDV will likely diminish in the coming years.</w:t>
      </w:r>
    </w:p>
    <w:p w:rsidR="001E4C48" w:rsidRPr="00D24884" w:rsidRDefault="001E4C48" w:rsidP="001E4C48">
      <w:pPr>
        <w:pStyle w:val="ParaNoNdepar-AltN"/>
        <w:widowControl w:val="0"/>
        <w:rPr>
          <w:rFonts w:cs="Times New Roman"/>
        </w:rPr>
      </w:pPr>
      <w:r w:rsidRPr="00D24884">
        <w:rPr>
          <w:rFonts w:cs="Times New Roman"/>
        </w:rPr>
        <w:t>By contrast, the English</w:t>
      </w:r>
      <w:r>
        <w:rPr>
          <w:rFonts w:cs="Times New Roman"/>
        </w:rPr>
        <w:t>-</w:t>
      </w:r>
      <w:r w:rsidRPr="00D24884">
        <w:rPr>
          <w:rFonts w:cs="Times New Roman"/>
        </w:rPr>
        <w:t>language schools in RDV’s catchment area are larger, with larger classrooms, larger and better playing fields, and more spacious libraries.</w:t>
      </w:r>
    </w:p>
    <w:p w:rsidR="001E4C48" w:rsidRPr="00D24884" w:rsidRDefault="001E4C48" w:rsidP="001E4C48">
      <w:pPr>
        <w:pStyle w:val="ParaNoNdepar-AltN"/>
        <w:widowControl w:val="0"/>
        <w:rPr>
          <w:rFonts w:cs="Times New Roman"/>
        </w:rPr>
      </w:pPr>
      <w:r w:rsidRPr="00D24884">
        <w:rPr>
          <w:rFonts w:cs="Times New Roman"/>
        </w:rPr>
        <w:t>Of the 344 students attending RDV</w:t>
      </w:r>
      <w:r>
        <w:rPr>
          <w:rFonts w:cs="Times New Roman"/>
        </w:rPr>
        <w:t xml:space="preserve"> in 2012</w:t>
      </w:r>
      <w:r w:rsidRPr="00D24884">
        <w:rPr>
          <w:rFonts w:cs="Times New Roman"/>
        </w:rPr>
        <w:t xml:space="preserve">, 293 </w:t>
      </w:r>
      <w:r>
        <w:rPr>
          <w:rFonts w:cs="Times New Roman"/>
        </w:rPr>
        <w:t>we</w:t>
      </w:r>
      <w:r w:rsidRPr="00D24884">
        <w:rPr>
          <w:rFonts w:cs="Times New Roman"/>
        </w:rPr>
        <w:t xml:space="preserve">re transported to school by bus.  None of those </w:t>
      </w:r>
      <w:r>
        <w:rPr>
          <w:rFonts w:cs="Times New Roman"/>
        </w:rPr>
        <w:t xml:space="preserve">elementary school </w:t>
      </w:r>
      <w:r w:rsidRPr="00D24884">
        <w:rPr>
          <w:rFonts w:cs="Times New Roman"/>
        </w:rPr>
        <w:t>students live within the one kilometr</w:t>
      </w:r>
      <w:r>
        <w:rPr>
          <w:rFonts w:cs="Times New Roman"/>
        </w:rPr>
        <w:t>e</w:t>
      </w:r>
      <w:r w:rsidRPr="00D24884">
        <w:rPr>
          <w:rFonts w:cs="Times New Roman"/>
        </w:rPr>
        <w:t xml:space="preserve"> “walk limit”.  Over two</w:t>
      </w:r>
      <w:r>
        <w:rPr>
          <w:rFonts w:cs="Times New Roman"/>
        </w:rPr>
        <w:t xml:space="preserve"> </w:t>
      </w:r>
      <w:r w:rsidRPr="00D24884">
        <w:rPr>
          <w:rFonts w:cs="Times New Roman"/>
        </w:rPr>
        <w:t xml:space="preserve">thirds of these students spend more than 30 minutes per bus trip.  By contrast, most students </w:t>
      </w:r>
      <w:r>
        <w:rPr>
          <w:rFonts w:cs="Times New Roman"/>
        </w:rPr>
        <w:t xml:space="preserve">attending </w:t>
      </w:r>
      <w:r w:rsidRPr="00D24884">
        <w:rPr>
          <w:rFonts w:cs="Times New Roman"/>
        </w:rPr>
        <w:t>English</w:t>
      </w:r>
      <w:r>
        <w:rPr>
          <w:rFonts w:cs="Times New Roman"/>
        </w:rPr>
        <w:t>-</w:t>
      </w:r>
      <w:r w:rsidRPr="00D24884">
        <w:rPr>
          <w:rFonts w:cs="Times New Roman"/>
        </w:rPr>
        <w:t xml:space="preserve">language schools </w:t>
      </w:r>
      <w:r>
        <w:rPr>
          <w:rFonts w:cs="Times New Roman"/>
        </w:rPr>
        <w:t xml:space="preserve">in the area </w:t>
      </w:r>
      <w:r w:rsidRPr="00D24884">
        <w:rPr>
          <w:rFonts w:cs="Times New Roman"/>
        </w:rPr>
        <w:t>live within one kilometre of their schools.</w:t>
      </w:r>
    </w:p>
    <w:p w:rsidR="001E4C48" w:rsidRPr="00D24884" w:rsidRDefault="001E4C48" w:rsidP="001E4C48">
      <w:pPr>
        <w:pStyle w:val="ParaNoNdepar-AltN"/>
        <w:widowControl w:val="0"/>
        <w:rPr>
          <w:rFonts w:cs="Times New Roman"/>
        </w:rPr>
      </w:pPr>
      <w:r w:rsidRPr="00D24884">
        <w:rPr>
          <w:rFonts w:cs="Times New Roman"/>
        </w:rPr>
        <w:t xml:space="preserve">The B.C. Minister of Education </w:t>
      </w:r>
      <w:r>
        <w:rPr>
          <w:rFonts w:cs="Times New Roman"/>
        </w:rPr>
        <w:t xml:space="preserve">has </w:t>
      </w:r>
      <w:r w:rsidRPr="00D24884">
        <w:rPr>
          <w:rFonts w:cs="Times New Roman"/>
        </w:rPr>
        <w:t>acknowledged that RDV is operating “over capacity”.  The construction of a new Fr</w:t>
      </w:r>
      <w:r>
        <w:rPr>
          <w:rFonts w:cs="Times New Roman"/>
        </w:rPr>
        <w:t>ench-language</w:t>
      </w:r>
      <w:r w:rsidRPr="00D24884">
        <w:rPr>
          <w:rFonts w:cs="Times New Roman"/>
        </w:rPr>
        <w:t xml:space="preserve"> school in Vancouver </w:t>
      </w:r>
      <w:r w:rsidRPr="00D24884">
        <w:rPr>
          <w:rFonts w:cs="Times New Roman"/>
        </w:rPr>
        <w:lastRenderedPageBreak/>
        <w:t xml:space="preserve">has been a “high priority” of the Ministry of Education at least since 2008 </w:t>
      </w:r>
      <w:r>
        <w:rPr>
          <w:rFonts w:cs="Times New Roman"/>
        </w:rPr>
        <w:t>(</w:t>
      </w:r>
      <w:r w:rsidRPr="00D24884">
        <w:rPr>
          <w:rFonts w:cs="Times New Roman"/>
        </w:rPr>
        <w:t>A.R.</w:t>
      </w:r>
      <w:r>
        <w:rPr>
          <w:rFonts w:cs="Times New Roman"/>
        </w:rPr>
        <w:t>,</w:t>
      </w:r>
      <w:r w:rsidRPr="00D24884">
        <w:rPr>
          <w:rFonts w:cs="Times New Roman"/>
        </w:rPr>
        <w:t xml:space="preserve"> vol.</w:t>
      </w:r>
      <w:r w:rsidR="00E413D7">
        <w:rPr>
          <w:rFonts w:cs="Times New Roman"/>
        </w:rPr>
        <w:t xml:space="preserve"> </w:t>
      </w:r>
      <w:r>
        <w:rPr>
          <w:rFonts w:cs="Times New Roman"/>
        </w:rPr>
        <w:t>II</w:t>
      </w:r>
      <w:r w:rsidRPr="00D24884">
        <w:rPr>
          <w:rFonts w:cs="Times New Roman"/>
        </w:rPr>
        <w:t xml:space="preserve">, </w:t>
      </w:r>
      <w:r>
        <w:rPr>
          <w:rFonts w:cs="Times New Roman"/>
        </w:rPr>
        <w:t xml:space="preserve">at </w:t>
      </w:r>
      <w:r w:rsidRPr="00D24884">
        <w:rPr>
          <w:rFonts w:cs="Times New Roman"/>
        </w:rPr>
        <w:t>p. 104</w:t>
      </w:r>
      <w:r>
        <w:rPr>
          <w:rFonts w:cs="Times New Roman"/>
        </w:rPr>
        <w:t>)</w:t>
      </w:r>
      <w:r w:rsidRPr="00D24884">
        <w:rPr>
          <w:rFonts w:cs="Times New Roman"/>
        </w:rPr>
        <w:t xml:space="preserve">.  The Conseil </w:t>
      </w:r>
      <w:r>
        <w:rPr>
          <w:rFonts w:cs="Times New Roman"/>
        </w:rPr>
        <w:t>s</w:t>
      </w:r>
      <w:r w:rsidRPr="00D24884">
        <w:rPr>
          <w:rFonts w:cs="Times New Roman"/>
        </w:rPr>
        <w:t xml:space="preserve">colaire </w:t>
      </w:r>
      <w:r>
        <w:rPr>
          <w:rFonts w:cs="Times New Roman"/>
        </w:rPr>
        <w:t>f</w:t>
      </w:r>
      <w:r w:rsidRPr="00D24884">
        <w:rPr>
          <w:rFonts w:cs="Times New Roman"/>
        </w:rPr>
        <w:t>rancophone de la Colombie-Britannique (CSF), the Fr</w:t>
      </w:r>
      <w:r>
        <w:rPr>
          <w:rFonts w:cs="Times New Roman"/>
        </w:rPr>
        <w:t>ench-language</w:t>
      </w:r>
      <w:r w:rsidRPr="00D24884">
        <w:rPr>
          <w:rFonts w:cs="Times New Roman"/>
        </w:rPr>
        <w:t xml:space="preserve"> school board that oversees RDV, acknowledges the overcrowding, the substandard facilities, and the long bus rides.</w:t>
      </w:r>
    </w:p>
    <w:p w:rsidR="001E4C48" w:rsidRPr="00D24884" w:rsidRDefault="001E4C48" w:rsidP="001E4C48">
      <w:pPr>
        <w:pStyle w:val="ParaNoNdepar-AltN"/>
        <w:widowControl w:val="0"/>
        <w:rPr>
          <w:rFonts w:cs="Times New Roman"/>
        </w:rPr>
      </w:pPr>
      <w:r w:rsidRPr="00D24884">
        <w:rPr>
          <w:rFonts w:cs="Times New Roman"/>
        </w:rPr>
        <w:t xml:space="preserve">In 2010, </w:t>
      </w:r>
      <w:r>
        <w:rPr>
          <w:rFonts w:cs="Times New Roman"/>
        </w:rPr>
        <w:t xml:space="preserve">the </w:t>
      </w:r>
      <w:r w:rsidRPr="00D24884">
        <w:rPr>
          <w:rFonts w:cs="Times New Roman"/>
        </w:rPr>
        <w:t xml:space="preserve">Association des parents de l’école Rose-des-vents and Joseph Pagé, </w:t>
      </w:r>
      <w:r>
        <w:rPr>
          <w:rFonts w:cs="Times New Roman"/>
        </w:rPr>
        <w:t>on his own behalf</w:t>
      </w:r>
      <w:r w:rsidRPr="00D24884">
        <w:rPr>
          <w:rFonts w:cs="Times New Roman"/>
        </w:rPr>
        <w:t xml:space="preserve"> and as a representative of parents of children enrolled at RDV (</w:t>
      </w:r>
      <w:r>
        <w:rPr>
          <w:rFonts w:cs="Times New Roman"/>
          <w:lang w:val="en-US"/>
        </w:rPr>
        <w:t>“</w:t>
      </w:r>
      <w:r w:rsidRPr="00D24884">
        <w:rPr>
          <w:rFonts w:cs="Times New Roman"/>
        </w:rPr>
        <w:t xml:space="preserve">the </w:t>
      </w:r>
      <w:r>
        <w:rPr>
          <w:rFonts w:cs="Times New Roman"/>
        </w:rPr>
        <w:t>P</w:t>
      </w:r>
      <w:r w:rsidRPr="00D24884">
        <w:rPr>
          <w:rFonts w:cs="Times New Roman"/>
        </w:rPr>
        <w:t>arents</w:t>
      </w:r>
      <w:r>
        <w:rPr>
          <w:rFonts w:cs="Times New Roman"/>
        </w:rPr>
        <w:t>”</w:t>
      </w:r>
      <w:r w:rsidRPr="00D24884">
        <w:rPr>
          <w:rFonts w:cs="Times New Roman"/>
        </w:rPr>
        <w:t>), filed a petition naming as respondents the Minist</w:t>
      </w:r>
      <w:r>
        <w:rPr>
          <w:rFonts w:cs="Times New Roman"/>
        </w:rPr>
        <w:t>er</w:t>
      </w:r>
      <w:r w:rsidRPr="00D24884">
        <w:rPr>
          <w:rFonts w:cs="Times New Roman"/>
        </w:rPr>
        <w:t xml:space="preserve"> of Education, the </w:t>
      </w:r>
      <w:r>
        <w:rPr>
          <w:rFonts w:cs="Times New Roman"/>
        </w:rPr>
        <w:t>Attorney General</w:t>
      </w:r>
      <w:r w:rsidRPr="00D24884">
        <w:rPr>
          <w:rFonts w:cs="Times New Roman"/>
        </w:rPr>
        <w:t xml:space="preserve"> of British Columbia (collectively, </w:t>
      </w:r>
      <w:r>
        <w:rPr>
          <w:rFonts w:cs="Times New Roman"/>
        </w:rPr>
        <w:t>“</w:t>
      </w:r>
      <w:r w:rsidRPr="00D24884">
        <w:rPr>
          <w:rFonts w:cs="Times New Roman"/>
        </w:rPr>
        <w:t xml:space="preserve">the </w:t>
      </w:r>
      <w:r>
        <w:rPr>
          <w:rFonts w:cs="Times New Roman"/>
        </w:rPr>
        <w:t>P</w:t>
      </w:r>
      <w:r w:rsidRPr="00D24884">
        <w:rPr>
          <w:rFonts w:cs="Times New Roman"/>
        </w:rPr>
        <w:t>rovince</w:t>
      </w:r>
      <w:r>
        <w:rPr>
          <w:rFonts w:cs="Times New Roman"/>
        </w:rPr>
        <w:t>”</w:t>
      </w:r>
      <w:r w:rsidRPr="00D24884">
        <w:rPr>
          <w:rFonts w:cs="Times New Roman"/>
        </w:rPr>
        <w:t>), and the CSF.</w:t>
      </w:r>
      <w:r w:rsidRPr="00D24884">
        <w:rPr>
          <w:rStyle w:val="FootnoteReference"/>
          <w:rFonts w:cs="Times New Roman"/>
        </w:rPr>
        <w:footnoteReference w:id="1"/>
      </w:r>
      <w:r w:rsidRPr="00D24884">
        <w:rPr>
          <w:rFonts w:cs="Times New Roman"/>
        </w:rPr>
        <w:t xml:space="preserve">  The petition sought a declaration that the </w:t>
      </w:r>
      <w:r>
        <w:rPr>
          <w:rFonts w:cs="Times New Roman"/>
        </w:rPr>
        <w:t>Parents’</w:t>
      </w:r>
      <w:r w:rsidRPr="00D24884">
        <w:rPr>
          <w:rFonts w:cs="Times New Roman"/>
        </w:rPr>
        <w:t xml:space="preserve"> minority language education rights under s. 23 of the </w:t>
      </w:r>
      <w:r w:rsidRPr="00D24884">
        <w:rPr>
          <w:rFonts w:cs="Times New Roman"/>
          <w:i/>
        </w:rPr>
        <w:t>Charter</w:t>
      </w:r>
      <w:r w:rsidRPr="00D24884">
        <w:rPr>
          <w:rFonts w:cs="Times New Roman"/>
        </w:rPr>
        <w:t xml:space="preserve"> had been breached.  The </w:t>
      </w:r>
      <w:r>
        <w:rPr>
          <w:rFonts w:cs="Times New Roman"/>
        </w:rPr>
        <w:t>P</w:t>
      </w:r>
      <w:r w:rsidRPr="00D24884">
        <w:rPr>
          <w:rFonts w:cs="Times New Roman"/>
        </w:rPr>
        <w:t xml:space="preserve">arents argued </w:t>
      </w:r>
      <w:r>
        <w:rPr>
          <w:rFonts w:cs="Times New Roman"/>
        </w:rPr>
        <w:t xml:space="preserve">that </w:t>
      </w:r>
      <w:r w:rsidRPr="00D24884">
        <w:rPr>
          <w:rFonts w:cs="Times New Roman"/>
        </w:rPr>
        <w:t>the RDV school facilities were not equivalent to those of the English</w:t>
      </w:r>
      <w:r>
        <w:rPr>
          <w:rFonts w:cs="Times New Roman"/>
        </w:rPr>
        <w:t>-</w:t>
      </w:r>
      <w:r w:rsidRPr="00D24884">
        <w:rPr>
          <w:rFonts w:cs="Times New Roman"/>
        </w:rPr>
        <w:t>language schools in the area.  However, the</w:t>
      </w:r>
      <w:r>
        <w:rPr>
          <w:rFonts w:cs="Times New Roman"/>
        </w:rPr>
        <w:t>y</w:t>
      </w:r>
      <w:r w:rsidRPr="00D24884">
        <w:rPr>
          <w:rFonts w:cs="Times New Roman"/>
        </w:rPr>
        <w:t xml:space="preserve"> sought to avoid the question of assigning responsibility for the alleged inadequacies during the first stage of the proceedings.  They hope</w:t>
      </w:r>
      <w:r>
        <w:rPr>
          <w:rFonts w:cs="Times New Roman"/>
        </w:rPr>
        <w:t>d</w:t>
      </w:r>
      <w:r w:rsidRPr="00D24884">
        <w:rPr>
          <w:rFonts w:cs="Times New Roman"/>
        </w:rPr>
        <w:t xml:space="preserve"> that a declaration at the first stage </w:t>
      </w:r>
      <w:r>
        <w:rPr>
          <w:rFonts w:cs="Times New Roman"/>
        </w:rPr>
        <w:t>would</w:t>
      </w:r>
      <w:r w:rsidRPr="00D24884">
        <w:rPr>
          <w:rFonts w:cs="Times New Roman"/>
        </w:rPr>
        <w:t xml:space="preserve"> be sufficient to obtain a favourable government response.</w:t>
      </w:r>
    </w:p>
    <w:p w:rsidR="001E4C48" w:rsidRPr="00D24884" w:rsidRDefault="001E4C48" w:rsidP="001E4C48">
      <w:pPr>
        <w:pStyle w:val="ParaNoNdepar-AltN"/>
        <w:widowControl w:val="0"/>
        <w:rPr>
          <w:rFonts w:cs="Times New Roman"/>
        </w:rPr>
      </w:pPr>
      <w:r w:rsidRPr="00D24884">
        <w:rPr>
          <w:rFonts w:cs="Times New Roman"/>
        </w:rPr>
        <w:t xml:space="preserve">The CSF agrees with the </w:t>
      </w:r>
      <w:r>
        <w:rPr>
          <w:rFonts w:cs="Times New Roman"/>
        </w:rPr>
        <w:t>P</w:t>
      </w:r>
      <w:r w:rsidRPr="00D24884">
        <w:rPr>
          <w:rFonts w:cs="Times New Roman"/>
        </w:rPr>
        <w:t>arents that the facilities available to rights holders in the RDV catchment area are inadequate</w:t>
      </w:r>
      <w:r>
        <w:rPr>
          <w:rFonts w:cs="Times New Roman"/>
        </w:rPr>
        <w:t xml:space="preserve">.  However, it </w:t>
      </w:r>
      <w:r w:rsidRPr="00D24884">
        <w:rPr>
          <w:rFonts w:cs="Times New Roman"/>
        </w:rPr>
        <w:t xml:space="preserve">blames the inadequacies on insufficient funding from the </w:t>
      </w:r>
      <w:r>
        <w:rPr>
          <w:rFonts w:cs="Times New Roman"/>
        </w:rPr>
        <w:t>P</w:t>
      </w:r>
      <w:r w:rsidRPr="00D24884">
        <w:rPr>
          <w:rFonts w:cs="Times New Roman"/>
        </w:rPr>
        <w:t xml:space="preserve">rovince, which funds capital expenditures separately from regular operating expenditures.  The </w:t>
      </w:r>
      <w:r>
        <w:rPr>
          <w:rFonts w:cs="Times New Roman"/>
        </w:rPr>
        <w:t>P</w:t>
      </w:r>
      <w:r w:rsidRPr="00D24884">
        <w:rPr>
          <w:rFonts w:cs="Times New Roman"/>
        </w:rPr>
        <w:t xml:space="preserve">rovince denies that the RDV facilities are deficient, but argues that if they are, the CSF, as the agency charged with exercising management and control of the </w:t>
      </w:r>
      <w:r>
        <w:rPr>
          <w:rFonts w:cs="Times New Roman"/>
        </w:rPr>
        <w:t>minority language</w:t>
      </w:r>
      <w:r w:rsidRPr="00D24884">
        <w:rPr>
          <w:rFonts w:cs="Times New Roman"/>
        </w:rPr>
        <w:t xml:space="preserve"> education system on behalf of rights holders, bears responsibility for any </w:t>
      </w:r>
      <w:r w:rsidRPr="00D24884">
        <w:rPr>
          <w:rFonts w:cs="Times New Roman"/>
        </w:rPr>
        <w:lastRenderedPageBreak/>
        <w:t>inadequacies.</w:t>
      </w:r>
    </w:p>
    <w:p w:rsidR="001E4C48" w:rsidRDefault="001E4C48" w:rsidP="001E4C48">
      <w:pPr>
        <w:pStyle w:val="ParaNoNdepar-AltN"/>
        <w:widowControl w:val="0"/>
        <w:rPr>
          <w:rFonts w:cs="Times New Roman"/>
        </w:rPr>
      </w:pPr>
      <w:r w:rsidRPr="00D24884">
        <w:rPr>
          <w:rFonts w:cs="Times New Roman"/>
        </w:rPr>
        <w:t xml:space="preserve">In a separate action commenced later in 2010, the CSF, </w:t>
      </w:r>
      <w:r>
        <w:rPr>
          <w:rFonts w:cs="Times New Roman"/>
        </w:rPr>
        <w:t>the</w:t>
      </w:r>
      <w:r w:rsidRPr="00D24884">
        <w:rPr>
          <w:rFonts w:cs="Times New Roman"/>
        </w:rPr>
        <w:t xml:space="preserve"> Fédération des </w:t>
      </w:r>
      <w:r>
        <w:rPr>
          <w:rFonts w:cs="Times New Roman"/>
        </w:rPr>
        <w:t>p</w:t>
      </w:r>
      <w:r w:rsidRPr="00D24884">
        <w:rPr>
          <w:rFonts w:cs="Times New Roman"/>
        </w:rPr>
        <w:t>arents</w:t>
      </w:r>
      <w:r>
        <w:rPr>
          <w:rFonts w:cs="Times New Roman"/>
        </w:rPr>
        <w:t xml:space="preserve"> francophones de Colombie-Britannique</w:t>
      </w:r>
      <w:r w:rsidRPr="00D24884">
        <w:rPr>
          <w:rFonts w:cs="Times New Roman"/>
        </w:rPr>
        <w:t>,</w:t>
      </w:r>
      <w:r w:rsidRPr="00D24884">
        <w:rPr>
          <w:rStyle w:val="FootnoteReference"/>
          <w:rFonts w:cs="Times New Roman"/>
        </w:rPr>
        <w:footnoteReference w:id="2"/>
      </w:r>
      <w:r w:rsidRPr="00D24884">
        <w:rPr>
          <w:rFonts w:cs="Times New Roman"/>
        </w:rPr>
        <w:t xml:space="preserve"> and 33 individual parents initiated proceedings against the </w:t>
      </w:r>
      <w:r>
        <w:rPr>
          <w:rFonts w:cs="Times New Roman"/>
        </w:rPr>
        <w:t>P</w:t>
      </w:r>
      <w:r w:rsidRPr="00D24884">
        <w:rPr>
          <w:rFonts w:cs="Times New Roman"/>
        </w:rPr>
        <w:t>rovince, alleging province-wide breaches of s.</w:t>
      </w:r>
      <w:r w:rsidR="00E413D7">
        <w:rPr>
          <w:rFonts w:cs="Times New Roman"/>
        </w:rPr>
        <w:t xml:space="preserve"> </w:t>
      </w:r>
      <w:r w:rsidRPr="00D24884">
        <w:rPr>
          <w:rFonts w:cs="Times New Roman"/>
        </w:rPr>
        <w:t xml:space="preserve">23 of the </w:t>
      </w:r>
      <w:r w:rsidRPr="00D24884">
        <w:rPr>
          <w:rFonts w:cs="Times New Roman"/>
          <w:i/>
          <w:iCs/>
        </w:rPr>
        <w:t>Charter</w:t>
      </w:r>
      <w:r w:rsidRPr="00D24884">
        <w:rPr>
          <w:rFonts w:cs="Times New Roman"/>
        </w:rPr>
        <w:t xml:space="preserve"> and raising systemic challenges to the </w:t>
      </w:r>
      <w:r>
        <w:rPr>
          <w:rFonts w:cs="Times New Roman"/>
        </w:rPr>
        <w:t xml:space="preserve">capital </w:t>
      </w:r>
      <w:r w:rsidRPr="00D24884">
        <w:rPr>
          <w:rFonts w:cs="Times New Roman"/>
        </w:rPr>
        <w:t xml:space="preserve">funding system </w:t>
      </w:r>
      <w:r>
        <w:rPr>
          <w:rFonts w:cs="Times New Roman"/>
        </w:rPr>
        <w:t xml:space="preserve">put in place by </w:t>
      </w:r>
      <w:r w:rsidRPr="00D24884">
        <w:rPr>
          <w:rFonts w:cs="Times New Roman"/>
        </w:rPr>
        <w:t>the Ministry of Education</w:t>
      </w:r>
      <w:r>
        <w:rPr>
          <w:rFonts w:cs="Times New Roman"/>
        </w:rPr>
        <w:t xml:space="preserve"> as it applies to minority language education.</w:t>
      </w:r>
      <w:r w:rsidRPr="00D24884">
        <w:rPr>
          <w:rFonts w:cs="Times New Roman"/>
        </w:rPr>
        <w:t xml:space="preserve">  While th</w:t>
      </w:r>
      <w:r>
        <w:rPr>
          <w:rFonts w:cs="Times New Roman"/>
        </w:rPr>
        <w:t>at</w:t>
      </w:r>
      <w:r w:rsidRPr="00D24884">
        <w:rPr>
          <w:rFonts w:cs="Times New Roman"/>
        </w:rPr>
        <w:t xml:space="preserve"> action is not a subject of this appeal, it may resolve some of the outstanding issues raised in this petition.</w:t>
      </w:r>
    </w:p>
    <w:p w:rsidR="001E4C48" w:rsidRPr="00D24884" w:rsidRDefault="001E4C48" w:rsidP="001E4C48">
      <w:pPr>
        <w:pStyle w:val="Title1LevelTitre1Niveau-AltL"/>
        <w:widowControl w:val="0"/>
        <w:numPr>
          <w:ilvl w:val="0"/>
          <w:numId w:val="8"/>
        </w:numPr>
        <w:rPr>
          <w:rFonts w:cs="Times New Roman"/>
        </w:rPr>
      </w:pPr>
      <w:r w:rsidRPr="00D24884">
        <w:rPr>
          <w:rFonts w:cs="Times New Roman"/>
        </w:rPr>
        <w:t>Judicial History</w:t>
      </w:r>
    </w:p>
    <w:p w:rsidR="001E4C48" w:rsidRPr="00D24884" w:rsidRDefault="001E4C48" w:rsidP="001E4C48">
      <w:pPr>
        <w:pStyle w:val="Title2LevelTitre2Niveau"/>
        <w:widowControl w:val="0"/>
        <w:numPr>
          <w:ilvl w:val="1"/>
          <w:numId w:val="8"/>
        </w:numPr>
        <w:rPr>
          <w:rFonts w:cs="Times New Roman"/>
        </w:rPr>
      </w:pPr>
      <w:r w:rsidRPr="00D24884">
        <w:rPr>
          <w:rFonts w:cs="Times New Roman"/>
        </w:rPr>
        <w:t xml:space="preserve"> Supreme Cou</w:t>
      </w:r>
      <w:r>
        <w:rPr>
          <w:rFonts w:cs="Times New Roman"/>
        </w:rPr>
        <w:t>rt of British Columbia</w:t>
      </w:r>
    </w:p>
    <w:p w:rsidR="001E4C48" w:rsidRPr="00D24884" w:rsidRDefault="001E4C48" w:rsidP="001E4C48">
      <w:pPr>
        <w:pStyle w:val="ParaNoNdepar-AltN"/>
        <w:widowControl w:val="0"/>
        <w:rPr>
          <w:rFonts w:cs="Times New Roman"/>
          <w:szCs w:val="24"/>
        </w:rPr>
      </w:pPr>
      <w:r w:rsidRPr="00D24884">
        <w:rPr>
          <w:rFonts w:cs="Times New Roman"/>
          <w:szCs w:val="24"/>
        </w:rPr>
        <w:t xml:space="preserve">The present matter </w:t>
      </w:r>
      <w:r>
        <w:rPr>
          <w:rFonts w:cs="Times New Roman"/>
          <w:szCs w:val="24"/>
        </w:rPr>
        <w:t>constitutes</w:t>
      </w:r>
      <w:r w:rsidRPr="00D24884">
        <w:rPr>
          <w:rFonts w:cs="Times New Roman"/>
          <w:szCs w:val="24"/>
        </w:rPr>
        <w:t xml:space="preserve"> the first phase of what may be a multi-phase proceeding.  Justice Willcock, then of the Supreme Court</w:t>
      </w:r>
      <w:r>
        <w:rPr>
          <w:rFonts w:cs="Times New Roman"/>
          <w:szCs w:val="24"/>
        </w:rPr>
        <w:t xml:space="preserve"> of British Columbia</w:t>
      </w:r>
      <w:r w:rsidRPr="00D24884">
        <w:rPr>
          <w:rFonts w:cs="Times New Roman"/>
          <w:szCs w:val="24"/>
        </w:rPr>
        <w:t xml:space="preserve">, presided over the petition.  He decided to phase the proceedings in light of the declaratory nature of the relief sought by the </w:t>
      </w:r>
      <w:r>
        <w:rPr>
          <w:rFonts w:cs="Times New Roman"/>
          <w:szCs w:val="24"/>
        </w:rPr>
        <w:t>P</w:t>
      </w:r>
      <w:r w:rsidRPr="00D24884">
        <w:rPr>
          <w:rFonts w:cs="Times New Roman"/>
          <w:szCs w:val="24"/>
        </w:rPr>
        <w:t>arents, and the possibility that the outcome of the first phase might lead to a resolution of the dispute</w:t>
      </w:r>
      <w:r>
        <w:rPr>
          <w:rFonts w:cs="Times New Roman"/>
          <w:szCs w:val="24"/>
        </w:rPr>
        <w:t xml:space="preserve"> (2011 BCSC 1495, 21 C.P.C. (7</w:t>
      </w:r>
      <w:r w:rsidRPr="002041C7">
        <w:rPr>
          <w:rFonts w:cs="Times New Roman"/>
          <w:szCs w:val="24"/>
        </w:rPr>
        <w:t>th</w:t>
      </w:r>
      <w:r>
        <w:rPr>
          <w:rFonts w:cs="Times New Roman"/>
          <w:szCs w:val="24"/>
        </w:rPr>
        <w:t>) 111)</w:t>
      </w:r>
      <w:r w:rsidRPr="00D24884">
        <w:rPr>
          <w:rFonts w:cs="Times New Roman"/>
          <w:szCs w:val="24"/>
        </w:rPr>
        <w:t xml:space="preserve">.  </w:t>
      </w:r>
      <w:r>
        <w:rPr>
          <w:rFonts w:cs="Times New Roman"/>
          <w:szCs w:val="24"/>
        </w:rPr>
        <w:t>In doing so, h</w:t>
      </w:r>
      <w:r w:rsidRPr="00D24884">
        <w:rPr>
          <w:rFonts w:cs="Times New Roman"/>
          <w:szCs w:val="24"/>
        </w:rPr>
        <w:t>e took into consideration the efficient use of judicial resources and the critical need for timely compliance in s.</w:t>
      </w:r>
      <w:r>
        <w:rPr>
          <w:rFonts w:cs="Times New Roman"/>
          <w:szCs w:val="24"/>
        </w:rPr>
        <w:t xml:space="preserve"> </w:t>
      </w:r>
      <w:r w:rsidRPr="00D24884">
        <w:rPr>
          <w:rFonts w:cs="Times New Roman"/>
          <w:szCs w:val="24"/>
        </w:rPr>
        <w:t xml:space="preserve">23 cases to avoid the risks of assimilation caused by delay, relying on this Court’s decision in </w:t>
      </w:r>
      <w:r w:rsidRPr="00D24884">
        <w:rPr>
          <w:rFonts w:cs="Times New Roman"/>
          <w:i/>
          <w:szCs w:val="24"/>
        </w:rPr>
        <w:t>Doucet-Boudreau v. Nova Scotia (Minister of Education)</w:t>
      </w:r>
      <w:r w:rsidRPr="003402ED">
        <w:rPr>
          <w:rFonts w:cs="Times New Roman"/>
          <w:szCs w:val="24"/>
        </w:rPr>
        <w:t xml:space="preserve">, </w:t>
      </w:r>
      <w:r w:rsidRPr="00D24884">
        <w:rPr>
          <w:rFonts w:cs="Times New Roman"/>
          <w:szCs w:val="24"/>
        </w:rPr>
        <w:t>2003 SCC 62, [2003] 3 S.C.R. 3, at para. 29.</w:t>
      </w:r>
    </w:p>
    <w:p w:rsidR="001E4C48" w:rsidRPr="00D24884" w:rsidRDefault="001E4C48" w:rsidP="001E4C48">
      <w:pPr>
        <w:pStyle w:val="ParaNoNdepar-AltN"/>
        <w:widowControl w:val="0"/>
        <w:rPr>
          <w:rFonts w:cs="Times New Roman"/>
        </w:rPr>
      </w:pPr>
      <w:r>
        <w:rPr>
          <w:rFonts w:cs="Times New Roman"/>
        </w:rPr>
        <w:lastRenderedPageBreak/>
        <w:t xml:space="preserve">This appeal concerns the first phase.  The judge was to assess whether </w:t>
      </w:r>
      <w:r w:rsidRPr="00D24884">
        <w:rPr>
          <w:rFonts w:cs="Times New Roman"/>
        </w:rPr>
        <w:t xml:space="preserve">the </w:t>
      </w:r>
      <w:r>
        <w:rPr>
          <w:rFonts w:cs="Times New Roman"/>
        </w:rPr>
        <w:t>Parents</w:t>
      </w:r>
      <w:r w:rsidRPr="00D24884">
        <w:rPr>
          <w:rFonts w:cs="Times New Roman"/>
        </w:rPr>
        <w:t xml:space="preserve"> were being provided with </w:t>
      </w:r>
      <w:r>
        <w:rPr>
          <w:rFonts w:cs="Times New Roman"/>
        </w:rPr>
        <w:t xml:space="preserve">instruction and facilities equivalent to </w:t>
      </w:r>
      <w:r w:rsidRPr="00D24884">
        <w:rPr>
          <w:rFonts w:cs="Times New Roman"/>
        </w:rPr>
        <w:t>majority language schools</w:t>
      </w:r>
      <w:r>
        <w:rPr>
          <w:rFonts w:cs="Times New Roman"/>
        </w:rPr>
        <w:t>,</w:t>
      </w:r>
      <w:r w:rsidRPr="00D24884">
        <w:rPr>
          <w:rFonts w:cs="Times New Roman"/>
        </w:rPr>
        <w:t xml:space="preserve"> as guaranteed under s. 23</w:t>
      </w:r>
      <w:r>
        <w:rPr>
          <w:rFonts w:cs="Times New Roman"/>
        </w:rPr>
        <w:t xml:space="preserve"> of the </w:t>
      </w:r>
      <w:r>
        <w:rPr>
          <w:rFonts w:cs="Times New Roman"/>
          <w:i/>
        </w:rPr>
        <w:t>Charter</w:t>
      </w:r>
      <w:r w:rsidRPr="00D24884">
        <w:rPr>
          <w:rFonts w:cs="Times New Roman"/>
        </w:rPr>
        <w:t xml:space="preserve">.  </w:t>
      </w:r>
      <w:r>
        <w:rPr>
          <w:rFonts w:cs="Times New Roman"/>
        </w:rPr>
        <w:t xml:space="preserve">Prior to undertaking this first phase, </w:t>
      </w:r>
      <w:r w:rsidRPr="00D24884">
        <w:rPr>
          <w:rFonts w:cs="Times New Roman"/>
        </w:rPr>
        <w:t xml:space="preserve">the judge struck certain parts of the </w:t>
      </w:r>
      <w:r>
        <w:rPr>
          <w:rFonts w:cs="Times New Roman"/>
        </w:rPr>
        <w:t>P</w:t>
      </w:r>
      <w:r w:rsidRPr="00D24884">
        <w:rPr>
          <w:rFonts w:cs="Times New Roman"/>
        </w:rPr>
        <w:t xml:space="preserve">rovince’s pleadings on the grounds that they were not relevant to the first phase of proceedings (2011 BCSC 1495).  As well, during the </w:t>
      </w:r>
      <w:r>
        <w:rPr>
          <w:rFonts w:cs="Times New Roman"/>
        </w:rPr>
        <w:t xml:space="preserve">course of the </w:t>
      </w:r>
      <w:r w:rsidRPr="00D24884">
        <w:rPr>
          <w:rFonts w:cs="Times New Roman"/>
        </w:rPr>
        <w:t xml:space="preserve">hearing, the </w:t>
      </w:r>
      <w:r>
        <w:rPr>
          <w:rFonts w:cs="Times New Roman"/>
        </w:rPr>
        <w:t>P</w:t>
      </w:r>
      <w:r w:rsidRPr="00D24884">
        <w:rPr>
          <w:rFonts w:cs="Times New Roman"/>
        </w:rPr>
        <w:t>rovince sought an adjournment in order to bring further evidence on various points, including responsibility for any breach of s.</w:t>
      </w:r>
      <w:r w:rsidR="00E413D7">
        <w:rPr>
          <w:rFonts w:cs="Times New Roman"/>
        </w:rPr>
        <w:t xml:space="preserve"> </w:t>
      </w:r>
      <w:r w:rsidRPr="00D24884">
        <w:rPr>
          <w:rFonts w:cs="Times New Roman"/>
        </w:rPr>
        <w:t>23.  The judge denied this adjournment request (2012 BCSC 1206).</w:t>
      </w:r>
    </w:p>
    <w:p w:rsidR="001E4C48" w:rsidRPr="006E61B0" w:rsidRDefault="001E4C48" w:rsidP="001E4C48">
      <w:pPr>
        <w:pStyle w:val="ParaNoNdepar-AltN"/>
        <w:widowControl w:val="0"/>
        <w:rPr>
          <w:rFonts w:cs="Times New Roman"/>
          <w:iCs/>
        </w:rPr>
      </w:pPr>
      <w:r w:rsidRPr="00D24884">
        <w:rPr>
          <w:rFonts w:cs="Times New Roman"/>
        </w:rPr>
        <w:t xml:space="preserve">In his reasons for judgment at the conclusion of the first phase of proceedings, the judge found a lack of equivalence between the school facilities </w:t>
      </w:r>
      <w:r>
        <w:rPr>
          <w:rFonts w:cs="Times New Roman"/>
        </w:rPr>
        <w:t xml:space="preserve">afforded to the Parents </w:t>
      </w:r>
      <w:r w:rsidRPr="00D24884">
        <w:rPr>
          <w:rFonts w:cs="Times New Roman"/>
        </w:rPr>
        <w:t>and the facilities available to majority language students</w:t>
      </w:r>
      <w:r>
        <w:rPr>
          <w:rFonts w:cs="Times New Roman"/>
        </w:rPr>
        <w:t xml:space="preserve"> in the same area (2012 BCSC 1614, 39 B.C.L.R. (5</w:t>
      </w:r>
      <w:r w:rsidRPr="00F07E89">
        <w:rPr>
          <w:rFonts w:cs="Times New Roman"/>
        </w:rPr>
        <w:t>th</w:t>
      </w:r>
      <w:r>
        <w:rPr>
          <w:rFonts w:cs="Times New Roman"/>
        </w:rPr>
        <w:t>) 144)</w:t>
      </w:r>
      <w:r w:rsidRPr="00D24884">
        <w:rPr>
          <w:rFonts w:cs="Times New Roman"/>
        </w:rPr>
        <w:t>.  He found that</w:t>
      </w:r>
      <w:r>
        <w:rPr>
          <w:rFonts w:cs="Times New Roman"/>
        </w:rPr>
        <w:t>,</w:t>
      </w:r>
      <w:r w:rsidRPr="00D24884">
        <w:rPr>
          <w:rFonts w:cs="Times New Roman"/>
        </w:rPr>
        <w:t xml:space="preserve"> despite the good quality of instruction and academic outcomes, the </w:t>
      </w:r>
      <w:r>
        <w:rPr>
          <w:rFonts w:cs="Times New Roman"/>
        </w:rPr>
        <w:t xml:space="preserve">RDV </w:t>
      </w:r>
      <w:r w:rsidRPr="00D24884">
        <w:rPr>
          <w:rFonts w:cs="Times New Roman"/>
        </w:rPr>
        <w:t xml:space="preserve">facilities are inadequate, and that the long travel times of many students are not offset by superior facilities or programs.  </w:t>
      </w:r>
      <w:r>
        <w:rPr>
          <w:rFonts w:cs="Times New Roman"/>
        </w:rPr>
        <w:t>He found that the disparity limited enrol</w:t>
      </w:r>
      <w:r w:rsidR="00B81DB8">
        <w:rPr>
          <w:rFonts w:cs="Times New Roman"/>
        </w:rPr>
        <w:t>l</w:t>
      </w:r>
      <w:r>
        <w:rPr>
          <w:rFonts w:cs="Times New Roman"/>
        </w:rPr>
        <w:t xml:space="preserve">ment and contributed to assimilation.  </w:t>
      </w:r>
      <w:r w:rsidRPr="00D24884">
        <w:rPr>
          <w:rFonts w:cs="Times New Roman"/>
        </w:rPr>
        <w:t>He concluded that the facilities are inadequate to meet the standard of equivalence required by s. 23</w:t>
      </w:r>
      <w:r>
        <w:rPr>
          <w:rFonts w:cs="Times New Roman"/>
        </w:rPr>
        <w:t xml:space="preserve"> of the </w:t>
      </w:r>
      <w:r>
        <w:rPr>
          <w:rFonts w:cs="Times New Roman"/>
          <w:i/>
        </w:rPr>
        <w:t>Charter</w:t>
      </w:r>
      <w:r w:rsidRPr="00D24884">
        <w:rPr>
          <w:rFonts w:cs="Times New Roman"/>
        </w:rPr>
        <w:t>.  He did not assign responsibility for the failure to meet the constitutional standard.</w:t>
      </w:r>
    </w:p>
    <w:p w:rsidR="001E4C48" w:rsidRPr="00D24884" w:rsidRDefault="001E4C48" w:rsidP="001E4C48">
      <w:pPr>
        <w:pStyle w:val="ParaNoNdepar-AltN"/>
        <w:widowControl w:val="0"/>
        <w:rPr>
          <w:rFonts w:cs="Times New Roman"/>
          <w:iCs/>
        </w:rPr>
      </w:pPr>
      <w:r w:rsidRPr="00D24884">
        <w:rPr>
          <w:rFonts w:cs="Times New Roman"/>
        </w:rPr>
        <w:t xml:space="preserve">The judge issued “a declaration in favour of the parents </w:t>
      </w:r>
      <w:r w:rsidR="00E413D7">
        <w:rPr>
          <w:rFonts w:cs="Times New Roman"/>
        </w:rPr>
        <w:t>. . .</w:t>
      </w:r>
      <w:r w:rsidRPr="00D24884">
        <w:rPr>
          <w:rFonts w:cs="Times New Roman"/>
        </w:rPr>
        <w:t xml:space="preserve"> that they are not being provided the minority language educational facilities guaranteed to them by s. 23 of the</w:t>
      </w:r>
      <w:r>
        <w:rPr>
          <w:rFonts w:cs="Times New Roman"/>
        </w:rPr>
        <w:t xml:space="preserve"> </w:t>
      </w:r>
      <w:r w:rsidRPr="0046437F">
        <w:rPr>
          <w:rFonts w:cs="Times New Roman"/>
          <w:i/>
        </w:rPr>
        <w:t xml:space="preserve">Canadian </w:t>
      </w:r>
      <w:r w:rsidRPr="00D24884">
        <w:rPr>
          <w:rFonts w:cs="Times New Roman"/>
          <w:i/>
          <w:iCs/>
        </w:rPr>
        <w:t>Charter</w:t>
      </w:r>
      <w:r>
        <w:rPr>
          <w:rFonts w:cs="Times New Roman"/>
          <w:i/>
          <w:iCs/>
        </w:rPr>
        <w:t xml:space="preserve"> of Rights and Freedoms</w:t>
      </w:r>
      <w:r w:rsidRPr="00D24884">
        <w:rPr>
          <w:rFonts w:cs="Times New Roman"/>
          <w:iCs/>
        </w:rPr>
        <w:t xml:space="preserve">” </w:t>
      </w:r>
      <w:r>
        <w:rPr>
          <w:rFonts w:cs="Times New Roman"/>
          <w:iCs/>
        </w:rPr>
        <w:t>(</w:t>
      </w:r>
      <w:r w:rsidRPr="00D24884">
        <w:rPr>
          <w:rFonts w:cs="Times New Roman"/>
          <w:iCs/>
        </w:rPr>
        <w:t>para. 160</w:t>
      </w:r>
      <w:r>
        <w:rPr>
          <w:rFonts w:cs="Times New Roman"/>
          <w:iCs/>
        </w:rPr>
        <w:t>)</w:t>
      </w:r>
      <w:r w:rsidRPr="00D24884">
        <w:rPr>
          <w:rFonts w:cs="Times New Roman"/>
          <w:iCs/>
        </w:rPr>
        <w:t xml:space="preserve">.  He also retained jurisdiction over the litigation to hear further applications, should the outcome of the first phase </w:t>
      </w:r>
      <w:r>
        <w:rPr>
          <w:rFonts w:cs="Times New Roman"/>
          <w:iCs/>
        </w:rPr>
        <w:t xml:space="preserve">of the proceedings </w:t>
      </w:r>
      <w:r w:rsidRPr="00D24884">
        <w:rPr>
          <w:rFonts w:cs="Times New Roman"/>
          <w:iCs/>
        </w:rPr>
        <w:t xml:space="preserve">be insufficient to facilitate the resolution of the issues </w:t>
      </w:r>
      <w:r w:rsidRPr="00D24884">
        <w:rPr>
          <w:rFonts w:cs="Times New Roman"/>
          <w:iCs/>
        </w:rPr>
        <w:lastRenderedPageBreak/>
        <w:t>between the parties.</w:t>
      </w:r>
    </w:p>
    <w:p w:rsidR="001E4C48" w:rsidRPr="00D24884" w:rsidRDefault="001E4C48" w:rsidP="001E4C48">
      <w:pPr>
        <w:pStyle w:val="ParaNoNdepar-AltN"/>
        <w:widowControl w:val="0"/>
        <w:rPr>
          <w:rFonts w:cs="Times New Roman"/>
          <w:iCs/>
        </w:rPr>
      </w:pPr>
      <w:r w:rsidRPr="00D24884">
        <w:rPr>
          <w:rFonts w:cs="Times New Roman"/>
          <w:iCs/>
        </w:rPr>
        <w:t xml:space="preserve">The judge awarded special costs to the </w:t>
      </w:r>
      <w:r>
        <w:rPr>
          <w:rFonts w:cs="Times New Roman"/>
          <w:iCs/>
        </w:rPr>
        <w:t>P</w:t>
      </w:r>
      <w:r w:rsidRPr="00D24884">
        <w:rPr>
          <w:rFonts w:cs="Times New Roman"/>
          <w:iCs/>
        </w:rPr>
        <w:t>arents throughout</w:t>
      </w:r>
      <w:r>
        <w:rPr>
          <w:rFonts w:cs="Times New Roman"/>
          <w:iCs/>
        </w:rPr>
        <w:t>,</w:t>
      </w:r>
      <w:r w:rsidRPr="00D24884">
        <w:rPr>
          <w:rFonts w:cs="Times New Roman"/>
          <w:iCs/>
        </w:rPr>
        <w:t xml:space="preserve"> and to the CSF </w:t>
      </w:r>
      <w:r>
        <w:rPr>
          <w:rFonts w:cs="Times New Roman"/>
          <w:iCs/>
        </w:rPr>
        <w:t xml:space="preserve">in relation to all proceedings on or after </w:t>
      </w:r>
      <w:r w:rsidRPr="00D24884">
        <w:rPr>
          <w:rFonts w:cs="Times New Roman"/>
        </w:rPr>
        <w:t>November 4, 2011 (2013 BCSC 1111</w:t>
      </w:r>
      <w:r>
        <w:rPr>
          <w:rFonts w:cs="Times New Roman"/>
        </w:rPr>
        <w:t>, 49 B.C.L.R. (5</w:t>
      </w:r>
      <w:r w:rsidRPr="00A71D10">
        <w:rPr>
          <w:rFonts w:cs="Times New Roman"/>
        </w:rPr>
        <w:t>th</w:t>
      </w:r>
      <w:r>
        <w:rPr>
          <w:rFonts w:cs="Times New Roman"/>
        </w:rPr>
        <w:t>) 189</w:t>
      </w:r>
      <w:r w:rsidRPr="00D24884">
        <w:rPr>
          <w:rFonts w:cs="Times New Roman"/>
        </w:rPr>
        <w:t>)</w:t>
      </w:r>
      <w:r w:rsidRPr="00D24884">
        <w:rPr>
          <w:rFonts w:cs="Times New Roman"/>
          <w:iCs/>
        </w:rPr>
        <w:t xml:space="preserve">.  Though </w:t>
      </w:r>
      <w:r w:rsidRPr="00D24884">
        <w:rPr>
          <w:rFonts w:cs="Times New Roman"/>
        </w:rPr>
        <w:t xml:space="preserve">he did not find the </w:t>
      </w:r>
      <w:r>
        <w:rPr>
          <w:rFonts w:cs="Times New Roman"/>
        </w:rPr>
        <w:t>P</w:t>
      </w:r>
      <w:r w:rsidRPr="00D24884">
        <w:rPr>
          <w:rFonts w:cs="Times New Roman"/>
        </w:rPr>
        <w:t xml:space="preserve">rovince’s conduct worthy of reproof or rebuke, the judge concluded that the petitioners and </w:t>
      </w:r>
      <w:r>
        <w:rPr>
          <w:rFonts w:cs="Times New Roman"/>
        </w:rPr>
        <w:t xml:space="preserve">the </w:t>
      </w:r>
      <w:r w:rsidRPr="00D24884">
        <w:rPr>
          <w:rFonts w:cs="Times New Roman"/>
        </w:rPr>
        <w:t>CSF were entitled to special costs as public interest litigants.</w:t>
      </w:r>
    </w:p>
    <w:p w:rsidR="001E4C48" w:rsidRPr="00D24884" w:rsidRDefault="001E4C48" w:rsidP="001E4C48">
      <w:pPr>
        <w:pStyle w:val="Title2LevelTitre2Niveau"/>
        <w:widowControl w:val="0"/>
        <w:numPr>
          <w:ilvl w:val="1"/>
          <w:numId w:val="8"/>
        </w:numPr>
        <w:rPr>
          <w:rFonts w:cs="Times New Roman"/>
        </w:rPr>
      </w:pPr>
      <w:r w:rsidRPr="00D24884">
        <w:rPr>
          <w:rFonts w:cs="Times New Roman"/>
        </w:rPr>
        <w:t xml:space="preserve"> Court of Appeal</w:t>
      </w:r>
      <w:r>
        <w:rPr>
          <w:rFonts w:cs="Times New Roman"/>
        </w:rPr>
        <w:t xml:space="preserve"> for British Columbia</w:t>
      </w:r>
    </w:p>
    <w:p w:rsidR="001E4C48" w:rsidRPr="00D24884" w:rsidRDefault="001E4C48" w:rsidP="001E4C48">
      <w:pPr>
        <w:pStyle w:val="ParaNoNdepar-AltN"/>
        <w:widowControl w:val="0"/>
        <w:rPr>
          <w:rFonts w:cs="Times New Roman"/>
        </w:rPr>
      </w:pPr>
      <w:r w:rsidRPr="00D24884">
        <w:rPr>
          <w:rFonts w:cs="Times New Roman"/>
        </w:rPr>
        <w:t>The Court of Appeal</w:t>
      </w:r>
      <w:r>
        <w:rPr>
          <w:rFonts w:cs="Times New Roman"/>
        </w:rPr>
        <w:t xml:space="preserve"> for British Columbia</w:t>
      </w:r>
      <w:r w:rsidRPr="00D24884">
        <w:rPr>
          <w:rFonts w:cs="Times New Roman"/>
        </w:rPr>
        <w:t xml:space="preserve"> allowed the appeal brought by the </w:t>
      </w:r>
      <w:r>
        <w:rPr>
          <w:rFonts w:cs="Times New Roman"/>
        </w:rPr>
        <w:t>P</w:t>
      </w:r>
      <w:r w:rsidRPr="00D24884">
        <w:rPr>
          <w:rFonts w:cs="Times New Roman"/>
        </w:rPr>
        <w:t xml:space="preserve">rovince.  Hinkson J.A. (Saunders </w:t>
      </w:r>
      <w:r>
        <w:rPr>
          <w:rFonts w:cs="Times New Roman"/>
        </w:rPr>
        <w:t>and</w:t>
      </w:r>
      <w:r w:rsidRPr="00D24884">
        <w:rPr>
          <w:rFonts w:cs="Times New Roman"/>
        </w:rPr>
        <w:t xml:space="preserve"> Bennett JJ.A. concurring) concluded that certain paragraphs struck by the judge should not have been struck, as they were not clearly irrelevant to the first phase of proceedings </w:t>
      </w:r>
      <w:r>
        <w:rPr>
          <w:rFonts w:cs="Times New Roman"/>
        </w:rPr>
        <w:t>(</w:t>
      </w:r>
      <w:r w:rsidRPr="00D24884">
        <w:rPr>
          <w:rFonts w:cs="Times New Roman"/>
        </w:rPr>
        <w:t xml:space="preserve">2013 BCCA 407, </w:t>
      </w:r>
      <w:r>
        <w:rPr>
          <w:rFonts w:cs="Times New Roman"/>
        </w:rPr>
        <w:t>49 B.C.L.R. (5</w:t>
      </w:r>
      <w:r w:rsidRPr="00EC0351">
        <w:rPr>
          <w:rFonts w:cs="Times New Roman"/>
        </w:rPr>
        <w:t>th</w:t>
      </w:r>
      <w:r>
        <w:rPr>
          <w:rFonts w:cs="Times New Roman"/>
        </w:rPr>
        <w:t>) 246)</w:t>
      </w:r>
      <w:r w:rsidRPr="00D24884">
        <w:rPr>
          <w:rFonts w:cs="Times New Roman"/>
        </w:rPr>
        <w:t>.  The Court of Appeal was of the view that issues of cost</w:t>
      </w:r>
      <w:r>
        <w:rPr>
          <w:rFonts w:cs="Times New Roman"/>
        </w:rPr>
        <w:t>s</w:t>
      </w:r>
      <w:r w:rsidRPr="00D24884">
        <w:rPr>
          <w:rFonts w:cs="Times New Roman"/>
        </w:rPr>
        <w:t xml:space="preserve"> and practicalities may be relevant to the equivalence analysis performed as part of the first phase.  The Court of Appeal, relying on the judge’s </w:t>
      </w:r>
      <w:r>
        <w:rPr>
          <w:rFonts w:cs="Times New Roman"/>
        </w:rPr>
        <w:t xml:space="preserve">March 2012 </w:t>
      </w:r>
      <w:r w:rsidRPr="00D24884">
        <w:rPr>
          <w:rFonts w:cs="Times New Roman"/>
          <w:lang w:val="en-US"/>
        </w:rPr>
        <w:t xml:space="preserve">clarification of his </w:t>
      </w:r>
      <w:r>
        <w:rPr>
          <w:rFonts w:cs="Times New Roman"/>
          <w:lang w:val="en-US"/>
        </w:rPr>
        <w:t xml:space="preserve">2011 </w:t>
      </w:r>
      <w:r w:rsidRPr="00D24884">
        <w:rPr>
          <w:rFonts w:cs="Times New Roman"/>
          <w:lang w:val="en-US"/>
        </w:rPr>
        <w:t xml:space="preserve">phasing order, </w:t>
      </w:r>
      <w:r w:rsidRPr="00D24884">
        <w:rPr>
          <w:rFonts w:cs="Times New Roman"/>
        </w:rPr>
        <w:t>also concluded that the reasons for judgment went beyond what the judge said he intended to resolve as part of the first phase</w:t>
      </w:r>
      <w:r>
        <w:rPr>
          <w:rFonts w:cs="Times New Roman"/>
        </w:rPr>
        <w:t xml:space="preserve"> of the proceedings</w:t>
      </w:r>
      <w:r w:rsidRPr="00D24884">
        <w:rPr>
          <w:rFonts w:cs="Times New Roman"/>
        </w:rPr>
        <w:t xml:space="preserve">.  This had the effect of unfairly precluding the </w:t>
      </w:r>
      <w:r>
        <w:rPr>
          <w:rFonts w:cs="Times New Roman"/>
        </w:rPr>
        <w:t>P</w:t>
      </w:r>
      <w:r w:rsidRPr="00D24884">
        <w:rPr>
          <w:rFonts w:cs="Times New Roman"/>
        </w:rPr>
        <w:t xml:space="preserve">rovince from obtaining further evidence to support its defence that any disparity in the facilities did not amount to a breach of the </w:t>
      </w:r>
      <w:r>
        <w:rPr>
          <w:rFonts w:cs="Times New Roman"/>
        </w:rPr>
        <w:t>P</w:t>
      </w:r>
      <w:r w:rsidRPr="00D24884">
        <w:rPr>
          <w:rFonts w:cs="Times New Roman"/>
        </w:rPr>
        <w:t>arents’ s.</w:t>
      </w:r>
      <w:r w:rsidR="00E413D7">
        <w:rPr>
          <w:rFonts w:cs="Times New Roman"/>
        </w:rPr>
        <w:t xml:space="preserve"> </w:t>
      </w:r>
      <w:r w:rsidRPr="00D24884">
        <w:rPr>
          <w:rFonts w:cs="Times New Roman"/>
        </w:rPr>
        <w:t>23 rights.</w:t>
      </w:r>
    </w:p>
    <w:p w:rsidR="001E4C48" w:rsidRDefault="001E4C48" w:rsidP="001E4C48">
      <w:pPr>
        <w:pStyle w:val="ParaNoNdepar-AltN"/>
        <w:widowControl w:val="0"/>
        <w:rPr>
          <w:rFonts w:cs="Times New Roman"/>
        </w:rPr>
      </w:pPr>
      <w:r w:rsidRPr="00D24884">
        <w:rPr>
          <w:rFonts w:cs="Times New Roman"/>
        </w:rPr>
        <w:t xml:space="preserve">The Court of Appeal set aside the order striking certain paragraphs of the </w:t>
      </w:r>
      <w:r>
        <w:rPr>
          <w:rFonts w:cs="Times New Roman"/>
        </w:rPr>
        <w:t>P</w:t>
      </w:r>
      <w:r w:rsidRPr="00D24884">
        <w:rPr>
          <w:rFonts w:cs="Times New Roman"/>
        </w:rPr>
        <w:t>rovince’s pleadings</w:t>
      </w:r>
      <w:r>
        <w:rPr>
          <w:rFonts w:cs="Times New Roman"/>
        </w:rPr>
        <w:t xml:space="preserve">.  It also set aside Justice Willcock’s </w:t>
      </w:r>
      <w:r w:rsidRPr="00D24884">
        <w:rPr>
          <w:rFonts w:cs="Times New Roman"/>
        </w:rPr>
        <w:t>declaration dated October 31, 2012, and ordered that the petition be remitted to the Supreme Court</w:t>
      </w:r>
      <w:r>
        <w:rPr>
          <w:rFonts w:cs="Times New Roman"/>
        </w:rPr>
        <w:t xml:space="preserve"> of British </w:t>
      </w:r>
      <w:r>
        <w:rPr>
          <w:rFonts w:cs="Times New Roman"/>
        </w:rPr>
        <w:lastRenderedPageBreak/>
        <w:t>Columbia</w:t>
      </w:r>
      <w:r w:rsidRPr="00D24884">
        <w:rPr>
          <w:rFonts w:cs="Times New Roman"/>
        </w:rPr>
        <w:t>.  The Court of Appeal also set aside the award of special costs (2014 BCCA 40</w:t>
      </w:r>
      <w:r>
        <w:rPr>
          <w:rFonts w:cs="Times New Roman"/>
        </w:rPr>
        <w:t>, 54 B.C.L.R. (5</w:t>
      </w:r>
      <w:r w:rsidRPr="00B21C82">
        <w:rPr>
          <w:rFonts w:cs="Times New Roman"/>
        </w:rPr>
        <w:t>th</w:t>
      </w:r>
      <w:r>
        <w:rPr>
          <w:rFonts w:cs="Times New Roman"/>
        </w:rPr>
        <w:t>) 79</w:t>
      </w:r>
      <w:r w:rsidRPr="00D24884">
        <w:rPr>
          <w:rFonts w:cs="Times New Roman"/>
        </w:rPr>
        <w:t>).</w:t>
      </w:r>
    </w:p>
    <w:p w:rsidR="001E4C48" w:rsidRPr="00D24884" w:rsidRDefault="001E4C48" w:rsidP="001E4C48">
      <w:pPr>
        <w:pStyle w:val="Title1LevelTitre1Niveau-AltL"/>
        <w:widowControl w:val="0"/>
        <w:numPr>
          <w:ilvl w:val="0"/>
          <w:numId w:val="8"/>
        </w:numPr>
        <w:rPr>
          <w:rFonts w:cs="Times New Roman"/>
        </w:rPr>
      </w:pPr>
      <w:r w:rsidRPr="00D24884">
        <w:rPr>
          <w:rFonts w:cs="Times New Roman"/>
        </w:rPr>
        <w:t>Issues</w:t>
      </w:r>
    </w:p>
    <w:p w:rsidR="001E4C48" w:rsidRPr="00D24884" w:rsidRDefault="001E4C48" w:rsidP="001E4C48">
      <w:pPr>
        <w:pStyle w:val="ParaNoNdepar-AltN"/>
        <w:widowControl w:val="0"/>
        <w:rPr>
          <w:rFonts w:cs="Times New Roman"/>
        </w:rPr>
      </w:pPr>
      <w:r w:rsidRPr="00D24884">
        <w:rPr>
          <w:rFonts w:cs="Times New Roman"/>
        </w:rPr>
        <w:t>This appeal raises both substantive and procedural issues.</w:t>
      </w:r>
    </w:p>
    <w:p w:rsidR="001E4C48" w:rsidRPr="00D24884" w:rsidRDefault="001E4C48" w:rsidP="001E4C48">
      <w:pPr>
        <w:pStyle w:val="ParaNoNdepar-AltN"/>
        <w:widowControl w:val="0"/>
        <w:rPr>
          <w:rFonts w:cs="Times New Roman"/>
        </w:rPr>
      </w:pPr>
      <w:r w:rsidRPr="00D24884">
        <w:rPr>
          <w:rFonts w:cs="Times New Roman"/>
        </w:rPr>
        <w:t xml:space="preserve">First, how should a court assess the substantive equivalence of a minority language school facility as compared to majority language school facilities, for the purpose of determining whether the </w:t>
      </w:r>
      <w:r>
        <w:rPr>
          <w:rFonts w:cs="Times New Roman"/>
        </w:rPr>
        <w:t>minority</w:t>
      </w:r>
      <w:r w:rsidRPr="00D24884">
        <w:rPr>
          <w:rFonts w:cs="Times New Roman"/>
        </w:rPr>
        <w:t xml:space="preserve"> language facility complies with s. 23</w:t>
      </w:r>
      <w:r>
        <w:rPr>
          <w:rFonts w:cs="Times New Roman"/>
        </w:rPr>
        <w:t xml:space="preserve"> of the </w:t>
      </w:r>
      <w:r>
        <w:rPr>
          <w:rFonts w:cs="Times New Roman"/>
          <w:i/>
        </w:rPr>
        <w:t>Charter</w:t>
      </w:r>
      <w:r w:rsidRPr="00D24884">
        <w:rPr>
          <w:rFonts w:cs="Times New Roman"/>
        </w:rPr>
        <w:t xml:space="preserve">?  In particular, are issues of costs and practicalities relevant to the s. 23 equivalence analysis?  Is it necessary to determine responsibility, as between </w:t>
      </w:r>
      <w:r>
        <w:rPr>
          <w:rFonts w:cs="Times New Roman"/>
        </w:rPr>
        <w:t>a</w:t>
      </w:r>
      <w:r w:rsidRPr="00D24884">
        <w:rPr>
          <w:rFonts w:cs="Times New Roman"/>
        </w:rPr>
        <w:t xml:space="preserve"> </w:t>
      </w:r>
      <w:r>
        <w:rPr>
          <w:rFonts w:cs="Times New Roman"/>
        </w:rPr>
        <w:t>p</w:t>
      </w:r>
      <w:r w:rsidRPr="00D24884">
        <w:rPr>
          <w:rFonts w:cs="Times New Roman"/>
        </w:rPr>
        <w:t>rovince</w:t>
      </w:r>
      <w:r>
        <w:rPr>
          <w:rFonts w:cs="Times New Roman"/>
        </w:rPr>
        <w:t xml:space="preserve"> or territory </w:t>
      </w:r>
      <w:r w:rsidRPr="00D24884">
        <w:rPr>
          <w:rFonts w:cs="Times New Roman"/>
        </w:rPr>
        <w:t xml:space="preserve">and </w:t>
      </w:r>
      <w:r>
        <w:rPr>
          <w:rFonts w:cs="Times New Roman"/>
        </w:rPr>
        <w:t>a</w:t>
      </w:r>
      <w:r w:rsidRPr="00D24884">
        <w:rPr>
          <w:rFonts w:cs="Times New Roman"/>
        </w:rPr>
        <w:t xml:space="preserve"> school board, prior to finding a </w:t>
      </w:r>
      <w:r w:rsidRPr="00D24884">
        <w:rPr>
          <w:rFonts w:cs="Times New Roman"/>
          <w:i/>
        </w:rPr>
        <w:t>prima facie</w:t>
      </w:r>
      <w:r w:rsidRPr="00D24884">
        <w:rPr>
          <w:rFonts w:cs="Times New Roman"/>
        </w:rPr>
        <w:t xml:space="preserve"> breach of s.</w:t>
      </w:r>
      <w:r w:rsidR="00E413D7">
        <w:rPr>
          <w:rFonts w:cs="Times New Roman"/>
        </w:rPr>
        <w:t xml:space="preserve"> </w:t>
      </w:r>
      <w:r w:rsidRPr="00D24884">
        <w:rPr>
          <w:rFonts w:cs="Times New Roman"/>
        </w:rPr>
        <w:t>23?</w:t>
      </w:r>
    </w:p>
    <w:p w:rsidR="001E4C48" w:rsidRPr="00D24884" w:rsidRDefault="001E4C48" w:rsidP="001E4C48">
      <w:pPr>
        <w:pStyle w:val="ParaNoNdepar-AltN"/>
        <w:widowControl w:val="0"/>
        <w:rPr>
          <w:rFonts w:cs="Times New Roman"/>
        </w:rPr>
      </w:pPr>
      <w:r w:rsidRPr="00D24884">
        <w:rPr>
          <w:rFonts w:cs="Times New Roman"/>
        </w:rPr>
        <w:t xml:space="preserve">Second, were the procedures adopted by the </w:t>
      </w:r>
      <w:r>
        <w:rPr>
          <w:rFonts w:cs="Times New Roman"/>
        </w:rPr>
        <w:t xml:space="preserve">petition </w:t>
      </w:r>
      <w:r w:rsidRPr="00D24884">
        <w:rPr>
          <w:rFonts w:cs="Times New Roman"/>
        </w:rPr>
        <w:t xml:space="preserve">judge in managing the </w:t>
      </w:r>
      <w:r>
        <w:rPr>
          <w:rFonts w:cs="Times New Roman"/>
        </w:rPr>
        <w:t>proceedings</w:t>
      </w:r>
      <w:r w:rsidRPr="00D24884">
        <w:rPr>
          <w:rFonts w:cs="Times New Roman"/>
        </w:rPr>
        <w:t xml:space="preserve"> procedurally unfair?</w:t>
      </w:r>
    </w:p>
    <w:p w:rsidR="001E4C48" w:rsidRPr="00D24884" w:rsidRDefault="001E4C48" w:rsidP="001E4C48">
      <w:pPr>
        <w:pStyle w:val="Title1LevelTitre1Niveau-AltL"/>
        <w:widowControl w:val="0"/>
        <w:numPr>
          <w:ilvl w:val="0"/>
          <w:numId w:val="8"/>
        </w:numPr>
        <w:rPr>
          <w:rFonts w:cs="Times New Roman"/>
        </w:rPr>
      </w:pPr>
      <w:r w:rsidRPr="00D24884">
        <w:rPr>
          <w:rFonts w:cs="Times New Roman"/>
        </w:rPr>
        <w:t>Analysis</w:t>
      </w:r>
    </w:p>
    <w:p w:rsidR="001E4C48" w:rsidRPr="00D24884" w:rsidRDefault="001E4C48" w:rsidP="001E4C48">
      <w:pPr>
        <w:pStyle w:val="Title2LevelTitre2Niveau"/>
        <w:widowControl w:val="0"/>
        <w:numPr>
          <w:ilvl w:val="1"/>
          <w:numId w:val="8"/>
        </w:numPr>
        <w:rPr>
          <w:rFonts w:cs="Times New Roman"/>
          <w:i w:val="0"/>
        </w:rPr>
      </w:pPr>
      <w:r w:rsidRPr="00D24884">
        <w:rPr>
          <w:rFonts w:cs="Times New Roman"/>
        </w:rPr>
        <w:t xml:space="preserve">Equivalence Under </w:t>
      </w:r>
      <w:r>
        <w:rPr>
          <w:rFonts w:cs="Times New Roman"/>
        </w:rPr>
        <w:t>Section</w:t>
      </w:r>
      <w:r w:rsidRPr="00D24884">
        <w:rPr>
          <w:rFonts w:cs="Times New Roman"/>
        </w:rPr>
        <w:t xml:space="preserve"> 23 of the Charter</w:t>
      </w:r>
    </w:p>
    <w:p w:rsidR="001E4C48" w:rsidRPr="00D24884" w:rsidRDefault="001E4C48" w:rsidP="001E4C48">
      <w:pPr>
        <w:pStyle w:val="Title3LevelTitre3Niveau"/>
        <w:widowControl w:val="0"/>
        <w:numPr>
          <w:ilvl w:val="2"/>
          <w:numId w:val="8"/>
        </w:numPr>
        <w:rPr>
          <w:rFonts w:cs="Times New Roman"/>
        </w:rPr>
      </w:pPr>
      <w:r w:rsidRPr="00D24884">
        <w:rPr>
          <w:rFonts w:cs="Times New Roman"/>
        </w:rPr>
        <w:t>Basic Principles and Interpretation of Section 23</w:t>
      </w:r>
    </w:p>
    <w:p w:rsidR="001E4C48" w:rsidRPr="00D24884" w:rsidRDefault="001E4C48" w:rsidP="001E4C48">
      <w:pPr>
        <w:pStyle w:val="ParaNoNdepar-AltN"/>
        <w:widowControl w:val="0"/>
        <w:rPr>
          <w:rFonts w:cs="Times New Roman"/>
        </w:rPr>
      </w:pPr>
      <w:r w:rsidRPr="00D24884">
        <w:rPr>
          <w:rFonts w:cs="Times New Roman"/>
        </w:rPr>
        <w:t xml:space="preserve">Section 23 of the </w:t>
      </w:r>
      <w:r w:rsidRPr="00D24884">
        <w:rPr>
          <w:rFonts w:cs="Times New Roman"/>
          <w:i/>
        </w:rPr>
        <w:t xml:space="preserve">Charter </w:t>
      </w:r>
      <w:r w:rsidRPr="00D24884">
        <w:rPr>
          <w:rFonts w:cs="Times New Roman"/>
        </w:rPr>
        <w:t>guarantees minority language rights holders</w:t>
      </w:r>
      <w:r>
        <w:rPr>
          <w:rFonts w:cs="Times New Roman"/>
        </w:rPr>
        <w:t xml:space="preserve"> the right to have their children educated in English or French, as the case may be</w:t>
      </w:r>
      <w:r w:rsidRPr="00D24884">
        <w:rPr>
          <w:rFonts w:cs="Times New Roman"/>
        </w:rPr>
        <w:t>:</w:t>
      </w:r>
    </w:p>
    <w:p w:rsidR="001E4C48" w:rsidRPr="00D24884" w:rsidRDefault="001E4C48" w:rsidP="001E4C48">
      <w:pPr>
        <w:pStyle w:val="Citation-AltC"/>
        <w:widowControl w:val="0"/>
      </w:pPr>
      <w:r w:rsidRPr="00D24884">
        <w:rPr>
          <w:b/>
          <w:bCs/>
        </w:rPr>
        <w:lastRenderedPageBreak/>
        <w:t xml:space="preserve">23. </w:t>
      </w:r>
      <w:r w:rsidRPr="00D24884">
        <w:t xml:space="preserve"> (1) Citizens of Canada</w:t>
      </w:r>
    </w:p>
    <w:p w:rsidR="001E4C48" w:rsidRPr="00D24884" w:rsidRDefault="001E4C48" w:rsidP="001E4C48">
      <w:pPr>
        <w:pStyle w:val="Citation-AltC"/>
        <w:widowControl w:val="0"/>
      </w:pPr>
    </w:p>
    <w:p w:rsidR="001E4C48" w:rsidRPr="00D24884" w:rsidRDefault="001E4C48" w:rsidP="001E4C48">
      <w:pPr>
        <w:pStyle w:val="Citation-AltC"/>
        <w:widowControl w:val="0"/>
        <w:ind w:left="1170"/>
      </w:pPr>
      <w:r w:rsidRPr="00D24884">
        <w:t>(</w:t>
      </w:r>
      <w:r w:rsidRPr="00D24884">
        <w:rPr>
          <w:i/>
          <w:iCs/>
        </w:rPr>
        <w:t>a</w:t>
      </w:r>
      <w:r w:rsidRPr="00D24884">
        <w:t>) whose first language learned and still understood is that of the English or French linguistic minority population of the province in which they reside, or</w:t>
      </w:r>
    </w:p>
    <w:p w:rsidR="001E4C48" w:rsidRPr="00D24884" w:rsidRDefault="001E4C48" w:rsidP="001E4C48">
      <w:pPr>
        <w:pStyle w:val="Citation-AltC"/>
        <w:widowControl w:val="0"/>
        <w:ind w:left="1440"/>
      </w:pPr>
    </w:p>
    <w:p w:rsidR="001E4C48" w:rsidRPr="00D24884" w:rsidRDefault="001E4C48" w:rsidP="001E4C48">
      <w:pPr>
        <w:pStyle w:val="Citation-AltC"/>
        <w:widowControl w:val="0"/>
        <w:ind w:left="1170"/>
      </w:pPr>
      <w:r w:rsidRPr="00D24884">
        <w:t>(</w:t>
      </w:r>
      <w:r w:rsidRPr="00D24884">
        <w:rPr>
          <w:i/>
          <w:iCs/>
        </w:rPr>
        <w:t>b</w:t>
      </w:r>
      <w:r w:rsidRPr="00D24884">
        <w:t>) who have received their primary school instruction in Canada in English or French and reside in a province where the language in which they received that instruction is the language of the English or French linguistic minority population of the province,</w:t>
      </w:r>
    </w:p>
    <w:p w:rsidR="001E4C48" w:rsidRPr="00D24884" w:rsidRDefault="001E4C48" w:rsidP="001E4C48">
      <w:pPr>
        <w:pStyle w:val="Citation-AltC"/>
        <w:widowControl w:val="0"/>
      </w:pPr>
    </w:p>
    <w:p w:rsidR="001E4C48" w:rsidRPr="00D24884" w:rsidRDefault="001E4C48" w:rsidP="001E4C48">
      <w:pPr>
        <w:pStyle w:val="Citation-AltC"/>
        <w:widowControl w:val="0"/>
        <w:ind w:left="900"/>
      </w:pPr>
      <w:r w:rsidRPr="00D24884">
        <w:t>have the right to have their children receive primary and secondary school instruction in that language in that province.</w:t>
      </w:r>
    </w:p>
    <w:p w:rsidR="001E4C48" w:rsidRPr="00D24884" w:rsidRDefault="001E4C48" w:rsidP="001E4C48">
      <w:pPr>
        <w:pStyle w:val="Citation-AltC"/>
        <w:widowControl w:val="0"/>
      </w:pPr>
    </w:p>
    <w:p w:rsidR="001E4C48" w:rsidRPr="00D24884" w:rsidRDefault="001E4C48" w:rsidP="001E4C48">
      <w:pPr>
        <w:pStyle w:val="Citation-AltC"/>
        <w:widowControl w:val="0"/>
        <w:ind w:left="900" w:firstLine="270"/>
      </w:pPr>
      <w:r w:rsidRPr="00D24884">
        <w:t xml:space="preserve">  (2) Citizens of Canada of whom any child has received or is receiving primary or secondary school instruction in English or French in Canada, have the right to have all their children receive primary and secondary school instruction in the same language.</w:t>
      </w:r>
    </w:p>
    <w:p w:rsidR="001E4C48" w:rsidRPr="00D24884" w:rsidRDefault="001E4C48" w:rsidP="001E4C48">
      <w:pPr>
        <w:pStyle w:val="Citation-AltC"/>
        <w:widowControl w:val="0"/>
      </w:pPr>
    </w:p>
    <w:p w:rsidR="001E4C48" w:rsidRPr="00D24884" w:rsidRDefault="001E4C48" w:rsidP="001E4C48">
      <w:pPr>
        <w:pStyle w:val="Citation-AltC"/>
        <w:widowControl w:val="0"/>
        <w:ind w:left="900" w:firstLine="270"/>
      </w:pPr>
      <w:r w:rsidRPr="00D24884">
        <w:t xml:space="preserve">  (3) The right of citizens of Canada under subsections (1) and (2) to have their children receive primary and secondary school instruction in the language of the English or French linguistic minority population of a province</w:t>
      </w:r>
    </w:p>
    <w:p w:rsidR="001E4C48" w:rsidRPr="00D24884" w:rsidRDefault="001E4C48" w:rsidP="001E4C48">
      <w:pPr>
        <w:pStyle w:val="Citation-AltC"/>
        <w:widowControl w:val="0"/>
      </w:pPr>
    </w:p>
    <w:p w:rsidR="001E4C48" w:rsidRPr="00D24884" w:rsidRDefault="001E4C48" w:rsidP="001E4C48">
      <w:pPr>
        <w:pStyle w:val="Citation-AltC"/>
        <w:widowControl w:val="0"/>
        <w:ind w:left="1170"/>
      </w:pPr>
      <w:r w:rsidRPr="00D24884">
        <w:t>(</w:t>
      </w:r>
      <w:r w:rsidRPr="00D24884">
        <w:rPr>
          <w:i/>
          <w:iCs/>
        </w:rPr>
        <w:t>a</w:t>
      </w:r>
      <w:r w:rsidRPr="00D24884">
        <w:t>) applies wherever in the province the number of children of citizens who have such a right is sufficient to warrant the provision to them out of public funds of minority language instruction; and</w:t>
      </w:r>
    </w:p>
    <w:p w:rsidR="001E4C48" w:rsidRPr="00D24884" w:rsidRDefault="001E4C48" w:rsidP="001E4C48">
      <w:pPr>
        <w:pStyle w:val="Citation-AltC"/>
        <w:widowControl w:val="0"/>
        <w:ind w:left="1440"/>
      </w:pPr>
    </w:p>
    <w:p w:rsidR="001E4C48" w:rsidRPr="00D24884" w:rsidRDefault="001E4C48" w:rsidP="001E4C48">
      <w:pPr>
        <w:pStyle w:val="Citation-AltC"/>
        <w:widowControl w:val="0"/>
        <w:ind w:left="1170"/>
      </w:pPr>
      <w:r w:rsidRPr="00D24884">
        <w:t>(</w:t>
      </w:r>
      <w:r w:rsidRPr="00D24884">
        <w:rPr>
          <w:i/>
          <w:iCs/>
        </w:rPr>
        <w:t>b</w:t>
      </w:r>
      <w:r w:rsidRPr="00D24884">
        <w:t>) includes, where the number of those children so warrants, the right to have them receive that instruction in minority language educational facilities provided out of public funds.</w:t>
      </w:r>
    </w:p>
    <w:p w:rsidR="001E4C48" w:rsidRPr="00D24884" w:rsidRDefault="001E4C48" w:rsidP="001E4C48">
      <w:pPr>
        <w:pStyle w:val="ParaNoNdepar-AltN"/>
        <w:widowControl w:val="0"/>
        <w:rPr>
          <w:rFonts w:cs="Times New Roman"/>
        </w:rPr>
      </w:pPr>
      <w:r w:rsidRPr="00D24884">
        <w:rPr>
          <w:rFonts w:cs="Times New Roman"/>
        </w:rPr>
        <w:t xml:space="preserve">Section 23 is a remedial right that differs from many other </w:t>
      </w:r>
      <w:r w:rsidRPr="00D24884">
        <w:rPr>
          <w:rFonts w:cs="Times New Roman"/>
          <w:i/>
        </w:rPr>
        <w:t xml:space="preserve">Charter </w:t>
      </w:r>
      <w:r w:rsidRPr="00D24884">
        <w:rPr>
          <w:rFonts w:cs="Times New Roman"/>
        </w:rPr>
        <w:t xml:space="preserve">rights.  The provision is an important marker of Canada’s commitment to bilingualism, and to the bicultural founding character of this country.  It imposes a constitutional duty on the provinces </w:t>
      </w:r>
      <w:r>
        <w:rPr>
          <w:rFonts w:cs="Times New Roman"/>
        </w:rPr>
        <w:t xml:space="preserve">and territories </w:t>
      </w:r>
      <w:r w:rsidRPr="00D24884">
        <w:rPr>
          <w:rFonts w:cs="Times New Roman"/>
        </w:rPr>
        <w:t>to provide minority language education to children of s. 23 rights</w:t>
      </w:r>
      <w:r>
        <w:rPr>
          <w:rFonts w:cs="Times New Roman"/>
        </w:rPr>
        <w:t xml:space="preserve"> </w:t>
      </w:r>
      <w:r w:rsidRPr="00D24884">
        <w:rPr>
          <w:rFonts w:cs="Times New Roman"/>
        </w:rPr>
        <w:t>holder</w:t>
      </w:r>
      <w:r>
        <w:rPr>
          <w:rFonts w:cs="Times New Roman"/>
        </w:rPr>
        <w:t>s</w:t>
      </w:r>
      <w:r w:rsidRPr="00D24884">
        <w:rPr>
          <w:rFonts w:cs="Times New Roman"/>
        </w:rPr>
        <w:t xml:space="preserve"> where numbers warrant.  This commitment sets Canada apart among nations, as Justice Vickers of the Supreme Court</w:t>
      </w:r>
      <w:r>
        <w:rPr>
          <w:rFonts w:cs="Times New Roman"/>
        </w:rPr>
        <w:t xml:space="preserve"> of British Columbia</w:t>
      </w:r>
      <w:r w:rsidRPr="00D24884">
        <w:rPr>
          <w:rFonts w:cs="Times New Roman"/>
        </w:rPr>
        <w:t xml:space="preserve"> explained in </w:t>
      </w:r>
      <w:r w:rsidRPr="00741476">
        <w:rPr>
          <w:rFonts w:cs="Times New Roman"/>
          <w:i/>
        </w:rPr>
        <w:t>Assn. des Parents Francophones</w:t>
      </w:r>
      <w:r>
        <w:rPr>
          <w:rFonts w:cs="Times New Roman"/>
        </w:rPr>
        <w:t>:</w:t>
      </w:r>
    </w:p>
    <w:p w:rsidR="001E4C48" w:rsidRPr="00D24884" w:rsidRDefault="001E4C48" w:rsidP="001E4C48">
      <w:pPr>
        <w:pStyle w:val="Citation-AltC"/>
        <w:widowControl w:val="0"/>
        <w:rPr>
          <w:i/>
        </w:rPr>
      </w:pPr>
      <w:r w:rsidRPr="00D24884">
        <w:lastRenderedPageBreak/>
        <w:t xml:space="preserve">From its genesis, Canada brings to the world a unique history and culture of cooperation and tolerance.  It is rooted in the commitment of French and English people, who had earlier been separated by geography, a history of divisive disputes, language and culture, to live together, to work together and to share the resources of a new nation.  Section 23 restates a fundamental part of that commitment relating to language and culture and acknowledges the vision and faith of our nation’s pioneers.  Our distinct place in the world’s family of nations is dependent on governments honouring the commitment entered into more than two centuries ago which has been reaffirmed by this generation of Canadians through the enactment of particular provisions of the </w:t>
      </w:r>
      <w:r w:rsidRPr="00D24884">
        <w:rPr>
          <w:i/>
        </w:rPr>
        <w:t>C</w:t>
      </w:r>
      <w:r>
        <w:rPr>
          <w:i/>
        </w:rPr>
        <w:t>anadian C</w:t>
      </w:r>
      <w:r w:rsidRPr="00D24884">
        <w:rPr>
          <w:i/>
        </w:rPr>
        <w:t>harter</w:t>
      </w:r>
      <w:r>
        <w:rPr>
          <w:i/>
        </w:rPr>
        <w:t xml:space="preserve"> of Rights and Freedoms</w:t>
      </w:r>
      <w:r w:rsidRPr="00D24884">
        <w:t>.</w:t>
      </w:r>
      <w:r>
        <w:t xml:space="preserve">  [para. 24]</w:t>
      </w:r>
    </w:p>
    <w:p w:rsidR="001E4C48" w:rsidRPr="00D24884" w:rsidRDefault="001E4C48" w:rsidP="001E4C48">
      <w:pPr>
        <w:pStyle w:val="Citation-AltC"/>
        <w:widowControl w:val="0"/>
        <w:rPr>
          <w:i/>
        </w:rPr>
      </w:pPr>
    </w:p>
    <w:p w:rsidR="001E4C48" w:rsidRPr="00D24884" w:rsidRDefault="001E4C48" w:rsidP="001E4C48">
      <w:pPr>
        <w:pStyle w:val="ParaNoNdepar-AltN"/>
        <w:widowControl w:val="0"/>
        <w:rPr>
          <w:rFonts w:cs="Times New Roman"/>
        </w:rPr>
      </w:pPr>
      <w:r w:rsidRPr="00D24884">
        <w:rPr>
          <w:rFonts w:cs="Times New Roman"/>
        </w:rPr>
        <w:t>Section 23 is concerned with the preservation of culture as well as language.  As the Royal Commission on Bilingualism and Biculturalism noted, “[l]anguage and culture are not synonymous, but the vitality of the language is a necessary condition for the complete preservation of a culture” (</w:t>
      </w:r>
      <w:r w:rsidRPr="00D24884">
        <w:rPr>
          <w:rFonts w:cs="Times New Roman"/>
          <w:i/>
        </w:rPr>
        <w:t>Report of the Royal Commission on Bilingualism and Biculturalism</w:t>
      </w:r>
      <w:r w:rsidRPr="00D24884">
        <w:rPr>
          <w:rFonts w:cs="Times New Roman"/>
        </w:rPr>
        <w:t xml:space="preserve">, </w:t>
      </w:r>
      <w:r>
        <w:rPr>
          <w:rFonts w:cs="Times New Roman"/>
        </w:rPr>
        <w:t>Book</w:t>
      </w:r>
      <w:r w:rsidRPr="00D24884">
        <w:rPr>
          <w:rFonts w:cs="Times New Roman"/>
        </w:rPr>
        <w:t xml:space="preserve"> II, </w:t>
      </w:r>
      <w:r w:rsidRPr="00F9736A">
        <w:rPr>
          <w:rFonts w:cs="Times New Roman"/>
          <w:i/>
        </w:rPr>
        <w:t>Education</w:t>
      </w:r>
      <w:r w:rsidRPr="00D24884">
        <w:rPr>
          <w:rFonts w:cs="Times New Roman"/>
        </w:rPr>
        <w:t xml:space="preserve"> </w:t>
      </w:r>
      <w:r>
        <w:rPr>
          <w:rFonts w:cs="Times New Roman"/>
        </w:rPr>
        <w:t>(</w:t>
      </w:r>
      <w:r w:rsidRPr="00D24884">
        <w:rPr>
          <w:rFonts w:cs="Times New Roman"/>
        </w:rPr>
        <w:t xml:space="preserve">1968), at p. 8).  As this Court noted in </w:t>
      </w:r>
      <w:r w:rsidRPr="00D24884">
        <w:rPr>
          <w:rFonts w:cs="Times New Roman"/>
          <w:i/>
        </w:rPr>
        <w:t>Mahe v. Alberta</w:t>
      </w:r>
      <w:r w:rsidRPr="00D24884">
        <w:rPr>
          <w:rFonts w:cs="Times New Roman"/>
        </w:rPr>
        <w:t xml:space="preserve">, </w:t>
      </w:r>
      <w:r w:rsidR="00DE52C2" w:rsidRPr="00D24884">
        <w:rPr>
          <w:rFonts w:cs="Times New Roman"/>
        </w:rPr>
        <w:t>[1990] 1 S.C.R. 342, at p. 362</w:t>
      </w:r>
      <w:r w:rsidR="00DE52C2">
        <w:rPr>
          <w:rFonts w:cs="Times New Roman"/>
        </w:rPr>
        <w:t>,</w:t>
      </w:r>
      <w:r w:rsidR="00DE52C2" w:rsidRPr="00D24884">
        <w:rPr>
          <w:rFonts w:cs="Times New Roman"/>
        </w:rPr>
        <w:t xml:space="preserve"> </w:t>
      </w:r>
      <w:r w:rsidRPr="00D24884">
        <w:rPr>
          <w:rFonts w:cs="Times New Roman"/>
        </w:rPr>
        <w:t xml:space="preserve">“any broad guarantee of language rights, especially in the context of education, cannot be separated from a concern for the culture associated with the language.  </w:t>
      </w:r>
      <w:r w:rsidRPr="00D24884">
        <w:rPr>
          <w:rFonts w:cs="Times New Roman"/>
          <w:szCs w:val="24"/>
        </w:rPr>
        <w:t>Language is more than a mere means of communication, it is part and parcel of the identity and culture of the people speaking it</w:t>
      </w:r>
      <w:r w:rsidRPr="00D24884">
        <w:rPr>
          <w:rFonts w:cs="Times New Roman"/>
        </w:rPr>
        <w:t>”: see also M. Bastarache, “Education Rights of Provincial Official Language Minorities (Section 23)”, in G.</w:t>
      </w:r>
      <w:r>
        <w:rPr>
          <w:rFonts w:cs="Times New Roman"/>
        </w:rPr>
        <w:t>-</w:t>
      </w:r>
      <w:r w:rsidRPr="00D24884">
        <w:rPr>
          <w:rFonts w:cs="Times New Roman"/>
        </w:rPr>
        <w:t xml:space="preserve">A. Beaudoin </w:t>
      </w:r>
      <w:r>
        <w:rPr>
          <w:rFonts w:cs="Times New Roman"/>
        </w:rPr>
        <w:t>and</w:t>
      </w:r>
      <w:r w:rsidRPr="00D24884">
        <w:rPr>
          <w:rFonts w:cs="Times New Roman"/>
        </w:rPr>
        <w:t xml:space="preserve"> E.</w:t>
      </w:r>
      <w:r w:rsidR="00E413D7">
        <w:rPr>
          <w:rFonts w:cs="Times New Roman"/>
        </w:rPr>
        <w:t xml:space="preserve"> </w:t>
      </w:r>
      <w:r w:rsidRPr="00D24884">
        <w:rPr>
          <w:rFonts w:cs="Times New Roman"/>
        </w:rPr>
        <w:t xml:space="preserve">Ratushny, eds., </w:t>
      </w:r>
      <w:r w:rsidRPr="00D24884">
        <w:rPr>
          <w:rFonts w:cs="Times New Roman"/>
          <w:i/>
        </w:rPr>
        <w:t>The Canadian Charter of Rights and Freedoms</w:t>
      </w:r>
      <w:r w:rsidRPr="00D24884">
        <w:rPr>
          <w:rFonts w:cs="Times New Roman"/>
        </w:rPr>
        <w:t xml:space="preserve"> </w:t>
      </w:r>
      <w:r>
        <w:rPr>
          <w:rFonts w:cs="Times New Roman"/>
        </w:rPr>
        <w:t>(</w:t>
      </w:r>
      <w:r w:rsidRPr="00D24884">
        <w:rPr>
          <w:rFonts w:cs="Times New Roman"/>
        </w:rPr>
        <w:t>2nd ed. 1989)</w:t>
      </w:r>
      <w:r>
        <w:rPr>
          <w:rFonts w:cs="Times New Roman"/>
        </w:rPr>
        <w:t>,</w:t>
      </w:r>
      <w:r w:rsidRPr="00D24884">
        <w:rPr>
          <w:rFonts w:cs="Times New Roman"/>
        </w:rPr>
        <w:t xml:space="preserve"> 687</w:t>
      </w:r>
      <w:r>
        <w:rPr>
          <w:rFonts w:cs="Times New Roman"/>
        </w:rPr>
        <w:t>,</w:t>
      </w:r>
      <w:r w:rsidRPr="00D24884">
        <w:rPr>
          <w:rFonts w:cs="Times New Roman"/>
        </w:rPr>
        <w:t xml:space="preserve"> at p. 695.</w:t>
      </w:r>
    </w:p>
    <w:p w:rsidR="001E4C48" w:rsidRPr="00D24884" w:rsidRDefault="001E4C48" w:rsidP="001E4C48">
      <w:pPr>
        <w:pStyle w:val="ParaNoNdepar-AltN"/>
        <w:widowControl w:val="0"/>
        <w:rPr>
          <w:rFonts w:cs="Times New Roman"/>
        </w:rPr>
      </w:pPr>
      <w:r w:rsidRPr="00D24884">
        <w:rPr>
          <w:rFonts w:cs="Times New Roman"/>
        </w:rPr>
        <w:t xml:space="preserve">Section 23 was designed to correct and prevent the erosion of official language </w:t>
      </w:r>
      <w:r>
        <w:rPr>
          <w:rFonts w:cs="Times New Roman"/>
        </w:rPr>
        <w:t xml:space="preserve">minority </w:t>
      </w:r>
      <w:r w:rsidRPr="00D24884">
        <w:rPr>
          <w:rFonts w:cs="Times New Roman"/>
        </w:rPr>
        <w:t xml:space="preserve">groups so as to give effect to the equal partnership of Canada’s two official language groups in the context of education:  </w:t>
      </w:r>
      <w:r w:rsidRPr="00D24884">
        <w:rPr>
          <w:rFonts w:cs="Times New Roman"/>
          <w:i/>
        </w:rPr>
        <w:t xml:space="preserve">Arsenault-Cameron v. Prince </w:t>
      </w:r>
      <w:r w:rsidRPr="00D24884">
        <w:rPr>
          <w:rFonts w:cs="Times New Roman"/>
          <w:i/>
        </w:rPr>
        <w:lastRenderedPageBreak/>
        <w:t>Edward Island</w:t>
      </w:r>
      <w:r w:rsidRPr="00D24884">
        <w:rPr>
          <w:rFonts w:cs="Times New Roman"/>
        </w:rPr>
        <w:t>, 2000 SCC 1, [2000] 1 S.C.R. 3, at para. 2</w:t>
      </w:r>
      <w:r>
        <w:rPr>
          <w:rFonts w:cs="Times New Roman"/>
        </w:rPr>
        <w:t>6</w:t>
      </w:r>
      <w:r w:rsidRPr="00D24884">
        <w:rPr>
          <w:rFonts w:cs="Times New Roman"/>
        </w:rPr>
        <w:t xml:space="preserve">; </w:t>
      </w:r>
      <w:r>
        <w:rPr>
          <w:rFonts w:cs="Times New Roman"/>
          <w:i/>
        </w:rPr>
        <w:t>Mahe</w:t>
      </w:r>
      <w:r>
        <w:rPr>
          <w:rFonts w:cs="Times New Roman"/>
        </w:rPr>
        <w:t>, at p. 364.</w:t>
      </w:r>
      <w:r w:rsidRPr="00D24884">
        <w:rPr>
          <w:rFonts w:cs="Times New Roman"/>
        </w:rPr>
        <w:t xml:space="preserve">  Minority language education is crucial to the maintenance of that partnership:</w:t>
      </w:r>
    </w:p>
    <w:p w:rsidR="001E4C48" w:rsidRPr="00D24884" w:rsidRDefault="001E4C48" w:rsidP="001E4C48">
      <w:pPr>
        <w:pStyle w:val="Citation-AltC"/>
        <w:widowControl w:val="0"/>
        <w:ind w:firstLine="274"/>
      </w:pPr>
      <w:r w:rsidRPr="00D24884">
        <w:t>For a minority group, equal partnership means the possibility of preserving its lin</w:t>
      </w:r>
      <w:r w:rsidR="00DE52C2">
        <w:t>guistic and cultural identity. </w:t>
      </w:r>
      <w:r w:rsidR="00E413D7">
        <w:t>. . .</w:t>
      </w:r>
      <w:r w:rsidRPr="00D24884">
        <w:t xml:space="preserve"> The gradual loss of the mother tongue is inevitable without some institution to give formal instruction in the language and to enhance its prestige by according it some social recognition.  At the same time, minority-language schools can adapt the curriculum to stress the cultural he</w:t>
      </w:r>
      <w:r w:rsidR="00B81DB8">
        <w:t>ritage of the minority group.  [</w:t>
      </w:r>
      <w:r w:rsidRPr="00D24884">
        <w:rPr>
          <w:i/>
        </w:rPr>
        <w:t>Report of the Royal Commission</w:t>
      </w:r>
      <w:r w:rsidRPr="00D24884">
        <w:t>, at p</w:t>
      </w:r>
      <w:r>
        <w:t>p</w:t>
      </w:r>
      <w:r w:rsidRPr="00D24884">
        <w:t xml:space="preserve">. </w:t>
      </w:r>
      <w:r>
        <w:t>8-9</w:t>
      </w:r>
      <w:r w:rsidR="00B81DB8">
        <w:t>]</w:t>
      </w:r>
    </w:p>
    <w:p w:rsidR="001E4C48" w:rsidRPr="00D24884" w:rsidRDefault="001E4C48" w:rsidP="001E4C48">
      <w:pPr>
        <w:pStyle w:val="ContinueParaSuitedupar-AltP"/>
        <w:widowControl w:val="0"/>
        <w:rPr>
          <w:rFonts w:cs="Times New Roman"/>
        </w:rPr>
      </w:pPr>
      <w:r w:rsidRPr="00D24884">
        <w:rPr>
          <w:rFonts w:cs="Times New Roman"/>
        </w:rPr>
        <w:t xml:space="preserve">Indeed, </w:t>
      </w:r>
      <w:r>
        <w:rPr>
          <w:rFonts w:cs="Times New Roman"/>
        </w:rPr>
        <w:t xml:space="preserve">in minority language communities, schools are a primary instrument of linguistic, and thus cultural, transmission:  </w:t>
      </w:r>
      <w:r>
        <w:rPr>
          <w:rFonts w:cs="Times New Roman"/>
          <w:i/>
        </w:rPr>
        <w:t>Mahe</w:t>
      </w:r>
      <w:r>
        <w:rPr>
          <w:rFonts w:cs="Times New Roman"/>
        </w:rPr>
        <w:t>, at pp. 362-63.  I</w:t>
      </w:r>
      <w:r w:rsidRPr="00D24884">
        <w:rPr>
          <w:rFonts w:cs="Times New Roman"/>
        </w:rPr>
        <w:t xml:space="preserve">n many </w:t>
      </w:r>
      <w:r>
        <w:rPr>
          <w:rFonts w:cs="Times New Roman"/>
        </w:rPr>
        <w:t>such</w:t>
      </w:r>
      <w:r w:rsidRPr="00D24884">
        <w:rPr>
          <w:rFonts w:cs="Times New Roman"/>
        </w:rPr>
        <w:t xml:space="preserve"> communities, demographic changes and the shifting role of religious establishments have turned local minority language schools into vital community centres </w:t>
      </w:r>
      <w:r>
        <w:rPr>
          <w:rFonts w:cs="Times New Roman"/>
        </w:rPr>
        <w:t>(</w:t>
      </w:r>
      <w:r w:rsidRPr="00D24884">
        <w:rPr>
          <w:rFonts w:cs="Times New Roman"/>
        </w:rPr>
        <w:t xml:space="preserve">M. Power </w:t>
      </w:r>
      <w:r>
        <w:rPr>
          <w:rFonts w:cs="Times New Roman"/>
        </w:rPr>
        <w:t>and</w:t>
      </w:r>
      <w:r w:rsidRPr="00D24884">
        <w:rPr>
          <w:rFonts w:cs="Times New Roman"/>
        </w:rPr>
        <w:t xml:space="preserve"> P. Foucher, “Language Rights and Education”</w:t>
      </w:r>
      <w:r>
        <w:rPr>
          <w:rFonts w:cs="Times New Roman"/>
        </w:rPr>
        <w:t>,</w:t>
      </w:r>
      <w:r w:rsidRPr="00D24884">
        <w:rPr>
          <w:rFonts w:cs="Times New Roman"/>
        </w:rPr>
        <w:t xml:space="preserve"> in G.</w:t>
      </w:r>
      <w:r>
        <w:rPr>
          <w:rFonts w:cs="Times New Roman"/>
        </w:rPr>
        <w:t>-</w:t>
      </w:r>
      <w:r w:rsidRPr="00D24884">
        <w:rPr>
          <w:rFonts w:cs="Times New Roman"/>
        </w:rPr>
        <w:t xml:space="preserve">A. Beaudoin </w:t>
      </w:r>
      <w:r>
        <w:rPr>
          <w:rFonts w:cs="Times New Roman"/>
        </w:rPr>
        <w:t xml:space="preserve">and </w:t>
      </w:r>
      <w:r w:rsidRPr="00D24884">
        <w:rPr>
          <w:rFonts w:cs="Times New Roman"/>
        </w:rPr>
        <w:t>E.</w:t>
      </w:r>
      <w:r w:rsidR="00E413D7">
        <w:rPr>
          <w:rFonts w:cs="Times New Roman"/>
        </w:rPr>
        <w:t xml:space="preserve"> </w:t>
      </w:r>
      <w:r w:rsidRPr="00D24884">
        <w:rPr>
          <w:rFonts w:cs="Times New Roman"/>
        </w:rPr>
        <w:t xml:space="preserve">Mendes, eds., </w:t>
      </w:r>
      <w:r w:rsidRPr="00D24884">
        <w:rPr>
          <w:rFonts w:cs="Times New Roman"/>
          <w:i/>
        </w:rPr>
        <w:t>Canadian Charter of Rights and Freedoms</w:t>
      </w:r>
      <w:r w:rsidRPr="00D24884">
        <w:rPr>
          <w:rFonts w:cs="Times New Roman"/>
        </w:rPr>
        <w:t xml:space="preserve"> </w:t>
      </w:r>
      <w:r>
        <w:rPr>
          <w:rFonts w:cs="Times New Roman"/>
        </w:rPr>
        <w:t>(</w:t>
      </w:r>
      <w:r w:rsidRPr="00D24884">
        <w:rPr>
          <w:rFonts w:cs="Times New Roman"/>
        </w:rPr>
        <w:t>4th ed. 2005), 1095, at pp. 1100-1101</w:t>
      </w:r>
      <w:r>
        <w:rPr>
          <w:rFonts w:cs="Times New Roman"/>
        </w:rPr>
        <w:t>)</w:t>
      </w:r>
      <w:r w:rsidRPr="00D24884">
        <w:rPr>
          <w:rFonts w:cs="Times New Roman"/>
        </w:rPr>
        <w:t>.</w:t>
      </w:r>
    </w:p>
    <w:p w:rsidR="001E4C48" w:rsidRPr="00D24884" w:rsidRDefault="001E4C48" w:rsidP="001E4C48">
      <w:pPr>
        <w:pStyle w:val="ParaNoNdepar-AltN"/>
        <w:widowControl w:val="0"/>
        <w:rPr>
          <w:rFonts w:cs="Times New Roman"/>
        </w:rPr>
      </w:pPr>
      <w:r w:rsidRPr="00D24884">
        <w:rPr>
          <w:rFonts w:cs="Times New Roman"/>
        </w:rPr>
        <w:t xml:space="preserve">One distinctive feature of s. 23 is that it is particularly vulnerable to government inaction or delay.  Delay in </w:t>
      </w:r>
      <w:r>
        <w:rPr>
          <w:rFonts w:cs="Times New Roman"/>
        </w:rPr>
        <w:t xml:space="preserve">implementing this entitlement or in </w:t>
      </w:r>
      <w:r w:rsidRPr="00D24884">
        <w:rPr>
          <w:rFonts w:cs="Times New Roman"/>
        </w:rPr>
        <w:t xml:space="preserve">addressing s. 23 violations can result in assimilation and </w:t>
      </w:r>
      <w:r>
        <w:rPr>
          <w:rFonts w:cs="Times New Roman"/>
        </w:rPr>
        <w:t xml:space="preserve">can </w:t>
      </w:r>
      <w:r w:rsidRPr="00D24884">
        <w:rPr>
          <w:rFonts w:cs="Times New Roman"/>
        </w:rPr>
        <w:t xml:space="preserve">undermine access to the right itself.  As this Court has noted before, for every school year that governments do not meet their obligations under s. 23, there is an increased likelihood of assimilation and cultural erosion </w:t>
      </w:r>
      <w:r>
        <w:rPr>
          <w:rFonts w:cs="Times New Roman"/>
        </w:rPr>
        <w:t>(</w:t>
      </w:r>
      <w:r w:rsidRPr="00D24884">
        <w:rPr>
          <w:rFonts w:cs="Times New Roman"/>
          <w:i/>
        </w:rPr>
        <w:t>Doucet-Boudreau</w:t>
      </w:r>
      <w:r>
        <w:rPr>
          <w:rFonts w:cs="Times New Roman"/>
        </w:rPr>
        <w:t>,</w:t>
      </w:r>
      <w:r w:rsidRPr="00D24884">
        <w:rPr>
          <w:rFonts w:cs="Times New Roman"/>
        </w:rPr>
        <w:t xml:space="preserve"> at para. 29</w:t>
      </w:r>
      <w:r>
        <w:rPr>
          <w:rFonts w:cs="Times New Roman"/>
        </w:rPr>
        <w:t>)</w:t>
      </w:r>
      <w:r w:rsidRPr="00D24884">
        <w:rPr>
          <w:rFonts w:cs="Times New Roman"/>
        </w:rPr>
        <w:t xml:space="preserve">.  Left neglected, the right </w:t>
      </w:r>
      <w:r>
        <w:rPr>
          <w:rFonts w:cs="Times New Roman"/>
        </w:rPr>
        <w:t xml:space="preserve">to minority language education </w:t>
      </w:r>
      <w:r w:rsidRPr="00D24884">
        <w:rPr>
          <w:rFonts w:cs="Times New Roman"/>
        </w:rPr>
        <w:t>could be lost altogether in a given community.  Thus, there is a critical need both for vigilant implementation of s. 23 rights, and for timely compliance in remedying violations.</w:t>
      </w:r>
    </w:p>
    <w:p w:rsidR="001E4C48" w:rsidRPr="00D24884" w:rsidRDefault="001E4C48" w:rsidP="001E4C48">
      <w:pPr>
        <w:pStyle w:val="Title3LevelTitre3Niveau"/>
        <w:widowControl w:val="0"/>
        <w:numPr>
          <w:ilvl w:val="2"/>
          <w:numId w:val="8"/>
        </w:numPr>
        <w:rPr>
          <w:rFonts w:cs="Times New Roman"/>
        </w:rPr>
      </w:pPr>
      <w:r w:rsidRPr="00D24884">
        <w:rPr>
          <w:rFonts w:cs="Times New Roman"/>
        </w:rPr>
        <w:lastRenderedPageBreak/>
        <w:t>“Numbers Warrant” and the “Sliding Scale” of Section 23 Rights</w:t>
      </w:r>
    </w:p>
    <w:p w:rsidR="001E4C48" w:rsidRPr="00D24884" w:rsidRDefault="001E4C48" w:rsidP="001E4C48">
      <w:pPr>
        <w:pStyle w:val="ParaNoNdepar-AltN"/>
        <w:widowControl w:val="0"/>
        <w:rPr>
          <w:rFonts w:cs="Times New Roman"/>
        </w:rPr>
      </w:pPr>
      <w:r w:rsidRPr="00D24884">
        <w:rPr>
          <w:rFonts w:cs="Times New Roman"/>
        </w:rPr>
        <w:t xml:space="preserve">The s. 23 right to equivalent educational facilities for minority language rights holders where numbers warrant provides a means to counteract the assimilation that occurs when the children of rights holders attend majority language schools.  In </w:t>
      </w:r>
      <w:r w:rsidRPr="00D24884">
        <w:rPr>
          <w:rFonts w:cs="Times New Roman"/>
          <w:i/>
        </w:rPr>
        <w:t>Mahe</w:t>
      </w:r>
      <w:r w:rsidRPr="00D24884">
        <w:rPr>
          <w:rFonts w:cs="Times New Roman"/>
        </w:rPr>
        <w:t>, this Court explained that s. 23 guaranteed a “sliding scale” of minority language education rights</w:t>
      </w:r>
      <w:r>
        <w:rPr>
          <w:rFonts w:cs="Times New Roman"/>
        </w:rPr>
        <w:t xml:space="preserve"> (p. 366)</w:t>
      </w:r>
      <w:r w:rsidRPr="00D24884">
        <w:rPr>
          <w:rFonts w:cs="Times New Roman"/>
        </w:rPr>
        <w:t xml:space="preserve">.  At the upper limit of the sliding scale, numbers will warrant the </w:t>
      </w:r>
      <w:r>
        <w:rPr>
          <w:rFonts w:cs="Times New Roman"/>
        </w:rPr>
        <w:t xml:space="preserve">provision of the </w:t>
      </w:r>
      <w:r w:rsidRPr="00D24884">
        <w:rPr>
          <w:rFonts w:cs="Times New Roman"/>
        </w:rPr>
        <w:t>highest level of services to the minority language community.  In such cases, rights holders are entitled to full educational facilities that are distinct from, and equivalent to, those found in the schools of the majority language group (</w:t>
      </w:r>
      <w:r w:rsidRPr="00D24884">
        <w:rPr>
          <w:rFonts w:cs="Times New Roman"/>
          <w:i/>
        </w:rPr>
        <w:t>Reference re Public Schools Act (Man.)</w:t>
      </w:r>
      <w:r w:rsidRPr="00985200">
        <w:rPr>
          <w:rFonts w:cs="Times New Roman"/>
          <w:i/>
        </w:rPr>
        <w:t xml:space="preserve">, </w:t>
      </w:r>
      <w:r w:rsidRPr="005E5627">
        <w:rPr>
          <w:rFonts w:cs="Times New Roman"/>
          <w:i/>
        </w:rPr>
        <w:t>s</w:t>
      </w:r>
      <w:r>
        <w:rPr>
          <w:rFonts w:cs="Times New Roman"/>
          <w:i/>
        </w:rPr>
        <w:t>.</w:t>
      </w:r>
      <w:r w:rsidRPr="005E5627">
        <w:rPr>
          <w:rFonts w:cs="Times New Roman"/>
          <w:i/>
        </w:rPr>
        <w:t xml:space="preserve"> 79(3), (4) and (7)</w:t>
      </w:r>
      <w:r>
        <w:rPr>
          <w:rFonts w:cs="Times New Roman"/>
        </w:rPr>
        <w:t xml:space="preserve">, [1993] 1 S.C.R. 839, </w:t>
      </w:r>
      <w:r w:rsidRPr="00D24884">
        <w:rPr>
          <w:rFonts w:cs="Times New Roman"/>
        </w:rPr>
        <w:t xml:space="preserve">at pp. 854-55; </w:t>
      </w:r>
      <w:r w:rsidRPr="00D24884">
        <w:rPr>
          <w:rFonts w:cs="Times New Roman"/>
          <w:i/>
        </w:rPr>
        <w:t>Mahe</w:t>
      </w:r>
      <w:r w:rsidRPr="00D24884">
        <w:rPr>
          <w:rFonts w:cs="Times New Roman"/>
        </w:rPr>
        <w:t>, at p. 378</w:t>
      </w:r>
      <w:r>
        <w:rPr>
          <w:rFonts w:cs="Times New Roman"/>
        </w:rPr>
        <w:t>)</w:t>
      </w:r>
      <w:r w:rsidRPr="00D24884">
        <w:rPr>
          <w:rFonts w:cs="Times New Roman"/>
        </w:rPr>
        <w:t>.  These facilities must be</w:t>
      </w:r>
      <w:r>
        <w:rPr>
          <w:rFonts w:cs="Times New Roman"/>
        </w:rPr>
        <w:t xml:space="preserve"> </w:t>
      </w:r>
      <w:r w:rsidRPr="00D24884">
        <w:rPr>
          <w:rFonts w:cs="Times New Roman"/>
        </w:rPr>
        <w:t>accessible and, where possible, located in the community where the children reside (</w:t>
      </w:r>
      <w:r w:rsidRPr="00D24884">
        <w:rPr>
          <w:rFonts w:cs="Times New Roman"/>
          <w:i/>
        </w:rPr>
        <w:t>Arsenault-Cameron</w:t>
      </w:r>
      <w:r>
        <w:rPr>
          <w:rFonts w:cs="Times New Roman"/>
        </w:rPr>
        <w:t>,</w:t>
      </w:r>
      <w:r w:rsidRPr="00D24884">
        <w:rPr>
          <w:rFonts w:cs="Times New Roman"/>
          <w:i/>
        </w:rPr>
        <w:t xml:space="preserve"> </w:t>
      </w:r>
      <w:r w:rsidRPr="00D24884">
        <w:rPr>
          <w:rFonts w:cs="Times New Roman"/>
        </w:rPr>
        <w:t>at para. 56).  The upper threshold of the sliding scale can include separate minority language school boards (</w:t>
      </w:r>
      <w:r w:rsidRPr="00D24884">
        <w:rPr>
          <w:rFonts w:cs="Times New Roman"/>
          <w:i/>
        </w:rPr>
        <w:t>Mahe</w:t>
      </w:r>
      <w:r w:rsidRPr="00D24884">
        <w:rPr>
          <w:rFonts w:cs="Times New Roman"/>
        </w:rPr>
        <w:t>, at p. 374).</w:t>
      </w:r>
    </w:p>
    <w:p w:rsidR="001E4C48" w:rsidRPr="00D24884" w:rsidRDefault="001E4C48" w:rsidP="001E4C48">
      <w:pPr>
        <w:pStyle w:val="ParaNoNdepar-AltN"/>
        <w:widowControl w:val="0"/>
        <w:rPr>
          <w:rFonts w:cs="Times New Roman"/>
        </w:rPr>
      </w:pPr>
      <w:r w:rsidRPr="00D24884">
        <w:rPr>
          <w:rFonts w:cs="Times New Roman"/>
        </w:rPr>
        <w:t xml:space="preserve">In </w:t>
      </w:r>
      <w:r w:rsidRPr="00D24884">
        <w:rPr>
          <w:rFonts w:cs="Times New Roman"/>
          <w:i/>
        </w:rPr>
        <w:t>Mahe</w:t>
      </w:r>
      <w:r w:rsidRPr="00D24884">
        <w:rPr>
          <w:rFonts w:cs="Times New Roman"/>
        </w:rPr>
        <w:t>, this Court held that</w:t>
      </w:r>
      <w:r w:rsidRPr="00D24884">
        <w:rPr>
          <w:rFonts w:cs="Times New Roman"/>
          <w:i/>
        </w:rPr>
        <w:t xml:space="preserve"> </w:t>
      </w:r>
      <w:r w:rsidRPr="00D24884">
        <w:rPr>
          <w:rFonts w:cs="Times New Roman"/>
        </w:rPr>
        <w:t xml:space="preserve">costs and practicalities are relevant to the determination of where, on the sliding scale of s. 23 rights, a given minority language community falls, although pedagogical concerns will </w:t>
      </w:r>
      <w:r>
        <w:rPr>
          <w:rFonts w:cs="Times New Roman"/>
        </w:rPr>
        <w:t xml:space="preserve">generally </w:t>
      </w:r>
      <w:r w:rsidRPr="00D24884">
        <w:rPr>
          <w:rFonts w:cs="Times New Roman"/>
        </w:rPr>
        <w:t>assume more weight (pp.</w:t>
      </w:r>
      <w:r w:rsidR="00E413D7">
        <w:rPr>
          <w:rFonts w:cs="Times New Roman"/>
        </w:rPr>
        <w:t xml:space="preserve"> </w:t>
      </w:r>
      <w:r w:rsidRPr="00D24884">
        <w:rPr>
          <w:rFonts w:cs="Times New Roman"/>
        </w:rPr>
        <w:t xml:space="preserve">384-85).  Once it is determined that the number of </w:t>
      </w:r>
      <w:r>
        <w:rPr>
          <w:rFonts w:cs="Times New Roman"/>
        </w:rPr>
        <w:t>children</w:t>
      </w:r>
      <w:r w:rsidRPr="00D24884">
        <w:rPr>
          <w:rFonts w:cs="Times New Roman"/>
        </w:rPr>
        <w:t xml:space="preserve"> mandates the highest level of services, s. 23 requires that the quality of services be substantively equivalent to that offered to the majority language students.  It is also imperative that </w:t>
      </w:r>
      <w:r w:rsidRPr="00D24884">
        <w:rPr>
          <w:rFonts w:cs="Times New Roman"/>
          <w:spacing w:val="-3"/>
        </w:rPr>
        <w:t xml:space="preserve">minority language parents possess a measure of management and control over the educational facilities in which their children are taught (pp. 371-72).  This management and control is vital to ensuring that the minority language and culture flourish in the educational </w:t>
      </w:r>
      <w:r w:rsidRPr="00D24884">
        <w:rPr>
          <w:rFonts w:cs="Times New Roman"/>
          <w:spacing w:val="-3"/>
        </w:rPr>
        <w:lastRenderedPageBreak/>
        <w:t>setting.</w:t>
      </w:r>
    </w:p>
    <w:p w:rsidR="001E4C48" w:rsidRPr="00D24884" w:rsidRDefault="001E4C48" w:rsidP="001E4C48">
      <w:pPr>
        <w:pStyle w:val="ParaNoNdepar-AltN"/>
        <w:widowControl w:val="0"/>
        <w:rPr>
          <w:rFonts w:cs="Times New Roman"/>
        </w:rPr>
      </w:pPr>
      <w:r w:rsidRPr="00D24884">
        <w:rPr>
          <w:rFonts w:cs="Times New Roman"/>
        </w:rPr>
        <w:t xml:space="preserve">As this Court noted in </w:t>
      </w:r>
      <w:r w:rsidRPr="00D24884">
        <w:rPr>
          <w:rFonts w:cs="Times New Roman"/>
          <w:i/>
        </w:rPr>
        <w:t>Mahe</w:t>
      </w:r>
      <w:r w:rsidRPr="00D24884">
        <w:rPr>
          <w:rFonts w:cs="Times New Roman"/>
        </w:rPr>
        <w:t xml:space="preserve">, “it should be self-evident that in situations where the [highest] degree of management and control is warranted the quality of education provided to the minority should in principle be on a basis of equality with the majority” (p. 378).  That being said, the education provided need not be identical.  Section 23 is not meant to adopt a formal vision of equality that would focus on treating the majority and minority official language groups alike.  In </w:t>
      </w:r>
      <w:r w:rsidRPr="00D24884">
        <w:rPr>
          <w:rFonts w:cs="Times New Roman"/>
          <w:i/>
        </w:rPr>
        <w:t>Arsenault-Cameron</w:t>
      </w:r>
      <w:r w:rsidRPr="00D24884">
        <w:rPr>
          <w:rFonts w:cs="Times New Roman"/>
        </w:rPr>
        <w:t xml:space="preserve">, this Court cautioned against applying </w:t>
      </w:r>
      <w:r>
        <w:rPr>
          <w:rFonts w:cs="Times New Roman"/>
        </w:rPr>
        <w:t xml:space="preserve">to a s. 23 analysis </w:t>
      </w:r>
      <w:r w:rsidRPr="00D24884">
        <w:rPr>
          <w:rFonts w:cs="Times New Roman"/>
        </w:rPr>
        <w:t xml:space="preserve">the accessibility and pedagogy </w:t>
      </w:r>
      <w:r>
        <w:rPr>
          <w:rFonts w:cs="Times New Roman"/>
        </w:rPr>
        <w:t xml:space="preserve">standards </w:t>
      </w:r>
      <w:r w:rsidRPr="00D24884">
        <w:rPr>
          <w:rFonts w:cs="Times New Roman"/>
        </w:rPr>
        <w:t>that apply to the majority language group, given the importance of s. 23 rights to the flourishing and preservation of the minority language and culture (paras. 39-40 and 49-51).</w:t>
      </w:r>
    </w:p>
    <w:p w:rsidR="001E4C48" w:rsidRPr="00D24884" w:rsidRDefault="001E4C48" w:rsidP="001E4C48">
      <w:pPr>
        <w:pStyle w:val="Title3LevelTitre3Niveau"/>
        <w:widowControl w:val="0"/>
        <w:numPr>
          <w:ilvl w:val="2"/>
          <w:numId w:val="8"/>
        </w:numPr>
        <w:rPr>
          <w:rFonts w:cs="Times New Roman"/>
        </w:rPr>
      </w:pPr>
      <w:r w:rsidRPr="00D24884">
        <w:rPr>
          <w:rFonts w:cs="Times New Roman"/>
        </w:rPr>
        <w:t xml:space="preserve">What </w:t>
      </w:r>
      <w:r>
        <w:rPr>
          <w:rFonts w:cs="Times New Roman"/>
        </w:rPr>
        <w:t>I</w:t>
      </w:r>
      <w:r w:rsidRPr="00D24884">
        <w:rPr>
          <w:rFonts w:cs="Times New Roman"/>
        </w:rPr>
        <w:t>s the Test for Equivalence?</w:t>
      </w:r>
    </w:p>
    <w:p w:rsidR="001E4C48" w:rsidRPr="00D24884" w:rsidRDefault="001E4C48" w:rsidP="001E4C48">
      <w:pPr>
        <w:pStyle w:val="ParaNoNdepar-AltN"/>
        <w:widowControl w:val="0"/>
        <w:rPr>
          <w:rFonts w:cs="Times New Roman"/>
        </w:rPr>
      </w:pPr>
      <w:r w:rsidRPr="00D24884">
        <w:rPr>
          <w:rFonts w:cs="Times New Roman"/>
        </w:rPr>
        <w:t xml:space="preserve">As noted above, a central aim of s. 23 </w:t>
      </w:r>
      <w:r>
        <w:rPr>
          <w:rFonts w:cs="Times New Roman"/>
        </w:rPr>
        <w:t>i</w:t>
      </w:r>
      <w:r w:rsidRPr="00D24884">
        <w:rPr>
          <w:rFonts w:cs="Times New Roman"/>
        </w:rPr>
        <w:t>s “</w:t>
      </w:r>
      <w:r>
        <w:rPr>
          <w:rFonts w:cs="Times New Roman"/>
        </w:rPr>
        <w:t xml:space="preserve">to </w:t>
      </w:r>
      <w:r w:rsidRPr="00D24884">
        <w:rPr>
          <w:rFonts w:cs="Times New Roman"/>
        </w:rPr>
        <w:t xml:space="preserve">correct, on a national scale, the historically progressive erosion of official language groups”:  </w:t>
      </w:r>
      <w:r w:rsidRPr="00D24884">
        <w:rPr>
          <w:rFonts w:cs="Times New Roman"/>
          <w:i/>
        </w:rPr>
        <w:t>Arsenault-Cameron</w:t>
      </w:r>
      <w:r w:rsidRPr="00790EA8">
        <w:rPr>
          <w:rFonts w:cs="Times New Roman"/>
        </w:rPr>
        <w:t xml:space="preserve">, </w:t>
      </w:r>
      <w:r w:rsidRPr="00D24884">
        <w:rPr>
          <w:rFonts w:cs="Times New Roman"/>
        </w:rPr>
        <w:t>at para. 26; see also</w:t>
      </w:r>
      <w:r w:rsidRPr="00D24884">
        <w:rPr>
          <w:rFonts w:cs="Times New Roman"/>
          <w:i/>
        </w:rPr>
        <w:t xml:space="preserve"> Mahe</w:t>
      </w:r>
      <w:r w:rsidRPr="00D24884">
        <w:rPr>
          <w:rFonts w:cs="Times New Roman"/>
        </w:rPr>
        <w:t>,</w:t>
      </w:r>
      <w:r w:rsidRPr="00D24884">
        <w:rPr>
          <w:rFonts w:cs="Times New Roman"/>
          <w:i/>
        </w:rPr>
        <w:t xml:space="preserve"> </w:t>
      </w:r>
      <w:r w:rsidRPr="00D24884">
        <w:rPr>
          <w:rFonts w:cs="Times New Roman"/>
        </w:rPr>
        <w:t>at p. 36</w:t>
      </w:r>
      <w:r>
        <w:rPr>
          <w:rFonts w:cs="Times New Roman"/>
        </w:rPr>
        <w:t>4</w:t>
      </w:r>
      <w:r w:rsidRPr="00D24884">
        <w:rPr>
          <w:rFonts w:cs="Times New Roman"/>
        </w:rPr>
        <w:t>.  Because of the remedial nature of s.</w:t>
      </w:r>
      <w:r>
        <w:rPr>
          <w:rFonts w:cs="Times New Roman"/>
        </w:rPr>
        <w:t xml:space="preserve"> </w:t>
      </w:r>
      <w:r w:rsidRPr="00D24884">
        <w:rPr>
          <w:rFonts w:cs="Times New Roman"/>
        </w:rPr>
        <w:t xml:space="preserve">23, and the specific challenges relating to the protection of minority </w:t>
      </w:r>
      <w:r>
        <w:rPr>
          <w:rFonts w:cs="Times New Roman"/>
        </w:rPr>
        <w:t xml:space="preserve">language and </w:t>
      </w:r>
      <w:r w:rsidRPr="00D24884">
        <w:rPr>
          <w:rFonts w:cs="Times New Roman"/>
        </w:rPr>
        <w:t>culture and the prevention of assimilation, equivalence in the context of s. 23 may mean something other than formal equivalence.</w:t>
      </w:r>
    </w:p>
    <w:p w:rsidR="001E4C48" w:rsidRPr="00D24884" w:rsidRDefault="001E4C48" w:rsidP="001E4C48">
      <w:pPr>
        <w:pStyle w:val="ParaNoNdepar-AltN"/>
        <w:widowControl w:val="0"/>
        <w:rPr>
          <w:rFonts w:cs="Times New Roman"/>
        </w:rPr>
      </w:pPr>
      <w:r w:rsidRPr="00D24884">
        <w:rPr>
          <w:rFonts w:cs="Times New Roman"/>
        </w:rPr>
        <w:t xml:space="preserve">The focus in giving effect to s. 23 rights, then, should be on substantive equivalence, not on </w:t>
      </w:r>
      <w:r w:rsidRPr="00D24884">
        <w:rPr>
          <w:rFonts w:cs="Times New Roman"/>
          <w:i/>
        </w:rPr>
        <w:t>per capita</w:t>
      </w:r>
      <w:r w:rsidRPr="00D24884">
        <w:rPr>
          <w:rFonts w:cs="Times New Roman"/>
        </w:rPr>
        <w:t xml:space="preserve"> costs and other markers of formal equivalence.  In the present case, there is evidence that the CSF receives a 15% premium in its operational funding from the </w:t>
      </w:r>
      <w:r>
        <w:rPr>
          <w:rFonts w:cs="Times New Roman"/>
        </w:rPr>
        <w:t>P</w:t>
      </w:r>
      <w:r w:rsidRPr="00D24884">
        <w:rPr>
          <w:rFonts w:cs="Times New Roman"/>
        </w:rPr>
        <w:t>rovince, as compared to other school boards in the province</w:t>
      </w:r>
      <w:r>
        <w:rPr>
          <w:rFonts w:cs="Times New Roman"/>
        </w:rPr>
        <w:t>.</w:t>
      </w:r>
      <w:r w:rsidRPr="00D24884">
        <w:rPr>
          <w:rFonts w:cs="Times New Roman"/>
        </w:rPr>
        <w:t xml:space="preserve">  </w:t>
      </w:r>
      <w:r w:rsidRPr="00D24884">
        <w:rPr>
          <w:rFonts w:cs="Times New Roman"/>
        </w:rPr>
        <w:lastRenderedPageBreak/>
        <w:t xml:space="preserve">Given economies of scale, higher </w:t>
      </w:r>
      <w:r w:rsidRPr="00D24884">
        <w:rPr>
          <w:rFonts w:cs="Times New Roman"/>
          <w:i/>
        </w:rPr>
        <w:t>per capita</w:t>
      </w:r>
      <w:r w:rsidRPr="00D24884">
        <w:rPr>
          <w:rFonts w:cs="Times New Roman"/>
        </w:rPr>
        <w:t xml:space="preserve"> costs for a minority language board or school are not unexpected</w:t>
      </w:r>
      <w:r>
        <w:rPr>
          <w:rFonts w:cs="Times New Roman"/>
        </w:rPr>
        <w:t xml:space="preserve"> (</w:t>
      </w:r>
      <w:r>
        <w:rPr>
          <w:rFonts w:cs="Times New Roman"/>
          <w:i/>
        </w:rPr>
        <w:t>Mahe</w:t>
      </w:r>
      <w:r>
        <w:rPr>
          <w:rFonts w:cs="Times New Roman"/>
        </w:rPr>
        <w:t>, at p. 378)</w:t>
      </w:r>
      <w:r w:rsidRPr="00D24884">
        <w:rPr>
          <w:rFonts w:cs="Times New Roman"/>
        </w:rPr>
        <w:t xml:space="preserve">.  However, there is no particular </w:t>
      </w:r>
      <w:r w:rsidRPr="00D24884">
        <w:rPr>
          <w:rFonts w:cs="Times New Roman"/>
          <w:i/>
        </w:rPr>
        <w:t xml:space="preserve">per capita </w:t>
      </w:r>
      <w:r w:rsidRPr="00D24884">
        <w:rPr>
          <w:rFonts w:cs="Times New Roman"/>
        </w:rPr>
        <w:t xml:space="preserve">number that will satisfy the requirements of s. 23 in any given instance.  Rather, what is paramount is that the educational experience of the children of s. 23 rights holders at the upper end of the sliding scale be of meaningfully similar quality to the educational experience of majority language students.  As this Court noted in </w:t>
      </w:r>
      <w:r w:rsidRPr="00D24884">
        <w:rPr>
          <w:rFonts w:cs="Times New Roman"/>
          <w:i/>
        </w:rPr>
        <w:t>Arsenault-Cameron</w:t>
      </w:r>
      <w:r w:rsidRPr="00D24884">
        <w:rPr>
          <w:rFonts w:cs="Times New Roman"/>
        </w:rPr>
        <w:t>, “[s]ection 23 is premised on the fact that substantive equality requires that official language minorities be treated differently, if necessary, according to their particular circumstances and needs, in order to provide them with a standard of education equivalent to that of the official language majority”</w:t>
      </w:r>
      <w:r>
        <w:rPr>
          <w:rFonts w:cs="Times New Roman"/>
        </w:rPr>
        <w:t xml:space="preserve"> (</w:t>
      </w:r>
      <w:r w:rsidRPr="00D24884">
        <w:rPr>
          <w:rFonts w:cs="Times New Roman"/>
        </w:rPr>
        <w:t>para. 31</w:t>
      </w:r>
      <w:r>
        <w:rPr>
          <w:rFonts w:cs="Times New Roman"/>
        </w:rPr>
        <w:t>)</w:t>
      </w:r>
      <w:r w:rsidRPr="00D24884">
        <w:rPr>
          <w:rFonts w:cs="Times New Roman"/>
        </w:rPr>
        <w:t>.</w:t>
      </w:r>
    </w:p>
    <w:p w:rsidR="001E4C48" w:rsidRPr="00D24884" w:rsidRDefault="001E4C48" w:rsidP="001E4C48">
      <w:pPr>
        <w:pStyle w:val="Title4LevelTitre4Niveau"/>
        <w:widowControl w:val="0"/>
        <w:numPr>
          <w:ilvl w:val="3"/>
          <w:numId w:val="8"/>
        </w:numPr>
        <w:rPr>
          <w:rFonts w:cs="Times New Roman"/>
        </w:rPr>
      </w:pPr>
      <w:r w:rsidRPr="00D24884">
        <w:rPr>
          <w:rFonts w:cs="Times New Roman"/>
        </w:rPr>
        <w:t xml:space="preserve">What Analytical Perspective </w:t>
      </w:r>
      <w:r>
        <w:rPr>
          <w:rFonts w:cs="Times New Roman"/>
        </w:rPr>
        <w:t>I</w:t>
      </w:r>
      <w:r w:rsidRPr="00D24884">
        <w:rPr>
          <w:rFonts w:cs="Times New Roman"/>
        </w:rPr>
        <w:t>s Relevant in Assessing Equivalence?</w:t>
      </w:r>
    </w:p>
    <w:p w:rsidR="001E4C48" w:rsidRPr="00D24884" w:rsidRDefault="001E4C48" w:rsidP="001E4C48">
      <w:pPr>
        <w:pStyle w:val="ParaNoNdepar-AltN"/>
        <w:widowControl w:val="0"/>
        <w:rPr>
          <w:rFonts w:cs="Times New Roman"/>
        </w:rPr>
      </w:pPr>
      <w:r w:rsidRPr="00D24884">
        <w:rPr>
          <w:rFonts w:cs="Times New Roman"/>
        </w:rPr>
        <w:t xml:space="preserve">The first step </w:t>
      </w:r>
      <w:r>
        <w:rPr>
          <w:rFonts w:cs="Times New Roman"/>
        </w:rPr>
        <w:t xml:space="preserve">in any </w:t>
      </w:r>
      <w:r w:rsidRPr="00D24884">
        <w:rPr>
          <w:rFonts w:cs="Times New Roman"/>
        </w:rPr>
        <w:t xml:space="preserve">s. 23 </w:t>
      </w:r>
      <w:r>
        <w:rPr>
          <w:rFonts w:cs="Times New Roman"/>
        </w:rPr>
        <w:t>analysis is</w:t>
      </w:r>
      <w:r w:rsidRPr="00D24884">
        <w:rPr>
          <w:rFonts w:cs="Times New Roman"/>
        </w:rPr>
        <w:t xml:space="preserve"> to determine the entitlement of the parents, who are the holders of</w:t>
      </w:r>
      <w:r w:rsidRPr="00D24884">
        <w:rPr>
          <w:rFonts w:cs="Times New Roman"/>
          <w:i/>
        </w:rPr>
        <w:t xml:space="preserve"> </w:t>
      </w:r>
      <w:r w:rsidRPr="00D24884">
        <w:rPr>
          <w:rFonts w:cs="Times New Roman"/>
        </w:rPr>
        <w:t xml:space="preserve">the right.  This requires assessing what level of service the number of rights holders in a given community warrants.  In the present case, a court has </w:t>
      </w:r>
      <w:r>
        <w:rPr>
          <w:rFonts w:cs="Times New Roman"/>
        </w:rPr>
        <w:t xml:space="preserve">previously </w:t>
      </w:r>
      <w:r w:rsidRPr="00D24884">
        <w:rPr>
          <w:rFonts w:cs="Times New Roman"/>
        </w:rPr>
        <w:t>determined, and the parties accept, that numbers warrant the highest level of French</w:t>
      </w:r>
      <w:r>
        <w:rPr>
          <w:rFonts w:cs="Times New Roman"/>
        </w:rPr>
        <w:t>-l</w:t>
      </w:r>
      <w:r w:rsidRPr="00D24884">
        <w:rPr>
          <w:rFonts w:cs="Times New Roman"/>
        </w:rPr>
        <w:t>anguage educational instruction and facilities, which necessarily includes an element of management and control for the rights</w:t>
      </w:r>
      <w:r>
        <w:rPr>
          <w:rFonts w:cs="Times New Roman"/>
        </w:rPr>
        <w:t xml:space="preserve"> </w:t>
      </w:r>
      <w:r w:rsidRPr="00D24884">
        <w:rPr>
          <w:rFonts w:cs="Times New Roman"/>
        </w:rPr>
        <w:t>holder</w:t>
      </w:r>
      <w:r>
        <w:rPr>
          <w:rFonts w:cs="Times New Roman"/>
        </w:rPr>
        <w:t>s</w:t>
      </w:r>
      <w:r w:rsidRPr="00D24884">
        <w:rPr>
          <w:rFonts w:cs="Times New Roman"/>
        </w:rPr>
        <w:t xml:space="preserve">.  This being established, the issue </w:t>
      </w:r>
      <w:r>
        <w:rPr>
          <w:rFonts w:cs="Times New Roman"/>
        </w:rPr>
        <w:t xml:space="preserve">in this case is </w:t>
      </w:r>
      <w:r w:rsidRPr="00D24884">
        <w:rPr>
          <w:rFonts w:cs="Times New Roman"/>
        </w:rPr>
        <w:t xml:space="preserve">how to determine whether the </w:t>
      </w:r>
      <w:r>
        <w:rPr>
          <w:rFonts w:cs="Times New Roman"/>
        </w:rPr>
        <w:t>P</w:t>
      </w:r>
      <w:r w:rsidRPr="00D24884">
        <w:rPr>
          <w:rFonts w:cs="Times New Roman"/>
        </w:rPr>
        <w:t>arents have, in fact, been provided the substantive equivalence to which they are entitled.</w:t>
      </w:r>
    </w:p>
    <w:p w:rsidR="001E4C48" w:rsidRPr="00D24884" w:rsidRDefault="001E4C48" w:rsidP="001E4C48">
      <w:pPr>
        <w:pStyle w:val="ParaNoNdepar-AltN"/>
        <w:widowControl w:val="0"/>
        <w:rPr>
          <w:rFonts w:cs="Times New Roman"/>
        </w:rPr>
      </w:pPr>
      <w:r w:rsidRPr="00D24884">
        <w:rPr>
          <w:rFonts w:cs="Times New Roman"/>
        </w:rPr>
        <w:t xml:space="preserve">When assessing equivalence, a purposive approach requires </w:t>
      </w:r>
      <w:r>
        <w:rPr>
          <w:rFonts w:cs="Times New Roman"/>
        </w:rPr>
        <w:t>a</w:t>
      </w:r>
      <w:r w:rsidRPr="00D24884">
        <w:rPr>
          <w:rFonts w:cs="Times New Roman"/>
        </w:rPr>
        <w:t xml:space="preserve"> court to consider the educational choices available from the perspective of s. 23 rights</w:t>
      </w:r>
      <w:r>
        <w:rPr>
          <w:rFonts w:cs="Times New Roman"/>
        </w:rPr>
        <w:t xml:space="preserve"> </w:t>
      </w:r>
      <w:r w:rsidRPr="00D24884">
        <w:rPr>
          <w:rFonts w:cs="Times New Roman"/>
        </w:rPr>
        <w:t>holder</w:t>
      </w:r>
      <w:r>
        <w:rPr>
          <w:rFonts w:cs="Times New Roman"/>
        </w:rPr>
        <w:t>s</w:t>
      </w:r>
      <w:r w:rsidRPr="00D24884">
        <w:rPr>
          <w:rFonts w:cs="Times New Roman"/>
        </w:rPr>
        <w:t xml:space="preserve">.  Would reasonable rights-holder parents be deterred from sending their children to a minority language school because it is </w:t>
      </w:r>
      <w:r>
        <w:rPr>
          <w:rFonts w:cs="Times New Roman"/>
        </w:rPr>
        <w:t xml:space="preserve">meaningfully </w:t>
      </w:r>
      <w:r w:rsidRPr="00D24884">
        <w:rPr>
          <w:rFonts w:cs="Times New Roman"/>
        </w:rPr>
        <w:t xml:space="preserve">inferior to an available majority </w:t>
      </w:r>
      <w:r w:rsidRPr="00D24884">
        <w:rPr>
          <w:rFonts w:cs="Times New Roman"/>
        </w:rPr>
        <w:lastRenderedPageBreak/>
        <w:t>language school?  If so, the purpose of this remedial provision is threatened.  If the</w:t>
      </w:r>
      <w:r>
        <w:rPr>
          <w:rFonts w:cs="Times New Roman"/>
        </w:rPr>
        <w:t xml:space="preserve"> educational experience, viewed globally, i</w:t>
      </w:r>
      <w:r w:rsidRPr="00D24884">
        <w:rPr>
          <w:rFonts w:cs="Times New Roman"/>
        </w:rPr>
        <w:t xml:space="preserve">s sufficiently superior in the majority language schools, </w:t>
      </w:r>
      <w:r>
        <w:rPr>
          <w:rFonts w:cs="Times New Roman"/>
        </w:rPr>
        <w:t>that fact c</w:t>
      </w:r>
      <w:r w:rsidRPr="00D24884">
        <w:rPr>
          <w:rFonts w:cs="Times New Roman"/>
        </w:rPr>
        <w:t>ould undermine the parents’ desire to have their children educated in the minority language, and thus could lead to assimilation.  The inquiry into equivalence should thus focus on comparisons that would adversely affect the realization of the rights under s. 23</w:t>
      </w:r>
      <w:r>
        <w:rPr>
          <w:rFonts w:cs="Times New Roman"/>
        </w:rPr>
        <w:t xml:space="preserve"> of the </w:t>
      </w:r>
      <w:r>
        <w:rPr>
          <w:rFonts w:cs="Times New Roman"/>
          <w:i/>
        </w:rPr>
        <w:t>Charter</w:t>
      </w:r>
      <w:r w:rsidRPr="00D24884">
        <w:rPr>
          <w:rFonts w:cs="Times New Roman"/>
        </w:rPr>
        <w:t>.</w:t>
      </w:r>
    </w:p>
    <w:p w:rsidR="001E4C48" w:rsidRPr="00D24884" w:rsidRDefault="001E4C48" w:rsidP="001E4C48">
      <w:pPr>
        <w:pStyle w:val="Title4LevelTitre4Niveau"/>
        <w:widowControl w:val="0"/>
        <w:numPr>
          <w:ilvl w:val="3"/>
          <w:numId w:val="8"/>
        </w:numPr>
        <w:rPr>
          <w:rFonts w:cs="Times New Roman"/>
        </w:rPr>
      </w:pPr>
      <w:r w:rsidRPr="00D24884">
        <w:rPr>
          <w:rFonts w:cs="Times New Roman"/>
        </w:rPr>
        <w:t xml:space="preserve">What Geographic Scope </w:t>
      </w:r>
      <w:r>
        <w:rPr>
          <w:rFonts w:cs="Times New Roman"/>
        </w:rPr>
        <w:t>I</w:t>
      </w:r>
      <w:r w:rsidRPr="00D24884">
        <w:rPr>
          <w:rFonts w:cs="Times New Roman"/>
        </w:rPr>
        <w:t>s Relevant for the Assessment of Equivalence?</w:t>
      </w:r>
    </w:p>
    <w:p w:rsidR="001E4C48" w:rsidRPr="00D24884" w:rsidRDefault="001E4C48" w:rsidP="001E4C48">
      <w:pPr>
        <w:pStyle w:val="ParaNoNdepar-AltN"/>
        <w:widowControl w:val="0"/>
        <w:rPr>
          <w:rFonts w:cs="Times New Roman"/>
        </w:rPr>
      </w:pPr>
      <w:r w:rsidRPr="00D24884">
        <w:rPr>
          <w:rFonts w:cs="Times New Roman"/>
        </w:rPr>
        <w:t>As this Court has noted, both the statutory language and the purpose of s.</w:t>
      </w:r>
      <w:r w:rsidR="00E413D7">
        <w:rPr>
          <w:rFonts w:cs="Times New Roman"/>
        </w:rPr>
        <w:t xml:space="preserve"> </w:t>
      </w:r>
      <w:r w:rsidRPr="00D24884">
        <w:rPr>
          <w:rFonts w:cs="Times New Roman"/>
        </w:rPr>
        <w:t xml:space="preserve">23 in preventing the erosion of official language </w:t>
      </w:r>
      <w:r>
        <w:rPr>
          <w:rFonts w:cs="Times New Roman"/>
        </w:rPr>
        <w:t xml:space="preserve">minority </w:t>
      </w:r>
      <w:r w:rsidRPr="00D24884">
        <w:rPr>
          <w:rFonts w:cs="Times New Roman"/>
        </w:rPr>
        <w:t xml:space="preserve">groups require considering “wherever in the province” numbers will warrant the application of s. 23 rights </w:t>
      </w:r>
      <w:r>
        <w:rPr>
          <w:rFonts w:cs="Times New Roman"/>
        </w:rPr>
        <w:t>(</w:t>
      </w:r>
      <w:r w:rsidRPr="00D24884">
        <w:rPr>
          <w:rFonts w:cs="Times New Roman"/>
          <w:i/>
        </w:rPr>
        <w:t>Mahe</w:t>
      </w:r>
      <w:r w:rsidRPr="00D24884">
        <w:rPr>
          <w:rFonts w:cs="Times New Roman"/>
        </w:rPr>
        <w:t xml:space="preserve">, at p. 386; </w:t>
      </w:r>
      <w:r w:rsidRPr="00D24884">
        <w:rPr>
          <w:rFonts w:cs="Times New Roman"/>
          <w:i/>
        </w:rPr>
        <w:t>Arsenault-Cameron</w:t>
      </w:r>
      <w:r w:rsidRPr="00D24884">
        <w:rPr>
          <w:rFonts w:cs="Times New Roman"/>
        </w:rPr>
        <w:t>,</w:t>
      </w:r>
      <w:r w:rsidRPr="00D24884">
        <w:rPr>
          <w:rFonts w:cs="Times New Roman"/>
          <w:i/>
        </w:rPr>
        <w:t xml:space="preserve"> </w:t>
      </w:r>
      <w:r w:rsidRPr="00D24884">
        <w:rPr>
          <w:rFonts w:cs="Times New Roman"/>
        </w:rPr>
        <w:t>at paras. 56-5</w:t>
      </w:r>
      <w:r>
        <w:rPr>
          <w:rFonts w:cs="Times New Roman"/>
        </w:rPr>
        <w:t>7)</w:t>
      </w:r>
      <w:r w:rsidRPr="00D24884">
        <w:rPr>
          <w:rFonts w:cs="Times New Roman"/>
        </w:rPr>
        <w:t>.  For that reason, it is necessary to think locally, as the linguistic and cultural benefits of minority language education accrue to the local community.</w:t>
      </w:r>
    </w:p>
    <w:p w:rsidR="001E4C48" w:rsidRPr="00D24884" w:rsidRDefault="001E4C48" w:rsidP="001E4C48">
      <w:pPr>
        <w:pStyle w:val="ParaNoNdepar-AltN"/>
        <w:widowControl w:val="0"/>
        <w:rPr>
          <w:rFonts w:cs="Times New Roman"/>
        </w:rPr>
      </w:pPr>
      <w:r w:rsidRPr="00D24884">
        <w:rPr>
          <w:rFonts w:cs="Times New Roman"/>
        </w:rPr>
        <w:t>If rights</w:t>
      </w:r>
      <w:r>
        <w:rPr>
          <w:rFonts w:cs="Times New Roman"/>
        </w:rPr>
        <w:t xml:space="preserve"> </w:t>
      </w:r>
      <w:r w:rsidRPr="00D24884">
        <w:rPr>
          <w:rFonts w:cs="Times New Roman"/>
        </w:rPr>
        <w:t>holder</w:t>
      </w:r>
      <w:r>
        <w:rPr>
          <w:rFonts w:cs="Times New Roman"/>
        </w:rPr>
        <w:t>s</w:t>
      </w:r>
      <w:r w:rsidRPr="00D24884">
        <w:rPr>
          <w:rFonts w:cs="Times New Roman"/>
        </w:rPr>
        <w:t xml:space="preserve"> consider </w:t>
      </w:r>
      <w:r>
        <w:rPr>
          <w:rFonts w:cs="Times New Roman"/>
        </w:rPr>
        <w:t xml:space="preserve">which school their child should attend, or whether to withdraw their </w:t>
      </w:r>
      <w:r w:rsidRPr="00D24884">
        <w:rPr>
          <w:rFonts w:cs="Times New Roman"/>
        </w:rPr>
        <w:t xml:space="preserve">child </w:t>
      </w:r>
      <w:r>
        <w:rPr>
          <w:rFonts w:cs="Times New Roman"/>
        </w:rPr>
        <w:t xml:space="preserve">from </w:t>
      </w:r>
      <w:r w:rsidRPr="00D24884">
        <w:rPr>
          <w:rFonts w:cs="Times New Roman"/>
        </w:rPr>
        <w:t xml:space="preserve">a minority language school, </w:t>
      </w:r>
      <w:r>
        <w:rPr>
          <w:rFonts w:cs="Times New Roman"/>
        </w:rPr>
        <w:t>they</w:t>
      </w:r>
      <w:r w:rsidRPr="00D24884">
        <w:rPr>
          <w:rFonts w:cs="Times New Roman"/>
        </w:rPr>
        <w:t xml:space="preserve"> will look to nearby majority language schools as alternatives.  It follows that the comparator group that will generally be appropriate for the assessment of substantive equivalence of a minority language school will be the neighbouring majority language schools that represent a realistic alternative for rights</w:t>
      </w:r>
      <w:r>
        <w:rPr>
          <w:rFonts w:cs="Times New Roman"/>
        </w:rPr>
        <w:t xml:space="preserve"> </w:t>
      </w:r>
      <w:r w:rsidRPr="00D24884">
        <w:rPr>
          <w:rFonts w:cs="Times New Roman"/>
        </w:rPr>
        <w:t>holders.  To compare the facilit</w:t>
      </w:r>
      <w:r>
        <w:rPr>
          <w:rFonts w:cs="Times New Roman"/>
        </w:rPr>
        <w:t xml:space="preserve">ies of a minority language school </w:t>
      </w:r>
      <w:r w:rsidRPr="00D24884">
        <w:rPr>
          <w:rFonts w:cs="Times New Roman"/>
        </w:rPr>
        <w:t xml:space="preserve">to facilities outside of the area would not realistically capture the </w:t>
      </w:r>
      <w:r>
        <w:rPr>
          <w:rFonts w:cs="Times New Roman"/>
        </w:rPr>
        <w:t xml:space="preserve">choice available to </w:t>
      </w:r>
      <w:r w:rsidRPr="00D24884">
        <w:rPr>
          <w:rFonts w:cs="Times New Roman"/>
        </w:rPr>
        <w:t xml:space="preserve">rights holders, who cannot send their children </w:t>
      </w:r>
      <w:r>
        <w:rPr>
          <w:rFonts w:cs="Times New Roman"/>
        </w:rPr>
        <w:t xml:space="preserve">to a school located </w:t>
      </w:r>
      <w:r w:rsidRPr="00D24884">
        <w:rPr>
          <w:rFonts w:cs="Times New Roman"/>
        </w:rPr>
        <w:t xml:space="preserve">across the province.  Of course, the precise geographic scope of the comparator group, and the relative usefulness of this sort of comparison, will vary </w:t>
      </w:r>
      <w:r w:rsidRPr="00D24884">
        <w:rPr>
          <w:rFonts w:cs="Times New Roman"/>
        </w:rPr>
        <w:lastRenderedPageBreak/>
        <w:t>with the circumstances</w:t>
      </w:r>
      <w:r>
        <w:rPr>
          <w:rFonts w:cs="Times New Roman"/>
        </w:rPr>
        <w:t xml:space="preserve"> (</w:t>
      </w:r>
      <w:r>
        <w:rPr>
          <w:rFonts w:cs="Times New Roman"/>
          <w:i/>
        </w:rPr>
        <w:t>Arsenault-Cameron</w:t>
      </w:r>
      <w:r>
        <w:rPr>
          <w:rFonts w:cs="Times New Roman"/>
        </w:rPr>
        <w:t>, at para. 57).</w:t>
      </w:r>
    </w:p>
    <w:p w:rsidR="001E4C48" w:rsidRPr="00D24884" w:rsidRDefault="001E4C48" w:rsidP="001E4C48">
      <w:pPr>
        <w:pStyle w:val="Title4LevelTitre4Niveau"/>
        <w:widowControl w:val="0"/>
        <w:numPr>
          <w:ilvl w:val="3"/>
          <w:numId w:val="8"/>
        </w:numPr>
        <w:rPr>
          <w:rFonts w:cs="Times New Roman"/>
        </w:rPr>
      </w:pPr>
      <w:r w:rsidRPr="00D24884">
        <w:rPr>
          <w:rFonts w:cs="Times New Roman"/>
        </w:rPr>
        <w:t xml:space="preserve">What Factors </w:t>
      </w:r>
      <w:r>
        <w:rPr>
          <w:rFonts w:cs="Times New Roman"/>
        </w:rPr>
        <w:t>A</w:t>
      </w:r>
      <w:r w:rsidRPr="00D24884">
        <w:rPr>
          <w:rFonts w:cs="Times New Roman"/>
        </w:rPr>
        <w:t xml:space="preserve">re to </w:t>
      </w:r>
      <w:r>
        <w:rPr>
          <w:rFonts w:cs="Times New Roman"/>
        </w:rPr>
        <w:t>B</w:t>
      </w:r>
      <w:r w:rsidRPr="00D24884">
        <w:rPr>
          <w:rFonts w:cs="Times New Roman"/>
        </w:rPr>
        <w:t>e Compared in Assessing Equivalence?</w:t>
      </w:r>
    </w:p>
    <w:p w:rsidR="001E4C48" w:rsidRPr="00D24884" w:rsidRDefault="001E4C48" w:rsidP="001E4C48">
      <w:pPr>
        <w:pStyle w:val="ParaNoNdepar-AltN"/>
        <w:widowControl w:val="0"/>
        <w:rPr>
          <w:rFonts w:cs="Times New Roman"/>
        </w:rPr>
      </w:pPr>
      <w:r w:rsidRPr="00D24884">
        <w:rPr>
          <w:rFonts w:cs="Times New Roman"/>
        </w:rPr>
        <w:t xml:space="preserve">As the </w:t>
      </w:r>
      <w:r>
        <w:rPr>
          <w:rFonts w:cs="Times New Roman"/>
        </w:rPr>
        <w:t>P</w:t>
      </w:r>
      <w:r w:rsidRPr="00D24884">
        <w:rPr>
          <w:rFonts w:cs="Times New Roman"/>
        </w:rPr>
        <w:t xml:space="preserve">rovince </w:t>
      </w:r>
      <w:r>
        <w:rPr>
          <w:rFonts w:cs="Times New Roman"/>
        </w:rPr>
        <w:t>has argued</w:t>
      </w:r>
      <w:r w:rsidRPr="00D24884">
        <w:rPr>
          <w:rFonts w:cs="Times New Roman"/>
        </w:rPr>
        <w:t xml:space="preserve">, no school is likely to be considered by all parents to be equal or better than its neighbours in every respect.  The comparative exercise must be alive to the varied factors that reasonable parents use to assess equivalence.  The fact </w:t>
      </w:r>
      <w:r>
        <w:rPr>
          <w:rFonts w:cs="Times New Roman"/>
        </w:rPr>
        <w:t xml:space="preserve">that </w:t>
      </w:r>
      <w:r w:rsidRPr="00D24884">
        <w:rPr>
          <w:rFonts w:cs="Times New Roman"/>
        </w:rPr>
        <w:t xml:space="preserve">a given school is deficient in one area does not mean </w:t>
      </w:r>
      <w:r>
        <w:rPr>
          <w:rFonts w:cs="Times New Roman"/>
        </w:rPr>
        <w:t xml:space="preserve">that </w:t>
      </w:r>
      <w:r w:rsidRPr="00D24884">
        <w:rPr>
          <w:rFonts w:cs="Times New Roman"/>
        </w:rPr>
        <w:t xml:space="preserve">it lacks equivalence in an overall sense.  In particular, both quality of instruction and facilities can represent important elements of comparison.  Indeed, in </w:t>
      </w:r>
      <w:r w:rsidRPr="00D24884">
        <w:rPr>
          <w:rFonts w:cs="Times New Roman"/>
          <w:i/>
        </w:rPr>
        <w:t>Mahe</w:t>
      </w:r>
      <w:r w:rsidRPr="00D24884">
        <w:rPr>
          <w:rFonts w:cs="Times New Roman"/>
        </w:rPr>
        <w:t xml:space="preserve">, Dickson C.J. rejected an approach that would treat instruction and facilities as </w:t>
      </w:r>
      <w:r>
        <w:rPr>
          <w:rFonts w:cs="Times New Roman"/>
        </w:rPr>
        <w:t>“</w:t>
      </w:r>
      <w:r w:rsidRPr="00D24884">
        <w:rPr>
          <w:rFonts w:cs="Times New Roman"/>
        </w:rPr>
        <w:t>separate rights</w:t>
      </w:r>
      <w:r>
        <w:rPr>
          <w:rFonts w:cs="Times New Roman"/>
        </w:rPr>
        <w:t>”</w:t>
      </w:r>
      <w:r w:rsidRPr="00D24884">
        <w:rPr>
          <w:rFonts w:cs="Times New Roman"/>
        </w:rPr>
        <w:t xml:space="preserve"> under s. 23 </w:t>
      </w:r>
      <w:r>
        <w:rPr>
          <w:rFonts w:cs="Times New Roman"/>
        </w:rPr>
        <w:t xml:space="preserve">of the </w:t>
      </w:r>
      <w:r w:rsidRPr="00E2514E">
        <w:rPr>
          <w:rFonts w:cs="Times New Roman"/>
          <w:i/>
        </w:rPr>
        <w:t>Charter</w:t>
      </w:r>
      <w:r w:rsidRPr="00E2514E">
        <w:rPr>
          <w:rFonts w:cs="Times New Roman"/>
        </w:rPr>
        <w:t>,</w:t>
      </w:r>
      <w:r>
        <w:rPr>
          <w:rFonts w:cs="Times New Roman"/>
        </w:rPr>
        <w:t xml:space="preserve"> rights </w:t>
      </w:r>
      <w:r w:rsidRPr="00E2514E">
        <w:rPr>
          <w:rFonts w:cs="Times New Roman"/>
        </w:rPr>
        <w:t>to</w:t>
      </w:r>
      <w:r w:rsidRPr="00D24884">
        <w:rPr>
          <w:rFonts w:cs="Times New Roman"/>
        </w:rPr>
        <w:t xml:space="preserve"> be associated with different numerical thresholds</w:t>
      </w:r>
      <w:r>
        <w:rPr>
          <w:rFonts w:cs="Times New Roman"/>
        </w:rPr>
        <w:t xml:space="preserve">.  He preferred </w:t>
      </w:r>
      <w:r w:rsidRPr="00D24884">
        <w:rPr>
          <w:rFonts w:cs="Times New Roman"/>
        </w:rPr>
        <w:t xml:space="preserve">instead to consider </w:t>
      </w:r>
      <w:r>
        <w:rPr>
          <w:rFonts w:cs="Times New Roman"/>
        </w:rPr>
        <w:t xml:space="preserve">instruction and facilities </w:t>
      </w:r>
      <w:r w:rsidRPr="00D24884">
        <w:rPr>
          <w:rFonts w:cs="Times New Roman"/>
        </w:rPr>
        <w:t xml:space="preserve">together when determining the scope of the </w:t>
      </w:r>
      <w:r>
        <w:rPr>
          <w:rFonts w:cs="Times New Roman"/>
        </w:rPr>
        <w:t xml:space="preserve">s. 23 </w:t>
      </w:r>
      <w:r w:rsidRPr="00D24884">
        <w:rPr>
          <w:rFonts w:cs="Times New Roman"/>
        </w:rPr>
        <w:t>right (p. 366).  Such an approach is consistent with the purpose of s.</w:t>
      </w:r>
      <w:r>
        <w:rPr>
          <w:rFonts w:cs="Times New Roman"/>
        </w:rPr>
        <w:t xml:space="preserve"> </w:t>
      </w:r>
      <w:r w:rsidRPr="00D24884">
        <w:rPr>
          <w:rFonts w:cs="Times New Roman"/>
        </w:rPr>
        <w:t>23.  It stands to reason that the same considerations apply when comparing equivalence between minority and majority language schools.  The quality of instruction and the quality of facilities may both be strong indicators of equivalence, and are properly considered together.</w:t>
      </w:r>
    </w:p>
    <w:p w:rsidR="001E4C48" w:rsidRPr="00D24884" w:rsidRDefault="001E4C48" w:rsidP="001E4C48">
      <w:pPr>
        <w:pStyle w:val="ParaNoNdepar-AltN"/>
        <w:widowControl w:val="0"/>
        <w:rPr>
          <w:rFonts w:cs="Times New Roman"/>
        </w:rPr>
      </w:pPr>
      <w:r w:rsidRPr="00D24884">
        <w:rPr>
          <w:rFonts w:cs="Times New Roman"/>
        </w:rPr>
        <w:t xml:space="preserve">Thus, the comparative exercise is contextual and holistic, accounting for not only physical facilities, but also quality of instruction, educational outcomes, extracurricular activities, and travel times, to name a few factors.  </w:t>
      </w:r>
      <w:r>
        <w:rPr>
          <w:rFonts w:cs="Times New Roman"/>
        </w:rPr>
        <w:t xml:space="preserve">Such an approach </w:t>
      </w:r>
      <w:r w:rsidRPr="00D24884">
        <w:rPr>
          <w:rFonts w:cs="Times New Roman"/>
        </w:rPr>
        <w:t xml:space="preserve">is similar to the way parents make decisions regarding their children’s education.  Of course, the extent to which any given factor will represent a live issue in assessing equivalence will be dictated by the circumstances of each case.  The relevant factors are considered together in assessing whether the overall educational </w:t>
      </w:r>
      <w:r>
        <w:rPr>
          <w:rFonts w:cs="Times New Roman"/>
        </w:rPr>
        <w:t xml:space="preserve">experience is </w:t>
      </w:r>
      <w:r w:rsidRPr="00D24884">
        <w:rPr>
          <w:rFonts w:cs="Times New Roman"/>
        </w:rPr>
        <w:lastRenderedPageBreak/>
        <w:t xml:space="preserve">inferior in a way that could discourage </w:t>
      </w:r>
      <w:r>
        <w:rPr>
          <w:rFonts w:cs="Times New Roman"/>
        </w:rPr>
        <w:t xml:space="preserve">rights holders </w:t>
      </w:r>
      <w:r w:rsidRPr="00D24884">
        <w:rPr>
          <w:rFonts w:cs="Times New Roman"/>
        </w:rPr>
        <w:t>from enrolling their children in a minority language school.</w:t>
      </w:r>
    </w:p>
    <w:p w:rsidR="001E4C48" w:rsidRPr="00D24884" w:rsidRDefault="001E4C48" w:rsidP="001E4C48">
      <w:pPr>
        <w:pStyle w:val="ParaNoNdepar-AltN"/>
        <w:widowControl w:val="0"/>
        <w:rPr>
          <w:rFonts w:cs="Times New Roman"/>
        </w:rPr>
      </w:pPr>
      <w:r w:rsidRPr="00D24884">
        <w:rPr>
          <w:rFonts w:cs="Times New Roman"/>
        </w:rPr>
        <w:t>As a result, the fact that a minority language school is older than nearby majority language schools is not</w:t>
      </w:r>
      <w:r>
        <w:rPr>
          <w:rFonts w:cs="Times New Roman"/>
        </w:rPr>
        <w:t xml:space="preserve">, when viewed in isolation, </w:t>
      </w:r>
      <w:r w:rsidRPr="00D24884">
        <w:rPr>
          <w:rFonts w:cs="Times New Roman"/>
        </w:rPr>
        <w:t xml:space="preserve">enough to ground a finding of lack of equivalence.  Schools can last for a long time, and older schools may have facilities </w:t>
      </w:r>
      <w:r>
        <w:rPr>
          <w:rFonts w:cs="Times New Roman"/>
        </w:rPr>
        <w:t xml:space="preserve">that are inferior </w:t>
      </w:r>
      <w:r w:rsidRPr="00D24884">
        <w:rPr>
          <w:rFonts w:cs="Times New Roman"/>
        </w:rPr>
        <w:t xml:space="preserve">to </w:t>
      </w:r>
      <w:r>
        <w:rPr>
          <w:rFonts w:cs="Times New Roman"/>
        </w:rPr>
        <w:t xml:space="preserve">those of </w:t>
      </w:r>
      <w:r w:rsidRPr="00D24884">
        <w:rPr>
          <w:rFonts w:cs="Times New Roman"/>
        </w:rPr>
        <w:t>newer schools.  The fact that a minority language school is in the older range would not normally drive a reasonable rights-holder parent to withdraw her child from the school, particularly where other aspects of the educational experience are strong.  Fundamentally, the age of a school and the quality of its physical facilities are but two factors among many.  There are several other compelling considerations that form part of a reasonable parent’s comparison:  the quality of the teachers, the curriculum, and the cultural opportunities of</w:t>
      </w:r>
      <w:r>
        <w:rPr>
          <w:rFonts w:cs="Times New Roman"/>
        </w:rPr>
        <w:t xml:space="preserve">fered by </w:t>
      </w:r>
      <w:r w:rsidRPr="00D24884">
        <w:rPr>
          <w:rFonts w:cs="Times New Roman"/>
        </w:rPr>
        <w:t>a minority language school are all relevant.  The expectation is not, and cannot reasonably be</w:t>
      </w:r>
      <w:r>
        <w:rPr>
          <w:rFonts w:cs="Times New Roman"/>
        </w:rPr>
        <w:t xml:space="preserve">, to have </w:t>
      </w:r>
      <w:r w:rsidRPr="00D24884">
        <w:rPr>
          <w:rFonts w:cs="Times New Roman"/>
        </w:rPr>
        <w:t>the “very best” of every aspect of the educational experience.  As noted above, the comparative exercise is holistic.</w:t>
      </w:r>
    </w:p>
    <w:p w:rsidR="001E4C48" w:rsidRPr="00D24884" w:rsidRDefault="001E4C48" w:rsidP="001E4C48">
      <w:pPr>
        <w:pStyle w:val="ParaNoNdepar-AltN"/>
        <w:widowControl w:val="0"/>
        <w:rPr>
          <w:rFonts w:cs="Times New Roman"/>
        </w:rPr>
      </w:pPr>
      <w:r w:rsidRPr="00D24884">
        <w:rPr>
          <w:rFonts w:cs="Times New Roman"/>
        </w:rPr>
        <w:t xml:space="preserve">Ultimately, the focus </w:t>
      </w:r>
      <w:r>
        <w:rPr>
          <w:rFonts w:cs="Times New Roman"/>
        </w:rPr>
        <w:t xml:space="preserve">of the assessment </w:t>
      </w:r>
      <w:r w:rsidRPr="00D24884">
        <w:rPr>
          <w:rFonts w:cs="Times New Roman"/>
        </w:rPr>
        <w:t xml:space="preserve">is the </w:t>
      </w:r>
      <w:r w:rsidRPr="00D24884">
        <w:rPr>
          <w:rFonts w:cs="Times New Roman"/>
          <w:i/>
        </w:rPr>
        <w:t xml:space="preserve">substantive equivalence </w:t>
      </w:r>
      <w:r w:rsidRPr="00D24884">
        <w:rPr>
          <w:rFonts w:cs="Times New Roman"/>
        </w:rPr>
        <w:t>of the educational experience.  If, on balance, the experience is equivalent, the requirements of s. 23 will be met.</w:t>
      </w:r>
    </w:p>
    <w:p w:rsidR="001E4C48" w:rsidRPr="00D24884" w:rsidRDefault="001E4C48" w:rsidP="001E4C48">
      <w:pPr>
        <w:pStyle w:val="ParaNoNdepar-AltN"/>
        <w:widowControl w:val="0"/>
        <w:rPr>
          <w:rFonts w:cs="Times New Roman"/>
        </w:rPr>
      </w:pPr>
      <w:r w:rsidRPr="00D24884">
        <w:rPr>
          <w:rFonts w:cs="Times New Roman"/>
        </w:rPr>
        <w:t xml:space="preserve">For its part, the </w:t>
      </w:r>
      <w:r>
        <w:rPr>
          <w:rFonts w:cs="Times New Roman"/>
        </w:rPr>
        <w:t>P</w:t>
      </w:r>
      <w:r w:rsidRPr="00D24884">
        <w:rPr>
          <w:rFonts w:cs="Times New Roman"/>
        </w:rPr>
        <w:t xml:space="preserve">rovince proposed a very different test for measuring equivalence under s. 23.  This test would include four distinct elements.  First, a court would consider the allegations of inferiority; second, </w:t>
      </w:r>
      <w:r>
        <w:rPr>
          <w:rFonts w:cs="Times New Roman"/>
        </w:rPr>
        <w:t>it</w:t>
      </w:r>
      <w:r w:rsidRPr="00D24884">
        <w:rPr>
          <w:rFonts w:cs="Times New Roman"/>
        </w:rPr>
        <w:t xml:space="preserve"> would weigh the deficiencies against the </w:t>
      </w:r>
      <w:r>
        <w:rPr>
          <w:rFonts w:cs="Times New Roman"/>
        </w:rPr>
        <w:t xml:space="preserve">relative </w:t>
      </w:r>
      <w:r w:rsidRPr="00D24884">
        <w:rPr>
          <w:rFonts w:cs="Times New Roman"/>
        </w:rPr>
        <w:t>superiorities at the minority language school</w:t>
      </w:r>
      <w:r>
        <w:rPr>
          <w:rFonts w:cs="Times New Roman"/>
        </w:rPr>
        <w:t xml:space="preserve"> in order to determine </w:t>
      </w:r>
      <w:r>
        <w:rPr>
          <w:rFonts w:cs="Times New Roman"/>
        </w:rPr>
        <w:lastRenderedPageBreak/>
        <w:t>how the two net out in their impact on assimilation</w:t>
      </w:r>
      <w:r w:rsidRPr="00D24884">
        <w:rPr>
          <w:rFonts w:cs="Times New Roman"/>
        </w:rPr>
        <w:t>; third, the court would consider the resource allocation decisions of the minority language school board</w:t>
      </w:r>
      <w:r>
        <w:rPr>
          <w:rFonts w:cs="Times New Roman"/>
        </w:rPr>
        <w:t xml:space="preserve"> and whether the deficiencies are attributable to inadequate funding</w:t>
      </w:r>
      <w:r w:rsidRPr="00D24884">
        <w:rPr>
          <w:rFonts w:cs="Times New Roman"/>
        </w:rPr>
        <w:t xml:space="preserve">; and </w:t>
      </w:r>
      <w:r>
        <w:rPr>
          <w:rFonts w:cs="Times New Roman"/>
        </w:rPr>
        <w:t>lastly</w:t>
      </w:r>
      <w:r w:rsidRPr="00D24884">
        <w:rPr>
          <w:rFonts w:cs="Times New Roman"/>
        </w:rPr>
        <w:t xml:space="preserve">, </w:t>
      </w:r>
      <w:r>
        <w:rPr>
          <w:rFonts w:cs="Times New Roman"/>
        </w:rPr>
        <w:t>i</w:t>
      </w:r>
      <w:r w:rsidRPr="00D24884">
        <w:rPr>
          <w:rFonts w:cs="Times New Roman"/>
        </w:rPr>
        <w:t xml:space="preserve">t would weigh the extent of the assimilation </w:t>
      </w:r>
      <w:r>
        <w:rPr>
          <w:rFonts w:cs="Times New Roman"/>
        </w:rPr>
        <w:t xml:space="preserve">attributable to the alleged inferiorities </w:t>
      </w:r>
      <w:r w:rsidRPr="00D24884">
        <w:rPr>
          <w:rFonts w:cs="Times New Roman"/>
        </w:rPr>
        <w:t xml:space="preserve">against the practicalities of the </w:t>
      </w:r>
      <w:r>
        <w:rPr>
          <w:rFonts w:cs="Times New Roman"/>
        </w:rPr>
        <w:t xml:space="preserve">available </w:t>
      </w:r>
      <w:r w:rsidRPr="00D24884">
        <w:rPr>
          <w:rFonts w:cs="Times New Roman"/>
        </w:rPr>
        <w:t>alternatives</w:t>
      </w:r>
      <w:r>
        <w:rPr>
          <w:rFonts w:cs="Times New Roman"/>
        </w:rPr>
        <w:t>.</w:t>
      </w:r>
    </w:p>
    <w:p w:rsidR="001E4C48" w:rsidRDefault="001E4C48" w:rsidP="001E4C48">
      <w:pPr>
        <w:pStyle w:val="ParaNoNdepar-AltN"/>
        <w:widowControl w:val="0"/>
        <w:rPr>
          <w:rFonts w:cs="Times New Roman"/>
        </w:rPr>
      </w:pPr>
      <w:r w:rsidRPr="00D24884">
        <w:rPr>
          <w:rFonts w:cs="Times New Roman"/>
        </w:rPr>
        <w:t xml:space="preserve">In my view, such a test is unnecessarily complex and rigid.  </w:t>
      </w:r>
      <w:r>
        <w:rPr>
          <w:rFonts w:cs="Times New Roman"/>
        </w:rPr>
        <w:t xml:space="preserve">Not only </w:t>
      </w:r>
      <w:r w:rsidRPr="00D24884">
        <w:rPr>
          <w:rFonts w:cs="Times New Roman"/>
        </w:rPr>
        <w:t xml:space="preserve"> would </w:t>
      </w:r>
      <w:r>
        <w:rPr>
          <w:rFonts w:cs="Times New Roman"/>
        </w:rPr>
        <w:t xml:space="preserve">it </w:t>
      </w:r>
      <w:r w:rsidRPr="00D24884">
        <w:rPr>
          <w:rFonts w:cs="Times New Roman"/>
        </w:rPr>
        <w:t>introduce unnecessary elements into the equivalence analysis, it would</w:t>
      </w:r>
      <w:r>
        <w:rPr>
          <w:rFonts w:cs="Times New Roman"/>
        </w:rPr>
        <w:t xml:space="preserve"> also </w:t>
      </w:r>
      <w:r w:rsidRPr="00D24884">
        <w:rPr>
          <w:rFonts w:cs="Times New Roman"/>
        </w:rPr>
        <w:t xml:space="preserve">require unravelling the question of responsibility for a lack of equivalence, as between the </w:t>
      </w:r>
      <w:r>
        <w:rPr>
          <w:rFonts w:cs="Times New Roman"/>
        </w:rPr>
        <w:t>P</w:t>
      </w:r>
      <w:r w:rsidRPr="00D24884">
        <w:rPr>
          <w:rFonts w:cs="Times New Roman"/>
        </w:rPr>
        <w:t xml:space="preserve">rovince and the local school board, even where </w:t>
      </w:r>
      <w:r>
        <w:rPr>
          <w:rFonts w:cs="Times New Roman"/>
        </w:rPr>
        <w:t xml:space="preserve">such an exercise </w:t>
      </w:r>
      <w:r w:rsidRPr="00D24884">
        <w:rPr>
          <w:rFonts w:cs="Times New Roman"/>
        </w:rPr>
        <w:t xml:space="preserve">provides no insight into the question of whether a given minority language school is equivalent to its majority counterparts.  Such a test would also </w:t>
      </w:r>
      <w:r>
        <w:rPr>
          <w:rFonts w:cs="Times New Roman"/>
        </w:rPr>
        <w:t xml:space="preserve">require the court to </w:t>
      </w:r>
      <w:r w:rsidRPr="00D24884">
        <w:rPr>
          <w:rFonts w:cs="Times New Roman"/>
        </w:rPr>
        <w:t xml:space="preserve">jump forward to considering possible positive remedies, under the guise of assessing the practicalities of the alternatives available, even where the litigants do not seek a positive remedy.  For all </w:t>
      </w:r>
      <w:r>
        <w:rPr>
          <w:rFonts w:cs="Times New Roman"/>
        </w:rPr>
        <w:t xml:space="preserve">of </w:t>
      </w:r>
      <w:r w:rsidRPr="00D24884">
        <w:rPr>
          <w:rFonts w:cs="Times New Roman"/>
        </w:rPr>
        <w:t>these reasons, I reject this approach to assessing equivalence.</w:t>
      </w:r>
    </w:p>
    <w:p w:rsidR="001E4C48" w:rsidRPr="00D24884" w:rsidRDefault="001E4C48" w:rsidP="001E4C48">
      <w:pPr>
        <w:pStyle w:val="Title3LevelTitre3Niveau"/>
        <w:widowControl w:val="0"/>
        <w:numPr>
          <w:ilvl w:val="2"/>
          <w:numId w:val="8"/>
        </w:numPr>
        <w:rPr>
          <w:rFonts w:cs="Times New Roman"/>
        </w:rPr>
      </w:pPr>
      <w:r w:rsidRPr="00D24884">
        <w:rPr>
          <w:rFonts w:cs="Times New Roman"/>
        </w:rPr>
        <w:t>Is There a Role for Costs and Practicalities Within the Equivalence Test?</w:t>
      </w:r>
    </w:p>
    <w:p w:rsidR="001E4C48" w:rsidRPr="00D24884" w:rsidRDefault="001E4C48" w:rsidP="001E4C48">
      <w:pPr>
        <w:pStyle w:val="ParaNoNdepar-AltN"/>
        <w:widowControl w:val="0"/>
        <w:rPr>
          <w:rFonts w:cs="Times New Roman"/>
        </w:rPr>
      </w:pPr>
      <w:r w:rsidRPr="00D24884">
        <w:rPr>
          <w:rFonts w:cs="Times New Roman"/>
        </w:rPr>
        <w:t>The Court of Appeal concluded that costs and practicalities may</w:t>
      </w:r>
      <w:r>
        <w:rPr>
          <w:rFonts w:cs="Times New Roman"/>
        </w:rPr>
        <w:t xml:space="preserve">, in some cases, </w:t>
      </w:r>
      <w:r w:rsidRPr="00D24884">
        <w:rPr>
          <w:rFonts w:cs="Times New Roman"/>
        </w:rPr>
        <w:t xml:space="preserve">play a role in the equivalence analysis.  The </w:t>
      </w:r>
      <w:r>
        <w:rPr>
          <w:rFonts w:cs="Times New Roman"/>
        </w:rPr>
        <w:t>P</w:t>
      </w:r>
      <w:r w:rsidRPr="00D24884">
        <w:rPr>
          <w:rFonts w:cs="Times New Roman"/>
        </w:rPr>
        <w:t>rovince takes the position that costs and practicalities are part of every entitlement-related decision under s. 23.  Thus, where there is a question of upgrading facilities or constructing new facilities for a group of s. 23 rights holders, costs and practicalities will enter into the analysis of whether the existing facilities are equivalent.</w:t>
      </w:r>
    </w:p>
    <w:p w:rsidR="001E4C48" w:rsidRPr="00D24884" w:rsidRDefault="001E4C48" w:rsidP="001E4C48">
      <w:pPr>
        <w:pStyle w:val="ParaNoNdepar-AltN"/>
        <w:widowControl w:val="0"/>
        <w:rPr>
          <w:rFonts w:cs="Times New Roman"/>
        </w:rPr>
      </w:pPr>
      <w:r w:rsidRPr="00D24884">
        <w:rPr>
          <w:rFonts w:cs="Times New Roman"/>
        </w:rPr>
        <w:lastRenderedPageBreak/>
        <w:t xml:space="preserve">By contrast, the </w:t>
      </w:r>
      <w:r>
        <w:rPr>
          <w:rFonts w:cs="Times New Roman"/>
        </w:rPr>
        <w:t>P</w:t>
      </w:r>
      <w:r w:rsidRPr="00D24884">
        <w:rPr>
          <w:rFonts w:cs="Times New Roman"/>
        </w:rPr>
        <w:t xml:space="preserve">arents and the CSF say </w:t>
      </w:r>
      <w:r>
        <w:rPr>
          <w:rFonts w:cs="Times New Roman"/>
        </w:rPr>
        <w:t xml:space="preserve">that </w:t>
      </w:r>
      <w:r w:rsidRPr="00D24884">
        <w:rPr>
          <w:rFonts w:cs="Times New Roman"/>
        </w:rPr>
        <w:t xml:space="preserve">costs and practicalities </w:t>
      </w:r>
      <w:r>
        <w:rPr>
          <w:rFonts w:cs="Times New Roman"/>
        </w:rPr>
        <w:t xml:space="preserve">are only relevant in </w:t>
      </w:r>
      <w:r w:rsidRPr="00D24884">
        <w:rPr>
          <w:rFonts w:cs="Times New Roman"/>
        </w:rPr>
        <w:t xml:space="preserve">the assessment of where on the sliding scale a given group of rights holders belongs.  Once such a group has been determined to be entitled to the highest level of </w:t>
      </w:r>
      <w:r>
        <w:rPr>
          <w:rFonts w:cs="Times New Roman"/>
        </w:rPr>
        <w:t xml:space="preserve">educational </w:t>
      </w:r>
      <w:r w:rsidRPr="00D24884">
        <w:rPr>
          <w:rFonts w:cs="Times New Roman"/>
        </w:rPr>
        <w:t xml:space="preserve">services anticipated by s. 23, they are entitled to services </w:t>
      </w:r>
      <w:r>
        <w:rPr>
          <w:rFonts w:cs="Times New Roman"/>
        </w:rPr>
        <w:t xml:space="preserve">of a quality equal to those of </w:t>
      </w:r>
      <w:r w:rsidRPr="00D24884">
        <w:rPr>
          <w:rFonts w:cs="Times New Roman"/>
        </w:rPr>
        <w:t>the majority, regardless of costs or practicalities.</w:t>
      </w:r>
    </w:p>
    <w:p w:rsidR="001E4C48" w:rsidRPr="00D24884" w:rsidRDefault="001E4C48" w:rsidP="001E4C48">
      <w:pPr>
        <w:pStyle w:val="ParaNoNdepar-AltN"/>
        <w:widowControl w:val="0"/>
        <w:rPr>
          <w:rFonts w:cs="Times New Roman"/>
        </w:rPr>
      </w:pPr>
      <w:r w:rsidRPr="00D24884">
        <w:rPr>
          <w:rFonts w:cs="Times New Roman"/>
        </w:rPr>
        <w:t xml:space="preserve">In my view, costs and practicalities are relevant to the </w:t>
      </w:r>
      <w:r>
        <w:rPr>
          <w:rFonts w:cs="Times New Roman"/>
        </w:rPr>
        <w:t xml:space="preserve">determination of the </w:t>
      </w:r>
      <w:r w:rsidRPr="00D24884">
        <w:rPr>
          <w:rFonts w:cs="Times New Roman"/>
        </w:rPr>
        <w:t xml:space="preserve">level of services a group of rights holders </w:t>
      </w:r>
      <w:r>
        <w:rPr>
          <w:rFonts w:cs="Times New Roman"/>
        </w:rPr>
        <w:t>is</w:t>
      </w:r>
      <w:r w:rsidRPr="00D24884">
        <w:rPr>
          <w:rFonts w:cs="Times New Roman"/>
        </w:rPr>
        <w:t xml:space="preserve"> entitled to on the sliding scale.  </w:t>
      </w:r>
      <w:r>
        <w:rPr>
          <w:rFonts w:cs="Times New Roman"/>
        </w:rPr>
        <w:t>T</w:t>
      </w:r>
      <w:r w:rsidRPr="00D24884">
        <w:rPr>
          <w:rFonts w:cs="Times New Roman"/>
        </w:rPr>
        <w:t xml:space="preserve">he </w:t>
      </w:r>
      <w:r>
        <w:rPr>
          <w:rFonts w:cs="Times New Roman"/>
        </w:rPr>
        <w:t>P</w:t>
      </w:r>
      <w:r w:rsidRPr="00D24884">
        <w:rPr>
          <w:rFonts w:cs="Times New Roman"/>
        </w:rPr>
        <w:t xml:space="preserve">rovince’s position misconceives the nature of the equivalence analysis, and conflates entitlement and equivalence.  The entitlement is to equivalent educational services.  The equivalence analysis is thus a factual </w:t>
      </w:r>
      <w:r>
        <w:rPr>
          <w:rFonts w:cs="Times New Roman"/>
        </w:rPr>
        <w:t>i</w:t>
      </w:r>
      <w:r w:rsidRPr="00D24884">
        <w:rPr>
          <w:rFonts w:cs="Times New Roman"/>
        </w:rPr>
        <w:t>nquiry, not an entitlement-related decision.  The “numbers warrant” analysis will have already considered cost</w:t>
      </w:r>
      <w:r>
        <w:rPr>
          <w:rFonts w:cs="Times New Roman"/>
        </w:rPr>
        <w:t>s</w:t>
      </w:r>
      <w:r w:rsidRPr="00D24884">
        <w:rPr>
          <w:rFonts w:cs="Times New Roman"/>
        </w:rPr>
        <w:t xml:space="preserve"> and practicalities in determining the scope of the s. 23 rights to be afforded to </w:t>
      </w:r>
      <w:r>
        <w:rPr>
          <w:rFonts w:cs="Times New Roman"/>
        </w:rPr>
        <w:t>the</w:t>
      </w:r>
      <w:r w:rsidRPr="00D24884">
        <w:rPr>
          <w:rFonts w:cs="Times New Roman"/>
        </w:rPr>
        <w:t xml:space="preserve"> minority language group.  It would undermine that analysis to consider costs and practicalities </w:t>
      </w:r>
      <w:r w:rsidRPr="00D24884">
        <w:rPr>
          <w:rFonts w:cs="Times New Roman"/>
          <w:i/>
        </w:rPr>
        <w:t>again</w:t>
      </w:r>
      <w:r w:rsidRPr="00D24884">
        <w:rPr>
          <w:rFonts w:cs="Times New Roman"/>
        </w:rPr>
        <w:t xml:space="preserve">, after the </w:t>
      </w:r>
      <w:r>
        <w:rPr>
          <w:rFonts w:cs="Times New Roman"/>
        </w:rPr>
        <w:t xml:space="preserve">appropriate </w:t>
      </w:r>
      <w:r w:rsidRPr="00D24884">
        <w:rPr>
          <w:rFonts w:cs="Times New Roman"/>
        </w:rPr>
        <w:t xml:space="preserve">level of </w:t>
      </w:r>
      <w:r>
        <w:rPr>
          <w:rFonts w:cs="Times New Roman"/>
        </w:rPr>
        <w:t xml:space="preserve">educational </w:t>
      </w:r>
      <w:r w:rsidRPr="00D24884">
        <w:rPr>
          <w:rFonts w:cs="Times New Roman"/>
        </w:rPr>
        <w:t xml:space="preserve">services has already been </w:t>
      </w:r>
      <w:r>
        <w:rPr>
          <w:rFonts w:cs="Times New Roman"/>
        </w:rPr>
        <w:t>determined</w:t>
      </w:r>
      <w:r w:rsidRPr="00D24884">
        <w:rPr>
          <w:rFonts w:cs="Times New Roman"/>
        </w:rPr>
        <w:t xml:space="preserve">.  Such an approach is neither logical nor principled.  Thus, it is not appropriate for </w:t>
      </w:r>
      <w:r>
        <w:rPr>
          <w:rFonts w:cs="Times New Roman"/>
        </w:rPr>
        <w:t xml:space="preserve">provincial or territorial </w:t>
      </w:r>
      <w:r w:rsidRPr="00D24884">
        <w:rPr>
          <w:rFonts w:cs="Times New Roman"/>
        </w:rPr>
        <w:t>governments to invoke issues of practicality or cost as part of the inquiry into the factual equivalence of minority language and majority language schools.</w:t>
      </w:r>
    </w:p>
    <w:p w:rsidR="001E4C48" w:rsidRPr="00D24884" w:rsidRDefault="001E4C48" w:rsidP="001E4C48">
      <w:pPr>
        <w:pStyle w:val="ParaNoNdepar-AltN"/>
        <w:widowControl w:val="0"/>
        <w:rPr>
          <w:rFonts w:cs="Times New Roman"/>
        </w:rPr>
      </w:pPr>
      <w:r w:rsidRPr="00D24884">
        <w:rPr>
          <w:rFonts w:cs="Times New Roman"/>
        </w:rPr>
        <w:t xml:space="preserve">As this Court noted in </w:t>
      </w:r>
      <w:r w:rsidRPr="00D24884">
        <w:rPr>
          <w:rFonts w:cs="Times New Roman"/>
          <w:i/>
        </w:rPr>
        <w:t>Mahe</w:t>
      </w:r>
      <w:r w:rsidRPr="00D24884">
        <w:rPr>
          <w:rFonts w:cs="Times New Roman"/>
        </w:rPr>
        <w:t>, cost</w:t>
      </w:r>
      <w:r>
        <w:rPr>
          <w:rFonts w:cs="Times New Roman"/>
        </w:rPr>
        <w:t>s</w:t>
      </w:r>
      <w:r w:rsidRPr="00D24884">
        <w:rPr>
          <w:rFonts w:cs="Times New Roman"/>
        </w:rPr>
        <w:t xml:space="preserve"> will usually be subsumed within pedagogical needs in determining what level of services the numbers warrant (pp.</w:t>
      </w:r>
      <w:r w:rsidR="00E413D7">
        <w:rPr>
          <w:rFonts w:cs="Times New Roman"/>
        </w:rPr>
        <w:t xml:space="preserve"> </w:t>
      </w:r>
      <w:r w:rsidRPr="00D24884">
        <w:rPr>
          <w:rFonts w:cs="Times New Roman"/>
        </w:rPr>
        <w:t xml:space="preserve">384-85).  Funds allocated to minority language schools should be </w:t>
      </w:r>
      <w:r w:rsidRPr="00D24884">
        <w:rPr>
          <w:rFonts w:cs="Times New Roman"/>
          <w:i/>
        </w:rPr>
        <w:t xml:space="preserve">at least </w:t>
      </w:r>
      <w:r w:rsidRPr="00D24884">
        <w:rPr>
          <w:rFonts w:cs="Times New Roman"/>
        </w:rPr>
        <w:t xml:space="preserve">the same </w:t>
      </w:r>
      <w:r w:rsidRPr="00D24884">
        <w:rPr>
          <w:rFonts w:cs="Times New Roman"/>
          <w:i/>
        </w:rPr>
        <w:t xml:space="preserve">per capita </w:t>
      </w:r>
      <w:r w:rsidRPr="00D24884">
        <w:rPr>
          <w:rFonts w:cs="Times New Roman"/>
        </w:rPr>
        <w:t xml:space="preserve">as those allocated to majority language schools (p. 378).  </w:t>
      </w:r>
      <w:r w:rsidRPr="003B700C">
        <w:rPr>
          <w:rFonts w:cs="Times New Roman"/>
        </w:rPr>
        <w:t>However</w:t>
      </w:r>
      <w:r w:rsidRPr="00D24884">
        <w:rPr>
          <w:rFonts w:cs="Times New Roman"/>
        </w:rPr>
        <w:t>, pedagogical needs will, in most cases, prevent the imposition of unrealistic financial demands on the state (p</w:t>
      </w:r>
      <w:r>
        <w:rPr>
          <w:rFonts w:cs="Times New Roman"/>
        </w:rPr>
        <w:t xml:space="preserve">. </w:t>
      </w:r>
      <w:r w:rsidRPr="00D24884">
        <w:rPr>
          <w:rFonts w:cs="Times New Roman"/>
        </w:rPr>
        <w:t>385).  For example, it w</w:t>
      </w:r>
      <w:r>
        <w:rPr>
          <w:rFonts w:cs="Times New Roman"/>
        </w:rPr>
        <w:t>ould</w:t>
      </w:r>
      <w:r w:rsidRPr="00D24884">
        <w:rPr>
          <w:rFonts w:cs="Times New Roman"/>
        </w:rPr>
        <w:t xml:space="preserve"> not make sense, either from a </w:t>
      </w:r>
      <w:r w:rsidRPr="00D24884">
        <w:rPr>
          <w:rFonts w:cs="Times New Roman"/>
        </w:rPr>
        <w:lastRenderedPageBreak/>
        <w:t>pedagogical or a cost perspective, to establish a school for only 10 students in an urban centre.  This would be true generally for educational services in either language.</w:t>
      </w:r>
    </w:p>
    <w:p w:rsidR="001E4C48" w:rsidRPr="00D24884" w:rsidRDefault="001E4C48" w:rsidP="001E4C48">
      <w:pPr>
        <w:pStyle w:val="ParaNoNdepar-AltN"/>
        <w:widowControl w:val="0"/>
        <w:rPr>
          <w:rFonts w:cs="Times New Roman"/>
        </w:rPr>
      </w:pPr>
      <w:r w:rsidRPr="00D24884">
        <w:rPr>
          <w:rFonts w:cs="Times New Roman"/>
        </w:rPr>
        <w:t>However, where numbers have previously been found to warrant equivalent services, for example</w:t>
      </w:r>
      <w:r>
        <w:rPr>
          <w:rFonts w:cs="Times New Roman"/>
        </w:rPr>
        <w:t>,</w:t>
      </w:r>
      <w:r w:rsidRPr="00D24884">
        <w:rPr>
          <w:rFonts w:cs="Times New Roman"/>
        </w:rPr>
        <w:t xml:space="preserve"> in earlier litigation, the “numbers warrant” analysis may become somewhat </w:t>
      </w:r>
      <w:r w:rsidRPr="00FE19BF">
        <w:rPr>
          <w:rFonts w:cs="Times New Roman"/>
        </w:rPr>
        <w:t>pro forma</w:t>
      </w:r>
      <w:r w:rsidRPr="00D24884">
        <w:rPr>
          <w:rFonts w:cs="Times New Roman"/>
        </w:rPr>
        <w:t xml:space="preserve">.  </w:t>
      </w:r>
      <w:r>
        <w:rPr>
          <w:rFonts w:cs="Times New Roman"/>
        </w:rPr>
        <w:t>U</w:t>
      </w:r>
      <w:r w:rsidRPr="00D24884">
        <w:rPr>
          <w:rFonts w:cs="Times New Roman"/>
        </w:rPr>
        <w:t xml:space="preserve">nless evidence of </w:t>
      </w:r>
      <w:r>
        <w:rPr>
          <w:rFonts w:cs="Times New Roman"/>
        </w:rPr>
        <w:t xml:space="preserve">a </w:t>
      </w:r>
      <w:r w:rsidRPr="00D24884">
        <w:rPr>
          <w:rFonts w:cs="Times New Roman"/>
        </w:rPr>
        <w:t xml:space="preserve">numbers decline puts into question whether the community still sits at the upper end of the sliding scale, entitlement to a previously established </w:t>
      </w:r>
      <w:r>
        <w:rPr>
          <w:rFonts w:cs="Times New Roman"/>
        </w:rPr>
        <w:t>level</w:t>
      </w:r>
      <w:r w:rsidRPr="00D24884">
        <w:rPr>
          <w:rFonts w:cs="Times New Roman"/>
        </w:rPr>
        <w:t xml:space="preserve"> of instruction and facilities is unlikely to be challenged.  The more useful inquiry for upper threshold rights</w:t>
      </w:r>
      <w:r>
        <w:rPr>
          <w:rFonts w:cs="Times New Roman"/>
        </w:rPr>
        <w:t>-</w:t>
      </w:r>
      <w:r w:rsidRPr="00D24884">
        <w:rPr>
          <w:rFonts w:cs="Times New Roman"/>
        </w:rPr>
        <w:t xml:space="preserve">holder groups may be into whether they are receiving the equivalence of the </w:t>
      </w:r>
      <w:r>
        <w:rPr>
          <w:rFonts w:cs="Times New Roman"/>
        </w:rPr>
        <w:t xml:space="preserve">educational </w:t>
      </w:r>
      <w:r w:rsidRPr="00D24884">
        <w:rPr>
          <w:rFonts w:cs="Times New Roman"/>
        </w:rPr>
        <w:t xml:space="preserve">services </w:t>
      </w:r>
      <w:r>
        <w:rPr>
          <w:rFonts w:cs="Times New Roman"/>
        </w:rPr>
        <w:t xml:space="preserve">guaranteed to them </w:t>
      </w:r>
      <w:r w:rsidRPr="00D24884">
        <w:rPr>
          <w:rFonts w:cs="Times New Roman"/>
        </w:rPr>
        <w:t xml:space="preserve">under s. 23.  </w:t>
      </w:r>
      <w:r>
        <w:rPr>
          <w:rFonts w:cs="Times New Roman"/>
        </w:rPr>
        <w:t>C</w:t>
      </w:r>
      <w:r w:rsidRPr="00D24884">
        <w:rPr>
          <w:rFonts w:cs="Times New Roman"/>
        </w:rPr>
        <w:t xml:space="preserve">osts and practicalities will </w:t>
      </w:r>
      <w:r>
        <w:rPr>
          <w:rFonts w:cs="Times New Roman"/>
        </w:rPr>
        <w:t xml:space="preserve">be irrelevant </w:t>
      </w:r>
      <w:r w:rsidRPr="00D24884">
        <w:rPr>
          <w:rFonts w:cs="Times New Roman"/>
        </w:rPr>
        <w:t>when considering the minimum requirements for educational equivalence.</w:t>
      </w:r>
    </w:p>
    <w:p w:rsidR="001E4C48" w:rsidRPr="00D24884" w:rsidRDefault="001E4C48" w:rsidP="001E4C48">
      <w:pPr>
        <w:pStyle w:val="ParaNoNdepar-AltN"/>
        <w:widowControl w:val="0"/>
        <w:rPr>
          <w:rFonts w:cs="Times New Roman"/>
        </w:rPr>
      </w:pPr>
      <w:r w:rsidRPr="00D24884">
        <w:rPr>
          <w:rFonts w:cs="Times New Roman"/>
        </w:rPr>
        <w:t xml:space="preserve">It may be that costs and practicalities again become relevant if </w:t>
      </w:r>
      <w:r>
        <w:rPr>
          <w:rFonts w:cs="Times New Roman"/>
        </w:rPr>
        <w:t>a</w:t>
      </w:r>
      <w:r w:rsidRPr="00D24884">
        <w:rPr>
          <w:rFonts w:cs="Times New Roman"/>
        </w:rPr>
        <w:t xml:space="preserve"> responsible party seeks to justify a violation of s. 23 under s. 1 of the </w:t>
      </w:r>
      <w:r w:rsidRPr="00D24884">
        <w:rPr>
          <w:rFonts w:cs="Times New Roman"/>
          <w:i/>
        </w:rPr>
        <w:t>Charter</w:t>
      </w:r>
      <w:r w:rsidRPr="00D24884">
        <w:rPr>
          <w:rFonts w:cs="Times New Roman"/>
        </w:rPr>
        <w:t xml:space="preserve">.  As well, costs and practicalities may be relevant where a court seeks to fashion a remedy </w:t>
      </w:r>
      <w:r>
        <w:rPr>
          <w:rFonts w:cs="Times New Roman"/>
        </w:rPr>
        <w:t xml:space="preserve">that is </w:t>
      </w:r>
      <w:r w:rsidRPr="00D24884">
        <w:rPr>
          <w:rFonts w:cs="Times New Roman"/>
        </w:rPr>
        <w:t xml:space="preserve">“appropriate and just” in the circumstances, pursuant to s. 24(1) of the </w:t>
      </w:r>
      <w:r w:rsidRPr="00D24884">
        <w:rPr>
          <w:rFonts w:cs="Times New Roman"/>
          <w:i/>
        </w:rPr>
        <w:t>Charter</w:t>
      </w:r>
      <w:r w:rsidRPr="00D24884">
        <w:rPr>
          <w:rFonts w:cs="Times New Roman"/>
        </w:rPr>
        <w:t xml:space="preserve">.  Thus, it does not automatically follow from a finding of a s. 23 breach that </w:t>
      </w:r>
      <w:r>
        <w:rPr>
          <w:rFonts w:cs="Times New Roman"/>
        </w:rPr>
        <w:t xml:space="preserve">rights holders </w:t>
      </w:r>
      <w:r w:rsidRPr="00D24884">
        <w:rPr>
          <w:rFonts w:cs="Times New Roman"/>
        </w:rPr>
        <w:t>will receive a new school.  There is a perpetual tension in balancing competing priorities; between the availability of financial resources and the demands on the public purse.  In fashioning a remedy, the court will take into account the costs and practicalities</w:t>
      </w:r>
      <w:r>
        <w:rPr>
          <w:rFonts w:cs="Times New Roman"/>
        </w:rPr>
        <w:t xml:space="preserve"> </w:t>
      </w:r>
      <w:r w:rsidRPr="00D24884">
        <w:rPr>
          <w:rFonts w:cs="Times New Roman"/>
        </w:rPr>
        <w:t>that form part of the provision of all educational services</w:t>
      </w:r>
      <w:r w:rsidRPr="00D24884">
        <w:rPr>
          <w:rFonts w:cs="Times New Roman"/>
          <w:iCs/>
        </w:rPr>
        <w:t xml:space="preserve"> ― </w:t>
      </w:r>
      <w:r w:rsidRPr="00D24884">
        <w:rPr>
          <w:rFonts w:cs="Times New Roman"/>
        </w:rPr>
        <w:t>for both majority and minority language schools.  However, this issue is not before us on this appeal.</w:t>
      </w:r>
    </w:p>
    <w:p w:rsidR="001E4C48" w:rsidRPr="00D24884" w:rsidRDefault="001E4C48" w:rsidP="001E4C48">
      <w:pPr>
        <w:pStyle w:val="ParaNoNdepar-AltN"/>
        <w:widowControl w:val="0"/>
        <w:rPr>
          <w:rFonts w:cs="Times New Roman"/>
        </w:rPr>
      </w:pPr>
      <w:r w:rsidRPr="00D24884">
        <w:rPr>
          <w:rFonts w:cs="Times New Roman"/>
        </w:rPr>
        <w:lastRenderedPageBreak/>
        <w:t>To summarize, issues of cost</w:t>
      </w:r>
      <w:r>
        <w:rPr>
          <w:rFonts w:cs="Times New Roman"/>
        </w:rPr>
        <w:t>s</w:t>
      </w:r>
      <w:r w:rsidRPr="00D24884">
        <w:rPr>
          <w:rFonts w:cs="Times New Roman"/>
        </w:rPr>
        <w:t xml:space="preserve"> and practicalities are considered in determining where a minority language community falls on the sliding scale of rights </w:t>
      </w:r>
      <w:r>
        <w:rPr>
          <w:rFonts w:cs="Times New Roman"/>
        </w:rPr>
        <w:t xml:space="preserve">guaranteed </w:t>
      </w:r>
      <w:r w:rsidRPr="00D24884">
        <w:rPr>
          <w:rFonts w:cs="Times New Roman"/>
        </w:rPr>
        <w:t>under s. 23.  Where the community is entitled to the highest level of educational services</w:t>
      </w:r>
      <w:r>
        <w:rPr>
          <w:rFonts w:cs="Times New Roman"/>
        </w:rPr>
        <w:t>,</w:t>
      </w:r>
      <w:r w:rsidRPr="00D24884">
        <w:rPr>
          <w:rFonts w:cs="Times New Roman"/>
        </w:rPr>
        <w:t xml:space="preserve"> on an equal footing with the majority language community, cost</w:t>
      </w:r>
      <w:r>
        <w:rPr>
          <w:rFonts w:cs="Times New Roman"/>
        </w:rPr>
        <w:t>s</w:t>
      </w:r>
      <w:r w:rsidRPr="00D24884">
        <w:rPr>
          <w:rFonts w:cs="Times New Roman"/>
        </w:rPr>
        <w:t xml:space="preserve"> and practicalities will not be relevant to a determination of whether the rights holders are receiving the services to which they are entitled.  It may be, however, that cost</w:t>
      </w:r>
      <w:r>
        <w:rPr>
          <w:rFonts w:cs="Times New Roman"/>
        </w:rPr>
        <w:t>s</w:t>
      </w:r>
      <w:r w:rsidRPr="00D24884">
        <w:rPr>
          <w:rFonts w:cs="Times New Roman"/>
        </w:rPr>
        <w:t xml:space="preserve"> and practicalities will be relevant </w:t>
      </w:r>
      <w:r>
        <w:rPr>
          <w:rFonts w:cs="Times New Roman"/>
        </w:rPr>
        <w:t>in</w:t>
      </w:r>
      <w:r w:rsidRPr="00D24884">
        <w:rPr>
          <w:rFonts w:cs="Times New Roman"/>
        </w:rPr>
        <w:t xml:space="preserve"> attempts to justify a breach of s. 23, and in attempts to fashion an appropriate and just remedy for a breach.</w:t>
      </w:r>
    </w:p>
    <w:p w:rsidR="001E4C48" w:rsidRPr="00D24884" w:rsidRDefault="001E4C48" w:rsidP="001E4C48">
      <w:pPr>
        <w:pStyle w:val="Title2LevelTitre2Niveau"/>
        <w:widowControl w:val="0"/>
        <w:numPr>
          <w:ilvl w:val="1"/>
          <w:numId w:val="8"/>
        </w:numPr>
        <w:rPr>
          <w:rFonts w:cs="Times New Roman"/>
        </w:rPr>
      </w:pPr>
      <w:r w:rsidRPr="00D24884">
        <w:rPr>
          <w:rFonts w:cs="Times New Roman"/>
        </w:rPr>
        <w:t>Application to This Appeal</w:t>
      </w:r>
    </w:p>
    <w:p w:rsidR="001E4C48" w:rsidRPr="00D24884" w:rsidRDefault="001E4C48" w:rsidP="001E4C48">
      <w:pPr>
        <w:pStyle w:val="Title3LevelTitre3Niveau"/>
        <w:widowControl w:val="0"/>
        <w:numPr>
          <w:ilvl w:val="2"/>
          <w:numId w:val="8"/>
        </w:numPr>
        <w:rPr>
          <w:rFonts w:cs="Times New Roman"/>
        </w:rPr>
      </w:pPr>
      <w:r w:rsidRPr="00D24884">
        <w:rPr>
          <w:rFonts w:cs="Times New Roman"/>
        </w:rPr>
        <w:t>Equivalence</w:t>
      </w:r>
    </w:p>
    <w:p w:rsidR="001E4C48" w:rsidRPr="00D24884" w:rsidRDefault="001E4C48" w:rsidP="001E4C48">
      <w:pPr>
        <w:pStyle w:val="ParaNoNdepar-AltN"/>
        <w:widowControl w:val="0"/>
        <w:rPr>
          <w:rFonts w:cs="Times New Roman"/>
        </w:rPr>
      </w:pPr>
      <w:r w:rsidRPr="00D24884">
        <w:rPr>
          <w:rFonts w:cs="Times New Roman"/>
        </w:rPr>
        <w:t>In the present case, the</w:t>
      </w:r>
      <w:r>
        <w:rPr>
          <w:rFonts w:cs="Times New Roman"/>
        </w:rPr>
        <w:t xml:space="preserve"> petition </w:t>
      </w:r>
      <w:r w:rsidRPr="00D24884">
        <w:rPr>
          <w:rFonts w:cs="Times New Roman"/>
        </w:rPr>
        <w:t>judge made a number of factual findings regarding RDV and neighbouring English</w:t>
      </w:r>
      <w:r>
        <w:rPr>
          <w:rFonts w:cs="Times New Roman"/>
        </w:rPr>
        <w:t>-</w:t>
      </w:r>
      <w:r w:rsidRPr="00D24884">
        <w:rPr>
          <w:rFonts w:cs="Times New Roman"/>
        </w:rPr>
        <w:t>language schools.  He found a number of serious inadequacies at RDV compared to English</w:t>
      </w:r>
      <w:r>
        <w:rPr>
          <w:rFonts w:cs="Times New Roman"/>
        </w:rPr>
        <w:t>-</w:t>
      </w:r>
      <w:r w:rsidRPr="00D24884">
        <w:rPr>
          <w:rFonts w:cs="Times New Roman"/>
        </w:rPr>
        <w:t>language schools in the area.  Many of these are set out at the outset of these reasons.  The inadequacies at RDV are striking.</w:t>
      </w:r>
    </w:p>
    <w:p w:rsidR="001E4C48" w:rsidRPr="00D24884" w:rsidRDefault="001E4C48" w:rsidP="001E4C48">
      <w:pPr>
        <w:pStyle w:val="ParaNoNdepar-AltN"/>
        <w:widowControl w:val="0"/>
        <w:rPr>
          <w:rFonts w:cs="Times New Roman"/>
        </w:rPr>
      </w:pPr>
      <w:r w:rsidRPr="00D24884">
        <w:rPr>
          <w:rFonts w:cs="Times New Roman"/>
        </w:rPr>
        <w:t xml:space="preserve">The judge also determined the number of eligible students living in the </w:t>
      </w:r>
      <w:r>
        <w:rPr>
          <w:rFonts w:cs="Times New Roman"/>
        </w:rPr>
        <w:t>catchment</w:t>
      </w:r>
      <w:r w:rsidRPr="00D24884">
        <w:rPr>
          <w:rFonts w:cs="Times New Roman"/>
        </w:rPr>
        <w:t xml:space="preserve"> area to be at least 710, and found that the Francophone population in the relevant area warrants </w:t>
      </w:r>
      <w:r>
        <w:rPr>
          <w:rFonts w:cs="Times New Roman"/>
        </w:rPr>
        <w:t xml:space="preserve">the </w:t>
      </w:r>
      <w:r w:rsidRPr="00D24884">
        <w:rPr>
          <w:rFonts w:cs="Times New Roman"/>
        </w:rPr>
        <w:t xml:space="preserve">provision of elementary school facilities capable of accommodating approximately 500 students.  As of 2011, 344 students were enrolled at RDV, while the school has an </w:t>
      </w:r>
      <w:r w:rsidRPr="00D24884">
        <w:rPr>
          <w:rFonts w:cs="Times New Roman"/>
          <w:iCs/>
        </w:rPr>
        <w:t>operating capacity</w:t>
      </w:r>
      <w:r w:rsidRPr="00D24884">
        <w:rPr>
          <w:rFonts w:cs="Times New Roman"/>
        </w:rPr>
        <w:t xml:space="preserve"> of only 199 students.  There is both overcrowding and unmet demand at RDV.</w:t>
      </w:r>
    </w:p>
    <w:p w:rsidR="001E4C48" w:rsidRPr="00D24884" w:rsidRDefault="001E4C48" w:rsidP="001E4C48">
      <w:pPr>
        <w:pStyle w:val="ParaNoNdepar-AltN"/>
        <w:widowControl w:val="0"/>
        <w:rPr>
          <w:rFonts w:cs="Times New Roman"/>
        </w:rPr>
      </w:pPr>
      <w:r>
        <w:rPr>
          <w:rFonts w:cs="Times New Roman"/>
        </w:rPr>
        <w:lastRenderedPageBreak/>
        <w:t>As already mentioned, i</w:t>
      </w:r>
      <w:r w:rsidRPr="00D24884">
        <w:rPr>
          <w:rFonts w:cs="Times New Roman"/>
        </w:rPr>
        <w:t>n 1996, the Supreme Court of B</w:t>
      </w:r>
      <w:r>
        <w:rPr>
          <w:rFonts w:cs="Times New Roman"/>
        </w:rPr>
        <w:t xml:space="preserve">ritish </w:t>
      </w:r>
      <w:r w:rsidRPr="00D24884">
        <w:rPr>
          <w:rFonts w:cs="Times New Roman"/>
        </w:rPr>
        <w:t>C</w:t>
      </w:r>
      <w:r>
        <w:rPr>
          <w:rFonts w:cs="Times New Roman"/>
        </w:rPr>
        <w:t>olumbia</w:t>
      </w:r>
      <w:r w:rsidRPr="00D24884">
        <w:rPr>
          <w:rFonts w:cs="Times New Roman"/>
          <w:szCs w:val="24"/>
        </w:rPr>
        <w:t xml:space="preserve"> found that the number of children of rights holders</w:t>
      </w:r>
      <w:r w:rsidRPr="00D24884">
        <w:rPr>
          <w:rFonts w:cs="Times New Roman"/>
        </w:rPr>
        <w:t xml:space="preserve"> in the geographic area of Vancouver/Lower Mainland and Victoria</w:t>
      </w:r>
      <w:r w:rsidRPr="00D24884">
        <w:rPr>
          <w:rFonts w:cs="Times New Roman"/>
          <w:szCs w:val="24"/>
        </w:rPr>
        <w:t xml:space="preserve"> warranted the maximum level of management and control contemplated under s.</w:t>
      </w:r>
      <w:r>
        <w:rPr>
          <w:rFonts w:cs="Times New Roman"/>
          <w:szCs w:val="24"/>
        </w:rPr>
        <w:t xml:space="preserve"> </w:t>
      </w:r>
      <w:r w:rsidRPr="00D24884">
        <w:rPr>
          <w:rFonts w:cs="Times New Roman"/>
          <w:szCs w:val="24"/>
        </w:rPr>
        <w:t>23</w:t>
      </w:r>
      <w:r>
        <w:rPr>
          <w:rFonts w:cs="Times New Roman"/>
          <w:szCs w:val="24"/>
        </w:rPr>
        <w:t xml:space="preserve"> of the </w:t>
      </w:r>
      <w:r>
        <w:rPr>
          <w:rFonts w:cs="Times New Roman"/>
          <w:i/>
          <w:szCs w:val="24"/>
        </w:rPr>
        <w:t>Charter</w:t>
      </w:r>
      <w:r w:rsidRPr="00D24884">
        <w:rPr>
          <w:rFonts w:cs="Times New Roman"/>
        </w:rPr>
        <w:t xml:space="preserve">:  see </w:t>
      </w:r>
      <w:r w:rsidRPr="00C62E9C">
        <w:rPr>
          <w:rFonts w:cs="Times New Roman"/>
          <w:i/>
        </w:rPr>
        <w:t>Assn.</w:t>
      </w:r>
      <w:r w:rsidRPr="00D24884">
        <w:rPr>
          <w:rFonts w:cs="Times New Roman"/>
          <w:i/>
        </w:rPr>
        <w:t xml:space="preserve"> </w:t>
      </w:r>
      <w:r>
        <w:rPr>
          <w:rFonts w:cs="Times New Roman"/>
          <w:i/>
        </w:rPr>
        <w:t>d</w:t>
      </w:r>
      <w:r w:rsidRPr="00D24884">
        <w:rPr>
          <w:rFonts w:cs="Times New Roman"/>
          <w:i/>
        </w:rPr>
        <w:t>es Parents Francophones</w:t>
      </w:r>
      <w:r w:rsidRPr="00D24884">
        <w:rPr>
          <w:rFonts w:cs="Times New Roman"/>
        </w:rPr>
        <w:t xml:space="preserve">.  </w:t>
      </w:r>
      <w:r>
        <w:rPr>
          <w:rFonts w:cs="Times New Roman"/>
        </w:rPr>
        <w:t>A</w:t>
      </w:r>
      <w:r w:rsidRPr="00D24884">
        <w:rPr>
          <w:rFonts w:cs="Times New Roman"/>
        </w:rPr>
        <w:t xml:space="preserve">s of 1996, the minority language community in Vancouver and Victoria was of sufficient numbers to be entitled to the highest threshold of </w:t>
      </w:r>
      <w:r>
        <w:rPr>
          <w:rFonts w:cs="Times New Roman"/>
        </w:rPr>
        <w:t xml:space="preserve">educational </w:t>
      </w:r>
      <w:r w:rsidRPr="00D24884">
        <w:rPr>
          <w:rFonts w:cs="Times New Roman"/>
        </w:rPr>
        <w:t>services anticipated by the sliding scale</w:t>
      </w:r>
      <w:r>
        <w:rPr>
          <w:rFonts w:cs="Times New Roman"/>
        </w:rPr>
        <w:t xml:space="preserve">:  </w:t>
      </w:r>
      <w:r w:rsidRPr="00D24884">
        <w:rPr>
          <w:rFonts w:cs="Times New Roman"/>
        </w:rPr>
        <w:t xml:space="preserve">there were 8,725 eligible children in 1991 (paras. </w:t>
      </w:r>
      <w:r>
        <w:rPr>
          <w:rFonts w:cs="Times New Roman"/>
        </w:rPr>
        <w:t xml:space="preserve">44 and </w:t>
      </w:r>
      <w:r w:rsidRPr="00D24884">
        <w:rPr>
          <w:rFonts w:cs="Times New Roman"/>
        </w:rPr>
        <w:t>53).  There was no suggestion in this appeal that today’s numbers are any less compelling.  It remains clear that the number of rights holders living west of Main Street in Vancouver warrants the highest level of services, and thus educational equivalence with nearby English</w:t>
      </w:r>
      <w:r>
        <w:rPr>
          <w:rFonts w:cs="Times New Roman"/>
        </w:rPr>
        <w:t>-</w:t>
      </w:r>
      <w:r w:rsidRPr="00D24884">
        <w:rPr>
          <w:rFonts w:cs="Times New Roman"/>
        </w:rPr>
        <w:t>language schools.</w:t>
      </w:r>
    </w:p>
    <w:p w:rsidR="001E4C48" w:rsidRPr="00D24884" w:rsidRDefault="001E4C48" w:rsidP="001E4C48">
      <w:pPr>
        <w:pStyle w:val="ParaNoNdepar-AltN"/>
        <w:widowControl w:val="0"/>
        <w:rPr>
          <w:rFonts w:cs="Times New Roman"/>
        </w:rPr>
      </w:pPr>
      <w:r w:rsidRPr="00D24884">
        <w:rPr>
          <w:rFonts w:cs="Times New Roman"/>
        </w:rPr>
        <w:t xml:space="preserve">The </w:t>
      </w:r>
      <w:r>
        <w:rPr>
          <w:rFonts w:cs="Times New Roman"/>
        </w:rPr>
        <w:t xml:space="preserve">petition </w:t>
      </w:r>
      <w:r w:rsidRPr="00D24884">
        <w:rPr>
          <w:rFonts w:cs="Times New Roman"/>
        </w:rPr>
        <w:t>judge applied the correct test to assess equivalence.  In his reasons, he described the test to be applied as follows:</w:t>
      </w:r>
    </w:p>
    <w:p w:rsidR="001E4C48" w:rsidRPr="00D24884" w:rsidRDefault="001E4C48" w:rsidP="001E4C48">
      <w:pPr>
        <w:pStyle w:val="Citation-AltC"/>
        <w:widowControl w:val="0"/>
        <w:ind w:firstLine="274"/>
      </w:pPr>
      <w:r w:rsidRPr="00D24884">
        <w:t>I am of the opinion that in measuring equivalence I should look primarily to factors that influence parental enrollment decisions.  I should look to evidence of the aesthetic qualities of the facilities and their structural integrity as well as evidence of academic outcomes.</w:t>
      </w:r>
      <w:r>
        <w:t xml:space="preserve">  The principal objective of avoiding linguistic assimilation should be borne in mind.  [</w:t>
      </w:r>
      <w:r w:rsidRPr="00D24884">
        <w:t>2012 BCSC 1614, at para. 135</w:t>
      </w:r>
      <w:r>
        <w:t>]</w:t>
      </w:r>
    </w:p>
    <w:p w:rsidR="001E4C48" w:rsidRPr="00D24884" w:rsidRDefault="001E4C48" w:rsidP="001E4C48">
      <w:pPr>
        <w:pStyle w:val="ContinueParaSuitedupar-AltP"/>
        <w:widowControl w:val="0"/>
        <w:rPr>
          <w:rFonts w:cs="Times New Roman"/>
        </w:rPr>
      </w:pPr>
      <w:r w:rsidRPr="00D24884">
        <w:rPr>
          <w:rFonts w:cs="Times New Roman"/>
        </w:rPr>
        <w:t xml:space="preserve">It is clear that the judge understood that both facilities and academics are relevant. With respect to academics, he </w:t>
      </w:r>
      <w:r>
        <w:rPr>
          <w:rFonts w:cs="Times New Roman"/>
        </w:rPr>
        <w:t xml:space="preserve">held that to the extent that academic results contribute to enrollment, they must be considered but do not constitute a substitute for a comprehensive measure of equivalence.  In the present case, the judge </w:t>
      </w:r>
      <w:r w:rsidRPr="00D24884">
        <w:rPr>
          <w:rFonts w:cs="Times New Roman"/>
        </w:rPr>
        <w:t xml:space="preserve">noted:  “[T]he parents and the CSF do not challenge the government’s position that academic results are reasonably good.  Parents are satisfied with the quality of the instruction their </w:t>
      </w:r>
      <w:r w:rsidRPr="00D24884">
        <w:rPr>
          <w:rFonts w:cs="Times New Roman"/>
        </w:rPr>
        <w:lastRenderedPageBreak/>
        <w:t>children are receiving” (para. 13</w:t>
      </w:r>
      <w:r>
        <w:rPr>
          <w:rFonts w:cs="Times New Roman"/>
        </w:rPr>
        <w:t>8</w:t>
      </w:r>
      <w:r w:rsidRPr="00D24884">
        <w:rPr>
          <w:rFonts w:cs="Times New Roman"/>
        </w:rPr>
        <w:t>).</w:t>
      </w:r>
    </w:p>
    <w:p w:rsidR="001E4C48" w:rsidRPr="00D24884" w:rsidRDefault="001E4C48" w:rsidP="001E4C48">
      <w:pPr>
        <w:pStyle w:val="ParaNoNdepar-AltN"/>
        <w:widowControl w:val="0"/>
        <w:rPr>
          <w:rFonts w:cs="Times New Roman"/>
        </w:rPr>
      </w:pPr>
      <w:r w:rsidRPr="00D24884">
        <w:rPr>
          <w:rFonts w:cs="Times New Roman"/>
        </w:rPr>
        <w:t>The judge compared RDV to the English</w:t>
      </w:r>
      <w:r>
        <w:rPr>
          <w:rFonts w:cs="Times New Roman"/>
        </w:rPr>
        <w:t>-</w:t>
      </w:r>
      <w:r w:rsidRPr="00D24884">
        <w:rPr>
          <w:rFonts w:cs="Times New Roman"/>
        </w:rPr>
        <w:t xml:space="preserve">language schools in the relevant catchment area in Vancouver.  </w:t>
      </w:r>
      <w:r>
        <w:rPr>
          <w:rFonts w:cs="Times New Roman"/>
        </w:rPr>
        <w:t>In the circumstances</w:t>
      </w:r>
      <w:r w:rsidRPr="00D24884">
        <w:rPr>
          <w:rFonts w:cs="Times New Roman"/>
        </w:rPr>
        <w:t xml:space="preserve">, this represents an appropriate geographic scope </w:t>
      </w:r>
      <w:r>
        <w:rPr>
          <w:rFonts w:cs="Times New Roman"/>
        </w:rPr>
        <w:t>for the assessment of equivalence</w:t>
      </w:r>
      <w:r w:rsidRPr="00D24884">
        <w:rPr>
          <w:rFonts w:cs="Times New Roman"/>
        </w:rPr>
        <w:t>.</w:t>
      </w:r>
    </w:p>
    <w:p w:rsidR="001E4C48" w:rsidRPr="00D24884" w:rsidRDefault="001E4C48" w:rsidP="001E4C48">
      <w:pPr>
        <w:pStyle w:val="ParaNoNdepar-AltN"/>
        <w:widowControl w:val="0"/>
        <w:rPr>
          <w:rFonts w:cs="Times New Roman"/>
        </w:rPr>
      </w:pPr>
      <w:r w:rsidRPr="00D24884">
        <w:rPr>
          <w:rFonts w:cs="Times New Roman"/>
        </w:rPr>
        <w:t>After reviewing the evidence, the judge concluded that RDV was not equivalent to the majority language schools in the area, stating:</w:t>
      </w:r>
    </w:p>
    <w:p w:rsidR="001E4C48" w:rsidRPr="00D24884" w:rsidRDefault="001E4C48" w:rsidP="001E4C48">
      <w:pPr>
        <w:pStyle w:val="Citation-AltC"/>
        <w:widowControl w:val="0"/>
        <w:ind w:firstLine="274"/>
        <w:rPr>
          <w:lang w:val="en-GB"/>
        </w:rPr>
      </w:pPr>
      <w:r w:rsidRPr="00D24884">
        <w:rPr>
          <w:lang w:val="en-GB"/>
        </w:rPr>
        <w:t xml:space="preserve">I am prepared </w:t>
      </w:r>
      <w:r w:rsidR="00E413D7">
        <w:rPr>
          <w:lang w:val="en-GB"/>
        </w:rPr>
        <w:t>. . .</w:t>
      </w:r>
      <w:r w:rsidRPr="00D24884">
        <w:rPr>
          <w:lang w:val="en-GB"/>
        </w:rPr>
        <w:t xml:space="preserve"> given the evidence with respect to the facilities afforded to students at Rose-des-vents, to say that long travel times in this case are clearly not offset by superior facilities or programs, and that together with inadequate facilities, long travel times act as a disincentive to enrolment, preserve the </w:t>
      </w:r>
      <w:r w:rsidRPr="00E9222A">
        <w:rPr>
          <w:i/>
          <w:lang w:val="en-GB"/>
        </w:rPr>
        <w:t>status quo</w:t>
      </w:r>
      <w:r w:rsidRPr="00D24884">
        <w:rPr>
          <w:lang w:val="en-GB"/>
        </w:rPr>
        <w:t xml:space="preserve">, and defeat the purposes of s. 23 of the </w:t>
      </w:r>
      <w:r w:rsidRPr="00D24884">
        <w:rPr>
          <w:i/>
          <w:lang w:val="en-GB"/>
        </w:rPr>
        <w:t>Charter</w:t>
      </w:r>
      <w:r w:rsidR="00E413D7">
        <w:rPr>
          <w:lang w:val="en-GB"/>
        </w:rPr>
        <w:t>. . . .</w:t>
      </w:r>
      <w:r w:rsidRPr="00D24884">
        <w:rPr>
          <w:lang w:val="en-GB"/>
        </w:rPr>
        <w:t xml:space="preserve"> </w:t>
      </w:r>
      <w:r>
        <w:rPr>
          <w:lang w:val="en-GB"/>
        </w:rPr>
        <w:t xml:space="preserve"> W</w:t>
      </w:r>
      <w:r w:rsidRPr="00D24884">
        <w:rPr>
          <w:lang w:val="en-GB"/>
        </w:rPr>
        <w:t>hat can be said on the evidence is that, collectively, the facilities, including transportation facilities, afforded to the children of rights-holders in the City of Vancouver west of Main Street are presently inadequate to meet the standard of equivalence required to satisfy the constitutional guarantee established by s. 23</w:t>
      </w:r>
      <w:r>
        <w:rPr>
          <w:lang w:val="en-GB"/>
        </w:rPr>
        <w:t>.  [</w:t>
      </w:r>
      <w:r w:rsidRPr="00D24884">
        <w:rPr>
          <w:lang w:val="en-GB"/>
        </w:rPr>
        <w:t>para. 157</w:t>
      </w:r>
      <w:r>
        <w:rPr>
          <w:lang w:val="en-GB"/>
        </w:rPr>
        <w:t>]</w:t>
      </w:r>
    </w:p>
    <w:p w:rsidR="001E4C48" w:rsidRDefault="001E4C48" w:rsidP="001E4C48">
      <w:pPr>
        <w:pStyle w:val="ParaNoNdepar-AltN"/>
        <w:widowControl w:val="0"/>
        <w:rPr>
          <w:rFonts w:cs="Times New Roman"/>
        </w:rPr>
      </w:pPr>
      <w:r w:rsidRPr="00D24884">
        <w:rPr>
          <w:rFonts w:cs="Times New Roman"/>
        </w:rPr>
        <w:t>The judge comprehensively and holistically assessed the relevant factors.  He noted the high quality of instruction and good academic outcomes</w:t>
      </w:r>
      <w:r>
        <w:rPr>
          <w:rFonts w:cs="Times New Roman"/>
        </w:rPr>
        <w:t xml:space="preserve">.  However, in the determination of overall substantive equivalence, he </w:t>
      </w:r>
      <w:r w:rsidRPr="00D24884">
        <w:rPr>
          <w:rFonts w:cs="Times New Roman"/>
        </w:rPr>
        <w:t xml:space="preserve">concluded that the programs offered at RDV were not </w:t>
      </w:r>
      <w:r w:rsidRPr="00D24884">
        <w:rPr>
          <w:rFonts w:cs="Times New Roman"/>
          <w:i/>
        </w:rPr>
        <w:t xml:space="preserve">so </w:t>
      </w:r>
      <w:r w:rsidRPr="00D24884">
        <w:rPr>
          <w:rFonts w:cs="Times New Roman"/>
        </w:rPr>
        <w:t xml:space="preserve">superior as to offset its inadequate facilities, overcrowding and long travel times.  </w:t>
      </w:r>
      <w:r>
        <w:rPr>
          <w:rFonts w:cs="Times New Roman"/>
        </w:rPr>
        <w:t xml:space="preserve">In his opinion, the disparity between the minority and majority language schools was such as to limit enrolment and contribute to assimilation.  </w:t>
      </w:r>
      <w:r w:rsidRPr="00D24884">
        <w:rPr>
          <w:rFonts w:cs="Times New Roman"/>
        </w:rPr>
        <w:t>I can see no error in principle in his analysis.</w:t>
      </w:r>
    </w:p>
    <w:p w:rsidR="001E4C48" w:rsidRPr="00D24884" w:rsidRDefault="001E4C48" w:rsidP="001E4C48">
      <w:pPr>
        <w:pStyle w:val="Title3LevelTitre3Niveau"/>
        <w:widowControl w:val="0"/>
        <w:numPr>
          <w:ilvl w:val="2"/>
          <w:numId w:val="8"/>
        </w:numPr>
        <w:rPr>
          <w:rFonts w:cs="Times New Roman"/>
        </w:rPr>
      </w:pPr>
      <w:r w:rsidRPr="00D24884">
        <w:rPr>
          <w:rFonts w:cs="Times New Roman"/>
        </w:rPr>
        <w:t>The Declaration</w:t>
      </w:r>
    </w:p>
    <w:p w:rsidR="001E4C48" w:rsidRPr="00D24884" w:rsidRDefault="001E4C48" w:rsidP="001E4C48">
      <w:pPr>
        <w:pStyle w:val="ParaNoNdepar-AltN"/>
        <w:widowControl w:val="0"/>
        <w:rPr>
          <w:rFonts w:cs="Times New Roman"/>
        </w:rPr>
      </w:pPr>
      <w:r w:rsidRPr="00D24884">
        <w:rPr>
          <w:rFonts w:cs="Times New Roman"/>
        </w:rPr>
        <w:t>At the end of the first phase</w:t>
      </w:r>
      <w:r>
        <w:rPr>
          <w:rFonts w:cs="Times New Roman"/>
        </w:rPr>
        <w:t xml:space="preserve"> of the proceedings</w:t>
      </w:r>
      <w:r w:rsidRPr="00D24884">
        <w:rPr>
          <w:rFonts w:cs="Times New Roman"/>
        </w:rPr>
        <w:t xml:space="preserve">, the </w:t>
      </w:r>
      <w:r>
        <w:rPr>
          <w:rFonts w:cs="Times New Roman"/>
        </w:rPr>
        <w:t xml:space="preserve">petition </w:t>
      </w:r>
      <w:r w:rsidRPr="00D24884">
        <w:rPr>
          <w:rFonts w:cs="Times New Roman"/>
        </w:rPr>
        <w:t xml:space="preserve">judge issued a </w:t>
      </w:r>
      <w:r w:rsidRPr="00D24884">
        <w:rPr>
          <w:rFonts w:cs="Times New Roman"/>
        </w:rPr>
        <w:lastRenderedPageBreak/>
        <w:t>declaration that the rights holders in the designated area “are not being provided the minority language educational facilities guaranteed to them by s.</w:t>
      </w:r>
      <w:r>
        <w:rPr>
          <w:rFonts w:cs="Times New Roman"/>
        </w:rPr>
        <w:t xml:space="preserve"> </w:t>
      </w:r>
      <w:r w:rsidRPr="00D24884">
        <w:rPr>
          <w:rFonts w:cs="Times New Roman"/>
        </w:rPr>
        <w:t>23”</w:t>
      </w:r>
      <w:r>
        <w:rPr>
          <w:rFonts w:cs="Times New Roman"/>
        </w:rPr>
        <w:t xml:space="preserve"> (2012 BCSC 1614, at para. 160).</w:t>
      </w:r>
    </w:p>
    <w:p w:rsidR="001E4C48" w:rsidRPr="00D24884" w:rsidRDefault="001E4C48" w:rsidP="001E4C48">
      <w:pPr>
        <w:pStyle w:val="ParaNoNdepar-AltN"/>
        <w:widowControl w:val="0"/>
        <w:rPr>
          <w:rFonts w:cs="Times New Roman"/>
        </w:rPr>
      </w:pPr>
      <w:r w:rsidRPr="00D24884">
        <w:rPr>
          <w:rFonts w:cs="Times New Roman"/>
        </w:rPr>
        <w:t xml:space="preserve">The </w:t>
      </w:r>
      <w:r>
        <w:rPr>
          <w:rFonts w:cs="Times New Roman"/>
        </w:rPr>
        <w:t>P</w:t>
      </w:r>
      <w:r w:rsidRPr="00D24884">
        <w:rPr>
          <w:rFonts w:cs="Times New Roman"/>
        </w:rPr>
        <w:t>rovince argues that a court cannot make a finding that a group of s.</w:t>
      </w:r>
      <w:r w:rsidR="00E413D7">
        <w:rPr>
          <w:rFonts w:cs="Times New Roman"/>
        </w:rPr>
        <w:t xml:space="preserve"> </w:t>
      </w:r>
      <w:r w:rsidRPr="00D24884">
        <w:rPr>
          <w:rFonts w:cs="Times New Roman"/>
        </w:rPr>
        <w:t xml:space="preserve">23 rights holders is not receiving what they are entitled to </w:t>
      </w:r>
      <w:r>
        <w:rPr>
          <w:rFonts w:cs="Times New Roman"/>
        </w:rPr>
        <w:t xml:space="preserve">without first determining </w:t>
      </w:r>
      <w:r w:rsidRPr="00D24884">
        <w:rPr>
          <w:rFonts w:cs="Times New Roman"/>
        </w:rPr>
        <w:t xml:space="preserve">responsibility.  In its view, a finding </w:t>
      </w:r>
      <w:r>
        <w:rPr>
          <w:rFonts w:cs="Times New Roman"/>
        </w:rPr>
        <w:t xml:space="preserve">that a minority language school lacks </w:t>
      </w:r>
      <w:r w:rsidRPr="00D24884">
        <w:rPr>
          <w:rFonts w:cs="Times New Roman"/>
        </w:rPr>
        <w:t>equivalence does not equal a finding of a s. 23 breach.</w:t>
      </w:r>
    </w:p>
    <w:p w:rsidR="001E4C48" w:rsidRPr="00D24884" w:rsidRDefault="001E4C48" w:rsidP="001E4C48">
      <w:pPr>
        <w:pStyle w:val="ParaNoNdepar-AltN"/>
        <w:widowControl w:val="0"/>
        <w:rPr>
          <w:rFonts w:cs="Times New Roman"/>
        </w:rPr>
      </w:pPr>
      <w:r w:rsidRPr="00D24884">
        <w:rPr>
          <w:rFonts w:cs="Times New Roman"/>
        </w:rPr>
        <w:t xml:space="preserve">The </w:t>
      </w:r>
      <w:r>
        <w:rPr>
          <w:rFonts w:cs="Times New Roman"/>
        </w:rPr>
        <w:t>P</w:t>
      </w:r>
      <w:r w:rsidRPr="00D24884">
        <w:rPr>
          <w:rFonts w:cs="Times New Roman"/>
        </w:rPr>
        <w:t xml:space="preserve">arents disagree.  They characterize the judge’s conclusion as a finding of a </w:t>
      </w:r>
      <w:r>
        <w:rPr>
          <w:rFonts w:cs="Times New Roman"/>
        </w:rPr>
        <w:t xml:space="preserve">s. 23 </w:t>
      </w:r>
      <w:r w:rsidRPr="00D24884">
        <w:rPr>
          <w:rFonts w:cs="Times New Roman"/>
        </w:rPr>
        <w:t>breach, albeit one that does not assign responsibility for th</w:t>
      </w:r>
      <w:r>
        <w:rPr>
          <w:rFonts w:cs="Times New Roman"/>
        </w:rPr>
        <w:t>at</w:t>
      </w:r>
      <w:r w:rsidRPr="00D24884">
        <w:rPr>
          <w:rFonts w:cs="Times New Roman"/>
        </w:rPr>
        <w:t xml:space="preserve"> breach.  The </w:t>
      </w:r>
      <w:r>
        <w:rPr>
          <w:rFonts w:cs="Times New Roman"/>
        </w:rPr>
        <w:t>P</w:t>
      </w:r>
      <w:r w:rsidRPr="00D24884">
        <w:rPr>
          <w:rFonts w:cs="Times New Roman"/>
        </w:rPr>
        <w:t xml:space="preserve">arents are of the view that a declaration </w:t>
      </w:r>
      <w:r>
        <w:rPr>
          <w:rFonts w:cs="Times New Roman"/>
        </w:rPr>
        <w:t xml:space="preserve">alone </w:t>
      </w:r>
      <w:r w:rsidRPr="00D24884">
        <w:rPr>
          <w:rFonts w:cs="Times New Roman"/>
        </w:rPr>
        <w:t>could be sufficient to facilitate a resolution to the situation.  Section 1 has not been pleaded and has not been extensively argued up to this point in the proceedings.</w:t>
      </w:r>
    </w:p>
    <w:p w:rsidR="001E4C48" w:rsidRPr="00D24884" w:rsidRDefault="001E4C48" w:rsidP="001E4C48">
      <w:pPr>
        <w:pStyle w:val="ParaNoNdepar-AltN"/>
        <w:widowControl w:val="0"/>
        <w:rPr>
          <w:rFonts w:cs="Times New Roman"/>
        </w:rPr>
      </w:pPr>
      <w:r w:rsidRPr="00D24884">
        <w:rPr>
          <w:rFonts w:cs="Times New Roman"/>
        </w:rPr>
        <w:t xml:space="preserve">In my view, the judge’s declaration in this case constitutes a limited, or </w:t>
      </w:r>
      <w:r w:rsidRPr="00D24884">
        <w:rPr>
          <w:rFonts w:cs="Times New Roman"/>
          <w:i/>
        </w:rPr>
        <w:t>prima facie</w:t>
      </w:r>
      <w:r w:rsidRPr="00D24884">
        <w:rPr>
          <w:rFonts w:cs="Times New Roman"/>
        </w:rPr>
        <w:t>, declaration of a breach of s. 23.  In these circumstances, where the children of s. 23 rights holders are entitled to an educational experience equivalent to that of majority language children, there is no difference between a finding of a lack of equivalence and a finding that the</w:t>
      </w:r>
      <w:r>
        <w:rPr>
          <w:rFonts w:cs="Times New Roman"/>
        </w:rPr>
        <w:t xml:space="preserve"> rights holders</w:t>
      </w:r>
      <w:r w:rsidRPr="00D24884">
        <w:rPr>
          <w:rFonts w:cs="Times New Roman"/>
        </w:rPr>
        <w:t xml:space="preserve"> have not received the services to which they are entitled under s. 23.  In effect, unless </w:t>
      </w:r>
      <w:r>
        <w:rPr>
          <w:rFonts w:cs="Times New Roman"/>
        </w:rPr>
        <w:t xml:space="preserve">the absence of equivalence </w:t>
      </w:r>
      <w:r w:rsidRPr="00D24884">
        <w:rPr>
          <w:rFonts w:cs="Times New Roman"/>
        </w:rPr>
        <w:t>can be justified</w:t>
      </w:r>
      <w:r>
        <w:rPr>
          <w:rFonts w:cs="Times New Roman"/>
        </w:rPr>
        <w:t xml:space="preserve"> under s. 1</w:t>
      </w:r>
      <w:r w:rsidRPr="00D24884">
        <w:rPr>
          <w:rFonts w:cs="Times New Roman"/>
        </w:rPr>
        <w:t xml:space="preserve">, it is a violation of the claimants’ </w:t>
      </w:r>
      <w:r w:rsidRPr="00D24884">
        <w:rPr>
          <w:rFonts w:cs="Times New Roman"/>
          <w:i/>
        </w:rPr>
        <w:t>Charter</w:t>
      </w:r>
      <w:r w:rsidRPr="00D24884">
        <w:rPr>
          <w:rFonts w:cs="Times New Roman"/>
        </w:rPr>
        <w:t xml:space="preserve"> rights.  Put differently, what else could save a breach, other than justification</w:t>
      </w:r>
      <w:r w:rsidRPr="00D24884">
        <w:rPr>
          <w:rStyle w:val="CommentReference"/>
          <w:rFonts w:eastAsia="Times New Roman" w:cs="Times New Roman"/>
          <w:lang w:eastAsia="en-CA"/>
        </w:rPr>
        <w:t xml:space="preserve"> </w:t>
      </w:r>
      <w:r w:rsidRPr="00D24884">
        <w:rPr>
          <w:rFonts w:cs="Times New Roman"/>
        </w:rPr>
        <w:t xml:space="preserve">of the failure to provide equivalent services or to allocate sufficient resources?  However, since responsibility for the breach has not yet been assigned ― and leaving open the </w:t>
      </w:r>
      <w:r w:rsidRPr="00D24884">
        <w:rPr>
          <w:rFonts w:cs="Times New Roman"/>
        </w:rPr>
        <w:lastRenderedPageBreak/>
        <w:t xml:space="preserve">possibility that the responsible party or parties may seek to justify the breach ― it cannot be said that the judge’s declaration constitutes a complete finding of a </w:t>
      </w:r>
      <w:r w:rsidRPr="00D24884">
        <w:rPr>
          <w:rFonts w:cs="Times New Roman"/>
          <w:i/>
        </w:rPr>
        <w:t>Charter</w:t>
      </w:r>
      <w:r w:rsidRPr="00D24884">
        <w:rPr>
          <w:rFonts w:cs="Times New Roman"/>
        </w:rPr>
        <w:t xml:space="preserve"> violation.  Indeed, the judge’s careful phrasing of his declaration indicates that he was alive to these complexities.</w:t>
      </w:r>
    </w:p>
    <w:p w:rsidR="001E4C48" w:rsidRPr="00D24884" w:rsidRDefault="001E4C48" w:rsidP="001E4C48">
      <w:pPr>
        <w:pStyle w:val="ParaNoNdepar-AltN"/>
        <w:widowControl w:val="0"/>
        <w:rPr>
          <w:rFonts w:cs="Times New Roman"/>
        </w:rPr>
      </w:pPr>
      <w:r w:rsidRPr="00D24884">
        <w:rPr>
          <w:rFonts w:cs="Times New Roman"/>
        </w:rPr>
        <w:t>Establishing responsibility for the breach may be relevant to crafting an appropriate remedy, should one be necessary.  Even if the CSF w</w:t>
      </w:r>
      <w:r>
        <w:rPr>
          <w:rFonts w:cs="Times New Roman"/>
        </w:rPr>
        <w:t xml:space="preserve">as found, </w:t>
      </w:r>
      <w:r w:rsidRPr="00D24884">
        <w:rPr>
          <w:rFonts w:cs="Times New Roman"/>
        </w:rPr>
        <w:t xml:space="preserve">at a later phase </w:t>
      </w:r>
      <w:r>
        <w:rPr>
          <w:rFonts w:cs="Times New Roman"/>
        </w:rPr>
        <w:t xml:space="preserve">of the proceedings, </w:t>
      </w:r>
      <w:r w:rsidRPr="00D24884">
        <w:rPr>
          <w:rFonts w:cs="Times New Roman"/>
        </w:rPr>
        <w:t xml:space="preserve">to be the </w:t>
      </w:r>
      <w:r w:rsidRPr="00A62142">
        <w:rPr>
          <w:rFonts w:cs="Times New Roman"/>
        </w:rPr>
        <w:t>sole</w:t>
      </w:r>
      <w:r w:rsidRPr="00D24884">
        <w:rPr>
          <w:rFonts w:cs="Times New Roman"/>
        </w:rPr>
        <w:t xml:space="preserve"> party responsible for the </w:t>
      </w:r>
      <w:r>
        <w:rPr>
          <w:rFonts w:cs="Times New Roman"/>
        </w:rPr>
        <w:t>absence</w:t>
      </w:r>
      <w:r w:rsidRPr="00D24884">
        <w:rPr>
          <w:rFonts w:cs="Times New Roman"/>
        </w:rPr>
        <w:t xml:space="preserve"> of equivalence, such a finding would not undermine the judge’s declaration at the conclusion of the first phase.  The </w:t>
      </w:r>
      <w:r w:rsidRPr="00D24884">
        <w:rPr>
          <w:rFonts w:cs="Times New Roman"/>
          <w:i/>
        </w:rPr>
        <w:t xml:space="preserve">Charter </w:t>
      </w:r>
      <w:r w:rsidRPr="00D24884">
        <w:rPr>
          <w:rFonts w:cs="Times New Roman"/>
        </w:rPr>
        <w:t xml:space="preserve">binds both the </w:t>
      </w:r>
      <w:r>
        <w:rPr>
          <w:rFonts w:cs="Times New Roman"/>
        </w:rPr>
        <w:t>P</w:t>
      </w:r>
      <w:r w:rsidRPr="00D24884">
        <w:rPr>
          <w:rFonts w:cs="Times New Roman"/>
        </w:rPr>
        <w:t>rovince and the CSF:</w:t>
      </w:r>
      <w:r>
        <w:rPr>
          <w:rFonts w:cs="Times New Roman"/>
        </w:rPr>
        <w:t xml:space="preserve">  see </w:t>
      </w:r>
      <w:r w:rsidRPr="00D24884">
        <w:rPr>
          <w:rFonts w:cs="Times New Roman"/>
          <w:i/>
          <w:iCs/>
        </w:rPr>
        <w:t>Multani</w:t>
      </w:r>
      <w:r w:rsidRPr="00D24884">
        <w:rPr>
          <w:rFonts w:cs="Times New Roman"/>
          <w:i/>
          <w:iCs/>
          <w:spacing w:val="-6"/>
        </w:rPr>
        <w:t xml:space="preserve"> </w:t>
      </w:r>
      <w:r w:rsidRPr="00D24884">
        <w:rPr>
          <w:rFonts w:cs="Times New Roman"/>
          <w:i/>
          <w:iCs/>
        </w:rPr>
        <w:t>v.</w:t>
      </w:r>
      <w:r w:rsidRPr="00D24884">
        <w:rPr>
          <w:rFonts w:cs="Times New Roman"/>
          <w:i/>
          <w:iCs/>
          <w:spacing w:val="-5"/>
        </w:rPr>
        <w:t xml:space="preserve"> </w:t>
      </w:r>
      <w:r w:rsidRPr="00D24884">
        <w:rPr>
          <w:rFonts w:cs="Times New Roman"/>
          <w:i/>
          <w:iCs/>
          <w:spacing w:val="-1"/>
        </w:rPr>
        <w:t>Commission</w:t>
      </w:r>
      <w:r w:rsidRPr="00D24884">
        <w:rPr>
          <w:rFonts w:cs="Times New Roman"/>
          <w:i/>
          <w:iCs/>
          <w:spacing w:val="-4"/>
        </w:rPr>
        <w:t xml:space="preserve"> </w:t>
      </w:r>
      <w:r w:rsidRPr="00D24884">
        <w:rPr>
          <w:rFonts w:cs="Times New Roman"/>
          <w:i/>
          <w:iCs/>
          <w:spacing w:val="-1"/>
        </w:rPr>
        <w:t>scolaire</w:t>
      </w:r>
      <w:r w:rsidRPr="00D24884">
        <w:rPr>
          <w:rFonts w:cs="Times New Roman"/>
          <w:i/>
          <w:iCs/>
          <w:spacing w:val="-6"/>
        </w:rPr>
        <w:t xml:space="preserve"> </w:t>
      </w:r>
      <w:r w:rsidRPr="00D24884">
        <w:rPr>
          <w:rFonts w:cs="Times New Roman"/>
          <w:i/>
          <w:iCs/>
        </w:rPr>
        <w:t>Marguerite-Bourgeoys</w:t>
      </w:r>
      <w:r w:rsidRPr="00D24884">
        <w:rPr>
          <w:rFonts w:cs="Times New Roman"/>
        </w:rPr>
        <w:t>, 2006 SCC 6,</w:t>
      </w:r>
      <w:r w:rsidRPr="00D24884">
        <w:rPr>
          <w:rFonts w:cs="Times New Roman"/>
          <w:spacing w:val="-4"/>
        </w:rPr>
        <w:t xml:space="preserve"> </w:t>
      </w:r>
      <w:r w:rsidRPr="00D24884">
        <w:rPr>
          <w:rFonts w:cs="Times New Roman"/>
        </w:rPr>
        <w:t>[2006]</w:t>
      </w:r>
      <w:r w:rsidRPr="00D24884">
        <w:rPr>
          <w:rFonts w:cs="Times New Roman"/>
          <w:spacing w:val="-5"/>
        </w:rPr>
        <w:t xml:space="preserve"> </w:t>
      </w:r>
      <w:r w:rsidRPr="00D24884">
        <w:rPr>
          <w:rFonts w:cs="Times New Roman"/>
        </w:rPr>
        <w:t>1</w:t>
      </w:r>
      <w:r w:rsidRPr="00D24884">
        <w:rPr>
          <w:rFonts w:cs="Times New Roman"/>
          <w:spacing w:val="-6"/>
        </w:rPr>
        <w:t xml:space="preserve"> </w:t>
      </w:r>
      <w:r w:rsidRPr="00D24884">
        <w:rPr>
          <w:rFonts w:cs="Times New Roman"/>
          <w:spacing w:val="-1"/>
        </w:rPr>
        <w:t>S.C.R.</w:t>
      </w:r>
      <w:r w:rsidRPr="00D24884">
        <w:rPr>
          <w:rFonts w:cs="Times New Roman"/>
          <w:spacing w:val="-5"/>
        </w:rPr>
        <w:t xml:space="preserve"> </w:t>
      </w:r>
      <w:r w:rsidRPr="00D24884">
        <w:rPr>
          <w:rFonts w:cs="Times New Roman"/>
        </w:rPr>
        <w:t>256, at</w:t>
      </w:r>
      <w:r w:rsidRPr="00D24884">
        <w:rPr>
          <w:rFonts w:cs="Times New Roman"/>
          <w:spacing w:val="-4"/>
        </w:rPr>
        <w:t xml:space="preserve"> </w:t>
      </w:r>
      <w:r w:rsidRPr="00D24884">
        <w:rPr>
          <w:rFonts w:cs="Times New Roman"/>
          <w:spacing w:val="-1"/>
        </w:rPr>
        <w:t>para.</w:t>
      </w:r>
      <w:r w:rsidRPr="00D24884">
        <w:rPr>
          <w:rFonts w:cs="Times New Roman"/>
          <w:spacing w:val="-5"/>
        </w:rPr>
        <w:t xml:space="preserve"> </w:t>
      </w:r>
      <w:r w:rsidRPr="00D24884">
        <w:rPr>
          <w:rFonts w:cs="Times New Roman"/>
          <w:spacing w:val="-1"/>
        </w:rPr>
        <w:t>22</w:t>
      </w:r>
      <w:r>
        <w:rPr>
          <w:rFonts w:cs="Times New Roman"/>
          <w:spacing w:val="-1"/>
        </w:rPr>
        <w:t>.  P</w:t>
      </w:r>
      <w:r w:rsidRPr="00D24884">
        <w:rPr>
          <w:rFonts w:cs="Times New Roman"/>
        </w:rPr>
        <w:t xml:space="preserve">rovinces have mechanisms for overseeing good governance by school boards.  Even if the CSF were found solely responsible for the breach, restoring and maintaining educational equivalence at RDV may require action and expenditure on the part of both the CSF </w:t>
      </w:r>
      <w:r w:rsidRPr="00A62142">
        <w:rPr>
          <w:rFonts w:cs="Times New Roman"/>
        </w:rPr>
        <w:t xml:space="preserve">and </w:t>
      </w:r>
      <w:r w:rsidRPr="00D24884">
        <w:rPr>
          <w:rFonts w:cs="Times New Roman"/>
        </w:rPr>
        <w:t xml:space="preserve">the </w:t>
      </w:r>
      <w:r>
        <w:rPr>
          <w:rFonts w:cs="Times New Roman"/>
        </w:rPr>
        <w:t>P</w:t>
      </w:r>
      <w:r w:rsidRPr="00D24884">
        <w:rPr>
          <w:rFonts w:cs="Times New Roman"/>
        </w:rPr>
        <w:t>rovince.</w:t>
      </w:r>
    </w:p>
    <w:p w:rsidR="001E4C48" w:rsidRPr="00D24884" w:rsidRDefault="001E4C48" w:rsidP="001E4C48">
      <w:pPr>
        <w:pStyle w:val="ParaNoNdepar-AltN"/>
        <w:widowControl w:val="0"/>
        <w:rPr>
          <w:rFonts w:cs="Times New Roman"/>
        </w:rPr>
      </w:pPr>
      <w:r w:rsidRPr="00D24884">
        <w:rPr>
          <w:rFonts w:cs="Times New Roman"/>
        </w:rPr>
        <w:t xml:space="preserve">In summary, the judge’s declaration regarding the lack of s. 23 equivalence represents the equivalent of a declaration of a </w:t>
      </w:r>
      <w:r w:rsidRPr="00D24884">
        <w:rPr>
          <w:rFonts w:cs="Times New Roman"/>
          <w:i/>
        </w:rPr>
        <w:t>prima facie</w:t>
      </w:r>
      <w:r w:rsidRPr="00D24884">
        <w:rPr>
          <w:rFonts w:cs="Times New Roman"/>
        </w:rPr>
        <w:t xml:space="preserve"> breach of s. 23, subject to the future </w:t>
      </w:r>
      <w:r>
        <w:rPr>
          <w:rFonts w:cs="Times New Roman"/>
        </w:rPr>
        <w:t xml:space="preserve">determination of </w:t>
      </w:r>
      <w:r w:rsidRPr="00D24884">
        <w:rPr>
          <w:rFonts w:cs="Times New Roman"/>
        </w:rPr>
        <w:t xml:space="preserve">responsibility, justification for the breach (if </w:t>
      </w:r>
      <w:r>
        <w:rPr>
          <w:rFonts w:cs="Times New Roman"/>
        </w:rPr>
        <w:t>applicable</w:t>
      </w:r>
      <w:r w:rsidRPr="00D24884">
        <w:rPr>
          <w:rFonts w:cs="Times New Roman"/>
        </w:rPr>
        <w:t>), and positive remedy.</w:t>
      </w:r>
    </w:p>
    <w:p w:rsidR="001E4C48" w:rsidRPr="00D24884" w:rsidRDefault="001E4C48" w:rsidP="001E4C48">
      <w:pPr>
        <w:pStyle w:val="Title3LevelTitre3Niveau"/>
        <w:widowControl w:val="0"/>
        <w:numPr>
          <w:ilvl w:val="2"/>
          <w:numId w:val="8"/>
        </w:numPr>
        <w:rPr>
          <w:rFonts w:cs="Times New Roman"/>
        </w:rPr>
      </w:pPr>
      <w:r w:rsidRPr="00D24884">
        <w:rPr>
          <w:rFonts w:cs="Times New Roman"/>
        </w:rPr>
        <w:t>The Effect of the Declaration</w:t>
      </w:r>
    </w:p>
    <w:p w:rsidR="001E4C48" w:rsidRPr="00D24884" w:rsidRDefault="001E4C48" w:rsidP="001E4C48">
      <w:pPr>
        <w:pStyle w:val="ParaNoNdepar-AltN"/>
        <w:widowControl w:val="0"/>
        <w:rPr>
          <w:rFonts w:cs="Times New Roman"/>
        </w:rPr>
      </w:pPr>
      <w:r w:rsidRPr="00D24884">
        <w:rPr>
          <w:rFonts w:cs="Times New Roman"/>
        </w:rPr>
        <w:t xml:space="preserve">As of this stage of the proceedings, any positive remedy remains outstanding.  The </w:t>
      </w:r>
      <w:r>
        <w:rPr>
          <w:rFonts w:cs="Times New Roman"/>
        </w:rPr>
        <w:t xml:space="preserve">petition </w:t>
      </w:r>
      <w:r w:rsidRPr="00D24884">
        <w:rPr>
          <w:rFonts w:cs="Times New Roman"/>
        </w:rPr>
        <w:t xml:space="preserve">judge gave no specific direction to the </w:t>
      </w:r>
      <w:r>
        <w:rPr>
          <w:rFonts w:cs="Times New Roman"/>
        </w:rPr>
        <w:t>P</w:t>
      </w:r>
      <w:r w:rsidRPr="00D24884">
        <w:rPr>
          <w:rFonts w:cs="Times New Roman"/>
        </w:rPr>
        <w:t>rovince or to the CSF.</w:t>
      </w:r>
    </w:p>
    <w:p w:rsidR="001E4C48" w:rsidRPr="00D24884" w:rsidRDefault="001E4C48" w:rsidP="001E4C48">
      <w:pPr>
        <w:pStyle w:val="ParaNoNdepar-AltN"/>
        <w:widowControl w:val="0"/>
        <w:rPr>
          <w:rFonts w:cs="Times New Roman"/>
        </w:rPr>
      </w:pPr>
      <w:r w:rsidRPr="00D24884">
        <w:rPr>
          <w:rFonts w:cs="Times New Roman"/>
        </w:rPr>
        <w:lastRenderedPageBreak/>
        <w:t xml:space="preserve">That said, there is a tradition in Canada of state actors taking </w:t>
      </w:r>
      <w:r w:rsidRPr="00D24884">
        <w:rPr>
          <w:rFonts w:cs="Times New Roman"/>
          <w:i/>
        </w:rPr>
        <w:t xml:space="preserve">Charter </w:t>
      </w:r>
      <w:r w:rsidRPr="00D24884">
        <w:rPr>
          <w:rFonts w:cs="Times New Roman"/>
        </w:rPr>
        <w:t>declarations seriously: see, e.g., P.</w:t>
      </w:r>
      <w:r>
        <w:rPr>
          <w:rFonts w:cs="Times New Roman"/>
        </w:rPr>
        <w:t xml:space="preserve"> </w:t>
      </w:r>
      <w:r w:rsidRPr="00D24884">
        <w:rPr>
          <w:rFonts w:cs="Times New Roman"/>
        </w:rPr>
        <w:t xml:space="preserve">W. Hogg, </w:t>
      </w:r>
      <w:r w:rsidRPr="00D24884">
        <w:rPr>
          <w:rFonts w:cs="Times New Roman"/>
          <w:i/>
        </w:rPr>
        <w:t>Constitutional Law of Canada</w:t>
      </w:r>
      <w:r w:rsidRPr="00D24884">
        <w:rPr>
          <w:rFonts w:cs="Times New Roman"/>
        </w:rPr>
        <w:t xml:space="preserve"> (</w:t>
      </w:r>
      <w:r>
        <w:rPr>
          <w:rFonts w:cs="Times New Roman"/>
        </w:rPr>
        <w:t>5</w:t>
      </w:r>
      <w:r w:rsidRPr="005D0B58">
        <w:rPr>
          <w:rFonts w:cs="Times New Roman"/>
        </w:rPr>
        <w:t>th</w:t>
      </w:r>
      <w:r>
        <w:rPr>
          <w:rFonts w:cs="Times New Roman"/>
        </w:rPr>
        <w:t xml:space="preserve"> ed. Supp.</w:t>
      </w:r>
      <w:r w:rsidRPr="00D24884">
        <w:rPr>
          <w:rFonts w:cs="Times New Roman"/>
        </w:rPr>
        <w:t xml:space="preserve">), at p. 40-37.  As this Court noted in </w:t>
      </w:r>
      <w:r w:rsidRPr="00D24884">
        <w:rPr>
          <w:rFonts w:cs="Times New Roman"/>
          <w:i/>
        </w:rPr>
        <w:t>Doucet-Boudreau</w:t>
      </w:r>
      <w:r w:rsidRPr="00D24884">
        <w:rPr>
          <w:rFonts w:cs="Times New Roman"/>
        </w:rPr>
        <w:t xml:space="preserve">, “[t]he assumption underlying this choice of remedy is that governments will comply with the declaration promptly and fully” </w:t>
      </w:r>
      <w:r>
        <w:rPr>
          <w:rFonts w:cs="Times New Roman"/>
        </w:rPr>
        <w:t>(</w:t>
      </w:r>
      <w:r w:rsidRPr="00D24884">
        <w:rPr>
          <w:rFonts w:cs="Times New Roman"/>
        </w:rPr>
        <w:t>para. 62</w:t>
      </w:r>
      <w:r>
        <w:rPr>
          <w:rFonts w:cs="Times New Roman"/>
        </w:rPr>
        <w:t>)</w:t>
      </w:r>
      <w:r w:rsidRPr="00D24884">
        <w:rPr>
          <w:rFonts w:cs="Times New Roman"/>
        </w:rPr>
        <w:t xml:space="preserve">.  Indeed, this represents one reason why courts often choose to issue declarations in the context of s. 23 </w:t>
      </w:r>
      <w:r>
        <w:rPr>
          <w:rFonts w:cs="Times New Roman"/>
        </w:rPr>
        <w:t>(</w:t>
      </w:r>
      <w:r w:rsidRPr="00D24884">
        <w:rPr>
          <w:rFonts w:cs="Times New Roman"/>
        </w:rPr>
        <w:t xml:space="preserve">M. Doucet, “L’article 23 de la </w:t>
      </w:r>
      <w:r w:rsidRPr="005D0B58">
        <w:rPr>
          <w:rFonts w:cs="Times New Roman"/>
          <w:i/>
        </w:rPr>
        <w:t>Charte canadienne des droits et libertés</w:t>
      </w:r>
      <w:r w:rsidRPr="00D24884">
        <w:rPr>
          <w:rFonts w:cs="Times New Roman"/>
        </w:rPr>
        <w:t xml:space="preserve">” (2013), 62 </w:t>
      </w:r>
      <w:r w:rsidRPr="005D0B58">
        <w:rPr>
          <w:rFonts w:cs="Times New Roman"/>
          <w:i/>
        </w:rPr>
        <w:t>S.C.L.R.</w:t>
      </w:r>
      <w:r w:rsidRPr="00D24884">
        <w:rPr>
          <w:rFonts w:cs="Times New Roman"/>
        </w:rPr>
        <w:t xml:space="preserve"> (2d) 421, at </w:t>
      </w:r>
      <w:r>
        <w:rPr>
          <w:rFonts w:cs="Times New Roman"/>
        </w:rPr>
        <w:t>pp. 462-63)</w:t>
      </w:r>
      <w:r w:rsidRPr="00D24884">
        <w:rPr>
          <w:rFonts w:cs="Times New Roman"/>
        </w:rPr>
        <w:t>.</w:t>
      </w:r>
    </w:p>
    <w:p w:rsidR="001E4C48" w:rsidRPr="00D24884" w:rsidRDefault="001E4C48" w:rsidP="001E4C48">
      <w:pPr>
        <w:pStyle w:val="ParaNoNdepar-AltN"/>
        <w:widowControl w:val="0"/>
        <w:rPr>
          <w:rFonts w:cs="Times New Roman"/>
        </w:rPr>
      </w:pPr>
      <w:r w:rsidRPr="00D24884">
        <w:rPr>
          <w:rFonts w:cs="Times New Roman"/>
        </w:rPr>
        <w:t xml:space="preserve">The </w:t>
      </w:r>
      <w:r>
        <w:rPr>
          <w:rFonts w:cs="Times New Roman"/>
        </w:rPr>
        <w:t>P</w:t>
      </w:r>
      <w:r w:rsidRPr="00D24884">
        <w:rPr>
          <w:rFonts w:cs="Times New Roman"/>
        </w:rPr>
        <w:t xml:space="preserve">arents hope that as a result of this declaration, the </w:t>
      </w:r>
      <w:r w:rsidRPr="00D24884">
        <w:rPr>
          <w:rFonts w:cs="Times New Roman"/>
          <w:iCs/>
        </w:rPr>
        <w:t xml:space="preserve">main actors implicated ― the </w:t>
      </w:r>
      <w:r>
        <w:rPr>
          <w:rFonts w:cs="Times New Roman"/>
          <w:iCs/>
        </w:rPr>
        <w:t>P</w:t>
      </w:r>
      <w:r w:rsidRPr="00D24884">
        <w:rPr>
          <w:rFonts w:cs="Times New Roman"/>
          <w:iCs/>
        </w:rPr>
        <w:t xml:space="preserve">rovince and the CSF ― will recognize the need to promptly address the inadequate facilities at RDV.  They hope </w:t>
      </w:r>
      <w:r>
        <w:rPr>
          <w:rFonts w:cs="Times New Roman"/>
          <w:iCs/>
        </w:rPr>
        <w:t xml:space="preserve">that </w:t>
      </w:r>
      <w:r w:rsidRPr="00D24884">
        <w:rPr>
          <w:rFonts w:cs="Times New Roman"/>
          <w:iCs/>
        </w:rPr>
        <w:t>there is no need to await the outcome of the province-wide litigation, or any subsequent phase of this litigation.</w:t>
      </w:r>
    </w:p>
    <w:p w:rsidR="001E4C48" w:rsidRPr="00D24884" w:rsidRDefault="001E4C48" w:rsidP="001E4C48">
      <w:pPr>
        <w:pStyle w:val="ParaNoNdepar-AltN"/>
        <w:widowControl w:val="0"/>
        <w:rPr>
          <w:rFonts w:cs="Times New Roman"/>
        </w:rPr>
      </w:pPr>
      <w:r w:rsidRPr="00D24884">
        <w:rPr>
          <w:rFonts w:cs="Times New Roman"/>
          <w:iCs/>
        </w:rPr>
        <w:t xml:space="preserve">The declaratory relief granted by the judge at the conclusion of the first phase of litigation defers to the parties, allowing them to determine among themselves the best course of action to remedy the lack of equivalence (see </w:t>
      </w:r>
      <w:r w:rsidRPr="00D24884">
        <w:rPr>
          <w:rFonts w:cs="Times New Roman"/>
          <w:i/>
          <w:iCs/>
        </w:rPr>
        <w:t>Mahe</w:t>
      </w:r>
      <w:r w:rsidRPr="00D24884">
        <w:rPr>
          <w:rFonts w:cs="Times New Roman"/>
          <w:iCs/>
        </w:rPr>
        <w:t>,</w:t>
      </w:r>
      <w:r w:rsidRPr="00D24884">
        <w:rPr>
          <w:rFonts w:cs="Times New Roman"/>
          <w:i/>
          <w:iCs/>
        </w:rPr>
        <w:t xml:space="preserve"> </w:t>
      </w:r>
      <w:r w:rsidRPr="00D24884">
        <w:rPr>
          <w:rFonts w:cs="Times New Roman"/>
          <w:iCs/>
        </w:rPr>
        <w:t xml:space="preserve">at pp. 392-93).  </w:t>
      </w:r>
      <w:r w:rsidRPr="00D24884">
        <w:rPr>
          <w:rFonts w:cs="Times New Roman"/>
        </w:rPr>
        <w:t>To the extent that there are disputes between a provincial ministry of education and a minority language school board over how best to ensure compliance with the requirements of s. 23, these disputes should be worked out between those parties whenever possible.  While parents may have representation on school boards, and thus have a degree of input over school board priorities, school boards are also governmental actors</w:t>
      </w:r>
      <w:r>
        <w:rPr>
          <w:rFonts w:cs="Times New Roman"/>
        </w:rPr>
        <w:t>.</w:t>
      </w:r>
      <w:r w:rsidRPr="00D24884">
        <w:rPr>
          <w:rFonts w:cs="Times New Roman"/>
        </w:rPr>
        <w:t xml:space="preserve">  It does not play to the institutional strength of courts to have judges participate deeply in operational questions, such as detailed decisions surrounding the construction of a new school facility.  </w:t>
      </w:r>
      <w:r>
        <w:rPr>
          <w:rFonts w:cs="Times New Roman"/>
        </w:rPr>
        <w:t>I</w:t>
      </w:r>
      <w:r w:rsidRPr="00D24884">
        <w:rPr>
          <w:rFonts w:cs="Times New Roman"/>
        </w:rPr>
        <w:t xml:space="preserve">n the face of competing </w:t>
      </w:r>
      <w:r w:rsidRPr="00D24884">
        <w:rPr>
          <w:rFonts w:cs="Times New Roman"/>
        </w:rPr>
        <w:lastRenderedPageBreak/>
        <w:t>resource demands and the imperfect realities of day-to-day management of an education system</w:t>
      </w:r>
      <w:r>
        <w:rPr>
          <w:rFonts w:cs="Times New Roman"/>
        </w:rPr>
        <w:t xml:space="preserve">, s. </w:t>
      </w:r>
      <w:r w:rsidRPr="00D24884">
        <w:rPr>
          <w:rFonts w:cs="Times New Roman"/>
        </w:rPr>
        <w:t xml:space="preserve">23 </w:t>
      </w:r>
      <w:r>
        <w:rPr>
          <w:rFonts w:cs="Times New Roman"/>
        </w:rPr>
        <w:t xml:space="preserve">of the </w:t>
      </w:r>
      <w:r w:rsidRPr="000476AE">
        <w:rPr>
          <w:rFonts w:cs="Times New Roman"/>
          <w:i/>
        </w:rPr>
        <w:t>Charter</w:t>
      </w:r>
      <w:r>
        <w:rPr>
          <w:rFonts w:cs="Times New Roman"/>
        </w:rPr>
        <w:t xml:space="preserve"> </w:t>
      </w:r>
      <w:r w:rsidRPr="000476AE">
        <w:rPr>
          <w:rFonts w:cs="Times New Roman"/>
        </w:rPr>
        <w:t>requires</w:t>
      </w:r>
      <w:r w:rsidRPr="00D24884">
        <w:rPr>
          <w:rFonts w:cs="Times New Roman"/>
        </w:rPr>
        <w:t xml:space="preserve"> good faith on the part of all interested parties to ensure substantive equivalence for rights holders.</w:t>
      </w:r>
    </w:p>
    <w:p w:rsidR="001E4C48" w:rsidRPr="00163BF7" w:rsidRDefault="001E4C48" w:rsidP="001E4C48">
      <w:pPr>
        <w:pStyle w:val="ParaNoNdepar-AltN"/>
        <w:widowControl w:val="0"/>
        <w:rPr>
          <w:rFonts w:cs="Times New Roman"/>
        </w:rPr>
      </w:pPr>
      <w:r w:rsidRPr="00D24884">
        <w:rPr>
          <w:rFonts w:cs="Times New Roman"/>
        </w:rPr>
        <w:t xml:space="preserve">As this Court noted in </w:t>
      </w:r>
      <w:r w:rsidRPr="00D24884">
        <w:rPr>
          <w:rFonts w:cs="Times New Roman"/>
          <w:i/>
        </w:rPr>
        <w:t>Doucet-Boudreau</w:t>
      </w:r>
      <w:r w:rsidRPr="00D24884">
        <w:rPr>
          <w:rFonts w:cs="Times New Roman"/>
        </w:rPr>
        <w:t>, “</w:t>
      </w:r>
      <w:r>
        <w:rPr>
          <w:rFonts w:cs="Times New Roman"/>
        </w:rPr>
        <w:t>[</w:t>
      </w:r>
      <w:r w:rsidRPr="00D24884">
        <w:rPr>
          <w:rFonts w:cs="Times New Roman"/>
        </w:rPr>
        <w:t>f</w:t>
      </w:r>
      <w:r>
        <w:rPr>
          <w:rFonts w:cs="Times New Roman"/>
        </w:rPr>
        <w:t>]</w:t>
      </w:r>
      <w:r w:rsidRPr="00D24884">
        <w:rPr>
          <w:rFonts w:cs="Times New Roman"/>
        </w:rPr>
        <w:t xml:space="preserve">or every school year that governments do not meet their obligations under s. 23, there is an increased likelihood of assimilation”, which undermines the remedial goals of s. 23 (para. 29).  </w:t>
      </w:r>
      <w:r w:rsidRPr="00D24884">
        <w:rPr>
          <w:rFonts w:cs="Times New Roman"/>
          <w:iCs/>
        </w:rPr>
        <w:t>The situation is urgent.</w:t>
      </w:r>
    </w:p>
    <w:p w:rsidR="001E4C48" w:rsidRPr="00D24884" w:rsidRDefault="001E4C48" w:rsidP="001E4C48">
      <w:pPr>
        <w:pStyle w:val="Title3LevelTitre3Niveau"/>
        <w:widowControl w:val="0"/>
        <w:numPr>
          <w:ilvl w:val="2"/>
          <w:numId w:val="8"/>
        </w:numPr>
        <w:rPr>
          <w:rFonts w:cs="Times New Roman"/>
        </w:rPr>
      </w:pPr>
      <w:r w:rsidRPr="00D24884">
        <w:rPr>
          <w:rFonts w:cs="Times New Roman"/>
        </w:rPr>
        <w:t>Organization of the Proceedings</w:t>
      </w:r>
    </w:p>
    <w:p w:rsidR="001E4C48" w:rsidRPr="00D24884" w:rsidRDefault="001E4C48" w:rsidP="001E4C48">
      <w:pPr>
        <w:pStyle w:val="Title4LevelTitre4Niveau"/>
        <w:widowControl w:val="0"/>
        <w:numPr>
          <w:ilvl w:val="3"/>
          <w:numId w:val="8"/>
        </w:numPr>
        <w:rPr>
          <w:rFonts w:cs="Times New Roman"/>
        </w:rPr>
      </w:pPr>
      <w:r w:rsidRPr="00D24884">
        <w:rPr>
          <w:rFonts w:cs="Times New Roman"/>
        </w:rPr>
        <w:t>Justice Willcock’s Phasing Order</w:t>
      </w:r>
    </w:p>
    <w:p w:rsidR="001E4C48" w:rsidRPr="00D24884" w:rsidRDefault="001E4C48" w:rsidP="001E4C48">
      <w:pPr>
        <w:pStyle w:val="ParaNoNdepar-AltN"/>
        <w:widowControl w:val="0"/>
        <w:rPr>
          <w:rFonts w:cs="Times New Roman"/>
        </w:rPr>
      </w:pPr>
      <w:r w:rsidRPr="00D24884">
        <w:rPr>
          <w:rFonts w:cs="Times New Roman"/>
        </w:rPr>
        <w:t>Properly structured, communicated, and understood, phasing can facilitate access to justice by ordering a proceeding in such a way as to resolve first those issues that can be dealt with more expeditiously, while leaving to later phases more time-consuming or complex issues, particularly where</w:t>
      </w:r>
      <w:r>
        <w:rPr>
          <w:rFonts w:cs="Times New Roman"/>
        </w:rPr>
        <w:t xml:space="preserve"> it </w:t>
      </w:r>
      <w:r w:rsidRPr="00D24884">
        <w:rPr>
          <w:rFonts w:cs="Times New Roman"/>
        </w:rPr>
        <w:t xml:space="preserve">may prove </w:t>
      </w:r>
      <w:r>
        <w:rPr>
          <w:rFonts w:cs="Times New Roman"/>
        </w:rPr>
        <w:t xml:space="preserve">unnecessary </w:t>
      </w:r>
      <w:r w:rsidRPr="00D24884">
        <w:rPr>
          <w:rFonts w:cs="Times New Roman"/>
        </w:rPr>
        <w:t>to engage the later stages.  This can be particularly important in litigation involving s.</w:t>
      </w:r>
      <w:r w:rsidR="00E413D7">
        <w:rPr>
          <w:rFonts w:cs="Times New Roman"/>
        </w:rPr>
        <w:t xml:space="preserve"> </w:t>
      </w:r>
      <w:r w:rsidRPr="00D24884">
        <w:rPr>
          <w:rFonts w:cs="Times New Roman"/>
        </w:rPr>
        <w:t>23</w:t>
      </w:r>
      <w:r>
        <w:rPr>
          <w:rFonts w:cs="Times New Roman"/>
        </w:rPr>
        <w:t xml:space="preserve"> of the </w:t>
      </w:r>
      <w:r>
        <w:rPr>
          <w:rFonts w:cs="Times New Roman"/>
          <w:i/>
        </w:rPr>
        <w:t>Charter</w:t>
      </w:r>
      <w:r w:rsidRPr="00D24884">
        <w:rPr>
          <w:rFonts w:cs="Times New Roman"/>
        </w:rPr>
        <w:t>.  For this reason, it is understandable that minority language education rights holders would seek a timely determination of whether or not they are receiving the services required by s. 23.</w:t>
      </w:r>
    </w:p>
    <w:p w:rsidR="001E4C48" w:rsidRPr="00D24884" w:rsidRDefault="001E4C48" w:rsidP="001E4C48">
      <w:pPr>
        <w:pStyle w:val="ParaNoNdepar-AltN"/>
        <w:widowControl w:val="0"/>
        <w:rPr>
          <w:rFonts w:cs="Times New Roman"/>
        </w:rPr>
      </w:pPr>
      <w:r w:rsidRPr="00D24884">
        <w:rPr>
          <w:rFonts w:cs="Times New Roman"/>
        </w:rPr>
        <w:t>This interest in the timely determination of s. 23 rights does not mean that normal rules of procedural fairness cease to apply.  However, it is relevant to the exercise of a judge’s discretion to use phasing or other types of creative structuring of proceedings.</w:t>
      </w:r>
    </w:p>
    <w:p w:rsidR="001E4C48" w:rsidRPr="00D24884" w:rsidRDefault="001E4C48" w:rsidP="001E4C48">
      <w:pPr>
        <w:pStyle w:val="ParaNoNdepar-AltN"/>
        <w:widowControl w:val="0"/>
        <w:rPr>
          <w:rFonts w:cs="Times New Roman"/>
        </w:rPr>
      </w:pPr>
      <w:r w:rsidRPr="00D24884">
        <w:rPr>
          <w:rFonts w:cs="Times New Roman"/>
        </w:rPr>
        <w:lastRenderedPageBreak/>
        <w:t xml:space="preserve">In this case, the </w:t>
      </w:r>
      <w:r>
        <w:rPr>
          <w:rFonts w:cs="Times New Roman"/>
        </w:rPr>
        <w:t xml:space="preserve">petition </w:t>
      </w:r>
      <w:r w:rsidRPr="00D24884">
        <w:rPr>
          <w:rFonts w:cs="Times New Roman"/>
        </w:rPr>
        <w:t xml:space="preserve">judge phased the proceedings in light of the limited nature of the </w:t>
      </w:r>
      <w:r>
        <w:rPr>
          <w:rFonts w:cs="Times New Roman"/>
        </w:rPr>
        <w:t>P</w:t>
      </w:r>
      <w:r w:rsidRPr="00D24884">
        <w:rPr>
          <w:rFonts w:cs="Times New Roman"/>
        </w:rPr>
        <w:t xml:space="preserve">arents’ requested relief, taking into consideration the efficient use of judicial resources and the special nature of s. 23.  </w:t>
      </w:r>
      <w:r>
        <w:rPr>
          <w:rFonts w:cs="Times New Roman"/>
        </w:rPr>
        <w:t>Determining r</w:t>
      </w:r>
      <w:r w:rsidRPr="00D24884">
        <w:rPr>
          <w:rFonts w:cs="Times New Roman"/>
        </w:rPr>
        <w:t>esponsibility for the breach was left for a subsequent phase of proceedings, if necessary.</w:t>
      </w:r>
    </w:p>
    <w:p w:rsidR="001E4C48" w:rsidRPr="00D24884" w:rsidRDefault="001E4C48" w:rsidP="001E4C48">
      <w:pPr>
        <w:pStyle w:val="ParaNoNdepar-AltN"/>
        <w:widowControl w:val="0"/>
        <w:rPr>
          <w:rFonts w:cs="Times New Roman"/>
        </w:rPr>
      </w:pPr>
      <w:r w:rsidRPr="00D24884">
        <w:rPr>
          <w:rFonts w:cs="Times New Roman"/>
        </w:rPr>
        <w:t xml:space="preserve">Additionally, the </w:t>
      </w:r>
      <w:r>
        <w:rPr>
          <w:rFonts w:cs="Times New Roman"/>
        </w:rPr>
        <w:t xml:space="preserve">ongoing </w:t>
      </w:r>
      <w:r w:rsidRPr="00D24884">
        <w:rPr>
          <w:rFonts w:cs="Times New Roman"/>
        </w:rPr>
        <w:t>litigation</w:t>
      </w:r>
      <w:r>
        <w:rPr>
          <w:rFonts w:cs="Times New Roman"/>
        </w:rPr>
        <w:t xml:space="preserve"> between the CSF and the Province</w:t>
      </w:r>
      <w:r w:rsidRPr="00D24884">
        <w:rPr>
          <w:rFonts w:cs="Times New Roman"/>
        </w:rPr>
        <w:t xml:space="preserve"> involves the apportionment of responsibility for alleged s. 23 breaches on a province-wide scale</w:t>
      </w:r>
      <w:r>
        <w:rPr>
          <w:rFonts w:cs="Times New Roman"/>
        </w:rPr>
        <w:t xml:space="preserve">.  The outcome of that litigation </w:t>
      </w:r>
      <w:r w:rsidRPr="00D24884">
        <w:rPr>
          <w:rFonts w:cs="Times New Roman"/>
        </w:rPr>
        <w:t xml:space="preserve">may impact the future course of the proceedings under appeal here.  </w:t>
      </w:r>
      <w:r>
        <w:rPr>
          <w:rFonts w:cs="Times New Roman"/>
        </w:rPr>
        <w:t xml:space="preserve">From the Parents’ perspective, </w:t>
      </w:r>
      <w:r w:rsidRPr="00D24884">
        <w:rPr>
          <w:rFonts w:cs="Times New Roman"/>
        </w:rPr>
        <w:t>the outcome of the province-wide litigation may obviate the need for a subsequent phase of these proceedings.</w:t>
      </w:r>
    </w:p>
    <w:p w:rsidR="001E4C48" w:rsidRPr="00D24884" w:rsidRDefault="001E4C48" w:rsidP="001E4C48">
      <w:pPr>
        <w:pStyle w:val="ParaNoNdepar-AltN"/>
        <w:widowControl w:val="0"/>
        <w:rPr>
          <w:rFonts w:cs="Times New Roman"/>
        </w:rPr>
      </w:pPr>
      <w:r w:rsidRPr="00D24884">
        <w:rPr>
          <w:rFonts w:cs="Times New Roman"/>
        </w:rPr>
        <w:t xml:space="preserve">Responsibility for the breach </w:t>
      </w:r>
      <w:r>
        <w:rPr>
          <w:rFonts w:cs="Times New Roman"/>
        </w:rPr>
        <w:t xml:space="preserve">at issue here </w:t>
      </w:r>
      <w:r w:rsidRPr="00D24884">
        <w:rPr>
          <w:rFonts w:cs="Times New Roman"/>
        </w:rPr>
        <w:t xml:space="preserve">cannot be determined until the next phase of proceedings.  </w:t>
      </w:r>
      <w:r>
        <w:rPr>
          <w:rFonts w:cs="Times New Roman"/>
        </w:rPr>
        <w:t>D</w:t>
      </w:r>
      <w:r w:rsidRPr="00D24884">
        <w:rPr>
          <w:rFonts w:cs="Times New Roman"/>
        </w:rPr>
        <w:t xml:space="preserve">ivision of responsibility will determine where the burden of justifying </w:t>
      </w:r>
      <w:r>
        <w:rPr>
          <w:rFonts w:cs="Times New Roman"/>
        </w:rPr>
        <w:t xml:space="preserve">the </w:t>
      </w:r>
      <w:r w:rsidRPr="00D24884">
        <w:rPr>
          <w:rFonts w:cs="Times New Roman"/>
        </w:rPr>
        <w:t>s. 23 violation lies</w:t>
      </w:r>
      <w:r>
        <w:rPr>
          <w:rFonts w:cs="Times New Roman"/>
        </w:rPr>
        <w:t>, if a s. 1 argument is raised</w:t>
      </w:r>
      <w:r w:rsidRPr="00D24884">
        <w:rPr>
          <w:rFonts w:cs="Times New Roman"/>
        </w:rPr>
        <w:t>.  Similarly, the division of responsibility would most likely precede any substantive remedial orders.</w:t>
      </w:r>
    </w:p>
    <w:p w:rsidR="001E4C48" w:rsidRPr="00D24884" w:rsidRDefault="001E4C48" w:rsidP="001E4C48">
      <w:pPr>
        <w:pStyle w:val="Title4LevelTitre4Niveau"/>
        <w:widowControl w:val="0"/>
        <w:numPr>
          <w:ilvl w:val="3"/>
          <w:numId w:val="8"/>
        </w:numPr>
        <w:rPr>
          <w:rFonts w:cs="Times New Roman"/>
        </w:rPr>
      </w:pPr>
      <w:r w:rsidRPr="00D24884">
        <w:rPr>
          <w:rFonts w:cs="Times New Roman"/>
        </w:rPr>
        <w:t>Striking of Pleadings and Procedural Directions</w:t>
      </w:r>
    </w:p>
    <w:p w:rsidR="001E4C48" w:rsidRPr="00D24884" w:rsidRDefault="001E4C48" w:rsidP="001E4C48">
      <w:pPr>
        <w:pStyle w:val="ParaNoNdepar-AltN"/>
        <w:widowControl w:val="0"/>
        <w:rPr>
          <w:rFonts w:cs="Times New Roman"/>
        </w:rPr>
      </w:pPr>
      <w:r w:rsidRPr="00D24884">
        <w:rPr>
          <w:rFonts w:cs="Times New Roman"/>
        </w:rPr>
        <w:t xml:space="preserve">Given the phasing of the petition, the portions of the </w:t>
      </w:r>
      <w:r>
        <w:rPr>
          <w:rFonts w:cs="Times New Roman"/>
        </w:rPr>
        <w:t>P</w:t>
      </w:r>
      <w:r w:rsidRPr="00D24884">
        <w:rPr>
          <w:rFonts w:cs="Times New Roman"/>
        </w:rPr>
        <w:t xml:space="preserve">rovince’s pleadings struck by the judge were not relevant to the first-phase inquiry into equivalence.  In the circumstances, it was open to the judge to strike those portions of the </w:t>
      </w:r>
      <w:r>
        <w:rPr>
          <w:rFonts w:cs="Times New Roman"/>
        </w:rPr>
        <w:t>P</w:t>
      </w:r>
      <w:r w:rsidRPr="00D24884">
        <w:rPr>
          <w:rFonts w:cs="Times New Roman"/>
        </w:rPr>
        <w:t xml:space="preserve">rovince’s pleadings.  Further, the judge was entitled to decline to hear evidence on the question of responsibility for any inadequacies at RDV.  While the judge’s communication of the phasing </w:t>
      </w:r>
      <w:r>
        <w:rPr>
          <w:rFonts w:cs="Times New Roman"/>
        </w:rPr>
        <w:t>of the petition</w:t>
      </w:r>
      <w:r w:rsidRPr="00D24884">
        <w:rPr>
          <w:rFonts w:cs="Times New Roman"/>
        </w:rPr>
        <w:t xml:space="preserve"> was perhaps not as clear as it might have been, this did not result in any prejudice to the parties.  It was clear throughout the proceedings that the </w:t>
      </w:r>
      <w:r w:rsidRPr="00D24884">
        <w:rPr>
          <w:rFonts w:cs="Times New Roman"/>
        </w:rPr>
        <w:lastRenderedPageBreak/>
        <w:t>judge would not assign responsibility for any s. 23 breach or fashion any remedy as part of the first phase.</w:t>
      </w:r>
    </w:p>
    <w:p w:rsidR="001E4C48" w:rsidRPr="00D24884" w:rsidRDefault="001E4C48" w:rsidP="001E4C48">
      <w:pPr>
        <w:pStyle w:val="ParaNoNdepar-AltN"/>
        <w:widowControl w:val="0"/>
        <w:rPr>
          <w:rFonts w:cs="Times New Roman"/>
        </w:rPr>
      </w:pPr>
      <w:r w:rsidRPr="00D24884">
        <w:rPr>
          <w:rFonts w:cs="Times New Roman"/>
        </w:rPr>
        <w:t xml:space="preserve">The </w:t>
      </w:r>
      <w:r>
        <w:rPr>
          <w:rFonts w:cs="Times New Roman"/>
        </w:rPr>
        <w:t>P</w:t>
      </w:r>
      <w:r w:rsidRPr="00D24884">
        <w:rPr>
          <w:rFonts w:cs="Times New Roman"/>
        </w:rPr>
        <w:t>rovince’s struck pleading that there are many school facilities in B</w:t>
      </w:r>
      <w:r>
        <w:rPr>
          <w:rFonts w:cs="Times New Roman"/>
        </w:rPr>
        <w:t xml:space="preserve">ritish </w:t>
      </w:r>
      <w:r w:rsidRPr="00D24884">
        <w:rPr>
          <w:rFonts w:cs="Times New Roman"/>
        </w:rPr>
        <w:t>C</w:t>
      </w:r>
      <w:r>
        <w:rPr>
          <w:rFonts w:cs="Times New Roman"/>
        </w:rPr>
        <w:t>olumbia</w:t>
      </w:r>
      <w:r w:rsidRPr="00D24884">
        <w:rPr>
          <w:rFonts w:cs="Times New Roman"/>
        </w:rPr>
        <w:t xml:space="preserve"> that could benefit from upgrading, renovation or replacement is irrelevant to the question of whether the </w:t>
      </w:r>
      <w:r>
        <w:rPr>
          <w:rFonts w:cs="Times New Roman"/>
        </w:rPr>
        <w:t xml:space="preserve">children of </w:t>
      </w:r>
      <w:r w:rsidRPr="00D24884">
        <w:rPr>
          <w:rFonts w:cs="Times New Roman"/>
        </w:rPr>
        <w:t xml:space="preserve">rights holders are receiving instruction and facilities equivalent to those received by similarly situated majority language students.  Similarly, the </w:t>
      </w:r>
      <w:r>
        <w:rPr>
          <w:rFonts w:cs="Times New Roman"/>
        </w:rPr>
        <w:t>P</w:t>
      </w:r>
      <w:r w:rsidRPr="00D24884">
        <w:rPr>
          <w:rFonts w:cs="Times New Roman"/>
        </w:rPr>
        <w:t xml:space="preserve">rovince’s struck pleading that there are many </w:t>
      </w:r>
      <w:r>
        <w:rPr>
          <w:rFonts w:cs="Times New Roman"/>
        </w:rPr>
        <w:t xml:space="preserve">causes of assimilation </w:t>
      </w:r>
      <w:r w:rsidRPr="00D24884">
        <w:rPr>
          <w:rFonts w:cs="Times New Roman"/>
        </w:rPr>
        <w:t xml:space="preserve">apart from inadequate facilities does not assist </w:t>
      </w:r>
      <w:r>
        <w:rPr>
          <w:rFonts w:cs="Times New Roman"/>
        </w:rPr>
        <w:t xml:space="preserve">the court </w:t>
      </w:r>
      <w:r w:rsidRPr="00D24884">
        <w:rPr>
          <w:rFonts w:cs="Times New Roman"/>
        </w:rPr>
        <w:t xml:space="preserve">in the evaluation of substantive equivalence between minority and majority language schools.  </w:t>
      </w:r>
      <w:r>
        <w:rPr>
          <w:rFonts w:cs="Times New Roman"/>
        </w:rPr>
        <w:t xml:space="preserve">Moreover, the Province’s pleading that there is a variety of reasons for which rights holders could choose not to send their children to RDV is similarly irrelevant to the question of equivalence.  </w:t>
      </w:r>
      <w:r w:rsidRPr="00D24884">
        <w:rPr>
          <w:rFonts w:cs="Times New Roman"/>
        </w:rPr>
        <w:t xml:space="preserve">I agree that there could be circumstances where a parent </w:t>
      </w:r>
      <w:r>
        <w:rPr>
          <w:rFonts w:cs="Times New Roman"/>
        </w:rPr>
        <w:t xml:space="preserve">may </w:t>
      </w:r>
      <w:r w:rsidRPr="00D24884">
        <w:rPr>
          <w:rFonts w:cs="Times New Roman"/>
        </w:rPr>
        <w:t xml:space="preserve">take her child out of RDV for a reason other than a lack of equivalence.  </w:t>
      </w:r>
      <w:r>
        <w:rPr>
          <w:rFonts w:cs="Times New Roman"/>
        </w:rPr>
        <w:t>However, t</w:t>
      </w:r>
      <w:r w:rsidRPr="00D24884">
        <w:rPr>
          <w:rFonts w:cs="Times New Roman"/>
        </w:rPr>
        <w:t xml:space="preserve">his does not negate the evidence that </w:t>
      </w:r>
      <w:r w:rsidRPr="00D24884">
        <w:rPr>
          <w:rFonts w:cs="Times New Roman"/>
          <w:i/>
        </w:rPr>
        <w:t>other</w:t>
      </w:r>
      <w:r w:rsidRPr="00D24884">
        <w:rPr>
          <w:rFonts w:cs="Times New Roman"/>
        </w:rPr>
        <w:t xml:space="preserve"> students were </w:t>
      </w:r>
      <w:r>
        <w:rPr>
          <w:rFonts w:cs="Times New Roman"/>
        </w:rPr>
        <w:t>not enrolled or were withdrawn</w:t>
      </w:r>
      <w:r w:rsidRPr="00D24884">
        <w:rPr>
          <w:rFonts w:cs="Times New Roman"/>
        </w:rPr>
        <w:t xml:space="preserve"> from the school </w:t>
      </w:r>
      <w:r>
        <w:rPr>
          <w:rFonts w:cs="Times New Roman"/>
        </w:rPr>
        <w:t xml:space="preserve">due to </w:t>
      </w:r>
      <w:r w:rsidRPr="00D24884">
        <w:rPr>
          <w:rFonts w:cs="Times New Roman"/>
        </w:rPr>
        <w:t>long transportation times or inadequate facilities.  Thus, the struck pleading is not relevant to the question of equivalence.</w:t>
      </w:r>
    </w:p>
    <w:p w:rsidR="001E4C48" w:rsidRPr="009B43DE" w:rsidRDefault="001E4C48" w:rsidP="001E4C48">
      <w:pPr>
        <w:pStyle w:val="ParaNoNdepar-AltN"/>
        <w:widowControl w:val="0"/>
        <w:rPr>
          <w:rFonts w:cs="Times New Roman"/>
          <w:lang w:val="en-US"/>
        </w:rPr>
      </w:pPr>
      <w:r w:rsidRPr="00D24884">
        <w:rPr>
          <w:rFonts w:cs="Times New Roman"/>
        </w:rPr>
        <w:t xml:space="preserve">The </w:t>
      </w:r>
      <w:r>
        <w:rPr>
          <w:rFonts w:cs="Times New Roman"/>
        </w:rPr>
        <w:t>P</w:t>
      </w:r>
      <w:r w:rsidRPr="00D24884">
        <w:rPr>
          <w:rFonts w:cs="Times New Roman"/>
        </w:rPr>
        <w:t>rovince’s struck pleading that most of the students at RDV are children of exogamous couples, and that a decrease in the use of French at home is related to the incidence of exogamous couples, is also irrelevant.</w:t>
      </w:r>
      <w:r w:rsidRPr="00D24884">
        <w:rPr>
          <w:rFonts w:cs="Times New Roman"/>
          <w:lang w:val="en-GB"/>
        </w:rPr>
        <w:t xml:space="preserve">  By the express terms of s. 23, </w:t>
      </w:r>
      <w:r>
        <w:rPr>
          <w:rFonts w:cs="Times New Roman"/>
          <w:lang w:val="en-GB"/>
        </w:rPr>
        <w:t xml:space="preserve">a member of an </w:t>
      </w:r>
      <w:r w:rsidRPr="00D24884">
        <w:rPr>
          <w:rFonts w:cs="Times New Roman"/>
          <w:lang w:val="en-GB"/>
        </w:rPr>
        <w:t xml:space="preserve">exogamous couple can </w:t>
      </w:r>
      <w:r>
        <w:rPr>
          <w:rFonts w:cs="Times New Roman"/>
          <w:lang w:val="en-GB"/>
        </w:rPr>
        <w:t>be a</w:t>
      </w:r>
      <w:r w:rsidRPr="00D24884">
        <w:rPr>
          <w:rFonts w:cs="Times New Roman"/>
          <w:lang w:val="en-GB"/>
        </w:rPr>
        <w:t xml:space="preserve"> right</w:t>
      </w:r>
      <w:r w:rsidR="00024E0E">
        <w:rPr>
          <w:rFonts w:cs="Times New Roman"/>
          <w:lang w:val="en-GB"/>
        </w:rPr>
        <w:t>s</w:t>
      </w:r>
      <w:r w:rsidRPr="00D24884">
        <w:rPr>
          <w:rFonts w:cs="Times New Roman"/>
          <w:lang w:val="en-GB"/>
        </w:rPr>
        <w:t xml:space="preserve"> holder.  The children of couples that include </w:t>
      </w:r>
      <w:r>
        <w:rPr>
          <w:rFonts w:cs="Times New Roman"/>
          <w:lang w:val="en-GB"/>
        </w:rPr>
        <w:t xml:space="preserve">one </w:t>
      </w:r>
      <w:r w:rsidRPr="00D24884">
        <w:rPr>
          <w:rFonts w:cs="Times New Roman"/>
          <w:lang w:val="en-GB"/>
        </w:rPr>
        <w:t>right</w:t>
      </w:r>
      <w:r w:rsidR="00024E0E">
        <w:rPr>
          <w:rFonts w:cs="Times New Roman"/>
          <w:lang w:val="en-GB"/>
        </w:rPr>
        <w:t>s</w:t>
      </w:r>
      <w:r w:rsidRPr="00D24884">
        <w:rPr>
          <w:rFonts w:cs="Times New Roman"/>
          <w:lang w:val="en-GB"/>
        </w:rPr>
        <w:t xml:space="preserve"> holder are entitled to attend minority language schools.  As this Court has underlined, s. 23(2) applies “without regard to </w:t>
      </w:r>
      <w:r w:rsidRPr="00D24884">
        <w:rPr>
          <w:rFonts w:cs="Times New Roman"/>
          <w:lang w:val="en-GB"/>
        </w:rPr>
        <w:lastRenderedPageBreak/>
        <w:t xml:space="preserve">the fact that qualified parents or children may not be French or English, or may not speak those languages at home” </w:t>
      </w:r>
      <w:r>
        <w:rPr>
          <w:rFonts w:cs="Times New Roman"/>
          <w:lang w:val="en-GB"/>
        </w:rPr>
        <w:t>(</w:t>
      </w:r>
      <w:r w:rsidRPr="00D24884">
        <w:rPr>
          <w:rFonts w:cs="Times New Roman"/>
          <w:i/>
          <w:lang w:val="en-GB"/>
        </w:rPr>
        <w:t>Solski (Tutor of) v. Quebec (Attorney General)</w:t>
      </w:r>
      <w:r w:rsidRPr="00D24884">
        <w:rPr>
          <w:rFonts w:cs="Times New Roman"/>
          <w:lang w:val="en-GB"/>
        </w:rPr>
        <w:t>, 2005 SCC 14, [2005] 1 S.C.R. 201, at para. 31</w:t>
      </w:r>
      <w:r>
        <w:rPr>
          <w:rFonts w:cs="Times New Roman"/>
          <w:lang w:val="en-GB"/>
        </w:rPr>
        <w:t>)</w:t>
      </w:r>
      <w:r w:rsidRPr="00D24884">
        <w:rPr>
          <w:rFonts w:cs="Times New Roman"/>
          <w:lang w:val="en-GB"/>
        </w:rPr>
        <w:t>.  Indeed, a French</w:t>
      </w:r>
      <w:r>
        <w:rPr>
          <w:rFonts w:cs="Times New Roman"/>
          <w:lang w:val="en-GB"/>
        </w:rPr>
        <w:t>-</w:t>
      </w:r>
      <w:r w:rsidRPr="00D24884">
        <w:rPr>
          <w:rFonts w:cs="Times New Roman"/>
          <w:lang w:val="en-GB"/>
        </w:rPr>
        <w:t>language school may play a crucial role in the transfer of the French language and culture where it is more difficult for one of the parents to transmit the language and culture in a minority context:</w:t>
      </w:r>
      <w:r>
        <w:rPr>
          <w:rFonts w:cs="Times New Roman"/>
          <w:lang w:val="en-GB"/>
        </w:rPr>
        <w:t xml:space="preserve">  see R. Landry and R. Allard, “L’exogamie et le maintien de deux langues et de deux cultures:  le rôle de la francité familioscolaire” (1997), 23 </w:t>
      </w:r>
      <w:r w:rsidRPr="00A62142">
        <w:rPr>
          <w:rFonts w:cs="Times New Roman"/>
          <w:i/>
          <w:lang w:val="en-GB"/>
        </w:rPr>
        <w:t>Revue des sciences de l’éducation</w:t>
      </w:r>
      <w:r>
        <w:rPr>
          <w:rFonts w:cs="Times New Roman"/>
          <w:lang w:val="en-GB"/>
        </w:rPr>
        <w:t xml:space="preserve"> 561.</w:t>
      </w:r>
    </w:p>
    <w:p w:rsidR="001E4C48" w:rsidRPr="00D24884" w:rsidRDefault="001E4C48" w:rsidP="001E4C48">
      <w:pPr>
        <w:pStyle w:val="ParaNoNdepar-AltN"/>
        <w:widowControl w:val="0"/>
        <w:rPr>
          <w:rFonts w:cs="Times New Roman"/>
        </w:rPr>
      </w:pPr>
      <w:r w:rsidRPr="00D24884">
        <w:rPr>
          <w:rFonts w:cs="Times New Roman"/>
        </w:rPr>
        <w:t>Relevance is assessed against the facts in issue.  Here, the question that guides the inquiry into substantive equivalence between minority and majority language facilities is the following:  would reasonable rights</w:t>
      </w:r>
      <w:r>
        <w:rPr>
          <w:rFonts w:cs="Times New Roman"/>
        </w:rPr>
        <w:t xml:space="preserve"> </w:t>
      </w:r>
      <w:r w:rsidRPr="00D24884">
        <w:rPr>
          <w:rFonts w:cs="Times New Roman"/>
        </w:rPr>
        <w:t xml:space="preserve">holders be deterred from sending their children to a minority language school because it is </w:t>
      </w:r>
      <w:r>
        <w:rPr>
          <w:rFonts w:cs="Times New Roman"/>
        </w:rPr>
        <w:t xml:space="preserve">meaningfully </w:t>
      </w:r>
      <w:r w:rsidRPr="00D24884">
        <w:rPr>
          <w:rFonts w:cs="Times New Roman"/>
        </w:rPr>
        <w:t xml:space="preserve">inferior to an available majority language school?  Where a proceeding has been formally phased to separate this question from other elements of the s. 23 analysis, evidence that does not assist in answering this question would normally not be </w:t>
      </w:r>
      <w:r>
        <w:rPr>
          <w:rFonts w:cs="Times New Roman"/>
        </w:rPr>
        <w:t>relevant</w:t>
      </w:r>
      <w:r w:rsidRPr="00D24884">
        <w:rPr>
          <w:rFonts w:cs="Times New Roman"/>
        </w:rPr>
        <w:t xml:space="preserve">.  Considered from this perspective, it is clear that the </w:t>
      </w:r>
      <w:r>
        <w:rPr>
          <w:rFonts w:cs="Times New Roman"/>
        </w:rPr>
        <w:t xml:space="preserve">petition </w:t>
      </w:r>
      <w:r w:rsidRPr="00D24884">
        <w:rPr>
          <w:rFonts w:cs="Times New Roman"/>
        </w:rPr>
        <w:t xml:space="preserve">judge was entitled to strike the portions of the </w:t>
      </w:r>
      <w:r>
        <w:rPr>
          <w:rFonts w:cs="Times New Roman"/>
        </w:rPr>
        <w:t>P</w:t>
      </w:r>
      <w:r w:rsidRPr="00D24884">
        <w:rPr>
          <w:rFonts w:cs="Times New Roman"/>
        </w:rPr>
        <w:t>rovince’s pleadings.</w:t>
      </w:r>
    </w:p>
    <w:p w:rsidR="001E4C48" w:rsidRPr="00D24884" w:rsidRDefault="001E4C48" w:rsidP="001E4C48">
      <w:pPr>
        <w:pStyle w:val="ParaNoNdepar-AltN"/>
        <w:widowControl w:val="0"/>
        <w:rPr>
          <w:rFonts w:cs="Times New Roman"/>
        </w:rPr>
      </w:pPr>
      <w:r w:rsidRPr="00D24884">
        <w:rPr>
          <w:rFonts w:cs="Times New Roman"/>
        </w:rPr>
        <w:t xml:space="preserve">Far from being unfair to the parties, limiting the evidence that may be adduced according to the phasing of proceedings heeds this Court’s guidance in </w:t>
      </w:r>
      <w:r w:rsidRPr="00D24884">
        <w:rPr>
          <w:rFonts w:cs="Times New Roman"/>
          <w:i/>
        </w:rPr>
        <w:t>Hryniak v. Mauldin</w:t>
      </w:r>
      <w:r w:rsidRPr="00D24884">
        <w:rPr>
          <w:rFonts w:cs="Times New Roman"/>
        </w:rPr>
        <w:t xml:space="preserve">, 2014 SCC 7, [2014] </w:t>
      </w:r>
      <w:r>
        <w:rPr>
          <w:rFonts w:cs="Times New Roman"/>
        </w:rPr>
        <w:t xml:space="preserve">1 </w:t>
      </w:r>
      <w:r w:rsidRPr="00D24884">
        <w:rPr>
          <w:rFonts w:cs="Times New Roman"/>
        </w:rPr>
        <w:t>S.C.R. 87.  Judges must actively manage the legal process in line with the principle of proportionality, taking into account fair access to the affordable, timely and just adjudication of claims</w:t>
      </w:r>
      <w:r>
        <w:rPr>
          <w:rFonts w:cs="Times New Roman"/>
        </w:rPr>
        <w:t xml:space="preserve">:  </w:t>
      </w:r>
      <w:r>
        <w:rPr>
          <w:rFonts w:cs="Times New Roman"/>
          <w:i/>
        </w:rPr>
        <w:t>Hryniak</w:t>
      </w:r>
      <w:r>
        <w:rPr>
          <w:rFonts w:cs="Times New Roman"/>
        </w:rPr>
        <w:t xml:space="preserve">, at paras. 32 and 5. </w:t>
      </w:r>
      <w:r w:rsidRPr="00D24884">
        <w:rPr>
          <w:rFonts w:cs="Times New Roman"/>
        </w:rPr>
        <w:t xml:space="preserve"> Such considerations apply with equal force to s. 23 litigation.</w:t>
      </w:r>
    </w:p>
    <w:p w:rsidR="001E4C48" w:rsidRPr="00D24884" w:rsidRDefault="001E4C48" w:rsidP="001E4C48">
      <w:pPr>
        <w:pStyle w:val="ParaNoNdepar-AltN"/>
        <w:widowControl w:val="0"/>
        <w:rPr>
          <w:rFonts w:cs="Times New Roman"/>
        </w:rPr>
      </w:pPr>
      <w:r w:rsidRPr="00D24884">
        <w:rPr>
          <w:rFonts w:cs="Times New Roman"/>
        </w:rPr>
        <w:lastRenderedPageBreak/>
        <w:t xml:space="preserve">Some or all of the </w:t>
      </w:r>
      <w:r>
        <w:rPr>
          <w:rFonts w:cs="Times New Roman"/>
        </w:rPr>
        <w:t xml:space="preserve">Province’s </w:t>
      </w:r>
      <w:r w:rsidRPr="00D24884">
        <w:rPr>
          <w:rFonts w:cs="Times New Roman"/>
        </w:rPr>
        <w:t xml:space="preserve">struck pleadings may be relevant to a subsequent phase of the litigation.  However, based on the judge’s organization of the proceedings, they do not assist in the first phase at issue in this appeal.  Of course, his decision is without prejudice to any motions </w:t>
      </w:r>
      <w:r>
        <w:rPr>
          <w:rFonts w:cs="Times New Roman"/>
        </w:rPr>
        <w:t xml:space="preserve">on the part of one or more of the parties </w:t>
      </w:r>
      <w:r w:rsidRPr="00D24884">
        <w:rPr>
          <w:rFonts w:cs="Times New Roman"/>
        </w:rPr>
        <w:t>to amend the</w:t>
      </w:r>
      <w:r>
        <w:rPr>
          <w:rFonts w:cs="Times New Roman"/>
        </w:rPr>
        <w:t>ir</w:t>
      </w:r>
      <w:r w:rsidRPr="00D24884">
        <w:rPr>
          <w:rFonts w:cs="Times New Roman"/>
        </w:rPr>
        <w:t xml:space="preserve"> pleadings at subsequent phases of the litigation.</w:t>
      </w:r>
    </w:p>
    <w:p w:rsidR="001E4C48" w:rsidRPr="00D24884" w:rsidRDefault="001E4C48" w:rsidP="001E4C48">
      <w:pPr>
        <w:pStyle w:val="ParaNoNdepar-AltN"/>
        <w:widowControl w:val="0"/>
        <w:rPr>
          <w:rFonts w:cs="Times New Roman"/>
        </w:rPr>
      </w:pPr>
      <w:r w:rsidRPr="00D24884">
        <w:rPr>
          <w:rFonts w:cs="Times New Roman"/>
        </w:rPr>
        <w:t xml:space="preserve">For the same reasons, it was not inappropriate for the judge to deny the </w:t>
      </w:r>
      <w:r>
        <w:rPr>
          <w:rFonts w:cs="Times New Roman"/>
        </w:rPr>
        <w:t>P</w:t>
      </w:r>
      <w:r w:rsidRPr="00D24884">
        <w:rPr>
          <w:rFonts w:cs="Times New Roman"/>
        </w:rPr>
        <w:t xml:space="preserve">rovince’s adjournment request to adduce new evidence during the first phase of proceedings.  The additional evidence </w:t>
      </w:r>
      <w:r>
        <w:rPr>
          <w:rFonts w:cs="Times New Roman"/>
        </w:rPr>
        <w:t xml:space="preserve">that </w:t>
      </w:r>
      <w:r w:rsidRPr="00D24884">
        <w:rPr>
          <w:rFonts w:cs="Times New Roman"/>
        </w:rPr>
        <w:t xml:space="preserve">the </w:t>
      </w:r>
      <w:r>
        <w:rPr>
          <w:rFonts w:cs="Times New Roman"/>
        </w:rPr>
        <w:t>P</w:t>
      </w:r>
      <w:r w:rsidRPr="00D24884">
        <w:rPr>
          <w:rFonts w:cs="Times New Roman"/>
        </w:rPr>
        <w:t>rovince sought to adduce was largely irrelevant to the questions at issue in the first phase, and the judge concluded that the prejudice likely to be created by the delay outweighed the marginal relevance of the evidence</w:t>
      </w:r>
      <w:r>
        <w:rPr>
          <w:rFonts w:cs="Times New Roman"/>
        </w:rPr>
        <w:t>.</w:t>
      </w:r>
    </w:p>
    <w:p w:rsidR="001E4C48" w:rsidRDefault="001E4C48" w:rsidP="001E4C48">
      <w:pPr>
        <w:pStyle w:val="ParaNoNdepar-AltN"/>
        <w:widowControl w:val="0"/>
        <w:rPr>
          <w:rFonts w:cs="Times New Roman"/>
        </w:rPr>
      </w:pPr>
      <w:r>
        <w:rPr>
          <w:rFonts w:cs="Times New Roman"/>
        </w:rPr>
        <w:t>Given the lack of relevance of the pleadings struck, t</w:t>
      </w:r>
      <w:r w:rsidRPr="00D24884">
        <w:rPr>
          <w:rFonts w:cs="Times New Roman"/>
        </w:rPr>
        <w:t>he Court of Appeal erred in setting aside the order striking the</w:t>
      </w:r>
      <w:r>
        <w:rPr>
          <w:rFonts w:cs="Times New Roman"/>
        </w:rPr>
        <w:t xml:space="preserve"> p</w:t>
      </w:r>
      <w:r w:rsidRPr="00D24884">
        <w:rPr>
          <w:rFonts w:cs="Times New Roman"/>
        </w:rPr>
        <w:t>leadings, and in setting aside the judge’s declaration.</w:t>
      </w:r>
    </w:p>
    <w:p w:rsidR="001E4C48" w:rsidRPr="00D24884" w:rsidRDefault="001E4C48" w:rsidP="001E4C48">
      <w:pPr>
        <w:pStyle w:val="Title1LevelTitre1Niveau-AltL"/>
        <w:widowControl w:val="0"/>
        <w:numPr>
          <w:ilvl w:val="0"/>
          <w:numId w:val="8"/>
        </w:numPr>
        <w:rPr>
          <w:rFonts w:cs="Times New Roman"/>
        </w:rPr>
      </w:pPr>
      <w:r w:rsidRPr="00D24884">
        <w:rPr>
          <w:rFonts w:cs="Times New Roman"/>
        </w:rPr>
        <w:t>Disposition</w:t>
      </w:r>
    </w:p>
    <w:p w:rsidR="001E4C48" w:rsidRPr="00D24884" w:rsidRDefault="001E4C48" w:rsidP="001E4C48">
      <w:pPr>
        <w:pStyle w:val="ParaNoNdepar-AltN"/>
        <w:widowControl w:val="0"/>
        <w:rPr>
          <w:rFonts w:cs="Times New Roman"/>
        </w:rPr>
      </w:pPr>
      <w:r w:rsidRPr="00D24884">
        <w:rPr>
          <w:rFonts w:cs="Times New Roman"/>
        </w:rPr>
        <w:t xml:space="preserve">The appeal is allowed and the petition judge’s declaration is reinstated.  The matter will </w:t>
      </w:r>
      <w:r>
        <w:rPr>
          <w:rFonts w:cs="Times New Roman"/>
        </w:rPr>
        <w:t>be remitted</w:t>
      </w:r>
      <w:r w:rsidRPr="00D24884">
        <w:rPr>
          <w:rFonts w:cs="Times New Roman"/>
        </w:rPr>
        <w:t xml:space="preserve"> to the Supreme Court </w:t>
      </w:r>
      <w:r>
        <w:rPr>
          <w:rFonts w:cs="Times New Roman"/>
        </w:rPr>
        <w:t xml:space="preserve">of British Columbia </w:t>
      </w:r>
      <w:r w:rsidRPr="00D24884">
        <w:rPr>
          <w:rFonts w:cs="Times New Roman"/>
        </w:rPr>
        <w:t>for the next phase of the petition, if necessary.</w:t>
      </w:r>
    </w:p>
    <w:p w:rsidR="001E4C48" w:rsidRPr="00D24884" w:rsidRDefault="001E4C48" w:rsidP="001E4C48">
      <w:pPr>
        <w:pStyle w:val="Title1LevelTitre1Niveau-AltL"/>
        <w:widowControl w:val="0"/>
        <w:numPr>
          <w:ilvl w:val="0"/>
          <w:numId w:val="8"/>
        </w:numPr>
        <w:rPr>
          <w:rFonts w:cs="Times New Roman"/>
        </w:rPr>
      </w:pPr>
      <w:r w:rsidRPr="00D24884">
        <w:rPr>
          <w:rFonts w:cs="Times New Roman"/>
        </w:rPr>
        <w:t>Costs</w:t>
      </w:r>
    </w:p>
    <w:p w:rsidR="001E4C48" w:rsidRPr="00D24884" w:rsidRDefault="001E4C48" w:rsidP="001E4C48">
      <w:pPr>
        <w:pStyle w:val="ParaNoNdepar-AltN"/>
        <w:widowControl w:val="0"/>
        <w:rPr>
          <w:rFonts w:cs="Times New Roman"/>
          <w:iCs/>
        </w:rPr>
      </w:pPr>
      <w:r w:rsidRPr="00D24884">
        <w:rPr>
          <w:rFonts w:cs="Times New Roman"/>
        </w:rPr>
        <w:t xml:space="preserve">The judge awarded </w:t>
      </w:r>
      <w:r w:rsidRPr="00D24884">
        <w:rPr>
          <w:rFonts w:cs="Times New Roman"/>
          <w:iCs/>
        </w:rPr>
        <w:t xml:space="preserve">special costs to the </w:t>
      </w:r>
      <w:r>
        <w:rPr>
          <w:rFonts w:cs="Times New Roman"/>
          <w:iCs/>
        </w:rPr>
        <w:t>P</w:t>
      </w:r>
      <w:r w:rsidRPr="00D24884">
        <w:rPr>
          <w:rFonts w:cs="Times New Roman"/>
          <w:iCs/>
        </w:rPr>
        <w:t xml:space="preserve">arents throughout the </w:t>
      </w:r>
      <w:r w:rsidRPr="00D24884">
        <w:rPr>
          <w:rFonts w:cs="Times New Roman"/>
          <w:iCs/>
        </w:rPr>
        <w:lastRenderedPageBreak/>
        <w:t xml:space="preserve">proceedings and to the CSF </w:t>
      </w:r>
      <w:r>
        <w:rPr>
          <w:rFonts w:cs="Times New Roman"/>
          <w:iCs/>
        </w:rPr>
        <w:t xml:space="preserve">for all proceedings on or after </w:t>
      </w:r>
      <w:r w:rsidRPr="00D24884">
        <w:rPr>
          <w:rFonts w:cs="Times New Roman"/>
        </w:rPr>
        <w:t>November 4, 2011</w:t>
      </w:r>
      <w:r w:rsidRPr="00D24884">
        <w:rPr>
          <w:rFonts w:cs="Times New Roman"/>
          <w:iCs/>
        </w:rPr>
        <w:t xml:space="preserve">.  He made this award on the basis that the </w:t>
      </w:r>
      <w:r>
        <w:rPr>
          <w:rFonts w:cs="Times New Roman"/>
          <w:iCs/>
        </w:rPr>
        <w:t>P</w:t>
      </w:r>
      <w:r w:rsidRPr="00D24884">
        <w:rPr>
          <w:rFonts w:cs="Times New Roman"/>
          <w:iCs/>
        </w:rPr>
        <w:t xml:space="preserve">arents and the CSF </w:t>
      </w:r>
      <w:r w:rsidRPr="00D24884">
        <w:rPr>
          <w:rFonts w:cs="Times New Roman"/>
        </w:rPr>
        <w:t xml:space="preserve">were successful public interest litigants.  </w:t>
      </w:r>
      <w:r w:rsidRPr="00D24884">
        <w:rPr>
          <w:rFonts w:cs="Times New Roman"/>
          <w:iCs/>
        </w:rPr>
        <w:t xml:space="preserve">The Court of Appeal set aside the award of special costs on the basis that the </w:t>
      </w:r>
      <w:r>
        <w:rPr>
          <w:rFonts w:cs="Times New Roman"/>
          <w:iCs/>
        </w:rPr>
        <w:t>P</w:t>
      </w:r>
      <w:r w:rsidRPr="00D24884">
        <w:rPr>
          <w:rFonts w:cs="Times New Roman"/>
          <w:iCs/>
        </w:rPr>
        <w:t>arents a</w:t>
      </w:r>
      <w:r w:rsidRPr="00D24884">
        <w:rPr>
          <w:rFonts w:cs="Times New Roman"/>
        </w:rPr>
        <w:t>nd the CSF were no lo</w:t>
      </w:r>
      <w:r w:rsidRPr="00D24884">
        <w:rPr>
          <w:rFonts w:cs="Times New Roman"/>
          <w:iCs/>
        </w:rPr>
        <w:t xml:space="preserve">nger the successful litigants.  As this Court is restoring the judge’s declaration, absent an error in principle or a plainly wrong award, his </w:t>
      </w:r>
      <w:r w:rsidRPr="00D24884">
        <w:rPr>
          <w:rFonts w:cs="Times New Roman"/>
        </w:rPr>
        <w:t>award of s</w:t>
      </w:r>
      <w:r w:rsidRPr="00D24884">
        <w:rPr>
          <w:rFonts w:cs="Times New Roman"/>
          <w:iCs/>
        </w:rPr>
        <w:t>pecial costs should also be restored:</w:t>
      </w:r>
      <w:r>
        <w:rPr>
          <w:rFonts w:cs="Times New Roman"/>
          <w:iCs/>
        </w:rPr>
        <w:t xml:space="preserve">  see</w:t>
      </w:r>
      <w:r w:rsidRPr="00D24884">
        <w:rPr>
          <w:rFonts w:cs="Times New Roman"/>
          <w:iCs/>
        </w:rPr>
        <w:t xml:space="preserve"> </w:t>
      </w:r>
      <w:r w:rsidRPr="00D24884">
        <w:rPr>
          <w:rFonts w:cs="Times New Roman"/>
          <w:i/>
          <w:iCs/>
        </w:rPr>
        <w:t>Hamilton v. Open Window Bakery Ltd.</w:t>
      </w:r>
      <w:r w:rsidRPr="00D24884">
        <w:rPr>
          <w:rFonts w:cs="Times New Roman"/>
          <w:iCs/>
        </w:rPr>
        <w:t xml:space="preserve">, 2004 SCC 9, </w:t>
      </w:r>
      <w:r>
        <w:rPr>
          <w:rFonts w:cs="Times New Roman"/>
          <w:iCs/>
        </w:rPr>
        <w:t xml:space="preserve">[2004] 1 S.C.R. 303, </w:t>
      </w:r>
      <w:r w:rsidRPr="00D24884">
        <w:rPr>
          <w:rFonts w:cs="Times New Roman"/>
          <w:iCs/>
        </w:rPr>
        <w:t>at para. 27.</w:t>
      </w:r>
    </w:p>
    <w:p w:rsidR="001E4C48" w:rsidRPr="00D24884" w:rsidRDefault="001E4C48" w:rsidP="001E4C48">
      <w:pPr>
        <w:pStyle w:val="ParaNoNdepar-AltN"/>
        <w:widowControl w:val="0"/>
        <w:rPr>
          <w:rFonts w:cs="Times New Roman"/>
        </w:rPr>
      </w:pPr>
      <w:r w:rsidRPr="00D24884">
        <w:rPr>
          <w:rFonts w:cs="Times New Roman"/>
          <w:iCs/>
        </w:rPr>
        <w:t xml:space="preserve">As this Court recently emphasized in </w:t>
      </w:r>
      <w:r w:rsidRPr="00D24884">
        <w:rPr>
          <w:rFonts w:cs="Times New Roman"/>
          <w:i/>
          <w:iCs/>
        </w:rPr>
        <w:t>Carter v. Can</w:t>
      </w:r>
      <w:r w:rsidRPr="00D24884">
        <w:rPr>
          <w:rFonts w:cs="Times New Roman"/>
          <w:i/>
        </w:rPr>
        <w:t>ada (Attorney General)</w:t>
      </w:r>
      <w:r w:rsidRPr="00D24884">
        <w:rPr>
          <w:rFonts w:cs="Times New Roman"/>
        </w:rPr>
        <w:t xml:space="preserve">, </w:t>
      </w:r>
      <w:r>
        <w:rPr>
          <w:rFonts w:cs="Times New Roman"/>
        </w:rPr>
        <w:t xml:space="preserve">2015 SCC 5, </w:t>
      </w:r>
      <w:r w:rsidR="003D2EDB">
        <w:rPr>
          <w:rFonts w:cs="Times New Roman"/>
        </w:rPr>
        <w:t xml:space="preserve">[2015] 1 S.C.R. 331, </w:t>
      </w:r>
      <w:r w:rsidRPr="00D24884">
        <w:rPr>
          <w:rFonts w:cs="Times New Roman"/>
        </w:rPr>
        <w:t>the standard for awa</w:t>
      </w:r>
      <w:r w:rsidRPr="00D24884">
        <w:rPr>
          <w:rFonts w:cs="Times New Roman"/>
          <w:iCs/>
        </w:rPr>
        <w:t xml:space="preserve">rding special costs </w:t>
      </w:r>
      <w:r w:rsidRPr="00D24884">
        <w:rPr>
          <w:rFonts w:cs="Times New Roman"/>
        </w:rPr>
        <w:t>is a high one; only exceptional cases will warrant such treatment</w:t>
      </w:r>
      <w:r>
        <w:rPr>
          <w:rFonts w:cs="Times New Roman"/>
        </w:rPr>
        <w:t xml:space="preserve"> (</w:t>
      </w:r>
      <w:r w:rsidRPr="00D24884">
        <w:rPr>
          <w:rFonts w:cs="Times New Roman"/>
        </w:rPr>
        <w:t>para. 1</w:t>
      </w:r>
      <w:r>
        <w:rPr>
          <w:rFonts w:cs="Times New Roman"/>
        </w:rPr>
        <w:t>39)</w:t>
      </w:r>
      <w:r w:rsidRPr="00D24884">
        <w:rPr>
          <w:rFonts w:cs="Times New Roman"/>
        </w:rPr>
        <w:t xml:space="preserve">.  This Court described the test for special costs as a modification of the test for advance costs in </w:t>
      </w:r>
      <w:r w:rsidRPr="00D24884">
        <w:rPr>
          <w:rFonts w:cs="Times New Roman"/>
          <w:i/>
        </w:rPr>
        <w:t>British Columbia (Minister of Forests) v. Okanagan Indian Band</w:t>
      </w:r>
      <w:r w:rsidRPr="00D24884">
        <w:rPr>
          <w:rFonts w:cs="Times New Roman"/>
        </w:rPr>
        <w:t>, 2003 SCC 71, [2003]</w:t>
      </w:r>
      <w:r>
        <w:rPr>
          <w:rFonts w:cs="Times New Roman"/>
        </w:rPr>
        <w:t xml:space="preserve"> 3</w:t>
      </w:r>
      <w:r w:rsidRPr="00D24884">
        <w:rPr>
          <w:rFonts w:cs="Times New Roman"/>
        </w:rPr>
        <w:t xml:space="preserve"> S.C.R. 371.  The test for special costs </w:t>
      </w:r>
      <w:r>
        <w:rPr>
          <w:rFonts w:cs="Times New Roman"/>
        </w:rPr>
        <w:t xml:space="preserve">described in </w:t>
      </w:r>
      <w:r>
        <w:rPr>
          <w:rFonts w:cs="Times New Roman"/>
          <w:i/>
        </w:rPr>
        <w:t xml:space="preserve">Carter </w:t>
      </w:r>
      <w:r w:rsidRPr="00D24884">
        <w:rPr>
          <w:rFonts w:cs="Times New Roman"/>
        </w:rPr>
        <w:t>sets out two requirements:</w:t>
      </w:r>
    </w:p>
    <w:p w:rsidR="001E4C48" w:rsidRDefault="001E4C48" w:rsidP="001E4C48">
      <w:pPr>
        <w:pStyle w:val="Citation-AltC"/>
        <w:widowControl w:val="0"/>
      </w:pPr>
      <w:r w:rsidRPr="00D24884">
        <w:t xml:space="preserve">First, the case must involve matters of public interest that are truly exceptional.  It is not enough that the issues raised have not previously been resolved or that they transcend the individual interests of the successful litigant:  they must also have a significant and widespread societal impact.  Second, in addition to showing that </w:t>
      </w:r>
      <w:r>
        <w:t>[</w:t>
      </w:r>
      <w:r w:rsidRPr="00D24884">
        <w:t>the plaintiffs</w:t>
      </w:r>
      <w:r>
        <w:t>]</w:t>
      </w:r>
      <w:r w:rsidRPr="00D24884">
        <w:t xml:space="preserve"> have no personal, proprietary or pecuniary interest in the litigation that would justify the proceedings on economic grounds, the </w:t>
      </w:r>
      <w:r>
        <w:t>[plaintiffs]</w:t>
      </w:r>
      <w:r w:rsidRPr="00D24884">
        <w:t xml:space="preserve"> must show that it would not have been possible to effectively pursue the litigation in question with private funding</w:t>
      </w:r>
      <w:r w:rsidR="00E413D7">
        <w:t>. . . .</w:t>
      </w:r>
    </w:p>
    <w:p w:rsidR="001E4C48" w:rsidRDefault="001E4C48" w:rsidP="001E4C48">
      <w:pPr>
        <w:pStyle w:val="Citation-AltC"/>
        <w:widowControl w:val="0"/>
      </w:pPr>
    </w:p>
    <w:p w:rsidR="001E4C48" w:rsidRPr="00D24884" w:rsidRDefault="001E4C48" w:rsidP="001E4C48">
      <w:pPr>
        <w:pStyle w:val="Citation-AltC"/>
        <w:widowControl w:val="0"/>
        <w:ind w:firstLine="274"/>
      </w:pPr>
      <w:r w:rsidRPr="00D24884">
        <w:t xml:space="preserve">Where these criteria are met, </w:t>
      </w:r>
      <w:r>
        <w:t>a court w</w:t>
      </w:r>
      <w:r w:rsidRPr="00D24884">
        <w:t xml:space="preserve">ill have the discretion to depart from the usual rule on costs and award special costs.  </w:t>
      </w:r>
      <w:r>
        <w:t>[</w:t>
      </w:r>
      <w:r w:rsidRPr="00D24884">
        <w:t>paras. 140-41</w:t>
      </w:r>
      <w:r>
        <w:t>]</w:t>
      </w:r>
    </w:p>
    <w:p w:rsidR="001E4C48" w:rsidRPr="00D24884" w:rsidRDefault="001E4C48" w:rsidP="001E4C48">
      <w:pPr>
        <w:pStyle w:val="ContinueParaSuitedupar-AltP"/>
        <w:widowControl w:val="0"/>
        <w:rPr>
          <w:rFonts w:cs="Times New Roman"/>
        </w:rPr>
      </w:pPr>
      <w:r w:rsidRPr="00D24884">
        <w:rPr>
          <w:rFonts w:cs="Times New Roman"/>
        </w:rPr>
        <w:t xml:space="preserve">This Court further noted that only those costs that are shown to be “reasonable and prudent” will be covered </w:t>
      </w:r>
      <w:r>
        <w:rPr>
          <w:rFonts w:cs="Times New Roman"/>
        </w:rPr>
        <w:t>(</w:t>
      </w:r>
      <w:r w:rsidRPr="00D24884">
        <w:rPr>
          <w:rFonts w:cs="Times New Roman"/>
        </w:rPr>
        <w:t>para. 142</w:t>
      </w:r>
      <w:r>
        <w:rPr>
          <w:rFonts w:cs="Times New Roman"/>
        </w:rPr>
        <w:t>)</w:t>
      </w:r>
      <w:r w:rsidRPr="00D24884">
        <w:rPr>
          <w:rFonts w:cs="Times New Roman"/>
        </w:rPr>
        <w:t>.</w:t>
      </w:r>
    </w:p>
    <w:p w:rsidR="001E4C48" w:rsidRPr="00E819A4" w:rsidRDefault="001E4C48" w:rsidP="001E4C48">
      <w:pPr>
        <w:pStyle w:val="ParaNoNdepar-AltN"/>
        <w:widowControl w:val="0"/>
        <w:rPr>
          <w:rFonts w:cs="Times New Roman"/>
        </w:rPr>
      </w:pPr>
      <w:r w:rsidRPr="00D24884">
        <w:rPr>
          <w:rFonts w:cs="Times New Roman"/>
        </w:rPr>
        <w:lastRenderedPageBreak/>
        <w:t xml:space="preserve">Although the judge in the present case did not have the benefit of this Court’s decision in </w:t>
      </w:r>
      <w:r w:rsidRPr="00D24884">
        <w:rPr>
          <w:rFonts w:cs="Times New Roman"/>
          <w:i/>
        </w:rPr>
        <w:t>Carter</w:t>
      </w:r>
      <w:r w:rsidRPr="00D24884">
        <w:rPr>
          <w:rFonts w:cs="Times New Roman"/>
        </w:rPr>
        <w:t xml:space="preserve">, his reasons </w:t>
      </w:r>
      <w:r>
        <w:rPr>
          <w:rFonts w:cs="Times New Roman"/>
        </w:rPr>
        <w:t xml:space="preserve">with respect to costs </w:t>
      </w:r>
      <w:r w:rsidRPr="00D24884">
        <w:rPr>
          <w:rFonts w:cs="Times New Roman"/>
        </w:rPr>
        <w:t xml:space="preserve">show that he was alive to the considerations </w:t>
      </w:r>
      <w:r>
        <w:rPr>
          <w:rFonts w:cs="Times New Roman"/>
        </w:rPr>
        <w:t>outlined in that case</w:t>
      </w:r>
      <w:r w:rsidRPr="00D24884">
        <w:rPr>
          <w:rFonts w:cs="Times New Roman"/>
        </w:rPr>
        <w:t>.</w:t>
      </w:r>
      <w:r>
        <w:rPr>
          <w:rFonts w:cs="Times New Roman"/>
        </w:rPr>
        <w:t xml:space="preserve">  Moreover, he was clearly alive to the exceptional nature of such an award, as evidenced by his frequent use of the words </w:t>
      </w:r>
      <w:r>
        <w:rPr>
          <w:rFonts w:cs="Times New Roman"/>
          <w:lang w:val="en-US"/>
        </w:rPr>
        <w:t>“exceptional” and “exception” throughout his reasons.</w:t>
      </w:r>
    </w:p>
    <w:p w:rsidR="001E4C48" w:rsidRPr="00D24884" w:rsidRDefault="001E4C48" w:rsidP="001E4C48">
      <w:pPr>
        <w:pStyle w:val="ParaNoNdepar-AltN"/>
        <w:widowControl w:val="0"/>
        <w:rPr>
          <w:rFonts w:cs="Times New Roman"/>
        </w:rPr>
      </w:pPr>
      <w:r>
        <w:rPr>
          <w:rFonts w:cs="Times New Roman"/>
          <w:lang w:val="en-US"/>
        </w:rPr>
        <w:t>H</w:t>
      </w:r>
      <w:r w:rsidRPr="00D24884">
        <w:rPr>
          <w:rFonts w:cs="Times New Roman"/>
        </w:rPr>
        <w:t xml:space="preserve">e found that the matter </w:t>
      </w:r>
      <w:r>
        <w:rPr>
          <w:rFonts w:cs="Times New Roman"/>
        </w:rPr>
        <w:t xml:space="preserve">before him was </w:t>
      </w:r>
      <w:r w:rsidRPr="00D24884">
        <w:rPr>
          <w:rFonts w:cs="Times New Roman"/>
        </w:rPr>
        <w:t>one of significant and widespread societal impact:</w:t>
      </w:r>
    </w:p>
    <w:p w:rsidR="001E4C48" w:rsidRPr="00D24884" w:rsidRDefault="001E4C48" w:rsidP="001E4C48">
      <w:pPr>
        <w:pStyle w:val="Citation-AltC"/>
        <w:widowControl w:val="0"/>
      </w:pPr>
      <w:r w:rsidRPr="00D24884">
        <w:t xml:space="preserve">The questions were of public importance as they involved constitutional principles and the sufficiency of measures taken to protect the minority language culture which is regarded as an important objective for all Canadians, given its place in the </w:t>
      </w:r>
      <w:r w:rsidRPr="00D24884">
        <w:rPr>
          <w:i/>
        </w:rPr>
        <w:t>Charter</w:t>
      </w:r>
      <w:r w:rsidRPr="00D24884">
        <w:t>.  The case therefore implicates fundamental social values and policies.</w:t>
      </w:r>
      <w:r>
        <w:t xml:space="preserve">  [</w:t>
      </w:r>
      <w:r w:rsidRPr="00D24884">
        <w:t>2013 BCSC 1111</w:t>
      </w:r>
      <w:r>
        <w:t>,</w:t>
      </w:r>
      <w:r w:rsidRPr="00D24884">
        <w:t xml:space="preserve"> at para. 72</w:t>
      </w:r>
      <w:r>
        <w:t>]</w:t>
      </w:r>
    </w:p>
    <w:p w:rsidR="001E4C48" w:rsidRPr="00D24884" w:rsidRDefault="001E4C48" w:rsidP="001E4C48">
      <w:pPr>
        <w:pStyle w:val="ContinueParaSuitedupar-AltP"/>
        <w:widowControl w:val="0"/>
        <w:rPr>
          <w:rFonts w:cs="Times New Roman"/>
        </w:rPr>
      </w:pPr>
      <w:r w:rsidRPr="00D24884">
        <w:rPr>
          <w:rFonts w:cs="Times New Roman"/>
        </w:rPr>
        <w:t xml:space="preserve">As required by </w:t>
      </w:r>
      <w:r w:rsidRPr="00D24884">
        <w:rPr>
          <w:rFonts w:cs="Times New Roman"/>
          <w:i/>
        </w:rPr>
        <w:t>Carter</w:t>
      </w:r>
      <w:r w:rsidRPr="00D24884">
        <w:rPr>
          <w:rFonts w:cs="Times New Roman"/>
        </w:rPr>
        <w:t xml:space="preserve">, these findings go beyond the basic requirements set out in </w:t>
      </w:r>
      <w:r w:rsidRPr="00D24884">
        <w:rPr>
          <w:rFonts w:cs="Times New Roman"/>
          <w:i/>
        </w:rPr>
        <w:t>Victoria (City) v. Adams</w:t>
      </w:r>
      <w:r w:rsidRPr="00D24884">
        <w:rPr>
          <w:rFonts w:cs="Times New Roman"/>
        </w:rPr>
        <w:t>, 2009 BCCA 563, 100 B.C.L.R. (4th) 28.</w:t>
      </w:r>
    </w:p>
    <w:p w:rsidR="001E4C48" w:rsidRPr="00D24884" w:rsidRDefault="001E4C48" w:rsidP="001E4C48">
      <w:pPr>
        <w:pStyle w:val="ParaNoNdepar-AltN"/>
        <w:widowControl w:val="0"/>
        <w:rPr>
          <w:rFonts w:cs="Times New Roman"/>
        </w:rPr>
      </w:pPr>
      <w:r>
        <w:rPr>
          <w:rFonts w:cs="Times New Roman"/>
        </w:rPr>
        <w:t>Furthermore</w:t>
      </w:r>
      <w:r w:rsidRPr="00D24884">
        <w:rPr>
          <w:rFonts w:cs="Times New Roman"/>
        </w:rPr>
        <w:t xml:space="preserve">, the </w:t>
      </w:r>
      <w:r>
        <w:rPr>
          <w:rFonts w:cs="Times New Roman"/>
        </w:rPr>
        <w:t xml:space="preserve">petition </w:t>
      </w:r>
      <w:r w:rsidRPr="00D24884">
        <w:rPr>
          <w:rFonts w:cs="Times New Roman"/>
        </w:rPr>
        <w:t xml:space="preserve">judge concluded </w:t>
      </w:r>
      <w:r>
        <w:rPr>
          <w:rFonts w:cs="Times New Roman"/>
        </w:rPr>
        <w:t xml:space="preserve">that </w:t>
      </w:r>
      <w:r w:rsidRPr="00D24884">
        <w:rPr>
          <w:rFonts w:cs="Times New Roman"/>
        </w:rPr>
        <w:t xml:space="preserve">the interest of the </w:t>
      </w:r>
      <w:r>
        <w:rPr>
          <w:rFonts w:cs="Times New Roman"/>
        </w:rPr>
        <w:t>P</w:t>
      </w:r>
      <w:r w:rsidRPr="00D24884">
        <w:rPr>
          <w:rFonts w:cs="Times New Roman"/>
        </w:rPr>
        <w:t>arents and the CSF was not such as would justify the proceedings on economic grounds</w:t>
      </w:r>
      <w:r>
        <w:rPr>
          <w:rFonts w:cs="Times New Roman"/>
        </w:rPr>
        <w:t xml:space="preserve"> given their means and the high cost of litigation</w:t>
      </w:r>
      <w:r w:rsidRPr="00D24884">
        <w:rPr>
          <w:rFonts w:cs="Times New Roman"/>
        </w:rPr>
        <w:t xml:space="preserve">.  Regarding the ability of the </w:t>
      </w:r>
      <w:r>
        <w:rPr>
          <w:rFonts w:cs="Times New Roman"/>
        </w:rPr>
        <w:t>P</w:t>
      </w:r>
      <w:r w:rsidRPr="00D24884">
        <w:rPr>
          <w:rFonts w:cs="Times New Roman"/>
        </w:rPr>
        <w:t>arents to bear the cost</w:t>
      </w:r>
      <w:r>
        <w:rPr>
          <w:rFonts w:cs="Times New Roman"/>
        </w:rPr>
        <w:t>s</w:t>
      </w:r>
      <w:r w:rsidRPr="00D24884">
        <w:rPr>
          <w:rFonts w:cs="Times New Roman"/>
        </w:rPr>
        <w:t xml:space="preserve"> of the litigation, the judge referred to LeBel J.’s majority reasons in </w:t>
      </w:r>
      <w:r w:rsidRPr="00D24884">
        <w:rPr>
          <w:rFonts w:cs="Times New Roman"/>
          <w:i/>
          <w:iCs/>
        </w:rPr>
        <w:t>Okanagan</w:t>
      </w:r>
      <w:r w:rsidRPr="00D24884">
        <w:rPr>
          <w:rFonts w:cs="Times New Roman"/>
          <w:iCs/>
        </w:rPr>
        <w:t xml:space="preserve"> </w:t>
      </w:r>
      <w:r w:rsidRPr="00D24884">
        <w:rPr>
          <w:rFonts w:cs="Times New Roman"/>
        </w:rPr>
        <w:t xml:space="preserve">on the importance of access to </w:t>
      </w:r>
      <w:r w:rsidRPr="00D24884">
        <w:rPr>
          <w:rFonts w:cs="Times New Roman"/>
          <w:i/>
        </w:rPr>
        <w:t xml:space="preserve">Charter </w:t>
      </w:r>
      <w:r w:rsidRPr="00D24884">
        <w:rPr>
          <w:rFonts w:cs="Times New Roman"/>
        </w:rPr>
        <w:t>justice for litigants of limited means:</w:t>
      </w:r>
    </w:p>
    <w:p w:rsidR="001E4C48" w:rsidRPr="00D24884" w:rsidRDefault="001E4C48" w:rsidP="001E4C48">
      <w:pPr>
        <w:pStyle w:val="Citation-AltC"/>
        <w:widowControl w:val="0"/>
      </w:pPr>
      <w:r w:rsidRPr="00D24884">
        <w:t xml:space="preserve">In special cases where individual litigants of limited means seek to enforce their constitutional rights, courts often exercise their discretion on costs so as to avoid the harshness that might result from adherence to the traditional principles.  This helps to ensure that ordinary citizens have access to the justice system when they seek to resolve matters of </w:t>
      </w:r>
      <w:r w:rsidRPr="00D24884">
        <w:lastRenderedPageBreak/>
        <w:t>consequence to the community as a whole.</w:t>
      </w:r>
      <w:r>
        <w:t xml:space="preserve">  [</w:t>
      </w:r>
      <w:r w:rsidRPr="00D24884">
        <w:t>para. 27</w:t>
      </w:r>
      <w:r>
        <w:t>]</w:t>
      </w:r>
    </w:p>
    <w:p w:rsidR="001E4C48" w:rsidRPr="00D24884" w:rsidRDefault="001E4C48" w:rsidP="001E4C48">
      <w:pPr>
        <w:pStyle w:val="ContinueParaSuitedupar-AltP"/>
        <w:widowControl w:val="0"/>
        <w:rPr>
          <w:rFonts w:cs="Times New Roman"/>
        </w:rPr>
      </w:pPr>
      <w:r w:rsidRPr="00D24884">
        <w:rPr>
          <w:rFonts w:cs="Times New Roman"/>
        </w:rPr>
        <w:t xml:space="preserve">The judge turned his mind to the limited ability of the </w:t>
      </w:r>
      <w:r>
        <w:rPr>
          <w:rFonts w:cs="Times New Roman"/>
        </w:rPr>
        <w:t>P</w:t>
      </w:r>
      <w:r w:rsidRPr="00D24884">
        <w:rPr>
          <w:rFonts w:cs="Times New Roman"/>
        </w:rPr>
        <w:t xml:space="preserve">arents to bear the costs of the proceedings.  Further, he noted the </w:t>
      </w:r>
      <w:r>
        <w:rPr>
          <w:rFonts w:cs="Times New Roman"/>
        </w:rPr>
        <w:t>P</w:t>
      </w:r>
      <w:r w:rsidRPr="00D24884">
        <w:rPr>
          <w:rFonts w:cs="Times New Roman"/>
        </w:rPr>
        <w:t xml:space="preserve">rovince’s superior capacity to bear these expenses, and the inability of the CSF to bear such costs without impacting students, thus risking further s. 23 violations.  While, according to </w:t>
      </w:r>
      <w:r w:rsidRPr="00D24884">
        <w:rPr>
          <w:rFonts w:cs="Times New Roman"/>
          <w:i/>
        </w:rPr>
        <w:t>Carter</w:t>
      </w:r>
      <w:r w:rsidRPr="00D24884">
        <w:rPr>
          <w:rFonts w:cs="Times New Roman"/>
        </w:rPr>
        <w:t xml:space="preserve">, the fact that the unsuccessful party has a superior capacity to bear the cost of the proceedings cannot, in itself, justify an award of special costs, it remains a relevant consideration: </w:t>
      </w:r>
      <w:r>
        <w:rPr>
          <w:rFonts w:cs="Times New Roman"/>
        </w:rPr>
        <w:t xml:space="preserve"> </w:t>
      </w:r>
      <w:r w:rsidRPr="00D24884">
        <w:rPr>
          <w:rFonts w:cs="Times New Roman"/>
          <w:i/>
        </w:rPr>
        <w:t>Carter</w:t>
      </w:r>
      <w:r>
        <w:rPr>
          <w:rFonts w:cs="Times New Roman"/>
        </w:rPr>
        <w:t>,</w:t>
      </w:r>
      <w:r w:rsidRPr="00D24884">
        <w:rPr>
          <w:rFonts w:cs="Times New Roman"/>
        </w:rPr>
        <w:t xml:space="preserve"> at para. 137.</w:t>
      </w:r>
    </w:p>
    <w:p w:rsidR="001E4C48" w:rsidRPr="00D24884" w:rsidRDefault="001E4C48" w:rsidP="001E4C48">
      <w:pPr>
        <w:pStyle w:val="ParaNoNdepar-AltN"/>
        <w:widowControl w:val="0"/>
        <w:rPr>
          <w:rFonts w:cs="Times New Roman"/>
        </w:rPr>
      </w:pPr>
      <w:r w:rsidRPr="00D24884">
        <w:rPr>
          <w:rFonts w:cs="Times New Roman"/>
        </w:rPr>
        <w:t xml:space="preserve">The type of litigation at issue in this appeal is unusual.  The </w:t>
      </w:r>
      <w:r>
        <w:rPr>
          <w:rFonts w:cs="Times New Roman"/>
        </w:rPr>
        <w:t>P</w:t>
      </w:r>
      <w:r w:rsidRPr="00D24884">
        <w:rPr>
          <w:rFonts w:cs="Times New Roman"/>
        </w:rPr>
        <w:t xml:space="preserve">arents already had a right to minority language education recognized under s. 23, and their petition was initiated largely as a means to compel the </w:t>
      </w:r>
      <w:r>
        <w:rPr>
          <w:rFonts w:cs="Times New Roman"/>
        </w:rPr>
        <w:t>P</w:t>
      </w:r>
      <w:r w:rsidRPr="00D24884">
        <w:rPr>
          <w:rFonts w:cs="Times New Roman"/>
        </w:rPr>
        <w:t xml:space="preserve">rovince and the CSF to live up to existing obligations.  This process raised novel legal questions regarding the analysis of equivalence under s. 23.  By seeking a simple declaration of a lack of equivalence under s. 23, without seeking a positive remedy at the outset, the </w:t>
      </w:r>
      <w:r>
        <w:rPr>
          <w:rFonts w:cs="Times New Roman"/>
        </w:rPr>
        <w:t>P</w:t>
      </w:r>
      <w:r w:rsidRPr="00D24884">
        <w:rPr>
          <w:rFonts w:cs="Times New Roman"/>
        </w:rPr>
        <w:t xml:space="preserve">arents evidently hoped to resolve some of their issues outside of the courtroom, by way of negotiation with the </w:t>
      </w:r>
      <w:r>
        <w:rPr>
          <w:rFonts w:cs="Times New Roman"/>
        </w:rPr>
        <w:t>P</w:t>
      </w:r>
      <w:r w:rsidRPr="00D24884">
        <w:rPr>
          <w:rFonts w:cs="Times New Roman"/>
        </w:rPr>
        <w:t>rovince and the CSF.</w:t>
      </w:r>
    </w:p>
    <w:p w:rsidR="001E4C48" w:rsidRPr="00D24884" w:rsidRDefault="001E4C48" w:rsidP="001E4C48">
      <w:pPr>
        <w:pStyle w:val="ParaNoNdepar-AltN"/>
        <w:widowControl w:val="0"/>
        <w:rPr>
          <w:rFonts w:cs="Times New Roman"/>
        </w:rPr>
      </w:pPr>
      <w:r w:rsidRPr="00D24884">
        <w:rPr>
          <w:rFonts w:cs="Times New Roman"/>
        </w:rPr>
        <w:t xml:space="preserve">Even with such a focused approach, litigation of this nature is nonetheless an onerous burden for a small group of parents to bear.  It is for this reason that courts </w:t>
      </w:r>
      <w:r>
        <w:rPr>
          <w:rFonts w:cs="Times New Roman"/>
        </w:rPr>
        <w:t xml:space="preserve">have, </w:t>
      </w:r>
      <w:r w:rsidRPr="00D24884">
        <w:rPr>
          <w:rFonts w:cs="Times New Roman"/>
        </w:rPr>
        <w:t>in the past</w:t>
      </w:r>
      <w:r>
        <w:rPr>
          <w:rFonts w:cs="Times New Roman"/>
        </w:rPr>
        <w:t>,</w:t>
      </w:r>
      <w:r w:rsidRPr="00D24884">
        <w:rPr>
          <w:rFonts w:cs="Times New Roman"/>
        </w:rPr>
        <w:t xml:space="preserve"> awarded special costs in cases involving s. 23 violations where the rights holders made sustained efforts to alert government to the s. 23 issues prior to launching legal proceedings:</w:t>
      </w:r>
      <w:r>
        <w:rPr>
          <w:rFonts w:cs="Times New Roman"/>
        </w:rPr>
        <w:t xml:space="preserve">  see</w:t>
      </w:r>
      <w:r w:rsidRPr="00D24884">
        <w:rPr>
          <w:rFonts w:cs="Times New Roman"/>
        </w:rPr>
        <w:t xml:space="preserve"> </w:t>
      </w:r>
      <w:r w:rsidRPr="00D24884">
        <w:rPr>
          <w:rFonts w:cs="Times New Roman"/>
          <w:i/>
        </w:rPr>
        <w:t>Doucet-Boudreau</w:t>
      </w:r>
      <w:r>
        <w:rPr>
          <w:rFonts w:cs="Times New Roman"/>
        </w:rPr>
        <w:t>,</w:t>
      </w:r>
      <w:r w:rsidRPr="00D24884">
        <w:rPr>
          <w:rFonts w:cs="Times New Roman"/>
        </w:rPr>
        <w:t xml:space="preserve"> at</w:t>
      </w:r>
      <w:r w:rsidRPr="00D24884">
        <w:rPr>
          <w:rFonts w:cs="Times New Roman"/>
          <w:spacing w:val="-4"/>
        </w:rPr>
        <w:t xml:space="preserve"> </w:t>
      </w:r>
      <w:r w:rsidRPr="00D24884">
        <w:rPr>
          <w:rFonts w:cs="Times New Roman"/>
        </w:rPr>
        <w:t>para.</w:t>
      </w:r>
      <w:r w:rsidRPr="00D24884">
        <w:rPr>
          <w:rFonts w:cs="Times New Roman"/>
          <w:spacing w:val="-5"/>
        </w:rPr>
        <w:t xml:space="preserve"> </w:t>
      </w:r>
      <w:r w:rsidRPr="00D24884">
        <w:rPr>
          <w:rFonts w:cs="Times New Roman"/>
        </w:rPr>
        <w:t>90;</w:t>
      </w:r>
      <w:r w:rsidRPr="00D24884">
        <w:rPr>
          <w:rFonts w:cs="Times New Roman"/>
          <w:spacing w:val="-8"/>
        </w:rPr>
        <w:t xml:space="preserve"> </w:t>
      </w:r>
      <w:r w:rsidRPr="00D24884">
        <w:rPr>
          <w:rFonts w:cs="Times New Roman"/>
          <w:i/>
        </w:rPr>
        <w:t>Arsenault-Cameron</w:t>
      </w:r>
      <w:r w:rsidRPr="00D24884">
        <w:rPr>
          <w:rFonts w:cs="Times New Roman"/>
        </w:rPr>
        <w:t>,</w:t>
      </w:r>
      <w:r w:rsidRPr="00D24884">
        <w:rPr>
          <w:rFonts w:cs="Times New Roman"/>
          <w:spacing w:val="-4"/>
        </w:rPr>
        <w:t xml:space="preserve"> </w:t>
      </w:r>
      <w:r w:rsidRPr="00D24884">
        <w:rPr>
          <w:rFonts w:cs="Times New Roman"/>
        </w:rPr>
        <w:t>at</w:t>
      </w:r>
      <w:r w:rsidRPr="00D24884">
        <w:rPr>
          <w:rFonts w:cs="Times New Roman"/>
          <w:spacing w:val="-4"/>
        </w:rPr>
        <w:t xml:space="preserve"> </w:t>
      </w:r>
      <w:r w:rsidRPr="00D24884">
        <w:rPr>
          <w:rFonts w:cs="Times New Roman"/>
        </w:rPr>
        <w:t>para.</w:t>
      </w:r>
      <w:r w:rsidRPr="00D24884">
        <w:rPr>
          <w:rFonts w:cs="Times New Roman"/>
          <w:spacing w:val="-7"/>
        </w:rPr>
        <w:t xml:space="preserve"> </w:t>
      </w:r>
      <w:r w:rsidRPr="00D24884">
        <w:rPr>
          <w:rFonts w:cs="Times New Roman"/>
        </w:rPr>
        <w:t>63;</w:t>
      </w:r>
      <w:r w:rsidRPr="00D24884">
        <w:rPr>
          <w:rFonts w:cs="Times New Roman"/>
          <w:spacing w:val="70"/>
          <w:w w:val="99"/>
        </w:rPr>
        <w:t xml:space="preserve"> </w:t>
      </w:r>
      <w:r w:rsidRPr="00D24884">
        <w:rPr>
          <w:rFonts w:cs="Times New Roman"/>
          <w:i/>
        </w:rPr>
        <w:t>Arsenault-Cameron</w:t>
      </w:r>
      <w:r w:rsidRPr="00D24884">
        <w:rPr>
          <w:rFonts w:cs="Times New Roman"/>
          <w:i/>
          <w:spacing w:val="-6"/>
        </w:rPr>
        <w:t xml:space="preserve"> </w:t>
      </w:r>
      <w:r w:rsidRPr="00D24884">
        <w:rPr>
          <w:rFonts w:cs="Times New Roman"/>
          <w:i/>
        </w:rPr>
        <w:t>v.</w:t>
      </w:r>
      <w:r w:rsidRPr="00D24884">
        <w:rPr>
          <w:rFonts w:cs="Times New Roman"/>
          <w:i/>
          <w:spacing w:val="-5"/>
        </w:rPr>
        <w:t xml:space="preserve"> </w:t>
      </w:r>
      <w:r w:rsidRPr="00D24884">
        <w:rPr>
          <w:rFonts w:cs="Times New Roman"/>
          <w:i/>
        </w:rPr>
        <w:t>Prince</w:t>
      </w:r>
      <w:r w:rsidRPr="00D24884">
        <w:rPr>
          <w:rFonts w:cs="Times New Roman"/>
          <w:i/>
          <w:spacing w:val="-6"/>
        </w:rPr>
        <w:t xml:space="preserve"> </w:t>
      </w:r>
      <w:r w:rsidRPr="00D24884">
        <w:rPr>
          <w:rFonts w:cs="Times New Roman"/>
          <w:i/>
        </w:rPr>
        <w:t>Edward</w:t>
      </w:r>
      <w:r w:rsidRPr="00D24884">
        <w:rPr>
          <w:rFonts w:cs="Times New Roman"/>
          <w:i/>
          <w:spacing w:val="-6"/>
        </w:rPr>
        <w:t xml:space="preserve"> </w:t>
      </w:r>
      <w:r w:rsidRPr="00D24884">
        <w:rPr>
          <w:rFonts w:cs="Times New Roman"/>
          <w:i/>
        </w:rPr>
        <w:t>Island</w:t>
      </w:r>
      <w:r w:rsidRPr="00D24884">
        <w:rPr>
          <w:rFonts w:cs="Times New Roman"/>
          <w:i/>
          <w:spacing w:val="-5"/>
        </w:rPr>
        <w:t xml:space="preserve"> </w:t>
      </w:r>
      <w:r w:rsidRPr="00DE0E8B">
        <w:rPr>
          <w:rFonts w:cs="Times New Roman"/>
        </w:rPr>
        <w:t>(1997</w:t>
      </w:r>
      <w:r w:rsidRPr="00DE0E8B">
        <w:rPr>
          <w:rFonts w:cs="Times New Roman"/>
          <w:spacing w:val="-2"/>
        </w:rPr>
        <w:t>)</w:t>
      </w:r>
      <w:r w:rsidRPr="00D24884">
        <w:rPr>
          <w:rFonts w:cs="Times New Roman"/>
          <w:spacing w:val="-2"/>
        </w:rPr>
        <w:t>,</w:t>
      </w:r>
      <w:r w:rsidRPr="00D24884">
        <w:rPr>
          <w:rFonts w:cs="Times New Roman"/>
          <w:spacing w:val="-5"/>
        </w:rPr>
        <w:t xml:space="preserve"> </w:t>
      </w:r>
      <w:r w:rsidRPr="00D24884">
        <w:rPr>
          <w:rStyle w:val="nowrap"/>
          <w:rFonts w:cs="Times New Roman"/>
        </w:rPr>
        <w:t>14</w:t>
      </w:r>
      <w:r>
        <w:rPr>
          <w:rStyle w:val="nowrap"/>
          <w:rFonts w:cs="Times New Roman"/>
        </w:rPr>
        <w:t>9</w:t>
      </w:r>
      <w:r w:rsidRPr="00D24884">
        <w:rPr>
          <w:rStyle w:val="nowrap"/>
          <w:rFonts w:cs="Times New Roman"/>
        </w:rPr>
        <w:t xml:space="preserve"> Nfld. &amp; P.E.I.R. </w:t>
      </w:r>
      <w:r>
        <w:rPr>
          <w:rStyle w:val="nowrap"/>
          <w:rFonts w:cs="Times New Roman"/>
        </w:rPr>
        <w:t>96 (P.E.I.S.C.T.D.)</w:t>
      </w:r>
      <w:r w:rsidRPr="00D24884">
        <w:rPr>
          <w:rStyle w:val="nowrap"/>
          <w:rFonts w:cs="Times New Roman"/>
        </w:rPr>
        <w:t xml:space="preserve">, </w:t>
      </w:r>
      <w:r w:rsidRPr="00D24884">
        <w:rPr>
          <w:rFonts w:cs="Times New Roman"/>
        </w:rPr>
        <w:t>at paras.</w:t>
      </w:r>
      <w:r w:rsidRPr="00D24884">
        <w:rPr>
          <w:rFonts w:cs="Times New Roman"/>
          <w:spacing w:val="-8"/>
        </w:rPr>
        <w:t xml:space="preserve"> </w:t>
      </w:r>
      <w:r w:rsidRPr="00D24884">
        <w:rPr>
          <w:rFonts w:cs="Times New Roman"/>
        </w:rPr>
        <w:t xml:space="preserve">12-14; </w:t>
      </w:r>
      <w:r w:rsidRPr="00D24884">
        <w:rPr>
          <w:rFonts w:cs="Times New Roman"/>
          <w:i/>
        </w:rPr>
        <w:t>Marchand</w:t>
      </w:r>
      <w:r w:rsidRPr="00D24884">
        <w:rPr>
          <w:rFonts w:cs="Times New Roman"/>
          <w:i/>
          <w:spacing w:val="-4"/>
        </w:rPr>
        <w:t xml:space="preserve"> </w:t>
      </w:r>
      <w:r w:rsidRPr="00D24884">
        <w:rPr>
          <w:rFonts w:cs="Times New Roman"/>
          <w:i/>
        </w:rPr>
        <w:t>v.</w:t>
      </w:r>
      <w:r w:rsidRPr="00D24884">
        <w:rPr>
          <w:rFonts w:cs="Times New Roman"/>
          <w:i/>
          <w:spacing w:val="-3"/>
        </w:rPr>
        <w:t xml:space="preserve"> </w:t>
      </w:r>
      <w:r w:rsidRPr="00D24884">
        <w:rPr>
          <w:rFonts w:cs="Times New Roman"/>
          <w:i/>
        </w:rPr>
        <w:t>Simcoe</w:t>
      </w:r>
      <w:r w:rsidRPr="00D24884">
        <w:rPr>
          <w:rFonts w:cs="Times New Roman"/>
          <w:i/>
          <w:spacing w:val="-5"/>
        </w:rPr>
        <w:t xml:space="preserve"> </w:t>
      </w:r>
      <w:r w:rsidRPr="00D24884">
        <w:rPr>
          <w:rFonts w:cs="Times New Roman"/>
          <w:i/>
        </w:rPr>
        <w:t>County</w:t>
      </w:r>
      <w:r w:rsidRPr="00D24884">
        <w:rPr>
          <w:rFonts w:cs="Times New Roman"/>
          <w:i/>
          <w:spacing w:val="-4"/>
        </w:rPr>
        <w:t xml:space="preserve"> </w:t>
      </w:r>
      <w:r w:rsidRPr="00D24884">
        <w:rPr>
          <w:rFonts w:cs="Times New Roman"/>
          <w:i/>
        </w:rPr>
        <w:t>Board</w:t>
      </w:r>
      <w:r w:rsidRPr="00D24884">
        <w:rPr>
          <w:rFonts w:cs="Times New Roman"/>
          <w:i/>
          <w:spacing w:val="-6"/>
        </w:rPr>
        <w:t xml:space="preserve"> </w:t>
      </w:r>
      <w:r w:rsidRPr="00D24884">
        <w:rPr>
          <w:rFonts w:cs="Times New Roman"/>
          <w:i/>
        </w:rPr>
        <w:t>of</w:t>
      </w:r>
      <w:r w:rsidRPr="00D24884">
        <w:rPr>
          <w:rFonts w:cs="Times New Roman"/>
          <w:i/>
          <w:spacing w:val="-4"/>
        </w:rPr>
        <w:t xml:space="preserve"> </w:t>
      </w:r>
      <w:r w:rsidRPr="00D24884">
        <w:rPr>
          <w:rFonts w:cs="Times New Roman"/>
          <w:i/>
        </w:rPr>
        <w:t>Education</w:t>
      </w:r>
      <w:r w:rsidRPr="00D24884">
        <w:rPr>
          <w:rFonts w:cs="Times New Roman"/>
          <w:spacing w:val="-4"/>
        </w:rPr>
        <w:t xml:space="preserve"> </w:t>
      </w:r>
      <w:r w:rsidRPr="00D24884">
        <w:rPr>
          <w:rFonts w:cs="Times New Roman"/>
        </w:rPr>
        <w:lastRenderedPageBreak/>
        <w:t>(1986),</w:t>
      </w:r>
      <w:r w:rsidRPr="00D24884">
        <w:rPr>
          <w:rFonts w:cs="Times New Roman"/>
          <w:spacing w:val="-3"/>
        </w:rPr>
        <w:t xml:space="preserve"> </w:t>
      </w:r>
      <w:r w:rsidRPr="00D24884">
        <w:rPr>
          <w:rFonts w:cs="Times New Roman"/>
        </w:rPr>
        <w:t>12</w:t>
      </w:r>
      <w:r w:rsidRPr="00D24884">
        <w:rPr>
          <w:rFonts w:cs="Times New Roman"/>
          <w:spacing w:val="-4"/>
        </w:rPr>
        <w:t xml:space="preserve"> </w:t>
      </w:r>
      <w:r w:rsidRPr="00D24884">
        <w:rPr>
          <w:rFonts w:cs="Times New Roman"/>
        </w:rPr>
        <w:t>C.P.C.</w:t>
      </w:r>
      <w:r w:rsidRPr="00D24884">
        <w:rPr>
          <w:rFonts w:cs="Times New Roman"/>
          <w:spacing w:val="-4"/>
        </w:rPr>
        <w:t xml:space="preserve"> </w:t>
      </w:r>
      <w:r w:rsidRPr="00D24884">
        <w:rPr>
          <w:rFonts w:cs="Times New Roman"/>
        </w:rPr>
        <w:t>(2d)</w:t>
      </w:r>
      <w:r w:rsidRPr="00D24884">
        <w:rPr>
          <w:rFonts w:cs="Times New Roman"/>
          <w:spacing w:val="-6"/>
        </w:rPr>
        <w:t xml:space="preserve"> </w:t>
      </w:r>
      <w:r w:rsidRPr="00D24884">
        <w:rPr>
          <w:rFonts w:cs="Times New Roman"/>
        </w:rPr>
        <w:t>140</w:t>
      </w:r>
      <w:r w:rsidRPr="00D24884">
        <w:rPr>
          <w:rFonts w:cs="Times New Roman"/>
          <w:spacing w:val="-3"/>
        </w:rPr>
        <w:t xml:space="preserve"> </w:t>
      </w:r>
      <w:r w:rsidRPr="00D24884">
        <w:rPr>
          <w:rFonts w:cs="Times New Roman"/>
        </w:rPr>
        <w:t>(Ont.</w:t>
      </w:r>
      <w:r>
        <w:rPr>
          <w:rFonts w:cs="Times New Roman"/>
        </w:rPr>
        <w:t xml:space="preserve"> H.C.</w:t>
      </w:r>
      <w:r w:rsidRPr="00D24884">
        <w:rPr>
          <w:rFonts w:cs="Times New Roman"/>
        </w:rPr>
        <w:t>), at</w:t>
      </w:r>
      <w:r>
        <w:rPr>
          <w:rFonts w:cs="Times New Roman"/>
        </w:rPr>
        <w:t xml:space="preserve"> pp.</w:t>
      </w:r>
      <w:r w:rsidRPr="00D24884">
        <w:rPr>
          <w:rFonts w:cs="Times New Roman"/>
          <w:spacing w:val="-5"/>
        </w:rPr>
        <w:t xml:space="preserve"> </w:t>
      </w:r>
      <w:r>
        <w:rPr>
          <w:rFonts w:cs="Times New Roman"/>
          <w:spacing w:val="-5"/>
        </w:rPr>
        <w:t>142-43</w:t>
      </w:r>
      <w:r w:rsidRPr="00D24884">
        <w:rPr>
          <w:rFonts w:cs="Times New Roman"/>
          <w:spacing w:val="-4"/>
        </w:rPr>
        <w:t>.</w:t>
      </w:r>
    </w:p>
    <w:p w:rsidR="001E4C48" w:rsidRPr="00D24884" w:rsidRDefault="001E4C48" w:rsidP="001E4C48">
      <w:pPr>
        <w:pStyle w:val="ParaNoNdepar-AltN"/>
        <w:widowControl w:val="0"/>
        <w:tabs>
          <w:tab w:val="clear" w:pos="1152"/>
          <w:tab w:val="left" w:pos="1166"/>
        </w:tabs>
        <w:rPr>
          <w:rFonts w:cs="Times New Roman"/>
        </w:rPr>
      </w:pPr>
      <w:r w:rsidRPr="00D24884">
        <w:rPr>
          <w:rFonts w:cs="Times New Roman"/>
        </w:rPr>
        <w:t xml:space="preserve">In these circumstances, the cost award of the judge will be restored.  I would also order special costs to the </w:t>
      </w:r>
      <w:r>
        <w:rPr>
          <w:rFonts w:cs="Times New Roman"/>
        </w:rPr>
        <w:t>P</w:t>
      </w:r>
      <w:r w:rsidRPr="00D24884">
        <w:rPr>
          <w:rFonts w:cs="Times New Roman"/>
        </w:rPr>
        <w:t>arents and the CSF</w:t>
      </w:r>
      <w:r>
        <w:rPr>
          <w:rFonts w:cs="Times New Roman"/>
        </w:rPr>
        <w:t xml:space="preserve"> </w:t>
      </w:r>
      <w:r w:rsidRPr="00D24884">
        <w:rPr>
          <w:rFonts w:cs="Times New Roman"/>
        </w:rPr>
        <w:t>for the appeal proceedings.</w:t>
      </w:r>
    </w:p>
    <w:p w:rsidR="009B57B3" w:rsidRPr="0042252B" w:rsidRDefault="009B57B3" w:rsidP="001E4C48">
      <w:pPr>
        <w:pStyle w:val="SCCNormalDoubleSpacing"/>
        <w:widowControl w:val="0"/>
        <w:spacing w:before="480" w:after="480"/>
        <w:rPr>
          <w:lang w:val="fr-CA"/>
        </w:rPr>
      </w:pPr>
      <w:r w:rsidRPr="002D33D8">
        <w:rPr>
          <w:lang w:val="en-US"/>
        </w:rPr>
        <w:tab/>
      </w:r>
      <w:r w:rsidR="00656313" w:rsidRPr="0042252B">
        <w:rPr>
          <w:i/>
          <w:lang w:val="fr-CA"/>
        </w:rPr>
        <w:t>Appeal</w:t>
      </w:r>
      <w:r w:rsidR="00FF5DE4" w:rsidRPr="0042252B">
        <w:rPr>
          <w:i/>
          <w:lang w:val="fr-CA"/>
        </w:rPr>
        <w:t xml:space="preserve"> allowed</w:t>
      </w:r>
      <w:r w:rsidR="00195E48" w:rsidRPr="0042252B">
        <w:rPr>
          <w:i/>
          <w:lang w:val="fr-CA"/>
        </w:rPr>
        <w:t xml:space="preserve"> with costs</w:t>
      </w:r>
      <w:r w:rsidR="00F374CB" w:rsidRPr="0042252B">
        <w:rPr>
          <w:i/>
          <w:lang w:val="fr-CA"/>
        </w:rPr>
        <w:t>.</w:t>
      </w:r>
    </w:p>
    <w:p w:rsidR="00FF5DE4" w:rsidRPr="0042252B" w:rsidRDefault="00F374CB" w:rsidP="001E4C48">
      <w:pPr>
        <w:pStyle w:val="SCCLawFirm"/>
        <w:widowControl w:val="0"/>
        <w:spacing w:before="480" w:after="480"/>
        <w:rPr>
          <w:lang w:val="fr-CA"/>
        </w:rPr>
      </w:pPr>
      <w:r w:rsidRPr="0042252B">
        <w:rPr>
          <w:lang w:val="fr-CA"/>
        </w:rPr>
        <w:tab/>
      </w:r>
      <w:r w:rsidR="00FF5DE4" w:rsidRPr="0042252B">
        <w:rPr>
          <w:lang w:val="fr-CA"/>
        </w:rPr>
        <w:t>Solicitors for the appellants Association des parents de l’école Rose</w:t>
      </w:r>
      <w:r w:rsidR="001E4C48">
        <w:rPr>
          <w:lang w:val="fr-CA"/>
        </w:rPr>
        <w:t>-</w:t>
      </w:r>
      <w:r w:rsidR="00FF5DE4" w:rsidRPr="0042252B">
        <w:rPr>
          <w:lang w:val="fr-CA"/>
        </w:rPr>
        <w:t>des</w:t>
      </w:r>
      <w:r w:rsidR="001E4C48">
        <w:rPr>
          <w:lang w:val="fr-CA"/>
        </w:rPr>
        <w:t>-</w:t>
      </w:r>
      <w:r w:rsidR="00FF5DE4" w:rsidRPr="0042252B">
        <w:rPr>
          <w:lang w:val="fr-CA"/>
        </w:rPr>
        <w:t>vents et al.:</w:t>
      </w:r>
      <w:r w:rsidR="00E413D7">
        <w:rPr>
          <w:lang w:val="fr-CA"/>
        </w:rPr>
        <w:t xml:space="preserve"> </w:t>
      </w:r>
      <w:r w:rsidR="00FF5DE4" w:rsidRPr="0042252B">
        <w:rPr>
          <w:lang w:val="fr-CA"/>
        </w:rPr>
        <w:t>Nicolas M. Rouleau, société professionnelle, Toronto; Joseph Pagé, Vancouver.</w:t>
      </w:r>
    </w:p>
    <w:p w:rsidR="00FF5DE4" w:rsidRPr="0042252B" w:rsidRDefault="00FF5DE4" w:rsidP="001E4C48">
      <w:pPr>
        <w:pStyle w:val="SCCLawFirm"/>
        <w:widowControl w:val="0"/>
        <w:spacing w:before="480" w:after="480"/>
        <w:rPr>
          <w:lang w:val="fr-CA"/>
        </w:rPr>
      </w:pPr>
      <w:r w:rsidRPr="0042252B">
        <w:rPr>
          <w:lang w:val="fr-CA"/>
        </w:rPr>
        <w:tab/>
        <w:t>Solicitors for the appellant Conseil scolaire francophone de la Colombie</w:t>
      </w:r>
      <w:r w:rsidR="001E4C48">
        <w:rPr>
          <w:lang w:val="fr-CA"/>
        </w:rPr>
        <w:t>-</w:t>
      </w:r>
      <w:r w:rsidRPr="0042252B">
        <w:rPr>
          <w:lang w:val="fr-CA"/>
        </w:rPr>
        <w:t>Britannique:</w:t>
      </w:r>
      <w:r w:rsidR="00E413D7">
        <w:rPr>
          <w:lang w:val="fr-CA"/>
        </w:rPr>
        <w:t xml:space="preserve"> </w:t>
      </w:r>
      <w:r w:rsidRPr="0042252B">
        <w:rPr>
          <w:lang w:val="fr-CA"/>
        </w:rPr>
        <w:t>Gall, Legge, Grant &amp; Munroe, Vancouver; Power Law, Ottawa.</w:t>
      </w:r>
    </w:p>
    <w:p w:rsidR="00FF5DE4" w:rsidRPr="0042252B" w:rsidRDefault="00FF5DE4" w:rsidP="001E4C48">
      <w:pPr>
        <w:pStyle w:val="SCCLawFirm"/>
        <w:widowControl w:val="0"/>
        <w:spacing w:before="480" w:after="480"/>
      </w:pPr>
      <w:r w:rsidRPr="0042252B">
        <w:rPr>
          <w:lang w:val="fr-CA"/>
        </w:rPr>
        <w:tab/>
      </w:r>
      <w:r w:rsidRPr="0042252B">
        <w:t>Solicitors for the respondents:</w:t>
      </w:r>
      <w:r w:rsidR="00E413D7">
        <w:t xml:space="preserve"> </w:t>
      </w:r>
      <w:r w:rsidRPr="0042252B">
        <w:t>Attorney General of British Columbia, Victoria; McCarthy Tétrault, Vancouver.</w:t>
      </w:r>
    </w:p>
    <w:p w:rsidR="00FF5DE4" w:rsidRPr="0042252B" w:rsidRDefault="00FF5DE4" w:rsidP="001E4C48">
      <w:pPr>
        <w:pStyle w:val="SCCLawFirm"/>
        <w:widowControl w:val="0"/>
        <w:spacing w:before="480" w:after="480"/>
      </w:pPr>
      <w:r w:rsidRPr="0042252B">
        <w:tab/>
        <w:t>Solicitor for the intervener the Attorney General for Saskatchewan:</w:t>
      </w:r>
      <w:r w:rsidR="00E413D7">
        <w:t xml:space="preserve"> </w:t>
      </w:r>
      <w:r w:rsidRPr="0042252B">
        <w:t>Attorney General for Saskatchewan, Regina.</w:t>
      </w:r>
    </w:p>
    <w:p w:rsidR="00FF5DE4" w:rsidRPr="0042252B" w:rsidRDefault="00FF5DE4" w:rsidP="001E4C48">
      <w:pPr>
        <w:pStyle w:val="SCCLawFirm"/>
        <w:widowControl w:val="0"/>
        <w:spacing w:before="480" w:after="480"/>
      </w:pPr>
      <w:r w:rsidRPr="0042252B">
        <w:tab/>
        <w:t>Solicitor for the intervener the Attorney General of Alberta:</w:t>
      </w:r>
      <w:r w:rsidR="00E413D7">
        <w:t xml:space="preserve"> </w:t>
      </w:r>
      <w:r w:rsidRPr="0042252B">
        <w:t>Attorney General of Alberta, Edmonton.</w:t>
      </w:r>
    </w:p>
    <w:p w:rsidR="00FF5DE4" w:rsidRPr="0042252B" w:rsidRDefault="00FF5DE4" w:rsidP="001E4C48">
      <w:pPr>
        <w:pStyle w:val="SCCLawFirm"/>
        <w:widowControl w:val="0"/>
        <w:spacing w:before="480" w:after="480"/>
      </w:pPr>
      <w:r w:rsidRPr="0042252B">
        <w:tab/>
        <w:t>Solicitors for the intervener the Attorney General of the Northwest Territories:</w:t>
      </w:r>
      <w:r w:rsidR="00E413D7">
        <w:t xml:space="preserve"> </w:t>
      </w:r>
      <w:r w:rsidRPr="0042252B">
        <w:t>Gowling Lafleur Henderson, Ottawa.</w:t>
      </w:r>
    </w:p>
    <w:p w:rsidR="00FF5DE4" w:rsidRPr="0042252B" w:rsidRDefault="00FF5DE4" w:rsidP="001E4C48">
      <w:pPr>
        <w:pStyle w:val="SCCLawFirm"/>
        <w:widowControl w:val="0"/>
        <w:spacing w:before="480" w:after="480"/>
      </w:pPr>
      <w:r w:rsidRPr="0042252B">
        <w:lastRenderedPageBreak/>
        <w:tab/>
        <w:t>Solicitors for the intervener the Attorney General of the Yukon Territory:</w:t>
      </w:r>
      <w:r w:rsidR="00E413D7">
        <w:t xml:space="preserve"> </w:t>
      </w:r>
      <w:r w:rsidRPr="0042252B">
        <w:t>Attorney General of the Yukon, Whitehorse; Gowling Lafleur Henderson, Ottawa.</w:t>
      </w:r>
    </w:p>
    <w:p w:rsidR="00FF5DE4" w:rsidRPr="0042252B" w:rsidRDefault="00FF5DE4" w:rsidP="001E4C48">
      <w:pPr>
        <w:pStyle w:val="SCCLawFirm"/>
        <w:widowControl w:val="0"/>
        <w:spacing w:before="480" w:after="480"/>
      </w:pPr>
      <w:r w:rsidRPr="0042252B">
        <w:tab/>
        <w:t>Solicitor for the intervener the Commissioner of Official Languages of Canada:</w:t>
      </w:r>
      <w:r w:rsidR="00E413D7">
        <w:t xml:space="preserve"> </w:t>
      </w:r>
      <w:r w:rsidRPr="0042252B">
        <w:t>Office of the Commissioner of Official Languages, Gatineau.</w:t>
      </w:r>
    </w:p>
    <w:p w:rsidR="009B57B3" w:rsidRDefault="00FF5DE4" w:rsidP="001E4C48">
      <w:pPr>
        <w:pStyle w:val="SCCLawFirm"/>
        <w:widowControl w:val="0"/>
        <w:spacing w:before="480" w:after="480"/>
        <w:rPr>
          <w:lang w:val="fr-CA"/>
        </w:rPr>
      </w:pPr>
      <w:r w:rsidRPr="0042252B">
        <w:tab/>
      </w:r>
      <w:r w:rsidRPr="0042252B">
        <w:rPr>
          <w:lang w:val="fr-CA"/>
        </w:rPr>
        <w:t>Solicitors for the interveners Commission scolaire francophone, Territoires du Nord</w:t>
      </w:r>
      <w:r w:rsidR="001E4C48">
        <w:rPr>
          <w:lang w:val="fr-CA"/>
        </w:rPr>
        <w:t>-</w:t>
      </w:r>
      <w:r w:rsidRPr="0042252B">
        <w:rPr>
          <w:lang w:val="fr-CA"/>
        </w:rPr>
        <w:t>Ouest, Fédération nationale des conseils scolaires francophones, Conseil des écoles fransaskoises and Commission scolaire francophone du Yukon:</w:t>
      </w:r>
      <w:r w:rsidR="00E413D7">
        <w:rPr>
          <w:lang w:val="fr-CA"/>
        </w:rPr>
        <w:t xml:space="preserve"> </w:t>
      </w:r>
      <w:r w:rsidRPr="0042252B">
        <w:rPr>
          <w:lang w:val="fr-CA"/>
        </w:rPr>
        <w:t>Miller Thomson, Regina.</w:t>
      </w:r>
    </w:p>
    <w:sectPr w:rsidR="009B57B3"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48" w:rsidRDefault="001E4C48">
      <w:r>
        <w:separator/>
      </w:r>
    </w:p>
  </w:endnote>
  <w:endnote w:type="continuationSeparator" w:id="0">
    <w:p w:rsidR="001E4C48" w:rsidRDefault="001E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48" w:rsidRDefault="001E4C48">
      <w:r>
        <w:separator/>
      </w:r>
    </w:p>
  </w:footnote>
  <w:footnote w:type="continuationSeparator" w:id="0">
    <w:p w:rsidR="001E4C48" w:rsidRDefault="001E4C48">
      <w:r>
        <w:continuationSeparator/>
      </w:r>
    </w:p>
  </w:footnote>
  <w:footnote w:id="1">
    <w:p w:rsidR="001E4C48" w:rsidRPr="00E91AC2" w:rsidRDefault="001E4C48" w:rsidP="00275A80">
      <w:pPr>
        <w:pStyle w:val="FootnoteText"/>
        <w:ind w:left="180" w:hanging="180"/>
        <w:jc w:val="both"/>
      </w:pPr>
      <w:r w:rsidRPr="00E91AC2">
        <w:rPr>
          <w:rStyle w:val="FootnoteReference"/>
        </w:rPr>
        <w:footnoteRef/>
      </w:r>
      <w:r w:rsidRPr="00E91AC2">
        <w:t xml:space="preserve"> Despite being named </w:t>
      </w:r>
      <w:r>
        <w:t xml:space="preserve">as a respondent </w:t>
      </w:r>
      <w:r w:rsidRPr="00E91AC2">
        <w:t xml:space="preserve">in the petition, the CSF has supported the position of the </w:t>
      </w:r>
      <w:r>
        <w:t>P</w:t>
      </w:r>
      <w:r w:rsidRPr="00E91AC2">
        <w:t>arents, and is an appellant in the appeal before this Court.</w:t>
      </w:r>
    </w:p>
  </w:footnote>
  <w:footnote w:id="2">
    <w:p w:rsidR="001E4C48" w:rsidRPr="00AD1EA1" w:rsidRDefault="001E4C48" w:rsidP="009336CC">
      <w:pPr>
        <w:pStyle w:val="FootnoteText"/>
        <w:ind w:left="180" w:hanging="180"/>
        <w:jc w:val="both"/>
        <w:rPr>
          <w:sz w:val="21"/>
          <w:szCs w:val="21"/>
        </w:rPr>
      </w:pPr>
      <w:r w:rsidRPr="00E91AC2">
        <w:rPr>
          <w:rStyle w:val="FootnoteReference"/>
        </w:rPr>
        <w:footnoteRef/>
      </w:r>
      <w:r w:rsidRPr="00E91AC2">
        <w:t xml:space="preserve"> </w:t>
      </w:r>
      <w:r>
        <w:t>The Fédération is a</w:t>
      </w:r>
      <w:r w:rsidRPr="00E91AC2">
        <w:t xml:space="preserve"> non-profit </w:t>
      </w:r>
      <w:r>
        <w:t xml:space="preserve">organization </w:t>
      </w:r>
      <w:r w:rsidRPr="00E91AC2">
        <w:t>representing 28 parent associations from the CSF’s schools and 13 parent associations from French</w:t>
      </w:r>
      <w:r>
        <w:t>-</w:t>
      </w:r>
      <w:r w:rsidRPr="00E91AC2">
        <w:t>language pre-schools.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8F7588"/>
    <w:multiLevelType w:val="hybridMultilevel"/>
    <w:tmpl w:val="A2F2C5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8D6A5E"/>
    <w:multiLevelType w:val="hybridMultilevel"/>
    <w:tmpl w:val="96E65D26"/>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1LevelTitre1Niveau-AltL"/>
      <w:lvlText w:val="%2."/>
      <w:lvlJc w:val="left"/>
      <w:pPr>
        <w:tabs>
          <w:tab w:val="num" w:pos="576"/>
        </w:tabs>
        <w:ind w:left="576" w:hanging="576"/>
      </w:pPr>
      <w:rPr>
        <w:rFonts w:ascii="Times New Roman" w:hAnsi="Times New Roman" w:hint="default"/>
        <w:b w:val="0"/>
        <w:i w:val="0"/>
        <w:sz w:val="24"/>
      </w:rPr>
    </w:lvl>
    <w:lvl w:ilvl="2">
      <w:start w:val="1"/>
      <w:numFmt w:val="decimal"/>
      <w:pStyle w:val="Title2LevelTitre2Niveau"/>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0"/>
  </w:num>
  <w:num w:numId="3">
    <w:abstractNumId w:val="11"/>
  </w:num>
  <w:num w:numId="4">
    <w:abstractNumId w:val="10"/>
  </w:num>
  <w:num w:numId="5">
    <w:abstractNumId w:val="17"/>
  </w:num>
  <w:num w:numId="6">
    <w:abstractNumId w:val="18"/>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1LevelTitre1Niveau-AltL"/>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2LevelTitre2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2"/>
  </w:num>
  <w:num w:numId="10">
    <w:abstractNumId w:val="1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14B95"/>
    <w:rsid w:val="0002402B"/>
    <w:rsid w:val="0002478A"/>
    <w:rsid w:val="00024D28"/>
    <w:rsid w:val="00024E0E"/>
    <w:rsid w:val="00025198"/>
    <w:rsid w:val="00050FF1"/>
    <w:rsid w:val="000578A3"/>
    <w:rsid w:val="000648CC"/>
    <w:rsid w:val="00080252"/>
    <w:rsid w:val="000B0D3C"/>
    <w:rsid w:val="000C59B8"/>
    <w:rsid w:val="000C5FE7"/>
    <w:rsid w:val="000C6AF0"/>
    <w:rsid w:val="00104F33"/>
    <w:rsid w:val="00111DE2"/>
    <w:rsid w:val="00115D6B"/>
    <w:rsid w:val="00116B38"/>
    <w:rsid w:val="00124B87"/>
    <w:rsid w:val="00135406"/>
    <w:rsid w:val="00135972"/>
    <w:rsid w:val="001426A9"/>
    <w:rsid w:val="0014301D"/>
    <w:rsid w:val="00154D7C"/>
    <w:rsid w:val="001570B0"/>
    <w:rsid w:val="0015752C"/>
    <w:rsid w:val="00157737"/>
    <w:rsid w:val="001579E9"/>
    <w:rsid w:val="001645AB"/>
    <w:rsid w:val="00165277"/>
    <w:rsid w:val="00170592"/>
    <w:rsid w:val="00172244"/>
    <w:rsid w:val="00186351"/>
    <w:rsid w:val="00191B12"/>
    <w:rsid w:val="00195D83"/>
    <w:rsid w:val="00195E48"/>
    <w:rsid w:val="001A00C1"/>
    <w:rsid w:val="001B33E0"/>
    <w:rsid w:val="001B3817"/>
    <w:rsid w:val="001B4573"/>
    <w:rsid w:val="001C5FDA"/>
    <w:rsid w:val="001C779F"/>
    <w:rsid w:val="001D2AC1"/>
    <w:rsid w:val="001D4E88"/>
    <w:rsid w:val="001E4C48"/>
    <w:rsid w:val="00212B93"/>
    <w:rsid w:val="00220FC2"/>
    <w:rsid w:val="002222F4"/>
    <w:rsid w:val="00224FC0"/>
    <w:rsid w:val="00225EA4"/>
    <w:rsid w:val="00226EAF"/>
    <w:rsid w:val="00231F3A"/>
    <w:rsid w:val="00234199"/>
    <w:rsid w:val="00235BDE"/>
    <w:rsid w:val="002406EE"/>
    <w:rsid w:val="002407D9"/>
    <w:rsid w:val="00243EC8"/>
    <w:rsid w:val="002666C3"/>
    <w:rsid w:val="00270D93"/>
    <w:rsid w:val="002745CC"/>
    <w:rsid w:val="00275A80"/>
    <w:rsid w:val="0028470B"/>
    <w:rsid w:val="002966E7"/>
    <w:rsid w:val="002A1A88"/>
    <w:rsid w:val="002A6B44"/>
    <w:rsid w:val="002B10A1"/>
    <w:rsid w:val="002B2172"/>
    <w:rsid w:val="002B76BD"/>
    <w:rsid w:val="002B7924"/>
    <w:rsid w:val="002C2B90"/>
    <w:rsid w:val="002C4B8D"/>
    <w:rsid w:val="002C600D"/>
    <w:rsid w:val="002D28C3"/>
    <w:rsid w:val="002D33D8"/>
    <w:rsid w:val="002D39A4"/>
    <w:rsid w:val="002E31E1"/>
    <w:rsid w:val="002E51C1"/>
    <w:rsid w:val="002E6705"/>
    <w:rsid w:val="002F0635"/>
    <w:rsid w:val="002F7341"/>
    <w:rsid w:val="00301D08"/>
    <w:rsid w:val="0030329A"/>
    <w:rsid w:val="00303F36"/>
    <w:rsid w:val="0031086F"/>
    <w:rsid w:val="0031414C"/>
    <w:rsid w:val="00314E01"/>
    <w:rsid w:val="0032089D"/>
    <w:rsid w:val="003310DE"/>
    <w:rsid w:val="003323B0"/>
    <w:rsid w:val="00343234"/>
    <w:rsid w:val="0035169A"/>
    <w:rsid w:val="0035259D"/>
    <w:rsid w:val="00363523"/>
    <w:rsid w:val="00363706"/>
    <w:rsid w:val="003649B3"/>
    <w:rsid w:val="00364B18"/>
    <w:rsid w:val="00371049"/>
    <w:rsid w:val="003A125D"/>
    <w:rsid w:val="003A4C70"/>
    <w:rsid w:val="003A51AA"/>
    <w:rsid w:val="003B215F"/>
    <w:rsid w:val="003C0B45"/>
    <w:rsid w:val="003C799C"/>
    <w:rsid w:val="003D0399"/>
    <w:rsid w:val="003D1F53"/>
    <w:rsid w:val="003D2EDB"/>
    <w:rsid w:val="003E1C71"/>
    <w:rsid w:val="003E4FB6"/>
    <w:rsid w:val="003F0B61"/>
    <w:rsid w:val="003F2A15"/>
    <w:rsid w:val="003F327B"/>
    <w:rsid w:val="00405A66"/>
    <w:rsid w:val="00406166"/>
    <w:rsid w:val="00406F89"/>
    <w:rsid w:val="0040703D"/>
    <w:rsid w:val="0040704B"/>
    <w:rsid w:val="0040744A"/>
    <w:rsid w:val="00410A55"/>
    <w:rsid w:val="00411300"/>
    <w:rsid w:val="00411EE3"/>
    <w:rsid w:val="00415417"/>
    <w:rsid w:val="0042252B"/>
    <w:rsid w:val="00426659"/>
    <w:rsid w:val="00430F9D"/>
    <w:rsid w:val="00432F1D"/>
    <w:rsid w:val="00435B96"/>
    <w:rsid w:val="004362D9"/>
    <w:rsid w:val="00441B18"/>
    <w:rsid w:val="004476B0"/>
    <w:rsid w:val="00450352"/>
    <w:rsid w:val="00450C07"/>
    <w:rsid w:val="00454BDB"/>
    <w:rsid w:val="004612A8"/>
    <w:rsid w:val="00464800"/>
    <w:rsid w:val="00465132"/>
    <w:rsid w:val="00471338"/>
    <w:rsid w:val="00480C90"/>
    <w:rsid w:val="0048396F"/>
    <w:rsid w:val="00493C18"/>
    <w:rsid w:val="004A600C"/>
    <w:rsid w:val="004A6118"/>
    <w:rsid w:val="004B3B1F"/>
    <w:rsid w:val="004B6076"/>
    <w:rsid w:val="004C478D"/>
    <w:rsid w:val="004E1AEB"/>
    <w:rsid w:val="004E2C26"/>
    <w:rsid w:val="004F1573"/>
    <w:rsid w:val="004F2112"/>
    <w:rsid w:val="004F36FF"/>
    <w:rsid w:val="004F7683"/>
    <w:rsid w:val="0050418B"/>
    <w:rsid w:val="00505712"/>
    <w:rsid w:val="005125A8"/>
    <w:rsid w:val="00521AE8"/>
    <w:rsid w:val="00526DB2"/>
    <w:rsid w:val="00527180"/>
    <w:rsid w:val="00527A20"/>
    <w:rsid w:val="00533DE3"/>
    <w:rsid w:val="0054201E"/>
    <w:rsid w:val="0055516A"/>
    <w:rsid w:val="00555291"/>
    <w:rsid w:val="00562CF8"/>
    <w:rsid w:val="00566AD1"/>
    <w:rsid w:val="00583EDE"/>
    <w:rsid w:val="00590091"/>
    <w:rsid w:val="00592C6F"/>
    <w:rsid w:val="005A4E6B"/>
    <w:rsid w:val="005A6079"/>
    <w:rsid w:val="005C783D"/>
    <w:rsid w:val="005D2B3F"/>
    <w:rsid w:val="005E2517"/>
    <w:rsid w:val="005E2FD7"/>
    <w:rsid w:val="005E4698"/>
    <w:rsid w:val="005F2E04"/>
    <w:rsid w:val="00610539"/>
    <w:rsid w:val="00612B1D"/>
    <w:rsid w:val="00613969"/>
    <w:rsid w:val="00625C35"/>
    <w:rsid w:val="006414A8"/>
    <w:rsid w:val="00642DA5"/>
    <w:rsid w:val="00651961"/>
    <w:rsid w:val="00656313"/>
    <w:rsid w:val="006565F4"/>
    <w:rsid w:val="0066459E"/>
    <w:rsid w:val="00684EEA"/>
    <w:rsid w:val="00687ACD"/>
    <w:rsid w:val="0069689B"/>
    <w:rsid w:val="006A1551"/>
    <w:rsid w:val="006B5FF5"/>
    <w:rsid w:val="006C7C79"/>
    <w:rsid w:val="006D5324"/>
    <w:rsid w:val="006E2B54"/>
    <w:rsid w:val="006E3288"/>
    <w:rsid w:val="006F30AF"/>
    <w:rsid w:val="00701759"/>
    <w:rsid w:val="00705170"/>
    <w:rsid w:val="00705C15"/>
    <w:rsid w:val="0071600E"/>
    <w:rsid w:val="007176ED"/>
    <w:rsid w:val="007208D1"/>
    <w:rsid w:val="00722E17"/>
    <w:rsid w:val="00745B76"/>
    <w:rsid w:val="00747288"/>
    <w:rsid w:val="00747DD3"/>
    <w:rsid w:val="007549C8"/>
    <w:rsid w:val="00754A0B"/>
    <w:rsid w:val="00754BD0"/>
    <w:rsid w:val="007662FE"/>
    <w:rsid w:val="0076667F"/>
    <w:rsid w:val="00766D14"/>
    <w:rsid w:val="00767A0F"/>
    <w:rsid w:val="00781DF2"/>
    <w:rsid w:val="007A05F6"/>
    <w:rsid w:val="007A1C3A"/>
    <w:rsid w:val="007B6F4A"/>
    <w:rsid w:val="007C51EC"/>
    <w:rsid w:val="007C5A8E"/>
    <w:rsid w:val="007E1C47"/>
    <w:rsid w:val="007E2CF5"/>
    <w:rsid w:val="007E337A"/>
    <w:rsid w:val="007E5C70"/>
    <w:rsid w:val="007F2FF5"/>
    <w:rsid w:val="007F3F08"/>
    <w:rsid w:val="00804CC6"/>
    <w:rsid w:val="00817190"/>
    <w:rsid w:val="00820EE5"/>
    <w:rsid w:val="008260E2"/>
    <w:rsid w:val="00827BEB"/>
    <w:rsid w:val="008322BD"/>
    <w:rsid w:val="00833E0A"/>
    <w:rsid w:val="00834F73"/>
    <w:rsid w:val="00850E43"/>
    <w:rsid w:val="00851F48"/>
    <w:rsid w:val="00853006"/>
    <w:rsid w:val="00860378"/>
    <w:rsid w:val="00864CF8"/>
    <w:rsid w:val="00872819"/>
    <w:rsid w:val="00874914"/>
    <w:rsid w:val="00880A25"/>
    <w:rsid w:val="00891422"/>
    <w:rsid w:val="00892E1A"/>
    <w:rsid w:val="008A33F4"/>
    <w:rsid w:val="008A3F29"/>
    <w:rsid w:val="008A5110"/>
    <w:rsid w:val="008B145D"/>
    <w:rsid w:val="008B660A"/>
    <w:rsid w:val="008C01DA"/>
    <w:rsid w:val="008C03F3"/>
    <w:rsid w:val="008C3C59"/>
    <w:rsid w:val="008F321C"/>
    <w:rsid w:val="008F78E9"/>
    <w:rsid w:val="0090598B"/>
    <w:rsid w:val="00911989"/>
    <w:rsid w:val="009179F9"/>
    <w:rsid w:val="009326E2"/>
    <w:rsid w:val="009336CC"/>
    <w:rsid w:val="00933E5E"/>
    <w:rsid w:val="00935218"/>
    <w:rsid w:val="009403F3"/>
    <w:rsid w:val="00940C62"/>
    <w:rsid w:val="0094207D"/>
    <w:rsid w:val="009555B7"/>
    <w:rsid w:val="009567AA"/>
    <w:rsid w:val="00967374"/>
    <w:rsid w:val="00974F92"/>
    <w:rsid w:val="00985DFB"/>
    <w:rsid w:val="009A2A8A"/>
    <w:rsid w:val="009A343A"/>
    <w:rsid w:val="009B2F23"/>
    <w:rsid w:val="009B57B3"/>
    <w:rsid w:val="009C5B92"/>
    <w:rsid w:val="009C7585"/>
    <w:rsid w:val="009D2920"/>
    <w:rsid w:val="009D5AEB"/>
    <w:rsid w:val="009D5C8D"/>
    <w:rsid w:val="009E3595"/>
    <w:rsid w:val="009F0E33"/>
    <w:rsid w:val="00A030CE"/>
    <w:rsid w:val="00A149DF"/>
    <w:rsid w:val="00A1755C"/>
    <w:rsid w:val="00A21B90"/>
    <w:rsid w:val="00A37531"/>
    <w:rsid w:val="00A41805"/>
    <w:rsid w:val="00A42DCD"/>
    <w:rsid w:val="00A45736"/>
    <w:rsid w:val="00A51AE4"/>
    <w:rsid w:val="00A52AFB"/>
    <w:rsid w:val="00A548CB"/>
    <w:rsid w:val="00A5521C"/>
    <w:rsid w:val="00A643E7"/>
    <w:rsid w:val="00A73C38"/>
    <w:rsid w:val="00A8549F"/>
    <w:rsid w:val="00AA1636"/>
    <w:rsid w:val="00AA4660"/>
    <w:rsid w:val="00AB670D"/>
    <w:rsid w:val="00AC00FB"/>
    <w:rsid w:val="00AC3E2F"/>
    <w:rsid w:val="00AD7AAF"/>
    <w:rsid w:val="00AF03C5"/>
    <w:rsid w:val="00B000D8"/>
    <w:rsid w:val="00B00F75"/>
    <w:rsid w:val="00B06CD2"/>
    <w:rsid w:val="00B145B6"/>
    <w:rsid w:val="00B2189A"/>
    <w:rsid w:val="00B237B7"/>
    <w:rsid w:val="00B279EB"/>
    <w:rsid w:val="00B37ABC"/>
    <w:rsid w:val="00B4068C"/>
    <w:rsid w:val="00B50C81"/>
    <w:rsid w:val="00B557F8"/>
    <w:rsid w:val="00B61DB3"/>
    <w:rsid w:val="00B65715"/>
    <w:rsid w:val="00B815FC"/>
    <w:rsid w:val="00B81DB8"/>
    <w:rsid w:val="00B8349A"/>
    <w:rsid w:val="00B85DDC"/>
    <w:rsid w:val="00B86EDB"/>
    <w:rsid w:val="00B93FBC"/>
    <w:rsid w:val="00BA72D0"/>
    <w:rsid w:val="00BA7DA0"/>
    <w:rsid w:val="00BB10A7"/>
    <w:rsid w:val="00BB198B"/>
    <w:rsid w:val="00BB2EE4"/>
    <w:rsid w:val="00BC2108"/>
    <w:rsid w:val="00BC23FD"/>
    <w:rsid w:val="00BC60BE"/>
    <w:rsid w:val="00BD0E9E"/>
    <w:rsid w:val="00BD1BEC"/>
    <w:rsid w:val="00BD32FF"/>
    <w:rsid w:val="00BD746B"/>
    <w:rsid w:val="00BE79F8"/>
    <w:rsid w:val="00BF0EAD"/>
    <w:rsid w:val="00BF28AD"/>
    <w:rsid w:val="00BF4D6C"/>
    <w:rsid w:val="00C02092"/>
    <w:rsid w:val="00C175B9"/>
    <w:rsid w:val="00C24D91"/>
    <w:rsid w:val="00C3579A"/>
    <w:rsid w:val="00C51AE1"/>
    <w:rsid w:val="00C53F14"/>
    <w:rsid w:val="00C54DF3"/>
    <w:rsid w:val="00C600CF"/>
    <w:rsid w:val="00C6084F"/>
    <w:rsid w:val="00C62A66"/>
    <w:rsid w:val="00C71458"/>
    <w:rsid w:val="00C74240"/>
    <w:rsid w:val="00C77613"/>
    <w:rsid w:val="00C77EAD"/>
    <w:rsid w:val="00C8142E"/>
    <w:rsid w:val="00C828E7"/>
    <w:rsid w:val="00C86719"/>
    <w:rsid w:val="00C902C1"/>
    <w:rsid w:val="00C921DD"/>
    <w:rsid w:val="00C942F4"/>
    <w:rsid w:val="00CA0A35"/>
    <w:rsid w:val="00CA6391"/>
    <w:rsid w:val="00CC34BD"/>
    <w:rsid w:val="00CD18CE"/>
    <w:rsid w:val="00CE161A"/>
    <w:rsid w:val="00CE3171"/>
    <w:rsid w:val="00CF1601"/>
    <w:rsid w:val="00D0172F"/>
    <w:rsid w:val="00D02B10"/>
    <w:rsid w:val="00D02CA2"/>
    <w:rsid w:val="00D068A7"/>
    <w:rsid w:val="00D13764"/>
    <w:rsid w:val="00D17476"/>
    <w:rsid w:val="00D21F92"/>
    <w:rsid w:val="00D311E1"/>
    <w:rsid w:val="00D32086"/>
    <w:rsid w:val="00D37A3F"/>
    <w:rsid w:val="00D4431D"/>
    <w:rsid w:val="00D45866"/>
    <w:rsid w:val="00D4667A"/>
    <w:rsid w:val="00D63466"/>
    <w:rsid w:val="00D63A1C"/>
    <w:rsid w:val="00D7516F"/>
    <w:rsid w:val="00D8579F"/>
    <w:rsid w:val="00D86B59"/>
    <w:rsid w:val="00D95F8E"/>
    <w:rsid w:val="00DA0590"/>
    <w:rsid w:val="00DA4858"/>
    <w:rsid w:val="00DA7FB6"/>
    <w:rsid w:val="00DB7BEA"/>
    <w:rsid w:val="00DC008F"/>
    <w:rsid w:val="00DC1739"/>
    <w:rsid w:val="00DC1788"/>
    <w:rsid w:val="00DC2C08"/>
    <w:rsid w:val="00DC5298"/>
    <w:rsid w:val="00DE319C"/>
    <w:rsid w:val="00DE52C2"/>
    <w:rsid w:val="00DF0CA8"/>
    <w:rsid w:val="00DF2B48"/>
    <w:rsid w:val="00DF49A7"/>
    <w:rsid w:val="00E015B0"/>
    <w:rsid w:val="00E07EE2"/>
    <w:rsid w:val="00E07FD1"/>
    <w:rsid w:val="00E10C86"/>
    <w:rsid w:val="00E13CE1"/>
    <w:rsid w:val="00E21EE8"/>
    <w:rsid w:val="00E239AF"/>
    <w:rsid w:val="00E24573"/>
    <w:rsid w:val="00E25E1E"/>
    <w:rsid w:val="00E27EE7"/>
    <w:rsid w:val="00E35404"/>
    <w:rsid w:val="00E410F1"/>
    <w:rsid w:val="00E413D7"/>
    <w:rsid w:val="00E45109"/>
    <w:rsid w:val="00E47B7A"/>
    <w:rsid w:val="00E50B9E"/>
    <w:rsid w:val="00E56A44"/>
    <w:rsid w:val="00E60269"/>
    <w:rsid w:val="00E74548"/>
    <w:rsid w:val="00E77932"/>
    <w:rsid w:val="00E80484"/>
    <w:rsid w:val="00E97830"/>
    <w:rsid w:val="00EB131D"/>
    <w:rsid w:val="00EC11FC"/>
    <w:rsid w:val="00EC5D13"/>
    <w:rsid w:val="00EC6A32"/>
    <w:rsid w:val="00EC6D29"/>
    <w:rsid w:val="00EC7C56"/>
    <w:rsid w:val="00ED7C2B"/>
    <w:rsid w:val="00EE3BCE"/>
    <w:rsid w:val="00EE643C"/>
    <w:rsid w:val="00EF0683"/>
    <w:rsid w:val="00EF4C97"/>
    <w:rsid w:val="00EF69D2"/>
    <w:rsid w:val="00EF766E"/>
    <w:rsid w:val="00F0070C"/>
    <w:rsid w:val="00F00EB7"/>
    <w:rsid w:val="00F20930"/>
    <w:rsid w:val="00F21DBD"/>
    <w:rsid w:val="00F316BE"/>
    <w:rsid w:val="00F31CA4"/>
    <w:rsid w:val="00F36AB6"/>
    <w:rsid w:val="00F374CB"/>
    <w:rsid w:val="00F37A09"/>
    <w:rsid w:val="00F409CE"/>
    <w:rsid w:val="00F42DDA"/>
    <w:rsid w:val="00F4379D"/>
    <w:rsid w:val="00F50D2D"/>
    <w:rsid w:val="00F54D65"/>
    <w:rsid w:val="00F56C8B"/>
    <w:rsid w:val="00F60B72"/>
    <w:rsid w:val="00F66810"/>
    <w:rsid w:val="00F678CD"/>
    <w:rsid w:val="00F846D9"/>
    <w:rsid w:val="00F84DF4"/>
    <w:rsid w:val="00F85C97"/>
    <w:rsid w:val="00F94AAB"/>
    <w:rsid w:val="00FA3ABD"/>
    <w:rsid w:val="00FA6A05"/>
    <w:rsid w:val="00FA7E15"/>
    <w:rsid w:val="00FB37D2"/>
    <w:rsid w:val="00FC10D5"/>
    <w:rsid w:val="00FC3F18"/>
    <w:rsid w:val="00FC4EFB"/>
    <w:rsid w:val="00FD068D"/>
    <w:rsid w:val="00FD4F28"/>
    <w:rsid w:val="00FE6784"/>
    <w:rsid w:val="00FF18E9"/>
    <w:rsid w:val="00FF5DE4"/>
    <w:rsid w:val="00FF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4C4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E4C4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E4C4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1E4C4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1E4C4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E4C4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E4C4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1E4C48"/>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styleId="DocumentMap">
    <w:name w:val="Document Map"/>
    <w:basedOn w:val="Normal"/>
    <w:link w:val="DocumentMapChar"/>
    <w:uiPriority w:val="99"/>
    <w:semiHidden/>
    <w:unhideWhenUsed/>
    <w:rsid w:val="00505712"/>
    <w:rPr>
      <w:rFonts w:ascii="Tahoma" w:hAnsi="Tahoma" w:cs="Tahoma"/>
      <w:sz w:val="16"/>
      <w:szCs w:val="16"/>
    </w:rPr>
  </w:style>
  <w:style w:type="character" w:customStyle="1" w:styleId="DocumentMapChar">
    <w:name w:val="Document Map Char"/>
    <w:basedOn w:val="DefaultParagraphFont"/>
    <w:link w:val="DocumentMap"/>
    <w:uiPriority w:val="99"/>
    <w:semiHidden/>
    <w:rsid w:val="00505712"/>
    <w:rPr>
      <w:rFonts w:ascii="Tahoma" w:hAnsi="Tahoma" w:cs="Tahoma"/>
      <w:sz w:val="16"/>
      <w:szCs w:val="16"/>
    </w:rPr>
  </w:style>
  <w:style w:type="character" w:styleId="CommentReference">
    <w:name w:val="annotation reference"/>
    <w:basedOn w:val="DefaultParagraphFont"/>
    <w:uiPriority w:val="99"/>
    <w:semiHidden/>
    <w:unhideWhenUsed/>
    <w:rsid w:val="001B3817"/>
    <w:rPr>
      <w:sz w:val="16"/>
      <w:szCs w:val="16"/>
    </w:rPr>
  </w:style>
  <w:style w:type="paragraph" w:styleId="CommentText">
    <w:name w:val="annotation text"/>
    <w:basedOn w:val="Normal"/>
    <w:link w:val="CommentTextChar"/>
    <w:uiPriority w:val="99"/>
    <w:unhideWhenUsed/>
    <w:rsid w:val="001B3817"/>
    <w:rPr>
      <w:sz w:val="20"/>
    </w:rPr>
  </w:style>
  <w:style w:type="character" w:customStyle="1" w:styleId="CommentTextChar">
    <w:name w:val="Comment Text Char"/>
    <w:basedOn w:val="DefaultParagraphFont"/>
    <w:link w:val="CommentText"/>
    <w:uiPriority w:val="99"/>
    <w:rsid w:val="001B3817"/>
  </w:style>
  <w:style w:type="paragraph" w:styleId="CommentSubject">
    <w:name w:val="annotation subject"/>
    <w:basedOn w:val="CommentText"/>
    <w:next w:val="CommentText"/>
    <w:link w:val="CommentSubjectChar"/>
    <w:uiPriority w:val="99"/>
    <w:semiHidden/>
    <w:unhideWhenUsed/>
    <w:rsid w:val="001B3817"/>
    <w:rPr>
      <w:b/>
      <w:bCs/>
    </w:rPr>
  </w:style>
  <w:style w:type="character" w:customStyle="1" w:styleId="CommentSubjectChar">
    <w:name w:val="Comment Subject Char"/>
    <w:basedOn w:val="CommentTextChar"/>
    <w:link w:val="CommentSubject"/>
    <w:uiPriority w:val="99"/>
    <w:semiHidden/>
    <w:rsid w:val="001B3817"/>
    <w:rPr>
      <w:b/>
      <w:bCs/>
    </w:rPr>
  </w:style>
  <w:style w:type="paragraph" w:customStyle="1" w:styleId="ParaNoNdepar-AltN">
    <w:name w:val="Para. No. / Nº de par. - Alt N"/>
    <w:qFormat/>
    <w:rsid w:val="008B145D"/>
    <w:pPr>
      <w:numPr>
        <w:numId w:val="1"/>
      </w:numPr>
      <w:spacing w:before="480" w:after="480" w:line="480" w:lineRule="auto"/>
      <w:jc w:val="both"/>
    </w:pPr>
    <w:rPr>
      <w:rFonts w:eastAsiaTheme="minorEastAsia" w:cstheme="minorBidi"/>
      <w:sz w:val="24"/>
      <w:szCs w:val="22"/>
      <w:lang w:eastAsia="en-US"/>
    </w:rPr>
  </w:style>
  <w:style w:type="paragraph" w:styleId="FootnoteText">
    <w:name w:val="footnote text"/>
    <w:basedOn w:val="Normal"/>
    <w:link w:val="FootnoteTextChar"/>
    <w:uiPriority w:val="99"/>
    <w:unhideWhenUsed/>
    <w:rsid w:val="008B145D"/>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rsid w:val="008B145D"/>
    <w:rPr>
      <w:rFonts w:eastAsiaTheme="minorHAnsi" w:cstheme="minorBidi"/>
      <w:lang w:val="en-US" w:eastAsia="en-US" w:bidi="en-US"/>
    </w:rPr>
  </w:style>
  <w:style w:type="character" w:customStyle="1" w:styleId="Heading3Char">
    <w:name w:val="Heading 3 Char"/>
    <w:basedOn w:val="DefaultParagraphFont"/>
    <w:link w:val="Heading3"/>
    <w:uiPriority w:val="9"/>
    <w:semiHidden/>
    <w:rsid w:val="001E4C4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E4C4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E4C4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E4C4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E4C4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E4C4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E4C4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E4C48"/>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1E4C48"/>
    <w:rPr>
      <w:rFonts w:eastAsiaTheme="minorHAnsi" w:cstheme="minorBidi"/>
      <w:sz w:val="24"/>
      <w:szCs w:val="22"/>
      <w:lang w:val="en-US" w:eastAsia="en-US" w:bidi="en-US"/>
    </w:rPr>
  </w:style>
  <w:style w:type="paragraph" w:customStyle="1" w:styleId="SCCCoram">
    <w:name w:val="SCC.Coram"/>
    <w:basedOn w:val="Normal"/>
    <w:next w:val="Normal"/>
    <w:link w:val="SCCCoramChar"/>
    <w:rsid w:val="001E4C4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1E4C48"/>
    <w:rPr>
      <w:rFonts w:eastAsiaTheme="minorHAnsi" w:cstheme="minorBidi"/>
      <w:sz w:val="24"/>
      <w:szCs w:val="22"/>
      <w:lang w:val="en-US" w:eastAsia="en-US" w:bidi="en-US"/>
    </w:rPr>
  </w:style>
  <w:style w:type="table" w:styleId="TableGrid">
    <w:name w:val="Table Grid"/>
    <w:basedOn w:val="TableNormal"/>
    <w:uiPriority w:val="59"/>
    <w:rsid w:val="001E4C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E4C4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1E4C4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E4C48"/>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1E4C48"/>
    <w:rPr>
      <w:smallCaps/>
      <w:sz w:val="24"/>
    </w:rPr>
  </w:style>
  <w:style w:type="paragraph" w:customStyle="1" w:styleId="Title1LevelTitre1Niveau-AltL">
    <w:name w:val="Title 1 Level / Titre 1 Niveau - Alt L"/>
    <w:next w:val="ParaNoNdepar-AltN"/>
    <w:uiPriority w:val="4"/>
    <w:qFormat/>
    <w:rsid w:val="001E4C48"/>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E4C48"/>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1E4C48"/>
    <w:pPr>
      <w:numPr>
        <w:numId w:val="0"/>
      </w:numPr>
      <w:tabs>
        <w:tab w:val="num" w:pos="1152"/>
      </w:tabs>
      <w:ind w:left="1152" w:hanging="576"/>
    </w:pPr>
  </w:style>
  <w:style w:type="paragraph" w:customStyle="1" w:styleId="Title4LevelTitre4Niveau">
    <w:name w:val="Title 4 Level / Titre 4 Niveau"/>
    <w:basedOn w:val="Title3LevelTitre3Niveau"/>
    <w:next w:val="ParaNoNdepar-AltN"/>
    <w:uiPriority w:val="4"/>
    <w:qFormat/>
    <w:rsid w:val="001E4C48"/>
    <w:pPr>
      <w:numPr>
        <w:ilvl w:val="3"/>
      </w:numPr>
      <w:tabs>
        <w:tab w:val="num" w:pos="1152"/>
      </w:tabs>
      <w:ind w:left="1152" w:hanging="576"/>
    </w:pPr>
    <w:rPr>
      <w:i/>
      <w:u w:val="none"/>
    </w:rPr>
  </w:style>
  <w:style w:type="paragraph" w:customStyle="1" w:styleId="Title5LevelTitre5Niveau">
    <w:name w:val="Title 5 Level / Titre 5 Niveau"/>
    <w:basedOn w:val="Title1LevelTitre1Niveau-AltL"/>
    <w:next w:val="ParaNoNdepar-AltN"/>
    <w:uiPriority w:val="4"/>
    <w:qFormat/>
    <w:rsid w:val="001E4C48"/>
    <w:pPr>
      <w:numPr>
        <w:numId w:val="0"/>
      </w:numPr>
      <w:tabs>
        <w:tab w:val="num" w:pos="1728"/>
      </w:tabs>
      <w:ind w:left="1728" w:hanging="576"/>
    </w:pPr>
  </w:style>
  <w:style w:type="paragraph" w:styleId="TOC1">
    <w:name w:val="toc 1"/>
    <w:basedOn w:val="Normal"/>
    <w:next w:val="Normal"/>
    <w:autoRedefine/>
    <w:uiPriority w:val="39"/>
    <w:unhideWhenUsed/>
    <w:rsid w:val="001E4C4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1E4C4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1E4C4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1E4C48"/>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1E4C4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1E4C48"/>
    <w:pPr>
      <w:tabs>
        <w:tab w:val="left" w:pos="2160"/>
        <w:tab w:val="right" w:leader="dot" w:pos="8270"/>
      </w:tabs>
      <w:spacing w:after="100"/>
      <w:ind w:left="1800"/>
    </w:pPr>
    <w:rPr>
      <w:rFonts w:eastAsiaTheme="minorHAnsi" w:cstheme="minorBidi"/>
      <w:noProof/>
      <w:lang w:val="en-US" w:eastAsia="en-US" w:bidi="en-US"/>
    </w:rPr>
  </w:style>
  <w:style w:type="paragraph" w:customStyle="1" w:styleId="TitleTitre-AltT">
    <w:name w:val="Title / Titre - Alt T"/>
    <w:next w:val="ParaNoNdepar-AltN"/>
    <w:uiPriority w:val="3"/>
    <w:qFormat/>
    <w:rsid w:val="001E4C48"/>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E4C48"/>
    <w:pPr>
      <w:numPr>
        <w:ilvl w:val="5"/>
      </w:numPr>
      <w:tabs>
        <w:tab w:val="num" w:pos="1728"/>
      </w:tabs>
      <w:ind w:left="1728" w:hanging="576"/>
    </w:pPr>
    <w:rPr>
      <w:i/>
      <w:u w:val="none"/>
    </w:rPr>
  </w:style>
  <w:style w:type="character" w:styleId="FootnoteReference">
    <w:name w:val="footnote reference"/>
    <w:basedOn w:val="DefaultParagraphFont"/>
    <w:uiPriority w:val="99"/>
    <w:unhideWhenUsed/>
    <w:rsid w:val="001E4C48"/>
    <w:rPr>
      <w:vertAlign w:val="superscript"/>
    </w:rPr>
  </w:style>
  <w:style w:type="paragraph" w:styleId="ListParagraph">
    <w:name w:val="List Paragraph"/>
    <w:basedOn w:val="Normal"/>
    <w:uiPriority w:val="34"/>
    <w:rsid w:val="001E4C48"/>
    <w:pPr>
      <w:ind w:left="720"/>
      <w:contextualSpacing/>
    </w:pPr>
    <w:rPr>
      <w:rFonts w:eastAsiaTheme="minorHAnsi" w:cstheme="minorBidi"/>
      <w:szCs w:val="22"/>
      <w:lang w:val="en-US" w:eastAsia="en-US" w:bidi="en-US"/>
    </w:rPr>
  </w:style>
  <w:style w:type="paragraph" w:customStyle="1" w:styleId="para1">
    <w:name w:val="para1"/>
    <w:basedOn w:val="Normal"/>
    <w:rsid w:val="001E4C48"/>
    <w:pPr>
      <w:spacing w:before="100" w:beforeAutospacing="1" w:after="100" w:afterAutospacing="1"/>
      <w:jc w:val="both"/>
    </w:pPr>
    <w:rPr>
      <w:rFonts w:ascii="Arial" w:eastAsiaTheme="minorHAnsi" w:hAnsi="Arial" w:cs="Arial"/>
      <w:szCs w:val="22"/>
      <w:lang w:val="en-US" w:eastAsia="en-US" w:bidi="en-US"/>
    </w:rPr>
  </w:style>
  <w:style w:type="paragraph" w:customStyle="1" w:styleId="11">
    <w:name w:val="11"/>
    <w:basedOn w:val="Normal"/>
    <w:rsid w:val="001E4C48"/>
    <w:pPr>
      <w:autoSpaceDE w:val="0"/>
      <w:autoSpaceDN w:val="0"/>
      <w:ind w:hanging="720"/>
    </w:pPr>
    <w:rPr>
      <w:rFonts w:eastAsiaTheme="minorHAnsi" w:cstheme="minorBidi"/>
      <w:szCs w:val="22"/>
      <w:lang w:val="en-US" w:eastAsia="en-US" w:bidi="en-US"/>
    </w:rPr>
  </w:style>
  <w:style w:type="character" w:customStyle="1" w:styleId="nowrap">
    <w:name w:val="nowrap"/>
    <w:basedOn w:val="DefaultParagraphFont"/>
    <w:rsid w:val="001E4C48"/>
  </w:style>
  <w:style w:type="paragraph" w:customStyle="1" w:styleId="scjnon-number1">
    <w:name w:val="scjnon-number1"/>
    <w:basedOn w:val="Normal"/>
    <w:rsid w:val="001E4C48"/>
    <w:pPr>
      <w:spacing w:after="240"/>
    </w:pPr>
    <w:rPr>
      <w:rFonts w:ascii="Arial (W1)" w:eastAsiaTheme="minorHAnsi" w:hAnsi="Arial (W1)" w:cstheme="minorBidi"/>
      <w:szCs w:val="22"/>
      <w:lang w:val="en-US" w:eastAsia="en-US" w:bidi="en-US"/>
    </w:rPr>
  </w:style>
  <w:style w:type="paragraph" w:customStyle="1" w:styleId="scjnumber1">
    <w:name w:val="scjnumber1"/>
    <w:basedOn w:val="Normal"/>
    <w:rsid w:val="001E4C48"/>
    <w:pPr>
      <w:spacing w:after="240"/>
    </w:pPr>
    <w:rPr>
      <w:rFonts w:ascii="Arial (W1)" w:eastAsiaTheme="minorHAnsi" w:hAnsi="Arial (W1)" w:cstheme="minorBidi"/>
      <w:szCs w:val="22"/>
      <w:lang w:val="en-US" w:eastAsia="en-US" w:bidi="en-US"/>
    </w:rPr>
  </w:style>
  <w:style w:type="paragraph" w:styleId="NoSpacing">
    <w:name w:val="No Spacing"/>
    <w:uiPriority w:val="1"/>
    <w:rsid w:val="001E4C48"/>
    <w:rPr>
      <w:rFonts w:eastAsiaTheme="minorHAnsi" w:cstheme="minorBidi"/>
      <w:sz w:val="24"/>
      <w:szCs w:val="22"/>
      <w:lang w:val="en-US" w:eastAsia="en-US" w:bidi="en-US"/>
    </w:rPr>
  </w:style>
  <w:style w:type="paragraph" w:styleId="Title">
    <w:name w:val="Title"/>
    <w:basedOn w:val="Normal"/>
    <w:next w:val="Normal"/>
    <w:link w:val="TitleChar"/>
    <w:uiPriority w:val="10"/>
    <w:rsid w:val="001E4C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E4C4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E4C4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E4C4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1E4C48"/>
    <w:rPr>
      <w:i/>
      <w:iCs/>
    </w:rPr>
  </w:style>
  <w:style w:type="paragraph" w:styleId="IntenseQuote">
    <w:name w:val="Intense Quote"/>
    <w:basedOn w:val="Normal"/>
    <w:next w:val="Normal"/>
    <w:link w:val="IntenseQuoteChar"/>
    <w:uiPriority w:val="30"/>
    <w:rsid w:val="001E4C4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E4C4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1E4C48"/>
    <w:rPr>
      <w:i/>
      <w:iCs/>
      <w:color w:val="808080" w:themeColor="text1" w:themeTint="7F"/>
    </w:rPr>
  </w:style>
  <w:style w:type="character" w:styleId="IntenseEmphasis">
    <w:name w:val="Intense Emphasis"/>
    <w:basedOn w:val="DefaultParagraphFont"/>
    <w:uiPriority w:val="21"/>
    <w:rsid w:val="001E4C48"/>
    <w:rPr>
      <w:b/>
      <w:bCs/>
      <w:i/>
      <w:iCs/>
      <w:color w:val="4F81BD" w:themeColor="accent1"/>
    </w:rPr>
  </w:style>
  <w:style w:type="character" w:styleId="SubtleReference">
    <w:name w:val="Subtle Reference"/>
    <w:basedOn w:val="DefaultParagraphFont"/>
    <w:uiPriority w:val="31"/>
    <w:rsid w:val="001E4C48"/>
    <w:rPr>
      <w:smallCaps/>
      <w:color w:val="C0504D" w:themeColor="accent2"/>
      <w:u w:val="single"/>
    </w:rPr>
  </w:style>
  <w:style w:type="character" w:styleId="IntenseReference">
    <w:name w:val="Intense Reference"/>
    <w:basedOn w:val="DefaultParagraphFont"/>
    <w:uiPriority w:val="32"/>
    <w:rsid w:val="001E4C48"/>
    <w:rPr>
      <w:b/>
      <w:bCs/>
      <w:smallCaps/>
      <w:color w:val="C0504D" w:themeColor="accent2"/>
      <w:spacing w:val="5"/>
      <w:u w:val="single"/>
    </w:rPr>
  </w:style>
  <w:style w:type="character" w:styleId="BookTitle">
    <w:name w:val="Book Title"/>
    <w:basedOn w:val="DefaultParagraphFont"/>
    <w:uiPriority w:val="33"/>
    <w:rsid w:val="001E4C48"/>
    <w:rPr>
      <w:b/>
      <w:bCs/>
      <w:smallCaps/>
      <w:spacing w:val="5"/>
    </w:rPr>
  </w:style>
  <w:style w:type="character" w:styleId="Hyperlink">
    <w:name w:val="Hyperlink"/>
    <w:basedOn w:val="DefaultParagraphFont"/>
    <w:uiPriority w:val="99"/>
    <w:unhideWhenUsed/>
    <w:rsid w:val="001E4C48"/>
    <w:rPr>
      <w:color w:val="0000FF" w:themeColor="hyperlink"/>
      <w:u w:val="single"/>
    </w:rPr>
  </w:style>
  <w:style w:type="character" w:customStyle="1" w:styleId="SCCLsocPartyRoleChar">
    <w:name w:val="SCC.Lsoc.PartyRole Char"/>
    <w:basedOn w:val="DefaultParagraphFont"/>
    <w:rsid w:val="00B2189A"/>
    <w:rPr>
      <w:lang w:val="en-CA"/>
    </w:rPr>
  </w:style>
  <w:style w:type="paragraph" w:customStyle="1" w:styleId="SCCLsocPrefix">
    <w:name w:val="SCC.Lsoc.Prefix"/>
    <w:basedOn w:val="Normal"/>
    <w:next w:val="Normal"/>
    <w:link w:val="SCCLsocPrefixChar"/>
    <w:rsid w:val="00B2189A"/>
    <w:rPr>
      <w:rFonts w:eastAsiaTheme="minorHAnsi" w:cstheme="minorBidi"/>
      <w:b/>
      <w:smallCaps/>
      <w:szCs w:val="24"/>
      <w:lang w:eastAsia="en-US"/>
    </w:rPr>
  </w:style>
  <w:style w:type="character" w:customStyle="1" w:styleId="SCCLsocPrefixChar">
    <w:name w:val="SCC.Lsoc.Prefix Char"/>
    <w:basedOn w:val="DefaultParagraphFont"/>
    <w:link w:val="SCCLsocPrefix"/>
    <w:rsid w:val="00B2189A"/>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D35E5-8FD7-45C2-BD2F-DF6F37A0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11252</Words>
  <Characters>64139</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2015-05-04T21:15:00Z</dcterms:created>
  <dcterms:modified xsi:type="dcterms:W3CDTF">2015-10-05T14:56:00Z</dcterms:modified>
</cp:coreProperties>
</file>