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10" w:rsidRDefault="007B2410" w:rsidP="007B241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5642565" r:id="rId9"/>
        </w:object>
      </w:r>
      <w:r>
        <w:t xml:space="preserve"> </w:t>
      </w:r>
      <w:r>
        <w:ptab w:relativeTo="margin" w:alignment="right" w:leader="none"/>
      </w:r>
    </w:p>
    <w:p w:rsidR="007B2410" w:rsidRDefault="007B2410" w:rsidP="007B2410">
      <w:pPr>
        <w:pStyle w:val="Header"/>
      </w:pPr>
    </w:p>
    <w:p w:rsidR="007B2410" w:rsidRPr="006B210C" w:rsidRDefault="007B2410" w:rsidP="007B2410">
      <w:pPr>
        <w:jc w:val="center"/>
        <w:rPr>
          <w:b/>
        </w:rPr>
      </w:pPr>
      <w:r w:rsidRPr="006B210C">
        <w:rPr>
          <w:b/>
        </w:rPr>
        <w:t>SUPREME COURT OF CANADA</w:t>
      </w:r>
    </w:p>
    <w:p w:rsidR="007B2410" w:rsidRDefault="007B2410" w:rsidP="007B241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7B2410" w:rsidRPr="006B210C" w:rsidTr="0009376F">
        <w:trPr>
          <w:cantSplit/>
        </w:trPr>
        <w:tc>
          <w:tcPr>
            <w:tcW w:w="6768" w:type="dxa"/>
          </w:tcPr>
          <w:p w:rsidR="007B2410" w:rsidRPr="006B210C" w:rsidRDefault="007B2410" w:rsidP="007B2410">
            <w:r w:rsidRPr="006B210C">
              <w:rPr>
                <w:b/>
                <w:smallCaps/>
              </w:rPr>
              <w:t>Citation</w:t>
            </w:r>
            <w:r>
              <w:rPr>
                <w:b/>
                <w:smallCaps/>
              </w:rPr>
              <w:t>:</w:t>
            </w:r>
            <w:r w:rsidRPr="006B210C">
              <w:t xml:space="preserve"> </w:t>
            </w:r>
            <w:r w:rsidRPr="00247136">
              <w:t xml:space="preserve">White Burgess </w:t>
            </w:r>
            <w:proofErr w:type="spellStart"/>
            <w:r w:rsidRPr="00247136">
              <w:t>Langille</w:t>
            </w:r>
            <w:proofErr w:type="spellEnd"/>
            <w:r w:rsidRPr="00247136">
              <w:t xml:space="preserve"> Inman </w:t>
            </w:r>
            <w:r w:rsidRPr="00247136">
              <w:rPr>
                <w:i/>
              </w:rPr>
              <w:t>v.</w:t>
            </w:r>
            <w:r w:rsidRPr="00247136">
              <w:t xml:space="preserve"> Abbott and Haliburton Co.</w:t>
            </w:r>
            <w:r>
              <w:t>, 2015 SCC 23</w:t>
            </w:r>
            <w:r>
              <w:t xml:space="preserve">, </w:t>
            </w:r>
            <w:r>
              <w:t>[2015] 2 S.C.R. 182</w:t>
            </w:r>
          </w:p>
        </w:tc>
        <w:tc>
          <w:tcPr>
            <w:tcW w:w="2808" w:type="dxa"/>
          </w:tcPr>
          <w:p w:rsidR="007B2410" w:rsidRPr="006B210C" w:rsidRDefault="007B2410" w:rsidP="0009376F">
            <w:r w:rsidRPr="006B210C">
              <w:rPr>
                <w:b/>
                <w:smallCaps/>
              </w:rPr>
              <w:t>Date</w:t>
            </w:r>
            <w:r>
              <w:rPr>
                <w:b/>
                <w:smallCaps/>
              </w:rPr>
              <w:t>:</w:t>
            </w:r>
            <w:r w:rsidRPr="006B210C">
              <w:t xml:space="preserve"> </w:t>
            </w:r>
            <w:r>
              <w:t>20150430</w:t>
            </w:r>
          </w:p>
          <w:p w:rsidR="007B2410" w:rsidRPr="006B210C" w:rsidRDefault="007B2410" w:rsidP="0009376F">
            <w:r w:rsidRPr="006B210C">
              <w:rPr>
                <w:b/>
                <w:smallCaps/>
              </w:rPr>
              <w:t>Docket</w:t>
            </w:r>
            <w:r>
              <w:rPr>
                <w:b/>
                <w:smallCaps/>
              </w:rPr>
              <w:t>:</w:t>
            </w:r>
            <w:r w:rsidRPr="006B210C">
              <w:t xml:space="preserve"> </w:t>
            </w:r>
            <w:r>
              <w:t>35492</w:t>
            </w:r>
          </w:p>
        </w:tc>
      </w:tr>
    </w:tbl>
    <w:p w:rsidR="007B2410" w:rsidRPr="006B210C" w:rsidRDefault="007B2410" w:rsidP="007B2410"/>
    <w:p w:rsidR="007B2410" w:rsidRDefault="007B2410" w:rsidP="007B2410">
      <w:pPr>
        <w:pStyle w:val="SCCLsocPrefix"/>
      </w:pPr>
      <w:r>
        <w:t>Between:</w:t>
      </w:r>
      <w:bookmarkStart w:id="0" w:name="_GoBack"/>
      <w:bookmarkEnd w:id="0"/>
    </w:p>
    <w:p w:rsidR="007B2410" w:rsidRDefault="007B2410" w:rsidP="002C6BA8">
      <w:pPr>
        <w:pStyle w:val="SCCLsocParty"/>
        <w:jc w:val="center"/>
      </w:pPr>
      <w:r>
        <w:t xml:space="preserve">White Burgess </w:t>
      </w:r>
      <w:proofErr w:type="spellStart"/>
      <w:r>
        <w:t>Langille</w:t>
      </w:r>
      <w:proofErr w:type="spellEnd"/>
      <w:r>
        <w:t xml:space="preserve"> Inman, carrying on business as</w:t>
      </w:r>
    </w:p>
    <w:p w:rsidR="007B2410" w:rsidRDefault="007B2410" w:rsidP="002C6BA8">
      <w:pPr>
        <w:pStyle w:val="SCCLsocParty"/>
        <w:jc w:val="center"/>
      </w:pPr>
      <w:r>
        <w:t>WBLI Chartered Accountants and R. Brian Burgess</w:t>
      </w:r>
    </w:p>
    <w:p w:rsidR="007B2410" w:rsidRDefault="007B2410" w:rsidP="002C6BA8">
      <w:pPr>
        <w:jc w:val="center"/>
      </w:pPr>
      <w:r>
        <w:t>Appellants</w:t>
      </w:r>
    </w:p>
    <w:p w:rsidR="007B2410" w:rsidRPr="002C6BA8" w:rsidRDefault="007B2410" w:rsidP="002C6BA8">
      <w:pPr>
        <w:pStyle w:val="SCCLsocVersus"/>
        <w:spacing w:after="0"/>
        <w:jc w:val="center"/>
        <w:rPr>
          <w:i w:val="0"/>
        </w:rPr>
      </w:pPr>
      <w:proofErr w:type="gramStart"/>
      <w:r w:rsidRPr="002C6BA8">
        <w:rPr>
          <w:i w:val="0"/>
        </w:rPr>
        <w:t>and</w:t>
      </w:r>
      <w:proofErr w:type="gramEnd"/>
    </w:p>
    <w:p w:rsidR="007B2410" w:rsidRDefault="007B2410" w:rsidP="002C6BA8">
      <w:pPr>
        <w:pStyle w:val="SCCLsocParty"/>
        <w:jc w:val="center"/>
      </w:pPr>
      <w:r>
        <w:t>Abbott and Haliburton Company Limited,</w:t>
      </w:r>
    </w:p>
    <w:p w:rsidR="007B2410" w:rsidRDefault="007B2410" w:rsidP="002C6BA8">
      <w:pPr>
        <w:pStyle w:val="SCCLsocParty"/>
        <w:jc w:val="center"/>
      </w:pPr>
      <w:r>
        <w:t xml:space="preserve">A.W. Allen &amp; Son Limited, Berwick Building Supplies Limited, Bishop’s Falls Building Supplies Limited, Arthur Boudreau &amp; </w:t>
      </w:r>
      <w:proofErr w:type="spellStart"/>
      <w:r>
        <w:t>Fils</w:t>
      </w:r>
      <w:proofErr w:type="spellEnd"/>
      <w:r>
        <w:t xml:space="preserve"> </w:t>
      </w:r>
      <w:proofErr w:type="spellStart"/>
      <w:r>
        <w:t>Ltée</w:t>
      </w:r>
      <w:proofErr w:type="spellEnd"/>
      <w:r>
        <w:t>, Brennan Contractors &amp; Supplies Ltd.,</w:t>
      </w:r>
    </w:p>
    <w:p w:rsidR="007B2410" w:rsidRDefault="007B2410" w:rsidP="002C6BA8">
      <w:pPr>
        <w:pStyle w:val="SCCLsocParty"/>
        <w:jc w:val="center"/>
      </w:pPr>
      <w:r>
        <w:t xml:space="preserve">F. J. </w:t>
      </w:r>
      <w:proofErr w:type="spellStart"/>
      <w:r>
        <w:t>Brideau</w:t>
      </w:r>
      <w:proofErr w:type="spellEnd"/>
      <w:r>
        <w:t xml:space="preserve"> &amp; </w:t>
      </w:r>
      <w:proofErr w:type="spellStart"/>
      <w:r>
        <w:t>Fils</w:t>
      </w:r>
      <w:proofErr w:type="spellEnd"/>
      <w:r>
        <w:t xml:space="preserve"> </w:t>
      </w:r>
      <w:proofErr w:type="spellStart"/>
      <w:r>
        <w:t>Limitée</w:t>
      </w:r>
      <w:proofErr w:type="spellEnd"/>
      <w:r>
        <w:t>, Cabot Building Supplies Company (1988) Limited,</w:t>
      </w:r>
    </w:p>
    <w:p w:rsidR="007B2410" w:rsidRDefault="007B2410" w:rsidP="002C6BA8">
      <w:pPr>
        <w:pStyle w:val="SCCLsocParty"/>
        <w:jc w:val="center"/>
      </w:pPr>
      <w:r>
        <w:t>Robert Churchill Building Supplies Limited, CDL Holdings Limited, formerly</w:t>
      </w:r>
    </w:p>
    <w:p w:rsidR="007B2410" w:rsidRDefault="007B2410" w:rsidP="002C6BA8">
      <w:pPr>
        <w:pStyle w:val="SCCLsocParty"/>
        <w:jc w:val="center"/>
      </w:pPr>
      <w:r>
        <w:t xml:space="preserve">Chester Dawe Limited, Fraser Supplies (1980) Ltd., R. D. Gillis Building Supplies Limited, </w:t>
      </w:r>
      <w:proofErr w:type="spellStart"/>
      <w:r>
        <w:t>Yvon</w:t>
      </w:r>
      <w:proofErr w:type="spellEnd"/>
      <w:r>
        <w:t xml:space="preserve"> Godin Ltd., Truro Wood Industries Limited/Home Care Properties Limited,</w:t>
      </w:r>
    </w:p>
    <w:p w:rsidR="007B2410" w:rsidRDefault="007B2410" w:rsidP="002C6BA8">
      <w:pPr>
        <w:pStyle w:val="SCCLsocParty"/>
        <w:jc w:val="center"/>
      </w:pPr>
      <w:r>
        <w:t xml:space="preserve">Hann’s Hardware and Sporting Goods Limited, Harbour Breton Building Supplies Limited, Hillier’s Trades Limited, </w:t>
      </w:r>
      <w:proofErr w:type="spellStart"/>
      <w:r>
        <w:t>Hubcraft</w:t>
      </w:r>
      <w:proofErr w:type="spellEnd"/>
      <w:r>
        <w:t xml:space="preserve"> Building Supplies Limited, </w:t>
      </w:r>
      <w:proofErr w:type="spellStart"/>
      <w:r>
        <w:t>Lumbermart</w:t>
      </w:r>
      <w:proofErr w:type="spellEnd"/>
      <w:r>
        <w:t xml:space="preserve"> Limited, Maple Leaf Farm Supplies Limited, S.W. Mifflin Ltd., </w:t>
      </w:r>
      <w:proofErr w:type="spellStart"/>
      <w:r>
        <w:t>Nauss</w:t>
      </w:r>
      <w:proofErr w:type="spellEnd"/>
      <w:r>
        <w:t xml:space="preserve"> Brothers Limited, O’Leary Farmers’ Co-operative </w:t>
      </w:r>
      <w:proofErr w:type="spellStart"/>
      <w:r>
        <w:t>Ass’n</w:t>
      </w:r>
      <w:proofErr w:type="spellEnd"/>
      <w:r>
        <w:t xml:space="preserve">. Ltd., </w:t>
      </w:r>
      <w:proofErr w:type="spellStart"/>
      <w:r>
        <w:t>Pellerin</w:t>
      </w:r>
      <w:proofErr w:type="spellEnd"/>
      <w:r>
        <w:t xml:space="preserve"> Building Supplies Inc.,</w:t>
      </w:r>
    </w:p>
    <w:p w:rsidR="007B2410" w:rsidRDefault="007B2410" w:rsidP="002C6BA8">
      <w:pPr>
        <w:pStyle w:val="SCCLsocParty"/>
        <w:jc w:val="center"/>
      </w:pPr>
      <w:r>
        <w:t xml:space="preserve">Pleasant Supplies Incorporated, J. I. Pritchett &amp; Sons Limited, Centre Multi-Décor de </w:t>
      </w:r>
      <w:proofErr w:type="spellStart"/>
      <w:r>
        <w:t>Richibucto</w:t>
      </w:r>
      <w:proofErr w:type="spellEnd"/>
      <w:r>
        <w:t xml:space="preserve"> </w:t>
      </w:r>
      <w:proofErr w:type="spellStart"/>
      <w:r>
        <w:t>Ltée</w:t>
      </w:r>
      <w:proofErr w:type="spellEnd"/>
      <w:r>
        <w:t xml:space="preserve">, U. J. </w:t>
      </w:r>
      <w:proofErr w:type="spellStart"/>
      <w:r>
        <w:t>Robichaud</w:t>
      </w:r>
      <w:proofErr w:type="spellEnd"/>
      <w:r>
        <w:t xml:space="preserve"> &amp; Sons Woodworkers Limited, </w:t>
      </w:r>
      <w:proofErr w:type="spellStart"/>
      <w:r>
        <w:t>Quincaillerie</w:t>
      </w:r>
      <w:proofErr w:type="spellEnd"/>
    </w:p>
    <w:p w:rsidR="007B2410" w:rsidRDefault="007B2410" w:rsidP="002C6BA8">
      <w:pPr>
        <w:pStyle w:val="SCCLsocParty"/>
        <w:jc w:val="center"/>
      </w:pPr>
      <w:r>
        <w:t xml:space="preserve">Saint-Louis </w:t>
      </w:r>
      <w:proofErr w:type="spellStart"/>
      <w:r>
        <w:t>Ltée</w:t>
      </w:r>
      <w:proofErr w:type="spellEnd"/>
      <w:r>
        <w:t xml:space="preserve">, R &amp; J </w:t>
      </w:r>
      <w:proofErr w:type="spellStart"/>
      <w:r>
        <w:t>Swinamer’s</w:t>
      </w:r>
      <w:proofErr w:type="spellEnd"/>
      <w:r>
        <w:t xml:space="preserve"> Supplies Limited, 508686 N.B. INC. operating as T.N.T. Insulation and Building Supplies, Taylor Lumber and Building Supplies Limited, Two by Four Lumber Sales Ltd., </w:t>
      </w:r>
      <w:proofErr w:type="spellStart"/>
      <w:r>
        <w:t>Walbourne</w:t>
      </w:r>
      <w:proofErr w:type="spellEnd"/>
      <w:r>
        <w:t xml:space="preserve"> Enterprises Ltd., Western Bay Hardware Limited, White’s Construction Limited, D. J. Williams and Sons Limited and</w:t>
      </w:r>
    </w:p>
    <w:p w:rsidR="007B2410" w:rsidRDefault="007B2410" w:rsidP="002C6BA8">
      <w:pPr>
        <w:pStyle w:val="SCCLsocParty"/>
        <w:jc w:val="center"/>
      </w:pPr>
      <w:r>
        <w:t>Woodland Building Supplies Limited</w:t>
      </w:r>
    </w:p>
    <w:p w:rsidR="007B2410" w:rsidRDefault="007B2410" w:rsidP="002C6BA8">
      <w:pPr>
        <w:jc w:val="center"/>
      </w:pPr>
      <w:r>
        <w:t>Respondents</w:t>
      </w:r>
    </w:p>
    <w:p w:rsidR="007B2410" w:rsidRDefault="007B2410" w:rsidP="002C6BA8">
      <w:pPr>
        <w:pStyle w:val="SCCLsocOtherPartySeparator"/>
        <w:spacing w:after="0"/>
        <w:jc w:val="center"/>
      </w:pPr>
      <w:r>
        <w:t xml:space="preserve">- </w:t>
      </w:r>
      <w:proofErr w:type="gramStart"/>
      <w:r>
        <w:t>and</w:t>
      </w:r>
      <w:proofErr w:type="gramEnd"/>
      <w:r>
        <w:t xml:space="preserve"> -</w:t>
      </w:r>
    </w:p>
    <w:p w:rsidR="007B2410" w:rsidRDefault="007B2410" w:rsidP="002C6BA8">
      <w:pPr>
        <w:pStyle w:val="SCCLsocParty"/>
        <w:jc w:val="center"/>
      </w:pPr>
      <w:r>
        <w:t>Attorney General of Canada and Criminal Lawyers’ Association (Ontario)</w:t>
      </w:r>
    </w:p>
    <w:p w:rsidR="007B2410" w:rsidRDefault="007B2410" w:rsidP="002C6BA8">
      <w:pPr>
        <w:jc w:val="center"/>
      </w:pPr>
      <w:r>
        <w:t>Interveners</w:t>
      </w:r>
    </w:p>
    <w:p w:rsidR="007B2410" w:rsidRDefault="007B2410" w:rsidP="002C6BA8">
      <w:pPr>
        <w:jc w:val="center"/>
      </w:pPr>
    </w:p>
    <w:p w:rsidR="007B2410" w:rsidRPr="006B210C" w:rsidRDefault="007B2410" w:rsidP="002C6BA8">
      <w:pPr>
        <w:jc w:val="center"/>
      </w:pPr>
    </w:p>
    <w:p w:rsidR="007B2410" w:rsidRPr="006B210C" w:rsidRDefault="007B2410" w:rsidP="007B2410">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t>
      </w:r>
      <w:proofErr w:type="spellStart"/>
      <w:r>
        <w:t>Moldaver</w:t>
      </w:r>
      <w:proofErr w:type="spellEnd"/>
      <w:r>
        <w:t xml:space="preserve">, Wagner and </w:t>
      </w:r>
      <w:proofErr w:type="spellStart"/>
      <w:r>
        <w:t>Gascon</w:t>
      </w:r>
      <w:proofErr w:type="spellEnd"/>
      <w:r>
        <w:t> JJ.</w:t>
      </w:r>
    </w:p>
    <w:p w:rsidR="007B2410" w:rsidRPr="006B210C" w:rsidRDefault="007B2410" w:rsidP="007B24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B2410" w:rsidRPr="006B210C" w:rsidTr="0009376F">
        <w:trPr>
          <w:cantSplit/>
        </w:trPr>
        <w:tc>
          <w:tcPr>
            <w:tcW w:w="3618" w:type="dxa"/>
          </w:tcPr>
          <w:p w:rsidR="007B2410" w:rsidRDefault="007B2410" w:rsidP="0009376F">
            <w:pPr>
              <w:rPr>
                <w:b/>
                <w:smallCaps/>
              </w:rPr>
            </w:pPr>
            <w:r w:rsidRPr="006B210C">
              <w:rPr>
                <w:b/>
                <w:smallCaps/>
              </w:rPr>
              <w:t>Reasons for Judgment</w:t>
            </w:r>
            <w:r>
              <w:rPr>
                <w:b/>
                <w:smallCaps/>
              </w:rPr>
              <w:t>:</w:t>
            </w:r>
          </w:p>
          <w:p w:rsidR="007B2410" w:rsidRPr="006B210C" w:rsidRDefault="007B2410" w:rsidP="0009376F">
            <w:r>
              <w:t>(paras. 1 to 63)</w:t>
            </w:r>
          </w:p>
        </w:tc>
        <w:tc>
          <w:tcPr>
            <w:tcW w:w="5958" w:type="dxa"/>
          </w:tcPr>
          <w:p w:rsidR="007B2410" w:rsidRPr="006B210C" w:rsidRDefault="007B2410" w:rsidP="0009376F">
            <w:r>
              <w:t>Cromwell J. (</w:t>
            </w:r>
            <w:proofErr w:type="spellStart"/>
            <w:r>
              <w:t>McLachlin</w:t>
            </w:r>
            <w:proofErr w:type="spellEnd"/>
            <w:r>
              <w:t xml:space="preserve"> C.J. and </w:t>
            </w:r>
            <w:proofErr w:type="spellStart"/>
            <w:r>
              <w:t>Abella</w:t>
            </w:r>
            <w:proofErr w:type="spellEnd"/>
            <w:r>
              <w:t xml:space="preserve">, Rothstein, </w:t>
            </w:r>
            <w:proofErr w:type="spellStart"/>
            <w:r>
              <w:t>Moldaver</w:t>
            </w:r>
            <w:proofErr w:type="spellEnd"/>
            <w:r>
              <w:t xml:space="preserve">, Wagner and </w:t>
            </w:r>
            <w:proofErr w:type="spellStart"/>
            <w:r>
              <w:t>Gascon</w:t>
            </w:r>
            <w:proofErr w:type="spellEnd"/>
            <w:r>
              <w:t xml:space="preserve"> JJ. concurring)</w:t>
            </w:r>
          </w:p>
        </w:tc>
      </w:tr>
    </w:tbl>
    <w:p w:rsidR="007B2410" w:rsidRDefault="007B2410" w:rsidP="007B2410"/>
    <w:p w:rsidR="007B2410" w:rsidRPr="006B210C" w:rsidRDefault="007B2410" w:rsidP="007B2410">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7B2410" w:rsidRDefault="007B2410" w:rsidP="009D3ECF">
      <w:pPr>
        <w:widowControl w:val="0"/>
        <w:spacing w:after="720"/>
        <w:jc w:val="both"/>
      </w:pPr>
    </w:p>
    <w:p w:rsidR="008322BD" w:rsidRPr="003C4ED7" w:rsidRDefault="003C4ED7" w:rsidP="009D3ECF">
      <w:pPr>
        <w:widowControl w:val="0"/>
        <w:spacing w:after="720"/>
        <w:jc w:val="both"/>
      </w:pPr>
      <w:r w:rsidRPr="003C4ED7">
        <w:t xml:space="preserve">White Burgess </w:t>
      </w:r>
      <w:proofErr w:type="spellStart"/>
      <w:r w:rsidRPr="003C4ED7">
        <w:t>Langille</w:t>
      </w:r>
      <w:proofErr w:type="spellEnd"/>
      <w:r w:rsidRPr="003C4ED7">
        <w:t xml:space="preserve"> Inman </w:t>
      </w:r>
      <w:r w:rsidRPr="003C4ED7">
        <w:rPr>
          <w:i/>
        </w:rPr>
        <w:t>v.</w:t>
      </w:r>
      <w:r w:rsidRPr="003C4ED7">
        <w:t xml:space="preserve"> Abbott and Haliburton Co.</w:t>
      </w:r>
      <w:r>
        <w:t xml:space="preserve">, </w:t>
      </w:r>
      <w:r w:rsidRPr="002D7B81">
        <w:t>2015 SCC</w:t>
      </w:r>
      <w:r>
        <w:t xml:space="preserve"> </w:t>
      </w:r>
      <w:r w:rsidRPr="002D7B81">
        <w:t>23</w:t>
      </w:r>
      <w:r>
        <w:t>, [2015] 2 S.C.R. 182</w:t>
      </w:r>
    </w:p>
    <w:p w:rsidR="00F236D7" w:rsidRPr="002D7B81" w:rsidRDefault="00F236D7" w:rsidP="009D3ECF">
      <w:pPr>
        <w:pStyle w:val="SCCLsocParty"/>
        <w:widowControl w:val="0"/>
      </w:pPr>
      <w:r w:rsidRPr="002D7B81">
        <w:t xml:space="preserve">White Burgess </w:t>
      </w:r>
      <w:proofErr w:type="spellStart"/>
      <w:r w:rsidRPr="002D7B81">
        <w:t>Langille</w:t>
      </w:r>
      <w:proofErr w:type="spellEnd"/>
      <w:r w:rsidRPr="002D7B81">
        <w:t xml:space="preserve"> Inman, carrying </w:t>
      </w:r>
    </w:p>
    <w:p w:rsidR="00AE7E1B" w:rsidRPr="002D7B81" w:rsidRDefault="00F236D7" w:rsidP="009D3ECF">
      <w:pPr>
        <w:pStyle w:val="SCCLsocParty"/>
        <w:widowControl w:val="0"/>
      </w:pPr>
      <w:proofErr w:type="gramStart"/>
      <w:r w:rsidRPr="002D7B81">
        <w:t>on</w:t>
      </w:r>
      <w:proofErr w:type="gramEnd"/>
      <w:r w:rsidRPr="002D7B81">
        <w:t xml:space="preserve"> business as WBLI Chartered Accountants </w:t>
      </w:r>
      <w:r w:rsidR="003240B0" w:rsidRPr="002D7B81">
        <w:t xml:space="preserve">and </w:t>
      </w:r>
    </w:p>
    <w:p w:rsidR="00AE7E1B" w:rsidRPr="002D7B81" w:rsidRDefault="002E7305" w:rsidP="009D3ECF">
      <w:pPr>
        <w:pStyle w:val="SCCLsocLastPartyInRole"/>
        <w:widowControl w:val="0"/>
      </w:pPr>
      <w:r w:rsidRPr="002D7B81">
        <w:t>R.</w:t>
      </w:r>
      <w:r w:rsidR="009D3ECF">
        <w:t xml:space="preserve"> </w:t>
      </w:r>
      <w:r w:rsidR="00F236D7" w:rsidRPr="002D7B81">
        <w:t>Brian Burgess</w:t>
      </w:r>
      <w:r w:rsidR="00F236D7" w:rsidRPr="002D7B81">
        <w:rPr>
          <w:rStyle w:val="SCCLsocPartyRole"/>
        </w:rPr>
        <w:tab/>
        <w:t>Appellants</w:t>
      </w:r>
    </w:p>
    <w:p w:rsidR="00AE7E1B" w:rsidRPr="002D7B81" w:rsidRDefault="00F236D7" w:rsidP="009D3ECF">
      <w:pPr>
        <w:pStyle w:val="SCCLsocVersus"/>
        <w:widowControl w:val="0"/>
      </w:pPr>
      <w:proofErr w:type="gramStart"/>
      <w:r w:rsidRPr="002D7B81">
        <w:t>v</w:t>
      </w:r>
      <w:proofErr w:type="gramEnd"/>
      <w:r w:rsidRPr="002D7B81">
        <w:t>.</w:t>
      </w:r>
    </w:p>
    <w:p w:rsidR="00F236D7" w:rsidRPr="002D7B81" w:rsidRDefault="00F236D7" w:rsidP="009D3ECF">
      <w:pPr>
        <w:pStyle w:val="SCCLsocParty"/>
        <w:widowControl w:val="0"/>
      </w:pPr>
      <w:r w:rsidRPr="002D7B81">
        <w:t xml:space="preserve">Abbott and Haliburton Company Limited, A.W. Allen &amp; Son </w:t>
      </w:r>
    </w:p>
    <w:p w:rsidR="00F236D7" w:rsidRPr="002D7B81" w:rsidRDefault="00F236D7" w:rsidP="009D3ECF">
      <w:pPr>
        <w:pStyle w:val="SCCLsocParty"/>
        <w:widowControl w:val="0"/>
      </w:pPr>
      <w:r w:rsidRPr="002D7B81">
        <w:t xml:space="preserve">Limited, Berwick Building Supplies Limited, Bishop’s </w:t>
      </w:r>
      <w:proofErr w:type="gramStart"/>
      <w:r w:rsidRPr="002D7B81">
        <w:t>Falls</w:t>
      </w:r>
      <w:proofErr w:type="gramEnd"/>
      <w:r w:rsidRPr="002D7B81">
        <w:t xml:space="preserve"> </w:t>
      </w:r>
    </w:p>
    <w:p w:rsidR="00F236D7" w:rsidRPr="002D7B81" w:rsidRDefault="00F236D7" w:rsidP="009D3ECF">
      <w:pPr>
        <w:pStyle w:val="SCCLsocParty"/>
        <w:widowControl w:val="0"/>
        <w:rPr>
          <w:lang w:val="en-US"/>
        </w:rPr>
      </w:pPr>
      <w:r w:rsidRPr="002D7B81">
        <w:t xml:space="preserve">Building Supplies Limited, </w:t>
      </w:r>
      <w:r w:rsidRPr="002D7B81">
        <w:rPr>
          <w:lang w:val="en-US"/>
        </w:rPr>
        <w:t xml:space="preserve">Arthur Boudreau &amp; </w:t>
      </w:r>
      <w:proofErr w:type="spellStart"/>
      <w:r w:rsidRPr="002D7B81">
        <w:rPr>
          <w:lang w:val="en-US"/>
        </w:rPr>
        <w:t>Fils</w:t>
      </w:r>
      <w:proofErr w:type="spellEnd"/>
      <w:r w:rsidRPr="002D7B81">
        <w:rPr>
          <w:lang w:val="en-US"/>
        </w:rPr>
        <w:t xml:space="preserve"> </w:t>
      </w:r>
      <w:proofErr w:type="spellStart"/>
      <w:r w:rsidRPr="002D7B81">
        <w:rPr>
          <w:lang w:val="en-US"/>
        </w:rPr>
        <w:t>Ltée</w:t>
      </w:r>
      <w:proofErr w:type="spellEnd"/>
      <w:r w:rsidRPr="002D7B81">
        <w:rPr>
          <w:lang w:val="en-US"/>
        </w:rPr>
        <w:t xml:space="preserve">, </w:t>
      </w:r>
    </w:p>
    <w:p w:rsidR="00F236D7" w:rsidRPr="002D7B81" w:rsidRDefault="00F236D7" w:rsidP="009D3ECF">
      <w:pPr>
        <w:pStyle w:val="SCCLsocParty"/>
        <w:widowControl w:val="0"/>
        <w:rPr>
          <w:lang w:val="fr-CA"/>
        </w:rPr>
      </w:pPr>
      <w:proofErr w:type="spellStart"/>
      <w:r w:rsidRPr="002D7B81">
        <w:rPr>
          <w:lang w:val="fr-CA"/>
        </w:rPr>
        <w:t>Brennan</w:t>
      </w:r>
      <w:proofErr w:type="spellEnd"/>
      <w:r w:rsidRPr="002D7B81">
        <w:rPr>
          <w:lang w:val="fr-CA"/>
        </w:rPr>
        <w:t xml:space="preserve"> </w:t>
      </w:r>
      <w:proofErr w:type="spellStart"/>
      <w:r w:rsidR="003240B0" w:rsidRPr="002D7B81">
        <w:rPr>
          <w:lang w:val="fr-CA"/>
        </w:rPr>
        <w:t>Contractors</w:t>
      </w:r>
      <w:proofErr w:type="spellEnd"/>
      <w:r w:rsidR="003240B0" w:rsidRPr="002D7B81">
        <w:rPr>
          <w:lang w:val="fr-CA"/>
        </w:rPr>
        <w:t xml:space="preserve"> &amp; Supplies Ltd., F.</w:t>
      </w:r>
      <w:r w:rsidR="009D3ECF">
        <w:rPr>
          <w:lang w:val="fr-CA"/>
        </w:rPr>
        <w:t xml:space="preserve"> </w:t>
      </w:r>
      <w:r w:rsidRPr="002D7B81">
        <w:rPr>
          <w:lang w:val="fr-CA"/>
        </w:rPr>
        <w:t xml:space="preserve">J. </w:t>
      </w:r>
      <w:proofErr w:type="spellStart"/>
      <w:r w:rsidRPr="002D7B81">
        <w:rPr>
          <w:lang w:val="fr-CA"/>
        </w:rPr>
        <w:t>Brideau</w:t>
      </w:r>
      <w:proofErr w:type="spellEnd"/>
      <w:r w:rsidRPr="002D7B81">
        <w:rPr>
          <w:lang w:val="fr-CA"/>
        </w:rPr>
        <w:t xml:space="preserve"> &amp; Fils </w:t>
      </w:r>
    </w:p>
    <w:p w:rsidR="00F236D7" w:rsidRPr="002D7B81" w:rsidRDefault="00F236D7" w:rsidP="009D3ECF">
      <w:pPr>
        <w:pStyle w:val="SCCLsocParty"/>
        <w:widowControl w:val="0"/>
      </w:pPr>
      <w:proofErr w:type="spellStart"/>
      <w:r w:rsidRPr="002D7B81">
        <w:t>Limitée</w:t>
      </w:r>
      <w:proofErr w:type="spellEnd"/>
      <w:r w:rsidRPr="002D7B81">
        <w:t xml:space="preserve">, Cabot Building Supplies Company (1988) Limited, </w:t>
      </w:r>
    </w:p>
    <w:p w:rsidR="00F236D7" w:rsidRPr="002D7B81" w:rsidRDefault="00F236D7" w:rsidP="009D3ECF">
      <w:pPr>
        <w:pStyle w:val="SCCLsocParty"/>
        <w:widowControl w:val="0"/>
      </w:pPr>
      <w:r w:rsidRPr="002D7B81">
        <w:t xml:space="preserve">Robert Churchill Building Supplies Limited, CDL Holdings </w:t>
      </w:r>
    </w:p>
    <w:p w:rsidR="00F236D7" w:rsidRPr="002D7B81" w:rsidRDefault="00F236D7" w:rsidP="009D3ECF">
      <w:pPr>
        <w:pStyle w:val="SCCLsocParty"/>
        <w:widowControl w:val="0"/>
      </w:pPr>
      <w:r w:rsidRPr="002D7B81">
        <w:t xml:space="preserve">Limited, formerly Chester Dawe Limited, Fraser Supplies </w:t>
      </w:r>
    </w:p>
    <w:p w:rsidR="00F236D7" w:rsidRPr="002D7B81" w:rsidRDefault="0083272F" w:rsidP="009D3ECF">
      <w:pPr>
        <w:pStyle w:val="SCCLsocParty"/>
        <w:widowControl w:val="0"/>
      </w:pPr>
      <w:r w:rsidRPr="002D7B81">
        <w:t>(1980</w:t>
      </w:r>
      <w:r w:rsidR="003240B0" w:rsidRPr="002D7B81">
        <w:t>) Ltd., R.</w:t>
      </w:r>
      <w:r w:rsidR="009D3ECF">
        <w:t xml:space="preserve"> </w:t>
      </w:r>
      <w:r w:rsidR="00F236D7" w:rsidRPr="002D7B81">
        <w:t xml:space="preserve">D. Gillis Building Supplies Limited, </w:t>
      </w:r>
      <w:proofErr w:type="spellStart"/>
      <w:r w:rsidR="00F236D7" w:rsidRPr="002D7B81">
        <w:t>Yvon</w:t>
      </w:r>
      <w:proofErr w:type="spellEnd"/>
      <w:r w:rsidR="00F236D7" w:rsidRPr="002D7B81">
        <w:t xml:space="preserve"> </w:t>
      </w:r>
    </w:p>
    <w:p w:rsidR="00F236D7" w:rsidRPr="002D7B81" w:rsidRDefault="00F236D7" w:rsidP="009D3ECF">
      <w:pPr>
        <w:pStyle w:val="SCCLsocParty"/>
        <w:widowControl w:val="0"/>
      </w:pPr>
      <w:r w:rsidRPr="002D7B81">
        <w:t xml:space="preserve">Godin Ltd., Truro Wood Industries Limited/Home Care </w:t>
      </w:r>
    </w:p>
    <w:p w:rsidR="00F236D7" w:rsidRPr="002D7B81" w:rsidRDefault="00F236D7" w:rsidP="009D3ECF">
      <w:pPr>
        <w:pStyle w:val="SCCLsocParty"/>
        <w:widowControl w:val="0"/>
      </w:pPr>
      <w:r w:rsidRPr="002D7B81">
        <w:t xml:space="preserve">Properties Limited, Hann’s Hardware and Sporting Goods </w:t>
      </w:r>
    </w:p>
    <w:p w:rsidR="00431830" w:rsidRPr="002D7B81" w:rsidRDefault="00F236D7" w:rsidP="009D3ECF">
      <w:pPr>
        <w:pStyle w:val="SCCLsocParty"/>
        <w:widowControl w:val="0"/>
      </w:pPr>
      <w:r w:rsidRPr="002D7B81">
        <w:t xml:space="preserve">Limited, Harbour Breton Building Supplies Limited, </w:t>
      </w:r>
    </w:p>
    <w:p w:rsidR="00431830" w:rsidRPr="002D7B81" w:rsidRDefault="00F236D7" w:rsidP="009D3ECF">
      <w:pPr>
        <w:pStyle w:val="SCCLsocParty"/>
        <w:widowControl w:val="0"/>
      </w:pPr>
      <w:r w:rsidRPr="002D7B81">
        <w:t xml:space="preserve">Hillier’s Trades Limited, </w:t>
      </w:r>
      <w:proofErr w:type="spellStart"/>
      <w:r w:rsidRPr="002D7B81">
        <w:t>Hubcraft</w:t>
      </w:r>
      <w:proofErr w:type="spellEnd"/>
      <w:r w:rsidRPr="002D7B81">
        <w:t xml:space="preserve"> Building Supplies </w:t>
      </w:r>
    </w:p>
    <w:p w:rsidR="00431830" w:rsidRPr="002D7B81" w:rsidRDefault="00F236D7" w:rsidP="009D3ECF">
      <w:pPr>
        <w:pStyle w:val="SCCLsocParty"/>
        <w:widowControl w:val="0"/>
      </w:pPr>
      <w:r w:rsidRPr="002D7B81">
        <w:t xml:space="preserve">Limited, </w:t>
      </w:r>
      <w:proofErr w:type="spellStart"/>
      <w:r w:rsidRPr="002D7B81">
        <w:t>Lumbermart</w:t>
      </w:r>
      <w:proofErr w:type="spellEnd"/>
      <w:r w:rsidRPr="002D7B81">
        <w:t xml:space="preserve"> Limited, Maple Leaf Farm Supplies </w:t>
      </w:r>
    </w:p>
    <w:p w:rsidR="00431830" w:rsidRPr="002D7B81" w:rsidRDefault="00F236D7" w:rsidP="009D3ECF">
      <w:pPr>
        <w:pStyle w:val="SCCLsocParty"/>
        <w:widowControl w:val="0"/>
      </w:pPr>
      <w:r w:rsidRPr="002D7B81">
        <w:t>Limited,</w:t>
      </w:r>
      <w:r w:rsidR="00431830" w:rsidRPr="002D7B81">
        <w:t xml:space="preserve"> </w:t>
      </w:r>
      <w:r w:rsidRPr="002D7B81">
        <w:t xml:space="preserve">S.W. Mifflin Ltd., </w:t>
      </w:r>
      <w:proofErr w:type="spellStart"/>
      <w:r w:rsidRPr="002D7B81">
        <w:t>Nauss</w:t>
      </w:r>
      <w:proofErr w:type="spellEnd"/>
      <w:r w:rsidRPr="002D7B81">
        <w:t xml:space="preserve"> Brothers Limited, O’Leary </w:t>
      </w:r>
    </w:p>
    <w:p w:rsidR="00431830" w:rsidRPr="002D7B81" w:rsidRDefault="00F236D7" w:rsidP="009D3ECF">
      <w:pPr>
        <w:pStyle w:val="SCCLsocParty"/>
        <w:widowControl w:val="0"/>
      </w:pPr>
      <w:r w:rsidRPr="002D7B81">
        <w:t>Farmers’ Co</w:t>
      </w:r>
      <w:r w:rsidR="009D3ECF">
        <w:t>-</w:t>
      </w:r>
      <w:r w:rsidRPr="002D7B81">
        <w:t xml:space="preserve">operative </w:t>
      </w:r>
      <w:proofErr w:type="spellStart"/>
      <w:r w:rsidRPr="002D7B81">
        <w:t>Ass’n</w:t>
      </w:r>
      <w:proofErr w:type="spellEnd"/>
      <w:r w:rsidRPr="002D7B81">
        <w:t xml:space="preserve">. Ltd., </w:t>
      </w:r>
      <w:proofErr w:type="spellStart"/>
      <w:r w:rsidRPr="002D7B81">
        <w:t>Pellerin</w:t>
      </w:r>
      <w:proofErr w:type="spellEnd"/>
      <w:r w:rsidRPr="002D7B81">
        <w:t xml:space="preserve"> Building Supplies </w:t>
      </w:r>
    </w:p>
    <w:p w:rsidR="00431830" w:rsidRPr="002D7B81" w:rsidRDefault="00F236D7" w:rsidP="009D3ECF">
      <w:pPr>
        <w:pStyle w:val="SCCLsocParty"/>
        <w:widowControl w:val="0"/>
      </w:pPr>
      <w:r w:rsidRPr="002D7B81">
        <w:t>Inc., Ple</w:t>
      </w:r>
      <w:r w:rsidR="003240B0" w:rsidRPr="002D7B81">
        <w:t>asant Supplies Incorporated, J.</w:t>
      </w:r>
      <w:r w:rsidR="009D3ECF">
        <w:t xml:space="preserve"> </w:t>
      </w:r>
      <w:r w:rsidRPr="002D7B81">
        <w:t xml:space="preserve">I. Pritchett &amp; Sons </w:t>
      </w:r>
    </w:p>
    <w:p w:rsidR="00431830" w:rsidRPr="002D7B81" w:rsidRDefault="00F236D7" w:rsidP="009D3ECF">
      <w:pPr>
        <w:pStyle w:val="SCCLsocParty"/>
        <w:widowControl w:val="0"/>
        <w:rPr>
          <w:lang w:val="fr-CA"/>
        </w:rPr>
      </w:pPr>
      <w:r w:rsidRPr="002D7B81">
        <w:rPr>
          <w:lang w:val="fr-CA"/>
        </w:rPr>
        <w:t>Limited,</w:t>
      </w:r>
      <w:r w:rsidR="00431830" w:rsidRPr="002D7B81">
        <w:rPr>
          <w:lang w:val="fr-CA"/>
        </w:rPr>
        <w:t xml:space="preserve"> </w:t>
      </w:r>
      <w:r w:rsidRPr="002D7B81">
        <w:rPr>
          <w:lang w:val="fr-CA"/>
        </w:rPr>
        <w:t>Centre Multi</w:t>
      </w:r>
      <w:r w:rsidR="009D3ECF">
        <w:rPr>
          <w:lang w:val="fr-CA"/>
        </w:rPr>
        <w:t>-</w:t>
      </w:r>
      <w:r w:rsidR="004A7A0D" w:rsidRPr="002D7B81">
        <w:rPr>
          <w:lang w:val="fr-CA"/>
        </w:rPr>
        <w:t>Décor d</w:t>
      </w:r>
      <w:r w:rsidRPr="002D7B81">
        <w:rPr>
          <w:lang w:val="fr-CA"/>
        </w:rPr>
        <w:t xml:space="preserve">e </w:t>
      </w:r>
      <w:proofErr w:type="spellStart"/>
      <w:r w:rsidRPr="002D7B81">
        <w:rPr>
          <w:lang w:val="fr-CA"/>
        </w:rPr>
        <w:t>Richibucto</w:t>
      </w:r>
      <w:proofErr w:type="spellEnd"/>
      <w:r w:rsidRPr="002D7B81">
        <w:rPr>
          <w:lang w:val="fr-CA"/>
        </w:rPr>
        <w:t xml:space="preserve"> Ltée, </w:t>
      </w:r>
    </w:p>
    <w:p w:rsidR="00431830" w:rsidRPr="002D7B81" w:rsidRDefault="003240B0" w:rsidP="009D3ECF">
      <w:pPr>
        <w:pStyle w:val="SCCLsocParty"/>
        <w:widowControl w:val="0"/>
      </w:pPr>
      <w:r w:rsidRPr="002D7B81">
        <w:t>U.</w:t>
      </w:r>
      <w:r w:rsidR="009D3ECF">
        <w:t xml:space="preserve"> </w:t>
      </w:r>
      <w:r w:rsidR="00F236D7" w:rsidRPr="002D7B81">
        <w:t xml:space="preserve">J. </w:t>
      </w:r>
      <w:proofErr w:type="spellStart"/>
      <w:r w:rsidR="00F236D7" w:rsidRPr="002D7B81">
        <w:t>Robichaud</w:t>
      </w:r>
      <w:proofErr w:type="spellEnd"/>
      <w:r w:rsidR="00F236D7" w:rsidRPr="002D7B81">
        <w:t xml:space="preserve"> &amp; Sons Woodworkers Limited, </w:t>
      </w:r>
    </w:p>
    <w:p w:rsidR="00431830" w:rsidRPr="002D7B81" w:rsidRDefault="00F236D7" w:rsidP="009D3ECF">
      <w:pPr>
        <w:pStyle w:val="SCCLsocParty"/>
        <w:widowControl w:val="0"/>
        <w:rPr>
          <w:lang w:val="fr-CA"/>
        </w:rPr>
      </w:pPr>
      <w:r w:rsidRPr="002D7B81">
        <w:rPr>
          <w:lang w:val="fr-CA"/>
        </w:rPr>
        <w:t>Quincaillerie Saint</w:t>
      </w:r>
      <w:r w:rsidR="009D3ECF">
        <w:rPr>
          <w:lang w:val="fr-CA"/>
        </w:rPr>
        <w:t>-</w:t>
      </w:r>
      <w:r w:rsidRPr="002D7B81">
        <w:rPr>
          <w:lang w:val="fr-CA"/>
        </w:rPr>
        <w:t xml:space="preserve">Louis Ltée, R &amp; J </w:t>
      </w:r>
      <w:proofErr w:type="spellStart"/>
      <w:r w:rsidRPr="002D7B81">
        <w:rPr>
          <w:lang w:val="fr-CA"/>
        </w:rPr>
        <w:t>Swinamer’s</w:t>
      </w:r>
      <w:proofErr w:type="spellEnd"/>
      <w:r w:rsidRPr="002D7B81">
        <w:rPr>
          <w:lang w:val="fr-CA"/>
        </w:rPr>
        <w:t xml:space="preserve"> Supplies </w:t>
      </w:r>
    </w:p>
    <w:p w:rsidR="00431830" w:rsidRPr="002D7B81" w:rsidRDefault="00F236D7" w:rsidP="009D3ECF">
      <w:pPr>
        <w:pStyle w:val="SCCLsocParty"/>
        <w:widowControl w:val="0"/>
      </w:pPr>
      <w:r w:rsidRPr="002D7B81">
        <w:t xml:space="preserve">Limited, 508686 N.B. INC. operating as T.N.T. Insulation </w:t>
      </w:r>
    </w:p>
    <w:p w:rsidR="00431830" w:rsidRPr="002D7B81" w:rsidRDefault="00F236D7" w:rsidP="009D3ECF">
      <w:pPr>
        <w:pStyle w:val="SCCLsocParty"/>
        <w:widowControl w:val="0"/>
      </w:pPr>
      <w:proofErr w:type="gramStart"/>
      <w:r w:rsidRPr="002D7B81">
        <w:t>and</w:t>
      </w:r>
      <w:proofErr w:type="gramEnd"/>
      <w:r w:rsidRPr="002D7B81">
        <w:t xml:space="preserve"> Building Supplies,</w:t>
      </w:r>
      <w:r w:rsidR="00431830" w:rsidRPr="002D7B81">
        <w:t xml:space="preserve"> </w:t>
      </w:r>
      <w:r w:rsidRPr="002D7B81">
        <w:t xml:space="preserve">Taylor Lumber and Building Supplies </w:t>
      </w:r>
    </w:p>
    <w:p w:rsidR="00431830" w:rsidRPr="002D7B81" w:rsidRDefault="00F236D7" w:rsidP="009D3ECF">
      <w:pPr>
        <w:pStyle w:val="SCCLsocParty"/>
        <w:widowControl w:val="0"/>
      </w:pPr>
      <w:r w:rsidRPr="002D7B81">
        <w:t xml:space="preserve">Limited, Two by Four Lumber Sales Ltd., </w:t>
      </w:r>
      <w:proofErr w:type="spellStart"/>
      <w:r w:rsidRPr="002D7B81">
        <w:t>Walbourne</w:t>
      </w:r>
      <w:proofErr w:type="spellEnd"/>
      <w:r w:rsidRPr="002D7B81">
        <w:t xml:space="preserve"> </w:t>
      </w:r>
    </w:p>
    <w:p w:rsidR="00431830" w:rsidRPr="002D7B81" w:rsidRDefault="00F236D7" w:rsidP="009D3ECF">
      <w:pPr>
        <w:pStyle w:val="SCCLsocParty"/>
        <w:widowControl w:val="0"/>
      </w:pPr>
      <w:r w:rsidRPr="002D7B81">
        <w:t xml:space="preserve">Enterprises Ltd., Western Bay Hardware Limited, White’s </w:t>
      </w:r>
    </w:p>
    <w:p w:rsidR="00431830" w:rsidRPr="002D7B81" w:rsidRDefault="003240B0" w:rsidP="009D3ECF">
      <w:pPr>
        <w:pStyle w:val="SCCLsocParty"/>
        <w:widowControl w:val="0"/>
      </w:pPr>
      <w:r w:rsidRPr="002D7B81">
        <w:t>Construction Limited, D.</w:t>
      </w:r>
      <w:r w:rsidR="009D3ECF">
        <w:t xml:space="preserve"> </w:t>
      </w:r>
      <w:r w:rsidRPr="002D7B81">
        <w:t>J. Williams and Sons Limited</w:t>
      </w:r>
      <w:r w:rsidR="00F236D7" w:rsidRPr="002D7B81">
        <w:t xml:space="preserve"> </w:t>
      </w:r>
      <w:r w:rsidRPr="002D7B81">
        <w:t xml:space="preserve">and </w:t>
      </w:r>
    </w:p>
    <w:p w:rsidR="00AE7E1B" w:rsidRPr="002D7B81" w:rsidRDefault="00F236D7" w:rsidP="009D3ECF">
      <w:pPr>
        <w:pStyle w:val="SCCLsocParty"/>
        <w:widowControl w:val="0"/>
        <w:spacing w:after="720"/>
      </w:pPr>
      <w:r w:rsidRPr="002D7B81">
        <w:lastRenderedPageBreak/>
        <w:t>Woodland Building Supplies Limited</w:t>
      </w:r>
      <w:r w:rsidRPr="002D7B81">
        <w:rPr>
          <w:rStyle w:val="SCCLsocPartyRole"/>
        </w:rPr>
        <w:tab/>
        <w:t>Respondents</w:t>
      </w:r>
    </w:p>
    <w:p w:rsidR="00AE7E1B" w:rsidRPr="002D7B81" w:rsidRDefault="00F236D7" w:rsidP="009D3ECF">
      <w:pPr>
        <w:pStyle w:val="SCCLsocOtherPartySeparator"/>
        <w:widowControl w:val="0"/>
      </w:pPr>
      <w:proofErr w:type="gramStart"/>
      <w:r w:rsidRPr="002D7B81">
        <w:t>and</w:t>
      </w:r>
      <w:proofErr w:type="gramEnd"/>
    </w:p>
    <w:p w:rsidR="00431830" w:rsidRPr="002D7B81" w:rsidRDefault="00F236D7" w:rsidP="009D3ECF">
      <w:pPr>
        <w:pStyle w:val="SCCLsocParty"/>
        <w:widowControl w:val="0"/>
      </w:pPr>
      <w:r w:rsidRPr="002D7B81">
        <w:t>Attorney General of Canada</w:t>
      </w:r>
      <w:r w:rsidR="00431830" w:rsidRPr="002D7B81">
        <w:t xml:space="preserve"> and </w:t>
      </w:r>
    </w:p>
    <w:p w:rsidR="00AE7E1B" w:rsidRPr="002D7B81" w:rsidRDefault="003240B0" w:rsidP="009D3ECF">
      <w:pPr>
        <w:pStyle w:val="SCCLsocParty"/>
        <w:widowControl w:val="0"/>
        <w:spacing w:after="720"/>
      </w:pPr>
      <w:r w:rsidRPr="002D7B81">
        <w:t xml:space="preserve">Criminal Lawyers’ </w:t>
      </w:r>
      <w:r w:rsidR="00F236D7" w:rsidRPr="002D7B81">
        <w:t>Association (Ontario)</w:t>
      </w:r>
      <w:r w:rsidR="00F236D7" w:rsidRPr="002D7B81">
        <w:rPr>
          <w:rStyle w:val="SCCLsocPartyRole"/>
        </w:rPr>
        <w:tab/>
        <w:t>Interveners</w:t>
      </w:r>
    </w:p>
    <w:p w:rsidR="00426659" w:rsidRPr="002D7B81" w:rsidRDefault="00426659" w:rsidP="009D3ECF">
      <w:pPr>
        <w:widowControl w:val="0"/>
        <w:spacing w:after="720"/>
        <w:jc w:val="both"/>
        <w:rPr>
          <w:b/>
        </w:rPr>
      </w:pPr>
      <w:r w:rsidRPr="002D7B81">
        <w:rPr>
          <w:b/>
        </w:rPr>
        <w:t xml:space="preserve">Indexed as: </w:t>
      </w:r>
      <w:r w:rsidRPr="00D931D6">
        <w:rPr>
          <w:b/>
        </w:rPr>
        <w:t xml:space="preserve">White Burgess </w:t>
      </w:r>
      <w:proofErr w:type="spellStart"/>
      <w:r w:rsidRPr="00D931D6">
        <w:rPr>
          <w:b/>
        </w:rPr>
        <w:t>Langi</w:t>
      </w:r>
      <w:r w:rsidR="00431830" w:rsidRPr="00D931D6">
        <w:rPr>
          <w:b/>
        </w:rPr>
        <w:t>lle</w:t>
      </w:r>
      <w:proofErr w:type="spellEnd"/>
      <w:r w:rsidR="00431830" w:rsidRPr="00D931D6">
        <w:rPr>
          <w:b/>
        </w:rPr>
        <w:t xml:space="preserve"> Inman </w:t>
      </w:r>
      <w:r w:rsidRPr="002D7B81">
        <w:rPr>
          <w:b/>
          <w:i/>
        </w:rPr>
        <w:t>v.</w:t>
      </w:r>
      <w:r w:rsidRPr="002D7B81">
        <w:rPr>
          <w:b/>
        </w:rPr>
        <w:t xml:space="preserve"> </w:t>
      </w:r>
      <w:r w:rsidRPr="00D931D6">
        <w:rPr>
          <w:b/>
        </w:rPr>
        <w:t>Abbott and Haliburt</w:t>
      </w:r>
      <w:r w:rsidR="00431830" w:rsidRPr="00D931D6">
        <w:rPr>
          <w:b/>
        </w:rPr>
        <w:t>on Co.</w:t>
      </w:r>
    </w:p>
    <w:p w:rsidR="00426659" w:rsidRPr="002D7B81" w:rsidRDefault="004F36FF" w:rsidP="009D3ECF">
      <w:pPr>
        <w:pStyle w:val="SCCSystemYear"/>
        <w:widowControl w:val="0"/>
        <w:spacing w:after="720"/>
        <w:jc w:val="both"/>
      </w:pPr>
      <w:r w:rsidRPr="002D7B81">
        <w:t>201</w:t>
      </w:r>
      <w:r w:rsidR="002E7305" w:rsidRPr="002D7B81">
        <w:t>5</w:t>
      </w:r>
      <w:r w:rsidR="003D0399" w:rsidRPr="002D7B81">
        <w:t xml:space="preserve"> </w:t>
      </w:r>
      <w:r w:rsidR="00124702" w:rsidRPr="002D7B81">
        <w:t>SCC</w:t>
      </w:r>
      <w:r w:rsidR="009D3ECF">
        <w:t xml:space="preserve"> </w:t>
      </w:r>
      <w:r w:rsidR="00124702" w:rsidRPr="002D7B81">
        <w:t>23</w:t>
      </w:r>
    </w:p>
    <w:p w:rsidR="008322BD" w:rsidRPr="002D7B81" w:rsidRDefault="002E7305" w:rsidP="009D3ECF">
      <w:pPr>
        <w:widowControl w:val="0"/>
        <w:spacing w:after="720"/>
        <w:jc w:val="both"/>
      </w:pPr>
      <w:r w:rsidRPr="002D7B81">
        <w:t xml:space="preserve">File No.: </w:t>
      </w:r>
      <w:r w:rsidR="009B57B3" w:rsidRPr="002D7B81">
        <w:t>35492.</w:t>
      </w:r>
    </w:p>
    <w:p w:rsidR="008322BD" w:rsidRPr="002D7B81" w:rsidRDefault="00001D79" w:rsidP="009D3ECF">
      <w:pPr>
        <w:widowControl w:val="0"/>
        <w:spacing w:after="720"/>
        <w:jc w:val="both"/>
      </w:pPr>
      <w:r w:rsidRPr="002D7B81">
        <w:t>2014:</w:t>
      </w:r>
      <w:r w:rsidR="009D3ECF">
        <w:t xml:space="preserve"> </w:t>
      </w:r>
      <w:r w:rsidRPr="002D7B81">
        <w:t>October</w:t>
      </w:r>
      <w:r w:rsidR="009D3ECF">
        <w:t xml:space="preserve"> </w:t>
      </w:r>
      <w:r w:rsidR="004F36FF" w:rsidRPr="002D7B81">
        <w:t>7</w:t>
      </w:r>
      <w:r w:rsidR="009B57B3" w:rsidRPr="002D7B81">
        <w:t xml:space="preserve">; </w:t>
      </w:r>
      <w:r w:rsidR="00124702" w:rsidRPr="002D7B81">
        <w:t>2015:</w:t>
      </w:r>
      <w:r w:rsidR="009D3ECF">
        <w:t xml:space="preserve"> </w:t>
      </w:r>
      <w:r w:rsidR="00124702" w:rsidRPr="002D7B81">
        <w:t>April</w:t>
      </w:r>
      <w:r w:rsidR="009D3ECF">
        <w:t xml:space="preserve"> </w:t>
      </w:r>
      <w:r w:rsidR="00DD2D28" w:rsidRPr="002D7B81">
        <w:t>30</w:t>
      </w:r>
      <w:r w:rsidR="009B57B3" w:rsidRPr="002D7B81">
        <w:t>.</w:t>
      </w:r>
    </w:p>
    <w:p w:rsidR="008322BD" w:rsidRPr="002D7B81" w:rsidRDefault="002E7305" w:rsidP="009D3ECF">
      <w:pPr>
        <w:widowControl w:val="0"/>
        <w:spacing w:after="720"/>
        <w:jc w:val="both"/>
      </w:pPr>
      <w:r w:rsidRPr="002D7B81">
        <w:t xml:space="preserve">Present: </w:t>
      </w:r>
      <w:proofErr w:type="spellStart"/>
      <w:r w:rsidR="009B57B3" w:rsidRPr="002D7B81">
        <w:t>McLachlin</w:t>
      </w:r>
      <w:proofErr w:type="spellEnd"/>
      <w:r w:rsidR="009D3ECF">
        <w:t xml:space="preserve"> </w:t>
      </w:r>
      <w:r w:rsidR="009B57B3" w:rsidRPr="002D7B81">
        <w:t xml:space="preserve">C.J. and </w:t>
      </w:r>
      <w:proofErr w:type="spellStart"/>
      <w:r w:rsidR="009B57B3" w:rsidRPr="002D7B81">
        <w:t>Abella</w:t>
      </w:r>
      <w:proofErr w:type="spellEnd"/>
      <w:r w:rsidR="009B57B3" w:rsidRPr="002D7B81">
        <w:t xml:space="preserve">, Rothstein, Cromwell, </w:t>
      </w:r>
      <w:proofErr w:type="spellStart"/>
      <w:r w:rsidR="009B57B3" w:rsidRPr="002D7B81">
        <w:t>Moldaver</w:t>
      </w:r>
      <w:proofErr w:type="spellEnd"/>
      <w:r w:rsidR="009B57B3" w:rsidRPr="002D7B81">
        <w:t xml:space="preserve">, Wagner and </w:t>
      </w:r>
      <w:proofErr w:type="spellStart"/>
      <w:r w:rsidR="009B57B3" w:rsidRPr="002D7B81">
        <w:t>Gascon</w:t>
      </w:r>
      <w:proofErr w:type="spellEnd"/>
      <w:r w:rsidR="009D3ECF">
        <w:t xml:space="preserve"> </w:t>
      </w:r>
      <w:r w:rsidR="009B57B3" w:rsidRPr="002D7B81">
        <w:t>JJ.</w:t>
      </w:r>
    </w:p>
    <w:p w:rsidR="008322BD" w:rsidRPr="002D7B81" w:rsidRDefault="00656313" w:rsidP="009D3ECF">
      <w:pPr>
        <w:pStyle w:val="SCCLowerCourtNameLowercase"/>
        <w:widowControl w:val="0"/>
        <w:spacing w:after="720" w:line="240" w:lineRule="auto"/>
      </w:pPr>
      <w:r w:rsidRPr="002D7B81">
        <w:t>o</w:t>
      </w:r>
      <w:r w:rsidR="00170592" w:rsidRPr="002D7B81">
        <w:t>n</w:t>
      </w:r>
      <w:r w:rsidR="00224FC0" w:rsidRPr="002D7B81">
        <w:t xml:space="preserve"> </w:t>
      </w:r>
      <w:r w:rsidRPr="002D7B81">
        <w:t>a</w:t>
      </w:r>
      <w:r w:rsidR="00170592" w:rsidRPr="002D7B81">
        <w:t>ppeal</w:t>
      </w:r>
      <w:r w:rsidR="00224FC0" w:rsidRPr="002D7B81">
        <w:t xml:space="preserve"> </w:t>
      </w:r>
      <w:r w:rsidR="00170592" w:rsidRPr="002D7B81">
        <w:t>from</w:t>
      </w:r>
      <w:r w:rsidR="009567AA" w:rsidRPr="002D7B81">
        <w:t xml:space="preserve"> the</w:t>
      </w:r>
      <w:r w:rsidR="00224FC0" w:rsidRPr="002D7B81">
        <w:t xml:space="preserve"> </w:t>
      </w:r>
      <w:r w:rsidR="00635C8F" w:rsidRPr="002D7B81">
        <w:t>court of appeal for nova scotia</w:t>
      </w:r>
    </w:p>
    <w:p w:rsidR="00DD2D28" w:rsidRPr="002D7B81" w:rsidRDefault="009B57B3" w:rsidP="009D3ECF">
      <w:pPr>
        <w:pStyle w:val="SCCNormalDoubleSpacing"/>
        <w:widowControl w:val="0"/>
        <w:spacing w:after="480"/>
        <w:rPr>
          <w:i/>
        </w:rPr>
      </w:pPr>
      <w:r w:rsidRPr="002D7B81">
        <w:tab/>
      </w:r>
      <w:r w:rsidR="00DD2D28" w:rsidRPr="002D7B81">
        <w:rPr>
          <w:i/>
        </w:rPr>
        <w:t xml:space="preserve">Evidence </w:t>
      </w:r>
      <w:r w:rsidR="007443E2" w:rsidRPr="002D7B81">
        <w:rPr>
          <w:i/>
        </w:rPr>
        <w:t>—</w:t>
      </w:r>
      <w:r w:rsidR="00DD2D28" w:rsidRPr="002D7B81">
        <w:rPr>
          <w:i/>
        </w:rPr>
        <w:t xml:space="preserve"> Admissibility </w:t>
      </w:r>
      <w:r w:rsidR="007443E2" w:rsidRPr="002D7B81">
        <w:rPr>
          <w:i/>
        </w:rPr>
        <w:t xml:space="preserve">— </w:t>
      </w:r>
      <w:r w:rsidR="00DD2D28" w:rsidRPr="002D7B81">
        <w:rPr>
          <w:i/>
        </w:rPr>
        <w:t xml:space="preserve">Expert evidence </w:t>
      </w:r>
      <w:r w:rsidR="007443E2" w:rsidRPr="002D7B81">
        <w:rPr>
          <w:i/>
        </w:rPr>
        <w:t xml:space="preserve">— </w:t>
      </w:r>
      <w:r w:rsidR="00DD2D28" w:rsidRPr="002D7B81">
        <w:rPr>
          <w:i/>
        </w:rPr>
        <w:t xml:space="preserve">Basic standards for admissibility </w:t>
      </w:r>
      <w:r w:rsidR="007443E2" w:rsidRPr="002D7B81">
        <w:rPr>
          <w:i/>
        </w:rPr>
        <w:t xml:space="preserve">— </w:t>
      </w:r>
      <w:r w:rsidR="00DD2D28" w:rsidRPr="002D7B81">
        <w:rPr>
          <w:i/>
        </w:rPr>
        <w:t xml:space="preserve">Qualified expert </w:t>
      </w:r>
      <w:r w:rsidR="007443E2" w:rsidRPr="002D7B81">
        <w:rPr>
          <w:i/>
        </w:rPr>
        <w:t xml:space="preserve">— </w:t>
      </w:r>
      <w:r w:rsidR="00DD2D28" w:rsidRPr="002D7B81">
        <w:rPr>
          <w:i/>
        </w:rPr>
        <w:t xml:space="preserve">Independence and impartiality </w:t>
      </w:r>
      <w:r w:rsidR="007443E2" w:rsidRPr="002D7B81">
        <w:rPr>
          <w:i/>
        </w:rPr>
        <w:t xml:space="preserve">— </w:t>
      </w:r>
      <w:r w:rsidR="00DD2D28" w:rsidRPr="002D7B81">
        <w:rPr>
          <w:i/>
        </w:rPr>
        <w:t xml:space="preserve">Nature of expert’s duty to court </w:t>
      </w:r>
      <w:r w:rsidR="007443E2" w:rsidRPr="002D7B81">
        <w:rPr>
          <w:i/>
        </w:rPr>
        <w:t xml:space="preserve">— </w:t>
      </w:r>
      <w:r w:rsidR="00DD2D28" w:rsidRPr="002D7B81">
        <w:rPr>
          <w:i/>
        </w:rPr>
        <w:t xml:space="preserve">How expert’s duty relates to admissibility of expert’s evidence </w:t>
      </w:r>
      <w:r w:rsidR="007443E2" w:rsidRPr="002D7B81">
        <w:rPr>
          <w:i/>
        </w:rPr>
        <w:t xml:space="preserve">— </w:t>
      </w:r>
      <w:r w:rsidR="00DD2D28" w:rsidRPr="002D7B81">
        <w:rPr>
          <w:i/>
        </w:rPr>
        <w:t xml:space="preserve">Forensic accountant providing opinion on whether former auditors were negligent in performance of duties </w:t>
      </w:r>
      <w:r w:rsidR="007443E2" w:rsidRPr="002D7B81">
        <w:rPr>
          <w:i/>
        </w:rPr>
        <w:t xml:space="preserve">— </w:t>
      </w:r>
      <w:r w:rsidR="00DD2D28" w:rsidRPr="002D7B81">
        <w:rPr>
          <w:i/>
        </w:rPr>
        <w:t xml:space="preserve">Former auditors applying to strike out expert’s affidavit on grounds she was not impartial expert witness </w:t>
      </w:r>
      <w:r w:rsidR="007443E2" w:rsidRPr="002D7B81">
        <w:rPr>
          <w:i/>
        </w:rPr>
        <w:t xml:space="preserve">— </w:t>
      </w:r>
      <w:r w:rsidR="00DD2D28" w:rsidRPr="002D7B81">
        <w:rPr>
          <w:i/>
        </w:rPr>
        <w:t xml:space="preserve">Whether elements of </w:t>
      </w:r>
      <w:r w:rsidR="00DD2D28" w:rsidRPr="002D7B81">
        <w:rPr>
          <w:i/>
        </w:rPr>
        <w:lastRenderedPageBreak/>
        <w:t>expert’s duty to court go</w:t>
      </w:r>
      <w:r w:rsidR="00452B92" w:rsidRPr="002D7B81">
        <w:rPr>
          <w:i/>
        </w:rPr>
        <w:t xml:space="preserve"> </w:t>
      </w:r>
      <w:r w:rsidR="00DD2D28" w:rsidRPr="002D7B81">
        <w:rPr>
          <w:i/>
        </w:rPr>
        <w:t xml:space="preserve">to admissibility of evidence rather than simply to its weight </w:t>
      </w:r>
      <w:r w:rsidR="007443E2" w:rsidRPr="002D7B81">
        <w:rPr>
          <w:i/>
        </w:rPr>
        <w:t xml:space="preserve">— </w:t>
      </w:r>
      <w:r w:rsidR="00DD2D28" w:rsidRPr="002D7B81">
        <w:rPr>
          <w:i/>
        </w:rPr>
        <w:t>If so, whether there is a threshold admissibility requirement in relation to independence and impartiality.</w:t>
      </w:r>
    </w:p>
    <w:p w:rsidR="00DD2D28" w:rsidRPr="002D7B81" w:rsidRDefault="007443E2" w:rsidP="009D3ECF">
      <w:pPr>
        <w:pStyle w:val="SCCNormalDoubleSpacing"/>
        <w:widowControl w:val="0"/>
        <w:spacing w:after="480"/>
      </w:pPr>
      <w:r w:rsidRPr="002D7B81">
        <w:tab/>
      </w:r>
      <w:r w:rsidR="00B16175" w:rsidRPr="002D7B81">
        <w:t>T</w:t>
      </w:r>
      <w:r w:rsidR="00DD2D28" w:rsidRPr="002D7B81">
        <w:t>he shareholders started a professional negligence action against t</w:t>
      </w:r>
      <w:r w:rsidR="00B16175" w:rsidRPr="002D7B81">
        <w:t xml:space="preserve">he </w:t>
      </w:r>
      <w:r w:rsidR="00DD2D28" w:rsidRPr="002D7B81">
        <w:t>former</w:t>
      </w:r>
      <w:r w:rsidR="00B16175" w:rsidRPr="002D7B81">
        <w:t xml:space="preserve"> </w:t>
      </w:r>
      <w:r w:rsidR="00DD2D28" w:rsidRPr="002D7B81">
        <w:t xml:space="preserve">auditors of their company after they had retained a different accounting firm, the </w:t>
      </w:r>
      <w:proofErr w:type="spellStart"/>
      <w:r w:rsidR="00DD2D28" w:rsidRPr="002D7B81">
        <w:t>Kentville</w:t>
      </w:r>
      <w:proofErr w:type="spellEnd"/>
      <w:r w:rsidR="00DD2D28" w:rsidRPr="002D7B81">
        <w:t xml:space="preserve"> office of GT, to perform various accounting tasks and which in their view revealed problems with the</w:t>
      </w:r>
      <w:r w:rsidR="00B16175" w:rsidRPr="002D7B81">
        <w:t xml:space="preserve"> </w:t>
      </w:r>
      <w:r w:rsidR="00DD2D28" w:rsidRPr="002D7B81">
        <w:t>former</w:t>
      </w:r>
      <w:r w:rsidR="00B16175" w:rsidRPr="002D7B81">
        <w:t xml:space="preserve"> </w:t>
      </w:r>
      <w:r w:rsidR="00DD2D28" w:rsidRPr="002D7B81">
        <w:t>auditors’ work.</w:t>
      </w:r>
      <w:r w:rsidR="002C3967" w:rsidRPr="002D7B81">
        <w:t xml:space="preserve"> </w:t>
      </w:r>
      <w:r w:rsidR="00DD2D28" w:rsidRPr="002D7B81">
        <w:t>The auditors brought a motion for summary judgment</w:t>
      </w:r>
      <w:r w:rsidR="00B16175" w:rsidRPr="002D7B81">
        <w:t xml:space="preserve"> </w:t>
      </w:r>
      <w:r w:rsidR="00DD2D28" w:rsidRPr="002D7B81">
        <w:t>seeking to have the shareholders’ action dismissed. In response, the shareholders retained M, a forensic accounting partner at the Halifax office of GT, to review all the relevant materials</w:t>
      </w:r>
      <w:r w:rsidR="00B16175" w:rsidRPr="002D7B81">
        <w:t xml:space="preserve"> </w:t>
      </w:r>
      <w:r w:rsidR="00DD2D28" w:rsidRPr="002D7B81">
        <w:t xml:space="preserve">and to prepare a report of her findings. Her affidavit set out her findings, including her opinion that the auditors had not complied with their professional obligations to the shareholders. The auditors applied to strike out M’s affidavit on the grounds that she was not an impartial expert witness. </w:t>
      </w:r>
    </w:p>
    <w:p w:rsidR="00DD2D28" w:rsidRPr="002D7B81" w:rsidRDefault="00DD2D28" w:rsidP="009D3ECF">
      <w:pPr>
        <w:pStyle w:val="SCCNormalDoubleSpacing"/>
        <w:widowControl w:val="0"/>
        <w:spacing w:after="480"/>
      </w:pPr>
      <w:r w:rsidRPr="002D7B81">
        <w:tab/>
        <w:t>The</w:t>
      </w:r>
      <w:r w:rsidR="00B16175" w:rsidRPr="002D7B81">
        <w:t xml:space="preserve"> </w:t>
      </w:r>
      <w:r w:rsidRPr="002D7B81">
        <w:t>motions judge</w:t>
      </w:r>
      <w:r w:rsidR="00B16175" w:rsidRPr="002D7B81">
        <w:t xml:space="preserve"> </w:t>
      </w:r>
      <w:r w:rsidRPr="002D7B81">
        <w:t>essentially agreed with the auditors and struck out M’s affidavit in its entirety.</w:t>
      </w:r>
      <w:r w:rsidR="002C3967" w:rsidRPr="002D7B81">
        <w:t xml:space="preserve"> </w:t>
      </w:r>
      <w:r w:rsidRPr="002D7B81">
        <w:t>The majority of the Court of Appeal concluded that the motions judge erred in excluding M’s affidavit</w:t>
      </w:r>
      <w:r w:rsidR="00B16175" w:rsidRPr="002D7B81">
        <w:t xml:space="preserve"> </w:t>
      </w:r>
      <w:r w:rsidRPr="002D7B81">
        <w:t>and allowed the appeal.</w:t>
      </w:r>
    </w:p>
    <w:p w:rsidR="00DD2D28" w:rsidRPr="002D7B81" w:rsidRDefault="00DD2D28" w:rsidP="009D3ECF">
      <w:pPr>
        <w:pStyle w:val="SCCNormalDoubleSpacing"/>
        <w:widowControl w:val="0"/>
        <w:spacing w:after="480"/>
      </w:pPr>
      <w:r w:rsidRPr="002D7B81">
        <w:tab/>
      </w:r>
      <w:r w:rsidRPr="00D931D6">
        <w:rPr>
          <w:i/>
        </w:rPr>
        <w:t>Held</w:t>
      </w:r>
      <w:r w:rsidRPr="007757F5">
        <w:t>:</w:t>
      </w:r>
      <w:r w:rsidRPr="002D7B81">
        <w:t xml:space="preserve"> The appeal should be dismissed.</w:t>
      </w:r>
      <w:r w:rsidR="002C3967" w:rsidRPr="002D7B81">
        <w:t xml:space="preserve"> </w:t>
      </w:r>
    </w:p>
    <w:p w:rsidR="00DD2D28" w:rsidRPr="002D7B81" w:rsidRDefault="007443E2" w:rsidP="009D3ECF">
      <w:pPr>
        <w:pStyle w:val="SCCNormalDoubleSpacing"/>
        <w:widowControl w:val="0"/>
        <w:spacing w:after="480"/>
      </w:pPr>
      <w:r w:rsidRPr="002D7B81">
        <w:tab/>
      </w:r>
      <w:r w:rsidR="00DD2D28" w:rsidRPr="002D7B81">
        <w:t>The inquiry</w:t>
      </w:r>
      <w:r w:rsidR="00B16175" w:rsidRPr="002D7B81">
        <w:t xml:space="preserve"> </w:t>
      </w:r>
      <w:r w:rsidR="00DD2D28" w:rsidRPr="002D7B81">
        <w:t>for determining the admissibility of expert opinion evidence</w:t>
      </w:r>
      <w:r w:rsidR="00B16175" w:rsidRPr="002D7B81">
        <w:t xml:space="preserve"> </w:t>
      </w:r>
      <w:r w:rsidR="00DD2D28" w:rsidRPr="002D7B81">
        <w:t>is divided into two steps.</w:t>
      </w:r>
      <w:r w:rsidR="002C3967" w:rsidRPr="002D7B81">
        <w:t xml:space="preserve"> </w:t>
      </w:r>
      <w:r w:rsidR="00DD2D28" w:rsidRPr="002D7B81">
        <w:t xml:space="preserve">At the first step, the proponent of the evidence must </w:t>
      </w:r>
      <w:r w:rsidR="00DD2D28" w:rsidRPr="002D7B81">
        <w:lastRenderedPageBreak/>
        <w:t xml:space="preserve">establish the threshold requirements of admissibility. These are the four factors set out in </w:t>
      </w:r>
      <w:r w:rsidR="00DD2D28" w:rsidRPr="002D7B81">
        <w:rPr>
          <w:i/>
        </w:rPr>
        <w:t>R. v.</w:t>
      </w:r>
      <w:r w:rsidR="00DD2D28" w:rsidRPr="002D7B81">
        <w:t xml:space="preserve"> </w:t>
      </w:r>
      <w:r w:rsidR="00DD2D28" w:rsidRPr="002D7B81">
        <w:rPr>
          <w:i/>
        </w:rPr>
        <w:t>Mohan</w:t>
      </w:r>
      <w:r w:rsidR="00DD2D28" w:rsidRPr="002D7B81">
        <w:t>, [1994] 2 S.C.R. 9 (relevance, necessity, absence of an exclusionary rule and a properly qualified expert).</w:t>
      </w:r>
      <w:r w:rsidR="002C3967" w:rsidRPr="002D7B81">
        <w:t xml:space="preserve"> </w:t>
      </w:r>
      <w:r w:rsidR="00DD2D28" w:rsidRPr="002D7B81">
        <w:t>Evidence that does not meet these threshold requirements should be excluded.</w:t>
      </w:r>
      <w:r w:rsidR="002C3967" w:rsidRPr="002D7B81">
        <w:t xml:space="preserve"> </w:t>
      </w:r>
      <w:r w:rsidR="00DD2D28" w:rsidRPr="002D7B81">
        <w:t>At the second discretionary gatekeeping step,</w:t>
      </w:r>
      <w:r w:rsidR="00B16175" w:rsidRPr="002D7B81">
        <w:t xml:space="preserve"> </w:t>
      </w:r>
      <w:r w:rsidR="00DD2D28" w:rsidRPr="002D7B81">
        <w:t>the trial judge must decide whether expert evidence that meets the preconditions to admissibility is sufficiently beneficial to the trial process to warrant its admission despite the potential harm to the trial process that may flow from the admission of the expert evidence.</w:t>
      </w:r>
    </w:p>
    <w:p w:rsidR="00DD2D28" w:rsidRPr="002D7B81" w:rsidRDefault="007443E2" w:rsidP="009D3ECF">
      <w:pPr>
        <w:pStyle w:val="SCCNormalDoubleSpacing"/>
        <w:widowControl w:val="0"/>
        <w:spacing w:after="480"/>
      </w:pPr>
      <w:r w:rsidRPr="002D7B81">
        <w:tab/>
      </w:r>
      <w:r w:rsidR="00DD2D28" w:rsidRPr="002D7B81">
        <w:t>Expert witnesses have a duty to the court to give fair, objective and non-partisan opinion evidence. They must be aware of this duty and able and willing to carry it out.</w:t>
      </w:r>
      <w:r w:rsidR="002C3967" w:rsidRPr="002D7B81">
        <w:t xml:space="preserve"> </w:t>
      </w:r>
      <w:r w:rsidR="00DD2D28" w:rsidRPr="002D7B81">
        <w:t>The expert’s opinion must be impartial in the sense that it reflects an objective assessment of the questions at hand. It must be independent in the sense that it is the product of the expert’s independent judgment, uninfluenced by who has retained him or her or the outcome of the litigation.</w:t>
      </w:r>
      <w:r w:rsidR="002C3967" w:rsidRPr="002D7B81">
        <w:t xml:space="preserve"> </w:t>
      </w:r>
      <w:r w:rsidR="00DD2D28" w:rsidRPr="002D7B81">
        <w:t>It must be unbiased in the sense that it does not unfairly favour one party’s position over another. The acid test is whether the expert’s opinion would not change regardless of which party retained him or her.</w:t>
      </w:r>
      <w:r w:rsidR="002C3967" w:rsidRPr="002D7B81">
        <w:t xml:space="preserve"> </w:t>
      </w:r>
      <w:r w:rsidR="00DD2D28" w:rsidRPr="002D7B81">
        <w:t>These concepts, of course, must be applied to the realities of adversary litigation.</w:t>
      </w:r>
    </w:p>
    <w:p w:rsidR="00DD2D28" w:rsidRPr="002D7B81" w:rsidRDefault="007443E2" w:rsidP="009D3ECF">
      <w:pPr>
        <w:pStyle w:val="SCCNormalDoubleSpacing"/>
        <w:widowControl w:val="0"/>
        <w:spacing w:after="480"/>
      </w:pPr>
      <w:r w:rsidRPr="002D7B81">
        <w:tab/>
      </w:r>
      <w:r w:rsidR="00DD2D28" w:rsidRPr="002D7B81">
        <w:t xml:space="preserve">Concerns related to the expert’s duty to the court and his or her willingness and capacity to comply with it are best addressed initially in the “qualified expert” element of the </w:t>
      </w:r>
      <w:r w:rsidR="00DD2D28" w:rsidRPr="002D7B81">
        <w:rPr>
          <w:i/>
        </w:rPr>
        <w:t>Mohan</w:t>
      </w:r>
      <w:r w:rsidR="00DD2D28" w:rsidRPr="002D7B81">
        <w:t xml:space="preserve"> framework.</w:t>
      </w:r>
      <w:r w:rsidR="002C3967" w:rsidRPr="002D7B81">
        <w:t xml:space="preserve"> </w:t>
      </w:r>
      <w:r w:rsidR="00DD2D28" w:rsidRPr="002D7B81">
        <w:t xml:space="preserve">A proposed expert witness who is unable or unwilling to fulfill his or her duty to the court is not properly qualified to </w:t>
      </w:r>
      <w:r w:rsidR="00DD2D28" w:rsidRPr="002D7B81">
        <w:lastRenderedPageBreak/>
        <w:t>perform the role of an expert.</w:t>
      </w:r>
      <w:r w:rsidR="002C3967" w:rsidRPr="002D7B81">
        <w:t xml:space="preserve"> </w:t>
      </w:r>
      <w:r w:rsidR="00DD2D28" w:rsidRPr="002D7B81">
        <w:t>If</w:t>
      </w:r>
      <w:r w:rsidR="00B16175" w:rsidRPr="002D7B81">
        <w:t xml:space="preserve"> </w:t>
      </w:r>
      <w:r w:rsidR="00DD2D28" w:rsidRPr="002D7B81">
        <w:t>the expert witness</w:t>
      </w:r>
      <w:r w:rsidR="00B16175" w:rsidRPr="002D7B81">
        <w:t xml:space="preserve"> </w:t>
      </w:r>
      <w:r w:rsidR="00DD2D28" w:rsidRPr="002D7B81">
        <w:t>does not meet this threshold</w:t>
      </w:r>
      <w:r w:rsidR="00B16175" w:rsidRPr="002D7B81">
        <w:t xml:space="preserve"> </w:t>
      </w:r>
      <w:r w:rsidR="00DD2D28" w:rsidRPr="002D7B81">
        <w:t>admissibility</w:t>
      </w:r>
      <w:r w:rsidR="00B16175" w:rsidRPr="002D7B81">
        <w:t xml:space="preserve"> </w:t>
      </w:r>
      <w:r w:rsidR="00DD2D28" w:rsidRPr="002D7B81">
        <w:t>requirement, his or her evidence should not be admitted. Once this threshold is met, however,</w:t>
      </w:r>
      <w:r w:rsidR="00B16175" w:rsidRPr="002D7B81">
        <w:t xml:space="preserve"> </w:t>
      </w:r>
      <w:r w:rsidR="00DD2D28" w:rsidRPr="002D7B81">
        <w:t>remaining</w:t>
      </w:r>
      <w:r w:rsidR="00B16175" w:rsidRPr="002D7B81">
        <w:t xml:space="preserve"> </w:t>
      </w:r>
      <w:r w:rsidR="00DD2D28" w:rsidRPr="002D7B81">
        <w:t>concerns about an expert witness’s</w:t>
      </w:r>
      <w:r w:rsidR="00B16175" w:rsidRPr="002D7B81">
        <w:t xml:space="preserve"> </w:t>
      </w:r>
      <w:r w:rsidR="00DD2D28" w:rsidRPr="002D7B81">
        <w:t xml:space="preserve">compliance with his or her duty should be considered as part of the overall cost-benefit analysis which the judge conducts to carry out his or her gatekeeping role. </w:t>
      </w:r>
    </w:p>
    <w:p w:rsidR="00DD2D28" w:rsidRPr="002D7B81" w:rsidRDefault="007443E2" w:rsidP="009D3ECF">
      <w:pPr>
        <w:pStyle w:val="SCCNormalDoubleSpacing"/>
        <w:widowControl w:val="0"/>
        <w:spacing w:after="480"/>
      </w:pPr>
      <w:r w:rsidRPr="002D7B81">
        <w:tab/>
      </w:r>
      <w:r w:rsidR="00DD2D28" w:rsidRPr="002D7B81">
        <w:t>Imposing this additional threshold requirement is not intended to and should not result in trials becoming longer or more complex. The trial judge must determine, having regard to both the particular circumstances of the proposed expert and the substance of the proposed evidence, whether the expert is able and willing to carry out his or her primary duty to the court.</w:t>
      </w:r>
      <w:r w:rsidR="002C3967" w:rsidRPr="002D7B81">
        <w:t xml:space="preserve"> </w:t>
      </w:r>
      <w:r w:rsidR="00DD2D28" w:rsidRPr="002D7B81">
        <w:t>A</w:t>
      </w:r>
      <w:proofErr w:type="spellStart"/>
      <w:r w:rsidR="00DD2D28" w:rsidRPr="002D7B81">
        <w:rPr>
          <w:lang w:val="en-US"/>
        </w:rPr>
        <w:t>bsent</w:t>
      </w:r>
      <w:proofErr w:type="spellEnd"/>
      <w:r w:rsidR="00DD2D28" w:rsidRPr="002D7B81">
        <w:rPr>
          <w:lang w:val="en-US"/>
        </w:rPr>
        <w:t xml:space="preserve"> challenge, the expert’s attestation or testimony recognizing and accepting the duty will generally be sufficient to establish that this threshold is met.</w:t>
      </w:r>
      <w:r w:rsidR="002C3967" w:rsidRPr="002D7B81">
        <w:rPr>
          <w:lang w:val="en-US"/>
        </w:rPr>
        <w:t xml:space="preserve"> </w:t>
      </w:r>
      <w:r w:rsidR="00DD2D28" w:rsidRPr="002D7B81">
        <w:rPr>
          <w:lang w:val="en-US"/>
        </w:rPr>
        <w:t>However,</w:t>
      </w:r>
      <w:r w:rsidR="00B16175" w:rsidRPr="002D7B81">
        <w:rPr>
          <w:lang w:val="en-US"/>
        </w:rPr>
        <w:t xml:space="preserve"> </w:t>
      </w:r>
      <w:r w:rsidR="00DD2D28" w:rsidRPr="002D7B81">
        <w:rPr>
          <w:lang w:val="en-US"/>
        </w:rPr>
        <w:t>if a party opposing admissibility shows that there is a realistic concern that the expert is unable and/or unwilling to comply with his or her duty, the proponent of the evidence has the burden of establishing its admissibility.</w:t>
      </w:r>
      <w:r w:rsidR="002C3967" w:rsidRPr="002D7B81">
        <w:rPr>
          <w:lang w:val="en-US"/>
        </w:rPr>
        <w:t xml:space="preserve"> </w:t>
      </w:r>
      <w:r w:rsidR="00DD2D28" w:rsidRPr="002D7B81">
        <w:t>Exclusion at the threshold stage of the analysis should occur only in very clear cases in which the proposed expert is unable or unwilling to provide the court with fair, objective and non-partisan evidence.</w:t>
      </w:r>
      <w:r w:rsidR="002C3967" w:rsidRPr="002D7B81">
        <w:t xml:space="preserve"> </w:t>
      </w:r>
      <w:r w:rsidR="00DD2D28" w:rsidRPr="002D7B81">
        <w:t>Anything less than clear unwillingness or inability to do so should not lead to exclusion, but be taken into account in the overall weighing of costs and benefits of receiving the evidence.</w:t>
      </w:r>
    </w:p>
    <w:p w:rsidR="00DD2D28" w:rsidRPr="002D7B81" w:rsidRDefault="007443E2" w:rsidP="009D3ECF">
      <w:pPr>
        <w:pStyle w:val="SCCNormalDoubleSpacing"/>
        <w:widowControl w:val="0"/>
        <w:spacing w:after="480"/>
      </w:pPr>
      <w:r w:rsidRPr="002D7B81">
        <w:tab/>
      </w:r>
      <w:r w:rsidR="00DD2D28" w:rsidRPr="002D7B81">
        <w:t xml:space="preserve">The concept of apparent bias is not relevant to the question of whether or not an expert witness will be unable or unwilling to fulfill its primary duty to the </w:t>
      </w:r>
      <w:r w:rsidR="00DD2D28" w:rsidRPr="002D7B81">
        <w:lastRenderedPageBreak/>
        <w:t>court. When looking at an expert’s interest or relationship with a party, the question is not whether a reasonable observer would think that the expert is not independent. The question is whether the relationship or interest results in the expert being unable or unwilling to carry out his or her primary duty to the court to provide fair, non-partisan and objective assistance.</w:t>
      </w:r>
      <w:r w:rsidR="002C3967" w:rsidRPr="002D7B81">
        <w:t xml:space="preserve"> </w:t>
      </w:r>
    </w:p>
    <w:p w:rsidR="00DD2D28" w:rsidRPr="002D7B81" w:rsidRDefault="00DD2D28" w:rsidP="009D3ECF">
      <w:pPr>
        <w:pStyle w:val="SCCNormalDoubleSpacing"/>
        <w:widowControl w:val="0"/>
        <w:spacing w:after="480"/>
      </w:pPr>
      <w:r w:rsidRPr="002D7B81">
        <w:tab/>
        <w:t>In this case,</w:t>
      </w:r>
      <w:r w:rsidR="00B16175" w:rsidRPr="002D7B81">
        <w:t xml:space="preserve"> </w:t>
      </w:r>
      <w:r w:rsidRPr="002D7B81">
        <w:t>there was no basis disclosed in the record to find that M’s evidence should be excluded because she was not able and willing to provide the court with fair, objective and non-partisan evidence.</w:t>
      </w:r>
      <w:r w:rsidR="002C3967" w:rsidRPr="002D7B81">
        <w:t xml:space="preserve"> </w:t>
      </w:r>
      <w:r w:rsidRPr="002D7B81">
        <w:t>The majority of the Court of Appeal</w:t>
      </w:r>
      <w:r w:rsidR="00B16175" w:rsidRPr="002D7B81">
        <w:t xml:space="preserve"> </w:t>
      </w:r>
      <w:r w:rsidRPr="002D7B81">
        <w:t>was correct in concluding</w:t>
      </w:r>
      <w:r w:rsidR="00B16175" w:rsidRPr="002D7B81">
        <w:t xml:space="preserve"> </w:t>
      </w:r>
      <w:r w:rsidRPr="002D7B81">
        <w:t>that the motions judge committed a palpable and overriding error in determining that M was in a conflict of interest that prevented her from giving impartial and objective evidence</w:t>
      </w:r>
      <w:r w:rsidR="007443E2" w:rsidRPr="002D7B81">
        <w:t>.</w:t>
      </w:r>
    </w:p>
    <w:p w:rsidR="007E1C47" w:rsidRPr="002D7B81" w:rsidRDefault="002E6705" w:rsidP="009D3ECF">
      <w:pPr>
        <w:pStyle w:val="SCCNormalDoubleSpacing"/>
        <w:widowControl w:val="0"/>
        <w:spacing w:after="480"/>
        <w:rPr>
          <w:b/>
        </w:rPr>
      </w:pPr>
      <w:r w:rsidRPr="002D7B81">
        <w:rPr>
          <w:b/>
        </w:rPr>
        <w:t>Cases Cited</w:t>
      </w:r>
    </w:p>
    <w:p w:rsidR="004E2C26" w:rsidRPr="002D7B81" w:rsidRDefault="002E6705" w:rsidP="009D3ECF">
      <w:pPr>
        <w:pStyle w:val="SCCNormalDoubleSpacing"/>
        <w:widowControl w:val="0"/>
        <w:spacing w:after="480"/>
      </w:pPr>
      <w:r w:rsidRPr="002D7B81">
        <w:tab/>
      </w:r>
      <w:r w:rsidR="003526B0" w:rsidRPr="002D7B81">
        <w:rPr>
          <w:b/>
        </w:rPr>
        <w:t xml:space="preserve">Applied: </w:t>
      </w:r>
      <w:r w:rsidR="003526B0" w:rsidRPr="002D7B81">
        <w:rPr>
          <w:i/>
        </w:rPr>
        <w:t>R. v. Mohan</w:t>
      </w:r>
      <w:r w:rsidR="003526B0" w:rsidRPr="002D7B81">
        <w:t xml:space="preserve">, [1994] 2 S.C.R. 9; </w:t>
      </w:r>
      <w:proofErr w:type="spellStart"/>
      <w:r w:rsidR="00AE1951" w:rsidRPr="002D7B81">
        <w:rPr>
          <w:i/>
        </w:rPr>
        <w:t>Mouvement</w:t>
      </w:r>
      <w:proofErr w:type="spellEnd"/>
      <w:r w:rsidR="00AE1951" w:rsidRPr="002D7B81">
        <w:rPr>
          <w:i/>
        </w:rPr>
        <w:t xml:space="preserve"> </w:t>
      </w:r>
      <w:proofErr w:type="spellStart"/>
      <w:r w:rsidR="00AE1951" w:rsidRPr="002D7B81">
        <w:rPr>
          <w:i/>
        </w:rPr>
        <w:t>laïque</w:t>
      </w:r>
      <w:proofErr w:type="spellEnd"/>
      <w:r w:rsidR="00AE1951" w:rsidRPr="002D7B81">
        <w:rPr>
          <w:i/>
        </w:rPr>
        <w:t xml:space="preserve"> </w:t>
      </w:r>
      <w:proofErr w:type="spellStart"/>
      <w:r w:rsidR="00AE1951" w:rsidRPr="002D7B81">
        <w:rPr>
          <w:i/>
        </w:rPr>
        <w:t>québécois</w:t>
      </w:r>
      <w:proofErr w:type="spellEnd"/>
      <w:r w:rsidR="00AE1951" w:rsidRPr="002D7B81">
        <w:rPr>
          <w:i/>
        </w:rPr>
        <w:t xml:space="preserve"> v. Saguenay (City)</w:t>
      </w:r>
      <w:r w:rsidR="00AE1951" w:rsidRPr="002D7B81">
        <w:t>, 2015 SCC 16</w:t>
      </w:r>
      <w:r w:rsidR="00EC0FF1">
        <w:t>, [2015] 2 S.C.R. 3</w:t>
      </w:r>
      <w:r w:rsidR="00AE1951" w:rsidRPr="002D7B81">
        <w:t xml:space="preserve">; </w:t>
      </w:r>
      <w:r w:rsidR="003526B0" w:rsidRPr="002D7B81">
        <w:rPr>
          <w:b/>
        </w:rPr>
        <w:t>adopted:</w:t>
      </w:r>
      <w:r w:rsidR="003526B0" w:rsidRPr="002D7B81">
        <w:t xml:space="preserve"> </w:t>
      </w:r>
      <w:r w:rsidR="003526B0" w:rsidRPr="002D7B81">
        <w:rPr>
          <w:i/>
        </w:rPr>
        <w:t>R. v. Abbey</w:t>
      </w:r>
      <w:r w:rsidR="003526B0" w:rsidRPr="002D7B81">
        <w:t xml:space="preserve">, 2009 ONCA 624, 97 O.R. (3d) 330, leave to appeal refused, [2010] 2 S.C.R. v; </w:t>
      </w:r>
      <w:r w:rsidR="003526B0" w:rsidRPr="002D7B81">
        <w:rPr>
          <w:b/>
        </w:rPr>
        <w:t>r</w:t>
      </w:r>
      <w:r w:rsidRPr="002D7B81">
        <w:rPr>
          <w:b/>
        </w:rPr>
        <w:t>eferred to:</w:t>
      </w:r>
      <w:r w:rsidR="00BD0E9E" w:rsidRPr="002D7B81">
        <w:t xml:space="preserve"> </w:t>
      </w:r>
      <w:r w:rsidR="00F275E2" w:rsidRPr="002D7B81">
        <w:rPr>
          <w:i/>
        </w:rPr>
        <w:t>Lord</w:t>
      </w:r>
      <w:r w:rsidR="0044391F" w:rsidRPr="002D7B81">
        <w:rPr>
          <w:i/>
        </w:rPr>
        <w:t xml:space="preserve"> </w:t>
      </w:r>
      <w:proofErr w:type="spellStart"/>
      <w:r w:rsidR="0044391F" w:rsidRPr="002D7B81">
        <w:rPr>
          <w:i/>
        </w:rPr>
        <w:t>Abinger</w:t>
      </w:r>
      <w:proofErr w:type="spellEnd"/>
      <w:r w:rsidR="0044391F" w:rsidRPr="002D7B81">
        <w:rPr>
          <w:i/>
        </w:rPr>
        <w:t xml:space="preserve"> v. Ashton</w:t>
      </w:r>
      <w:r w:rsidR="0044391F" w:rsidRPr="002D7B81">
        <w:t xml:space="preserve"> (1873), </w:t>
      </w:r>
      <w:r w:rsidR="00F275E2" w:rsidRPr="002D7B81">
        <w:t xml:space="preserve">L.R. </w:t>
      </w:r>
      <w:r w:rsidR="0044391F" w:rsidRPr="002D7B81">
        <w:t xml:space="preserve">17 </w:t>
      </w:r>
      <w:r w:rsidR="00F275E2" w:rsidRPr="002D7B81">
        <w:t xml:space="preserve">Eq. 358; </w:t>
      </w:r>
      <w:r w:rsidR="00F275E2" w:rsidRPr="002D7B81">
        <w:rPr>
          <w:i/>
        </w:rPr>
        <w:t>R. v. D.D.</w:t>
      </w:r>
      <w:r w:rsidR="00F275E2" w:rsidRPr="002D7B81">
        <w:t xml:space="preserve">, 2000 SCC </w:t>
      </w:r>
      <w:r w:rsidR="00DE6C67" w:rsidRPr="002D7B81">
        <w:t>43</w:t>
      </w:r>
      <w:r w:rsidR="00F275E2" w:rsidRPr="002D7B81">
        <w:t xml:space="preserve">, [2000] 2 S.C.R. 275; </w:t>
      </w:r>
      <w:proofErr w:type="spellStart"/>
      <w:r w:rsidR="00F275E2" w:rsidRPr="002D7B81">
        <w:rPr>
          <w:i/>
        </w:rPr>
        <w:t>Gra</w:t>
      </w:r>
      <w:r w:rsidR="00E1131E" w:rsidRPr="002D7B81">
        <w:rPr>
          <w:i/>
        </w:rPr>
        <w:t>a</w:t>
      </w:r>
      <w:r w:rsidR="00F275E2" w:rsidRPr="002D7B81">
        <w:rPr>
          <w:i/>
        </w:rPr>
        <w:t>t</w:t>
      </w:r>
      <w:proofErr w:type="spellEnd"/>
      <w:r w:rsidR="00DE6C67" w:rsidRPr="002D7B81">
        <w:rPr>
          <w:i/>
        </w:rPr>
        <w:t xml:space="preserve"> v. The Queen</w:t>
      </w:r>
      <w:r w:rsidR="00F275E2" w:rsidRPr="002D7B81">
        <w:t xml:space="preserve">, [1982] 2 S.C.R. 819; </w:t>
      </w:r>
      <w:r w:rsidR="00F275E2" w:rsidRPr="002D7B81">
        <w:rPr>
          <w:i/>
        </w:rPr>
        <w:t>R. v. Abbey</w:t>
      </w:r>
      <w:r w:rsidR="00F275E2" w:rsidRPr="002D7B81">
        <w:t xml:space="preserve">, [1982] 2 S.C.R. 24; </w:t>
      </w:r>
      <w:r w:rsidR="00F275E2" w:rsidRPr="002D7B81">
        <w:rPr>
          <w:i/>
        </w:rPr>
        <w:t>R. v. J.</w:t>
      </w:r>
      <w:r w:rsidR="009D3ECF">
        <w:rPr>
          <w:i/>
        </w:rPr>
        <w:t>-</w:t>
      </w:r>
      <w:r w:rsidR="00F275E2" w:rsidRPr="002D7B81">
        <w:rPr>
          <w:i/>
        </w:rPr>
        <w:t>L.J.</w:t>
      </w:r>
      <w:r w:rsidR="00F275E2" w:rsidRPr="002D7B81">
        <w:t xml:space="preserve">, 2000 SCC </w:t>
      </w:r>
      <w:r w:rsidR="00DE6C67" w:rsidRPr="002D7B81">
        <w:t>51</w:t>
      </w:r>
      <w:r w:rsidR="00F275E2" w:rsidRPr="002D7B81">
        <w:t xml:space="preserve">, [2000] 2 S.C.R. 600; </w:t>
      </w:r>
      <w:r w:rsidR="00F275E2" w:rsidRPr="002D7B81">
        <w:rPr>
          <w:i/>
        </w:rPr>
        <w:t xml:space="preserve">R. v. </w:t>
      </w:r>
      <w:proofErr w:type="spellStart"/>
      <w:r w:rsidR="00F275E2" w:rsidRPr="002D7B81">
        <w:rPr>
          <w:i/>
        </w:rPr>
        <w:t>Sekhon</w:t>
      </w:r>
      <w:proofErr w:type="spellEnd"/>
      <w:r w:rsidR="00F275E2" w:rsidRPr="002D7B81">
        <w:t xml:space="preserve">, 2014 SCC 15, [2014] 1 S.C.R. </w:t>
      </w:r>
      <w:r w:rsidR="00DE6C67" w:rsidRPr="002D7B81">
        <w:t>272</w:t>
      </w:r>
      <w:r w:rsidR="00F275E2" w:rsidRPr="002D7B81">
        <w:t xml:space="preserve">; </w:t>
      </w:r>
      <w:r w:rsidR="00F275E2" w:rsidRPr="002D7B81">
        <w:rPr>
          <w:i/>
        </w:rPr>
        <w:t xml:space="preserve">Masterpiece Inc. v. </w:t>
      </w:r>
      <w:proofErr w:type="spellStart"/>
      <w:r w:rsidR="00F275E2" w:rsidRPr="002D7B81">
        <w:rPr>
          <w:i/>
        </w:rPr>
        <w:t>Alavida</w:t>
      </w:r>
      <w:proofErr w:type="spellEnd"/>
      <w:r w:rsidR="00F275E2" w:rsidRPr="002D7B81">
        <w:rPr>
          <w:i/>
        </w:rPr>
        <w:t xml:space="preserve"> Lifestyles Inc.</w:t>
      </w:r>
      <w:r w:rsidR="00F275E2" w:rsidRPr="002D7B81">
        <w:t xml:space="preserve">, 2011 SCC </w:t>
      </w:r>
      <w:r w:rsidR="00DE6C67" w:rsidRPr="002D7B81">
        <w:t>27</w:t>
      </w:r>
      <w:r w:rsidR="00F275E2" w:rsidRPr="002D7B81">
        <w:t xml:space="preserve">, [2011] 2 S.C.R. 387; </w:t>
      </w:r>
      <w:r w:rsidR="00F275E2" w:rsidRPr="002D7B81">
        <w:rPr>
          <w:i/>
        </w:rPr>
        <w:t xml:space="preserve">R. v. </w:t>
      </w:r>
      <w:proofErr w:type="spellStart"/>
      <w:r w:rsidR="00F275E2" w:rsidRPr="002D7B81">
        <w:rPr>
          <w:i/>
        </w:rPr>
        <w:t>Trochym</w:t>
      </w:r>
      <w:proofErr w:type="spellEnd"/>
      <w:r w:rsidR="00F275E2" w:rsidRPr="002D7B81">
        <w:t xml:space="preserve">, 2007 SCC </w:t>
      </w:r>
      <w:r w:rsidR="00DE6C67" w:rsidRPr="002D7B81">
        <w:t>6</w:t>
      </w:r>
      <w:r w:rsidR="00F275E2" w:rsidRPr="002D7B81">
        <w:t xml:space="preserve">, [2007] 1 S.C.R. 239; </w:t>
      </w:r>
      <w:r w:rsidR="00F275E2" w:rsidRPr="002D7B81">
        <w:rPr>
          <w:i/>
        </w:rPr>
        <w:t>R. v. Boswell</w:t>
      </w:r>
      <w:r w:rsidR="00F275E2" w:rsidRPr="002D7B81">
        <w:t>, 2011 ONCA 283</w:t>
      </w:r>
      <w:r w:rsidR="00B21CF8" w:rsidRPr="002D7B81">
        <w:t>, 85 C.R. (6th) 290</w:t>
      </w:r>
      <w:r w:rsidR="00F275E2" w:rsidRPr="002D7B81">
        <w:t xml:space="preserve">; </w:t>
      </w:r>
      <w:r w:rsidR="00F275E2" w:rsidRPr="002D7B81">
        <w:rPr>
          <w:i/>
        </w:rPr>
        <w:t>R. v. C.</w:t>
      </w:r>
      <w:r w:rsidR="009D3ECF">
        <w:rPr>
          <w:i/>
        </w:rPr>
        <w:t xml:space="preserve"> </w:t>
      </w:r>
      <w:r w:rsidR="00B21CF8" w:rsidRPr="002D7B81">
        <w:rPr>
          <w:i/>
        </w:rPr>
        <w:t>(M.)</w:t>
      </w:r>
      <w:r w:rsidR="00F275E2" w:rsidRPr="002D7B81">
        <w:t>, 2014 ONCA 611</w:t>
      </w:r>
      <w:r w:rsidR="00B21CF8" w:rsidRPr="002D7B81">
        <w:t>, 13 C.R. (7th) 396</w:t>
      </w:r>
      <w:r w:rsidR="00F275E2" w:rsidRPr="002D7B81">
        <w:t xml:space="preserve">; </w:t>
      </w:r>
      <w:r w:rsidR="001C3264" w:rsidRPr="002D7B81">
        <w:rPr>
          <w:i/>
        </w:rPr>
        <w:lastRenderedPageBreak/>
        <w:t xml:space="preserve">National Justice </w:t>
      </w:r>
      <w:proofErr w:type="spellStart"/>
      <w:r w:rsidR="001C3264" w:rsidRPr="002D7B81">
        <w:rPr>
          <w:i/>
        </w:rPr>
        <w:t>Compania</w:t>
      </w:r>
      <w:proofErr w:type="spellEnd"/>
      <w:r w:rsidR="001C3264" w:rsidRPr="002D7B81">
        <w:rPr>
          <w:i/>
        </w:rPr>
        <w:t xml:space="preserve"> </w:t>
      </w:r>
      <w:proofErr w:type="spellStart"/>
      <w:r w:rsidR="001C3264" w:rsidRPr="002D7B81">
        <w:rPr>
          <w:i/>
        </w:rPr>
        <w:t>Naviera</w:t>
      </w:r>
      <w:proofErr w:type="spellEnd"/>
      <w:r w:rsidR="001C3264" w:rsidRPr="002D7B81">
        <w:rPr>
          <w:i/>
        </w:rPr>
        <w:t xml:space="preserve"> S</w:t>
      </w:r>
      <w:r w:rsidR="00B21CF8" w:rsidRPr="002D7B81">
        <w:rPr>
          <w:i/>
        </w:rPr>
        <w:t>.</w:t>
      </w:r>
      <w:r w:rsidR="001C3264" w:rsidRPr="002D7B81">
        <w:rPr>
          <w:i/>
        </w:rPr>
        <w:t>A</w:t>
      </w:r>
      <w:r w:rsidR="00B21CF8" w:rsidRPr="002D7B81">
        <w:rPr>
          <w:i/>
        </w:rPr>
        <w:t>.</w:t>
      </w:r>
      <w:r w:rsidR="001C3264" w:rsidRPr="002D7B81">
        <w:rPr>
          <w:i/>
        </w:rPr>
        <w:t xml:space="preserve"> v. Prudential Assurance Co</w:t>
      </w:r>
      <w:r w:rsidR="00B21CF8" w:rsidRPr="002D7B81">
        <w:rPr>
          <w:i/>
        </w:rPr>
        <w:t>.</w:t>
      </w:r>
      <w:r w:rsidR="00B21CF8" w:rsidRPr="002D7B81">
        <w:t>,</w:t>
      </w:r>
      <w:r w:rsidR="001C3264" w:rsidRPr="002D7B81">
        <w:t xml:space="preserve"> [1993] 2 Lloyd’s Re</w:t>
      </w:r>
      <w:r w:rsidR="00001D79" w:rsidRPr="002D7B81">
        <w:t>p.</w:t>
      </w:r>
      <w:r w:rsidR="009D3ECF">
        <w:t xml:space="preserve"> </w:t>
      </w:r>
      <w:r w:rsidR="001C3264" w:rsidRPr="002D7B81">
        <w:t xml:space="preserve">68, </w:t>
      </w:r>
      <w:proofErr w:type="spellStart"/>
      <w:r w:rsidR="00B21CF8" w:rsidRPr="002D7B81">
        <w:t>rev</w:t>
      </w:r>
      <w:r w:rsidR="001C3264" w:rsidRPr="002D7B81">
        <w:t>’d</w:t>
      </w:r>
      <w:proofErr w:type="spellEnd"/>
      <w:r w:rsidR="001C3264" w:rsidRPr="002D7B81">
        <w:t xml:space="preserve"> [1995] 1 Lloyd’s Re</w:t>
      </w:r>
      <w:r w:rsidR="00001D79" w:rsidRPr="002D7B81">
        <w:t>p.</w:t>
      </w:r>
      <w:r w:rsidR="009D3ECF">
        <w:t xml:space="preserve"> </w:t>
      </w:r>
      <w:r w:rsidR="001C3264" w:rsidRPr="002D7B81">
        <w:t xml:space="preserve">455; </w:t>
      </w:r>
      <w:r w:rsidR="00B12096" w:rsidRPr="002D7B81">
        <w:rPr>
          <w:i/>
        </w:rPr>
        <w:t>Fellowes, McNeil v. Kansa General International Insurance Co.</w:t>
      </w:r>
      <w:r w:rsidR="00B12096" w:rsidRPr="002D7B81">
        <w:t xml:space="preserve"> (1998), 40 O.R. (3d)</w:t>
      </w:r>
      <w:r w:rsidR="00077CCE" w:rsidRPr="002D7B81">
        <w:t xml:space="preserve"> 456</w:t>
      </w:r>
      <w:r w:rsidR="00B12096" w:rsidRPr="002D7B81">
        <w:t xml:space="preserve">; </w:t>
      </w:r>
      <w:r w:rsidR="00B12096" w:rsidRPr="002D7B81">
        <w:rPr>
          <w:i/>
        </w:rPr>
        <w:t>Royal Trust Corp</w:t>
      </w:r>
      <w:r w:rsidR="00077CCE" w:rsidRPr="002D7B81">
        <w:rPr>
          <w:i/>
        </w:rPr>
        <w:t>.</w:t>
      </w:r>
      <w:r w:rsidR="00B12096" w:rsidRPr="002D7B81">
        <w:rPr>
          <w:i/>
        </w:rPr>
        <w:t xml:space="preserve"> of Canada v. Fisherman</w:t>
      </w:r>
      <w:r w:rsidR="00B12096" w:rsidRPr="002D7B81">
        <w:t xml:space="preserve"> (2000), 49 O</w:t>
      </w:r>
      <w:r w:rsidR="00077CCE" w:rsidRPr="002D7B81">
        <w:t>.</w:t>
      </w:r>
      <w:r w:rsidR="00B12096" w:rsidRPr="002D7B81">
        <w:t>R</w:t>
      </w:r>
      <w:r w:rsidR="00077CCE" w:rsidRPr="002D7B81">
        <w:t>.</w:t>
      </w:r>
      <w:r w:rsidR="00B12096" w:rsidRPr="002D7B81">
        <w:t xml:space="preserve"> (3d)</w:t>
      </w:r>
      <w:r w:rsidR="00077CCE" w:rsidRPr="002D7B81">
        <w:t xml:space="preserve"> 187</w:t>
      </w:r>
      <w:r w:rsidR="00B12096" w:rsidRPr="002D7B81">
        <w:t xml:space="preserve">; </w:t>
      </w:r>
      <w:r w:rsidR="00B12096" w:rsidRPr="002D7B81">
        <w:rPr>
          <w:i/>
        </w:rPr>
        <w:t>R. v. Docherty</w:t>
      </w:r>
      <w:r w:rsidR="00B12096" w:rsidRPr="002D7B81">
        <w:t>, 2010 ONSC</w:t>
      </w:r>
      <w:r w:rsidR="00077CCE" w:rsidRPr="002D7B81">
        <w:t xml:space="preserve"> 3628</w:t>
      </w:r>
      <w:r w:rsidR="00B12096" w:rsidRPr="002D7B81">
        <w:t xml:space="preserve">; </w:t>
      </w:r>
      <w:r w:rsidR="00B12096" w:rsidRPr="002D7B81">
        <w:rPr>
          <w:i/>
        </w:rPr>
        <w:t>Ocean v. Economical Mutual Insurance Co</w:t>
      </w:r>
      <w:r w:rsidR="00077CCE" w:rsidRPr="002D7B81">
        <w:rPr>
          <w:i/>
        </w:rPr>
        <w:t>.</w:t>
      </w:r>
      <w:r w:rsidR="00B12096" w:rsidRPr="002D7B81">
        <w:t>, 2010 NSSC 315</w:t>
      </w:r>
      <w:r w:rsidR="00077CCE" w:rsidRPr="002D7B81">
        <w:t>, 293 N.S.R. (2d) 394</w:t>
      </w:r>
      <w:r w:rsidR="00B12096" w:rsidRPr="002D7B81">
        <w:t xml:space="preserve">; </w:t>
      </w:r>
      <w:r w:rsidR="00B12096" w:rsidRPr="002D7B81">
        <w:rPr>
          <w:i/>
        </w:rPr>
        <w:t>Handley v. Punnett</w:t>
      </w:r>
      <w:r w:rsidR="00B12096" w:rsidRPr="002D7B81">
        <w:t xml:space="preserve">, 2003 BCSC 294; </w:t>
      </w:r>
      <w:r w:rsidR="00B12096" w:rsidRPr="002D7B81">
        <w:rPr>
          <w:i/>
        </w:rPr>
        <w:t xml:space="preserve">Bank of Montreal v. </w:t>
      </w:r>
      <w:proofErr w:type="spellStart"/>
      <w:r w:rsidR="00B12096" w:rsidRPr="002D7B81">
        <w:rPr>
          <w:i/>
        </w:rPr>
        <w:t>Citak</w:t>
      </w:r>
      <w:proofErr w:type="spellEnd"/>
      <w:r w:rsidR="00B12096" w:rsidRPr="002D7B81">
        <w:t>, [2001] O</w:t>
      </w:r>
      <w:r w:rsidR="00077CCE" w:rsidRPr="002D7B81">
        <w:t>.</w:t>
      </w:r>
      <w:r w:rsidR="00B12096" w:rsidRPr="002D7B81">
        <w:t>J</w:t>
      </w:r>
      <w:r w:rsidR="00077CCE" w:rsidRPr="002D7B81">
        <w:t>.</w:t>
      </w:r>
      <w:r w:rsidR="00B12096" w:rsidRPr="002D7B81">
        <w:t xml:space="preserve"> No</w:t>
      </w:r>
      <w:r w:rsidR="00077CCE" w:rsidRPr="002D7B81">
        <w:t>.</w:t>
      </w:r>
      <w:r w:rsidR="009D3ECF">
        <w:t xml:space="preserve"> </w:t>
      </w:r>
      <w:r w:rsidR="00B12096" w:rsidRPr="002D7B81">
        <w:t>1096</w:t>
      </w:r>
      <w:r w:rsidR="00077CCE" w:rsidRPr="002D7B81">
        <w:t xml:space="preserve"> (QL)</w:t>
      </w:r>
      <w:r w:rsidR="00B12096" w:rsidRPr="002D7B81">
        <w:t xml:space="preserve">; </w:t>
      </w:r>
      <w:r w:rsidR="00B12096" w:rsidRPr="002D7B81">
        <w:rPr>
          <w:i/>
        </w:rPr>
        <w:t>Dean Construction Co</w:t>
      </w:r>
      <w:r w:rsidR="00077CCE" w:rsidRPr="002D7B81">
        <w:rPr>
          <w:i/>
        </w:rPr>
        <w:t>.</w:t>
      </w:r>
      <w:r w:rsidR="00B12096" w:rsidRPr="002D7B81">
        <w:rPr>
          <w:i/>
        </w:rPr>
        <w:t xml:space="preserve"> v. M</w:t>
      </w:r>
      <w:r w:rsidR="00077CCE" w:rsidRPr="002D7B81">
        <w:rPr>
          <w:i/>
        </w:rPr>
        <w:t>.</w:t>
      </w:r>
      <w:r w:rsidR="00B12096" w:rsidRPr="002D7B81">
        <w:rPr>
          <w:i/>
        </w:rPr>
        <w:t>J</w:t>
      </w:r>
      <w:r w:rsidR="00077CCE" w:rsidRPr="002D7B81">
        <w:rPr>
          <w:i/>
        </w:rPr>
        <w:t>.</w:t>
      </w:r>
      <w:r w:rsidR="00B12096" w:rsidRPr="002D7B81">
        <w:rPr>
          <w:i/>
        </w:rPr>
        <w:t xml:space="preserve"> Dixon Construction Ltd</w:t>
      </w:r>
      <w:r w:rsidR="00077CCE" w:rsidRPr="002D7B81">
        <w:rPr>
          <w:i/>
        </w:rPr>
        <w:t>.</w:t>
      </w:r>
      <w:r w:rsidR="00B12096" w:rsidRPr="002D7B81">
        <w:t>, 2011 ONSC 4629</w:t>
      </w:r>
      <w:r w:rsidR="00077CCE" w:rsidRPr="002D7B81">
        <w:t>, 5 C.L.R. (4th) 240</w:t>
      </w:r>
      <w:r w:rsidR="00B12096" w:rsidRPr="002D7B81">
        <w:t xml:space="preserve">; </w:t>
      </w:r>
      <w:proofErr w:type="spellStart"/>
      <w:r w:rsidR="00B12096" w:rsidRPr="002D7B81">
        <w:rPr>
          <w:i/>
        </w:rPr>
        <w:t>Hutchingame</w:t>
      </w:r>
      <w:proofErr w:type="spellEnd"/>
      <w:r w:rsidR="00B12096" w:rsidRPr="002D7B81">
        <w:rPr>
          <w:i/>
        </w:rPr>
        <w:t xml:space="preserve"> v. Johnstone</w:t>
      </w:r>
      <w:r w:rsidR="00077CCE" w:rsidRPr="002D7B81">
        <w:t>,</w:t>
      </w:r>
      <w:r w:rsidR="00B12096" w:rsidRPr="002D7B81">
        <w:t xml:space="preserve"> 2006 BCSC 271; </w:t>
      </w:r>
      <w:proofErr w:type="spellStart"/>
      <w:r w:rsidR="00B12096" w:rsidRPr="002D7B81">
        <w:rPr>
          <w:i/>
        </w:rPr>
        <w:t>Alfano</w:t>
      </w:r>
      <w:proofErr w:type="spellEnd"/>
      <w:r w:rsidR="00B12096" w:rsidRPr="002D7B81">
        <w:rPr>
          <w:i/>
        </w:rPr>
        <w:t xml:space="preserve"> v. Piersanti</w:t>
      </w:r>
      <w:r w:rsidR="00B12096" w:rsidRPr="002D7B81">
        <w:t>, 2012 ONCA 297</w:t>
      </w:r>
      <w:r w:rsidR="00077CCE" w:rsidRPr="002D7B81">
        <w:t>, 291 O.A.C. 62</w:t>
      </w:r>
      <w:r w:rsidR="00B12096" w:rsidRPr="002D7B81">
        <w:t xml:space="preserve">; </w:t>
      </w:r>
      <w:r w:rsidR="00B12096" w:rsidRPr="002D7B81">
        <w:rPr>
          <w:i/>
        </w:rPr>
        <w:t>Kirby Lowbed Services Ltd</w:t>
      </w:r>
      <w:r w:rsidR="002601B7" w:rsidRPr="002D7B81">
        <w:rPr>
          <w:i/>
        </w:rPr>
        <w:t>.</w:t>
      </w:r>
      <w:r w:rsidR="00B12096" w:rsidRPr="002D7B81">
        <w:rPr>
          <w:i/>
        </w:rPr>
        <w:t xml:space="preserve"> v. Bank of Nova Scotia</w:t>
      </w:r>
      <w:r w:rsidR="00B12096" w:rsidRPr="002D7B81">
        <w:t xml:space="preserve">, 2003 BCSC 617; </w:t>
      </w:r>
      <w:r w:rsidR="00B12096" w:rsidRPr="002D7B81">
        <w:rPr>
          <w:i/>
        </w:rPr>
        <w:t>Gould v. Western Coal</w:t>
      </w:r>
      <w:r w:rsidR="002601B7" w:rsidRPr="002D7B81">
        <w:rPr>
          <w:i/>
        </w:rPr>
        <w:t xml:space="preserve"> Corp.</w:t>
      </w:r>
      <w:r w:rsidR="00B12096" w:rsidRPr="002D7B81">
        <w:t>, 2012 ONSC 5184</w:t>
      </w:r>
      <w:r w:rsidR="002601B7" w:rsidRPr="002D7B81">
        <w:t>, 7 B.L.R. (5th) 19</w:t>
      </w:r>
      <w:r w:rsidR="00B12096" w:rsidRPr="002D7B81">
        <w:t xml:space="preserve">; </w:t>
      </w:r>
      <w:r w:rsidR="00DE568F" w:rsidRPr="002D7B81">
        <w:rPr>
          <w:i/>
        </w:rPr>
        <w:t>United City Properties Ltd. v. Tong</w:t>
      </w:r>
      <w:r w:rsidR="00DE568F" w:rsidRPr="002D7B81">
        <w:t xml:space="preserve">, 2010 BCSC 111; </w:t>
      </w:r>
      <w:r w:rsidR="00DE568F" w:rsidRPr="002D7B81">
        <w:rPr>
          <w:i/>
        </w:rPr>
        <w:t>R. v. INCO Ltd.</w:t>
      </w:r>
      <w:r w:rsidR="00DE568F" w:rsidRPr="002D7B81">
        <w:t xml:space="preserve"> </w:t>
      </w:r>
      <w:r w:rsidR="002601B7" w:rsidRPr="002D7B81">
        <w:t xml:space="preserve">(2006), </w:t>
      </w:r>
      <w:r w:rsidR="00DE568F" w:rsidRPr="002D7B81">
        <w:t xml:space="preserve">80 O.R. (3d) 594; </w:t>
      </w:r>
      <w:r w:rsidR="00831634" w:rsidRPr="002D7B81">
        <w:rPr>
          <w:i/>
        </w:rPr>
        <w:t>R. v. Klassen</w:t>
      </w:r>
      <w:r w:rsidR="00831634" w:rsidRPr="002D7B81">
        <w:t>, 2003 MBQB 253, 179 Man.</w:t>
      </w:r>
      <w:r w:rsidR="002601B7" w:rsidRPr="002D7B81">
        <w:t xml:space="preserve"> </w:t>
      </w:r>
      <w:r w:rsidR="00831634" w:rsidRPr="002D7B81">
        <w:t xml:space="preserve">R. (2d) 115; </w:t>
      </w:r>
      <w:r w:rsidR="002601B7" w:rsidRPr="002D7B81">
        <w:rPr>
          <w:i/>
        </w:rPr>
        <w:t xml:space="preserve">Gallant v. </w:t>
      </w:r>
      <w:r w:rsidR="00831634" w:rsidRPr="002D7B81">
        <w:rPr>
          <w:i/>
        </w:rPr>
        <w:t>Brake</w:t>
      </w:r>
      <w:r w:rsidR="009D3ECF">
        <w:rPr>
          <w:i/>
        </w:rPr>
        <w:t>-</w:t>
      </w:r>
      <w:r w:rsidR="00831634" w:rsidRPr="002D7B81">
        <w:rPr>
          <w:i/>
        </w:rPr>
        <w:t>Patten</w:t>
      </w:r>
      <w:r w:rsidR="00831634" w:rsidRPr="002D7B81">
        <w:t>, 2012 NLCA 23</w:t>
      </w:r>
      <w:r w:rsidR="00EC17B0" w:rsidRPr="002D7B81">
        <w:t>, 321 Nfld. &amp; P.E.I.R. 77</w:t>
      </w:r>
      <w:r w:rsidR="00831634" w:rsidRPr="002D7B81">
        <w:t xml:space="preserve">; </w:t>
      </w:r>
      <w:r w:rsidR="00831634" w:rsidRPr="002D7B81">
        <w:rPr>
          <w:i/>
        </w:rPr>
        <w:t>R. v. Violette</w:t>
      </w:r>
      <w:r w:rsidR="00831634" w:rsidRPr="002D7B81">
        <w:t xml:space="preserve">, 2008 BCSC 920; </w:t>
      </w:r>
      <w:r w:rsidR="00831634" w:rsidRPr="002D7B81">
        <w:rPr>
          <w:i/>
        </w:rPr>
        <w:t>Armchair Passenger Transport Ltd. v. Helical Bar Plc</w:t>
      </w:r>
      <w:r w:rsidR="00831634" w:rsidRPr="002D7B81">
        <w:t xml:space="preserve">, [2003] EWHC 367; </w:t>
      </w:r>
      <w:r w:rsidR="00831634" w:rsidRPr="002D7B81">
        <w:rPr>
          <w:i/>
        </w:rPr>
        <w:t>R. (</w:t>
      </w:r>
      <w:proofErr w:type="spellStart"/>
      <w:r w:rsidR="00831634" w:rsidRPr="002D7B81">
        <w:rPr>
          <w:i/>
        </w:rPr>
        <w:t>Factortame</w:t>
      </w:r>
      <w:proofErr w:type="spellEnd"/>
      <w:r w:rsidR="00831634" w:rsidRPr="002D7B81">
        <w:rPr>
          <w:i/>
        </w:rPr>
        <w:t xml:space="preserve"> Ltd.) v. </w:t>
      </w:r>
      <w:r w:rsidR="00EC17B0" w:rsidRPr="002D7B81">
        <w:rPr>
          <w:i/>
        </w:rPr>
        <w:t xml:space="preserve">Secretary of State for </w:t>
      </w:r>
      <w:r w:rsidR="00831634" w:rsidRPr="002D7B81">
        <w:rPr>
          <w:i/>
        </w:rPr>
        <w:t>Transport</w:t>
      </w:r>
      <w:r w:rsidR="00831634" w:rsidRPr="002D7B81">
        <w:t xml:space="preserve">, </w:t>
      </w:r>
      <w:r w:rsidR="00EC17B0" w:rsidRPr="002D7B81">
        <w:t xml:space="preserve">[2002] EWCA </w:t>
      </w:r>
      <w:proofErr w:type="spellStart"/>
      <w:r w:rsidR="00EC17B0" w:rsidRPr="002D7B81">
        <w:t>Civ</w:t>
      </w:r>
      <w:proofErr w:type="spellEnd"/>
      <w:r w:rsidR="00EC17B0" w:rsidRPr="002D7B81">
        <w:t xml:space="preserve"> 932, </w:t>
      </w:r>
      <w:r w:rsidR="00831634" w:rsidRPr="002D7B81">
        <w:t xml:space="preserve">[2003] Q.B. 381; </w:t>
      </w:r>
      <w:r w:rsidR="00831634" w:rsidRPr="002D7B81">
        <w:rPr>
          <w:i/>
        </w:rPr>
        <w:t xml:space="preserve">Gallaher International Ltd. v. </w:t>
      </w:r>
      <w:proofErr w:type="spellStart"/>
      <w:r w:rsidR="00831634" w:rsidRPr="002D7B81">
        <w:rPr>
          <w:i/>
        </w:rPr>
        <w:t>Tlais</w:t>
      </w:r>
      <w:proofErr w:type="spellEnd"/>
      <w:r w:rsidR="00831634" w:rsidRPr="002D7B81">
        <w:rPr>
          <w:i/>
        </w:rPr>
        <w:t xml:space="preserve"> Enterprises Ltd.</w:t>
      </w:r>
      <w:r w:rsidR="00831634" w:rsidRPr="002D7B81">
        <w:t xml:space="preserve">, [2007] EWHC 464; </w:t>
      </w:r>
      <w:r w:rsidR="00831634" w:rsidRPr="002D7B81">
        <w:rPr>
          <w:i/>
        </w:rPr>
        <w:t>Meat Corp</w:t>
      </w:r>
      <w:r w:rsidR="00010E0F" w:rsidRPr="002D7B81">
        <w:rPr>
          <w:i/>
        </w:rPr>
        <w:t>.</w:t>
      </w:r>
      <w:r w:rsidR="00831634" w:rsidRPr="002D7B81">
        <w:rPr>
          <w:i/>
        </w:rPr>
        <w:t xml:space="preserve"> of Namibia Ltd. v. Dawn Meat</w:t>
      </w:r>
      <w:r w:rsidR="00010E0F" w:rsidRPr="002D7B81">
        <w:rPr>
          <w:i/>
        </w:rPr>
        <w:t>s</w:t>
      </w:r>
      <w:r w:rsidR="00831634" w:rsidRPr="002D7B81">
        <w:rPr>
          <w:i/>
        </w:rPr>
        <w:t xml:space="preserve"> (U.K.) Ltd.</w:t>
      </w:r>
      <w:r w:rsidR="00831634" w:rsidRPr="002D7B81">
        <w:t xml:space="preserve">, [2011] EWHC 474; </w:t>
      </w:r>
      <w:proofErr w:type="spellStart"/>
      <w:r w:rsidR="00831634" w:rsidRPr="002D7B81">
        <w:rPr>
          <w:i/>
        </w:rPr>
        <w:t>Matchbet</w:t>
      </w:r>
      <w:proofErr w:type="spellEnd"/>
      <w:r w:rsidR="00831634" w:rsidRPr="002D7B81">
        <w:rPr>
          <w:i/>
        </w:rPr>
        <w:t xml:space="preserve"> Ltd. v. </w:t>
      </w:r>
      <w:proofErr w:type="spellStart"/>
      <w:r w:rsidR="00831634" w:rsidRPr="002D7B81">
        <w:rPr>
          <w:i/>
        </w:rPr>
        <w:t>Openbet</w:t>
      </w:r>
      <w:proofErr w:type="spellEnd"/>
      <w:r w:rsidR="00831634" w:rsidRPr="002D7B81">
        <w:rPr>
          <w:i/>
        </w:rPr>
        <w:t xml:space="preserve"> Retail Ltd.</w:t>
      </w:r>
      <w:r w:rsidR="00831634" w:rsidRPr="002D7B81">
        <w:t xml:space="preserve">, [2013] EWHC 3067; </w:t>
      </w:r>
      <w:r w:rsidR="0015047A" w:rsidRPr="002D7B81">
        <w:rPr>
          <w:i/>
        </w:rPr>
        <w:t>FGT Custodians Pty</w:t>
      </w:r>
      <w:r w:rsidR="00FD01B1" w:rsidRPr="002D7B81">
        <w:rPr>
          <w:i/>
        </w:rPr>
        <w:t>.</w:t>
      </w:r>
      <w:r w:rsidR="0015047A" w:rsidRPr="002D7B81">
        <w:rPr>
          <w:i/>
        </w:rPr>
        <w:t xml:space="preserve"> Ltd. v. </w:t>
      </w:r>
      <w:proofErr w:type="spellStart"/>
      <w:r w:rsidR="0015047A" w:rsidRPr="002D7B81">
        <w:rPr>
          <w:i/>
        </w:rPr>
        <w:t>Fagenblat</w:t>
      </w:r>
      <w:proofErr w:type="spellEnd"/>
      <w:r w:rsidR="0015047A" w:rsidRPr="002D7B81">
        <w:t xml:space="preserve">, [2003] VSCA 33; </w:t>
      </w:r>
      <w:r w:rsidR="0015047A" w:rsidRPr="002D7B81">
        <w:rPr>
          <w:i/>
        </w:rPr>
        <w:t>Collins Thomson v. Clayton</w:t>
      </w:r>
      <w:r w:rsidR="0015047A" w:rsidRPr="002D7B81">
        <w:t xml:space="preserve">, [2002] NSWSC 366; </w:t>
      </w:r>
      <w:proofErr w:type="spellStart"/>
      <w:r w:rsidR="0015047A" w:rsidRPr="002D7B81">
        <w:rPr>
          <w:i/>
        </w:rPr>
        <w:t>Kirch</w:t>
      </w:r>
      <w:proofErr w:type="spellEnd"/>
      <w:r w:rsidR="0015047A" w:rsidRPr="002D7B81">
        <w:rPr>
          <w:i/>
        </w:rPr>
        <w:t xml:space="preserve"> Communications Pty Ltd. v. Gene Engineering Pty Ltd.</w:t>
      </w:r>
      <w:r w:rsidR="0015047A" w:rsidRPr="002D7B81">
        <w:t xml:space="preserve">, [2002] NSWSC 485; </w:t>
      </w:r>
      <w:r w:rsidR="0015047A" w:rsidRPr="002D7B81">
        <w:rPr>
          <w:i/>
        </w:rPr>
        <w:t xml:space="preserve">SmithKline Beecham (Australia) Pty Ltd. v. </w:t>
      </w:r>
      <w:proofErr w:type="spellStart"/>
      <w:r w:rsidR="0015047A" w:rsidRPr="002D7B81">
        <w:rPr>
          <w:i/>
        </w:rPr>
        <w:t>Chipman</w:t>
      </w:r>
      <w:proofErr w:type="spellEnd"/>
      <w:r w:rsidR="00FD01B1" w:rsidRPr="002D7B81">
        <w:t>,</w:t>
      </w:r>
      <w:r w:rsidR="0015047A" w:rsidRPr="002D7B81">
        <w:t xml:space="preserve"> </w:t>
      </w:r>
      <w:r w:rsidR="00FD01B1" w:rsidRPr="002D7B81">
        <w:t>[2003] FCA 796</w:t>
      </w:r>
      <w:r w:rsidR="0015047A" w:rsidRPr="002D7B81">
        <w:t xml:space="preserve">, 131 F.C.R. 500; </w:t>
      </w:r>
      <w:r w:rsidR="0015047A" w:rsidRPr="002D7B81">
        <w:rPr>
          <w:i/>
        </w:rPr>
        <w:t xml:space="preserve">Rodriguez v. </w:t>
      </w:r>
      <w:proofErr w:type="spellStart"/>
      <w:r w:rsidR="0015047A" w:rsidRPr="002D7B81">
        <w:rPr>
          <w:i/>
        </w:rPr>
        <w:t>Pacificare</w:t>
      </w:r>
      <w:proofErr w:type="spellEnd"/>
      <w:r w:rsidR="0015047A" w:rsidRPr="002D7B81">
        <w:rPr>
          <w:i/>
        </w:rPr>
        <w:t xml:space="preserve"> of Texas, Inc.</w:t>
      </w:r>
      <w:r w:rsidR="0015047A" w:rsidRPr="002D7B81">
        <w:t>, 980 F.2d 1014 (</w:t>
      </w:r>
      <w:r w:rsidR="00FD01B1" w:rsidRPr="002D7B81">
        <w:t xml:space="preserve">1993); </w:t>
      </w:r>
      <w:proofErr w:type="spellStart"/>
      <w:r w:rsidR="00FD01B1" w:rsidRPr="002D7B81">
        <w:rPr>
          <w:i/>
        </w:rPr>
        <w:t>Tagatz</w:t>
      </w:r>
      <w:proofErr w:type="spellEnd"/>
      <w:r w:rsidR="00FD01B1" w:rsidRPr="002D7B81">
        <w:rPr>
          <w:i/>
        </w:rPr>
        <w:t xml:space="preserve"> v. Marquette University</w:t>
      </w:r>
      <w:r w:rsidR="0015047A" w:rsidRPr="002D7B81">
        <w:t xml:space="preserve">, 861 F.2d 1040 (1988); </w:t>
      </w:r>
      <w:r w:rsidR="0015047A" w:rsidRPr="002D7B81">
        <w:rPr>
          <w:i/>
        </w:rPr>
        <w:t>Apple Inc. v. Motorola, Inc.</w:t>
      </w:r>
      <w:r w:rsidR="0015047A" w:rsidRPr="002D7B81">
        <w:t>, 757 F.3d 1286</w:t>
      </w:r>
      <w:r w:rsidR="00120B38" w:rsidRPr="002D7B81">
        <w:t xml:space="preserve"> (2014)</w:t>
      </w:r>
      <w:r w:rsidR="0015047A" w:rsidRPr="002D7B81">
        <w:t xml:space="preserve">; </w:t>
      </w:r>
      <w:proofErr w:type="spellStart"/>
      <w:r w:rsidR="0015047A" w:rsidRPr="002D7B81">
        <w:rPr>
          <w:i/>
        </w:rPr>
        <w:t>Agribrands</w:t>
      </w:r>
      <w:proofErr w:type="spellEnd"/>
      <w:r w:rsidR="0015047A" w:rsidRPr="002D7B81">
        <w:rPr>
          <w:i/>
        </w:rPr>
        <w:t xml:space="preserve"> Purina Canada Inc</w:t>
      </w:r>
      <w:r w:rsidR="00120B38" w:rsidRPr="002D7B81">
        <w:rPr>
          <w:i/>
        </w:rPr>
        <w:t>.</w:t>
      </w:r>
      <w:r w:rsidR="0015047A" w:rsidRPr="002D7B81">
        <w:rPr>
          <w:i/>
        </w:rPr>
        <w:t xml:space="preserve"> v. </w:t>
      </w:r>
      <w:proofErr w:type="spellStart"/>
      <w:r w:rsidR="0015047A" w:rsidRPr="002D7B81">
        <w:rPr>
          <w:i/>
        </w:rPr>
        <w:t>Kasamekas</w:t>
      </w:r>
      <w:proofErr w:type="spellEnd"/>
      <w:r w:rsidR="0015047A" w:rsidRPr="002D7B81">
        <w:t xml:space="preserve">, </w:t>
      </w:r>
      <w:r w:rsidR="0015047A" w:rsidRPr="002D7B81">
        <w:lastRenderedPageBreak/>
        <w:t xml:space="preserve">2010 ONSC 166; </w:t>
      </w:r>
      <w:r w:rsidR="0015047A" w:rsidRPr="002D7B81">
        <w:rPr>
          <w:i/>
        </w:rPr>
        <w:t>R. v. Demetrius</w:t>
      </w:r>
      <w:r w:rsidR="00120B38" w:rsidRPr="002D7B81">
        <w:t xml:space="preserve">, </w:t>
      </w:r>
      <w:r w:rsidR="0015047A" w:rsidRPr="002D7B81">
        <w:t>2009</w:t>
      </w:r>
      <w:r w:rsidR="00120B38" w:rsidRPr="002D7B81">
        <w:t xml:space="preserve"> </w:t>
      </w:r>
      <w:proofErr w:type="spellStart"/>
      <w:r w:rsidR="00120B38" w:rsidRPr="002D7B81">
        <w:t>CanLII</w:t>
      </w:r>
      <w:proofErr w:type="spellEnd"/>
      <w:r w:rsidR="00120B38" w:rsidRPr="002D7B81">
        <w:t xml:space="preserve"> 22797</w:t>
      </w:r>
      <w:r w:rsidR="0015047A" w:rsidRPr="002D7B81">
        <w:t xml:space="preserve">; </w:t>
      </w:r>
      <w:r w:rsidR="0015047A" w:rsidRPr="002D7B81">
        <w:rPr>
          <w:i/>
        </w:rPr>
        <w:t>International Hi</w:t>
      </w:r>
      <w:r w:rsidR="009D3ECF">
        <w:rPr>
          <w:i/>
        </w:rPr>
        <w:t>-</w:t>
      </w:r>
      <w:r w:rsidR="0015047A" w:rsidRPr="002D7B81">
        <w:rPr>
          <w:i/>
        </w:rPr>
        <w:t>Tech Industries Inc</w:t>
      </w:r>
      <w:r w:rsidR="00CF300C" w:rsidRPr="002D7B81">
        <w:rPr>
          <w:i/>
        </w:rPr>
        <w:t>.</w:t>
      </w:r>
      <w:r w:rsidR="0015047A" w:rsidRPr="002D7B81">
        <w:rPr>
          <w:i/>
        </w:rPr>
        <w:t xml:space="preserve"> v. FANUC Robotics Canada Ltd</w:t>
      </w:r>
      <w:r w:rsidR="00120B38" w:rsidRPr="002D7B81">
        <w:rPr>
          <w:i/>
        </w:rPr>
        <w:t>.</w:t>
      </w:r>
      <w:r w:rsidR="0015047A" w:rsidRPr="002D7B81">
        <w:t xml:space="preserve">, 2006 BCSC 2011; </w:t>
      </w:r>
      <w:proofErr w:type="spellStart"/>
      <w:r w:rsidR="0015047A" w:rsidRPr="002D7B81">
        <w:rPr>
          <w:i/>
        </w:rPr>
        <w:t>Casurina</w:t>
      </w:r>
      <w:proofErr w:type="spellEnd"/>
      <w:r w:rsidR="0015047A" w:rsidRPr="002D7B81">
        <w:rPr>
          <w:i/>
        </w:rPr>
        <w:t xml:space="preserve"> Ltd</w:t>
      </w:r>
      <w:r w:rsidR="00120B38" w:rsidRPr="002D7B81">
        <w:rPr>
          <w:i/>
        </w:rPr>
        <w:t>.</w:t>
      </w:r>
      <w:r w:rsidR="0015047A" w:rsidRPr="002D7B81">
        <w:rPr>
          <w:i/>
        </w:rPr>
        <w:t xml:space="preserve"> Partnership v. Rio </w:t>
      </w:r>
      <w:proofErr w:type="spellStart"/>
      <w:r w:rsidR="0015047A" w:rsidRPr="002D7B81">
        <w:rPr>
          <w:i/>
        </w:rPr>
        <w:t>Algom</w:t>
      </w:r>
      <w:proofErr w:type="spellEnd"/>
      <w:r w:rsidR="0015047A" w:rsidRPr="002D7B81">
        <w:rPr>
          <w:i/>
        </w:rPr>
        <w:t xml:space="preserve"> Ltd</w:t>
      </w:r>
      <w:r w:rsidR="00120B38" w:rsidRPr="002D7B81">
        <w:rPr>
          <w:i/>
        </w:rPr>
        <w:t>.</w:t>
      </w:r>
      <w:r w:rsidR="00120B38" w:rsidRPr="002D7B81">
        <w:t xml:space="preserve"> (2002), 28 B.L.R. (3d) 44; </w:t>
      </w:r>
      <w:r w:rsidR="00120B38" w:rsidRPr="002D7B81">
        <w:rPr>
          <w:i/>
        </w:rPr>
        <w:t>Prairie Well Servicing Ltd.</w:t>
      </w:r>
      <w:r w:rsidR="0015047A" w:rsidRPr="002D7B81">
        <w:rPr>
          <w:i/>
        </w:rPr>
        <w:t xml:space="preserve"> v. Tundra Oil and Gas Ltd</w:t>
      </w:r>
      <w:r w:rsidR="00120B38" w:rsidRPr="002D7B81">
        <w:rPr>
          <w:i/>
        </w:rPr>
        <w:t>.</w:t>
      </w:r>
      <w:r w:rsidR="0015047A" w:rsidRPr="002D7B81">
        <w:t>, 2000 MBQB 52</w:t>
      </w:r>
      <w:r w:rsidR="00120B38" w:rsidRPr="002D7B81">
        <w:t>, 146 Man. R. (2d) 284</w:t>
      </w:r>
      <w:r w:rsidR="0015047A" w:rsidRPr="002D7B81">
        <w:t xml:space="preserve">; </w:t>
      </w:r>
      <w:proofErr w:type="spellStart"/>
      <w:r w:rsidR="0015047A" w:rsidRPr="002D7B81">
        <w:rPr>
          <w:i/>
        </w:rPr>
        <w:t>Deemar</w:t>
      </w:r>
      <w:proofErr w:type="spellEnd"/>
      <w:r w:rsidR="0015047A" w:rsidRPr="002D7B81">
        <w:rPr>
          <w:i/>
        </w:rPr>
        <w:t xml:space="preserve"> v. College of Veterinarians of Ontario</w:t>
      </w:r>
      <w:r w:rsidR="0015047A" w:rsidRPr="002D7B81">
        <w:t>, 2008 ONCA 600</w:t>
      </w:r>
      <w:r w:rsidR="00120B38" w:rsidRPr="002D7B81">
        <w:t>, 92 O.R. (3d) 97</w:t>
      </w:r>
      <w:r w:rsidR="0015047A" w:rsidRPr="002D7B81">
        <w:t xml:space="preserve">; </w:t>
      </w:r>
      <w:proofErr w:type="spellStart"/>
      <w:r w:rsidR="00120B38" w:rsidRPr="002D7B81">
        <w:rPr>
          <w:i/>
        </w:rPr>
        <w:t>Coady</w:t>
      </w:r>
      <w:proofErr w:type="spellEnd"/>
      <w:r w:rsidR="00120B38" w:rsidRPr="002D7B81">
        <w:rPr>
          <w:i/>
        </w:rPr>
        <w:t xml:space="preserve"> v. </w:t>
      </w:r>
      <w:r w:rsidR="00014A5A" w:rsidRPr="002D7B81">
        <w:rPr>
          <w:i/>
        </w:rPr>
        <w:t>Burton Canada Co.</w:t>
      </w:r>
      <w:r w:rsidR="00014A5A" w:rsidRPr="002D7B81">
        <w:t>, 2013 NSCA 95</w:t>
      </w:r>
      <w:r w:rsidR="00120B38" w:rsidRPr="002D7B81">
        <w:t>, 333 N.S.R. (2d) 348</w:t>
      </w:r>
      <w:r w:rsidR="00014A5A" w:rsidRPr="002D7B81">
        <w:t xml:space="preserve">; </w:t>
      </w:r>
      <w:proofErr w:type="spellStart"/>
      <w:r w:rsidR="00014A5A" w:rsidRPr="002D7B81">
        <w:rPr>
          <w:i/>
        </w:rPr>
        <w:t>Fougere</w:t>
      </w:r>
      <w:proofErr w:type="spellEnd"/>
      <w:r w:rsidR="00014A5A" w:rsidRPr="002D7B81">
        <w:rPr>
          <w:i/>
        </w:rPr>
        <w:t xml:space="preserve"> v. Blunden Construction Ltd.</w:t>
      </w:r>
      <w:r w:rsidR="00014A5A" w:rsidRPr="002D7B81">
        <w:t>, 2014 NSCA 52</w:t>
      </w:r>
      <w:r w:rsidR="00120B38" w:rsidRPr="002D7B81">
        <w:t>, 345 N.S.R. (2d) 385</w:t>
      </w:r>
      <w:r w:rsidR="00014A5A" w:rsidRPr="002D7B81">
        <w:t>.</w:t>
      </w:r>
    </w:p>
    <w:p w:rsidR="003B215F" w:rsidRPr="002D7B81" w:rsidRDefault="002E6705" w:rsidP="009D3ECF">
      <w:pPr>
        <w:pStyle w:val="SCCNormalDoubleSpacing"/>
        <w:widowControl w:val="0"/>
        <w:spacing w:after="720" w:line="240" w:lineRule="auto"/>
      </w:pPr>
      <w:r w:rsidRPr="002D7B81">
        <w:rPr>
          <w:b/>
        </w:rPr>
        <w:t>Statutes and Regulations Cite</w:t>
      </w:r>
      <w:r w:rsidR="00A41805" w:rsidRPr="002D7B81">
        <w:rPr>
          <w:b/>
        </w:rPr>
        <w:t>d</w:t>
      </w:r>
    </w:p>
    <w:p w:rsidR="00F275E2" w:rsidRPr="002D7B81" w:rsidRDefault="00F275E2" w:rsidP="009D3ECF">
      <w:pPr>
        <w:pStyle w:val="SCCNormalDoubleSpacing"/>
        <w:widowControl w:val="0"/>
        <w:spacing w:after="240" w:line="240" w:lineRule="auto"/>
        <w:ind w:left="540" w:hanging="540"/>
        <w:rPr>
          <w:lang w:val="en-US"/>
        </w:rPr>
      </w:pPr>
      <w:r w:rsidRPr="002D7B81">
        <w:rPr>
          <w:i/>
          <w:lang w:val="en-US"/>
        </w:rPr>
        <w:t>Act to establish the new Code of Civil Procedure</w:t>
      </w:r>
      <w:r w:rsidRPr="002D7B81">
        <w:rPr>
          <w:lang w:val="en-US"/>
        </w:rPr>
        <w:t>, S.Q. 2014, c.</w:t>
      </w:r>
      <w:r w:rsidR="009D3ECF">
        <w:rPr>
          <w:lang w:val="en-US"/>
        </w:rPr>
        <w:t xml:space="preserve"> </w:t>
      </w:r>
      <w:r w:rsidRPr="002D7B81">
        <w:rPr>
          <w:lang w:val="en-US"/>
        </w:rPr>
        <w:t xml:space="preserve">1, </w:t>
      </w:r>
      <w:r w:rsidR="007F6940" w:rsidRPr="002D7B81">
        <w:rPr>
          <w:lang w:val="en-US"/>
        </w:rPr>
        <w:t>arts</w:t>
      </w:r>
      <w:r w:rsidR="00001D79" w:rsidRPr="002D7B81">
        <w:rPr>
          <w:lang w:val="en-US"/>
        </w:rPr>
        <w:t>.</w:t>
      </w:r>
      <w:r w:rsidR="009D3ECF">
        <w:rPr>
          <w:lang w:val="en-US"/>
        </w:rPr>
        <w:t xml:space="preserve"> </w:t>
      </w:r>
      <w:r w:rsidRPr="002D7B81">
        <w:rPr>
          <w:lang w:val="en-US"/>
        </w:rPr>
        <w:t>22</w:t>
      </w:r>
      <w:r w:rsidR="001C3264" w:rsidRPr="002D7B81">
        <w:rPr>
          <w:lang w:val="en-US"/>
        </w:rPr>
        <w:t>, 235</w:t>
      </w:r>
      <w:r w:rsidRPr="002D7B81">
        <w:rPr>
          <w:lang w:val="en-US"/>
        </w:rPr>
        <w:t xml:space="preserve"> [not yet in force].</w:t>
      </w:r>
    </w:p>
    <w:p w:rsidR="00785D78" w:rsidRPr="002D7B81" w:rsidRDefault="00785D78" w:rsidP="009D3ECF">
      <w:pPr>
        <w:pStyle w:val="SCCNormalDoubleSpacing"/>
        <w:widowControl w:val="0"/>
        <w:spacing w:after="240" w:line="240" w:lineRule="auto"/>
        <w:ind w:left="540" w:hanging="540"/>
      </w:pPr>
      <w:r w:rsidRPr="002D7B81">
        <w:rPr>
          <w:i/>
        </w:rPr>
        <w:t>Civil Procedure Rules</w:t>
      </w:r>
      <w:r w:rsidRPr="002D7B81">
        <w:t xml:space="preserve"> (Nova Scotia), </w:t>
      </w:r>
      <w:proofErr w:type="spellStart"/>
      <w:proofErr w:type="gramStart"/>
      <w:r w:rsidRPr="002D7B81">
        <w:t>rr</w:t>
      </w:r>
      <w:proofErr w:type="spellEnd"/>
      <w:proofErr w:type="gramEnd"/>
      <w:r w:rsidRPr="002D7B81">
        <w:t>.</w:t>
      </w:r>
      <w:r w:rsidR="009D3ECF">
        <w:t xml:space="preserve"> </w:t>
      </w:r>
      <w:r w:rsidRPr="002D7B81">
        <w:t>55.01(2), 55.04(1</w:t>
      </w:r>
      <w:proofErr w:type="gramStart"/>
      <w:r w:rsidRPr="002D7B81">
        <w:t>)(</w:t>
      </w:r>
      <w:proofErr w:type="gramEnd"/>
      <w:r w:rsidRPr="002D7B81">
        <w:t>a), (b), (c).</w:t>
      </w:r>
    </w:p>
    <w:p w:rsidR="001C3264" w:rsidRPr="002D7B81" w:rsidRDefault="001C3264" w:rsidP="009D3ECF">
      <w:pPr>
        <w:pStyle w:val="SCCNormalDoubleSpacing"/>
        <w:widowControl w:val="0"/>
        <w:spacing w:after="240" w:line="240" w:lineRule="auto"/>
        <w:ind w:left="540" w:hanging="540"/>
      </w:pPr>
      <w:r w:rsidRPr="002D7B81">
        <w:rPr>
          <w:i/>
        </w:rPr>
        <w:t>Federal Courts Rules</w:t>
      </w:r>
      <w:r w:rsidRPr="002D7B81">
        <w:t>, SOR/98</w:t>
      </w:r>
      <w:r w:rsidR="009D3ECF">
        <w:t>-</w:t>
      </w:r>
      <w:r w:rsidR="00001D79" w:rsidRPr="002D7B81">
        <w:t>106, r.</w:t>
      </w:r>
      <w:r w:rsidR="009D3ECF">
        <w:t xml:space="preserve"> </w:t>
      </w:r>
      <w:r w:rsidRPr="002D7B81">
        <w:t>52.2(1</w:t>
      </w:r>
      <w:proofErr w:type="gramStart"/>
      <w:r w:rsidRPr="002D7B81">
        <w:t>)(</w:t>
      </w:r>
      <w:proofErr w:type="gramEnd"/>
      <w:r w:rsidRPr="002D7B81">
        <w:rPr>
          <w:i/>
        </w:rPr>
        <w:t>c</w:t>
      </w:r>
      <w:r w:rsidRPr="002D7B81">
        <w:t>).</w:t>
      </w:r>
    </w:p>
    <w:p w:rsidR="001C3264" w:rsidRPr="002D7B81" w:rsidRDefault="00001D79" w:rsidP="009D3ECF">
      <w:pPr>
        <w:pStyle w:val="SCCNormalDoubleSpacing"/>
        <w:widowControl w:val="0"/>
        <w:spacing w:after="240" w:line="240" w:lineRule="auto"/>
        <w:ind w:left="540" w:hanging="540"/>
      </w:pPr>
      <w:r w:rsidRPr="002D7B81">
        <w:rPr>
          <w:i/>
        </w:rPr>
        <w:t>Queen’s Bench Rules</w:t>
      </w:r>
      <w:r w:rsidR="00785D78" w:rsidRPr="002D7B81">
        <w:t xml:space="preserve"> (Saskatchewan)</w:t>
      </w:r>
      <w:r w:rsidRPr="002D7B81">
        <w:t>, r.</w:t>
      </w:r>
      <w:r w:rsidR="009D3ECF">
        <w:t xml:space="preserve"> </w:t>
      </w:r>
      <w:r w:rsidR="001C3264" w:rsidRPr="002D7B81">
        <w:t>5</w:t>
      </w:r>
      <w:r w:rsidR="009D3ECF">
        <w:t>-</w:t>
      </w:r>
      <w:r w:rsidR="001C3264" w:rsidRPr="002D7B81">
        <w:t>37.</w:t>
      </w:r>
    </w:p>
    <w:p w:rsidR="001C3264" w:rsidRPr="002D7B81" w:rsidRDefault="001C3264" w:rsidP="009D3ECF">
      <w:pPr>
        <w:pStyle w:val="SCCNormalDoubleSpacing"/>
        <w:widowControl w:val="0"/>
        <w:spacing w:after="240" w:line="240" w:lineRule="auto"/>
        <w:ind w:left="540" w:hanging="540"/>
      </w:pPr>
      <w:r w:rsidRPr="002D7B81">
        <w:rPr>
          <w:i/>
        </w:rPr>
        <w:t>Rules of Civil Procedure</w:t>
      </w:r>
      <w:r w:rsidRPr="002D7B81">
        <w:t xml:space="preserve">, </w:t>
      </w:r>
      <w:r w:rsidR="00B742C3" w:rsidRPr="002D7B81">
        <w:t>R.R.O. 1990, Reg. 194</w:t>
      </w:r>
      <w:r w:rsidRPr="002D7B81">
        <w:t xml:space="preserve">, </w:t>
      </w:r>
      <w:proofErr w:type="spellStart"/>
      <w:proofErr w:type="gramStart"/>
      <w:r w:rsidRPr="002D7B81">
        <w:t>rr</w:t>
      </w:r>
      <w:proofErr w:type="spellEnd"/>
      <w:proofErr w:type="gramEnd"/>
      <w:r w:rsidR="00B37DB4" w:rsidRPr="002D7B81">
        <w:t>.</w:t>
      </w:r>
      <w:r w:rsidR="009D3ECF">
        <w:t xml:space="preserve"> </w:t>
      </w:r>
      <w:r w:rsidRPr="002D7B81">
        <w:t>4.1.01(1), (2), 53.03(2.1).</w:t>
      </w:r>
    </w:p>
    <w:p w:rsidR="00B91EFE" w:rsidRPr="002D7B81" w:rsidRDefault="00B91EFE" w:rsidP="009D3ECF">
      <w:pPr>
        <w:pStyle w:val="SCCNormalDoubleSpacing"/>
        <w:widowControl w:val="0"/>
        <w:spacing w:after="240" w:line="240" w:lineRule="auto"/>
        <w:ind w:left="540" w:hanging="540"/>
        <w:rPr>
          <w:i/>
        </w:rPr>
      </w:pPr>
      <w:r w:rsidRPr="002D7B81">
        <w:rPr>
          <w:i/>
        </w:rPr>
        <w:t>Rules of Civil Procedure</w:t>
      </w:r>
      <w:r w:rsidRPr="002D7B81">
        <w:t xml:space="preserve"> (Prince Edward Island), r.</w:t>
      </w:r>
      <w:r w:rsidR="009D3ECF">
        <w:t xml:space="preserve"> </w:t>
      </w:r>
      <w:r w:rsidRPr="002D7B81">
        <w:t>53.03(3</w:t>
      </w:r>
      <w:proofErr w:type="gramStart"/>
      <w:r w:rsidRPr="002D7B81">
        <w:t>)(</w:t>
      </w:r>
      <w:proofErr w:type="gramEnd"/>
      <w:r w:rsidRPr="002D7B81">
        <w:t>g).</w:t>
      </w:r>
    </w:p>
    <w:p w:rsidR="00785D78" w:rsidRPr="002D7B81" w:rsidRDefault="00785D78" w:rsidP="009D3ECF">
      <w:pPr>
        <w:pStyle w:val="SCCNormalDoubleSpacing"/>
        <w:widowControl w:val="0"/>
        <w:spacing w:after="240" w:line="240" w:lineRule="auto"/>
        <w:ind w:left="540" w:hanging="540"/>
      </w:pPr>
      <w:r w:rsidRPr="002D7B81">
        <w:rPr>
          <w:i/>
        </w:rPr>
        <w:t>Rules of Court</w:t>
      </w:r>
      <w:r w:rsidRPr="002D7B81">
        <w:t>, Y.O.I.C. 2009/65, r.</w:t>
      </w:r>
      <w:r w:rsidR="009D3ECF">
        <w:t xml:space="preserve"> </w:t>
      </w:r>
      <w:r w:rsidRPr="002D7B81">
        <w:t>34(23).</w:t>
      </w:r>
    </w:p>
    <w:p w:rsidR="00785D78" w:rsidRPr="002D7B81" w:rsidRDefault="00785D78" w:rsidP="009D3ECF">
      <w:pPr>
        <w:pStyle w:val="SCCNormalDoubleSpacing"/>
        <w:widowControl w:val="0"/>
        <w:spacing w:after="720" w:line="240" w:lineRule="auto"/>
        <w:ind w:left="540" w:hanging="540"/>
      </w:pPr>
      <w:r w:rsidRPr="002D7B81">
        <w:rPr>
          <w:i/>
        </w:rPr>
        <w:t>Supreme Court Civil Rules</w:t>
      </w:r>
      <w:r w:rsidRPr="002D7B81">
        <w:t xml:space="preserve">, B.C. Reg. 168/2009, </w:t>
      </w:r>
      <w:proofErr w:type="spellStart"/>
      <w:proofErr w:type="gramStart"/>
      <w:r w:rsidRPr="002D7B81">
        <w:t>rr</w:t>
      </w:r>
      <w:proofErr w:type="spellEnd"/>
      <w:proofErr w:type="gramEnd"/>
      <w:r w:rsidRPr="002D7B81">
        <w:t>.</w:t>
      </w:r>
      <w:r w:rsidR="009D3ECF">
        <w:t xml:space="preserve"> </w:t>
      </w:r>
      <w:r w:rsidRPr="002D7B81">
        <w:t>11</w:t>
      </w:r>
      <w:r w:rsidR="009D3ECF">
        <w:t>-</w:t>
      </w:r>
      <w:r w:rsidRPr="002D7B81">
        <w:t>2(1), (2).</w:t>
      </w:r>
    </w:p>
    <w:p w:rsidR="002E6705" w:rsidRPr="002D7B81" w:rsidRDefault="002E6705" w:rsidP="009D3ECF">
      <w:pPr>
        <w:pStyle w:val="SCCNormalDoubleSpacing"/>
        <w:widowControl w:val="0"/>
        <w:spacing w:after="720" w:line="240" w:lineRule="auto"/>
        <w:rPr>
          <w:b/>
        </w:rPr>
      </w:pPr>
      <w:r w:rsidRPr="002D7B81">
        <w:rPr>
          <w:b/>
        </w:rPr>
        <w:t>Authors Cited</w:t>
      </w:r>
    </w:p>
    <w:p w:rsidR="00A149DF" w:rsidRPr="002D7B81" w:rsidRDefault="00F275E2" w:rsidP="009D3ECF">
      <w:pPr>
        <w:pStyle w:val="SCCNormalDoubleSpacing"/>
        <w:widowControl w:val="0"/>
        <w:spacing w:after="240" w:line="240" w:lineRule="auto"/>
        <w:ind w:left="540" w:hanging="540"/>
        <w:rPr>
          <w:lang w:val="fr-CA"/>
        </w:rPr>
      </w:pPr>
      <w:r w:rsidRPr="002D7B81">
        <w:t xml:space="preserve">Anderson, </w:t>
      </w:r>
      <w:r w:rsidR="00203B3F" w:rsidRPr="002D7B81">
        <w:t>Glenn</w:t>
      </w:r>
      <w:r w:rsidR="009D3ECF">
        <w:t xml:space="preserve"> </w:t>
      </w:r>
      <w:r w:rsidR="00203B3F" w:rsidRPr="002D7B81">
        <w:t xml:space="preserve">R. </w:t>
      </w:r>
      <w:r w:rsidRPr="002D7B81">
        <w:rPr>
          <w:i/>
        </w:rPr>
        <w:t>Expert Evidence</w:t>
      </w:r>
      <w:r w:rsidR="00475D12" w:rsidRPr="002D7B81">
        <w:t>,</w:t>
      </w:r>
      <w:r w:rsidRPr="002D7B81">
        <w:t xml:space="preserve"> 3rd ed. </w:t>
      </w:r>
      <w:r w:rsidR="00475D12" w:rsidRPr="002D7B81">
        <w:rPr>
          <w:lang w:val="fr-CA"/>
        </w:rPr>
        <w:t xml:space="preserve">Markham, Ont.: </w:t>
      </w:r>
      <w:proofErr w:type="spellStart"/>
      <w:r w:rsidR="00475D12" w:rsidRPr="002D7B81">
        <w:rPr>
          <w:lang w:val="fr-CA"/>
        </w:rPr>
        <w:t>LexisNexis</w:t>
      </w:r>
      <w:proofErr w:type="spellEnd"/>
      <w:r w:rsidR="00475D12" w:rsidRPr="002D7B81">
        <w:rPr>
          <w:lang w:val="fr-CA"/>
        </w:rPr>
        <w:t xml:space="preserve">, </w:t>
      </w:r>
      <w:r w:rsidRPr="002D7B81">
        <w:rPr>
          <w:lang w:val="fr-CA"/>
        </w:rPr>
        <w:t>2014.</w:t>
      </w:r>
    </w:p>
    <w:p w:rsidR="00F275E2" w:rsidRPr="002D7B81" w:rsidRDefault="00F275E2" w:rsidP="009D3ECF">
      <w:pPr>
        <w:pStyle w:val="SCCNormalDoubleSpacing"/>
        <w:widowControl w:val="0"/>
        <w:spacing w:after="240" w:line="240" w:lineRule="auto"/>
        <w:ind w:left="539" w:hanging="539"/>
        <w:rPr>
          <w:lang w:val="fr-CA"/>
        </w:rPr>
      </w:pPr>
      <w:proofErr w:type="spellStart"/>
      <w:r w:rsidRPr="002D7B81">
        <w:rPr>
          <w:lang w:val="fr-CA"/>
        </w:rPr>
        <w:t>Béchard</w:t>
      </w:r>
      <w:proofErr w:type="spellEnd"/>
      <w:r w:rsidRPr="002D7B81">
        <w:rPr>
          <w:lang w:val="fr-CA"/>
        </w:rPr>
        <w:t xml:space="preserve">, Donald, avec la collaboration de Jessica </w:t>
      </w:r>
      <w:proofErr w:type="spellStart"/>
      <w:r w:rsidRPr="002D7B81">
        <w:rPr>
          <w:lang w:val="fr-CA"/>
        </w:rPr>
        <w:t>Béchard</w:t>
      </w:r>
      <w:proofErr w:type="spellEnd"/>
      <w:r w:rsidRPr="002D7B81">
        <w:rPr>
          <w:lang w:val="fr-CA"/>
        </w:rPr>
        <w:t xml:space="preserve">. </w:t>
      </w:r>
      <w:r w:rsidRPr="002D7B81">
        <w:rPr>
          <w:i/>
          <w:lang w:val="fr-CA"/>
        </w:rPr>
        <w:t>L’expert</w:t>
      </w:r>
      <w:r w:rsidR="00475D12" w:rsidRPr="002D7B81">
        <w:rPr>
          <w:lang w:val="fr-CA"/>
        </w:rPr>
        <w:t>.</w:t>
      </w:r>
      <w:r w:rsidRPr="002D7B81">
        <w:rPr>
          <w:lang w:val="fr-CA"/>
        </w:rPr>
        <w:t xml:space="preserve"> </w:t>
      </w:r>
      <w:proofErr w:type="spellStart"/>
      <w:r w:rsidRPr="002D7B81">
        <w:rPr>
          <w:lang w:val="fr-CA"/>
        </w:rPr>
        <w:t>Cowansville</w:t>
      </w:r>
      <w:proofErr w:type="spellEnd"/>
      <w:r w:rsidRPr="002D7B81">
        <w:rPr>
          <w:lang w:val="fr-CA"/>
        </w:rPr>
        <w:t xml:space="preserve">, </w:t>
      </w:r>
      <w:proofErr w:type="spellStart"/>
      <w:r w:rsidRPr="002D7B81">
        <w:rPr>
          <w:lang w:val="fr-CA"/>
        </w:rPr>
        <w:t>Qué</w:t>
      </w:r>
      <w:proofErr w:type="spellEnd"/>
      <w:r w:rsidRPr="002D7B81">
        <w:rPr>
          <w:lang w:val="fr-CA"/>
        </w:rPr>
        <w:t>.: Yvon Blais, 2011.</w:t>
      </w:r>
    </w:p>
    <w:p w:rsidR="00014A5A" w:rsidRPr="002D7B81" w:rsidRDefault="00475D12" w:rsidP="009D3ECF">
      <w:pPr>
        <w:pStyle w:val="SCCNormalDoubleSpacing"/>
        <w:widowControl w:val="0"/>
        <w:spacing w:after="240" w:line="240" w:lineRule="auto"/>
        <w:ind w:left="540" w:hanging="540"/>
      </w:pPr>
      <w:r w:rsidRPr="002D7B81">
        <w:rPr>
          <w:i/>
        </w:rPr>
        <w:t>Canadian Encyclopedic Digest</w:t>
      </w:r>
      <w:r w:rsidRPr="002D7B81">
        <w:t>,</w:t>
      </w:r>
      <w:r w:rsidR="00014A5A" w:rsidRPr="002D7B81">
        <w:t xml:space="preserve"> </w:t>
      </w:r>
      <w:r w:rsidRPr="002D7B81">
        <w:t xml:space="preserve">Ontario </w:t>
      </w:r>
      <w:r w:rsidR="00014A5A" w:rsidRPr="002D7B81">
        <w:t>4th</w:t>
      </w:r>
      <w:r w:rsidRPr="002D7B81">
        <w:t xml:space="preserve"> ed.</w:t>
      </w:r>
      <w:r w:rsidR="00014A5A" w:rsidRPr="002D7B81">
        <w:t xml:space="preserve">, </w:t>
      </w:r>
      <w:r w:rsidR="00001D79" w:rsidRPr="002D7B81">
        <w:t>vol.</w:t>
      </w:r>
      <w:r w:rsidR="009D3ECF">
        <w:t xml:space="preserve"> </w:t>
      </w:r>
      <w:r w:rsidR="00014A5A" w:rsidRPr="002D7B81">
        <w:t>24.</w:t>
      </w:r>
      <w:r w:rsidRPr="002D7B81">
        <w:t xml:space="preserve"> Toronto: Carswell, 2014</w:t>
      </w:r>
      <w:r w:rsidR="003D4B9F" w:rsidRPr="002D7B81">
        <w:t xml:space="preserve"> </w:t>
      </w:r>
      <w:r w:rsidR="003D4B9F" w:rsidRPr="002D7B81">
        <w:lastRenderedPageBreak/>
        <w:t>(loose</w:t>
      </w:r>
      <w:r w:rsidR="009D3ECF">
        <w:t>-</w:t>
      </w:r>
      <w:r w:rsidR="003D4B9F" w:rsidRPr="002D7B81">
        <w:t>leaf updated 2014, release 6)</w:t>
      </w:r>
      <w:r w:rsidRPr="002D7B81">
        <w:t>.</w:t>
      </w:r>
    </w:p>
    <w:p w:rsidR="001C3264" w:rsidRPr="002D7B81" w:rsidRDefault="001C3264" w:rsidP="009D3ECF">
      <w:pPr>
        <w:pStyle w:val="SCCNormalDoubleSpacing"/>
        <w:widowControl w:val="0"/>
        <w:spacing w:after="240" w:line="240" w:lineRule="auto"/>
        <w:ind w:left="540" w:hanging="540"/>
        <w:rPr>
          <w:lang w:val="fr-CA"/>
        </w:rPr>
      </w:pPr>
      <w:r w:rsidRPr="002D7B81">
        <w:rPr>
          <w:lang w:val="fr-CA"/>
        </w:rPr>
        <w:t xml:space="preserve">Chamberland, </w:t>
      </w:r>
      <w:r w:rsidR="00203B3F" w:rsidRPr="002D7B81">
        <w:rPr>
          <w:lang w:val="fr-CA"/>
        </w:rPr>
        <w:t xml:space="preserve">Luc. </w:t>
      </w:r>
      <w:r w:rsidR="00475D12" w:rsidRPr="002D7B81">
        <w:rPr>
          <w:i/>
          <w:lang w:val="fr-CA"/>
        </w:rPr>
        <w:t>Le nouveau Code de procé</w:t>
      </w:r>
      <w:r w:rsidRPr="002D7B81">
        <w:rPr>
          <w:i/>
          <w:lang w:val="fr-CA"/>
        </w:rPr>
        <w:t>dure civile commenté</w:t>
      </w:r>
      <w:r w:rsidR="00475D12" w:rsidRPr="002D7B81">
        <w:rPr>
          <w:lang w:val="fr-CA"/>
        </w:rPr>
        <w:t>.</w:t>
      </w:r>
      <w:r w:rsidRPr="002D7B81">
        <w:rPr>
          <w:lang w:val="fr-CA"/>
        </w:rPr>
        <w:t xml:space="preserve"> </w:t>
      </w:r>
      <w:proofErr w:type="spellStart"/>
      <w:r w:rsidR="00475D12" w:rsidRPr="002D7B81">
        <w:rPr>
          <w:lang w:val="fr-CA"/>
        </w:rPr>
        <w:t>Cowansville</w:t>
      </w:r>
      <w:proofErr w:type="spellEnd"/>
      <w:r w:rsidR="00475D12" w:rsidRPr="002D7B81">
        <w:rPr>
          <w:lang w:val="fr-CA"/>
        </w:rPr>
        <w:t xml:space="preserve">, </w:t>
      </w:r>
      <w:proofErr w:type="spellStart"/>
      <w:r w:rsidR="00475D12" w:rsidRPr="002D7B81">
        <w:rPr>
          <w:lang w:val="fr-CA"/>
        </w:rPr>
        <w:t>Qué</w:t>
      </w:r>
      <w:proofErr w:type="spellEnd"/>
      <w:r w:rsidR="00475D12" w:rsidRPr="002D7B81">
        <w:rPr>
          <w:lang w:val="fr-CA"/>
        </w:rPr>
        <w:t xml:space="preserve">.: Yvon Blais, </w:t>
      </w:r>
      <w:r w:rsidRPr="002D7B81">
        <w:rPr>
          <w:lang w:val="fr-CA"/>
        </w:rPr>
        <w:t>2014.</w:t>
      </w:r>
    </w:p>
    <w:p w:rsidR="0015047A" w:rsidRPr="002D7B81" w:rsidRDefault="0015047A" w:rsidP="009D3ECF">
      <w:pPr>
        <w:pStyle w:val="SCCNormalDoubleSpacing"/>
        <w:widowControl w:val="0"/>
        <w:spacing w:after="240" w:line="240" w:lineRule="auto"/>
        <w:ind w:left="540" w:hanging="540"/>
      </w:pPr>
      <w:r w:rsidRPr="002D7B81">
        <w:rPr>
          <w:i/>
          <w:lang w:val="fr-CA"/>
        </w:rPr>
        <w:t xml:space="preserve">Corpus </w:t>
      </w:r>
      <w:proofErr w:type="spellStart"/>
      <w:r w:rsidRPr="002D7B81">
        <w:rPr>
          <w:i/>
          <w:lang w:val="fr-CA"/>
        </w:rPr>
        <w:t>Juris</w:t>
      </w:r>
      <w:proofErr w:type="spellEnd"/>
      <w:r w:rsidRPr="002D7B81">
        <w:rPr>
          <w:i/>
          <w:lang w:val="fr-CA"/>
        </w:rPr>
        <w:t xml:space="preserve"> </w:t>
      </w:r>
      <w:proofErr w:type="spellStart"/>
      <w:r w:rsidRPr="002D7B81">
        <w:rPr>
          <w:i/>
          <w:lang w:val="fr-CA"/>
        </w:rPr>
        <w:t>Secundum</w:t>
      </w:r>
      <w:proofErr w:type="spellEnd"/>
      <w:r w:rsidR="002C3967" w:rsidRPr="002D7B81">
        <w:rPr>
          <w:lang w:val="fr-CA"/>
        </w:rPr>
        <w:t>, vol.</w:t>
      </w:r>
      <w:r w:rsidR="009D3ECF">
        <w:rPr>
          <w:lang w:val="fr-CA"/>
        </w:rPr>
        <w:t xml:space="preserve"> </w:t>
      </w:r>
      <w:r w:rsidR="00C66B1D" w:rsidRPr="002D7B81">
        <w:rPr>
          <w:lang w:val="fr-CA"/>
        </w:rPr>
        <w:t xml:space="preserve">32. </w:t>
      </w:r>
      <w:r w:rsidR="00575F88" w:rsidRPr="002D7B81">
        <w:t xml:space="preserve">Eagan, Minn.: </w:t>
      </w:r>
      <w:r w:rsidR="00C66B1D" w:rsidRPr="002D7B81">
        <w:t xml:space="preserve">Thomson West, </w:t>
      </w:r>
      <w:r w:rsidRPr="002D7B81">
        <w:t>2008.</w:t>
      </w:r>
    </w:p>
    <w:p w:rsidR="00644B12" w:rsidRPr="002D7B81" w:rsidRDefault="00644B12" w:rsidP="009D3ECF">
      <w:pPr>
        <w:pStyle w:val="SCCNormalDoubleSpacing"/>
        <w:widowControl w:val="0"/>
        <w:spacing w:after="240" w:line="240" w:lineRule="auto"/>
        <w:ind w:left="540" w:hanging="540"/>
      </w:pPr>
      <w:r w:rsidRPr="002D7B81">
        <w:rPr>
          <w:i/>
        </w:rPr>
        <w:t>Cross and Tapper on Evidence</w:t>
      </w:r>
      <w:r w:rsidRPr="002D7B81">
        <w:t>, 12th ed. by Colin Tapper. Oxford: Oxford University Press, 2010.</w:t>
      </w:r>
    </w:p>
    <w:p w:rsidR="0015047A" w:rsidRPr="002D7B81" w:rsidRDefault="0015047A" w:rsidP="009D3ECF">
      <w:pPr>
        <w:pStyle w:val="SCCNormalDoubleSpacing"/>
        <w:widowControl w:val="0"/>
        <w:spacing w:after="240" w:line="240" w:lineRule="auto"/>
        <w:ind w:left="540" w:hanging="540"/>
      </w:pPr>
      <w:proofErr w:type="spellStart"/>
      <w:r w:rsidRPr="002D7B81">
        <w:t>Freckelton</w:t>
      </w:r>
      <w:proofErr w:type="spellEnd"/>
      <w:r w:rsidR="00203B3F" w:rsidRPr="002D7B81">
        <w:t>,</w:t>
      </w:r>
      <w:r w:rsidRPr="002D7B81">
        <w:t xml:space="preserve"> </w:t>
      </w:r>
      <w:r w:rsidR="00203B3F" w:rsidRPr="002D7B81">
        <w:t xml:space="preserve">Ian, </w:t>
      </w:r>
      <w:r w:rsidRPr="002D7B81">
        <w:t>and Hugh Selby</w:t>
      </w:r>
      <w:r w:rsidR="00203B3F" w:rsidRPr="002D7B81">
        <w:t>.</w:t>
      </w:r>
      <w:r w:rsidRPr="002D7B81">
        <w:t xml:space="preserve"> </w:t>
      </w:r>
      <w:r w:rsidRPr="002D7B81">
        <w:rPr>
          <w:i/>
        </w:rPr>
        <w:t>Expert Evidence</w:t>
      </w:r>
      <w:r w:rsidR="00203B3F" w:rsidRPr="002D7B81">
        <w:rPr>
          <w:i/>
        </w:rPr>
        <w:t>:</w:t>
      </w:r>
      <w:r w:rsidRPr="002D7B81">
        <w:rPr>
          <w:i/>
        </w:rPr>
        <w:t xml:space="preserve"> Law, Practice, Procedure and Advocacy</w:t>
      </w:r>
      <w:r w:rsidR="00575F88" w:rsidRPr="002D7B81">
        <w:t>,</w:t>
      </w:r>
      <w:r w:rsidRPr="002D7B81">
        <w:t xml:space="preserve"> 5th ed. </w:t>
      </w:r>
      <w:proofErr w:type="spellStart"/>
      <w:r w:rsidR="00AE3197" w:rsidRPr="002D7B81">
        <w:t>Pyrmont</w:t>
      </w:r>
      <w:proofErr w:type="spellEnd"/>
      <w:r w:rsidR="00AE3197" w:rsidRPr="002D7B81">
        <w:t xml:space="preserve">, N.S.W.: </w:t>
      </w:r>
      <w:proofErr w:type="spellStart"/>
      <w:r w:rsidR="00AE3197" w:rsidRPr="002D7B81">
        <w:t>Lawbook</w:t>
      </w:r>
      <w:proofErr w:type="spellEnd"/>
      <w:r w:rsidR="00AE3197" w:rsidRPr="002D7B81">
        <w:t xml:space="preserve"> Co., </w:t>
      </w:r>
      <w:r w:rsidRPr="002D7B81">
        <w:t>2013.</w:t>
      </w:r>
    </w:p>
    <w:p w:rsidR="00F275E2" w:rsidRPr="002D7B81" w:rsidRDefault="00F275E2" w:rsidP="009D3ECF">
      <w:pPr>
        <w:pStyle w:val="SCCNormalDoubleSpacing"/>
        <w:widowControl w:val="0"/>
        <w:spacing w:after="240" w:line="240" w:lineRule="auto"/>
        <w:ind w:left="540" w:hanging="540"/>
      </w:pPr>
      <w:r w:rsidRPr="002D7B81">
        <w:rPr>
          <w:i/>
        </w:rPr>
        <w:t>Halsbury</w:t>
      </w:r>
      <w:r w:rsidR="00AE3197" w:rsidRPr="002D7B81">
        <w:rPr>
          <w:i/>
        </w:rPr>
        <w:t>’s Laws of Canada: Evidence</w:t>
      </w:r>
      <w:r w:rsidR="00AE3197" w:rsidRPr="002D7B81">
        <w:t>, 2014 Reissue, contributed by Hamish</w:t>
      </w:r>
      <w:r w:rsidR="009D3ECF">
        <w:t xml:space="preserve"> </w:t>
      </w:r>
      <w:r w:rsidR="00AE3197" w:rsidRPr="002D7B81">
        <w:t>C. Stewart. Markham, Ont</w:t>
      </w:r>
      <w:r w:rsidR="009203CC" w:rsidRPr="002D7B81">
        <w:t>.</w:t>
      </w:r>
      <w:r w:rsidR="00AE3197" w:rsidRPr="002D7B81">
        <w:t>: Lexis</w:t>
      </w:r>
      <w:r w:rsidRPr="002D7B81">
        <w:t>Nexis, 2014.</w:t>
      </w:r>
    </w:p>
    <w:p w:rsidR="00F275E2" w:rsidRPr="002D7B81" w:rsidRDefault="00B92789" w:rsidP="009D3ECF">
      <w:pPr>
        <w:pStyle w:val="SCCNormalDoubleSpacing"/>
        <w:widowControl w:val="0"/>
        <w:spacing w:after="240" w:line="240" w:lineRule="auto"/>
        <w:ind w:left="540" w:hanging="540"/>
      </w:pPr>
      <w:r w:rsidRPr="002D7B81">
        <w:t>Lederman, Sidney</w:t>
      </w:r>
      <w:r w:rsidR="009D3ECF">
        <w:t xml:space="preserve"> </w:t>
      </w:r>
      <w:r w:rsidRPr="002D7B81">
        <w:t>N., Alan</w:t>
      </w:r>
      <w:r w:rsidR="009D3ECF">
        <w:t xml:space="preserve"> </w:t>
      </w:r>
      <w:r w:rsidRPr="002D7B81">
        <w:t>W. Bryant and Michelle</w:t>
      </w:r>
      <w:r w:rsidR="009D3ECF">
        <w:t xml:space="preserve"> </w:t>
      </w:r>
      <w:r w:rsidRPr="002D7B81">
        <w:t xml:space="preserve">K. </w:t>
      </w:r>
      <w:proofErr w:type="spellStart"/>
      <w:r w:rsidRPr="002D7B81">
        <w:t>Fuerst</w:t>
      </w:r>
      <w:proofErr w:type="spellEnd"/>
      <w:r w:rsidRPr="002D7B81">
        <w:t xml:space="preserve">. </w:t>
      </w:r>
      <w:r w:rsidR="00F275E2" w:rsidRPr="002D7B81">
        <w:rPr>
          <w:i/>
        </w:rPr>
        <w:t>The Law of Evidence in Canada</w:t>
      </w:r>
      <w:r w:rsidRPr="002D7B81">
        <w:t>,</w:t>
      </w:r>
      <w:r w:rsidR="00F275E2" w:rsidRPr="002D7B81">
        <w:t xml:space="preserve"> 4th ed. </w:t>
      </w:r>
      <w:r w:rsidRPr="002D7B81">
        <w:t xml:space="preserve">Markham, Ont.: LexisNexis, </w:t>
      </w:r>
      <w:r w:rsidR="00F275E2" w:rsidRPr="002D7B81">
        <w:t>2014.</w:t>
      </w:r>
    </w:p>
    <w:p w:rsidR="00B92789" w:rsidRPr="002D7B81" w:rsidRDefault="00B92789" w:rsidP="009D3ECF">
      <w:pPr>
        <w:pStyle w:val="SCCNormalDoubleSpacing"/>
        <w:widowControl w:val="0"/>
        <w:spacing w:after="240" w:line="240" w:lineRule="auto"/>
        <w:ind w:left="540" w:hanging="540"/>
      </w:pPr>
      <w:r w:rsidRPr="002D7B81">
        <w:rPr>
          <w:i/>
        </w:rPr>
        <w:t>McWilliams’ Canadian Criminal Evidence</w:t>
      </w:r>
      <w:r w:rsidRPr="002D7B81">
        <w:t>, 5th ed. by S.</w:t>
      </w:r>
      <w:r w:rsidR="009D3ECF">
        <w:t xml:space="preserve"> </w:t>
      </w:r>
      <w:r w:rsidRPr="002D7B81">
        <w:t>Casey Hill, David</w:t>
      </w:r>
      <w:r w:rsidR="009D3ECF">
        <w:t xml:space="preserve"> </w:t>
      </w:r>
      <w:r w:rsidRPr="002D7B81">
        <w:t xml:space="preserve">M. </w:t>
      </w:r>
      <w:proofErr w:type="spellStart"/>
      <w:r w:rsidRPr="002D7B81">
        <w:t>Tanovich</w:t>
      </w:r>
      <w:proofErr w:type="spellEnd"/>
      <w:r w:rsidRPr="002D7B81">
        <w:t xml:space="preserve"> and Louis</w:t>
      </w:r>
      <w:r w:rsidR="009D3ECF">
        <w:t xml:space="preserve"> </w:t>
      </w:r>
      <w:r w:rsidRPr="002D7B81">
        <w:t>P.</w:t>
      </w:r>
      <w:r w:rsidR="009D3ECF">
        <w:t xml:space="preserve"> </w:t>
      </w:r>
      <w:proofErr w:type="spellStart"/>
      <w:r w:rsidRPr="002D7B81">
        <w:t>Strezos</w:t>
      </w:r>
      <w:proofErr w:type="spellEnd"/>
      <w:r w:rsidRPr="002D7B81">
        <w:t>, eds. Toronto: Canada Law Book, 201</w:t>
      </w:r>
      <w:r w:rsidR="002E7F62" w:rsidRPr="002D7B81">
        <w:t>3</w:t>
      </w:r>
      <w:r w:rsidRPr="002D7B81">
        <w:t xml:space="preserve"> (loose</w:t>
      </w:r>
      <w:r w:rsidR="009D3ECF">
        <w:t>-</w:t>
      </w:r>
      <w:r w:rsidRPr="002D7B81">
        <w:t>leaf updated 201</w:t>
      </w:r>
      <w:r w:rsidR="00594D8F" w:rsidRPr="002D7B81">
        <w:t>4</w:t>
      </w:r>
      <w:r w:rsidRPr="002D7B81">
        <w:t xml:space="preserve">, release </w:t>
      </w:r>
      <w:r w:rsidR="00594D8F" w:rsidRPr="002D7B81">
        <w:t>5</w:t>
      </w:r>
      <w:r w:rsidRPr="002D7B81">
        <w:t>).</w:t>
      </w:r>
    </w:p>
    <w:p w:rsidR="00B12096" w:rsidRPr="002D7B81" w:rsidRDefault="00B12096" w:rsidP="009D3ECF">
      <w:pPr>
        <w:pStyle w:val="SCCNormalDoubleSpacing"/>
        <w:widowControl w:val="0"/>
        <w:spacing w:after="240" w:line="240" w:lineRule="auto"/>
        <w:ind w:left="540" w:hanging="540"/>
      </w:pPr>
      <w:proofErr w:type="spellStart"/>
      <w:r w:rsidRPr="002D7B81">
        <w:t>Michell</w:t>
      </w:r>
      <w:proofErr w:type="spellEnd"/>
      <w:r w:rsidR="00203B3F" w:rsidRPr="002D7B81">
        <w:t>,</w:t>
      </w:r>
      <w:r w:rsidRPr="002D7B81">
        <w:t xml:space="preserve"> </w:t>
      </w:r>
      <w:r w:rsidR="00203B3F" w:rsidRPr="002D7B81">
        <w:t>Paul, and</w:t>
      </w:r>
      <w:r w:rsidRPr="002D7B81">
        <w:t xml:space="preserve"> </w:t>
      </w:r>
      <w:proofErr w:type="spellStart"/>
      <w:r w:rsidRPr="002D7B81">
        <w:t>Renu</w:t>
      </w:r>
      <w:proofErr w:type="spellEnd"/>
      <w:r w:rsidRPr="002D7B81">
        <w:t xml:space="preserve"> </w:t>
      </w:r>
      <w:proofErr w:type="spellStart"/>
      <w:r w:rsidRPr="002D7B81">
        <w:t>Mandhane</w:t>
      </w:r>
      <w:proofErr w:type="spellEnd"/>
      <w:r w:rsidR="00203B3F" w:rsidRPr="002D7B81">
        <w:t>.</w:t>
      </w:r>
      <w:r w:rsidRPr="002D7B81">
        <w:t xml:space="preserve"> “The Uncertain Duty of the Expert Witness” (2005), 42 </w:t>
      </w:r>
      <w:r w:rsidRPr="002D7B81">
        <w:rPr>
          <w:i/>
        </w:rPr>
        <w:t>Alta. L. Rev.</w:t>
      </w:r>
      <w:r w:rsidRPr="002D7B81">
        <w:t xml:space="preserve"> 635.</w:t>
      </w:r>
    </w:p>
    <w:p w:rsidR="00854D30" w:rsidRPr="002D7B81" w:rsidRDefault="00854D30" w:rsidP="009D3ECF">
      <w:pPr>
        <w:pStyle w:val="SCCNormalDoubleSpacing"/>
        <w:widowControl w:val="0"/>
        <w:spacing w:after="240" w:line="240" w:lineRule="auto"/>
        <w:ind w:left="540" w:hanging="540"/>
      </w:pPr>
      <w:r w:rsidRPr="002D7B81">
        <w:t xml:space="preserve">Ontario. </w:t>
      </w:r>
      <w:r w:rsidRPr="002D7B81">
        <w:rPr>
          <w:i/>
        </w:rPr>
        <w:t>Civil Justice Reform Project: Summary of Findings &amp; Recommendations</w:t>
      </w:r>
      <w:r w:rsidRPr="002D7B81">
        <w:t xml:space="preserve"> (Osborne Report). Toronto: Ministry of Attorney General, 2007.</w:t>
      </w:r>
    </w:p>
    <w:p w:rsidR="00854D30" w:rsidRPr="002D7B81" w:rsidRDefault="00854D30" w:rsidP="009D3ECF">
      <w:pPr>
        <w:pStyle w:val="SCCNormalDoubleSpacing"/>
        <w:widowControl w:val="0"/>
        <w:spacing w:after="240" w:line="240" w:lineRule="auto"/>
        <w:ind w:left="540" w:hanging="540"/>
      </w:pPr>
      <w:r w:rsidRPr="002D7B81">
        <w:t xml:space="preserve">Ontario. </w:t>
      </w:r>
      <w:r w:rsidRPr="002D7B81">
        <w:rPr>
          <w:i/>
        </w:rPr>
        <w:t>Inquiry into Pediatric Forensic Pathology in Ontario: Report</w:t>
      </w:r>
      <w:r w:rsidRPr="002D7B81">
        <w:t xml:space="preserve"> (</w:t>
      </w:r>
      <w:proofErr w:type="spellStart"/>
      <w:r w:rsidRPr="002D7B81">
        <w:t>Goudge</w:t>
      </w:r>
      <w:proofErr w:type="spellEnd"/>
      <w:r w:rsidRPr="002D7B81">
        <w:t xml:space="preserve"> Report). Toronto: Ministry of the Attorney General, 2008.</w:t>
      </w:r>
    </w:p>
    <w:p w:rsidR="00854D30" w:rsidRPr="002D7B81" w:rsidRDefault="00854D30" w:rsidP="009D3ECF">
      <w:pPr>
        <w:pStyle w:val="SCCNormalDoubleSpacing"/>
        <w:widowControl w:val="0"/>
        <w:spacing w:after="240" w:line="240" w:lineRule="auto"/>
        <w:ind w:left="540" w:hanging="540"/>
      </w:pPr>
      <w:r w:rsidRPr="002D7B81">
        <w:t xml:space="preserve">Ontario. </w:t>
      </w:r>
      <w:r w:rsidRPr="002D7B81">
        <w:rPr>
          <w:i/>
        </w:rPr>
        <w:t>The Commission on Proceedings Involving Guy Paul Morin: Report</w:t>
      </w:r>
      <w:r w:rsidRPr="002D7B81">
        <w:t xml:space="preserve"> (Kaufman Report). Toronto: Ministry of the Attorney General, 1998.</w:t>
      </w:r>
    </w:p>
    <w:p w:rsidR="0015047A" w:rsidRPr="002D7B81" w:rsidRDefault="0015047A" w:rsidP="009D3ECF">
      <w:pPr>
        <w:pStyle w:val="SCCNormalDoubleSpacing"/>
        <w:widowControl w:val="0"/>
        <w:spacing w:after="240" w:line="240" w:lineRule="auto"/>
        <w:ind w:left="540" w:hanging="540"/>
      </w:pPr>
      <w:proofErr w:type="spellStart"/>
      <w:r w:rsidRPr="002D7B81">
        <w:t>Paciocco</w:t>
      </w:r>
      <w:proofErr w:type="spellEnd"/>
      <w:r w:rsidRPr="002D7B81">
        <w:t xml:space="preserve">, </w:t>
      </w:r>
      <w:r w:rsidR="00026C38" w:rsidRPr="002D7B81">
        <w:t>David</w:t>
      </w:r>
      <w:r w:rsidR="00203B3F" w:rsidRPr="002D7B81">
        <w:t xml:space="preserve">. </w:t>
      </w:r>
      <w:r w:rsidRPr="002D7B81">
        <w:t>“Taking a ‘</w:t>
      </w:r>
      <w:proofErr w:type="spellStart"/>
      <w:r w:rsidRPr="002D7B81">
        <w:t>Goudge</w:t>
      </w:r>
      <w:proofErr w:type="spellEnd"/>
      <w:r w:rsidRPr="002D7B81">
        <w:t xml:space="preserve">’ </w:t>
      </w:r>
      <w:r w:rsidR="00CE1A6A" w:rsidRPr="002D7B81">
        <w:t>o</w:t>
      </w:r>
      <w:r w:rsidRPr="002D7B81">
        <w:t xml:space="preserve">ut of Bluster and Blarney: </w:t>
      </w:r>
      <w:r w:rsidR="00CE1A6A" w:rsidRPr="002D7B81">
        <w:t>a</w:t>
      </w:r>
      <w:r w:rsidRPr="002D7B81">
        <w:t>n ‘Evidence</w:t>
      </w:r>
      <w:r w:rsidR="009D3ECF">
        <w:t>-</w:t>
      </w:r>
      <w:r w:rsidRPr="002D7B81">
        <w:t xml:space="preserve">Based Approach’ to Expert Testimony” (2009), 13 </w:t>
      </w:r>
      <w:r w:rsidRPr="002D7B81">
        <w:rPr>
          <w:i/>
        </w:rPr>
        <w:t>Can. Crim. L.R.</w:t>
      </w:r>
      <w:r w:rsidRPr="002D7B81">
        <w:t xml:space="preserve"> 135.</w:t>
      </w:r>
    </w:p>
    <w:p w:rsidR="0015047A" w:rsidRPr="002D7B81" w:rsidRDefault="0015047A" w:rsidP="009D3ECF">
      <w:pPr>
        <w:pStyle w:val="SCCNormalDoubleSpacing"/>
        <w:widowControl w:val="0"/>
        <w:spacing w:after="240" w:line="240" w:lineRule="auto"/>
        <w:ind w:left="539" w:hanging="539"/>
      </w:pPr>
      <w:proofErr w:type="spellStart"/>
      <w:r w:rsidRPr="002D7B81">
        <w:t>Paciocco</w:t>
      </w:r>
      <w:proofErr w:type="spellEnd"/>
      <w:r w:rsidRPr="002D7B81">
        <w:t>, David</w:t>
      </w:r>
      <w:r w:rsidR="009D3ECF">
        <w:t xml:space="preserve"> </w:t>
      </w:r>
      <w:r w:rsidRPr="002D7B81">
        <w:t xml:space="preserve">M. “Unplugging Jukebox Testimony in an Adversarial System: Strategies for Changing the Tune on Partial Experts” (2009), 34 </w:t>
      </w:r>
      <w:r w:rsidRPr="002D7B81">
        <w:rPr>
          <w:i/>
        </w:rPr>
        <w:t>Queen’s L.J.</w:t>
      </w:r>
      <w:r w:rsidRPr="002D7B81">
        <w:t xml:space="preserve"> 565.</w:t>
      </w:r>
    </w:p>
    <w:p w:rsidR="00F275E2" w:rsidRPr="002D7B81" w:rsidRDefault="00203B3F" w:rsidP="009D3ECF">
      <w:pPr>
        <w:pStyle w:val="SCCNormalDoubleSpacing"/>
        <w:widowControl w:val="0"/>
        <w:spacing w:after="240" w:line="240" w:lineRule="auto"/>
        <w:ind w:left="540" w:hanging="540"/>
      </w:pPr>
      <w:proofErr w:type="spellStart"/>
      <w:r w:rsidRPr="002D7B81">
        <w:t>Paciocco</w:t>
      </w:r>
      <w:proofErr w:type="spellEnd"/>
      <w:r w:rsidRPr="002D7B81">
        <w:t>,</w:t>
      </w:r>
      <w:r w:rsidR="00B37DB4" w:rsidRPr="002D7B81">
        <w:t xml:space="preserve"> David</w:t>
      </w:r>
      <w:r w:rsidR="009D3ECF">
        <w:t xml:space="preserve"> </w:t>
      </w:r>
      <w:r w:rsidRPr="002D7B81">
        <w:t xml:space="preserve">M., and Lee Stuesser. </w:t>
      </w:r>
      <w:r w:rsidR="00F275E2" w:rsidRPr="002D7B81">
        <w:rPr>
          <w:i/>
        </w:rPr>
        <w:t>The Law of Evidence</w:t>
      </w:r>
      <w:r w:rsidR="00A30270" w:rsidRPr="002D7B81">
        <w:t>,</w:t>
      </w:r>
      <w:r w:rsidR="00F275E2" w:rsidRPr="002D7B81">
        <w:t xml:space="preserve"> 7th ed. </w:t>
      </w:r>
      <w:r w:rsidR="00A30270" w:rsidRPr="002D7B81">
        <w:t>Toronto: Irwin Law, 2015</w:t>
      </w:r>
      <w:r w:rsidR="00F275E2" w:rsidRPr="002D7B81">
        <w:t>.</w:t>
      </w:r>
    </w:p>
    <w:p w:rsidR="00B92789" w:rsidRPr="002D7B81" w:rsidRDefault="00B92789" w:rsidP="009D3ECF">
      <w:pPr>
        <w:pStyle w:val="SCCNormalDoubleSpacing"/>
        <w:widowControl w:val="0"/>
        <w:spacing w:after="240" w:line="240" w:lineRule="auto"/>
        <w:ind w:left="540" w:hanging="540"/>
        <w:rPr>
          <w:lang w:val="fr-CA"/>
        </w:rPr>
      </w:pPr>
      <w:proofErr w:type="spellStart"/>
      <w:r w:rsidRPr="002D7B81">
        <w:rPr>
          <w:i/>
        </w:rPr>
        <w:t>Phipson</w:t>
      </w:r>
      <w:proofErr w:type="spellEnd"/>
      <w:r w:rsidRPr="002D7B81">
        <w:rPr>
          <w:i/>
        </w:rPr>
        <w:t xml:space="preserve"> on Evidence</w:t>
      </w:r>
      <w:r w:rsidRPr="002D7B81">
        <w:t>, 18th ed. by Hodge</w:t>
      </w:r>
      <w:r w:rsidR="009D3ECF">
        <w:t xml:space="preserve"> </w:t>
      </w:r>
      <w:r w:rsidRPr="002D7B81">
        <w:t xml:space="preserve">M. </w:t>
      </w:r>
      <w:proofErr w:type="spellStart"/>
      <w:r w:rsidRPr="002D7B81">
        <w:t>Malek</w:t>
      </w:r>
      <w:proofErr w:type="spellEnd"/>
      <w:r w:rsidRPr="002D7B81">
        <w:t xml:space="preserve"> et al., eds. </w:t>
      </w:r>
      <w:r w:rsidRPr="002D7B81">
        <w:rPr>
          <w:lang w:val="fr-CA"/>
        </w:rPr>
        <w:t xml:space="preserve">London: </w:t>
      </w:r>
      <w:proofErr w:type="spellStart"/>
      <w:r w:rsidRPr="002D7B81">
        <w:rPr>
          <w:lang w:val="fr-CA"/>
        </w:rPr>
        <w:t>Sweet</w:t>
      </w:r>
      <w:proofErr w:type="spellEnd"/>
      <w:r w:rsidRPr="002D7B81">
        <w:rPr>
          <w:lang w:val="fr-CA"/>
        </w:rPr>
        <w:t xml:space="preserve"> &amp; Maxwell, 2013.</w:t>
      </w:r>
    </w:p>
    <w:p w:rsidR="00F275E2" w:rsidRPr="002D7B81" w:rsidRDefault="00F275E2" w:rsidP="009D3ECF">
      <w:pPr>
        <w:pStyle w:val="SCCNormalDoubleSpacing"/>
        <w:widowControl w:val="0"/>
        <w:spacing w:after="240" w:line="240" w:lineRule="auto"/>
        <w:ind w:left="539" w:hanging="539"/>
        <w:rPr>
          <w:lang w:val="en-US"/>
        </w:rPr>
      </w:pPr>
      <w:r w:rsidRPr="002D7B81">
        <w:rPr>
          <w:lang w:val="fr-CA"/>
        </w:rPr>
        <w:t>Royer, Jean</w:t>
      </w:r>
      <w:r w:rsidR="009D3ECF">
        <w:rPr>
          <w:lang w:val="fr-CA"/>
        </w:rPr>
        <w:t>-</w:t>
      </w:r>
      <w:r w:rsidRPr="002D7B81">
        <w:rPr>
          <w:lang w:val="fr-CA"/>
        </w:rPr>
        <w:t xml:space="preserve">Claude, et Sophie </w:t>
      </w:r>
      <w:proofErr w:type="spellStart"/>
      <w:r w:rsidRPr="002D7B81">
        <w:rPr>
          <w:lang w:val="fr-CA"/>
        </w:rPr>
        <w:t>Lavallée</w:t>
      </w:r>
      <w:proofErr w:type="spellEnd"/>
      <w:r w:rsidRPr="002D7B81">
        <w:rPr>
          <w:lang w:val="fr-CA"/>
        </w:rPr>
        <w:t xml:space="preserve">. </w:t>
      </w:r>
      <w:r w:rsidRPr="002D7B81">
        <w:rPr>
          <w:i/>
          <w:lang w:val="fr-CA"/>
        </w:rPr>
        <w:t>La preuve civile</w:t>
      </w:r>
      <w:r w:rsidRPr="002D7B81">
        <w:rPr>
          <w:lang w:val="fr-CA"/>
        </w:rPr>
        <w:t>, 4</w:t>
      </w:r>
      <w:r w:rsidRPr="002D7B81">
        <w:rPr>
          <w:vertAlign w:val="superscript"/>
          <w:lang w:val="fr-CA"/>
        </w:rPr>
        <w:t>e</w:t>
      </w:r>
      <w:r w:rsidRPr="002D7B81">
        <w:rPr>
          <w:lang w:val="fr-CA"/>
        </w:rPr>
        <w:t xml:space="preserve"> éd. </w:t>
      </w:r>
      <w:proofErr w:type="spellStart"/>
      <w:r w:rsidRPr="002D7B81">
        <w:rPr>
          <w:lang w:val="en-US"/>
        </w:rPr>
        <w:t>Cowansville</w:t>
      </w:r>
      <w:proofErr w:type="spellEnd"/>
      <w:r w:rsidRPr="002D7B81">
        <w:rPr>
          <w:lang w:val="en-US"/>
        </w:rPr>
        <w:t xml:space="preserve">, </w:t>
      </w:r>
      <w:proofErr w:type="spellStart"/>
      <w:r w:rsidRPr="002D7B81">
        <w:rPr>
          <w:lang w:val="en-US"/>
        </w:rPr>
        <w:t>Qué</w:t>
      </w:r>
      <w:proofErr w:type="spellEnd"/>
      <w:r w:rsidRPr="002D7B81">
        <w:rPr>
          <w:lang w:val="en-US"/>
        </w:rPr>
        <w:t xml:space="preserve">.: </w:t>
      </w:r>
      <w:proofErr w:type="spellStart"/>
      <w:r w:rsidRPr="002D7B81">
        <w:rPr>
          <w:lang w:val="en-US"/>
        </w:rPr>
        <w:lastRenderedPageBreak/>
        <w:t>Yvon</w:t>
      </w:r>
      <w:proofErr w:type="spellEnd"/>
      <w:r w:rsidRPr="002D7B81">
        <w:rPr>
          <w:lang w:val="en-US"/>
        </w:rPr>
        <w:t xml:space="preserve"> </w:t>
      </w:r>
      <w:proofErr w:type="spellStart"/>
      <w:r w:rsidRPr="002D7B81">
        <w:rPr>
          <w:lang w:val="en-US"/>
        </w:rPr>
        <w:t>Blais</w:t>
      </w:r>
      <w:proofErr w:type="spellEnd"/>
      <w:r w:rsidRPr="002D7B81">
        <w:rPr>
          <w:lang w:val="en-US"/>
        </w:rPr>
        <w:t>, 2008.</w:t>
      </w:r>
    </w:p>
    <w:p w:rsidR="00854D30" w:rsidRPr="002D7B81" w:rsidRDefault="00854D30" w:rsidP="009D3ECF">
      <w:pPr>
        <w:pStyle w:val="SCCNormalDoubleSpacing"/>
        <w:widowControl w:val="0"/>
        <w:spacing w:after="240" w:line="240" w:lineRule="auto"/>
        <w:ind w:left="540" w:hanging="540"/>
      </w:pPr>
      <w:r w:rsidRPr="002D7B81">
        <w:t xml:space="preserve">Thayer, James Bradley. </w:t>
      </w:r>
      <w:r w:rsidRPr="002D7B81">
        <w:rPr>
          <w:i/>
        </w:rPr>
        <w:t>A Preliminary Treatise on Evidence at the Common Law</w:t>
      </w:r>
      <w:r w:rsidRPr="002D7B81">
        <w:t>. Boston: Little, Brown and Co., 1898 (reprinted South Hackensack, N.J.: Rothman Reprints, Inc., 1969).</w:t>
      </w:r>
    </w:p>
    <w:p w:rsidR="00F275E2" w:rsidRPr="002D7B81" w:rsidRDefault="00854D30" w:rsidP="009D3ECF">
      <w:pPr>
        <w:pStyle w:val="SCCNormalDoubleSpacing"/>
        <w:widowControl w:val="0"/>
        <w:spacing w:after="720" w:line="240" w:lineRule="auto"/>
        <w:ind w:left="540" w:hanging="540"/>
      </w:pPr>
      <w:r w:rsidRPr="002D7B81">
        <w:t xml:space="preserve">United Kingdom. </w:t>
      </w:r>
      <w:r w:rsidR="00F275E2" w:rsidRPr="002D7B81">
        <w:rPr>
          <w:i/>
        </w:rPr>
        <w:t>Access to Justice: Final Report</w:t>
      </w:r>
      <w:r w:rsidRPr="002D7B81">
        <w:t xml:space="preserve"> (Woolf Report). London: HMSO, 1996.</w:t>
      </w:r>
    </w:p>
    <w:p w:rsidR="001340D9" w:rsidRPr="002D7B81" w:rsidRDefault="00635C8F" w:rsidP="009D3ECF">
      <w:pPr>
        <w:pStyle w:val="SCCNormalDoubleSpacing"/>
        <w:widowControl w:val="0"/>
        <w:spacing w:after="480"/>
      </w:pPr>
      <w:r w:rsidRPr="002D7B81">
        <w:tab/>
      </w:r>
      <w:r w:rsidR="009B57B3" w:rsidRPr="002D7B81">
        <w:t>APPEAL from a judgment of the Nova Scotia Court of Appeal</w:t>
      </w:r>
      <w:r w:rsidRPr="002D7B81">
        <w:t xml:space="preserve"> (</w:t>
      </w:r>
      <w:r w:rsidR="00236BDA" w:rsidRPr="002D7B81">
        <w:t>MacDonald C.J.</w:t>
      </w:r>
      <w:r w:rsidR="00586687" w:rsidRPr="002D7B81">
        <w:t xml:space="preserve"> and</w:t>
      </w:r>
      <w:r w:rsidR="006E4E1D" w:rsidRPr="002D7B81">
        <w:t xml:space="preserve"> </w:t>
      </w:r>
      <w:r w:rsidR="00586687" w:rsidRPr="002D7B81">
        <w:t>Oland and Beveridge JJ.A.</w:t>
      </w:r>
      <w:r w:rsidR="00236BDA" w:rsidRPr="002D7B81">
        <w:t xml:space="preserve">), 2013 NSCA 66, 330 N.S.R. (2d) 301, 361 D.L.R. (4th) 659, 36 C.P.C. (7th) 22, [2013] N.S.J. </w:t>
      </w:r>
      <w:r w:rsidR="00001D79" w:rsidRPr="002D7B81">
        <w:t>No.</w:t>
      </w:r>
      <w:r w:rsidR="009D3ECF">
        <w:t xml:space="preserve"> </w:t>
      </w:r>
      <w:r w:rsidR="00236BDA" w:rsidRPr="002D7B81">
        <w:t>259</w:t>
      </w:r>
      <w:r w:rsidR="003A3A6D" w:rsidRPr="002D7B81">
        <w:rPr>
          <w:lang w:val="en-US"/>
        </w:rPr>
        <w:t xml:space="preserve"> (QL)</w:t>
      </w:r>
      <w:r w:rsidR="00236BDA" w:rsidRPr="002D7B81">
        <w:t xml:space="preserve">, 2013 </w:t>
      </w:r>
      <w:proofErr w:type="spellStart"/>
      <w:r w:rsidR="00236BDA" w:rsidRPr="002D7B81">
        <w:t>CarswellNS</w:t>
      </w:r>
      <w:proofErr w:type="spellEnd"/>
      <w:r w:rsidR="00236BDA" w:rsidRPr="002D7B81">
        <w:t xml:space="preserve"> 360</w:t>
      </w:r>
      <w:r w:rsidR="002E7305" w:rsidRPr="002D7B81">
        <w:t xml:space="preserve"> (WL Can.)</w:t>
      </w:r>
      <w:r w:rsidR="00236BDA" w:rsidRPr="002D7B81">
        <w:t xml:space="preserve">, </w:t>
      </w:r>
      <w:r w:rsidR="002E7305" w:rsidRPr="002D7B81">
        <w:t>setting aside</w:t>
      </w:r>
      <w:r w:rsidR="00236BDA" w:rsidRPr="002D7B81">
        <w:t xml:space="preserve"> </w:t>
      </w:r>
      <w:r w:rsidR="00B665EF" w:rsidRPr="002D7B81">
        <w:t xml:space="preserve">in part </w:t>
      </w:r>
      <w:r w:rsidR="00236BDA" w:rsidRPr="002D7B81">
        <w:t xml:space="preserve">a decision of </w:t>
      </w:r>
      <w:r w:rsidR="001340D9" w:rsidRPr="002D7B81">
        <w:t xml:space="preserve">Pickup J., 2012 NSSC 210, 317 N.S.R. (2d) 283, 26 C.P.C. (7th) 280, [2012] N.S.J. </w:t>
      </w:r>
      <w:r w:rsidR="00001D79" w:rsidRPr="002D7B81">
        <w:t>No.</w:t>
      </w:r>
      <w:r w:rsidR="009D3ECF">
        <w:t xml:space="preserve"> </w:t>
      </w:r>
      <w:r w:rsidR="001340D9" w:rsidRPr="002D7B81">
        <w:t>289</w:t>
      </w:r>
      <w:r w:rsidR="003A3A6D" w:rsidRPr="002D7B81">
        <w:rPr>
          <w:lang w:val="en-US"/>
        </w:rPr>
        <w:t xml:space="preserve"> (QL)</w:t>
      </w:r>
      <w:r w:rsidR="001340D9" w:rsidRPr="002D7B81">
        <w:t xml:space="preserve">, 2012 </w:t>
      </w:r>
      <w:proofErr w:type="spellStart"/>
      <w:r w:rsidR="001340D9" w:rsidRPr="002D7B81">
        <w:t>CarswellNS</w:t>
      </w:r>
      <w:proofErr w:type="spellEnd"/>
      <w:r w:rsidR="001340D9" w:rsidRPr="002D7B81">
        <w:t xml:space="preserve"> 376</w:t>
      </w:r>
      <w:r w:rsidR="002E7305" w:rsidRPr="002D7B81">
        <w:t xml:space="preserve"> (WL Can.)</w:t>
      </w:r>
      <w:r w:rsidR="001340D9" w:rsidRPr="002D7B81">
        <w:t xml:space="preserve">. Appeal </w:t>
      </w:r>
      <w:r w:rsidR="006C26EE" w:rsidRPr="002D7B81">
        <w:t>dismissed</w:t>
      </w:r>
      <w:r w:rsidR="001340D9" w:rsidRPr="002D7B81">
        <w:t>.</w:t>
      </w:r>
    </w:p>
    <w:p w:rsidR="00AE7E1B" w:rsidRPr="002D7B81" w:rsidRDefault="002E7305" w:rsidP="009D3ECF">
      <w:pPr>
        <w:pStyle w:val="SCCNormalDoubleSpacing"/>
        <w:widowControl w:val="0"/>
        <w:spacing w:after="480"/>
      </w:pPr>
      <w:r w:rsidRPr="00D931D6">
        <w:rPr>
          <w:i/>
        </w:rPr>
        <w:tab/>
      </w:r>
      <w:r w:rsidR="006C26EE" w:rsidRPr="00D931D6">
        <w:rPr>
          <w:i/>
        </w:rPr>
        <w:t>Alan</w:t>
      </w:r>
      <w:r w:rsidR="00F455DF" w:rsidRPr="00D931D6">
        <w:rPr>
          <w:i/>
        </w:rPr>
        <w:t xml:space="preserve"> </w:t>
      </w:r>
      <w:proofErr w:type="spellStart"/>
      <w:r w:rsidR="00F455DF" w:rsidRPr="00D931D6">
        <w:rPr>
          <w:i/>
        </w:rPr>
        <w:t>D’</w:t>
      </w:r>
      <w:r w:rsidR="00F236D7" w:rsidRPr="00D931D6">
        <w:rPr>
          <w:i/>
        </w:rPr>
        <w:t>Silva</w:t>
      </w:r>
      <w:proofErr w:type="spellEnd"/>
      <w:r w:rsidR="00F236D7" w:rsidRPr="002D7B81">
        <w:t xml:space="preserve">, </w:t>
      </w:r>
      <w:r w:rsidRPr="00D931D6">
        <w:rPr>
          <w:i/>
        </w:rPr>
        <w:t>James</w:t>
      </w:r>
      <w:r w:rsidR="00F236D7" w:rsidRPr="00D931D6">
        <w:rPr>
          <w:i/>
        </w:rPr>
        <w:t xml:space="preserve"> Wilson</w:t>
      </w:r>
      <w:r w:rsidR="006C26EE" w:rsidRPr="002D7B81">
        <w:t xml:space="preserve"> and </w:t>
      </w:r>
      <w:r w:rsidR="006C26EE" w:rsidRPr="002D7B81">
        <w:rPr>
          <w:i/>
        </w:rPr>
        <w:t xml:space="preserve">Aaron </w:t>
      </w:r>
      <w:proofErr w:type="spellStart"/>
      <w:r w:rsidR="006C26EE" w:rsidRPr="002D7B81">
        <w:rPr>
          <w:i/>
        </w:rPr>
        <w:t>Kreaden</w:t>
      </w:r>
      <w:proofErr w:type="spellEnd"/>
      <w:r w:rsidR="006C26EE" w:rsidRPr="002D7B81">
        <w:t>,</w:t>
      </w:r>
      <w:r w:rsidR="00F236D7" w:rsidRPr="002D7B81">
        <w:t xml:space="preserve"> for the appellant</w:t>
      </w:r>
      <w:r w:rsidR="00F455DF" w:rsidRPr="002D7B81">
        <w:t>s</w:t>
      </w:r>
      <w:r w:rsidR="00F236D7" w:rsidRPr="002D7B81">
        <w:t>.</w:t>
      </w:r>
    </w:p>
    <w:p w:rsidR="00AE7E1B" w:rsidRPr="002D7B81" w:rsidRDefault="00F236D7" w:rsidP="009D3ECF">
      <w:pPr>
        <w:pStyle w:val="SCCNormalDoubleSpacing"/>
        <w:widowControl w:val="0"/>
        <w:spacing w:after="480"/>
      </w:pPr>
      <w:r w:rsidRPr="007757F5">
        <w:tab/>
      </w:r>
      <w:r w:rsidR="00BA072B" w:rsidRPr="00D931D6">
        <w:rPr>
          <w:i/>
        </w:rPr>
        <w:t>Jon Laxer</w:t>
      </w:r>
      <w:r w:rsidR="00BA072B" w:rsidRPr="007757F5">
        <w:t xml:space="preserve"> </w:t>
      </w:r>
      <w:r w:rsidR="006C26EE" w:rsidRPr="007757F5">
        <w:t xml:space="preserve">and </w:t>
      </w:r>
      <w:r w:rsidR="002E7305" w:rsidRPr="00D931D6">
        <w:rPr>
          <w:i/>
        </w:rPr>
        <w:t>Brian</w:t>
      </w:r>
      <w:r w:rsidR="009D3ECF">
        <w:rPr>
          <w:i/>
        </w:rPr>
        <w:t xml:space="preserve"> </w:t>
      </w:r>
      <w:r w:rsidR="002E7305" w:rsidRPr="00D931D6">
        <w:rPr>
          <w:i/>
        </w:rPr>
        <w:t>F.</w:t>
      </w:r>
      <w:r w:rsidR="009D3ECF">
        <w:rPr>
          <w:i/>
        </w:rPr>
        <w:t xml:space="preserve"> </w:t>
      </w:r>
      <w:r w:rsidR="006C26EE" w:rsidRPr="00D931D6">
        <w:rPr>
          <w:i/>
        </w:rPr>
        <w:t xml:space="preserve">P. </w:t>
      </w:r>
      <w:r w:rsidRPr="00D931D6">
        <w:rPr>
          <w:i/>
        </w:rPr>
        <w:t>Murphy</w:t>
      </w:r>
      <w:r w:rsidRPr="002D7B81">
        <w:t>, for the respondent</w:t>
      </w:r>
      <w:r w:rsidR="00BA072B" w:rsidRPr="002D7B81">
        <w:t>s</w:t>
      </w:r>
      <w:r w:rsidRPr="002D7B81">
        <w:t>.</w:t>
      </w:r>
    </w:p>
    <w:p w:rsidR="00AE7E1B" w:rsidRPr="002D7B81" w:rsidRDefault="002E7305" w:rsidP="009D3ECF">
      <w:pPr>
        <w:pStyle w:val="SCCNormalDoubleSpacing"/>
        <w:widowControl w:val="0"/>
        <w:spacing w:after="480"/>
      </w:pPr>
      <w:r w:rsidRPr="00D931D6">
        <w:rPr>
          <w:i/>
        </w:rPr>
        <w:tab/>
        <w:t>Michael</w:t>
      </w:r>
      <w:r w:rsidR="009D3ECF">
        <w:rPr>
          <w:i/>
        </w:rPr>
        <w:t xml:space="preserve"> </w:t>
      </w:r>
      <w:r w:rsidR="00F236D7" w:rsidRPr="00D931D6">
        <w:rPr>
          <w:i/>
        </w:rPr>
        <w:t>H. Morris</w:t>
      </w:r>
      <w:r w:rsidR="00F236D7" w:rsidRPr="002D7B81">
        <w:t xml:space="preserve">, for the intervener </w:t>
      </w:r>
      <w:r w:rsidR="00BA072B" w:rsidRPr="002D7B81">
        <w:t xml:space="preserve">the </w:t>
      </w:r>
      <w:r w:rsidR="00F236D7" w:rsidRPr="002D7B81">
        <w:t>Attorney General of Canada.</w:t>
      </w:r>
    </w:p>
    <w:p w:rsidR="00AE7E1B" w:rsidRDefault="00F236D7" w:rsidP="009D3ECF">
      <w:pPr>
        <w:pStyle w:val="SCCNormalDoubleSpacing"/>
        <w:widowControl w:val="0"/>
        <w:spacing w:after="480"/>
      </w:pPr>
      <w:r w:rsidRPr="00D931D6">
        <w:rPr>
          <w:i/>
        </w:rPr>
        <w:tab/>
        <w:t xml:space="preserve">Matthew </w:t>
      </w:r>
      <w:proofErr w:type="spellStart"/>
      <w:r w:rsidRPr="00D931D6">
        <w:rPr>
          <w:i/>
        </w:rPr>
        <w:t>Gourlay</w:t>
      </w:r>
      <w:proofErr w:type="spellEnd"/>
      <w:r w:rsidRPr="002D7B81">
        <w:t xml:space="preserve">, for the intervener </w:t>
      </w:r>
      <w:r w:rsidR="00BA072B" w:rsidRPr="002D7B81">
        <w:t xml:space="preserve">the </w:t>
      </w:r>
      <w:r w:rsidRPr="002D7B81">
        <w:t>Cr</w:t>
      </w:r>
      <w:r w:rsidR="00BA072B" w:rsidRPr="002D7B81">
        <w:t>iminal Lawyers’</w:t>
      </w:r>
      <w:r w:rsidRPr="002D7B81">
        <w:t xml:space="preserve"> Association (Ontario).</w:t>
      </w:r>
    </w:p>
    <w:p w:rsidR="009D3ECF" w:rsidRDefault="009D3ECF" w:rsidP="009D3ECF">
      <w:pPr>
        <w:pStyle w:val="SCCNormalDoubleSpacing"/>
        <w:widowControl w:val="0"/>
        <w:spacing w:after="480"/>
      </w:pPr>
      <w:r>
        <w:tab/>
      </w:r>
      <w:r w:rsidRPr="009D3ECF">
        <w:t>The judgment of the Court was delivered by</w:t>
      </w:r>
    </w:p>
    <w:p w:rsidR="009D3ECF" w:rsidRPr="002C47EE" w:rsidRDefault="009D3ECF" w:rsidP="009D3ECF">
      <w:pPr>
        <w:pStyle w:val="JudgeJuge"/>
        <w:widowControl w:val="0"/>
        <w:outlineLvl w:val="0"/>
      </w:pPr>
      <w:r w:rsidRPr="002C47EE">
        <w:tab/>
        <w:t xml:space="preserve">Cromwell J. — </w:t>
      </w:r>
    </w:p>
    <w:p w:rsidR="009D3ECF" w:rsidRPr="002C47EE" w:rsidRDefault="009D3ECF" w:rsidP="009D3ECF">
      <w:pPr>
        <w:pStyle w:val="Title1LevelTitre1Niveau-AltL"/>
        <w:widowControl w:val="0"/>
        <w:numPr>
          <w:ilvl w:val="0"/>
          <w:numId w:val="22"/>
        </w:numPr>
        <w:rPr>
          <w:rFonts w:cs="Times New Roman"/>
        </w:rPr>
      </w:pPr>
      <w:r w:rsidRPr="002C47EE">
        <w:rPr>
          <w:rFonts w:cs="Times New Roman"/>
        </w:rPr>
        <w:lastRenderedPageBreak/>
        <w:t>Introduction and Issues</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Expert opinion evidence can be a key element in the search for truth, but it may also pose special dangers. To guard against them, the Court over the last 20 years or so has progressively tightened the rules of admissibility and enhanced the trial judge’s gatekeeping role. These developments seek to ensure that expert opinion evidence meets certain basic standards before it is admitted. The question on this appeal is whether one of these basic standards for admissibility should relate to the proposed expert’s independence and impartiality. In my view, it should.</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Expert witnesses have a special duty to the court to provide fair, objective and non-partisan assistance. A proposed expert witness who is unable or unwilling to comply with this duty is not qualified to give expert opinion evidence and should not be permitted to do so. Less fundamental concerns about an expert’s independence and impartiality should be taken into account in the broader, overall weighing of the costs and benefits of receiving the evidence.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Applying these principles, I agree with the conclusion reached by the majority of the Nova Scotia Court of Appeal and would therefore dismiss this appeal with costs.</w:t>
      </w:r>
    </w:p>
    <w:p w:rsidR="009D3ECF" w:rsidRPr="002C47EE" w:rsidRDefault="009D3ECF" w:rsidP="009D3ECF">
      <w:pPr>
        <w:pStyle w:val="Title1LevelTitre1Niveau-AltL"/>
        <w:widowControl w:val="0"/>
        <w:numPr>
          <w:ilvl w:val="0"/>
          <w:numId w:val="22"/>
        </w:numPr>
        <w:rPr>
          <w:rFonts w:cs="Times New Roman"/>
        </w:rPr>
      </w:pPr>
      <w:r w:rsidRPr="002C47EE">
        <w:rPr>
          <w:rFonts w:cs="Times New Roman"/>
        </w:rPr>
        <w:t>Overview of the Facts and Judicial History</w:t>
      </w:r>
    </w:p>
    <w:p w:rsidR="009D3ECF" w:rsidRPr="002C47EE" w:rsidRDefault="009D3ECF" w:rsidP="009D3ECF">
      <w:pPr>
        <w:pStyle w:val="Title2LevelTitre2Niveau"/>
        <w:widowControl w:val="0"/>
        <w:numPr>
          <w:ilvl w:val="1"/>
          <w:numId w:val="22"/>
        </w:numPr>
        <w:rPr>
          <w:rFonts w:cs="Times New Roman"/>
        </w:rPr>
      </w:pPr>
      <w:r w:rsidRPr="002C47EE">
        <w:rPr>
          <w:rFonts w:cs="Times New Roman"/>
        </w:rPr>
        <w:t>Facts and Proceedings</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lastRenderedPageBreak/>
        <w:t xml:space="preserve">The appeal arises out of a professional negligence action by the respondents (who I will call the shareholders) against the appellants, the former auditors of their company (I will refer to them as the auditors). The shareholders started the action after they had retained a different accounting firm, the </w:t>
      </w:r>
      <w:proofErr w:type="spellStart"/>
      <w:r w:rsidRPr="002C47EE">
        <w:rPr>
          <w:rFonts w:cs="Times New Roman"/>
        </w:rPr>
        <w:t>Kentville</w:t>
      </w:r>
      <w:proofErr w:type="spellEnd"/>
      <w:r w:rsidRPr="002C47EE">
        <w:rPr>
          <w:rFonts w:cs="Times New Roman"/>
        </w:rPr>
        <w:t xml:space="preserve"> office of Grant Thornton LLP, to perform various accounting tasks and which in their view revealed problems with the auditors’ previous work. The central allegation in the action is that the auditors’ failure to apply generally accepted auditing and accounting standards while carrying out their functions caused financial loss to the shareholders. The main question in the action boils down to whether the auditors were negligent in the performance of their professional duties.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The auditors brought a motion for summary judgment in August of 2010, seeking to have the shareholders’ action dismissed. In response, the shareholders retained Susan MacMillan, a forensic accounting partner at the Halifax office of Grant Thornton, to review all the relevant materials, including the documents filed in the action</w:t>
      </w:r>
      <w:r w:rsidR="00E4271D">
        <w:rPr>
          <w:rFonts w:cs="Times New Roman"/>
        </w:rPr>
        <w:t>,</w:t>
      </w:r>
      <w:r w:rsidRPr="002C47EE">
        <w:rPr>
          <w:rFonts w:cs="Times New Roman"/>
        </w:rPr>
        <w:t xml:space="preserve"> and to prepare a report of her findings. Her affidavit set out her findings, including her opinion that the auditors had not complied with their professional obligations to the shareholders. The auditors applied to strike out Ms. MacMillan’s affidavit on the grounds that she was not an impartial expert witness. They argued that the action comes down to a battle of opinion between two accounting firms — the auditors’ and the expert </w:t>
      </w:r>
      <w:proofErr w:type="spellStart"/>
      <w:r w:rsidRPr="002C47EE">
        <w:rPr>
          <w:rFonts w:cs="Times New Roman"/>
        </w:rPr>
        <w:t>witness’s</w:t>
      </w:r>
      <w:proofErr w:type="spellEnd"/>
      <w:r w:rsidRPr="002C47EE">
        <w:rPr>
          <w:rFonts w:cs="Times New Roman"/>
        </w:rPr>
        <w:t>. Ms. MacMillan’s firm could be exposed to liability if its approach was not accepted by the court and, as a partner, Ms.</w:t>
      </w:r>
      <w:r>
        <w:rPr>
          <w:rFonts w:cs="Times New Roman"/>
        </w:rPr>
        <w:t xml:space="preserve"> </w:t>
      </w:r>
      <w:r w:rsidRPr="002C47EE">
        <w:rPr>
          <w:rFonts w:cs="Times New Roman"/>
        </w:rPr>
        <w:t xml:space="preserve">MacMillan could be personally liable. Her potential liability if her opinion were not accepted gives her a personal financial interest in the outcome of the litigations and </w:t>
      </w:r>
      <w:r w:rsidRPr="002C47EE">
        <w:rPr>
          <w:rFonts w:cs="Times New Roman"/>
        </w:rPr>
        <w:lastRenderedPageBreak/>
        <w:t xml:space="preserve">this, in the auditors’ submission, ought to disqualify her from testifying.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The proceedings since have been neither summary nor resulted in a judgment. Instead, the litigation has been focused on the expert evidence issue; the summary judgment application has not yet been heard on its merits.</w:t>
      </w:r>
    </w:p>
    <w:p w:rsidR="009D3ECF" w:rsidRPr="002C47EE" w:rsidRDefault="009D3ECF" w:rsidP="009D3ECF">
      <w:pPr>
        <w:pStyle w:val="Title2LevelTitre2Niveau"/>
        <w:widowControl w:val="0"/>
        <w:numPr>
          <w:ilvl w:val="1"/>
          <w:numId w:val="22"/>
        </w:numPr>
        <w:rPr>
          <w:rFonts w:cs="Times New Roman"/>
        </w:rPr>
      </w:pPr>
      <w:bookmarkStart w:id="1" w:name="_Toc399605463"/>
      <w:r w:rsidRPr="002C47EE">
        <w:rPr>
          <w:rFonts w:cs="Times New Roman"/>
        </w:rPr>
        <w:t>Judgments Below</w:t>
      </w:r>
      <w:bookmarkEnd w:id="1"/>
    </w:p>
    <w:p w:rsidR="009D3ECF" w:rsidRPr="002C47EE" w:rsidRDefault="009D3ECF" w:rsidP="00471282">
      <w:pPr>
        <w:pStyle w:val="Title3LevelTitre3Niveau"/>
        <w:widowControl w:val="0"/>
        <w:numPr>
          <w:ilvl w:val="2"/>
          <w:numId w:val="22"/>
        </w:numPr>
        <w:jc w:val="both"/>
        <w:rPr>
          <w:rFonts w:cs="Times New Roman"/>
        </w:rPr>
      </w:pPr>
      <w:r w:rsidRPr="002C47EE">
        <w:rPr>
          <w:rFonts w:cs="Times New Roman"/>
        </w:rPr>
        <w:t>Nova Scotia Supreme Court: 2012 NSSC 210, 317 N.S.R. (2d) 283 (Pickup J.)</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Pickup J. essentially agreed with the auditors and struck out the MacMillan affidavit in its entirety: para. 106. He found that, in order to be admissible, an expert’s evidence “must be, and be seen to be, independent and impartial”: para. 99. Applying that test, he concluded that this was one of those “clearest of cases where the reliability of the </w:t>
      </w:r>
      <w:proofErr w:type="gramStart"/>
      <w:r w:rsidRPr="002C47EE">
        <w:rPr>
          <w:rFonts w:cs="Times New Roman"/>
        </w:rPr>
        <w:t xml:space="preserve">expert </w:t>
      </w:r>
      <w:r>
        <w:rPr>
          <w:rFonts w:cs="Times New Roman"/>
        </w:rPr>
        <w:t>.</w:t>
      </w:r>
      <w:proofErr w:type="gramEnd"/>
      <w:r>
        <w:rPr>
          <w:rFonts w:cs="Times New Roman"/>
        </w:rPr>
        <w:t> . .</w:t>
      </w:r>
      <w:r w:rsidRPr="002C47EE">
        <w:rPr>
          <w:rFonts w:cs="Times New Roman"/>
        </w:rPr>
        <w:t xml:space="preserve"> does not meet the threshold requirements for admissibility”: para. 101. </w:t>
      </w:r>
    </w:p>
    <w:p w:rsidR="009D3ECF" w:rsidRPr="002C47EE" w:rsidRDefault="009D3ECF" w:rsidP="00471282">
      <w:pPr>
        <w:pStyle w:val="Title3LevelTitre3Niveau"/>
        <w:widowControl w:val="0"/>
        <w:numPr>
          <w:ilvl w:val="2"/>
          <w:numId w:val="22"/>
        </w:numPr>
        <w:jc w:val="both"/>
        <w:rPr>
          <w:rFonts w:cs="Times New Roman"/>
        </w:rPr>
      </w:pPr>
      <w:r w:rsidRPr="002C47EE">
        <w:rPr>
          <w:rFonts w:cs="Times New Roman"/>
        </w:rPr>
        <w:t>Nova Scotia Court of Appeal: 2013 NSCA 66, 330 N.S.R. (2d) 301 (Beveridge J.A., Oland J.A.</w:t>
      </w:r>
      <w:r w:rsidR="00E4271D">
        <w:rPr>
          <w:rFonts w:cs="Times New Roman"/>
        </w:rPr>
        <w:t xml:space="preserve"> Concurring; MacDonald C.J.N.S.</w:t>
      </w:r>
      <w:r w:rsidRPr="002C47EE">
        <w:rPr>
          <w:rFonts w:cs="Times New Roman"/>
        </w:rPr>
        <w:t xml:space="preserve"> Dissenting)</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The majority of the Court of Appeal concluded that the motions judge erred in excluding Ms. MacMillan’s affidavit.  Beveridge J.A. wrote that while the court has discretion to exclude expert evidence due to actual bias or partiality, the test adopted by the motions judge — that an expert “must be, and be seen to be, independent and impartial” — was wrong in law. He ought not to have ruled her </w:t>
      </w:r>
      <w:r w:rsidRPr="002C47EE">
        <w:rPr>
          <w:rFonts w:cs="Times New Roman"/>
        </w:rPr>
        <w:lastRenderedPageBreak/>
        <w:t>evidence inadmissible and struck out her affidavit.</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MacDonald C.J.N.S., dissenting, would have upheld the motions judge’s decision because he had properly articulated and applied the relevant legal principles.  </w:t>
      </w:r>
    </w:p>
    <w:p w:rsidR="009D3ECF" w:rsidRPr="002C47EE" w:rsidRDefault="009D3ECF" w:rsidP="009D3ECF">
      <w:pPr>
        <w:pStyle w:val="Title1LevelTitre1Niveau-AltL"/>
        <w:widowControl w:val="0"/>
        <w:numPr>
          <w:ilvl w:val="0"/>
          <w:numId w:val="22"/>
        </w:numPr>
        <w:rPr>
          <w:rFonts w:cs="Times New Roman"/>
        </w:rPr>
      </w:pPr>
      <w:r w:rsidRPr="002C47EE">
        <w:rPr>
          <w:rFonts w:cs="Times New Roman"/>
        </w:rPr>
        <w:t xml:space="preserve">Analysis </w:t>
      </w:r>
    </w:p>
    <w:p w:rsidR="009D3ECF" w:rsidRPr="002C47EE" w:rsidRDefault="009D3ECF" w:rsidP="009D3ECF">
      <w:pPr>
        <w:pStyle w:val="Title2LevelTitre2Niveau"/>
        <w:widowControl w:val="0"/>
        <w:numPr>
          <w:ilvl w:val="1"/>
          <w:numId w:val="22"/>
        </w:numPr>
        <w:rPr>
          <w:rFonts w:cs="Times New Roman"/>
        </w:rPr>
      </w:pPr>
      <w:r w:rsidRPr="002C47EE">
        <w:rPr>
          <w:rFonts w:cs="Times New Roman"/>
        </w:rPr>
        <w:t>Overview</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In my view, expert witnesses have a duty to the court to give fair, objective and non-partisan opinion evidence. They must be aware of this duty and able and willing to carry it out. If they do not meet this threshold requirement, their evidence should not be admitted. Once this threshold is met, however, concerns about an expert witness’s independence or impartiality should be considered as part of the overall weighing of the costs and benefits of admitting the evidence. This common law approach is, of course, subject to statutory and related provisions which may establish different rules of admissibility.</w:t>
      </w:r>
    </w:p>
    <w:p w:rsidR="009D3ECF" w:rsidRPr="002C47EE" w:rsidRDefault="009D3ECF" w:rsidP="009D3ECF">
      <w:pPr>
        <w:pStyle w:val="Title2LevelTitre2Niveau"/>
        <w:widowControl w:val="0"/>
        <w:numPr>
          <w:ilvl w:val="1"/>
          <w:numId w:val="22"/>
        </w:numPr>
        <w:rPr>
          <w:rFonts w:cs="Times New Roman"/>
        </w:rPr>
      </w:pPr>
      <w:r w:rsidRPr="002C47EE">
        <w:rPr>
          <w:rFonts w:cs="Times New Roman"/>
        </w:rPr>
        <w:t>Expert Witness Independence and Impartiality</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There have been long-standing concerns about whether expert witnesses hired by the parties are impartial in the sense that they are expressing their own unbiased professional opinion and whether they are independent in the sense that their opinion is the product of their own, independent conclusions based on their own knowledge and judgment:  see, e.g., G. R. Anderson, </w:t>
      </w:r>
      <w:r w:rsidRPr="002C47EE">
        <w:rPr>
          <w:rFonts w:cs="Times New Roman"/>
          <w:i/>
        </w:rPr>
        <w:t>Expert Evidence</w:t>
      </w:r>
      <w:r w:rsidRPr="002C47EE">
        <w:rPr>
          <w:rFonts w:cs="Times New Roman"/>
        </w:rPr>
        <w:t xml:space="preserve"> (3rd ed. 2014),</w:t>
      </w:r>
      <w:r w:rsidRPr="002C47EE">
        <w:rPr>
          <w:rFonts w:cs="Times New Roman"/>
          <w:lang w:val="en-US"/>
        </w:rPr>
        <w:t xml:space="preserve"> </w:t>
      </w:r>
      <w:r w:rsidRPr="002C47EE">
        <w:rPr>
          <w:rFonts w:cs="Times New Roman"/>
          <w:lang w:val="en-US"/>
        </w:rPr>
        <w:lastRenderedPageBreak/>
        <w:t xml:space="preserve">at p. 509; S. N. </w:t>
      </w:r>
      <w:r w:rsidRPr="002C47EE">
        <w:rPr>
          <w:rFonts w:eastAsiaTheme="majorEastAsia" w:cs="Times New Roman"/>
          <w:lang w:val="en-US"/>
        </w:rPr>
        <w:t xml:space="preserve">Lederman, A. W. Bryant and M. K. </w:t>
      </w:r>
      <w:proofErr w:type="spellStart"/>
      <w:r w:rsidRPr="002C47EE">
        <w:rPr>
          <w:rFonts w:eastAsiaTheme="majorEastAsia" w:cs="Times New Roman"/>
          <w:lang w:val="en-US"/>
        </w:rPr>
        <w:t>Fuerst</w:t>
      </w:r>
      <w:proofErr w:type="spellEnd"/>
      <w:r w:rsidRPr="002C47EE">
        <w:rPr>
          <w:rFonts w:eastAsiaTheme="majorEastAsia" w:cs="Times New Roman"/>
          <w:lang w:val="en-US"/>
        </w:rPr>
        <w:t xml:space="preserve">, </w:t>
      </w:r>
      <w:r w:rsidRPr="002C47EE">
        <w:rPr>
          <w:rFonts w:eastAsiaTheme="majorEastAsia" w:cs="Times New Roman"/>
          <w:i/>
          <w:lang w:val="en-US"/>
        </w:rPr>
        <w:t>The Law of Evidence in Canada</w:t>
      </w:r>
      <w:r w:rsidRPr="002C47EE">
        <w:rPr>
          <w:rFonts w:eastAsiaTheme="majorEastAsia" w:cs="Times New Roman"/>
          <w:lang w:val="en-US"/>
        </w:rPr>
        <w:t xml:space="preserve"> </w:t>
      </w:r>
      <w:r w:rsidRPr="002C47EE">
        <w:rPr>
          <w:rFonts w:eastAsiaTheme="majorEastAsia" w:cs="Times New Roman"/>
        </w:rPr>
        <w:t>(</w:t>
      </w:r>
      <w:r w:rsidRPr="002C47EE">
        <w:rPr>
          <w:rFonts w:eastAsiaTheme="majorEastAsia" w:cs="Times New Roman"/>
          <w:lang w:val="en-US"/>
        </w:rPr>
        <w:t xml:space="preserve">4th ed. </w:t>
      </w:r>
      <w:r w:rsidRPr="002C47EE">
        <w:rPr>
          <w:rFonts w:eastAsiaTheme="majorEastAsia" w:cs="Times New Roman"/>
        </w:rPr>
        <w:t xml:space="preserve">2014), </w:t>
      </w:r>
      <w:r w:rsidRPr="002C47EE">
        <w:rPr>
          <w:rFonts w:eastAsiaTheme="majorEastAsia" w:cs="Times New Roman"/>
          <w:lang w:val="en-US"/>
        </w:rPr>
        <w:t xml:space="preserve">at p. 783. As Sir George </w:t>
      </w:r>
      <w:proofErr w:type="spellStart"/>
      <w:r w:rsidRPr="002C47EE">
        <w:rPr>
          <w:rFonts w:eastAsiaTheme="majorEastAsia" w:cs="Times New Roman"/>
          <w:lang w:val="en-US"/>
        </w:rPr>
        <w:t>Jessel</w:t>
      </w:r>
      <w:proofErr w:type="spellEnd"/>
      <w:r w:rsidRPr="002C47EE">
        <w:rPr>
          <w:rFonts w:eastAsiaTheme="majorEastAsia" w:cs="Times New Roman"/>
          <w:lang w:val="en-US"/>
        </w:rPr>
        <w:t>, M.R., put it in the 1870s, “</w:t>
      </w:r>
      <w:r w:rsidRPr="002C47EE">
        <w:rPr>
          <w:rFonts w:cs="Times New Roman"/>
        </w:rPr>
        <w:t>[u]</w:t>
      </w:r>
      <w:proofErr w:type="spellStart"/>
      <w:r w:rsidRPr="002C47EE">
        <w:rPr>
          <w:rFonts w:cs="Times New Roman"/>
        </w:rPr>
        <w:t>ndoubtedly</w:t>
      </w:r>
      <w:proofErr w:type="spellEnd"/>
      <w:r w:rsidRPr="002C47EE">
        <w:rPr>
          <w:rFonts w:cs="Times New Roman"/>
        </w:rPr>
        <w:t xml:space="preserve"> there is a natural bias to do something serviceable for those who employ you and adequately remunerate you. It is very natural, and it is so effectual, that we constantly see persons, instead of considering themselves witnesses, rather consider themselves as the paid agents of the person who employs them”: </w:t>
      </w:r>
      <w:r w:rsidRPr="002C47EE">
        <w:rPr>
          <w:rFonts w:cs="Times New Roman"/>
          <w:i/>
        </w:rPr>
        <w:t xml:space="preserve">Lord </w:t>
      </w:r>
      <w:proofErr w:type="spellStart"/>
      <w:r w:rsidRPr="002C47EE">
        <w:rPr>
          <w:rFonts w:cs="Times New Roman"/>
          <w:i/>
        </w:rPr>
        <w:t>Abinger</w:t>
      </w:r>
      <w:proofErr w:type="spellEnd"/>
      <w:r w:rsidRPr="002C47EE">
        <w:rPr>
          <w:rFonts w:cs="Times New Roman"/>
          <w:i/>
        </w:rPr>
        <w:t xml:space="preserve"> v. Ashton</w:t>
      </w:r>
      <w:r w:rsidRPr="002C47EE">
        <w:rPr>
          <w:rFonts w:cs="Times New Roman"/>
        </w:rPr>
        <w:t xml:space="preserve"> (1873), L.R. 17 Eq. 358, at p. 374.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Recent experience has only exacerbated these concerns; we are now all too aware that an expert’s lack of independence and impartiality can result in egregious miscarriages of justice: </w:t>
      </w:r>
      <w:r w:rsidRPr="002C47EE">
        <w:rPr>
          <w:rFonts w:cs="Times New Roman"/>
          <w:i/>
        </w:rPr>
        <w:t>R. v. D.D.</w:t>
      </w:r>
      <w:r w:rsidRPr="002C47EE">
        <w:rPr>
          <w:rFonts w:cs="Times New Roman"/>
        </w:rPr>
        <w:t xml:space="preserve">, 2000 SCC 43, [2000] 2 S.C.R. 275, at para. </w:t>
      </w:r>
      <w:r w:rsidRPr="002C47EE">
        <w:rPr>
          <w:rFonts w:cs="Times New Roman"/>
          <w:lang w:val="en-US"/>
        </w:rPr>
        <w:t xml:space="preserve">52. As observed by Beveridge J.A. in this case, </w:t>
      </w:r>
      <w:r w:rsidRPr="002C47EE">
        <w:rPr>
          <w:rFonts w:cs="Times New Roman"/>
          <w:i/>
          <w:lang w:val="en-US"/>
        </w:rPr>
        <w:t>T</w:t>
      </w:r>
      <w:r w:rsidRPr="002C47EE">
        <w:rPr>
          <w:rFonts w:cs="Times New Roman"/>
          <w:i/>
          <w:iCs/>
        </w:rPr>
        <w:t>he Commission on Proceedings Involving Guy Paul Morin: Report</w:t>
      </w:r>
      <w:r w:rsidRPr="002C47EE">
        <w:rPr>
          <w:rFonts w:cs="Times New Roman"/>
          <w:iCs/>
        </w:rPr>
        <w:t xml:space="preserve"> (</w:t>
      </w:r>
      <w:r w:rsidRPr="002C47EE">
        <w:rPr>
          <w:rFonts w:cs="Times New Roman"/>
          <w:szCs w:val="24"/>
        </w:rPr>
        <w:t>1998)</w:t>
      </w:r>
      <w:r w:rsidRPr="002C47EE">
        <w:rPr>
          <w:rFonts w:cs="Times New Roman"/>
          <w:i/>
          <w:iCs/>
        </w:rPr>
        <w:t xml:space="preserve"> </w:t>
      </w:r>
      <w:r w:rsidRPr="002C47EE">
        <w:rPr>
          <w:rFonts w:cs="Times New Roman"/>
          <w:iCs/>
        </w:rPr>
        <w:t xml:space="preserve">authored by </w:t>
      </w:r>
      <w:r w:rsidRPr="002C47EE">
        <w:rPr>
          <w:rFonts w:cs="Times New Roman"/>
        </w:rPr>
        <w:t xml:space="preserve">the Honourable Fred Kaufman and the </w:t>
      </w:r>
      <w:r w:rsidRPr="002C47EE">
        <w:rPr>
          <w:rFonts w:cs="Times New Roman"/>
          <w:i/>
          <w:iCs/>
        </w:rPr>
        <w:t>Inquiry into Pediatric Forensic Pathology in Ontario: Report</w:t>
      </w:r>
      <w:r w:rsidRPr="002C47EE">
        <w:rPr>
          <w:rFonts w:cs="Times New Roman"/>
          <w:iCs/>
        </w:rPr>
        <w:t xml:space="preserve"> (2008)</w:t>
      </w:r>
      <w:r w:rsidRPr="002C47EE">
        <w:rPr>
          <w:rFonts w:cs="Times New Roman"/>
          <w:i/>
          <w:iCs/>
        </w:rPr>
        <w:t xml:space="preserve"> </w:t>
      </w:r>
      <w:r w:rsidRPr="002C47EE">
        <w:rPr>
          <w:rFonts w:cs="Times New Roman"/>
          <w:iCs/>
        </w:rPr>
        <w:t xml:space="preserve">conducted by </w:t>
      </w:r>
      <w:r w:rsidRPr="002C47EE">
        <w:rPr>
          <w:rFonts w:cs="Times New Roman"/>
        </w:rPr>
        <w:t xml:space="preserve">the Honourable Stephen T. </w:t>
      </w:r>
      <w:proofErr w:type="spellStart"/>
      <w:r w:rsidRPr="002C47EE">
        <w:rPr>
          <w:rFonts w:cs="Times New Roman"/>
        </w:rPr>
        <w:t>Goudge</w:t>
      </w:r>
      <w:proofErr w:type="spellEnd"/>
      <w:r w:rsidRPr="002C47EE">
        <w:rPr>
          <w:rFonts w:cs="Times New Roman"/>
        </w:rPr>
        <w:t xml:space="preserve"> provide two striking examples where “[s]</w:t>
      </w:r>
      <w:proofErr w:type="spellStart"/>
      <w:r w:rsidRPr="002C47EE">
        <w:rPr>
          <w:rFonts w:cs="Times New Roman"/>
        </w:rPr>
        <w:t>eemingly</w:t>
      </w:r>
      <w:proofErr w:type="spellEnd"/>
      <w:r w:rsidRPr="002C47EE">
        <w:rPr>
          <w:rFonts w:cs="Times New Roman"/>
        </w:rPr>
        <w:t xml:space="preserve"> solid and impartial, but flawed, forensic scientific opinion has played a prominent role in miscarriages of </w:t>
      </w:r>
      <w:proofErr w:type="spellStart"/>
      <w:r w:rsidRPr="002C47EE">
        <w:rPr>
          <w:rFonts w:cs="Times New Roman"/>
        </w:rPr>
        <w:t>justiceˮ</w:t>
      </w:r>
      <w:proofErr w:type="spellEnd"/>
      <w:r w:rsidRPr="002C47EE">
        <w:rPr>
          <w:rFonts w:cs="Times New Roman"/>
        </w:rPr>
        <w:t xml:space="preserve">: para. 105. Other reports outline the critical need for impartial and independent expert evidence in civil litigation: </w:t>
      </w:r>
      <w:proofErr w:type="gramStart"/>
      <w:r w:rsidRPr="002C47EE">
        <w:rPr>
          <w:rFonts w:cs="Times New Roman"/>
          <w:i/>
        </w:rPr>
        <w:t>ibid.</w:t>
      </w:r>
      <w:r w:rsidRPr="002C47EE">
        <w:rPr>
          <w:rFonts w:cs="Times New Roman"/>
        </w:rPr>
        <w:t>,</w:t>
      </w:r>
      <w:proofErr w:type="gramEnd"/>
      <w:r w:rsidRPr="002C47EE">
        <w:rPr>
          <w:rFonts w:cs="Times New Roman"/>
          <w:i/>
        </w:rPr>
        <w:t xml:space="preserve"> </w:t>
      </w:r>
      <w:r w:rsidRPr="002C47EE">
        <w:rPr>
          <w:rFonts w:cs="Times New Roman"/>
        </w:rPr>
        <w:t xml:space="preserve">at para. 106; see the Right Honourable Lord Woolf, </w:t>
      </w:r>
      <w:r w:rsidRPr="002C47EE">
        <w:rPr>
          <w:rFonts w:cs="Times New Roman"/>
          <w:i/>
          <w:iCs/>
        </w:rPr>
        <w:t xml:space="preserve">Access to Justice: Final Report </w:t>
      </w:r>
      <w:r w:rsidRPr="00507CE5">
        <w:rPr>
          <w:rFonts w:cs="Times New Roman"/>
          <w:iCs/>
        </w:rPr>
        <w:t>(</w:t>
      </w:r>
      <w:r w:rsidRPr="002C47EE">
        <w:rPr>
          <w:rFonts w:cs="Times New Roman"/>
        </w:rPr>
        <w:t xml:space="preserve">1996); the Honourable Coulter A. Osborne, </w:t>
      </w:r>
      <w:r w:rsidRPr="002C47EE">
        <w:rPr>
          <w:rFonts w:cs="Times New Roman"/>
          <w:i/>
          <w:iCs/>
        </w:rPr>
        <w:t>Civil Justice Reform Project: Summary of Findings &amp; Recommendations</w:t>
      </w:r>
      <w:r w:rsidRPr="002C47EE">
        <w:rPr>
          <w:rFonts w:cs="Times New Roman"/>
        </w:rPr>
        <w:t xml:space="preserve"> (2007).</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To decide how our law of evidence should best respond to these concerns, we must confront several questions: Should concerns about potentially biased expert </w:t>
      </w:r>
      <w:r w:rsidRPr="002C47EE">
        <w:rPr>
          <w:rFonts w:cs="Times New Roman"/>
        </w:rPr>
        <w:lastRenderedPageBreak/>
        <w:t xml:space="preserve">opinion go to admissibility or only to weight?; If to admissibility, should these concerns be addressed by a threshold requirement for admissibility, by a judicial discretion to exclude, or both?; At what point do these concerns justify exclusion of the evidence?; And finally, how is our response to these concerns integrated into the existing legal framework governing the admissibility of expert opinion evidence? To answer these questions, we must first consider the existing legal framework governing admissibility, identify the duties that an expert witness has to the court and then turn to how those duties are best reflected in that legal framework. </w:t>
      </w:r>
    </w:p>
    <w:p w:rsidR="009D3ECF" w:rsidRPr="002C47EE" w:rsidRDefault="009D3ECF" w:rsidP="009D3ECF">
      <w:pPr>
        <w:pStyle w:val="Title2LevelTitre2Niveau"/>
        <w:widowControl w:val="0"/>
        <w:numPr>
          <w:ilvl w:val="1"/>
          <w:numId w:val="22"/>
        </w:numPr>
        <w:rPr>
          <w:rFonts w:cs="Times New Roman"/>
        </w:rPr>
      </w:pPr>
      <w:r w:rsidRPr="002C47EE">
        <w:rPr>
          <w:rFonts w:cs="Times New Roman"/>
        </w:rPr>
        <w:t>The Legal Framework</w:t>
      </w:r>
      <w:r w:rsidRPr="002C47EE">
        <w:rPr>
          <w:rFonts w:cs="Times New Roman"/>
          <w:i w:val="0"/>
        </w:rPr>
        <w:t xml:space="preserve"> </w:t>
      </w:r>
    </w:p>
    <w:p w:rsidR="009D3ECF" w:rsidRPr="002C47EE" w:rsidRDefault="009D3ECF" w:rsidP="009D3ECF">
      <w:pPr>
        <w:pStyle w:val="Title3LevelTitre3Niveau"/>
        <w:widowControl w:val="0"/>
        <w:numPr>
          <w:ilvl w:val="2"/>
          <w:numId w:val="22"/>
        </w:numPr>
        <w:rPr>
          <w:rFonts w:cs="Times New Roman"/>
        </w:rPr>
      </w:pPr>
      <w:r w:rsidRPr="002C47EE">
        <w:rPr>
          <w:rFonts w:cs="Times New Roman"/>
        </w:rPr>
        <w:t>The Exclusionary Rule for Opinion Evidence</w:t>
      </w:r>
    </w:p>
    <w:p w:rsidR="009D3ECF" w:rsidRPr="002C47EE" w:rsidRDefault="009D3ECF" w:rsidP="009D3ECF">
      <w:pPr>
        <w:pStyle w:val="ParaNoNdepar-AltN"/>
        <w:widowControl w:val="0"/>
        <w:tabs>
          <w:tab w:val="clear" w:pos="1166"/>
          <w:tab w:val="num" w:pos="1152"/>
        </w:tabs>
        <w:rPr>
          <w:rFonts w:eastAsiaTheme="majorEastAsia" w:cs="Times New Roman"/>
        </w:rPr>
      </w:pPr>
      <w:r w:rsidRPr="002C47EE">
        <w:rPr>
          <w:rFonts w:eastAsiaTheme="majorEastAsia" w:cs="Times New Roman"/>
        </w:rPr>
        <w:t xml:space="preserve">To the modern general rule that all relevant evidence is admissible there are many qualifications. One of them relates to opinion evidence, which is the subject of a complicated exclusionary rule. Witnesses are to testify as to the facts which they perceived, not as to the inferences — that is, the opinions — that they drew from them. As one great evidence scholar put it long ago, it is “for the jury to form opinions, and draw inferences and conclusions, and not for the witness”:  J. B. Thayer, </w:t>
      </w:r>
      <w:r w:rsidRPr="002C47EE">
        <w:rPr>
          <w:rFonts w:eastAsiaTheme="majorEastAsia" w:cs="Times New Roman"/>
          <w:i/>
        </w:rPr>
        <w:t>A Preliminary Treatise on Evidence at the Common Law</w:t>
      </w:r>
      <w:r w:rsidRPr="002C47EE">
        <w:rPr>
          <w:rFonts w:eastAsiaTheme="majorEastAsia" w:cs="Times New Roman"/>
        </w:rPr>
        <w:t xml:space="preserve"> (1898; reprinted 1969), at p. 524; see also C. Tapper, </w:t>
      </w:r>
      <w:r w:rsidRPr="002C47EE">
        <w:rPr>
          <w:rFonts w:eastAsiaTheme="majorEastAsia" w:cs="Times New Roman"/>
          <w:i/>
        </w:rPr>
        <w:t xml:space="preserve">Cross and Tapper on Evidence </w:t>
      </w:r>
      <w:r w:rsidRPr="002C47EE">
        <w:rPr>
          <w:rFonts w:eastAsiaTheme="majorEastAsia" w:cs="Times New Roman"/>
        </w:rPr>
        <w:t xml:space="preserve">(12th ed. 2010), at p. 530. While various rationales have been offered for this exclusionary rule, the most convincing is probably that these ready-formed inferences are not helpful to the trier of fact and might even be misleading: see, e.g., </w:t>
      </w:r>
      <w:proofErr w:type="spellStart"/>
      <w:r w:rsidRPr="002C47EE">
        <w:rPr>
          <w:rFonts w:eastAsiaTheme="majorEastAsia" w:cs="Times New Roman"/>
          <w:i/>
        </w:rPr>
        <w:t>Graat</w:t>
      </w:r>
      <w:proofErr w:type="spellEnd"/>
      <w:r w:rsidRPr="002C47EE">
        <w:rPr>
          <w:rFonts w:eastAsiaTheme="majorEastAsia" w:cs="Times New Roman"/>
          <w:i/>
        </w:rPr>
        <w:t xml:space="preserve"> v. The Queen</w:t>
      </w:r>
      <w:r w:rsidRPr="002C47EE">
        <w:rPr>
          <w:rFonts w:eastAsiaTheme="majorEastAsia" w:cs="Times New Roman"/>
        </w:rPr>
        <w:t xml:space="preserve">, [1982] 2 </w:t>
      </w:r>
      <w:r w:rsidRPr="002C47EE">
        <w:rPr>
          <w:rFonts w:eastAsiaTheme="majorEastAsia" w:cs="Times New Roman"/>
        </w:rPr>
        <w:lastRenderedPageBreak/>
        <w:t xml:space="preserve">S.C.R. 819, at p. 836; </w:t>
      </w:r>
      <w:r w:rsidRPr="002C47EE">
        <w:rPr>
          <w:rFonts w:eastAsiaTheme="majorEastAsia" w:cs="Times New Roman"/>
          <w:i/>
        </w:rPr>
        <w:t>Halsbury’s Laws of Canada: Evidence</w:t>
      </w:r>
      <w:r w:rsidRPr="002C47EE">
        <w:rPr>
          <w:rFonts w:eastAsiaTheme="majorEastAsia" w:cs="Times New Roman"/>
        </w:rPr>
        <w:t xml:space="preserve"> (2014 Reissue), at para. HEV-137 “General rule against opinion evidence”.</w:t>
      </w:r>
    </w:p>
    <w:p w:rsidR="009D3ECF" w:rsidRPr="002C47EE" w:rsidRDefault="009D3ECF" w:rsidP="009D3ECF">
      <w:pPr>
        <w:pStyle w:val="ParaNoNdepar-AltN"/>
        <w:widowControl w:val="0"/>
        <w:tabs>
          <w:tab w:val="clear" w:pos="1166"/>
          <w:tab w:val="num" w:pos="1152"/>
        </w:tabs>
        <w:rPr>
          <w:rFonts w:cs="Times New Roman"/>
        </w:rPr>
      </w:pPr>
      <w:r w:rsidRPr="002C47EE">
        <w:rPr>
          <w:rFonts w:eastAsiaTheme="majorEastAsia" w:cs="Times New Roman"/>
        </w:rPr>
        <w:t>Not all opinion evidence is excluded, however. Most relevant for this case is the exception for expert opinion evidence on matters requiring specialized knowledge. As Prof</w:t>
      </w:r>
      <w:r w:rsidR="0051595E">
        <w:rPr>
          <w:rFonts w:eastAsiaTheme="majorEastAsia" w:cs="Times New Roman"/>
        </w:rPr>
        <w:t>.</w:t>
      </w:r>
      <w:r w:rsidRPr="002C47EE">
        <w:rPr>
          <w:rFonts w:eastAsiaTheme="majorEastAsia" w:cs="Times New Roman"/>
        </w:rPr>
        <w:t xml:space="preserve"> Tapper put it, “the law recognizes that, so far as matters calling for special knowledge or skill are concerned, judges and jurors are not necessarily equipped to draw true inferences from facts stated by witnesses. A witness is therefore allowed to state his opinion about such matters, provided he is expert in them”: p. 530; see also</w:t>
      </w:r>
      <w:r w:rsidRPr="002C47EE">
        <w:rPr>
          <w:rFonts w:cs="Times New Roman"/>
        </w:rPr>
        <w:t xml:space="preserve"> </w:t>
      </w:r>
      <w:r w:rsidRPr="002C47EE">
        <w:rPr>
          <w:rFonts w:cs="Times New Roman"/>
          <w:i/>
        </w:rPr>
        <w:t>R. v. Abbey</w:t>
      </w:r>
      <w:r w:rsidRPr="002C47EE">
        <w:rPr>
          <w:rFonts w:cs="Times New Roman"/>
        </w:rPr>
        <w:t>,</w:t>
      </w:r>
      <w:r w:rsidRPr="002C47EE">
        <w:rPr>
          <w:rFonts w:cs="Times New Roman"/>
          <w:i/>
        </w:rPr>
        <w:t xml:space="preserve"> </w:t>
      </w:r>
      <w:r w:rsidRPr="002C47EE">
        <w:rPr>
          <w:rFonts w:cs="Times New Roman"/>
        </w:rPr>
        <w:t xml:space="preserve">[1982] 2 S.C.R. 24, at p. 42. </w:t>
      </w:r>
    </w:p>
    <w:p w:rsidR="009D3ECF" w:rsidRPr="002C47EE" w:rsidRDefault="009D3ECF" w:rsidP="009D3ECF">
      <w:pPr>
        <w:pStyle w:val="Title3LevelTitre3Niveau"/>
        <w:widowControl w:val="0"/>
        <w:numPr>
          <w:ilvl w:val="2"/>
          <w:numId w:val="22"/>
        </w:numPr>
        <w:rPr>
          <w:rFonts w:cs="Times New Roman"/>
        </w:rPr>
      </w:pPr>
      <w:r w:rsidRPr="002C47EE">
        <w:rPr>
          <w:rFonts w:cs="Times New Roman"/>
        </w:rPr>
        <w:t>The Current Legal Framework for Expert Opinion Evidence</w:t>
      </w:r>
    </w:p>
    <w:p w:rsidR="009D3ECF" w:rsidRPr="002C47EE" w:rsidRDefault="009D3ECF" w:rsidP="009D3ECF">
      <w:pPr>
        <w:pStyle w:val="ParaNoNdepar-AltN"/>
        <w:widowControl w:val="0"/>
        <w:tabs>
          <w:tab w:val="clear" w:pos="1166"/>
          <w:tab w:val="num" w:pos="1152"/>
        </w:tabs>
        <w:rPr>
          <w:rFonts w:cs="Times New Roman"/>
        </w:rPr>
      </w:pPr>
      <w:r w:rsidRPr="002C47EE">
        <w:rPr>
          <w:rFonts w:eastAsiaTheme="majorEastAsia" w:cs="Times New Roman"/>
        </w:rPr>
        <w:t>Since at least the mid-1990s, the Court has responded to a number of concerns about the impact on the litigation process of expert evidence of dubious value. The jurisprudence has clarified and tightened the threshold requirements for admissibility, added new requirements in order to assure reliability, particularly of novel scientific evidence, and emphasized the important role that judges should play as “gatekeepers” to screen out proposed evidence whose value does not justify the risk of confusion, time and expense that may result from its admission.</w:t>
      </w:r>
    </w:p>
    <w:p w:rsidR="009D3ECF" w:rsidRPr="002C47EE" w:rsidRDefault="009D3ECF" w:rsidP="009D3ECF">
      <w:pPr>
        <w:pStyle w:val="ParaNoNdepar-AltN"/>
        <w:widowControl w:val="0"/>
        <w:tabs>
          <w:tab w:val="clear" w:pos="1166"/>
          <w:tab w:val="num" w:pos="1152"/>
        </w:tabs>
        <w:rPr>
          <w:rFonts w:cs="Times New Roman"/>
        </w:rPr>
      </w:pPr>
      <w:r w:rsidRPr="002C47EE">
        <w:rPr>
          <w:rFonts w:eastAsiaTheme="majorEastAsia" w:cs="Times New Roman"/>
        </w:rPr>
        <w:t xml:space="preserve">We can take as the starting point for these developments the Court’s decision in </w:t>
      </w:r>
      <w:r w:rsidRPr="002C47EE">
        <w:rPr>
          <w:rFonts w:eastAsiaTheme="majorEastAsia" w:cs="Times New Roman"/>
          <w:i/>
        </w:rPr>
        <w:t>R. v. Mohan</w:t>
      </w:r>
      <w:r w:rsidRPr="002C47EE">
        <w:rPr>
          <w:rFonts w:eastAsiaTheme="majorEastAsia" w:cs="Times New Roman"/>
        </w:rPr>
        <w:t xml:space="preserve">, [1994] 2 S.C.R. 9. That case described the potential dangers of expert evidence and established a four-part threshold test for admissibility. </w:t>
      </w:r>
      <w:r w:rsidRPr="002C47EE">
        <w:rPr>
          <w:rFonts w:cs="Times New Roman"/>
        </w:rPr>
        <w:t xml:space="preserve">The </w:t>
      </w:r>
      <w:r w:rsidRPr="002C47EE">
        <w:rPr>
          <w:rFonts w:cs="Times New Roman"/>
        </w:rPr>
        <w:lastRenderedPageBreak/>
        <w:t xml:space="preserve">dangers are well known. One is that the trier of fact will inappropriately defer to the expert’s opinion rather than carefully evaluate it. As </w:t>
      </w:r>
      <w:proofErr w:type="spellStart"/>
      <w:r w:rsidRPr="002C47EE">
        <w:rPr>
          <w:rFonts w:cs="Times New Roman"/>
        </w:rPr>
        <w:t>Sopinka</w:t>
      </w:r>
      <w:proofErr w:type="spellEnd"/>
      <w:r w:rsidRPr="002C47EE">
        <w:rPr>
          <w:rFonts w:cs="Times New Roman"/>
        </w:rPr>
        <w:t xml:space="preserve"> J. observed in </w:t>
      </w:r>
      <w:r w:rsidRPr="002C47EE">
        <w:rPr>
          <w:rFonts w:cs="Times New Roman"/>
          <w:i/>
        </w:rPr>
        <w:t>Mohan</w:t>
      </w:r>
      <w:r w:rsidRPr="002C47EE">
        <w:rPr>
          <w:rFonts w:cs="Times New Roman"/>
        </w:rPr>
        <w:t xml:space="preserve">: </w:t>
      </w:r>
    </w:p>
    <w:p w:rsidR="009D3ECF" w:rsidRPr="002C47EE" w:rsidRDefault="009D3ECF" w:rsidP="00507CE5">
      <w:pPr>
        <w:pStyle w:val="Citation-AltC"/>
        <w:widowControl w:val="0"/>
        <w:spacing w:after="480"/>
        <w:contextualSpacing w:val="0"/>
      </w:pPr>
      <w:r w:rsidRPr="002C47EE">
        <w:tab/>
        <w:t>There is a danger that expert evidence will be misused and will distort the fact-finding process.  Dressed up in scientific language which the jury does not easily understand and submitted through a witness of impressive antecedents, this evidence is apt to be accepted by the jury as being virtually infallible and as having more weight than it deserves. [p. 21]</w:t>
      </w:r>
    </w:p>
    <w:p w:rsidR="009D3ECF" w:rsidRPr="002C47EE" w:rsidRDefault="009D3ECF" w:rsidP="009D3ECF">
      <w:pPr>
        <w:pStyle w:val="Citation-AltC"/>
        <w:widowControl w:val="0"/>
        <w:spacing w:line="480" w:lineRule="auto"/>
        <w:ind w:left="0"/>
      </w:pPr>
      <w:r w:rsidRPr="002C47EE">
        <w:t xml:space="preserve">(See also </w:t>
      </w:r>
      <w:r w:rsidRPr="002C47EE">
        <w:rPr>
          <w:i/>
        </w:rPr>
        <w:t>D.D.</w:t>
      </w:r>
      <w:r w:rsidRPr="002C47EE">
        <w:t>,</w:t>
      </w:r>
      <w:r w:rsidRPr="002C47EE">
        <w:rPr>
          <w:i/>
        </w:rPr>
        <w:t xml:space="preserve"> </w:t>
      </w:r>
      <w:r w:rsidRPr="002C47EE">
        <w:t xml:space="preserve">at para. 53; </w:t>
      </w:r>
      <w:r w:rsidRPr="002C47EE">
        <w:rPr>
          <w:i/>
        </w:rPr>
        <w:t>R. v. J.-L.J.</w:t>
      </w:r>
      <w:r w:rsidRPr="002C47EE">
        <w:t xml:space="preserve">, 2000 SCC 51, </w:t>
      </w:r>
      <w:r w:rsidRPr="002C47EE">
        <w:rPr>
          <w:rFonts w:eastAsiaTheme="majorEastAsia"/>
        </w:rPr>
        <w:t>[2000] 2 S.C.R. 600,</w:t>
      </w:r>
      <w:r w:rsidRPr="002C47EE">
        <w:t xml:space="preserve"> at paras. 25-26; </w:t>
      </w:r>
      <w:r w:rsidRPr="002C47EE">
        <w:rPr>
          <w:rFonts w:eastAsiaTheme="majorEastAsia"/>
          <w:i/>
        </w:rPr>
        <w:t xml:space="preserve">R. v. </w:t>
      </w:r>
      <w:proofErr w:type="spellStart"/>
      <w:r w:rsidRPr="002C47EE">
        <w:rPr>
          <w:rFonts w:eastAsiaTheme="majorEastAsia"/>
          <w:i/>
        </w:rPr>
        <w:t>Sekhon</w:t>
      </w:r>
      <w:proofErr w:type="spellEnd"/>
      <w:r w:rsidRPr="002C47EE">
        <w:rPr>
          <w:rFonts w:eastAsiaTheme="majorEastAsia"/>
        </w:rPr>
        <w:t>, 2014 SCC 15, [2014] 1 S.C.R. 272, at para. 46.)</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The point is to preserve trial by judge and jury, not devolve to trial by expert. There is a risk that the jury “will be unable to make an effective and critical assessment of the </w:t>
      </w:r>
      <w:proofErr w:type="spellStart"/>
      <w:r w:rsidRPr="002C47EE">
        <w:rPr>
          <w:rFonts w:cs="Times New Roman"/>
        </w:rPr>
        <w:t>evidenceˮ</w:t>
      </w:r>
      <w:proofErr w:type="spellEnd"/>
      <w:r w:rsidRPr="002C47EE">
        <w:rPr>
          <w:rFonts w:cs="Times New Roman"/>
        </w:rPr>
        <w:t xml:space="preserve">: </w:t>
      </w:r>
      <w:r w:rsidRPr="002C47EE">
        <w:rPr>
          <w:rFonts w:cs="Times New Roman"/>
          <w:i/>
        </w:rPr>
        <w:t>R. v. Abbey</w:t>
      </w:r>
      <w:r w:rsidRPr="002C47EE">
        <w:rPr>
          <w:rFonts w:cs="Times New Roman"/>
        </w:rPr>
        <w:t xml:space="preserve">, 2009 ONCA 624, 97 O.R. (3d) 330, at para. 90, leave to appeal refused, [2010] 2 S.C.R. v. The trier of fact must be able to use its “informed judgment”, not simply decide on the basis of an “act of faith” in the expert’s opinion:  </w:t>
      </w:r>
      <w:r w:rsidRPr="002C47EE">
        <w:rPr>
          <w:rFonts w:cs="Times New Roman"/>
          <w:i/>
        </w:rPr>
        <w:t>J.-L.J.</w:t>
      </w:r>
      <w:r w:rsidRPr="002C47EE">
        <w:rPr>
          <w:rFonts w:cs="Times New Roman"/>
        </w:rPr>
        <w:t xml:space="preserve">, at para. 56. The risk of “attornment to the opinion of the </w:t>
      </w:r>
      <w:proofErr w:type="spellStart"/>
      <w:r w:rsidRPr="002C47EE">
        <w:rPr>
          <w:rFonts w:cs="Times New Roman"/>
        </w:rPr>
        <w:t>expertˮ</w:t>
      </w:r>
      <w:proofErr w:type="spellEnd"/>
      <w:r w:rsidRPr="002C47EE">
        <w:rPr>
          <w:rFonts w:cs="Times New Roman"/>
        </w:rPr>
        <w:t xml:space="preserve"> is also exacerbated by the fact that expert evidence is resistant to effective cross-examination by counsel who are not experts in that field:</w:t>
      </w:r>
      <w:r>
        <w:rPr>
          <w:rFonts w:cs="Times New Roman"/>
        </w:rPr>
        <w:t xml:space="preserve"> </w:t>
      </w:r>
      <w:r w:rsidRPr="002C47EE">
        <w:rPr>
          <w:rFonts w:cs="Times New Roman"/>
          <w:i/>
        </w:rPr>
        <w:t>D.D.</w:t>
      </w:r>
      <w:r w:rsidRPr="002C47EE">
        <w:rPr>
          <w:rFonts w:cs="Times New Roman"/>
        </w:rPr>
        <w:t>,</w:t>
      </w:r>
      <w:r w:rsidRPr="002C47EE">
        <w:rPr>
          <w:rFonts w:cs="Times New Roman"/>
          <w:i/>
        </w:rPr>
        <w:t xml:space="preserve"> </w:t>
      </w:r>
      <w:r w:rsidRPr="002C47EE">
        <w:rPr>
          <w:rFonts w:cs="Times New Roman"/>
        </w:rPr>
        <w:t>at para. 54. The cases address a number of other related concerns: the potential prejudice created by the expert’s reliance on unproven material not subject to cross-examination (</w:t>
      </w:r>
      <w:r w:rsidRPr="002C47EE">
        <w:rPr>
          <w:rFonts w:cs="Times New Roman"/>
          <w:i/>
        </w:rPr>
        <w:t>D.D.</w:t>
      </w:r>
      <w:r w:rsidRPr="002C47EE">
        <w:rPr>
          <w:rFonts w:cs="Times New Roman"/>
        </w:rPr>
        <w:t>, at para. 55); the risk of admitting “junk science” (</w:t>
      </w:r>
      <w:r w:rsidRPr="002C47EE">
        <w:rPr>
          <w:rFonts w:cs="Times New Roman"/>
          <w:i/>
        </w:rPr>
        <w:t>J.-L.J.</w:t>
      </w:r>
      <w:r w:rsidRPr="002C47EE">
        <w:rPr>
          <w:rFonts w:cs="Times New Roman"/>
        </w:rPr>
        <w:t>, at para. 25); and the risk that a “</w:t>
      </w:r>
      <w:r>
        <w:rPr>
          <w:rFonts w:cs="Times New Roman"/>
        </w:rPr>
        <w:t>contest</w:t>
      </w:r>
      <w:r w:rsidRPr="002C47EE">
        <w:rPr>
          <w:rFonts w:cs="Times New Roman"/>
        </w:rPr>
        <w:t xml:space="preserve"> of experts” distracts rather than assists the trier of fact (</w:t>
      </w:r>
      <w:r w:rsidRPr="002C47EE">
        <w:rPr>
          <w:rFonts w:cs="Times New Roman"/>
          <w:i/>
        </w:rPr>
        <w:t>Mohan</w:t>
      </w:r>
      <w:r w:rsidRPr="002C47EE">
        <w:rPr>
          <w:rFonts w:cs="Times New Roman"/>
        </w:rPr>
        <w:t>, at p.</w:t>
      </w:r>
      <w:r>
        <w:rPr>
          <w:rFonts w:cs="Times New Roman"/>
        </w:rPr>
        <w:t xml:space="preserve"> </w:t>
      </w:r>
      <w:r w:rsidRPr="002C47EE">
        <w:rPr>
          <w:rFonts w:cs="Times New Roman"/>
        </w:rPr>
        <w:t xml:space="preserve">24). Another well-known danger associated with the admissibility of expert evidence is that it may lead to an inordinate expenditure of time and money: </w:t>
      </w:r>
      <w:r w:rsidRPr="002C47EE">
        <w:rPr>
          <w:rFonts w:cs="Times New Roman"/>
          <w:i/>
        </w:rPr>
        <w:t>Mohan</w:t>
      </w:r>
      <w:r w:rsidRPr="002C47EE">
        <w:rPr>
          <w:rFonts w:cs="Times New Roman"/>
        </w:rPr>
        <w:t xml:space="preserve">, at p. 21; </w:t>
      </w:r>
      <w:r w:rsidRPr="002C47EE">
        <w:rPr>
          <w:rFonts w:cs="Times New Roman"/>
          <w:i/>
        </w:rPr>
        <w:lastRenderedPageBreak/>
        <w:t>D.D.</w:t>
      </w:r>
      <w:r w:rsidRPr="002C47EE">
        <w:rPr>
          <w:rFonts w:cs="Times New Roman"/>
        </w:rPr>
        <w:t>,</w:t>
      </w:r>
      <w:r w:rsidRPr="002C47EE">
        <w:rPr>
          <w:rFonts w:cs="Times New Roman"/>
          <w:i/>
        </w:rPr>
        <w:t xml:space="preserve"> </w:t>
      </w:r>
      <w:r w:rsidRPr="002C47EE">
        <w:rPr>
          <w:rFonts w:cs="Times New Roman"/>
        </w:rPr>
        <w:t xml:space="preserve">at para. 56; </w:t>
      </w:r>
      <w:r w:rsidRPr="002C47EE">
        <w:rPr>
          <w:rFonts w:cs="Times New Roman"/>
          <w:i/>
        </w:rPr>
        <w:t xml:space="preserve">Masterpiece Inc. v. </w:t>
      </w:r>
      <w:proofErr w:type="spellStart"/>
      <w:r w:rsidRPr="002C47EE">
        <w:rPr>
          <w:rFonts w:cs="Times New Roman"/>
          <w:i/>
        </w:rPr>
        <w:t>Alavida</w:t>
      </w:r>
      <w:proofErr w:type="spellEnd"/>
      <w:r w:rsidRPr="002C47EE">
        <w:rPr>
          <w:rFonts w:cs="Times New Roman"/>
          <w:i/>
        </w:rPr>
        <w:t xml:space="preserve"> Lifestyles Inc.</w:t>
      </w:r>
      <w:r w:rsidRPr="002C47EE">
        <w:rPr>
          <w:rFonts w:cs="Times New Roman"/>
        </w:rPr>
        <w:t xml:space="preserve">, 2011 SCC 27, [2011] 2 S.C.R. 387, at para. 76. </w:t>
      </w:r>
    </w:p>
    <w:p w:rsidR="009D3ECF" w:rsidRPr="002C47EE" w:rsidRDefault="009D3ECF" w:rsidP="009D3ECF">
      <w:pPr>
        <w:pStyle w:val="ParaNoNdepar-AltN"/>
        <w:widowControl w:val="0"/>
        <w:tabs>
          <w:tab w:val="clear" w:pos="1166"/>
          <w:tab w:val="num" w:pos="1152"/>
        </w:tabs>
        <w:rPr>
          <w:rFonts w:eastAsiaTheme="majorEastAsia" w:cs="Times New Roman"/>
          <w:lang w:val="en-US"/>
        </w:rPr>
      </w:pPr>
      <w:r w:rsidRPr="002C47EE">
        <w:rPr>
          <w:rFonts w:eastAsiaTheme="majorEastAsia" w:cs="Times New Roman"/>
        </w:rPr>
        <w:t xml:space="preserve">To address these dangers, </w:t>
      </w:r>
      <w:r w:rsidRPr="002C47EE">
        <w:rPr>
          <w:rFonts w:eastAsiaTheme="majorEastAsia" w:cs="Times New Roman"/>
          <w:i/>
        </w:rPr>
        <w:t>Mohan</w:t>
      </w:r>
      <w:r w:rsidRPr="002C47EE">
        <w:rPr>
          <w:rFonts w:eastAsiaTheme="majorEastAsia" w:cs="Times New Roman"/>
        </w:rPr>
        <w:t xml:space="preserve"> established a basic structure for the law relating to the admissibility of expert opinion evidence. That structure has two main components. First, there are four threshold requirements that the proponent of the evidence must establish in order for proposed expert opinion evidence to be admissible:</w:t>
      </w:r>
      <w:r w:rsidRPr="002C47EE">
        <w:rPr>
          <w:rFonts w:eastAsiaTheme="majorEastAsia" w:cs="Times New Roman"/>
          <w:bCs/>
          <w:szCs w:val="26"/>
        </w:rPr>
        <w:t xml:space="preserve"> </w:t>
      </w:r>
      <w:r w:rsidRPr="002C47EE">
        <w:rPr>
          <w:rFonts w:eastAsiaTheme="majorEastAsia" w:cs="Times New Roman"/>
        </w:rPr>
        <w:t>(1) relevance; (2) necessity in assisting the trier of fact; (3) absence of an exclusionary rule; and (4) a properly qualified expert (</w:t>
      </w:r>
      <w:r w:rsidRPr="002C47EE">
        <w:rPr>
          <w:rFonts w:eastAsiaTheme="majorEastAsia" w:cs="Times New Roman"/>
          <w:i/>
        </w:rPr>
        <w:t>Mohan</w:t>
      </w:r>
      <w:r w:rsidRPr="002C47EE">
        <w:rPr>
          <w:rFonts w:eastAsiaTheme="majorEastAsia" w:cs="Times New Roman"/>
        </w:rPr>
        <w:t>, at pp. 20-25; see also</w:t>
      </w:r>
      <w:r w:rsidRPr="002C47EE">
        <w:rPr>
          <w:rFonts w:eastAsiaTheme="majorEastAsia" w:cs="Times New Roman"/>
          <w:i/>
        </w:rPr>
        <w:t xml:space="preserve"> </w:t>
      </w:r>
      <w:proofErr w:type="spellStart"/>
      <w:r w:rsidRPr="002C47EE">
        <w:rPr>
          <w:rFonts w:eastAsiaTheme="majorEastAsia" w:cs="Times New Roman"/>
          <w:i/>
        </w:rPr>
        <w:t>Sekhon</w:t>
      </w:r>
      <w:proofErr w:type="spellEnd"/>
      <w:r w:rsidRPr="002C47EE">
        <w:rPr>
          <w:rFonts w:eastAsiaTheme="majorEastAsia" w:cs="Times New Roman"/>
        </w:rPr>
        <w:t xml:space="preserve">, at para. 43).  </w:t>
      </w:r>
      <w:r w:rsidRPr="002C47EE">
        <w:rPr>
          <w:rFonts w:eastAsiaTheme="majorEastAsia" w:cs="Times New Roman"/>
          <w:i/>
        </w:rPr>
        <w:t xml:space="preserve">Mohan </w:t>
      </w:r>
      <w:r w:rsidRPr="002C47EE">
        <w:rPr>
          <w:rFonts w:eastAsiaTheme="majorEastAsia" w:cs="Times New Roman"/>
        </w:rPr>
        <w:t>also underlined the important role of trial judges in assessing whether otherwise admissible expert evidence should be excluded because its probative value was overborne by its prejudicial effect — a</w:t>
      </w:r>
      <w:r w:rsidRPr="002C47EE">
        <w:rPr>
          <w:rFonts w:eastAsiaTheme="majorEastAsia" w:cs="Times New Roman"/>
          <w:lang w:val="en-US"/>
        </w:rPr>
        <w:t xml:space="preserve"> residual discretion to exclude evidence based on a cost-benefit analysis: p. </w:t>
      </w:r>
      <w:r w:rsidRPr="002C47EE">
        <w:rPr>
          <w:rFonts w:eastAsiaTheme="majorEastAsia" w:cs="Times New Roman"/>
        </w:rPr>
        <w:t xml:space="preserve">21. This is the second component, which the </w:t>
      </w:r>
      <w:r w:rsidRPr="002C47EE">
        <w:rPr>
          <w:rFonts w:eastAsiaTheme="majorEastAsia" w:cs="Times New Roman"/>
          <w:lang w:val="en-US"/>
        </w:rPr>
        <w:t xml:space="preserve">subsequent jurisprudence has further emphasized: Lederman, Bryant and </w:t>
      </w:r>
      <w:proofErr w:type="spellStart"/>
      <w:r w:rsidRPr="002C47EE">
        <w:rPr>
          <w:rFonts w:eastAsiaTheme="majorEastAsia" w:cs="Times New Roman"/>
          <w:lang w:val="en-US"/>
        </w:rPr>
        <w:t>Fuerst</w:t>
      </w:r>
      <w:proofErr w:type="spellEnd"/>
      <w:r w:rsidRPr="002C47EE">
        <w:rPr>
          <w:rFonts w:eastAsiaTheme="majorEastAsia" w:cs="Times New Roman"/>
          <w:lang w:val="en-US"/>
        </w:rPr>
        <w:t xml:space="preserve">, </w:t>
      </w:r>
      <w:r w:rsidRPr="002C47EE">
        <w:rPr>
          <w:rFonts w:eastAsiaTheme="majorEastAsia" w:cs="Times New Roman"/>
        </w:rPr>
        <w:t xml:space="preserve">at pp. 789-90; </w:t>
      </w:r>
      <w:r w:rsidRPr="002C47EE">
        <w:rPr>
          <w:rFonts w:eastAsiaTheme="majorEastAsia" w:cs="Times New Roman"/>
          <w:i/>
        </w:rPr>
        <w:t>J.</w:t>
      </w:r>
      <w:r w:rsidRPr="002C47EE">
        <w:rPr>
          <w:rFonts w:eastAsia="MS Mincho" w:cs="Times New Roman"/>
          <w:i/>
        </w:rPr>
        <w:t>-</w:t>
      </w:r>
      <w:r w:rsidRPr="002C47EE">
        <w:rPr>
          <w:rFonts w:eastAsiaTheme="majorEastAsia" w:cs="Times New Roman"/>
          <w:i/>
        </w:rPr>
        <w:t>L.J.</w:t>
      </w:r>
      <w:r w:rsidRPr="002C47EE">
        <w:rPr>
          <w:rFonts w:eastAsiaTheme="majorEastAsia" w:cs="Times New Roman"/>
        </w:rPr>
        <w:t>, at para. 28.</w:t>
      </w:r>
    </w:p>
    <w:p w:rsidR="009D3ECF" w:rsidRPr="002C47EE" w:rsidRDefault="009D3ECF" w:rsidP="009D3ECF">
      <w:pPr>
        <w:pStyle w:val="ParaNoNdepar-AltN"/>
        <w:widowControl w:val="0"/>
        <w:tabs>
          <w:tab w:val="clear" w:pos="1166"/>
          <w:tab w:val="num" w:pos="1152"/>
        </w:tabs>
        <w:rPr>
          <w:rFonts w:eastAsiaTheme="majorEastAsia" w:cs="Times New Roman"/>
          <w:lang w:val="en-US"/>
        </w:rPr>
      </w:pPr>
      <w:r w:rsidRPr="002C47EE">
        <w:rPr>
          <w:rFonts w:eastAsiaTheme="majorEastAsia" w:cs="Times New Roman"/>
          <w:i/>
          <w:lang w:val="en-US"/>
        </w:rPr>
        <w:t xml:space="preserve">Mohan </w:t>
      </w:r>
      <w:r w:rsidRPr="002C47EE">
        <w:rPr>
          <w:rFonts w:eastAsiaTheme="majorEastAsia" w:cs="Times New Roman"/>
          <w:lang w:val="en-US"/>
        </w:rPr>
        <w:t>and the jurisprudence since, however, have not explicitly addressed how this “cost-benefit” component fits</w:t>
      </w:r>
      <w:r w:rsidRPr="002C47EE">
        <w:rPr>
          <w:rFonts w:eastAsiaTheme="majorEastAsia" w:cs="Times New Roman"/>
        </w:rPr>
        <w:t xml:space="preserve"> into the overall analysis. The reasons in </w:t>
      </w:r>
      <w:r w:rsidRPr="002C47EE">
        <w:rPr>
          <w:rFonts w:eastAsiaTheme="majorEastAsia" w:cs="Times New Roman"/>
          <w:i/>
        </w:rPr>
        <w:t>Mohan</w:t>
      </w:r>
      <w:r w:rsidRPr="002C47EE">
        <w:rPr>
          <w:rFonts w:eastAsiaTheme="majorEastAsia" w:cs="Times New Roman"/>
        </w:rPr>
        <w:t xml:space="preserve"> engaged in a cost-benefit analysis with respect to particular elements of the four threshold requirements, but they also noted that the cost-benefit analysis could be an aspect of exercising the overall discretion to exclude evidence whose probative value does not justify its admission in light of its potentially prejudicial effects: p. 21. The jurisprudence since </w:t>
      </w:r>
      <w:r w:rsidRPr="002C47EE">
        <w:rPr>
          <w:rFonts w:eastAsiaTheme="majorEastAsia" w:cs="Times New Roman"/>
          <w:i/>
        </w:rPr>
        <w:t xml:space="preserve">Mohan </w:t>
      </w:r>
      <w:r w:rsidRPr="002C47EE">
        <w:rPr>
          <w:rFonts w:eastAsiaTheme="majorEastAsia" w:cs="Times New Roman"/>
        </w:rPr>
        <w:t xml:space="preserve">has also focused on particular aspects of expert opinion evidence, but again without always being explicit </w:t>
      </w:r>
      <w:r w:rsidRPr="002C47EE">
        <w:rPr>
          <w:rFonts w:eastAsiaTheme="majorEastAsia" w:cs="Times New Roman"/>
        </w:rPr>
        <w:lastRenderedPageBreak/>
        <w:t xml:space="preserve">about where additional concerns fit into the analysis. The unmistakable overall trend of the jurisprudence, however, has been to tighten the admissibility requirements and to enhance the judge’s gatekeeping role.  </w:t>
      </w:r>
    </w:p>
    <w:p w:rsidR="009D3ECF" w:rsidRPr="002C47EE" w:rsidRDefault="009D3ECF" w:rsidP="009D3ECF">
      <w:pPr>
        <w:pStyle w:val="ParaNoNdepar-AltN"/>
        <w:widowControl w:val="0"/>
        <w:tabs>
          <w:tab w:val="clear" w:pos="1166"/>
          <w:tab w:val="num" w:pos="1152"/>
        </w:tabs>
        <w:rPr>
          <w:rFonts w:eastAsiaTheme="majorEastAsia" w:cs="Times New Roman"/>
          <w:lang w:val="en-US"/>
        </w:rPr>
      </w:pPr>
      <w:r w:rsidRPr="002C47EE">
        <w:rPr>
          <w:rFonts w:eastAsiaTheme="majorEastAsia" w:cs="Times New Roman"/>
        </w:rPr>
        <w:t xml:space="preserve">So, for example, the necessity threshold criterion was emphasized in cases such as </w:t>
      </w:r>
      <w:r w:rsidRPr="002C47EE">
        <w:rPr>
          <w:rFonts w:eastAsiaTheme="majorEastAsia" w:cs="Times New Roman"/>
          <w:i/>
        </w:rPr>
        <w:t>D.D.</w:t>
      </w:r>
      <w:r w:rsidRPr="002C47EE">
        <w:rPr>
          <w:rFonts w:eastAsiaTheme="majorEastAsia" w:cs="Times New Roman"/>
        </w:rPr>
        <w:t xml:space="preserve"> The majority underlined that the necessity requirement exists “to ensure that the dangers associated with expert evidence are not lightly tolerated” and that “[m]ere relevance or ‘helpfulness’ is not enough”: para. 46.  Other cases have addressed the reliability of the science underlying an opinion and indeed technical evidence in general: </w:t>
      </w:r>
      <w:r w:rsidRPr="002C47EE">
        <w:rPr>
          <w:rFonts w:eastAsiaTheme="majorEastAsia" w:cs="Times New Roman"/>
          <w:i/>
        </w:rPr>
        <w:t>J.-L.J.</w:t>
      </w:r>
      <w:r w:rsidRPr="002C47EE">
        <w:rPr>
          <w:rFonts w:eastAsiaTheme="majorEastAsia" w:cs="Times New Roman"/>
        </w:rPr>
        <w:t>;</w:t>
      </w:r>
      <w:r w:rsidRPr="002C47EE">
        <w:rPr>
          <w:rFonts w:eastAsiaTheme="majorEastAsia" w:cs="Times New Roman"/>
          <w:i/>
        </w:rPr>
        <w:t xml:space="preserve"> R. v. </w:t>
      </w:r>
      <w:proofErr w:type="spellStart"/>
      <w:r w:rsidRPr="002C47EE">
        <w:rPr>
          <w:rFonts w:eastAsiaTheme="majorEastAsia" w:cs="Times New Roman"/>
          <w:i/>
        </w:rPr>
        <w:t>Trochym</w:t>
      </w:r>
      <w:proofErr w:type="spellEnd"/>
      <w:r w:rsidRPr="002C47EE">
        <w:rPr>
          <w:rFonts w:eastAsiaTheme="majorEastAsia" w:cs="Times New Roman"/>
        </w:rPr>
        <w:t xml:space="preserve">, 2007 SCC 6, [2007] 1 S.C.R. 239. The question remains, however, as to where the cost-benefit analysis and concerns such as those about reliability fit into the overall analysis. </w:t>
      </w:r>
    </w:p>
    <w:p w:rsidR="009D3ECF" w:rsidRPr="002C47EE" w:rsidRDefault="009D3ECF" w:rsidP="009D3ECF">
      <w:pPr>
        <w:pStyle w:val="ParaNoNdepar-AltN"/>
        <w:widowControl w:val="0"/>
        <w:tabs>
          <w:tab w:val="clear" w:pos="1166"/>
          <w:tab w:val="num" w:pos="1152"/>
        </w:tabs>
        <w:rPr>
          <w:rFonts w:eastAsiaTheme="majorEastAsia" w:cs="Times New Roman"/>
        </w:rPr>
      </w:pPr>
      <w:r w:rsidRPr="002C47EE">
        <w:rPr>
          <w:rFonts w:cs="Times New Roman"/>
          <w:i/>
        </w:rPr>
        <w:t>Abbey</w:t>
      </w:r>
      <w:r w:rsidRPr="002C47EE">
        <w:rPr>
          <w:rFonts w:cs="Times New Roman"/>
        </w:rPr>
        <w:t xml:space="preserve"> (ONCA) introduced helpful analytical clarity by dividing the inquiry into two steps. With minor adjustments, I would adopt that approach.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At the first step, the proponent of the evidence must establish the threshold requirements of admissibility. These are the four </w:t>
      </w:r>
      <w:r w:rsidRPr="002C47EE">
        <w:rPr>
          <w:rFonts w:cs="Times New Roman"/>
          <w:i/>
        </w:rPr>
        <w:t xml:space="preserve">Mohan </w:t>
      </w:r>
      <w:r w:rsidRPr="002C47EE">
        <w:rPr>
          <w:rFonts w:cs="Times New Roman"/>
        </w:rPr>
        <w:t xml:space="preserve">factors (relevance, necessity, absence of an exclusionary rule and a properly qualified expert) and in addition, in the case of an opinion based on novel or contested science or science used for a novel purpose, the reliability of the underlying science for that purpose: </w:t>
      </w:r>
      <w:r w:rsidRPr="002C47EE">
        <w:rPr>
          <w:rFonts w:cs="Times New Roman"/>
          <w:i/>
        </w:rPr>
        <w:t>J.-L.J.</w:t>
      </w:r>
      <w:r w:rsidRPr="002C47EE">
        <w:rPr>
          <w:rFonts w:cs="Times New Roman"/>
        </w:rPr>
        <w:t xml:space="preserve">, at paras. 33, 35-36 and 47; </w:t>
      </w:r>
      <w:proofErr w:type="spellStart"/>
      <w:r w:rsidRPr="002C47EE">
        <w:rPr>
          <w:rFonts w:cs="Times New Roman"/>
          <w:i/>
        </w:rPr>
        <w:t>Trochym</w:t>
      </w:r>
      <w:proofErr w:type="spellEnd"/>
      <w:r w:rsidRPr="002C47EE">
        <w:rPr>
          <w:rFonts w:cs="Times New Roman"/>
        </w:rPr>
        <w:t xml:space="preserve">, at para. 27; </w:t>
      </w:r>
      <w:r w:rsidRPr="002C47EE">
        <w:rPr>
          <w:rFonts w:eastAsiaTheme="majorEastAsia" w:cs="Times New Roman"/>
          <w:lang w:val="en-US"/>
        </w:rPr>
        <w:t xml:space="preserve">Lederman, Bryant and </w:t>
      </w:r>
      <w:proofErr w:type="spellStart"/>
      <w:r w:rsidRPr="002C47EE">
        <w:rPr>
          <w:rFonts w:eastAsiaTheme="majorEastAsia" w:cs="Times New Roman"/>
          <w:lang w:val="en-US"/>
        </w:rPr>
        <w:t>Fuerst</w:t>
      </w:r>
      <w:proofErr w:type="spellEnd"/>
      <w:r w:rsidRPr="002C47EE">
        <w:rPr>
          <w:rFonts w:eastAsiaTheme="majorEastAsia" w:cs="Times New Roman"/>
          <w:lang w:val="en-US"/>
        </w:rPr>
        <w:t>, at pp. 788-89 and 800-801. Relevance at this threshold</w:t>
      </w:r>
      <w:r w:rsidRPr="002C47EE">
        <w:rPr>
          <w:rFonts w:cs="Times New Roman"/>
        </w:rPr>
        <w:t xml:space="preserve"> stage refers to logical relevance: </w:t>
      </w:r>
      <w:r w:rsidRPr="002C47EE">
        <w:rPr>
          <w:rFonts w:eastAsiaTheme="majorEastAsia" w:cs="Times New Roman"/>
          <w:i/>
        </w:rPr>
        <w:t xml:space="preserve">Abbey </w:t>
      </w:r>
      <w:r w:rsidRPr="002C47EE">
        <w:rPr>
          <w:rFonts w:eastAsiaTheme="majorEastAsia" w:cs="Times New Roman"/>
        </w:rPr>
        <w:t xml:space="preserve">(ONCA), at para. 82; </w:t>
      </w:r>
      <w:r w:rsidRPr="002C47EE">
        <w:rPr>
          <w:rFonts w:cs="Times New Roman"/>
          <w:i/>
        </w:rPr>
        <w:t>J.-L.J.</w:t>
      </w:r>
      <w:r w:rsidRPr="002C47EE">
        <w:rPr>
          <w:rFonts w:cs="Times New Roman"/>
        </w:rPr>
        <w:t xml:space="preserve">, at para. 47. Evidence that does not meet these </w:t>
      </w:r>
      <w:r w:rsidRPr="002C47EE">
        <w:rPr>
          <w:rFonts w:cs="Times New Roman"/>
        </w:rPr>
        <w:lastRenderedPageBreak/>
        <w:t xml:space="preserve">threshold requirements should be excluded. Note that I would retain necessity as a threshold requirement: </w:t>
      </w:r>
      <w:r w:rsidRPr="002C47EE">
        <w:rPr>
          <w:rFonts w:cs="Times New Roman"/>
          <w:i/>
        </w:rPr>
        <w:t>D.D.</w:t>
      </w:r>
      <w:r w:rsidRPr="002C47EE">
        <w:rPr>
          <w:rFonts w:cs="Times New Roman"/>
        </w:rPr>
        <w:t>,</w:t>
      </w:r>
      <w:r w:rsidRPr="002C47EE">
        <w:rPr>
          <w:rFonts w:cs="Times New Roman"/>
          <w:i/>
        </w:rPr>
        <w:t xml:space="preserve"> </w:t>
      </w:r>
      <w:r w:rsidRPr="002C47EE">
        <w:rPr>
          <w:rFonts w:cs="Times New Roman"/>
        </w:rPr>
        <w:t xml:space="preserve">at para. 57; </w:t>
      </w:r>
      <w:r w:rsidRPr="002C47EE">
        <w:rPr>
          <w:rFonts w:eastAsiaTheme="majorEastAsia" w:cs="Times New Roman"/>
        </w:rPr>
        <w:t xml:space="preserve">see D. M. </w:t>
      </w:r>
      <w:proofErr w:type="spellStart"/>
      <w:r w:rsidRPr="002C47EE">
        <w:rPr>
          <w:rFonts w:eastAsiaTheme="majorEastAsia" w:cs="Times New Roman"/>
        </w:rPr>
        <w:t>Paciocco</w:t>
      </w:r>
      <w:proofErr w:type="spellEnd"/>
      <w:r w:rsidRPr="002C47EE">
        <w:rPr>
          <w:rFonts w:eastAsiaTheme="majorEastAsia" w:cs="Times New Roman"/>
        </w:rPr>
        <w:t xml:space="preserve"> and L. Stuesser, </w:t>
      </w:r>
      <w:r w:rsidRPr="002C47EE">
        <w:rPr>
          <w:rFonts w:eastAsiaTheme="majorEastAsia" w:cs="Times New Roman"/>
          <w:i/>
        </w:rPr>
        <w:t>The</w:t>
      </w:r>
      <w:r w:rsidRPr="002C47EE">
        <w:rPr>
          <w:rFonts w:eastAsiaTheme="majorEastAsia" w:cs="Times New Roman"/>
        </w:rPr>
        <w:t xml:space="preserve"> </w:t>
      </w:r>
      <w:r w:rsidRPr="002C47EE">
        <w:rPr>
          <w:rFonts w:eastAsiaTheme="majorEastAsia" w:cs="Times New Roman"/>
          <w:i/>
        </w:rPr>
        <w:t>Law of Evidence</w:t>
      </w:r>
      <w:r w:rsidRPr="002C47EE">
        <w:rPr>
          <w:rFonts w:eastAsiaTheme="majorEastAsia" w:cs="Times New Roman"/>
        </w:rPr>
        <w:t xml:space="preserve"> (7th ed. 2015), at pp. 209-10;</w:t>
      </w:r>
      <w:r w:rsidRPr="002C47EE">
        <w:rPr>
          <w:rFonts w:cs="Times New Roman"/>
        </w:rPr>
        <w:t xml:space="preserve"> </w:t>
      </w:r>
      <w:r w:rsidRPr="002C47EE">
        <w:rPr>
          <w:rFonts w:cs="Times New Roman"/>
          <w:i/>
        </w:rPr>
        <w:t>R. v. Boswell</w:t>
      </w:r>
      <w:r w:rsidRPr="002C47EE">
        <w:rPr>
          <w:rFonts w:cs="Times New Roman"/>
        </w:rPr>
        <w:t xml:space="preserve">, 2011 ONCA 283, 85 C.R. (6th) 290, at para. 13; </w:t>
      </w:r>
      <w:r w:rsidRPr="002C47EE">
        <w:rPr>
          <w:rFonts w:cs="Times New Roman"/>
          <w:i/>
        </w:rPr>
        <w:t>R. v. C. (M.)</w:t>
      </w:r>
      <w:r w:rsidRPr="002C47EE">
        <w:rPr>
          <w:rFonts w:cs="Times New Roman"/>
        </w:rPr>
        <w:t>, 2014 ONCA 611, 13 C.R. (7th) 396, at para. 72.</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At the second discretionary gatekeeping step, the judge balances the potential risks and benefits of admitting the evidence in order to decide whether the potential benefits justify the risks. The required balancing exercise has been described in various ways.  In </w:t>
      </w:r>
      <w:r w:rsidRPr="002C47EE">
        <w:rPr>
          <w:rFonts w:cs="Times New Roman"/>
          <w:i/>
        </w:rPr>
        <w:t>Mohan</w:t>
      </w:r>
      <w:r w:rsidRPr="002C47EE">
        <w:rPr>
          <w:rFonts w:cs="Times New Roman"/>
        </w:rPr>
        <w:t xml:space="preserve">, </w:t>
      </w:r>
      <w:proofErr w:type="spellStart"/>
      <w:r w:rsidRPr="002C47EE">
        <w:rPr>
          <w:rFonts w:cs="Times New Roman"/>
        </w:rPr>
        <w:t>Sopinka</w:t>
      </w:r>
      <w:proofErr w:type="spellEnd"/>
      <w:r w:rsidRPr="002C47EE">
        <w:rPr>
          <w:rFonts w:cs="Times New Roman"/>
        </w:rPr>
        <w:t xml:space="preserve"> J. spoke of the “reliability versus effect factor” (p. 21), while in </w:t>
      </w:r>
      <w:r w:rsidRPr="002C47EE">
        <w:rPr>
          <w:rFonts w:cs="Times New Roman"/>
          <w:i/>
        </w:rPr>
        <w:t>J.-L.J.</w:t>
      </w:r>
      <w:r w:rsidRPr="002C47EE">
        <w:rPr>
          <w:rFonts w:cs="Times New Roman"/>
        </w:rPr>
        <w:t>, Binnie J. spoke about “relevance, reliability and necessity” being “measured against the counterweights of consumption of time, prejudice and confusion”: para</w:t>
      </w:r>
      <w:r w:rsidR="00152358">
        <w:rPr>
          <w:rFonts w:cs="Times New Roman"/>
        </w:rPr>
        <w:t>.</w:t>
      </w:r>
      <w:r w:rsidRPr="002C47EE">
        <w:rPr>
          <w:rFonts w:cs="Times New Roman"/>
        </w:rPr>
        <w:t xml:space="preserve"> 47. Doherty J.A. summed it up well in </w:t>
      </w:r>
      <w:r w:rsidRPr="002C47EE">
        <w:rPr>
          <w:rFonts w:cs="Times New Roman"/>
          <w:i/>
        </w:rPr>
        <w:t>Abbey</w:t>
      </w:r>
      <w:r w:rsidRPr="002C47EE">
        <w:rPr>
          <w:rFonts w:cs="Times New Roman"/>
        </w:rPr>
        <w:t>,</w:t>
      </w:r>
      <w:r w:rsidRPr="002C47EE">
        <w:rPr>
          <w:rFonts w:cs="Times New Roman"/>
          <w:i/>
        </w:rPr>
        <w:t xml:space="preserve"> </w:t>
      </w:r>
      <w:r w:rsidRPr="002C47EE">
        <w:rPr>
          <w:rFonts w:cs="Times New Roman"/>
        </w:rPr>
        <w:t>stating that the “trial judge must decide whether expert evidence that meets the preconditions to admissibility is sufficiently beneficial to the trial process to warrant its admission despite the potential harm to the trial process that may flow from the admission of the expert evidence”: para. 76.</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With this delineation of the analytical framework, we can turn to the nature of an expert’s duty to the court and where it fits into that framework.</w:t>
      </w:r>
    </w:p>
    <w:p w:rsidR="009D3ECF" w:rsidRPr="002C47EE" w:rsidRDefault="009D3ECF" w:rsidP="009D3ECF">
      <w:pPr>
        <w:pStyle w:val="Title2LevelTitre2Niveau"/>
        <w:widowControl w:val="0"/>
        <w:numPr>
          <w:ilvl w:val="1"/>
          <w:numId w:val="22"/>
        </w:numPr>
        <w:rPr>
          <w:rFonts w:cs="Times New Roman"/>
          <w:lang w:val="en-US"/>
        </w:rPr>
      </w:pPr>
      <w:r w:rsidRPr="002C47EE">
        <w:rPr>
          <w:rFonts w:cs="Times New Roman"/>
          <w:lang w:val="en-US"/>
        </w:rPr>
        <w:t>The Expert’s Duty to the Court or Tribunal</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There is little controversy about the broad outlines of the expert witness’s </w:t>
      </w:r>
      <w:r w:rsidRPr="002C47EE">
        <w:rPr>
          <w:rFonts w:cs="Times New Roman"/>
        </w:rPr>
        <w:lastRenderedPageBreak/>
        <w:t xml:space="preserve">duty to the court. As Anderson writes, “[t]he duty to provide independent assistance to the Court by way of objective unbiased opinion has been stated many times by common law courts around the world”: p. 227.  I would add that a similar duty exists in the civil law of Quebec: J.-C. Royer and S. </w:t>
      </w:r>
      <w:proofErr w:type="spellStart"/>
      <w:r w:rsidRPr="002C47EE">
        <w:rPr>
          <w:rFonts w:cs="Times New Roman"/>
        </w:rPr>
        <w:t>Lavallée</w:t>
      </w:r>
      <w:proofErr w:type="spellEnd"/>
      <w:r w:rsidRPr="002C47EE">
        <w:rPr>
          <w:rFonts w:cs="Times New Roman"/>
        </w:rPr>
        <w:t xml:space="preserve">, </w:t>
      </w:r>
      <w:r w:rsidRPr="002C47EE">
        <w:rPr>
          <w:rFonts w:cs="Times New Roman"/>
          <w:i/>
        </w:rPr>
        <w:t xml:space="preserve">La </w:t>
      </w:r>
      <w:proofErr w:type="spellStart"/>
      <w:r w:rsidRPr="002C47EE">
        <w:rPr>
          <w:rFonts w:cs="Times New Roman"/>
          <w:i/>
        </w:rPr>
        <w:t>preuve</w:t>
      </w:r>
      <w:proofErr w:type="spellEnd"/>
      <w:r w:rsidRPr="002C47EE">
        <w:rPr>
          <w:rFonts w:cs="Times New Roman"/>
          <w:i/>
        </w:rPr>
        <w:t xml:space="preserve"> </w:t>
      </w:r>
      <w:proofErr w:type="spellStart"/>
      <w:r w:rsidRPr="002C47EE">
        <w:rPr>
          <w:rFonts w:cs="Times New Roman"/>
          <w:i/>
        </w:rPr>
        <w:t>civile</w:t>
      </w:r>
      <w:proofErr w:type="spellEnd"/>
      <w:r w:rsidRPr="002C47EE">
        <w:rPr>
          <w:rFonts w:cs="Times New Roman"/>
        </w:rPr>
        <w:t xml:space="preserve"> (4th ed. 2008), at para. 468; D. </w:t>
      </w:r>
      <w:proofErr w:type="spellStart"/>
      <w:r w:rsidRPr="002C47EE">
        <w:rPr>
          <w:rFonts w:cs="Times New Roman"/>
        </w:rPr>
        <w:t>Béchard</w:t>
      </w:r>
      <w:proofErr w:type="spellEnd"/>
      <w:r w:rsidR="006158B8">
        <w:rPr>
          <w:rFonts w:cs="Times New Roman"/>
        </w:rPr>
        <w:t>,</w:t>
      </w:r>
      <w:r w:rsidRPr="002C47EE">
        <w:rPr>
          <w:rFonts w:cs="Times New Roman"/>
        </w:rPr>
        <w:t xml:space="preserve"> with the collaboration of J. </w:t>
      </w:r>
      <w:proofErr w:type="spellStart"/>
      <w:r w:rsidRPr="002C47EE">
        <w:rPr>
          <w:rFonts w:cs="Times New Roman"/>
        </w:rPr>
        <w:t>Béchard</w:t>
      </w:r>
      <w:proofErr w:type="spellEnd"/>
      <w:r w:rsidRPr="002C47EE">
        <w:rPr>
          <w:rFonts w:cs="Times New Roman"/>
        </w:rPr>
        <w:t xml:space="preserve">, </w:t>
      </w:r>
      <w:proofErr w:type="spellStart"/>
      <w:r w:rsidRPr="002C47EE">
        <w:rPr>
          <w:rFonts w:cs="Times New Roman"/>
          <w:i/>
        </w:rPr>
        <w:t>L’expert</w:t>
      </w:r>
      <w:proofErr w:type="spellEnd"/>
      <w:r w:rsidRPr="002C47EE">
        <w:rPr>
          <w:rFonts w:cs="Times New Roman"/>
        </w:rPr>
        <w:t xml:space="preserve"> (2011)</w:t>
      </w:r>
      <w:r w:rsidR="00CD6624">
        <w:rPr>
          <w:rFonts w:cs="Times New Roman"/>
        </w:rPr>
        <w:t>,</w:t>
      </w:r>
      <w:r w:rsidRPr="002C47EE">
        <w:rPr>
          <w:rFonts w:cs="Times New Roman"/>
        </w:rPr>
        <w:t xml:space="preserve"> c. 9; </w:t>
      </w:r>
      <w:r w:rsidRPr="002C47EE">
        <w:rPr>
          <w:rFonts w:cs="Times New Roman"/>
          <w:i/>
        </w:rPr>
        <w:t>An Act to establish the new Code of Civil Procedure</w:t>
      </w:r>
      <w:r w:rsidRPr="002C47EE">
        <w:rPr>
          <w:rFonts w:cs="Times New Roman"/>
        </w:rPr>
        <w:t xml:space="preserve">, S.Q. 2014, c. 1, art. 22 (not yet in force); L. </w:t>
      </w:r>
      <w:proofErr w:type="spellStart"/>
      <w:r w:rsidRPr="002C47EE">
        <w:rPr>
          <w:rFonts w:cs="Times New Roman"/>
        </w:rPr>
        <w:t>Chamberland</w:t>
      </w:r>
      <w:proofErr w:type="spellEnd"/>
      <w:r w:rsidRPr="002C47EE">
        <w:rPr>
          <w:rFonts w:cs="Times New Roman"/>
        </w:rPr>
        <w:t>,</w:t>
      </w:r>
      <w:r w:rsidRPr="002C47EE">
        <w:rPr>
          <w:rFonts w:cs="Times New Roman"/>
          <w:i/>
        </w:rPr>
        <w:t xml:space="preserve"> Le nouveau Code de </w:t>
      </w:r>
      <w:proofErr w:type="spellStart"/>
      <w:r w:rsidRPr="002C47EE">
        <w:rPr>
          <w:rFonts w:cs="Times New Roman"/>
          <w:i/>
        </w:rPr>
        <w:t>procédure</w:t>
      </w:r>
      <w:proofErr w:type="spellEnd"/>
      <w:r w:rsidRPr="002C47EE">
        <w:rPr>
          <w:rFonts w:cs="Times New Roman"/>
          <w:i/>
        </w:rPr>
        <w:t xml:space="preserve"> </w:t>
      </w:r>
      <w:proofErr w:type="spellStart"/>
      <w:r w:rsidRPr="002C47EE">
        <w:rPr>
          <w:rFonts w:cs="Times New Roman"/>
          <w:i/>
        </w:rPr>
        <w:t>civile</w:t>
      </w:r>
      <w:proofErr w:type="spellEnd"/>
      <w:r w:rsidRPr="002C47EE">
        <w:rPr>
          <w:rFonts w:cs="Times New Roman"/>
          <w:i/>
        </w:rPr>
        <w:t xml:space="preserve"> </w:t>
      </w:r>
      <w:proofErr w:type="spellStart"/>
      <w:r w:rsidRPr="002C47EE">
        <w:rPr>
          <w:rFonts w:cs="Times New Roman"/>
          <w:i/>
        </w:rPr>
        <w:t>commenté</w:t>
      </w:r>
      <w:proofErr w:type="spellEnd"/>
      <w:r w:rsidRPr="002C47EE">
        <w:rPr>
          <w:rFonts w:cs="Times New Roman"/>
        </w:rPr>
        <w:t xml:space="preserve"> (2014), at pp. 14 and 121.</w:t>
      </w:r>
      <w:r w:rsidRPr="002C47EE">
        <w:rPr>
          <w:rStyle w:val="CommentReference"/>
          <w:rFonts w:eastAsia="Times New Roman" w:cs="Times New Roman"/>
          <w:lang w:eastAsia="en-CA"/>
        </w:rPr>
        <w:t xml:space="preserve">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One influential statement of the elements of this duty are found in the English case </w:t>
      </w:r>
      <w:r w:rsidRPr="002C47EE">
        <w:rPr>
          <w:rFonts w:cs="Times New Roman"/>
          <w:i/>
        </w:rPr>
        <w:t xml:space="preserve">National Justice </w:t>
      </w:r>
      <w:proofErr w:type="spellStart"/>
      <w:r w:rsidRPr="002C47EE">
        <w:rPr>
          <w:rFonts w:cs="Times New Roman"/>
          <w:i/>
        </w:rPr>
        <w:t>Compania</w:t>
      </w:r>
      <w:proofErr w:type="spellEnd"/>
      <w:r w:rsidRPr="002C47EE">
        <w:rPr>
          <w:rFonts w:cs="Times New Roman"/>
          <w:i/>
        </w:rPr>
        <w:t xml:space="preserve"> </w:t>
      </w:r>
      <w:proofErr w:type="spellStart"/>
      <w:r w:rsidRPr="002C47EE">
        <w:rPr>
          <w:rFonts w:cs="Times New Roman"/>
          <w:i/>
        </w:rPr>
        <w:t>Naviera</w:t>
      </w:r>
      <w:proofErr w:type="spellEnd"/>
      <w:r w:rsidRPr="002C47EE">
        <w:rPr>
          <w:rFonts w:cs="Times New Roman"/>
          <w:i/>
        </w:rPr>
        <w:t xml:space="preserve"> S.A. v. Prudential Assurance Co.</w:t>
      </w:r>
      <w:r w:rsidRPr="002C47EE">
        <w:rPr>
          <w:rFonts w:cs="Times New Roman"/>
        </w:rPr>
        <w:t xml:space="preserve">, [1993] 2 Lloyd’s Rep. 68 (Q.B.). Following an 87-day trial, </w:t>
      </w:r>
      <w:proofErr w:type="spellStart"/>
      <w:r w:rsidRPr="002C47EE">
        <w:rPr>
          <w:rFonts w:cs="Times New Roman"/>
        </w:rPr>
        <w:t>Cresswell</w:t>
      </w:r>
      <w:proofErr w:type="spellEnd"/>
      <w:r w:rsidRPr="002C47EE">
        <w:rPr>
          <w:rFonts w:cs="Times New Roman"/>
        </w:rPr>
        <w:t xml:space="preserve"> J. believed that a misunderstanding of the duties and responsibilities of expert witnesses contributed to the length of the trial.  He listed in </w:t>
      </w:r>
      <w:r w:rsidRPr="002C47EE">
        <w:rPr>
          <w:rFonts w:cs="Times New Roman"/>
          <w:i/>
        </w:rPr>
        <w:t>obiter dictum</w:t>
      </w:r>
      <w:r w:rsidRPr="002C47EE">
        <w:rPr>
          <w:rFonts w:cs="Times New Roman"/>
        </w:rPr>
        <w:t xml:space="preserve"> duties and responsibilities of experts, the first two of which have particularly influenced the development of Canadian law:</w:t>
      </w:r>
    </w:p>
    <w:p w:rsidR="009D3ECF" w:rsidRPr="002C47EE" w:rsidRDefault="009D3ECF" w:rsidP="009D3ECF">
      <w:pPr>
        <w:pStyle w:val="Citation-AltC"/>
        <w:widowControl w:val="0"/>
        <w:ind w:left="1440" w:firstLine="360"/>
      </w:pPr>
      <w:r w:rsidRPr="002C47EE">
        <w:t xml:space="preserve">1. Expert evidence presented to the Court should be, and should be seen to be, </w:t>
      </w:r>
      <w:r w:rsidRPr="002C47EE">
        <w:rPr>
          <w:u w:val="single"/>
        </w:rPr>
        <w:t xml:space="preserve">the independent product of the expert uninfluenced as to form or content by the exigencies of </w:t>
      </w:r>
      <w:proofErr w:type="gramStart"/>
      <w:r w:rsidRPr="002C47EE">
        <w:rPr>
          <w:u w:val="single"/>
        </w:rPr>
        <w:t>litigation</w:t>
      </w:r>
      <w:r w:rsidRPr="002C47EE">
        <w:t xml:space="preserve"> </w:t>
      </w:r>
      <w:r>
        <w:t>.</w:t>
      </w:r>
      <w:proofErr w:type="gramEnd"/>
      <w:r>
        <w:t> . . .</w:t>
      </w:r>
      <w:r w:rsidRPr="002C47EE">
        <w:t xml:space="preserve">  </w:t>
      </w:r>
    </w:p>
    <w:p w:rsidR="009D3ECF" w:rsidRPr="002C47EE" w:rsidRDefault="009D3ECF" w:rsidP="009D3ECF">
      <w:pPr>
        <w:pStyle w:val="Citation-AltC"/>
        <w:widowControl w:val="0"/>
        <w:ind w:left="1440"/>
      </w:pPr>
    </w:p>
    <w:p w:rsidR="009D3ECF" w:rsidRPr="002C47EE" w:rsidRDefault="009D3ECF" w:rsidP="00CD6624">
      <w:pPr>
        <w:pStyle w:val="Citation-AltC"/>
        <w:widowControl w:val="0"/>
        <w:spacing w:after="480"/>
        <w:ind w:left="1440" w:firstLine="360"/>
        <w:contextualSpacing w:val="0"/>
      </w:pPr>
      <w:r w:rsidRPr="002C47EE">
        <w:t xml:space="preserve">2. An expert witness should provide independent assistance to the Court by way of </w:t>
      </w:r>
      <w:r w:rsidRPr="002C47EE">
        <w:rPr>
          <w:u w:val="single"/>
        </w:rPr>
        <w:t>objective unbiased opinion</w:t>
      </w:r>
      <w:r w:rsidRPr="002C47EE">
        <w:t xml:space="preserve"> in relation to matters within his [or her] </w:t>
      </w:r>
      <w:proofErr w:type="gramStart"/>
      <w:r w:rsidRPr="002C47EE">
        <w:t xml:space="preserve">expertise </w:t>
      </w:r>
      <w:r>
        <w:t>.</w:t>
      </w:r>
      <w:proofErr w:type="gramEnd"/>
      <w:r>
        <w:t> . . .</w:t>
      </w:r>
      <w:r w:rsidRPr="002C47EE">
        <w:t xml:space="preserve"> An expert witness in the High Court should never assume the role of an advocate. [Emphasis added; citation omitted; p. 81.]</w:t>
      </w:r>
    </w:p>
    <w:p w:rsidR="009D3ECF" w:rsidRPr="002C47EE" w:rsidRDefault="009D3ECF" w:rsidP="009D3ECF">
      <w:pPr>
        <w:pStyle w:val="Citation-AltC"/>
        <w:widowControl w:val="0"/>
        <w:ind w:left="1440" w:hanging="1440"/>
      </w:pPr>
      <w:r w:rsidRPr="002C47EE">
        <w:t>(These duties were endorsed on appeal: [1995] 1 Lloyd’s Rep. 455 (C.A.), at p. 496.)</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lastRenderedPageBreak/>
        <w:t xml:space="preserve">Many provinces and territories have provided explicit guidance related to the duty of expert witnesses. In Nova Scotia, for example, the </w:t>
      </w:r>
      <w:r w:rsidRPr="002C47EE">
        <w:rPr>
          <w:rFonts w:cs="Times New Roman"/>
          <w:i/>
        </w:rPr>
        <w:t>Civil Procedure Rules</w:t>
      </w:r>
      <w:r w:rsidRPr="002C47EE">
        <w:rPr>
          <w:rFonts w:cs="Times New Roman"/>
        </w:rPr>
        <w:t xml:space="preserve"> require that an expert’s report be signed by the expert who must make (among others) the following representations to the court: that the expert is providing an objective opinion for the assistance of the court; that the expert is prepared to apply independent judgment when assisting the court; and that the report includes everything the expert regards as relevant to the expressed opinion and draws attention to anything that could reasonably lead to a different conclusion (r. 55.04(1)(a), (b) and (c)). While these requirements do not affect the rules of evidence by which expert opinion is determined to be admissible or inadmissible, they provide a convenient summary of a fairly broadly shared sense of the duties of an expert witness to the court.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There are similar descriptions of the expert’s duty in the civil procedure rules in other Canadian jurisdictions: Anderson, at p. 227; </w:t>
      </w:r>
      <w:r w:rsidRPr="002C47EE">
        <w:rPr>
          <w:rFonts w:cs="Times New Roman"/>
          <w:i/>
        </w:rPr>
        <w:t xml:space="preserve">The Queen’s Bench Rules </w:t>
      </w:r>
      <w:r w:rsidRPr="00E51BED">
        <w:rPr>
          <w:rFonts w:cs="Times New Roman"/>
        </w:rPr>
        <w:t>(Saskatchewan)</w:t>
      </w:r>
      <w:r w:rsidRPr="002C47EE">
        <w:rPr>
          <w:rFonts w:cs="Times New Roman"/>
        </w:rPr>
        <w:t xml:space="preserve">, r. 5-37; </w:t>
      </w:r>
      <w:r w:rsidRPr="002C47EE">
        <w:rPr>
          <w:rFonts w:cs="Times New Roman"/>
          <w:i/>
        </w:rPr>
        <w:t>Supreme Court Civil Rules</w:t>
      </w:r>
      <w:r w:rsidRPr="002C47EE">
        <w:rPr>
          <w:rFonts w:cs="Times New Roman"/>
        </w:rPr>
        <w:t xml:space="preserve">, B.C. Reg. 168/2009, r. 11-2(1); </w:t>
      </w:r>
      <w:r w:rsidRPr="002C47EE">
        <w:rPr>
          <w:rFonts w:cs="Times New Roman"/>
          <w:i/>
        </w:rPr>
        <w:t>Rules of Civil Procedure</w:t>
      </w:r>
      <w:r w:rsidRPr="002C47EE">
        <w:rPr>
          <w:rFonts w:cs="Times New Roman"/>
        </w:rPr>
        <w:t xml:space="preserve">, R.R.O. 1990, Reg. 194, r. 4.1.01(1); </w:t>
      </w:r>
      <w:r w:rsidRPr="002C47EE">
        <w:rPr>
          <w:rFonts w:cs="Times New Roman"/>
          <w:i/>
        </w:rPr>
        <w:t>Rules of Court</w:t>
      </w:r>
      <w:r w:rsidRPr="002C47EE">
        <w:rPr>
          <w:rFonts w:cs="Times New Roman"/>
        </w:rPr>
        <w:t>,</w:t>
      </w:r>
      <w:r w:rsidRPr="002C47EE">
        <w:rPr>
          <w:rFonts w:cs="Times New Roman"/>
          <w:i/>
        </w:rPr>
        <w:t xml:space="preserve"> </w:t>
      </w:r>
      <w:r w:rsidRPr="002C47EE">
        <w:rPr>
          <w:rFonts w:cs="Times New Roman"/>
        </w:rPr>
        <w:t xml:space="preserve">Y.O.I.C. 2009/65, r. 34(23); </w:t>
      </w:r>
      <w:r w:rsidRPr="002C47EE">
        <w:rPr>
          <w:rFonts w:cs="Times New Roman"/>
          <w:i/>
        </w:rPr>
        <w:t>An Act to establish the new Code of Civil Procedure</w:t>
      </w:r>
      <w:r w:rsidRPr="002C47EE">
        <w:rPr>
          <w:rFonts w:cs="Times New Roman"/>
        </w:rPr>
        <w:t xml:space="preserve">, art. 22. Moreover, the rules in Saskatchewan, British Columbia, Ontario, Nova Scotia, Prince Edward Island, Quebec and the Federal Courts require experts to certify that they are aware of and will comply with their duty to the court: Anderson, at p. 228; Saskatchewan </w:t>
      </w:r>
      <w:r w:rsidRPr="002C47EE">
        <w:rPr>
          <w:rFonts w:cs="Times New Roman"/>
          <w:i/>
        </w:rPr>
        <w:t>Queen’s Bench Rules</w:t>
      </w:r>
      <w:r w:rsidRPr="002C47EE">
        <w:rPr>
          <w:rFonts w:cs="Times New Roman"/>
        </w:rPr>
        <w:t xml:space="preserve">, r. 5-37(3); British Columbia </w:t>
      </w:r>
      <w:r w:rsidRPr="002C47EE">
        <w:rPr>
          <w:rFonts w:cs="Times New Roman"/>
          <w:i/>
        </w:rPr>
        <w:t>Supreme Court Civil Rules</w:t>
      </w:r>
      <w:r w:rsidRPr="002C47EE">
        <w:rPr>
          <w:rFonts w:cs="Times New Roman"/>
        </w:rPr>
        <w:t>, r. 11-2(2); Ontario</w:t>
      </w:r>
      <w:r w:rsidRPr="002C47EE">
        <w:rPr>
          <w:rFonts w:cs="Times New Roman"/>
          <w:i/>
        </w:rPr>
        <w:t xml:space="preserve"> Rules of Civil Procedure</w:t>
      </w:r>
      <w:r w:rsidRPr="002C47EE">
        <w:rPr>
          <w:rFonts w:cs="Times New Roman"/>
        </w:rPr>
        <w:t xml:space="preserve">, r. 53.03(2.1); Nova Scotia </w:t>
      </w:r>
      <w:r w:rsidRPr="002C47EE">
        <w:rPr>
          <w:rFonts w:cs="Times New Roman"/>
          <w:i/>
        </w:rPr>
        <w:t>Civil Procedure Rules</w:t>
      </w:r>
      <w:r w:rsidRPr="002C47EE">
        <w:rPr>
          <w:rFonts w:cs="Times New Roman"/>
        </w:rPr>
        <w:t xml:space="preserve">, r. 55.04(1)(a); Prince Edward Island </w:t>
      </w:r>
      <w:r w:rsidRPr="002C47EE">
        <w:rPr>
          <w:rFonts w:cs="Times New Roman"/>
          <w:i/>
        </w:rPr>
        <w:t>Rules of Civil Procedure</w:t>
      </w:r>
      <w:r w:rsidRPr="002C47EE">
        <w:rPr>
          <w:rFonts w:cs="Times New Roman"/>
        </w:rPr>
        <w:t xml:space="preserve">, </w:t>
      </w:r>
      <w:r w:rsidRPr="002C47EE">
        <w:rPr>
          <w:rFonts w:cs="Times New Roman"/>
        </w:rPr>
        <w:lastRenderedPageBreak/>
        <w:t xml:space="preserve">r. 53.03(3)(g); </w:t>
      </w:r>
      <w:r w:rsidRPr="002C47EE">
        <w:rPr>
          <w:rFonts w:cs="Times New Roman"/>
          <w:i/>
        </w:rPr>
        <w:t>An Act to establish the new Code of Civil Procedure</w:t>
      </w:r>
      <w:r w:rsidRPr="002C47EE">
        <w:rPr>
          <w:rFonts w:cs="Times New Roman"/>
        </w:rPr>
        <w:t xml:space="preserve">, art. 235 (not yet in force); </w:t>
      </w:r>
      <w:r w:rsidRPr="002C47EE">
        <w:rPr>
          <w:rFonts w:cs="Times New Roman"/>
          <w:i/>
        </w:rPr>
        <w:t>Federal Courts Rules</w:t>
      </w:r>
      <w:r w:rsidRPr="002C47EE">
        <w:rPr>
          <w:rFonts w:cs="Times New Roman"/>
        </w:rPr>
        <w:t>, SOR/98-106, r. 52.2(1</w:t>
      </w:r>
      <w:proofErr w:type="gramStart"/>
      <w:r w:rsidRPr="002C47EE">
        <w:rPr>
          <w:rFonts w:cs="Times New Roman"/>
        </w:rPr>
        <w:t>)(</w:t>
      </w:r>
      <w:proofErr w:type="gramEnd"/>
      <w:r w:rsidRPr="000E163E">
        <w:rPr>
          <w:rFonts w:cs="Times New Roman"/>
          <w:i/>
        </w:rPr>
        <w:t>c</w:t>
      </w:r>
      <w:r w:rsidRPr="002C47EE">
        <w:rPr>
          <w:rFonts w:cs="Times New Roman"/>
        </w:rPr>
        <w:t>).</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The formulation in the Ontario </w:t>
      </w:r>
      <w:r w:rsidRPr="002C47EE">
        <w:rPr>
          <w:rFonts w:cs="Times New Roman"/>
          <w:i/>
        </w:rPr>
        <w:t>Rules of Civil Procedure</w:t>
      </w:r>
      <w:r w:rsidRPr="002C47EE">
        <w:rPr>
          <w:rFonts w:cs="Times New Roman"/>
        </w:rPr>
        <w:t xml:space="preserve"> is perhaps the most succinct and complete statement of the expert’s duty to the court: to provide opinion evidence that is fair, objective and non-partisan </w:t>
      </w:r>
      <w:r w:rsidR="003E7969">
        <w:rPr>
          <w:rFonts w:cs="Times New Roman"/>
        </w:rPr>
        <w:t>(</w:t>
      </w:r>
      <w:r w:rsidRPr="002C47EE">
        <w:rPr>
          <w:rFonts w:cs="Times New Roman"/>
        </w:rPr>
        <w:t>r. 4.1.01(1)(a)</w:t>
      </w:r>
      <w:r w:rsidR="003E7969">
        <w:rPr>
          <w:rFonts w:cs="Times New Roman"/>
        </w:rPr>
        <w:t>)</w:t>
      </w:r>
      <w:r w:rsidRPr="002C47EE">
        <w:rPr>
          <w:rFonts w:cs="Times New Roman"/>
        </w:rPr>
        <w:t xml:space="preserve">. The </w:t>
      </w:r>
      <w:r w:rsidRPr="00E51BED">
        <w:rPr>
          <w:rFonts w:cs="Times New Roman"/>
          <w:i/>
        </w:rPr>
        <w:t>Rules</w:t>
      </w:r>
      <w:r w:rsidRPr="002C47EE">
        <w:rPr>
          <w:rFonts w:cs="Times New Roman"/>
        </w:rPr>
        <w:t xml:space="preserve"> are also explicit that this duty to the court prevails over any obligation owed by the expert to a party</w:t>
      </w:r>
      <w:r w:rsidR="000E163E">
        <w:rPr>
          <w:rFonts w:cs="Times New Roman"/>
        </w:rPr>
        <w:t xml:space="preserve"> (</w:t>
      </w:r>
      <w:r w:rsidRPr="002C47EE">
        <w:rPr>
          <w:rFonts w:cs="Times New Roman"/>
        </w:rPr>
        <w:t>r.</w:t>
      </w:r>
      <w:r>
        <w:rPr>
          <w:rFonts w:cs="Times New Roman"/>
        </w:rPr>
        <w:t xml:space="preserve"> </w:t>
      </w:r>
      <w:r w:rsidRPr="002C47EE">
        <w:rPr>
          <w:rFonts w:cs="Times New Roman"/>
        </w:rPr>
        <w:t>4.1.01(2)</w:t>
      </w:r>
      <w:r w:rsidR="000E163E">
        <w:rPr>
          <w:rFonts w:cs="Times New Roman"/>
        </w:rPr>
        <w:t>)</w:t>
      </w:r>
      <w:r w:rsidRPr="002C47EE">
        <w:rPr>
          <w:rFonts w:cs="Times New Roman"/>
        </w:rPr>
        <w:t xml:space="preserve">. Likewise, the newly adopted </w:t>
      </w:r>
      <w:r w:rsidRPr="002C47EE">
        <w:rPr>
          <w:rFonts w:cs="Times New Roman"/>
          <w:i/>
        </w:rPr>
        <w:t xml:space="preserve">Act to establish the new Code of Civil Procedure </w:t>
      </w:r>
      <w:r w:rsidRPr="002C47EE">
        <w:rPr>
          <w:rFonts w:cs="Times New Roman"/>
        </w:rPr>
        <w:t xml:space="preserve">of Quebec explicitly provides, as a guiding principle, that the expert’s duty to the court overrides the parties’ interests, and that the expert must fulfill his or her primary duty to the court </w:t>
      </w:r>
      <w:r w:rsidRPr="002C47EE">
        <w:rPr>
          <w:rFonts w:cs="Times New Roman"/>
          <w:lang w:val="en-US"/>
        </w:rPr>
        <w:t>“</w:t>
      </w:r>
      <w:r w:rsidRPr="002C47EE">
        <w:rPr>
          <w:rFonts w:cs="Times New Roman"/>
        </w:rPr>
        <w:t xml:space="preserve">objectively, impartially and thoroughly”: art. 22; </w:t>
      </w:r>
      <w:proofErr w:type="spellStart"/>
      <w:r w:rsidRPr="002C47EE">
        <w:rPr>
          <w:rFonts w:cs="Times New Roman"/>
        </w:rPr>
        <w:t>Chamberland</w:t>
      </w:r>
      <w:proofErr w:type="spellEnd"/>
      <w:r w:rsidRPr="002C47EE">
        <w:rPr>
          <w:rFonts w:cs="Times New Roman"/>
        </w:rPr>
        <w:t>, at pp.</w:t>
      </w:r>
      <w:r>
        <w:rPr>
          <w:rFonts w:cs="Times New Roman"/>
        </w:rPr>
        <w:t xml:space="preserve"> </w:t>
      </w:r>
      <w:r w:rsidRPr="002C47EE">
        <w:rPr>
          <w:rFonts w:cs="Times New Roman"/>
        </w:rPr>
        <w:t xml:space="preserve">14 and 121.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Many of the relevant rules of court simply reflect the duty that an expert witness owes to the court at common law: Anderson, at p. 227.  In my opinion, this is true of the Nova Scotia rules that apply in this case. Of course, it is always open to each jurisdiction to impose different rules of admissibility, but in the absence of a clear indication to that effect, the common law rules apply in common law cases. I note that in Nova Scotia, the </w:t>
      </w:r>
      <w:r w:rsidRPr="002C47EE">
        <w:rPr>
          <w:rFonts w:cs="Times New Roman"/>
          <w:i/>
        </w:rPr>
        <w:t>Civil Procedure Rules</w:t>
      </w:r>
      <w:r w:rsidRPr="002C47EE">
        <w:rPr>
          <w:rFonts w:cs="Times New Roman"/>
        </w:rPr>
        <w:t xml:space="preserve"> explicitly provide that they do not change the rules of evidence by which the admissibility of expert opinion evidence is determined: r. 55.01(2).</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Underlying the various formulations of the duty are three related concepts: impartiality, independence and absence of bias. The expert’s opinion must </w:t>
      </w:r>
      <w:r w:rsidRPr="002C47EE">
        <w:rPr>
          <w:rFonts w:cs="Times New Roman"/>
        </w:rPr>
        <w:lastRenderedPageBreak/>
        <w:t xml:space="preserve">be impartial in the sense that it reflects an objective assessment of the questions at hand. It must be independent in the sense that it is the product of the expert’s independent judgment, uninfluenced by who has retained him or her or the outcome of the litigation.  It must be unbiased in the sense that it does not unfairly favour one party’s position over another. The acid test is whether the expert’s opinion would not change regardless of which party retained him or her: P. </w:t>
      </w:r>
      <w:proofErr w:type="spellStart"/>
      <w:r w:rsidRPr="002C47EE">
        <w:rPr>
          <w:rFonts w:cs="Times New Roman"/>
        </w:rPr>
        <w:t>Michell</w:t>
      </w:r>
      <w:proofErr w:type="spellEnd"/>
      <w:r w:rsidRPr="002C47EE">
        <w:rPr>
          <w:rFonts w:cs="Times New Roman"/>
        </w:rPr>
        <w:t xml:space="preserve"> and R. </w:t>
      </w:r>
      <w:proofErr w:type="spellStart"/>
      <w:r w:rsidRPr="002C47EE">
        <w:rPr>
          <w:rFonts w:cs="Times New Roman"/>
        </w:rPr>
        <w:t>Mandhane</w:t>
      </w:r>
      <w:proofErr w:type="spellEnd"/>
      <w:r w:rsidRPr="002C47EE">
        <w:rPr>
          <w:rFonts w:cs="Times New Roman"/>
        </w:rPr>
        <w:t xml:space="preserve">, “The Uncertain Duty of the Expert Witness” (2005), 42 </w:t>
      </w:r>
      <w:r w:rsidRPr="002C47EE">
        <w:rPr>
          <w:rFonts w:cs="Times New Roman"/>
          <w:i/>
        </w:rPr>
        <w:t>Alta. L. Rev.</w:t>
      </w:r>
      <w:r w:rsidRPr="002C47EE">
        <w:rPr>
          <w:rFonts w:cs="Times New Roman"/>
        </w:rPr>
        <w:t xml:space="preserve"> 635, at pp. 638-39. These concepts, of course, must be applied to the realities of adversary litigation. Experts are generally retained, instructed and paid by one of the adversaries. These facts alone do not undermine the expert’s independence, impartiality and freedom from bias.</w:t>
      </w:r>
    </w:p>
    <w:p w:rsidR="009D3ECF" w:rsidRPr="002C47EE" w:rsidRDefault="009D3ECF" w:rsidP="009D3ECF">
      <w:pPr>
        <w:pStyle w:val="Title2LevelTitre2Niveau"/>
        <w:widowControl w:val="0"/>
        <w:numPr>
          <w:ilvl w:val="1"/>
          <w:numId w:val="22"/>
        </w:numPr>
        <w:rPr>
          <w:rFonts w:cs="Times New Roman"/>
        </w:rPr>
      </w:pPr>
      <w:r w:rsidRPr="002C47EE">
        <w:rPr>
          <w:rFonts w:cs="Times New Roman"/>
        </w:rPr>
        <w:t>The Expert’s Duties and Admissibility</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As we have seen, there is a broad consensus about the nature of an expert’s duty to the court. There is no such consensus, however, about how that duty relates to the admissibility of an expert’s evidence.  There are two main questions: Should the elements of this duty go to admissibility of the evidence rather than simply to its weight</w:t>
      </w:r>
      <w:proofErr w:type="gramStart"/>
      <w:r w:rsidRPr="002C47EE">
        <w:rPr>
          <w:rFonts w:cs="Times New Roman"/>
        </w:rPr>
        <w:t>?;</w:t>
      </w:r>
      <w:proofErr w:type="gramEnd"/>
      <w:r w:rsidRPr="002C47EE">
        <w:rPr>
          <w:rFonts w:cs="Times New Roman"/>
        </w:rPr>
        <w:t xml:space="preserve"> And, if so, is there a threshold admissibility requirement in relation to independence and impartiality?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In this section, I will explain my view that the answer to both questions is yes:  a proposed expert’s independence and impartiality go to admissibility and not simply to weight and there is a threshold admissibility requirement in relation to this </w:t>
      </w:r>
      <w:r w:rsidRPr="002C47EE">
        <w:rPr>
          <w:rFonts w:cs="Times New Roman"/>
        </w:rPr>
        <w:lastRenderedPageBreak/>
        <w:t>duty. Once that threshold is met, remaining concerns about the expert’s compliance with his or her duty should be considered as part of the overall cost-benefit analysis which the judge conducts to carry out his or her gatekeeping role.</w:t>
      </w:r>
    </w:p>
    <w:p w:rsidR="009D3ECF" w:rsidRPr="002C47EE" w:rsidRDefault="009D3ECF" w:rsidP="009D3ECF">
      <w:pPr>
        <w:pStyle w:val="Title3LevelTitre3Niveau"/>
        <w:widowControl w:val="0"/>
        <w:numPr>
          <w:ilvl w:val="2"/>
          <w:numId w:val="22"/>
        </w:numPr>
        <w:rPr>
          <w:rFonts w:cs="Times New Roman"/>
        </w:rPr>
      </w:pPr>
      <w:r w:rsidRPr="002C47EE">
        <w:rPr>
          <w:rFonts w:cs="Times New Roman"/>
        </w:rPr>
        <w:t>Admissibility or Only Weight?</w:t>
      </w:r>
    </w:p>
    <w:p w:rsidR="009D3ECF" w:rsidRPr="002C47EE" w:rsidRDefault="009D3ECF" w:rsidP="009D3ECF">
      <w:pPr>
        <w:pStyle w:val="Title4LevelTitre4Niveau"/>
        <w:widowControl w:val="0"/>
        <w:numPr>
          <w:ilvl w:val="3"/>
          <w:numId w:val="22"/>
        </w:numPr>
        <w:rPr>
          <w:rFonts w:cs="Times New Roman"/>
        </w:rPr>
      </w:pPr>
      <w:r w:rsidRPr="002C47EE">
        <w:rPr>
          <w:rFonts w:cs="Times New Roman"/>
        </w:rPr>
        <w:t>The Canadian Law</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 The weight of authority strongly supports the conclusion that at a certain point, expert evidence should be ruled inadmissible due to the expert’s lack of impartiality and/or independence.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Our Court has confirmed this position in a recent decision that was not available to the courts below:</w:t>
      </w:r>
    </w:p>
    <w:p w:rsidR="009D3ECF" w:rsidRPr="002C47EE" w:rsidRDefault="009D3ECF" w:rsidP="009D3ECF">
      <w:pPr>
        <w:pStyle w:val="ParaNoNdepar-AltN"/>
        <w:widowControl w:val="0"/>
        <w:numPr>
          <w:ilvl w:val="0"/>
          <w:numId w:val="0"/>
        </w:numPr>
        <w:spacing w:line="240" w:lineRule="auto"/>
        <w:ind w:left="720"/>
        <w:rPr>
          <w:rFonts w:cs="Times New Roman"/>
        </w:rPr>
      </w:pPr>
      <w:r w:rsidRPr="002C47EE">
        <w:rPr>
          <w:rFonts w:cs="Times New Roman"/>
        </w:rPr>
        <w:t>It is well established that an expert’s opinion must be independent, impartial and objective, and given with a view to providing assistance to the decision maker (J.</w:t>
      </w:r>
      <w:r w:rsidRPr="002C47EE">
        <w:rPr>
          <w:rFonts w:eastAsia="MS Mincho" w:cs="Times New Roman" w:hint="eastAsia"/>
        </w:rPr>
        <w:t>‑</w:t>
      </w:r>
      <w:r w:rsidRPr="002C47EE">
        <w:rPr>
          <w:rFonts w:cs="Times New Roman"/>
        </w:rPr>
        <w:t xml:space="preserve">C. Royer and S. </w:t>
      </w:r>
      <w:proofErr w:type="spellStart"/>
      <w:r w:rsidRPr="002C47EE">
        <w:rPr>
          <w:rFonts w:cs="Times New Roman"/>
        </w:rPr>
        <w:t>Lavallée</w:t>
      </w:r>
      <w:proofErr w:type="spellEnd"/>
      <w:r w:rsidRPr="002C47EE">
        <w:rPr>
          <w:rFonts w:cs="Times New Roman"/>
        </w:rPr>
        <w:t xml:space="preserve">, </w:t>
      </w:r>
      <w:r w:rsidRPr="00E92B91">
        <w:rPr>
          <w:rFonts w:cs="Times New Roman"/>
          <w:i/>
        </w:rPr>
        <w:t xml:space="preserve">La </w:t>
      </w:r>
      <w:proofErr w:type="spellStart"/>
      <w:r w:rsidRPr="00E92B91">
        <w:rPr>
          <w:rFonts w:cs="Times New Roman"/>
          <w:i/>
        </w:rPr>
        <w:t>preuve</w:t>
      </w:r>
      <w:proofErr w:type="spellEnd"/>
      <w:r w:rsidRPr="00E92B91">
        <w:rPr>
          <w:rFonts w:cs="Times New Roman"/>
          <w:i/>
        </w:rPr>
        <w:t xml:space="preserve"> </w:t>
      </w:r>
      <w:proofErr w:type="spellStart"/>
      <w:r w:rsidRPr="00E92B91">
        <w:rPr>
          <w:rFonts w:cs="Times New Roman"/>
          <w:i/>
        </w:rPr>
        <w:t>civile</w:t>
      </w:r>
      <w:proofErr w:type="spellEnd"/>
      <w:r w:rsidRPr="002C47EE">
        <w:rPr>
          <w:rFonts w:cs="Times New Roman"/>
        </w:rPr>
        <w:t xml:space="preserve"> (4th ed. 2008), at No. 468; D. </w:t>
      </w:r>
      <w:proofErr w:type="spellStart"/>
      <w:r w:rsidRPr="002C47EE">
        <w:rPr>
          <w:rFonts w:cs="Times New Roman"/>
        </w:rPr>
        <w:t>Béchard</w:t>
      </w:r>
      <w:proofErr w:type="spellEnd"/>
      <w:r w:rsidRPr="002C47EE">
        <w:rPr>
          <w:rFonts w:cs="Times New Roman"/>
        </w:rPr>
        <w:t>, with</w:t>
      </w:r>
      <w:r w:rsidR="00AB67D8">
        <w:rPr>
          <w:rFonts w:cs="Times New Roman"/>
        </w:rPr>
        <w:t xml:space="preserve"> the collaboration of</w:t>
      </w:r>
      <w:r w:rsidRPr="002C47EE">
        <w:rPr>
          <w:rFonts w:cs="Times New Roman"/>
        </w:rPr>
        <w:t xml:space="preserve"> J. </w:t>
      </w:r>
      <w:proofErr w:type="spellStart"/>
      <w:r w:rsidRPr="002C47EE">
        <w:rPr>
          <w:rFonts w:cs="Times New Roman"/>
        </w:rPr>
        <w:t>Béchard</w:t>
      </w:r>
      <w:proofErr w:type="spellEnd"/>
      <w:r w:rsidRPr="002C47EE">
        <w:rPr>
          <w:rFonts w:cs="Times New Roman"/>
        </w:rPr>
        <w:t xml:space="preserve">, </w:t>
      </w:r>
      <w:proofErr w:type="spellStart"/>
      <w:r w:rsidRPr="00E92B91">
        <w:rPr>
          <w:rFonts w:cs="Times New Roman"/>
          <w:i/>
        </w:rPr>
        <w:t>L</w:t>
      </w:r>
      <w:r w:rsidR="00AB67D8">
        <w:rPr>
          <w:rFonts w:cs="Times New Roman"/>
          <w:i/>
        </w:rPr>
        <w:t>’e</w:t>
      </w:r>
      <w:r w:rsidRPr="00E92B91">
        <w:rPr>
          <w:rFonts w:cs="Times New Roman"/>
          <w:i/>
        </w:rPr>
        <w:t>xpert</w:t>
      </w:r>
      <w:proofErr w:type="spellEnd"/>
      <w:r w:rsidRPr="002C47EE">
        <w:rPr>
          <w:rFonts w:cs="Times New Roman"/>
        </w:rPr>
        <w:t xml:space="preserve"> (2011), chap. 9; </w:t>
      </w:r>
      <w:r w:rsidRPr="00E92B91">
        <w:rPr>
          <w:rFonts w:cs="Times New Roman"/>
          <w:i/>
        </w:rPr>
        <w:t>An Act to establish the new Code of Civil Procedure</w:t>
      </w:r>
      <w:r w:rsidRPr="002C47EE">
        <w:rPr>
          <w:rFonts w:cs="Times New Roman"/>
        </w:rPr>
        <w:t xml:space="preserve">, S.Q. 2014, c. 1, s. 22 (not yet in force)). However, these factors generally have an impact on the probative value of the expert’s opinion and are not always insurmountable barriers to the admissibility of his or her testimony. Nor do they necessarily “disqualify” the expert (L. </w:t>
      </w:r>
      <w:proofErr w:type="spellStart"/>
      <w:r w:rsidRPr="002C47EE">
        <w:rPr>
          <w:rFonts w:cs="Times New Roman"/>
        </w:rPr>
        <w:t>Ducharme</w:t>
      </w:r>
      <w:proofErr w:type="spellEnd"/>
      <w:r w:rsidRPr="002C47EE">
        <w:rPr>
          <w:rFonts w:cs="Times New Roman"/>
        </w:rPr>
        <w:t xml:space="preserve"> and C.</w:t>
      </w:r>
      <w:r w:rsidR="00E51BED">
        <w:rPr>
          <w:rFonts w:eastAsia="MS Mincho" w:cs="Times New Roman"/>
        </w:rPr>
        <w:t>-</w:t>
      </w:r>
      <w:r w:rsidRPr="002C47EE">
        <w:rPr>
          <w:rFonts w:cs="Times New Roman"/>
        </w:rPr>
        <w:t xml:space="preserve">M. </w:t>
      </w:r>
      <w:proofErr w:type="spellStart"/>
      <w:r w:rsidRPr="002C47EE">
        <w:rPr>
          <w:rFonts w:cs="Times New Roman"/>
        </w:rPr>
        <w:t>Panaccio</w:t>
      </w:r>
      <w:proofErr w:type="spellEnd"/>
      <w:r w:rsidRPr="002C47EE">
        <w:rPr>
          <w:rFonts w:cs="Times New Roman"/>
        </w:rPr>
        <w:t xml:space="preserve">, </w:t>
      </w:r>
      <w:proofErr w:type="spellStart"/>
      <w:r w:rsidRPr="00E92B91">
        <w:rPr>
          <w:rFonts w:cs="Times New Roman"/>
          <w:i/>
        </w:rPr>
        <w:t>L’administration</w:t>
      </w:r>
      <w:proofErr w:type="spellEnd"/>
      <w:r w:rsidRPr="00E92B91">
        <w:rPr>
          <w:rFonts w:cs="Times New Roman"/>
          <w:i/>
        </w:rPr>
        <w:t xml:space="preserve"> de la </w:t>
      </w:r>
      <w:proofErr w:type="spellStart"/>
      <w:r w:rsidRPr="00E92B91">
        <w:rPr>
          <w:rFonts w:cs="Times New Roman"/>
          <w:i/>
        </w:rPr>
        <w:t>preuve</w:t>
      </w:r>
      <w:proofErr w:type="spellEnd"/>
      <w:r w:rsidRPr="002C47EE">
        <w:rPr>
          <w:rFonts w:cs="Times New Roman"/>
        </w:rPr>
        <w:t xml:space="preserve"> (4th ed. 2010), at Nos. 590</w:t>
      </w:r>
      <w:r w:rsidRPr="002C47EE">
        <w:rPr>
          <w:rFonts w:eastAsia="MS Mincho" w:cs="Times New Roman" w:hint="eastAsia"/>
        </w:rPr>
        <w:t>‑</w:t>
      </w:r>
      <w:r w:rsidRPr="002C47EE">
        <w:rPr>
          <w:rFonts w:cs="Times New Roman"/>
        </w:rPr>
        <w:t xml:space="preserve">91 and 605). For expert testimony to be inadmissible, more than a simple appearance of bias is necessary. The question is not whether a reasonable person would consider that the expert is not independent. Rather, what must be determined is whether the expert’s lack of independence renders him or her incapable of giving an impartial opinion in the specific circumstances of the case (D. M. </w:t>
      </w:r>
      <w:proofErr w:type="spellStart"/>
      <w:r w:rsidRPr="002C47EE">
        <w:rPr>
          <w:rFonts w:cs="Times New Roman"/>
        </w:rPr>
        <w:t>Paciocco</w:t>
      </w:r>
      <w:proofErr w:type="spellEnd"/>
      <w:r w:rsidRPr="002C47EE">
        <w:rPr>
          <w:rFonts w:cs="Times New Roman"/>
        </w:rPr>
        <w:t xml:space="preserve">, “Unplugging Jukebox Testimony in an Adversarial System: Strategies for Changing the Tune on Partial Experts” (2009), 34 </w:t>
      </w:r>
      <w:r w:rsidRPr="00E92B91">
        <w:rPr>
          <w:rFonts w:cs="Times New Roman"/>
          <w:i/>
        </w:rPr>
        <w:t>Queen’s L.J.</w:t>
      </w:r>
      <w:r w:rsidRPr="002C47EE">
        <w:rPr>
          <w:rFonts w:cs="Times New Roman"/>
        </w:rPr>
        <w:t xml:space="preserve"> 565, at pp. 598</w:t>
      </w:r>
      <w:r>
        <w:rPr>
          <w:rFonts w:cs="Times New Roman"/>
        </w:rPr>
        <w:t>-</w:t>
      </w:r>
      <w:r w:rsidRPr="002C47EE">
        <w:rPr>
          <w:rFonts w:cs="Times New Roman"/>
        </w:rPr>
        <w:t xml:space="preserve">99). </w:t>
      </w:r>
    </w:p>
    <w:p w:rsidR="009D3ECF" w:rsidRPr="002C47EE" w:rsidRDefault="009D3ECF" w:rsidP="00471282">
      <w:pPr>
        <w:pStyle w:val="ParaNoNdepar-AltN"/>
        <w:widowControl w:val="0"/>
        <w:numPr>
          <w:ilvl w:val="0"/>
          <w:numId w:val="0"/>
        </w:numPr>
        <w:rPr>
          <w:rFonts w:cs="Times New Roman"/>
          <w:lang w:val="fr-CA"/>
        </w:rPr>
      </w:pPr>
      <w:r w:rsidRPr="002C47EE">
        <w:rPr>
          <w:rFonts w:cs="Times New Roman"/>
          <w:lang w:val="fr-CA"/>
        </w:rPr>
        <w:lastRenderedPageBreak/>
        <w:t>(</w:t>
      </w:r>
      <w:r w:rsidRPr="002C47EE">
        <w:rPr>
          <w:rFonts w:cs="Times New Roman"/>
          <w:i/>
          <w:lang w:val="fr-CA"/>
        </w:rPr>
        <w:t>Mouvement laïque québécois v. Saguenay (City)</w:t>
      </w:r>
      <w:r w:rsidRPr="002C47EE">
        <w:rPr>
          <w:rFonts w:cs="Times New Roman"/>
          <w:lang w:val="fr-CA"/>
        </w:rPr>
        <w:t>, 2015 SCC 16</w:t>
      </w:r>
      <w:r>
        <w:rPr>
          <w:rFonts w:cs="Times New Roman"/>
          <w:lang w:val="fr-CA"/>
        </w:rPr>
        <w:t>,</w:t>
      </w:r>
      <w:r w:rsidRPr="002C47EE">
        <w:rPr>
          <w:rFonts w:cs="Times New Roman"/>
          <w:lang w:val="fr-CA"/>
        </w:rPr>
        <w:t xml:space="preserve"> </w:t>
      </w:r>
      <w:r w:rsidR="00AB67D8">
        <w:rPr>
          <w:rFonts w:cs="Times New Roman"/>
          <w:lang w:val="fr-CA"/>
        </w:rPr>
        <w:t xml:space="preserve">[2015] 2 S.C.R. 3, </w:t>
      </w:r>
      <w:r w:rsidRPr="002C47EE">
        <w:rPr>
          <w:rFonts w:cs="Times New Roman"/>
          <w:lang w:val="fr-CA"/>
        </w:rPr>
        <w:t>at para. 106)</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I will refer to a number of other cases that support this view. I do so by way of illustration and without commenting on the outcome of particular cases. An expert’s interest in the litigation or relationship to the parties has led to exclusion in a number of cases: see, e.g.,</w:t>
      </w:r>
      <w:r w:rsidRPr="002C47EE">
        <w:rPr>
          <w:rFonts w:cs="Times New Roman"/>
          <w:i/>
        </w:rPr>
        <w:t xml:space="preserve"> Fellowes, McNeil v. Kansa General International Insurance Co.</w:t>
      </w:r>
      <w:r w:rsidRPr="002C47EE">
        <w:rPr>
          <w:rFonts w:cs="Times New Roman"/>
        </w:rPr>
        <w:t xml:space="preserve"> (1998), 40 O.R. (3d) 456 (Gen. Div.) (proposed </w:t>
      </w:r>
      <w:r w:rsidRPr="002C47EE">
        <w:rPr>
          <w:rFonts w:cs="Times New Roman"/>
          <w:szCs w:val="24"/>
        </w:rPr>
        <w:t xml:space="preserve">expert was the defendant’s lawyer in related matters and had investigated from the outset of his retainer the matter of a potential negligence claim against the plaintiff); </w:t>
      </w:r>
      <w:r w:rsidRPr="002C47EE">
        <w:rPr>
          <w:rFonts w:cs="Times New Roman"/>
          <w:i/>
        </w:rPr>
        <w:t>Royal Trust Corp. of Canada v. Fisherman</w:t>
      </w:r>
      <w:r w:rsidRPr="002C47EE">
        <w:rPr>
          <w:rFonts w:cs="Times New Roman"/>
        </w:rPr>
        <w:t xml:space="preserve"> (2000), 49 O.R. (3d) 187 (S.C.J.) (expert was the party’s lawyer in related U.S. proceedings); </w:t>
      </w:r>
      <w:r w:rsidRPr="002C47EE">
        <w:rPr>
          <w:rFonts w:cs="Times New Roman"/>
          <w:i/>
        </w:rPr>
        <w:t>R</w:t>
      </w:r>
      <w:r w:rsidR="00B20850">
        <w:rPr>
          <w:rFonts w:cs="Times New Roman"/>
          <w:i/>
        </w:rPr>
        <w:t>.</w:t>
      </w:r>
      <w:r w:rsidRPr="002C47EE">
        <w:rPr>
          <w:rFonts w:cs="Times New Roman"/>
          <w:i/>
        </w:rPr>
        <w:t xml:space="preserve"> v. Docherty</w:t>
      </w:r>
      <w:r w:rsidRPr="002C47EE">
        <w:rPr>
          <w:rFonts w:cs="Times New Roman"/>
        </w:rPr>
        <w:t xml:space="preserve">, </w:t>
      </w:r>
      <w:r w:rsidRPr="002C47EE">
        <w:rPr>
          <w:rFonts w:cs="Times New Roman"/>
          <w:lang w:val="en-US"/>
        </w:rPr>
        <w:t xml:space="preserve">2010 ONSC 3628 (expert was </w:t>
      </w:r>
      <w:r w:rsidRPr="002C47EE">
        <w:rPr>
          <w:rFonts w:cs="Times New Roman"/>
        </w:rPr>
        <w:t xml:space="preserve">the defence counsel’s father); </w:t>
      </w:r>
      <w:r w:rsidRPr="002C47EE">
        <w:rPr>
          <w:rFonts w:cs="Times New Roman"/>
          <w:i/>
        </w:rPr>
        <w:t>Ocean v. Economical Mutual Insurance Co.</w:t>
      </w:r>
      <w:r w:rsidRPr="002C47EE">
        <w:rPr>
          <w:rFonts w:cs="Times New Roman"/>
        </w:rPr>
        <w:t>,</w:t>
      </w:r>
      <w:r w:rsidRPr="002C47EE">
        <w:rPr>
          <w:rFonts w:cs="Times New Roman"/>
          <w:i/>
        </w:rPr>
        <w:t xml:space="preserve"> </w:t>
      </w:r>
      <w:r w:rsidRPr="002C47EE">
        <w:rPr>
          <w:rFonts w:cs="Times New Roman"/>
        </w:rPr>
        <w:t xml:space="preserve">2010 NSSC 315, 293 N.S.R. (2d) 394 (expert was also a party to the litigation); </w:t>
      </w:r>
      <w:r w:rsidRPr="002C47EE">
        <w:rPr>
          <w:rFonts w:cs="Times New Roman"/>
          <w:i/>
        </w:rPr>
        <w:t>Handley v. Punnett</w:t>
      </w:r>
      <w:r w:rsidRPr="002C47EE">
        <w:rPr>
          <w:rFonts w:cs="Times New Roman"/>
        </w:rPr>
        <w:t xml:space="preserve">, 2003 BCSC 294 </w:t>
      </w:r>
      <w:r w:rsidRPr="002C47EE">
        <w:rPr>
          <w:rFonts w:cs="Times New Roman"/>
          <w:lang w:val="en-US"/>
        </w:rPr>
        <w:t>(</w:t>
      </w:r>
      <w:r w:rsidRPr="002C47EE">
        <w:rPr>
          <w:rFonts w:cs="Times New Roman"/>
        </w:rPr>
        <w:t xml:space="preserve">expert was also a party to the litigation); </w:t>
      </w:r>
      <w:r w:rsidRPr="002C47EE">
        <w:rPr>
          <w:rFonts w:cs="Times New Roman"/>
          <w:i/>
        </w:rPr>
        <w:t xml:space="preserve">Bank of Montreal v. </w:t>
      </w:r>
      <w:proofErr w:type="spellStart"/>
      <w:r w:rsidRPr="002C47EE">
        <w:rPr>
          <w:rFonts w:cs="Times New Roman"/>
          <w:i/>
        </w:rPr>
        <w:t>Citak</w:t>
      </w:r>
      <w:proofErr w:type="spellEnd"/>
      <w:r w:rsidRPr="002C47EE">
        <w:rPr>
          <w:rFonts w:cs="Times New Roman"/>
        </w:rPr>
        <w:t>,</w:t>
      </w:r>
      <w:r w:rsidRPr="002C47EE">
        <w:rPr>
          <w:rFonts w:cs="Times New Roman"/>
          <w:lang w:val="en-US"/>
        </w:rPr>
        <w:t xml:space="preserve"> [2001] O.J. No. 1096 (QL) (S.C.J.) (</w:t>
      </w:r>
      <w:r w:rsidRPr="002C47EE">
        <w:rPr>
          <w:rFonts w:cs="Times New Roman"/>
        </w:rPr>
        <w:t>expert was effectively a “co-</w:t>
      </w:r>
      <w:proofErr w:type="spellStart"/>
      <w:r w:rsidRPr="002C47EE">
        <w:rPr>
          <w:rFonts w:cs="Times New Roman"/>
        </w:rPr>
        <w:t>venturer</w:t>
      </w:r>
      <w:proofErr w:type="spellEnd"/>
      <w:r w:rsidRPr="002C47EE">
        <w:rPr>
          <w:rFonts w:cs="Times New Roman"/>
        </w:rPr>
        <w:t xml:space="preserve">” in the case due in part to the fact that 40 percent of his remuneration was contingent upon success at trial: para. 7); </w:t>
      </w:r>
      <w:r w:rsidRPr="002C47EE">
        <w:rPr>
          <w:rFonts w:cs="Times New Roman"/>
          <w:i/>
        </w:rPr>
        <w:t>Dean Construction Co. v. M.J. Dixon Construction Ltd.</w:t>
      </w:r>
      <w:r w:rsidRPr="002C47EE">
        <w:rPr>
          <w:rFonts w:cs="Times New Roman"/>
        </w:rPr>
        <w:t xml:space="preserve">, 2011 ONSC 4629, 5 C.L.R. (4th) 240 (expert’s retainer agreement was inappropriate); </w:t>
      </w:r>
      <w:proofErr w:type="spellStart"/>
      <w:r w:rsidRPr="002C47EE">
        <w:rPr>
          <w:rFonts w:cs="Times New Roman"/>
          <w:i/>
        </w:rPr>
        <w:t>Hutchingame</w:t>
      </w:r>
      <w:proofErr w:type="spellEnd"/>
      <w:r w:rsidRPr="002C47EE">
        <w:rPr>
          <w:rFonts w:cs="Times New Roman"/>
          <w:i/>
        </w:rPr>
        <w:t xml:space="preserve"> v. Johnstone</w:t>
      </w:r>
      <w:r w:rsidRPr="002C47EE">
        <w:rPr>
          <w:rFonts w:cs="Times New Roman"/>
        </w:rPr>
        <w:t xml:space="preserve">, </w:t>
      </w:r>
      <w:r w:rsidRPr="002C47EE">
        <w:rPr>
          <w:rFonts w:cs="Times New Roman"/>
          <w:lang w:val="en-US"/>
        </w:rPr>
        <w:t>2006 BCSC 271 (</w:t>
      </w:r>
      <w:r w:rsidRPr="002C47EE">
        <w:rPr>
          <w:rFonts w:cs="Times New Roman"/>
        </w:rPr>
        <w:t>expert stood to incur liability depending on the result of the trial). In other cases, the expert’s stance or behaviour as an advocate has justified exclusion:</w:t>
      </w:r>
      <w:r w:rsidRPr="002C47EE">
        <w:rPr>
          <w:rFonts w:cs="Times New Roman"/>
          <w:i/>
        </w:rPr>
        <w:t xml:space="preserve"> </w:t>
      </w:r>
      <w:r w:rsidRPr="002C47EE">
        <w:rPr>
          <w:rFonts w:cs="Times New Roman"/>
        </w:rPr>
        <w:t>see, e.g.,</w:t>
      </w:r>
      <w:r w:rsidRPr="002C47EE">
        <w:rPr>
          <w:rFonts w:cs="Times New Roman"/>
          <w:i/>
        </w:rPr>
        <w:t xml:space="preserve"> </w:t>
      </w:r>
      <w:proofErr w:type="spellStart"/>
      <w:r w:rsidRPr="002C47EE">
        <w:rPr>
          <w:rFonts w:cs="Times New Roman"/>
          <w:i/>
        </w:rPr>
        <w:t>Alfano</w:t>
      </w:r>
      <w:proofErr w:type="spellEnd"/>
      <w:r w:rsidRPr="002C47EE">
        <w:rPr>
          <w:rFonts w:cs="Times New Roman"/>
          <w:i/>
        </w:rPr>
        <w:t xml:space="preserve"> v. Piersanti</w:t>
      </w:r>
      <w:r w:rsidRPr="002C47EE">
        <w:rPr>
          <w:rFonts w:cs="Times New Roman"/>
        </w:rPr>
        <w:t xml:space="preserve">, </w:t>
      </w:r>
      <w:r w:rsidRPr="002C47EE">
        <w:rPr>
          <w:rFonts w:cs="Times New Roman"/>
          <w:lang w:val="en-US"/>
        </w:rPr>
        <w:t xml:space="preserve">2012 ONCA 297, 291 O.A.C. 62; </w:t>
      </w:r>
      <w:r w:rsidRPr="002C47EE">
        <w:rPr>
          <w:rFonts w:cs="Times New Roman"/>
          <w:i/>
        </w:rPr>
        <w:t>Kirby Lowbed Services Ltd. v. Bank of Nova Scotia</w:t>
      </w:r>
      <w:r w:rsidRPr="002C47EE">
        <w:rPr>
          <w:rFonts w:cs="Times New Roman"/>
        </w:rPr>
        <w:t xml:space="preserve">, 2003 BCSC 617; </w:t>
      </w:r>
      <w:r w:rsidRPr="002C47EE">
        <w:rPr>
          <w:rFonts w:cs="Times New Roman"/>
          <w:i/>
        </w:rPr>
        <w:t>Gould v. Western Coal Corp.</w:t>
      </w:r>
      <w:r w:rsidRPr="002C47EE">
        <w:rPr>
          <w:rFonts w:cs="Times New Roman"/>
        </w:rPr>
        <w:t>, 2012 ONSC 5184, 7 B.L.R. (5th) 19.</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lastRenderedPageBreak/>
        <w:t xml:space="preserve">Many other cases have accepted, in principle, that lack of independence or impartiality can lead to exclusion, but have ruled that the expert evidence did not warrant rejection on the particular facts: see, e.g., </w:t>
      </w:r>
      <w:r w:rsidRPr="002C47EE">
        <w:rPr>
          <w:rFonts w:cs="Times New Roman"/>
          <w:i/>
        </w:rPr>
        <w:t>United City Properties Ltd. v. Tong</w:t>
      </w:r>
      <w:r w:rsidRPr="002C47EE">
        <w:rPr>
          <w:rFonts w:cs="Times New Roman"/>
        </w:rPr>
        <w:t xml:space="preserve">, 2010 BCSC 111; </w:t>
      </w:r>
      <w:r w:rsidRPr="002C47EE">
        <w:rPr>
          <w:rFonts w:cs="Times New Roman"/>
          <w:i/>
        </w:rPr>
        <w:t xml:space="preserve">R. v. INCO Ltd. </w:t>
      </w:r>
      <w:r w:rsidRPr="002C47EE">
        <w:rPr>
          <w:rFonts w:cs="Times New Roman"/>
        </w:rPr>
        <w:t xml:space="preserve">(2006), 80 O.R. (3d) 594 (S.C.J.). This was the position of the Court of Appeal in this case: para. 109; see also para. 121.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Some Canadian courts, however, have treated these matters as going exclusively to weight rather than to admissibility. The most often cited cases for this proposition are probably</w:t>
      </w:r>
      <w:r w:rsidRPr="002C47EE">
        <w:rPr>
          <w:rFonts w:cs="Times New Roman"/>
          <w:i/>
        </w:rPr>
        <w:t xml:space="preserve"> R. v. Klassen</w:t>
      </w:r>
      <w:r w:rsidRPr="002C47EE">
        <w:rPr>
          <w:rFonts w:cs="Times New Roman"/>
        </w:rPr>
        <w:t>, 2003 MBQB 253, 179 Man. R. (2d) 115, and</w:t>
      </w:r>
      <w:r w:rsidRPr="002C47EE">
        <w:rPr>
          <w:rFonts w:cs="Times New Roman"/>
          <w:i/>
        </w:rPr>
        <w:t xml:space="preserve"> Gallant v. Brake-Patten</w:t>
      </w:r>
      <w:r w:rsidRPr="002C47EE">
        <w:rPr>
          <w:rFonts w:cs="Times New Roman"/>
        </w:rPr>
        <w:t>, 2012 NLCA 23, 321 Nfld. &amp; P.E.I.R. 77.</w:t>
      </w:r>
      <w:r w:rsidRPr="002C47EE">
        <w:rPr>
          <w:rFonts w:cs="Times New Roman"/>
          <w:i/>
        </w:rPr>
        <w:t xml:space="preserve"> Klassen</w:t>
      </w:r>
      <w:r w:rsidRPr="002C47EE">
        <w:rPr>
          <w:rFonts w:cs="Times New Roman"/>
          <w:i/>
          <w:szCs w:val="24"/>
        </w:rPr>
        <w:t xml:space="preserve"> </w:t>
      </w:r>
      <w:r w:rsidRPr="002C47EE">
        <w:rPr>
          <w:rFonts w:cs="Times New Roman"/>
          <w:szCs w:val="24"/>
        </w:rPr>
        <w:t>holds as admissible any expert evidence meeting the criteria from</w:t>
      </w:r>
      <w:r w:rsidRPr="002C47EE">
        <w:rPr>
          <w:rFonts w:cs="Times New Roman"/>
          <w:bCs/>
          <w:i/>
          <w:iCs/>
          <w:szCs w:val="24"/>
        </w:rPr>
        <w:t xml:space="preserve"> Mohan</w:t>
      </w:r>
      <w:r w:rsidRPr="002C47EE">
        <w:rPr>
          <w:rFonts w:cs="Times New Roman"/>
          <w:szCs w:val="24"/>
        </w:rPr>
        <w:t>, with bias only becoming a factor as to the weight to be given to the evidence: see also</w:t>
      </w:r>
      <w:r w:rsidRPr="002C47EE">
        <w:rPr>
          <w:rFonts w:cs="Times New Roman"/>
          <w:i/>
          <w:szCs w:val="24"/>
        </w:rPr>
        <w:t xml:space="preserve"> R. v. Violette</w:t>
      </w:r>
      <w:r w:rsidRPr="002C47EE">
        <w:rPr>
          <w:rFonts w:cs="Times New Roman"/>
          <w:szCs w:val="24"/>
        </w:rPr>
        <w:t>, 2008 BCSC 920. Similarly, the court in</w:t>
      </w:r>
      <w:r w:rsidRPr="002C47EE">
        <w:rPr>
          <w:rFonts w:cs="Times New Roman"/>
          <w:i/>
          <w:szCs w:val="24"/>
        </w:rPr>
        <w:t xml:space="preserve"> </w:t>
      </w:r>
      <w:r w:rsidRPr="002C47EE">
        <w:rPr>
          <w:rFonts w:cs="Times New Roman"/>
          <w:i/>
        </w:rPr>
        <w:t xml:space="preserve">Gallant </w:t>
      </w:r>
      <w:r w:rsidRPr="002C47EE">
        <w:rPr>
          <w:rFonts w:cs="Times New Roman"/>
        </w:rPr>
        <w:t xml:space="preserve">determined that a challenge to expert evidence that is based on the expert having a connection to a party or an issue in the case or a possible predetermined position on the case cannot take place at the admissibility stage: para. 89.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I conclude that the dominant approach in Canadian common law is to treat independence and impartiality as bearing not just on the weight but also on the admissibility of the evidence. I note that while the shareholders submit that issues regarding expert independence should go only to weight, they rely on cases such as </w:t>
      </w:r>
      <w:r w:rsidRPr="002C47EE">
        <w:rPr>
          <w:rFonts w:cs="Times New Roman"/>
          <w:i/>
        </w:rPr>
        <w:t>INCO</w:t>
      </w:r>
      <w:r w:rsidRPr="002C47EE">
        <w:rPr>
          <w:rFonts w:cs="Times New Roman"/>
        </w:rPr>
        <w:t xml:space="preserve"> that specifically accept that a finding of lack of independence or impartiality can lead to inadmissibility in certain circumstances: R.F., at paras. 52-53.</w:t>
      </w:r>
    </w:p>
    <w:p w:rsidR="009D3ECF" w:rsidRPr="002C47EE" w:rsidRDefault="009D3ECF" w:rsidP="009D3ECF">
      <w:pPr>
        <w:pStyle w:val="Title4LevelTitre4Niveau"/>
        <w:widowControl w:val="0"/>
        <w:numPr>
          <w:ilvl w:val="3"/>
          <w:numId w:val="22"/>
        </w:numPr>
        <w:rPr>
          <w:rFonts w:cs="Times New Roman"/>
        </w:rPr>
      </w:pPr>
      <w:r w:rsidRPr="002C47EE">
        <w:rPr>
          <w:rFonts w:cs="Times New Roman"/>
        </w:rPr>
        <w:lastRenderedPageBreak/>
        <w:t>Other Jurisdictions</w:t>
      </w:r>
    </w:p>
    <w:p w:rsidR="009D3ECF" w:rsidRPr="002C47EE" w:rsidRDefault="009D3ECF" w:rsidP="009D3ECF">
      <w:pPr>
        <w:pStyle w:val="ParaNoNdepar-AltN"/>
        <w:widowControl w:val="0"/>
        <w:tabs>
          <w:tab w:val="clear" w:pos="1166"/>
          <w:tab w:val="num" w:pos="1152"/>
        </w:tabs>
        <w:rPr>
          <w:rFonts w:cs="Times New Roman"/>
          <w:u w:val="single"/>
        </w:rPr>
      </w:pPr>
      <w:r w:rsidRPr="002C47EE">
        <w:rPr>
          <w:rFonts w:cs="Times New Roman"/>
        </w:rPr>
        <w:t xml:space="preserve">Outside Canada, the concerns related to independence and impartiality have been addressed in a number of ways. Some are similar to the approach in Canadian law. </w:t>
      </w:r>
    </w:p>
    <w:p w:rsidR="009D3ECF" w:rsidRPr="002C47EE" w:rsidRDefault="009D3ECF" w:rsidP="009D3ECF">
      <w:pPr>
        <w:pStyle w:val="ParaNoNdepar-AltN"/>
        <w:widowControl w:val="0"/>
        <w:tabs>
          <w:tab w:val="clear" w:pos="1166"/>
          <w:tab w:val="num" w:pos="1152"/>
        </w:tabs>
        <w:rPr>
          <w:rFonts w:cs="Times New Roman"/>
          <w:u w:val="single"/>
        </w:rPr>
      </w:pPr>
      <w:r w:rsidRPr="002C47EE">
        <w:rPr>
          <w:rFonts w:cs="Times New Roman"/>
        </w:rPr>
        <w:t xml:space="preserve">For example, summarizing the applicable principles in British law, Nelson J. in </w:t>
      </w:r>
      <w:r w:rsidRPr="002C47EE">
        <w:rPr>
          <w:rFonts w:cs="Times New Roman"/>
          <w:i/>
        </w:rPr>
        <w:t>Armchair Passenger Transport Ltd. v. Helical Bar Plc</w:t>
      </w:r>
      <w:r w:rsidRPr="002C47EE">
        <w:rPr>
          <w:rFonts w:cs="Times New Roman"/>
        </w:rPr>
        <w:t xml:space="preserve">, [2003] EWHC 367 (Q.B.), underlined that when an expert has an interest or connection with the litigation or a party thereto, exclusion will be warranted if it is determined that the expert is unwilling or unable to carry out his or her primary duty to the court: see also H. M. </w:t>
      </w:r>
      <w:proofErr w:type="spellStart"/>
      <w:r w:rsidRPr="002C47EE">
        <w:rPr>
          <w:rFonts w:cs="Times New Roman"/>
        </w:rPr>
        <w:t>Malek</w:t>
      </w:r>
      <w:proofErr w:type="spellEnd"/>
      <w:r w:rsidRPr="002C47EE">
        <w:rPr>
          <w:rFonts w:cs="Times New Roman"/>
        </w:rPr>
        <w:t xml:space="preserve"> et al., eds., </w:t>
      </w:r>
      <w:proofErr w:type="spellStart"/>
      <w:r w:rsidRPr="002C47EE">
        <w:rPr>
          <w:rFonts w:cs="Times New Roman"/>
          <w:i/>
        </w:rPr>
        <w:t>Phipson</w:t>
      </w:r>
      <w:proofErr w:type="spellEnd"/>
      <w:r w:rsidRPr="002C47EE">
        <w:rPr>
          <w:rFonts w:cs="Times New Roman"/>
          <w:i/>
        </w:rPr>
        <w:t xml:space="preserve"> on Evidence</w:t>
      </w:r>
      <w:r w:rsidRPr="002C47EE">
        <w:rPr>
          <w:rFonts w:cs="Times New Roman"/>
        </w:rPr>
        <w:t xml:space="preserve"> (18th ed. 2013), at pp. 1158-59. The mere fact of an interest or connection will not disqualify, but it nonetheless may do so in light of the nature and extent of the interest or connection in particular circumstances. As Lord Phillips of Worth </w:t>
      </w:r>
      <w:proofErr w:type="spellStart"/>
      <w:r w:rsidRPr="002C47EE">
        <w:rPr>
          <w:rFonts w:cs="Times New Roman"/>
        </w:rPr>
        <w:t>Matravers</w:t>
      </w:r>
      <w:proofErr w:type="spellEnd"/>
      <w:r w:rsidRPr="002C47EE">
        <w:rPr>
          <w:rFonts w:cs="Times New Roman"/>
        </w:rPr>
        <w:t>, M.R., put it in a leading case, “[</w:t>
      </w:r>
      <w:proofErr w:type="spellStart"/>
      <w:r w:rsidRPr="002C47EE">
        <w:rPr>
          <w:rFonts w:cs="Times New Roman"/>
        </w:rPr>
        <w:t>i</w:t>
      </w:r>
      <w:proofErr w:type="spellEnd"/>
      <w:r w:rsidRPr="002C47EE">
        <w:rPr>
          <w:rFonts w:cs="Times New Roman"/>
        </w:rPr>
        <w:t xml:space="preserve">]t is always desirable that an expert should have no actual or apparent interest in the outcome of the proceedings in which he gives evidence, but such disinterest is not automatically a precondition to the admissibility of his evidence”: </w:t>
      </w:r>
      <w:r w:rsidRPr="002C47EE">
        <w:rPr>
          <w:rFonts w:cs="Times New Roman"/>
          <w:i/>
        </w:rPr>
        <w:t>R. (</w:t>
      </w:r>
      <w:proofErr w:type="spellStart"/>
      <w:r w:rsidRPr="002C47EE">
        <w:rPr>
          <w:rFonts w:cs="Times New Roman"/>
          <w:i/>
        </w:rPr>
        <w:t>Factortame</w:t>
      </w:r>
      <w:proofErr w:type="spellEnd"/>
      <w:r w:rsidRPr="002C47EE">
        <w:rPr>
          <w:rFonts w:cs="Times New Roman"/>
          <w:i/>
        </w:rPr>
        <w:t xml:space="preserve"> Ltd.) v. Secretary of State for Transport</w:t>
      </w:r>
      <w:r w:rsidRPr="002C47EE">
        <w:rPr>
          <w:rFonts w:cs="Times New Roman"/>
        </w:rPr>
        <w:t xml:space="preserve">, [2002] EWCA </w:t>
      </w:r>
      <w:proofErr w:type="spellStart"/>
      <w:r w:rsidRPr="002C47EE">
        <w:rPr>
          <w:rFonts w:cs="Times New Roman"/>
        </w:rPr>
        <w:t>Civ</w:t>
      </w:r>
      <w:proofErr w:type="spellEnd"/>
      <w:r w:rsidRPr="002C47EE">
        <w:rPr>
          <w:rFonts w:cs="Times New Roman"/>
        </w:rPr>
        <w:t xml:space="preserve"> 932, [2003] Q.B. 381, at para. 70; see also </w:t>
      </w:r>
      <w:r w:rsidRPr="002C47EE">
        <w:rPr>
          <w:rFonts w:cs="Times New Roman"/>
          <w:i/>
        </w:rPr>
        <w:t xml:space="preserve">Gallaher International Ltd. v. </w:t>
      </w:r>
      <w:proofErr w:type="spellStart"/>
      <w:r w:rsidRPr="002C47EE">
        <w:rPr>
          <w:rFonts w:cs="Times New Roman"/>
          <w:i/>
        </w:rPr>
        <w:t>Tlais</w:t>
      </w:r>
      <w:proofErr w:type="spellEnd"/>
      <w:r w:rsidRPr="002C47EE">
        <w:rPr>
          <w:rFonts w:cs="Times New Roman"/>
          <w:i/>
        </w:rPr>
        <w:t xml:space="preserve"> Enterprises Ltd.</w:t>
      </w:r>
      <w:r w:rsidRPr="002C47EE">
        <w:rPr>
          <w:rFonts w:cs="Times New Roman"/>
        </w:rPr>
        <w:t xml:space="preserve">, [2007] EWHC 464 (Comm.); </w:t>
      </w:r>
      <w:r w:rsidRPr="002C47EE">
        <w:rPr>
          <w:rFonts w:cs="Times New Roman"/>
          <w:i/>
        </w:rPr>
        <w:t>Meat Corp. of Namibia Ltd. v. Dawn Meats (U.K.) Ltd.</w:t>
      </w:r>
      <w:r w:rsidRPr="002C47EE">
        <w:rPr>
          <w:rFonts w:cs="Times New Roman"/>
        </w:rPr>
        <w:t xml:space="preserve">, [2011] EWHC 474 (Ch. D.); </w:t>
      </w:r>
      <w:proofErr w:type="spellStart"/>
      <w:r w:rsidRPr="002C47EE">
        <w:rPr>
          <w:rFonts w:cs="Times New Roman"/>
          <w:i/>
        </w:rPr>
        <w:t>Matchbet</w:t>
      </w:r>
      <w:proofErr w:type="spellEnd"/>
      <w:r w:rsidRPr="002C47EE">
        <w:rPr>
          <w:rFonts w:cs="Times New Roman"/>
          <w:i/>
        </w:rPr>
        <w:t xml:space="preserve"> Ltd. v. </w:t>
      </w:r>
      <w:proofErr w:type="spellStart"/>
      <w:r w:rsidRPr="002C47EE">
        <w:rPr>
          <w:rFonts w:cs="Times New Roman"/>
          <w:i/>
        </w:rPr>
        <w:t>Openbet</w:t>
      </w:r>
      <w:proofErr w:type="spellEnd"/>
      <w:r w:rsidRPr="002C47EE">
        <w:rPr>
          <w:rFonts w:cs="Times New Roman"/>
          <w:i/>
        </w:rPr>
        <w:t xml:space="preserve"> Retail Ltd.</w:t>
      </w:r>
      <w:r w:rsidRPr="002C47EE">
        <w:rPr>
          <w:rFonts w:cs="Times New Roman"/>
        </w:rPr>
        <w:t>, [2013] EWHC 3067 (Ch. D.), at paras.</w:t>
      </w:r>
      <w:r>
        <w:rPr>
          <w:rFonts w:cs="Times New Roman"/>
        </w:rPr>
        <w:t xml:space="preserve"> </w:t>
      </w:r>
      <w:r w:rsidRPr="002C47EE">
        <w:rPr>
          <w:rFonts w:cs="Times New Roman"/>
        </w:rPr>
        <w:t xml:space="preserve">312-17.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lastRenderedPageBreak/>
        <w:t xml:space="preserve">In Australia, the expert’s objectivity and impartiality will generally go to weight, not to admissibility: I. </w:t>
      </w:r>
      <w:proofErr w:type="spellStart"/>
      <w:r w:rsidRPr="002C47EE">
        <w:rPr>
          <w:rFonts w:cs="Times New Roman"/>
        </w:rPr>
        <w:t>Freckelton</w:t>
      </w:r>
      <w:proofErr w:type="spellEnd"/>
      <w:r w:rsidRPr="002C47EE">
        <w:rPr>
          <w:rFonts w:cs="Times New Roman"/>
        </w:rPr>
        <w:t xml:space="preserve"> and H. Selby, </w:t>
      </w:r>
      <w:r w:rsidRPr="002C47EE">
        <w:rPr>
          <w:rFonts w:cs="Times New Roman"/>
          <w:i/>
        </w:rPr>
        <w:t>Expert Evidence: Law, Practice, Procedure and Advocacy</w:t>
      </w:r>
      <w:r w:rsidRPr="002C47EE">
        <w:rPr>
          <w:rFonts w:cs="Times New Roman"/>
        </w:rPr>
        <w:t xml:space="preserve"> (5th ed. 2013), at p. 35. As the Court of Appeal of the </w:t>
      </w:r>
      <w:r w:rsidR="00D459D7">
        <w:rPr>
          <w:rFonts w:cs="Times New Roman"/>
        </w:rPr>
        <w:t>S</w:t>
      </w:r>
      <w:r w:rsidRPr="002C47EE">
        <w:rPr>
          <w:rFonts w:cs="Times New Roman"/>
        </w:rPr>
        <w:t>tate of Victoria put it: “</w:t>
      </w:r>
      <w:r>
        <w:rPr>
          <w:rFonts w:cs="Times New Roman"/>
        </w:rPr>
        <w:t>. . .</w:t>
      </w:r>
      <w:r w:rsidRPr="002C47EE">
        <w:rPr>
          <w:rFonts w:cs="Times New Roman"/>
        </w:rPr>
        <w:t xml:space="preserve"> to the extent that it is desirable that expert witnesses should be under a duty to assist the Court, that has not been held and should not be held as disqualifying, in itself, an ‘interested’ witness from being competent to give expert evidence” (</w:t>
      </w:r>
      <w:r w:rsidRPr="002C47EE">
        <w:rPr>
          <w:rFonts w:cs="Times New Roman"/>
          <w:i/>
        </w:rPr>
        <w:t xml:space="preserve">FGT Custodians Pty. Ltd. v. </w:t>
      </w:r>
      <w:proofErr w:type="spellStart"/>
      <w:r w:rsidRPr="002C47EE">
        <w:rPr>
          <w:rFonts w:cs="Times New Roman"/>
          <w:i/>
        </w:rPr>
        <w:t>Fagenblat</w:t>
      </w:r>
      <w:proofErr w:type="spellEnd"/>
      <w:r w:rsidRPr="002C47EE">
        <w:rPr>
          <w:rFonts w:cs="Times New Roman"/>
        </w:rPr>
        <w:t>, [2003] VSCA 33, at para.</w:t>
      </w:r>
      <w:r>
        <w:rPr>
          <w:rFonts w:cs="Times New Roman"/>
        </w:rPr>
        <w:t xml:space="preserve"> </w:t>
      </w:r>
      <w:r w:rsidRPr="002C47EE">
        <w:rPr>
          <w:rFonts w:cs="Times New Roman"/>
        </w:rPr>
        <w:t>26 (</w:t>
      </w:r>
      <w:proofErr w:type="spellStart"/>
      <w:r w:rsidRPr="002C47EE">
        <w:rPr>
          <w:rFonts w:cs="Times New Roman"/>
        </w:rPr>
        <w:t>AustLII</w:t>
      </w:r>
      <w:proofErr w:type="spellEnd"/>
      <w:r w:rsidRPr="002C47EE">
        <w:rPr>
          <w:rFonts w:cs="Times New Roman"/>
        </w:rPr>
        <w:t xml:space="preserve">); see also </w:t>
      </w:r>
      <w:proofErr w:type="spellStart"/>
      <w:r w:rsidRPr="002C47EE">
        <w:rPr>
          <w:rFonts w:cs="Times New Roman"/>
        </w:rPr>
        <w:t>Freckelton</w:t>
      </w:r>
      <w:proofErr w:type="spellEnd"/>
      <w:r w:rsidRPr="002C47EE">
        <w:rPr>
          <w:rFonts w:cs="Times New Roman"/>
        </w:rPr>
        <w:t xml:space="preserve"> and Selby, at pp.</w:t>
      </w:r>
      <w:r>
        <w:rPr>
          <w:rFonts w:cs="Times New Roman"/>
        </w:rPr>
        <w:t xml:space="preserve"> </w:t>
      </w:r>
      <w:r w:rsidRPr="002C47EE">
        <w:rPr>
          <w:rFonts w:cs="Times New Roman"/>
        </w:rPr>
        <w:t xml:space="preserve">186-88; </w:t>
      </w:r>
      <w:r w:rsidRPr="002C47EE">
        <w:rPr>
          <w:rFonts w:cs="Times New Roman"/>
          <w:i/>
        </w:rPr>
        <w:t>Collins Thomson v. Clayton</w:t>
      </w:r>
      <w:r w:rsidRPr="002C47EE">
        <w:rPr>
          <w:rFonts w:cs="Times New Roman"/>
        </w:rPr>
        <w:t xml:space="preserve">, [2002] NSWSC 366; </w:t>
      </w:r>
      <w:proofErr w:type="spellStart"/>
      <w:r w:rsidRPr="002C47EE">
        <w:rPr>
          <w:rFonts w:cs="Times New Roman"/>
          <w:i/>
        </w:rPr>
        <w:t>Kirch</w:t>
      </w:r>
      <w:proofErr w:type="spellEnd"/>
      <w:r w:rsidRPr="002C47EE">
        <w:rPr>
          <w:rFonts w:cs="Times New Roman"/>
          <w:i/>
        </w:rPr>
        <w:t xml:space="preserve"> Communications Pty Ltd. v. Gene Engineering Pty Ltd.</w:t>
      </w:r>
      <w:r w:rsidRPr="002C47EE">
        <w:rPr>
          <w:rFonts w:cs="Times New Roman"/>
        </w:rPr>
        <w:t xml:space="preserve">, [2002] NSWSC 485; </w:t>
      </w:r>
      <w:r w:rsidRPr="002C47EE">
        <w:rPr>
          <w:rFonts w:cs="Times New Roman"/>
          <w:i/>
        </w:rPr>
        <w:t xml:space="preserve">SmithKline Beecham (Australia) Pty Ltd. v. </w:t>
      </w:r>
      <w:proofErr w:type="spellStart"/>
      <w:r w:rsidRPr="002C47EE">
        <w:rPr>
          <w:rFonts w:cs="Times New Roman"/>
          <w:i/>
        </w:rPr>
        <w:t>Chipman</w:t>
      </w:r>
      <w:proofErr w:type="spellEnd"/>
      <w:r w:rsidRPr="002C47EE">
        <w:rPr>
          <w:rFonts w:cs="Times New Roman"/>
        </w:rPr>
        <w:t>, [2003] FCA 796,</w:t>
      </w:r>
      <w:r w:rsidR="00B20850">
        <w:rPr>
          <w:rFonts w:cs="Times New Roman"/>
        </w:rPr>
        <w:t xml:space="preserve"> </w:t>
      </w:r>
      <w:r w:rsidRPr="002C47EE">
        <w:rPr>
          <w:rFonts w:cs="Times New Roman"/>
        </w:rPr>
        <w:t>131 F.C.R. 500).</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In the United States, at the federal level, the independence of the expert is a consideration that goes to the weight of the evidence, and a party may testify as an expert in his own case</w:t>
      </w:r>
      <w:r w:rsidRPr="002C47EE">
        <w:rPr>
          <w:rFonts w:cs="Times New Roman"/>
          <w:lang w:val="en-US"/>
        </w:rPr>
        <w:t>:</w:t>
      </w:r>
      <w:r w:rsidRPr="002C47EE">
        <w:rPr>
          <w:rFonts w:cs="Times New Roman"/>
        </w:rPr>
        <w:t xml:space="preserve"> </w:t>
      </w:r>
      <w:r w:rsidRPr="002C47EE">
        <w:rPr>
          <w:rFonts w:cs="Times New Roman"/>
          <w:i/>
        </w:rPr>
        <w:t xml:space="preserve">Rodriguez v. </w:t>
      </w:r>
      <w:proofErr w:type="spellStart"/>
      <w:r w:rsidRPr="002C47EE">
        <w:rPr>
          <w:rFonts w:cs="Times New Roman"/>
          <w:i/>
        </w:rPr>
        <w:t>Pacificare</w:t>
      </w:r>
      <w:proofErr w:type="spellEnd"/>
      <w:r w:rsidRPr="002C47EE">
        <w:rPr>
          <w:rFonts w:cs="Times New Roman"/>
          <w:i/>
        </w:rPr>
        <w:t xml:space="preserve"> of Texas, Inc.</w:t>
      </w:r>
      <w:r w:rsidRPr="002C47EE">
        <w:rPr>
          <w:rFonts w:cs="Times New Roman"/>
        </w:rPr>
        <w:t xml:space="preserve">, 980 F.2d 1014 (5th Cir. 1993), at p. 1019; </w:t>
      </w:r>
      <w:proofErr w:type="spellStart"/>
      <w:r w:rsidRPr="002C47EE">
        <w:rPr>
          <w:rFonts w:cs="Times New Roman"/>
          <w:i/>
        </w:rPr>
        <w:t>Tagatz</w:t>
      </w:r>
      <w:proofErr w:type="spellEnd"/>
      <w:r w:rsidRPr="002C47EE">
        <w:rPr>
          <w:rFonts w:cs="Times New Roman"/>
          <w:i/>
        </w:rPr>
        <w:t xml:space="preserve"> v. Marquette University</w:t>
      </w:r>
      <w:r w:rsidRPr="002C47EE">
        <w:rPr>
          <w:rFonts w:cs="Times New Roman"/>
        </w:rPr>
        <w:t xml:space="preserve">, 861 F.2d 1040 (7th Cir. 1988); </w:t>
      </w:r>
      <w:r w:rsidRPr="002C47EE">
        <w:rPr>
          <w:rFonts w:cs="Times New Roman"/>
          <w:i/>
        </w:rPr>
        <w:t>Apple Inc. v. Motorola, Inc.</w:t>
      </w:r>
      <w:r w:rsidRPr="002C47EE">
        <w:rPr>
          <w:rFonts w:cs="Times New Roman"/>
        </w:rPr>
        <w:t>, 757 F.3d 1286 (Fed. Cir. 2014), at p. 1321. This also seems to be a fair characterization of the situation in the states</w:t>
      </w:r>
      <w:r w:rsidR="00D459D7">
        <w:rPr>
          <w:rFonts w:cs="Times New Roman"/>
        </w:rPr>
        <w:t xml:space="preserve"> (</w:t>
      </w:r>
      <w:r w:rsidRPr="002C47EE">
        <w:rPr>
          <w:rFonts w:cs="Times New Roman"/>
          <w:i/>
        </w:rPr>
        <w:t xml:space="preserve">Corpus Juris </w:t>
      </w:r>
      <w:proofErr w:type="spellStart"/>
      <w:r w:rsidRPr="002C47EE">
        <w:rPr>
          <w:rFonts w:cs="Times New Roman"/>
          <w:i/>
        </w:rPr>
        <w:t>Secundum</w:t>
      </w:r>
      <w:proofErr w:type="spellEnd"/>
      <w:r w:rsidRPr="002C47EE">
        <w:rPr>
          <w:rFonts w:cs="Times New Roman"/>
        </w:rPr>
        <w:t>, vol. 32</w:t>
      </w:r>
      <w:r w:rsidRPr="002C47EE">
        <w:rPr>
          <w:rFonts w:cs="Times New Roman"/>
          <w:i/>
          <w:iCs/>
        </w:rPr>
        <w:t xml:space="preserve"> </w:t>
      </w:r>
      <w:r w:rsidRPr="002C47EE">
        <w:rPr>
          <w:rFonts w:cs="Times New Roman"/>
          <w:iCs/>
        </w:rPr>
        <w:t>(2008)</w:t>
      </w:r>
      <w:r w:rsidR="00D459D7">
        <w:rPr>
          <w:rFonts w:cs="Times New Roman"/>
        </w:rPr>
        <w:t xml:space="preserve">, at p. 325: </w:t>
      </w:r>
      <w:r w:rsidRPr="002C47EE">
        <w:rPr>
          <w:rFonts w:cs="Times New Roman"/>
        </w:rPr>
        <w:t xml:space="preserve">“The bias or interest of the witness does not affect his or her qualification, but only the weight to be given the testimony.”). </w:t>
      </w:r>
    </w:p>
    <w:p w:rsidR="009D3ECF" w:rsidRPr="002C47EE" w:rsidRDefault="009D3ECF" w:rsidP="009D3ECF">
      <w:pPr>
        <w:pStyle w:val="Title4LevelTitre4Niveau"/>
        <w:widowControl w:val="0"/>
        <w:numPr>
          <w:ilvl w:val="3"/>
          <w:numId w:val="22"/>
        </w:numPr>
        <w:rPr>
          <w:rFonts w:cs="Times New Roman"/>
        </w:rPr>
      </w:pPr>
      <w:r w:rsidRPr="002C47EE">
        <w:rPr>
          <w:rFonts w:cs="Times New Roman"/>
        </w:rPr>
        <w:t>Conclusion</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Following what I take to be the dominant view in the Canadian cases, I </w:t>
      </w:r>
      <w:r w:rsidRPr="002C47EE">
        <w:rPr>
          <w:rFonts w:cs="Times New Roman"/>
        </w:rPr>
        <w:lastRenderedPageBreak/>
        <w:t xml:space="preserve">would hold that an expert’s lack of independence and impartiality goes to the admissibility of the evidence in addition to being considered in relation to the weight to be given to the evidence if admitted. That approach seems to me to be more in line with the basic structure of our law relating to expert evidence and with the importance our jurisprudence has attached to the gatekeeping role of trial judges. Binnie J. summed up the Canadian approach well in </w:t>
      </w:r>
      <w:r w:rsidRPr="002C47EE">
        <w:rPr>
          <w:rFonts w:cs="Times New Roman"/>
          <w:i/>
        </w:rPr>
        <w:t>J.-L.J.</w:t>
      </w:r>
      <w:r w:rsidRPr="002C47EE">
        <w:rPr>
          <w:rFonts w:cs="Times New Roman"/>
        </w:rPr>
        <w:t xml:space="preserve">: “The admissibility of the expert evidence should be scrutinized at the time it is proffered, and not allowed too easy an entry on the basis that all of the frailties could go at the end of the day to weight rather than admissibility” (para. 28). </w:t>
      </w:r>
    </w:p>
    <w:p w:rsidR="009D3ECF" w:rsidRPr="002C47EE" w:rsidRDefault="009D3ECF" w:rsidP="009D3ECF">
      <w:pPr>
        <w:pStyle w:val="Title3LevelTitre3Niveau"/>
        <w:widowControl w:val="0"/>
        <w:numPr>
          <w:ilvl w:val="2"/>
          <w:numId w:val="22"/>
        </w:numPr>
        <w:rPr>
          <w:rFonts w:cs="Times New Roman"/>
        </w:rPr>
      </w:pPr>
      <w:r w:rsidRPr="002C47EE">
        <w:rPr>
          <w:rFonts w:cs="Times New Roman"/>
        </w:rPr>
        <w:t>The Appropriate Threshold</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I have already described the duty owed by an expert witness to the court: the expert must be fair, objective and non-partisan.  As I see it, the appropriate threshold for admissibility flows from this duty. I agree with Prof. (now Justice of the Ontario Court of Justice)</w:t>
      </w:r>
      <w:r w:rsidRPr="002C47EE">
        <w:rPr>
          <w:rFonts w:cs="Times New Roman"/>
          <w:lang w:val="en-US"/>
        </w:rPr>
        <w:t xml:space="preserve"> </w:t>
      </w:r>
      <w:proofErr w:type="spellStart"/>
      <w:r w:rsidRPr="002C47EE">
        <w:rPr>
          <w:rFonts w:cs="Times New Roman"/>
          <w:lang w:val="en-US"/>
        </w:rPr>
        <w:t>Paciocco</w:t>
      </w:r>
      <w:proofErr w:type="spellEnd"/>
      <w:r w:rsidRPr="002C47EE">
        <w:rPr>
          <w:rFonts w:cs="Times New Roman"/>
          <w:lang w:val="en-US"/>
        </w:rPr>
        <w:t xml:space="preserve"> that “t</w:t>
      </w:r>
      <w:r w:rsidRPr="002C47EE">
        <w:rPr>
          <w:rFonts w:cs="Times New Roman"/>
        </w:rPr>
        <w:t xml:space="preserve">he common law has come to </w:t>
      </w:r>
      <w:proofErr w:type="gramStart"/>
      <w:r w:rsidRPr="002C47EE">
        <w:rPr>
          <w:rFonts w:cs="Times New Roman"/>
        </w:rPr>
        <w:t xml:space="preserve">accept </w:t>
      </w:r>
      <w:r>
        <w:rPr>
          <w:rFonts w:cs="Times New Roman"/>
        </w:rPr>
        <w:t>.</w:t>
      </w:r>
      <w:proofErr w:type="gramEnd"/>
      <w:r>
        <w:rPr>
          <w:rFonts w:cs="Times New Roman"/>
        </w:rPr>
        <w:t> . .</w:t>
      </w:r>
      <w:r w:rsidRPr="002C47EE">
        <w:rPr>
          <w:rFonts w:cs="Times New Roman"/>
        </w:rPr>
        <w:t xml:space="preserve"> that expert witnesses have a duty to assist the court that overrides their obligation to the party calling them. If a witness is unable or unwilling to fulfill that duty, they do not qualify to perform the role of an expert and should be excluded”:</w:t>
      </w:r>
      <w:r w:rsidRPr="002C47EE">
        <w:rPr>
          <w:rFonts w:cs="Times New Roman"/>
          <w:lang w:val="en-US"/>
        </w:rPr>
        <w:t xml:space="preserve"> “Taking a ‘</w:t>
      </w:r>
      <w:proofErr w:type="spellStart"/>
      <w:r w:rsidRPr="002C47EE">
        <w:rPr>
          <w:rFonts w:cs="Times New Roman"/>
          <w:lang w:val="en-US"/>
        </w:rPr>
        <w:t>Goudge</w:t>
      </w:r>
      <w:proofErr w:type="spellEnd"/>
      <w:r w:rsidRPr="002C47EE">
        <w:rPr>
          <w:rFonts w:cs="Times New Roman"/>
          <w:lang w:val="en-US"/>
        </w:rPr>
        <w:t xml:space="preserve">’ out of Bluster and Blarney: an ‘Evidence-Based Approach’ to Expert Testimony” (2009), 13 </w:t>
      </w:r>
      <w:r w:rsidRPr="002C47EE">
        <w:rPr>
          <w:rFonts w:cs="Times New Roman"/>
          <w:i/>
          <w:lang w:val="en-US"/>
        </w:rPr>
        <w:t>Can. Crim. L.R.</w:t>
      </w:r>
      <w:r w:rsidRPr="002C47EE">
        <w:rPr>
          <w:rFonts w:cs="Times New Roman"/>
          <w:lang w:val="en-US"/>
        </w:rPr>
        <w:t xml:space="preserve"> 135, at p. 152 (footnote omitted). </w:t>
      </w:r>
      <w:r w:rsidRPr="002C47EE">
        <w:rPr>
          <w:rFonts w:cs="Times New Roman"/>
        </w:rPr>
        <w:t xml:space="preserve">The expert witnesses must, therefore, be aware of this primary duty to the court and able and willing to carry it out.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lastRenderedPageBreak/>
        <w:t>Imposing this additional threshold requirement is not intended to and should not result in trials becoming longer or more complex. As Prof.</w:t>
      </w:r>
      <w:r w:rsidRPr="002C47EE">
        <w:rPr>
          <w:rFonts w:cs="Times New Roman"/>
          <w:lang w:val="en-US"/>
        </w:rPr>
        <w:t xml:space="preserve"> </w:t>
      </w:r>
      <w:proofErr w:type="spellStart"/>
      <w:r w:rsidRPr="002C47EE">
        <w:rPr>
          <w:rFonts w:cs="Times New Roman"/>
          <w:lang w:val="en-US"/>
        </w:rPr>
        <w:t>Paciocco</w:t>
      </w:r>
      <w:proofErr w:type="spellEnd"/>
      <w:r w:rsidRPr="002C47EE">
        <w:rPr>
          <w:rFonts w:cs="Times New Roman"/>
          <w:lang w:val="en-US"/>
        </w:rPr>
        <w:t xml:space="preserve"> aptly observed, “if inquiries about bias or partiality become routine during </w:t>
      </w:r>
      <w:r w:rsidRPr="002C47EE">
        <w:rPr>
          <w:rFonts w:cs="Times New Roman"/>
          <w:i/>
          <w:lang w:val="en-US"/>
        </w:rPr>
        <w:t xml:space="preserve">Mohan </w:t>
      </w:r>
      <w:proofErr w:type="spellStart"/>
      <w:r w:rsidRPr="002C47EE">
        <w:rPr>
          <w:rFonts w:cs="Times New Roman"/>
          <w:i/>
          <w:lang w:val="en-US"/>
        </w:rPr>
        <w:t>voir</w:t>
      </w:r>
      <w:proofErr w:type="spellEnd"/>
      <w:r w:rsidRPr="002C47EE">
        <w:rPr>
          <w:rFonts w:cs="Times New Roman"/>
          <w:i/>
          <w:lang w:val="en-US"/>
        </w:rPr>
        <w:t xml:space="preserve"> </w:t>
      </w:r>
      <w:proofErr w:type="spellStart"/>
      <w:r w:rsidRPr="002C47EE">
        <w:rPr>
          <w:rFonts w:cs="Times New Roman"/>
          <w:i/>
          <w:lang w:val="en-US"/>
        </w:rPr>
        <w:t>dires</w:t>
      </w:r>
      <w:proofErr w:type="spellEnd"/>
      <w:r w:rsidRPr="002C47EE">
        <w:rPr>
          <w:rFonts w:cs="Times New Roman"/>
          <w:lang w:val="en-US"/>
        </w:rPr>
        <w:t>, trial testimony will become nothing more than an inefficient reprise of the admissibility hearing”:</w:t>
      </w:r>
      <w:r w:rsidRPr="002C47EE">
        <w:rPr>
          <w:rFonts w:cs="Times New Roman"/>
        </w:rPr>
        <w:t xml:space="preserve"> “Unplugging Jukebox Testimony in an Adversarial System: Strategies for Changing the Tune on Partial Experts” (2009), 34 </w:t>
      </w:r>
      <w:r w:rsidRPr="002C47EE">
        <w:rPr>
          <w:rFonts w:cs="Times New Roman"/>
          <w:i/>
        </w:rPr>
        <w:t>Queen’s L.J.</w:t>
      </w:r>
      <w:r w:rsidRPr="002C47EE">
        <w:rPr>
          <w:rFonts w:cs="Times New Roman"/>
        </w:rPr>
        <w:t xml:space="preserve"> 565 (“</w:t>
      </w:r>
      <w:proofErr w:type="spellStart"/>
      <w:r w:rsidRPr="002C47EE">
        <w:rPr>
          <w:rFonts w:cs="Times New Roman"/>
        </w:rPr>
        <w:t>Jukeboxˮ</w:t>
      </w:r>
      <w:proofErr w:type="spellEnd"/>
      <w:r w:rsidRPr="002C47EE">
        <w:rPr>
          <w:rFonts w:cs="Times New Roman"/>
        </w:rPr>
        <w:t xml:space="preserve">), </w:t>
      </w:r>
      <w:r w:rsidRPr="002C47EE">
        <w:rPr>
          <w:rFonts w:cs="Times New Roman"/>
          <w:lang w:val="en-US"/>
        </w:rPr>
        <w:t xml:space="preserve">at p. 597. While I would not go so far as to hold that the expert’s independence and impartiality should be presumed absent challenge, my view is that absent such challenge, the expert’s attestation or testimony recognizing and accepting the duty will generally be sufficient to establish that this threshold is met.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lang w:val="en-US"/>
        </w:rPr>
        <w:t xml:space="preserve">Once the expert attests or testifies on oath to this effect, the burden is on the party opposing the admission of the evidence to show that there is a realistic concern that the expert’s evidence should not be received because the expert is unable and/or unwilling to comply with that duty. If the opponent does so, the burden to establish on a balance of probabilities this aspect of the admissibility threshold remains on the party proposing to call the evidence. If this is not done, the evidence, or those parts of it that are tainted by a lack of independence or impartiality, should be excluded. This approach conforms to the general rule under the </w:t>
      </w:r>
      <w:r w:rsidRPr="002C47EE">
        <w:rPr>
          <w:rFonts w:cs="Times New Roman"/>
          <w:i/>
          <w:lang w:val="en-US"/>
        </w:rPr>
        <w:t>Mohan</w:t>
      </w:r>
      <w:r w:rsidRPr="002C47EE">
        <w:rPr>
          <w:rFonts w:cs="Times New Roman"/>
          <w:lang w:val="en-US"/>
        </w:rPr>
        <w:t xml:space="preserve"> framework, and elsewhere in the law of evidence, that</w:t>
      </w:r>
      <w:r w:rsidRPr="002C47EE">
        <w:rPr>
          <w:rFonts w:cs="Times New Roman"/>
        </w:rPr>
        <w:t xml:space="preserve"> the proponent of the evidence has the burden of establishing its admissibility.</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This threshold requirement is not particularly onerous and it will likely be quite rare that a proposed expert’s evidence would be ruled inadmissible for failing to </w:t>
      </w:r>
      <w:r w:rsidRPr="002C47EE">
        <w:rPr>
          <w:rFonts w:cs="Times New Roman"/>
        </w:rPr>
        <w:lastRenderedPageBreak/>
        <w:t>meet it. The trial judge must determine, having regard to both the particular circumstances of the proposed expert and the substance of the proposed evidence, whether the expert is able and willing to carry out his or her primary duty to the court. For example, it is the nature and extent of the interest or connection with the litigation or a party thereto which matters, not the mere fact of the interest or connection; the existence of some interest or a relationship does not automatically render the evidence of the proposed expert inadmissible. In most cases, a mere employment relationship with the party calling the evidence will be insufficient to do so. On the other hand, a direct financial interest in the outcome of the litigation will be of more concern. The same can be said in the case of a very close familial relationship with one of the parties or situations in which the proposed expert will probably incur professional liability if his or her opinion is not accepted by the court. Similarly, an expert who, in his or her proposed evidence or otherwise, assumes the role of an advocate for a party is clearly unwilling and/or unable to carry out the primary duty to the court. I emphasize that exclusion at the threshold stage of the analysis should occur only in very clear cases in which the proposed expert is unable or unwilling to provide the court with fair, objective and non-partisan evidence. Anything less than clear unwillingness or inability to do so should not lead to exclusion, but be taken into account in the overall weighing of costs and benefits of receiving the evidence.</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As discussed in the English case law, the decision as to whether an expert should be permitted to give evidence despite having an interest or connection with the litigation is a matter of fact and degree. The concept of apparent bias is not relevant to the question of whether or not an expert witness will be unable or unwilling to fulfill </w:t>
      </w:r>
      <w:r w:rsidRPr="002C47EE">
        <w:rPr>
          <w:rFonts w:cs="Times New Roman"/>
        </w:rPr>
        <w:lastRenderedPageBreak/>
        <w:t>its primary duty to the court. When looking at an expert’s interest or relationship with a party, the question is not whether a reasonable observer would think that the expert is not independent. The question is whether the relationship or interest results in the expert being unable or unwilling to carry out his or her primary duty to the court to provide fair, non-partisan and objective assistance.</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Having established the analytical framework, described the expert’s duty and determined that compliance with this duty goes to admissibility and not simply to weight, I turn now to where this duty fits into the analytical framework for admission of expert opinion evidence.</w:t>
      </w:r>
    </w:p>
    <w:p w:rsidR="009D3ECF" w:rsidRPr="002C47EE" w:rsidRDefault="009D3ECF" w:rsidP="009D3ECF">
      <w:pPr>
        <w:pStyle w:val="Title2LevelTitre2Niveau"/>
        <w:widowControl w:val="0"/>
        <w:numPr>
          <w:ilvl w:val="1"/>
          <w:numId w:val="22"/>
        </w:numPr>
        <w:rPr>
          <w:rFonts w:cs="Times New Roman"/>
        </w:rPr>
      </w:pPr>
      <w:r w:rsidRPr="002C47EE">
        <w:rPr>
          <w:rFonts w:cs="Times New Roman"/>
        </w:rPr>
        <w:t>Situating the Analysis in the Mohan</w:t>
      </w:r>
      <w:r w:rsidRPr="002C47EE">
        <w:rPr>
          <w:rFonts w:cs="Times New Roman"/>
          <w:i w:val="0"/>
        </w:rPr>
        <w:t xml:space="preserve"> </w:t>
      </w:r>
      <w:r w:rsidRPr="002E5F99">
        <w:rPr>
          <w:rFonts w:cs="Times New Roman"/>
        </w:rPr>
        <w:t>F</w:t>
      </w:r>
      <w:r w:rsidRPr="002C47EE">
        <w:rPr>
          <w:rFonts w:cs="Times New Roman"/>
        </w:rPr>
        <w:t xml:space="preserve">ramework </w:t>
      </w:r>
    </w:p>
    <w:p w:rsidR="009D3ECF" w:rsidRPr="002C47EE" w:rsidRDefault="009D3ECF" w:rsidP="009D3ECF">
      <w:pPr>
        <w:pStyle w:val="Title3LevelTitre3Niveau"/>
        <w:widowControl w:val="0"/>
        <w:numPr>
          <w:ilvl w:val="2"/>
          <w:numId w:val="22"/>
        </w:numPr>
        <w:rPr>
          <w:rFonts w:cs="Times New Roman"/>
        </w:rPr>
      </w:pPr>
      <w:r w:rsidRPr="002C47EE">
        <w:rPr>
          <w:rFonts w:cs="Times New Roman"/>
        </w:rPr>
        <w:t>The Threshold Inquiry</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Courts have addressed independence and impartiality at various points of the admissibility test. Almost </w:t>
      </w:r>
      <w:r w:rsidRPr="002C47EE">
        <w:rPr>
          <w:rFonts w:cs="Times New Roman"/>
          <w:szCs w:val="24"/>
        </w:rPr>
        <w:t xml:space="preserve">every branch of the </w:t>
      </w:r>
      <w:r w:rsidRPr="002C47EE">
        <w:rPr>
          <w:rFonts w:cs="Times New Roman"/>
          <w:i/>
          <w:szCs w:val="24"/>
        </w:rPr>
        <w:t>Mohan</w:t>
      </w:r>
      <w:r w:rsidRPr="002C47EE">
        <w:rPr>
          <w:rFonts w:cs="Times New Roman"/>
          <w:szCs w:val="24"/>
        </w:rPr>
        <w:t xml:space="preserve"> framework has been adapted to incorporate bias concerns one way or another: </w:t>
      </w:r>
      <w:r w:rsidRPr="002C47EE">
        <w:rPr>
          <w:rFonts w:cs="Times New Roman"/>
        </w:rPr>
        <w:t xml:space="preserve">the proper qualifications component (see, e.g., </w:t>
      </w:r>
      <w:r w:rsidRPr="002C47EE">
        <w:rPr>
          <w:rFonts w:cs="Times New Roman"/>
          <w:i/>
          <w:lang w:val="en-US"/>
        </w:rPr>
        <w:t>Bank of Montreal</w:t>
      </w:r>
      <w:r w:rsidRPr="002C47EE">
        <w:rPr>
          <w:rFonts w:cs="Times New Roman"/>
          <w:lang w:val="en-US"/>
        </w:rPr>
        <w:t xml:space="preserve">; </w:t>
      </w:r>
      <w:r w:rsidRPr="002C47EE">
        <w:rPr>
          <w:rFonts w:cs="Times New Roman"/>
          <w:i/>
          <w:lang w:val="en-US"/>
        </w:rPr>
        <w:t>Dean Construction</w:t>
      </w:r>
      <w:r w:rsidRPr="002C47EE">
        <w:rPr>
          <w:rFonts w:cs="Times New Roman"/>
          <w:lang w:val="en-US"/>
        </w:rPr>
        <w:t xml:space="preserve">; </w:t>
      </w:r>
      <w:proofErr w:type="spellStart"/>
      <w:r w:rsidRPr="002C47EE">
        <w:rPr>
          <w:rFonts w:cs="Times New Roman"/>
          <w:i/>
          <w:lang w:val="en-US"/>
        </w:rPr>
        <w:t>Agribrands</w:t>
      </w:r>
      <w:proofErr w:type="spellEnd"/>
      <w:r w:rsidRPr="002C47EE">
        <w:rPr>
          <w:rFonts w:cs="Times New Roman"/>
          <w:i/>
          <w:lang w:val="en-US"/>
        </w:rPr>
        <w:t xml:space="preserve"> Purina Canada Inc. v. </w:t>
      </w:r>
      <w:proofErr w:type="spellStart"/>
      <w:r w:rsidRPr="002C47EE">
        <w:rPr>
          <w:rFonts w:cs="Times New Roman"/>
          <w:i/>
          <w:lang w:val="en-US"/>
        </w:rPr>
        <w:t>Kasamekas</w:t>
      </w:r>
      <w:proofErr w:type="spellEnd"/>
      <w:r w:rsidRPr="002C47EE">
        <w:rPr>
          <w:rFonts w:cs="Times New Roman"/>
          <w:lang w:val="en-US"/>
        </w:rPr>
        <w:t xml:space="preserve">, 2010 ONSC 166; </w:t>
      </w:r>
      <w:r w:rsidRPr="002C47EE">
        <w:rPr>
          <w:rFonts w:cs="Times New Roman"/>
          <w:i/>
          <w:lang w:val="en-US"/>
        </w:rPr>
        <w:t>R. v. Demetrius</w:t>
      </w:r>
      <w:r w:rsidRPr="002C47EE">
        <w:rPr>
          <w:rFonts w:cs="Times New Roman"/>
          <w:lang w:val="en-US"/>
        </w:rPr>
        <w:t xml:space="preserve">, 2009 </w:t>
      </w:r>
      <w:proofErr w:type="spellStart"/>
      <w:r w:rsidRPr="002C47EE">
        <w:rPr>
          <w:rFonts w:cs="Times New Roman"/>
          <w:lang w:val="en-US"/>
        </w:rPr>
        <w:t>CanLII</w:t>
      </w:r>
      <w:proofErr w:type="spellEnd"/>
      <w:r w:rsidRPr="002C47EE">
        <w:rPr>
          <w:rFonts w:cs="Times New Roman"/>
          <w:lang w:val="en-US"/>
        </w:rPr>
        <w:t xml:space="preserve"> 22797 (Ont. S.C.J.)</w:t>
      </w:r>
      <w:r w:rsidR="003E7969">
        <w:rPr>
          <w:rFonts w:cs="Times New Roman"/>
          <w:lang w:val="en-US"/>
        </w:rPr>
        <w:t>)</w:t>
      </w:r>
      <w:r w:rsidRPr="002C47EE">
        <w:rPr>
          <w:rFonts w:cs="Times New Roman"/>
          <w:lang w:val="en-US"/>
        </w:rPr>
        <w:t xml:space="preserve">; </w:t>
      </w:r>
      <w:r w:rsidRPr="002C47EE">
        <w:rPr>
          <w:rFonts w:cs="Times New Roman"/>
        </w:rPr>
        <w:t xml:space="preserve">the necessity component (see, e.g., </w:t>
      </w:r>
      <w:r w:rsidRPr="002C47EE">
        <w:rPr>
          <w:rFonts w:cs="Times New Roman"/>
          <w:i/>
          <w:lang w:val="en-US"/>
        </w:rPr>
        <w:t>Docherty</w:t>
      </w:r>
      <w:r w:rsidRPr="002E5F99">
        <w:rPr>
          <w:rFonts w:cs="Times New Roman"/>
          <w:lang w:val="en-US"/>
        </w:rPr>
        <w:t xml:space="preserve">; </w:t>
      </w:r>
      <w:proofErr w:type="spellStart"/>
      <w:r w:rsidRPr="002C47EE">
        <w:rPr>
          <w:rFonts w:cs="Times New Roman"/>
          <w:i/>
          <w:lang w:val="en-US"/>
        </w:rPr>
        <w:t>Alfano</w:t>
      </w:r>
      <w:proofErr w:type="spellEnd"/>
      <w:r w:rsidRPr="002C47EE">
        <w:rPr>
          <w:rFonts w:cs="Times New Roman"/>
          <w:lang w:val="en-US"/>
        </w:rPr>
        <w:t xml:space="preserve">); </w:t>
      </w:r>
      <w:r w:rsidRPr="002C47EE">
        <w:rPr>
          <w:rFonts w:cs="Times New Roman"/>
        </w:rPr>
        <w:t xml:space="preserve">and during the discretionary cost-benefit analysis (see, e.g., </w:t>
      </w:r>
      <w:r w:rsidRPr="002C47EE">
        <w:rPr>
          <w:rFonts w:cs="Times New Roman"/>
          <w:i/>
        </w:rPr>
        <w:t>United City Properties</w:t>
      </w:r>
      <w:r w:rsidRPr="002C47EE">
        <w:rPr>
          <w:rFonts w:cs="Times New Roman"/>
        </w:rPr>
        <w:t xml:space="preserve">; </w:t>
      </w:r>
      <w:r w:rsidRPr="002C47EE">
        <w:rPr>
          <w:rFonts w:cs="Times New Roman"/>
          <w:i/>
        </w:rPr>
        <w:t xml:space="preserve">Abbey </w:t>
      </w:r>
      <w:r w:rsidRPr="002C47EE">
        <w:rPr>
          <w:rFonts w:cs="Times New Roman"/>
        </w:rPr>
        <w:t>(ONCA)). On other occasions, courts have found it to be a stand-alone requirement: see, e.g.,</w:t>
      </w:r>
      <w:r>
        <w:rPr>
          <w:rFonts w:cs="Times New Roman"/>
        </w:rPr>
        <w:t xml:space="preserve"> </w:t>
      </w:r>
      <w:r w:rsidRPr="002C47EE">
        <w:rPr>
          <w:rFonts w:cs="Times New Roman"/>
          <w:i/>
          <w:lang w:val="en-US"/>
        </w:rPr>
        <w:t>Docherty</w:t>
      </w:r>
      <w:r w:rsidRPr="002C47EE">
        <w:rPr>
          <w:rFonts w:cs="Times New Roman"/>
          <w:lang w:val="en-US"/>
        </w:rPr>
        <w:t xml:space="preserve">; </w:t>
      </w:r>
      <w:r w:rsidRPr="002C47EE">
        <w:rPr>
          <w:rFonts w:cs="Times New Roman"/>
          <w:i/>
          <w:lang w:val="en-US"/>
        </w:rPr>
        <w:t>International Hi-Tech Industries Inc. v. FANUC Robotics Canada Ltd.</w:t>
      </w:r>
      <w:r w:rsidRPr="002C47EE">
        <w:rPr>
          <w:rFonts w:cs="Times New Roman"/>
          <w:lang w:val="en-US"/>
        </w:rPr>
        <w:t xml:space="preserve">, </w:t>
      </w:r>
      <w:r w:rsidRPr="002C47EE">
        <w:rPr>
          <w:rFonts w:cs="Times New Roman"/>
          <w:lang w:val="en-US"/>
        </w:rPr>
        <w:lastRenderedPageBreak/>
        <w:t xml:space="preserve">2006 BCSC 2011; </w:t>
      </w:r>
      <w:proofErr w:type="spellStart"/>
      <w:r w:rsidRPr="002C47EE">
        <w:rPr>
          <w:rFonts w:cs="Times New Roman"/>
          <w:i/>
          <w:lang w:val="en-US"/>
        </w:rPr>
        <w:t>Casurina</w:t>
      </w:r>
      <w:proofErr w:type="spellEnd"/>
      <w:r w:rsidRPr="002C47EE">
        <w:rPr>
          <w:rFonts w:cs="Times New Roman"/>
          <w:i/>
          <w:lang w:val="en-US"/>
        </w:rPr>
        <w:t xml:space="preserve"> Ltd. Partnership v. Rio </w:t>
      </w:r>
      <w:proofErr w:type="spellStart"/>
      <w:r w:rsidRPr="002C47EE">
        <w:rPr>
          <w:rFonts w:cs="Times New Roman"/>
          <w:i/>
          <w:lang w:val="en-US"/>
        </w:rPr>
        <w:t>Algom</w:t>
      </w:r>
      <w:proofErr w:type="spellEnd"/>
      <w:r w:rsidRPr="002C47EE">
        <w:rPr>
          <w:rFonts w:cs="Times New Roman"/>
          <w:i/>
          <w:lang w:val="en-US"/>
        </w:rPr>
        <w:t xml:space="preserve"> Ltd. </w:t>
      </w:r>
      <w:r w:rsidRPr="002C47EE">
        <w:rPr>
          <w:rFonts w:cs="Times New Roman"/>
          <w:lang w:val="en-US"/>
        </w:rPr>
        <w:t xml:space="preserve">(2002), 28 B.L.R. (3d) 44 (Ont. S.C.J.); </w:t>
      </w:r>
      <w:r w:rsidRPr="002C47EE">
        <w:rPr>
          <w:rFonts w:cs="Times New Roman"/>
          <w:i/>
          <w:lang w:val="en-US"/>
        </w:rPr>
        <w:t>Prairie Well Servicing Ltd. v. Tundra Oil and Gas Ltd.</w:t>
      </w:r>
      <w:r w:rsidRPr="002C47EE">
        <w:rPr>
          <w:rFonts w:cs="Times New Roman"/>
          <w:lang w:val="en-US"/>
        </w:rPr>
        <w:t>, 2000 MBQB 52, 146 Man. R. (2d) 284. Some clarification of this point will therefore be useful.</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In my opinion, concerns related to the expert’s duty to the court and his or her willingness and capacity to comply with it are best addressed initially in the “qualified expert” element of the </w:t>
      </w:r>
      <w:r w:rsidRPr="002C47EE">
        <w:rPr>
          <w:rFonts w:cs="Times New Roman"/>
          <w:i/>
        </w:rPr>
        <w:t>Mohan</w:t>
      </w:r>
      <w:r w:rsidRPr="002C47EE">
        <w:rPr>
          <w:rFonts w:cs="Times New Roman"/>
        </w:rPr>
        <w:t xml:space="preserve"> framework: S. C. Hill, D. M. </w:t>
      </w:r>
      <w:proofErr w:type="spellStart"/>
      <w:r w:rsidRPr="002C47EE">
        <w:rPr>
          <w:rFonts w:cs="Times New Roman"/>
        </w:rPr>
        <w:t>Tanovich</w:t>
      </w:r>
      <w:proofErr w:type="spellEnd"/>
      <w:r w:rsidRPr="002C47EE">
        <w:rPr>
          <w:rFonts w:cs="Times New Roman"/>
        </w:rPr>
        <w:t xml:space="preserve"> and L. P. </w:t>
      </w:r>
      <w:proofErr w:type="spellStart"/>
      <w:r w:rsidRPr="002C47EE">
        <w:rPr>
          <w:rFonts w:cs="Times New Roman"/>
        </w:rPr>
        <w:t>Strezos</w:t>
      </w:r>
      <w:proofErr w:type="spellEnd"/>
      <w:r w:rsidRPr="002C47EE">
        <w:rPr>
          <w:rFonts w:cs="Times New Roman"/>
        </w:rPr>
        <w:t xml:space="preserve">, </w:t>
      </w:r>
      <w:r w:rsidRPr="002C47EE">
        <w:rPr>
          <w:rFonts w:cs="Times New Roman"/>
          <w:i/>
          <w:iCs/>
        </w:rPr>
        <w:t>McWilliams’ Canadian Criminal Evidence</w:t>
      </w:r>
      <w:r w:rsidRPr="002C47EE">
        <w:rPr>
          <w:rFonts w:cs="Times New Roman"/>
        </w:rPr>
        <w:t xml:space="preserve"> (5th ed. (loose-leaf)), at 12:30.20.50; see also </w:t>
      </w:r>
      <w:proofErr w:type="spellStart"/>
      <w:r w:rsidRPr="002C47EE">
        <w:rPr>
          <w:rFonts w:cs="Times New Roman"/>
          <w:i/>
        </w:rPr>
        <w:t>Deemar</w:t>
      </w:r>
      <w:proofErr w:type="spellEnd"/>
      <w:r>
        <w:rPr>
          <w:rFonts w:cs="Times New Roman"/>
          <w:i/>
        </w:rPr>
        <w:t xml:space="preserve"> </w:t>
      </w:r>
      <w:r w:rsidRPr="002C47EE">
        <w:rPr>
          <w:rFonts w:cs="Times New Roman"/>
          <w:i/>
        </w:rPr>
        <w:t>v.</w:t>
      </w:r>
      <w:r>
        <w:rPr>
          <w:rFonts w:cs="Times New Roman"/>
          <w:i/>
        </w:rPr>
        <w:t xml:space="preserve"> </w:t>
      </w:r>
      <w:r w:rsidRPr="002C47EE">
        <w:rPr>
          <w:rFonts w:cs="Times New Roman"/>
          <w:i/>
        </w:rPr>
        <w:t>College of Veterinarians of Ontario</w:t>
      </w:r>
      <w:r w:rsidRPr="002C47EE">
        <w:rPr>
          <w:rFonts w:cs="Times New Roman"/>
        </w:rPr>
        <w:t xml:space="preserve">, 2008 ONCA 600, 92 O.R. (3d) 97, at para. 21; </w:t>
      </w:r>
      <w:r w:rsidRPr="002C47EE">
        <w:rPr>
          <w:rFonts w:eastAsiaTheme="majorEastAsia" w:cs="Times New Roman"/>
          <w:lang w:val="en-US"/>
        </w:rPr>
        <w:t xml:space="preserve">Lederman, Bryant and </w:t>
      </w:r>
      <w:proofErr w:type="spellStart"/>
      <w:r w:rsidRPr="002C47EE">
        <w:rPr>
          <w:rFonts w:eastAsiaTheme="majorEastAsia" w:cs="Times New Roman"/>
          <w:lang w:val="en-US"/>
        </w:rPr>
        <w:t>Fuerst</w:t>
      </w:r>
      <w:proofErr w:type="spellEnd"/>
      <w:r w:rsidRPr="002C47EE">
        <w:rPr>
          <w:rFonts w:eastAsiaTheme="majorEastAsia" w:cs="Times New Roman"/>
          <w:lang w:val="en-US"/>
        </w:rPr>
        <w:t>, at pp. 826-27</w:t>
      </w:r>
      <w:r w:rsidRPr="002C47EE">
        <w:rPr>
          <w:rFonts w:cs="Times New Roman"/>
        </w:rPr>
        <w:t xml:space="preserve">; </w:t>
      </w:r>
      <w:r w:rsidRPr="002C47EE">
        <w:rPr>
          <w:rFonts w:cs="Times New Roman"/>
          <w:i/>
        </w:rPr>
        <w:t>Halsbury’s Laws of Canada: Evidence</w:t>
      </w:r>
      <w:r w:rsidRPr="002C47EE">
        <w:rPr>
          <w:rFonts w:cs="Times New Roman"/>
        </w:rPr>
        <w:t xml:space="preserve">, at para. HEV-152 “Partiality”; </w:t>
      </w:r>
      <w:r w:rsidRPr="002C47EE">
        <w:rPr>
          <w:rFonts w:cs="Times New Roman"/>
          <w:i/>
        </w:rPr>
        <w:t xml:space="preserve">The Canadian Encyclopedic Digest </w:t>
      </w:r>
      <w:r w:rsidRPr="002C47EE">
        <w:rPr>
          <w:rFonts w:cs="Times New Roman"/>
        </w:rPr>
        <w:t xml:space="preserve">(Ont. 4th ed. (loose-leaf)), vol. 24, Title 62 ― Evidence, at §469.  A proposed expert witness who is unable or unwilling to fulfill this duty to the court is not properly qualified to perform the role of an expert. Situating this concern in the “properly qualified expert” ensures that the courts will focus expressly on the important risks associated with biased experts: </w:t>
      </w:r>
      <w:r w:rsidRPr="002C47EE">
        <w:rPr>
          <w:rFonts w:cs="Times New Roman"/>
          <w:szCs w:val="24"/>
        </w:rPr>
        <w:t xml:space="preserve">Hill, </w:t>
      </w:r>
      <w:proofErr w:type="spellStart"/>
      <w:r w:rsidRPr="002C47EE">
        <w:rPr>
          <w:rFonts w:cs="Times New Roman"/>
          <w:szCs w:val="24"/>
        </w:rPr>
        <w:t>Tanovich</w:t>
      </w:r>
      <w:proofErr w:type="spellEnd"/>
      <w:r w:rsidRPr="002C47EE">
        <w:rPr>
          <w:rFonts w:cs="Times New Roman"/>
          <w:szCs w:val="24"/>
        </w:rPr>
        <w:t xml:space="preserve"> and </w:t>
      </w:r>
      <w:proofErr w:type="spellStart"/>
      <w:r w:rsidRPr="002C47EE">
        <w:rPr>
          <w:rFonts w:cs="Times New Roman"/>
          <w:szCs w:val="24"/>
        </w:rPr>
        <w:t>Strezos</w:t>
      </w:r>
      <w:proofErr w:type="spellEnd"/>
      <w:r w:rsidRPr="002C47EE">
        <w:rPr>
          <w:rFonts w:cs="Times New Roman"/>
          <w:szCs w:val="24"/>
        </w:rPr>
        <w:t xml:space="preserve">, at 12:30.20.50; </w:t>
      </w:r>
      <w:proofErr w:type="spellStart"/>
      <w:r w:rsidRPr="002C47EE">
        <w:rPr>
          <w:rFonts w:cs="Times New Roman"/>
        </w:rPr>
        <w:t>Paciocco</w:t>
      </w:r>
      <w:proofErr w:type="spellEnd"/>
      <w:r w:rsidRPr="002C47EE">
        <w:rPr>
          <w:rFonts w:cs="Times New Roman"/>
        </w:rPr>
        <w:t>, “Jukebox”, at p. 595.</w:t>
      </w:r>
    </w:p>
    <w:p w:rsidR="009D3ECF" w:rsidRPr="002C47EE" w:rsidRDefault="009D3ECF" w:rsidP="009D3ECF">
      <w:pPr>
        <w:pStyle w:val="Title3LevelTitre3Niveau"/>
        <w:widowControl w:val="0"/>
        <w:numPr>
          <w:ilvl w:val="2"/>
          <w:numId w:val="22"/>
        </w:numPr>
        <w:rPr>
          <w:rFonts w:cs="Times New Roman"/>
        </w:rPr>
      </w:pPr>
      <w:r w:rsidRPr="002C47EE">
        <w:rPr>
          <w:rFonts w:cs="Times New Roman"/>
        </w:rPr>
        <w:t>The Gatekeeping Exclusionary Discretion</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Finding that expert evidence meets the basic threshold does not end the inquiry. Consistent with the structure of the analysis developed following </w:t>
      </w:r>
      <w:r w:rsidRPr="002C47EE">
        <w:rPr>
          <w:rFonts w:cs="Times New Roman"/>
          <w:i/>
        </w:rPr>
        <w:t>Mohan</w:t>
      </w:r>
      <w:r w:rsidRPr="002C47EE">
        <w:rPr>
          <w:rFonts w:cs="Times New Roman"/>
        </w:rPr>
        <w:t xml:space="preserve"> which I have discussed earlier, the judge must still take concerns about the expert’s </w:t>
      </w:r>
      <w:r w:rsidRPr="002C47EE">
        <w:rPr>
          <w:rFonts w:cs="Times New Roman"/>
        </w:rPr>
        <w:lastRenderedPageBreak/>
        <w:t>independence and impartiality into account in weighing the evidence at the gatekeeping stage. At this point, relevance, necessity, reliability and absence of bias can helpfully be seen as part of a sliding scale where a basic level must first be achieved in order to meet the admissibility threshold and thereafter continue to play a role in weighing the overall competing considerations in admitting the evidence. At the end of the day, the judge must be satisfied that the potential helpfulness of the evidence is not outweighed by the risk of the dangers materializing that are associated with expert evidence.</w:t>
      </w:r>
    </w:p>
    <w:p w:rsidR="009D3ECF" w:rsidRPr="002C47EE" w:rsidRDefault="009D3ECF" w:rsidP="009D3ECF">
      <w:pPr>
        <w:pStyle w:val="Title2LevelTitre2Niveau"/>
        <w:widowControl w:val="0"/>
        <w:numPr>
          <w:ilvl w:val="1"/>
          <w:numId w:val="22"/>
        </w:numPr>
        <w:rPr>
          <w:rFonts w:cs="Times New Roman"/>
        </w:rPr>
      </w:pPr>
      <w:r w:rsidRPr="002C47EE">
        <w:rPr>
          <w:rFonts w:cs="Times New Roman"/>
        </w:rPr>
        <w:t>Expert Evidence and Summary Judgment</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I must say a brief word about the procedural context in which this case originates — a summary judgment motion. (I note that these comments relate to the summary judgment regime under the Nova Scotia rules and that different considerations may arise under different rules.)  It is common ground that the court hearing the motion can consider only admissible evidence. However, under the Nova Scotia jurisprudence, which is not questioned on this appeal, it is not the role of a judge hearing a summary judgment motion in Nova Scotia to weigh the evidence, draw reasonable inferences from evidence or settle matters of credibility: </w:t>
      </w:r>
      <w:proofErr w:type="spellStart"/>
      <w:r w:rsidRPr="002C47EE">
        <w:rPr>
          <w:rFonts w:cs="Times New Roman"/>
          <w:i/>
        </w:rPr>
        <w:t>Coady</w:t>
      </w:r>
      <w:proofErr w:type="spellEnd"/>
      <w:r w:rsidRPr="002C47EE">
        <w:rPr>
          <w:rFonts w:cs="Times New Roman"/>
          <w:i/>
        </w:rPr>
        <w:t xml:space="preserve"> v. Burton Canada Co.</w:t>
      </w:r>
      <w:r w:rsidRPr="002C47EE">
        <w:rPr>
          <w:rFonts w:cs="Times New Roman"/>
        </w:rPr>
        <w:t xml:space="preserve">, 2013 NSCA 95, 333 N.S.R. (2d) 348, at paras. 42-44, 87 and 98; </w:t>
      </w:r>
      <w:proofErr w:type="spellStart"/>
      <w:r w:rsidRPr="002C47EE">
        <w:rPr>
          <w:rFonts w:cs="Times New Roman"/>
          <w:i/>
        </w:rPr>
        <w:t>Fougere</w:t>
      </w:r>
      <w:proofErr w:type="spellEnd"/>
      <w:r w:rsidRPr="002C47EE">
        <w:rPr>
          <w:rFonts w:cs="Times New Roman"/>
          <w:i/>
        </w:rPr>
        <w:t xml:space="preserve"> v. Blunden Construction Ltd.</w:t>
      </w:r>
      <w:r w:rsidRPr="002C47EE">
        <w:rPr>
          <w:rFonts w:cs="Times New Roman"/>
        </w:rPr>
        <w:t xml:space="preserve">, 2014 NSCA 52, 345 N.S.R. (2d) 385, at paras. 6 and 12. Taking these two principles together, the result in my view is this. A motions judge hearing a summary judgment application under the Nova Scotia rules must be satisfied that proposed expert evidence meets the threshold requirements for </w:t>
      </w:r>
      <w:r w:rsidRPr="002C47EE">
        <w:rPr>
          <w:rFonts w:cs="Times New Roman"/>
        </w:rPr>
        <w:lastRenderedPageBreak/>
        <w:t>admissibility at the first step of the analysis, but should generally not engage in the second step cost-benefit analysis. That cost-benefit analysis, in anything other than the most obvious cases of inadmissibility, inevitably involves assigning weight — or at least potential weight — to the evidence.</w:t>
      </w:r>
    </w:p>
    <w:p w:rsidR="009D3ECF" w:rsidRPr="002C47EE" w:rsidRDefault="009D3ECF" w:rsidP="009D3ECF">
      <w:pPr>
        <w:pStyle w:val="Title2LevelTitre2Niveau"/>
        <w:widowControl w:val="0"/>
        <w:numPr>
          <w:ilvl w:val="1"/>
          <w:numId w:val="22"/>
        </w:numPr>
        <w:rPr>
          <w:rFonts w:cs="Times New Roman"/>
        </w:rPr>
      </w:pPr>
      <w:r w:rsidRPr="002C47EE">
        <w:rPr>
          <w:rFonts w:cs="Times New Roman"/>
        </w:rPr>
        <w:t xml:space="preserve">Application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I turn to the application of these principles to the facts of the case. In my respectful view, the record amply sustains the result reached by the majority of the Court of Appeal that Ms. MacMillan’s evidence was admissible on the summary judgment application. Of course, the framework which I have set out in these reasons was not available to either the motions judge or to the Court of Appeal.</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There was no finding by the motions judge that Ms. MacMillan was in fact biased or not impartial or that she was acting as an advocate for the shareholders: C.A. reasons, at para. 122. On the contrary, she specifically recognized that she was aware of the standards and requirements that experts be independent. She was aware of the precise guidelines in the accounting industry concerning accountants acting as expert witnesses. She testified that she owed an ultimate duty to the court in testifying as an expert witness: A.R., vol. III, at pp. 75-76; C.A. reasons, at para. 134. To the extent that the motions judge was concerned about the “appearance” of impartiality, this factor plays no part in the test for admissibility, as I have explained earlier.</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The auditors’ claim that Ms. MacMillan lacks objectivity rests on two </w:t>
      </w:r>
      <w:r w:rsidRPr="002C47EE">
        <w:rPr>
          <w:rFonts w:cs="Times New Roman"/>
        </w:rPr>
        <w:lastRenderedPageBreak/>
        <w:t>main points which I will address in turn.</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First, the auditors say that the earlier work done for the shareholders by the </w:t>
      </w:r>
      <w:proofErr w:type="spellStart"/>
      <w:r w:rsidRPr="002C47EE">
        <w:rPr>
          <w:rFonts w:cs="Times New Roman"/>
        </w:rPr>
        <w:t>Kentville</w:t>
      </w:r>
      <w:proofErr w:type="spellEnd"/>
      <w:r w:rsidRPr="002C47EE">
        <w:rPr>
          <w:rFonts w:cs="Times New Roman"/>
        </w:rPr>
        <w:t xml:space="preserve"> office of Grant Thornton “served as a catalyst and foundation for the claim of negligence” against the auditors and that this “precluded [Grant Thornton] from acting as ‘independent’ experts in this case”: A.F., a</w:t>
      </w:r>
      <w:r w:rsidR="003E7969">
        <w:rPr>
          <w:rFonts w:cs="Times New Roman"/>
        </w:rPr>
        <w:t>t paras. 17 and 19.  Ms. MacMil</w:t>
      </w:r>
      <w:r w:rsidRPr="002C47EE">
        <w:rPr>
          <w:rFonts w:cs="Times New Roman"/>
        </w:rPr>
        <w:t>lan, the auditors submit, was in an “irreconcilable conflict of interest, in that she would inevitably have to opine on, and choose between, the actions taken and standard of care exercised by her own partners at Grant Thornton” and those of the auditors: A.F., at para.</w:t>
      </w:r>
      <w:r>
        <w:rPr>
          <w:rFonts w:cs="Times New Roman"/>
        </w:rPr>
        <w:t xml:space="preserve"> </w:t>
      </w:r>
      <w:r w:rsidRPr="002C47EE">
        <w:rPr>
          <w:rFonts w:cs="Times New Roman"/>
        </w:rPr>
        <w:t>21. This first submission, however, must be rejected.</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The fact that one professional firm discovers what it thinks is or may be professional negligence does not, on its own, disqualify it from offering that opinion as an expert witness. Provided that the initial work is done independently and impartially and the person put forward as an expert understands and is able to comply with the duty to provide fair, objective and non-partisan assistance to the court, the expert meets the threshold qualification in that regard. There is no suggestion here that Grant Thornton was hired to take a position dictated to it by the shareholders or that there was anything more than a speculative possibility of Grant Thornton incurring liability to them if the firm’s opinion was not ultimately accepted by the court. There was no finding that Ms. MacMillan was, in fact, biased or not impartial, or that she was acting as an advocate for the shareholders. The auditors’ submission that she somehow “admitted” on her cross-examination that she was in an “irreconcilable conflict” is not borne out by a fair reading of her evidence in context: </w:t>
      </w:r>
      <w:r w:rsidRPr="002C47EE">
        <w:rPr>
          <w:rFonts w:cs="Times New Roman"/>
        </w:rPr>
        <w:lastRenderedPageBreak/>
        <w:t>A.R., vol. III, at pp. 139-45. On the contrary, her evidence was clear that she understood her role as an expert and her duty to the court:</w:t>
      </w:r>
      <w:r w:rsidRPr="002C47EE">
        <w:rPr>
          <w:rFonts w:cs="Times New Roman"/>
          <w:i/>
        </w:rPr>
        <w:t xml:space="preserve"> </w:t>
      </w:r>
      <w:proofErr w:type="gramStart"/>
      <w:r w:rsidRPr="002C47EE">
        <w:rPr>
          <w:rFonts w:cs="Times New Roman"/>
          <w:i/>
        </w:rPr>
        <w:t>ibid.</w:t>
      </w:r>
      <w:r w:rsidRPr="002C47EE">
        <w:rPr>
          <w:rFonts w:cs="Times New Roman"/>
        </w:rPr>
        <w:t>,</w:t>
      </w:r>
      <w:proofErr w:type="gramEnd"/>
      <w:r w:rsidRPr="002C47EE">
        <w:rPr>
          <w:rFonts w:cs="Times New Roman"/>
        </w:rPr>
        <w:t xml:space="preserve"> at pp. 75-76.  </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The auditors’ second main point was that Ms. MacMillan was not independent because she had “incorporated” some of the work done by the </w:t>
      </w:r>
      <w:proofErr w:type="spellStart"/>
      <w:r w:rsidRPr="002C47EE">
        <w:rPr>
          <w:rFonts w:cs="Times New Roman"/>
        </w:rPr>
        <w:t>Kentville</w:t>
      </w:r>
      <w:proofErr w:type="spellEnd"/>
      <w:r w:rsidRPr="002C47EE">
        <w:rPr>
          <w:rFonts w:cs="Times New Roman"/>
        </w:rPr>
        <w:t xml:space="preserve"> office of her firm. This contention is also ill founded. To begin, I do not accept that an expert lacks the threshold qualification in relation to the duty to give fair, objective and non-partisan evidence simply because the expert relies on the work of other professionals in reaching his or her own opinion.  Moreover, as Beveridge J.A. concluded, what was “incorporated” was essentially an exercise in arithmetic that had nothing to do with any accounting opinion expressed by the </w:t>
      </w:r>
      <w:proofErr w:type="spellStart"/>
      <w:r w:rsidRPr="002C47EE">
        <w:rPr>
          <w:rFonts w:cs="Times New Roman"/>
        </w:rPr>
        <w:t>Kentville</w:t>
      </w:r>
      <w:proofErr w:type="spellEnd"/>
      <w:r w:rsidRPr="002C47EE">
        <w:rPr>
          <w:rFonts w:cs="Times New Roman"/>
        </w:rPr>
        <w:t xml:space="preserve"> office: C.A. reasons, at paras. 146-49.</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There was no basis disclosed in this record to find that Ms. MacMillan’s evidence should be excluded because she was not able and willing to provide the court with fair, objective and non-partisan evidence. I agree with the majority of the Court of Appeal who concluded that the motions judge committed a palpable and overriding error in determining that Ms. MacMillan was in a conflict of interest that prevented her from giving impartial and objective evidence: paras. 136-50. </w:t>
      </w:r>
    </w:p>
    <w:p w:rsidR="009D3ECF" w:rsidRPr="002C47EE" w:rsidRDefault="009D3ECF" w:rsidP="009D3ECF">
      <w:pPr>
        <w:pStyle w:val="Title1LevelTitre1Niveau-AltL"/>
        <w:widowControl w:val="0"/>
        <w:numPr>
          <w:ilvl w:val="0"/>
          <w:numId w:val="22"/>
        </w:numPr>
        <w:rPr>
          <w:rFonts w:cs="Times New Roman"/>
        </w:rPr>
      </w:pPr>
      <w:r w:rsidRPr="002C47EE">
        <w:rPr>
          <w:rFonts w:cs="Times New Roman"/>
        </w:rPr>
        <w:t>Disposition</w:t>
      </w:r>
    </w:p>
    <w:p w:rsidR="009D3ECF" w:rsidRPr="002C47EE" w:rsidRDefault="009D3ECF" w:rsidP="009D3ECF">
      <w:pPr>
        <w:pStyle w:val="ParaNoNdepar-AltN"/>
        <w:widowControl w:val="0"/>
        <w:tabs>
          <w:tab w:val="clear" w:pos="1166"/>
          <w:tab w:val="num" w:pos="1152"/>
        </w:tabs>
        <w:rPr>
          <w:rFonts w:cs="Times New Roman"/>
        </w:rPr>
      </w:pPr>
      <w:r w:rsidRPr="002C47EE">
        <w:rPr>
          <w:rFonts w:cs="Times New Roman"/>
        </w:rPr>
        <w:t xml:space="preserve">I would dismiss the appeal with costs. </w:t>
      </w:r>
    </w:p>
    <w:p w:rsidR="009B57B3" w:rsidRPr="002D7B81" w:rsidRDefault="009B57B3" w:rsidP="009D3ECF">
      <w:pPr>
        <w:pStyle w:val="SCCNormalDoubleSpacing"/>
        <w:widowControl w:val="0"/>
        <w:spacing w:after="480"/>
      </w:pPr>
      <w:r w:rsidRPr="002D7B81">
        <w:lastRenderedPageBreak/>
        <w:tab/>
      </w:r>
      <w:r w:rsidR="00656313" w:rsidRPr="002D7B81">
        <w:rPr>
          <w:i/>
        </w:rPr>
        <w:t>Appeal</w:t>
      </w:r>
      <w:r w:rsidR="003308EB" w:rsidRPr="002D7B81">
        <w:rPr>
          <w:i/>
        </w:rPr>
        <w:t xml:space="preserve"> </w:t>
      </w:r>
      <w:r w:rsidR="006C26EE" w:rsidRPr="002D7B81">
        <w:rPr>
          <w:i/>
        </w:rPr>
        <w:t>dismissed with costs</w:t>
      </w:r>
      <w:r w:rsidR="003308EB" w:rsidRPr="002D7B81">
        <w:rPr>
          <w:i/>
        </w:rPr>
        <w:t>.</w:t>
      </w:r>
    </w:p>
    <w:p w:rsidR="00E348DB" w:rsidRPr="002D7B81" w:rsidRDefault="00E348DB" w:rsidP="009D3ECF">
      <w:pPr>
        <w:pStyle w:val="SCCLawFirm"/>
        <w:widowControl w:val="0"/>
        <w:spacing w:after="480"/>
      </w:pPr>
      <w:r w:rsidRPr="002D7B81">
        <w:tab/>
        <w:t>Solicitors for the appellants:</w:t>
      </w:r>
      <w:r w:rsidR="009D3ECF">
        <w:t xml:space="preserve"> </w:t>
      </w:r>
      <w:proofErr w:type="spellStart"/>
      <w:r w:rsidRPr="002D7B81">
        <w:t>Stikeman</w:t>
      </w:r>
      <w:proofErr w:type="spellEnd"/>
      <w:r w:rsidRPr="002D7B81">
        <w:t xml:space="preserve"> Elliott, Toronto.</w:t>
      </w:r>
    </w:p>
    <w:p w:rsidR="00E348DB" w:rsidRPr="002D7B81" w:rsidRDefault="00E348DB" w:rsidP="009D3ECF">
      <w:pPr>
        <w:pStyle w:val="SCCLawFirm"/>
        <w:widowControl w:val="0"/>
        <w:spacing w:after="480"/>
      </w:pPr>
      <w:r w:rsidRPr="002D7B81">
        <w:tab/>
        <w:t>Solicitors for the respondents:</w:t>
      </w:r>
      <w:r w:rsidR="009D3ECF">
        <w:t xml:space="preserve"> </w:t>
      </w:r>
      <w:proofErr w:type="spellStart"/>
      <w:r w:rsidRPr="002D7B81">
        <w:t>Lenczner</w:t>
      </w:r>
      <w:proofErr w:type="spellEnd"/>
      <w:r w:rsidRPr="002D7B81">
        <w:t xml:space="preserve"> </w:t>
      </w:r>
      <w:proofErr w:type="spellStart"/>
      <w:r w:rsidRPr="002D7B81">
        <w:t>Slaght</w:t>
      </w:r>
      <w:proofErr w:type="spellEnd"/>
      <w:r w:rsidRPr="002D7B81">
        <w:t xml:space="preserve"> Royce Smith Griffin, Toronto; Groupe Murphy Group, Moncton.</w:t>
      </w:r>
    </w:p>
    <w:p w:rsidR="00E348DB" w:rsidRPr="002D7B81" w:rsidRDefault="00E348DB" w:rsidP="009D3ECF">
      <w:pPr>
        <w:pStyle w:val="SCCLawFirm"/>
        <w:widowControl w:val="0"/>
        <w:spacing w:after="480"/>
      </w:pPr>
      <w:r w:rsidRPr="002D7B81">
        <w:tab/>
        <w:t>Solicitor for the intervener the Attorney General of Canada:</w:t>
      </w:r>
      <w:r w:rsidR="009D3ECF">
        <w:t xml:space="preserve"> </w:t>
      </w:r>
      <w:r w:rsidRPr="002D7B81">
        <w:t>Attorney General of Canada, Toronto.</w:t>
      </w:r>
    </w:p>
    <w:p w:rsidR="00C4716D" w:rsidRDefault="00E348DB" w:rsidP="009D3ECF">
      <w:pPr>
        <w:pStyle w:val="SCCLawFirm"/>
        <w:widowControl w:val="0"/>
        <w:rPr>
          <w:b/>
          <w:i w:val="0"/>
        </w:rPr>
      </w:pPr>
      <w:r w:rsidRPr="002D7B81">
        <w:tab/>
        <w:t>Solicitors for the intervener the Criminal Lawyers’ Association (Ontario):</w:t>
      </w:r>
      <w:r w:rsidR="009D3ECF">
        <w:t xml:space="preserve"> </w:t>
      </w:r>
      <w:r w:rsidRPr="002D7B81">
        <w:t>Henein Hutchison, Toronto.</w:t>
      </w:r>
    </w:p>
    <w:p w:rsidR="009D3ECF" w:rsidRPr="009D3ECF" w:rsidRDefault="009D3ECF" w:rsidP="009D3ECF">
      <w:pPr>
        <w:pStyle w:val="SCCNormalDoubleSpacing"/>
      </w:pPr>
    </w:p>
    <w:sectPr w:rsidR="009D3ECF" w:rsidRPr="009D3ECF"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99" w:rsidRDefault="002E5F99">
      <w:r>
        <w:separator/>
      </w:r>
    </w:p>
  </w:endnote>
  <w:endnote w:type="continuationSeparator" w:id="0">
    <w:p w:rsidR="002E5F99" w:rsidRDefault="002E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99" w:rsidRDefault="002E5F99">
      <w:r>
        <w:separator/>
      </w:r>
    </w:p>
  </w:footnote>
  <w:footnote w:type="continuationSeparator" w:id="0">
    <w:p w:rsidR="002E5F99" w:rsidRDefault="002E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99" w:rsidRPr="00450352" w:rsidRDefault="002E5F99"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4"/>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2760D244"/>
    <w:lvl w:ilvl="0">
      <w:start w:val="1"/>
      <w:numFmt w:val="decimal"/>
      <w:pStyle w:val="ParaNoNdepar-AltN"/>
      <w:lvlText w:val="[%1]"/>
      <w:lvlJc w:val="left"/>
      <w:pPr>
        <w:tabs>
          <w:tab w:val="num" w:pos="1152"/>
        </w:tabs>
        <w:ind w:left="0" w:firstLine="0"/>
      </w:pPr>
      <w:rPr>
        <w:rFonts w:ascii="Times New Roman" w:hAnsi="Times New Roman" w:hint="default"/>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CC6C03"/>
    <w:multiLevelType w:val="hybridMultilevel"/>
    <w:tmpl w:val="74C2C64C"/>
    <w:lvl w:ilvl="0" w:tplc="1009000F">
      <w:start w:val="1"/>
      <w:numFmt w:val="decimal"/>
      <w:lvlText w:val="%1."/>
      <w:lvlJc w:val="left"/>
      <w:pPr>
        <w:ind w:left="1886" w:hanging="360"/>
      </w:pPr>
    </w:lvl>
    <w:lvl w:ilvl="1" w:tplc="10090019">
      <w:start w:val="1"/>
      <w:numFmt w:val="lowerLetter"/>
      <w:lvlText w:val="%2."/>
      <w:lvlJc w:val="left"/>
      <w:pPr>
        <w:ind w:left="2606" w:hanging="360"/>
      </w:pPr>
    </w:lvl>
    <w:lvl w:ilvl="2" w:tplc="1009001B">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num w:numId="1">
    <w:abstractNumId w:val="18"/>
  </w:num>
  <w:num w:numId="2">
    <w:abstractNumId w:val="19"/>
  </w:num>
  <w:num w:numId="3">
    <w:abstractNumId w:val="12"/>
  </w:num>
  <w:num w:numId="4">
    <w:abstractNumId w:val="11"/>
  </w:num>
  <w:num w:numId="5">
    <w:abstractNumId w:val="16"/>
  </w:num>
  <w:num w:numId="6">
    <w:abstractNumId w:val="17"/>
  </w:num>
  <w:num w:numId="7">
    <w:abstractNumId w:val="14"/>
  </w:num>
  <w:num w:numId="8">
    <w:abstractNumId w:val="20"/>
  </w:num>
  <w:num w:numId="9">
    <w:abstractNumId w:val="0"/>
  </w:num>
  <w:num w:numId="10">
    <w:abstractNumId w:val="15"/>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3"/>
  </w:num>
  <w:num w:numId="22">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1D79"/>
    <w:rsid w:val="00003A2B"/>
    <w:rsid w:val="00010E0F"/>
    <w:rsid w:val="00014A5A"/>
    <w:rsid w:val="00025198"/>
    <w:rsid w:val="00026C38"/>
    <w:rsid w:val="000578A3"/>
    <w:rsid w:val="00063941"/>
    <w:rsid w:val="000648CC"/>
    <w:rsid w:val="00077CCE"/>
    <w:rsid w:val="000C59B8"/>
    <w:rsid w:val="000C59C6"/>
    <w:rsid w:val="000C6AF0"/>
    <w:rsid w:val="000E163E"/>
    <w:rsid w:val="00104F33"/>
    <w:rsid w:val="00107944"/>
    <w:rsid w:val="00111DE2"/>
    <w:rsid w:val="00116B38"/>
    <w:rsid w:val="00120B38"/>
    <w:rsid w:val="00124702"/>
    <w:rsid w:val="001260FF"/>
    <w:rsid w:val="001340D9"/>
    <w:rsid w:val="00135406"/>
    <w:rsid w:val="00135972"/>
    <w:rsid w:val="001426A9"/>
    <w:rsid w:val="0015047A"/>
    <w:rsid w:val="00152358"/>
    <w:rsid w:val="00154D7C"/>
    <w:rsid w:val="001570B0"/>
    <w:rsid w:val="0015752C"/>
    <w:rsid w:val="00157737"/>
    <w:rsid w:val="0016249E"/>
    <w:rsid w:val="00164B91"/>
    <w:rsid w:val="00165277"/>
    <w:rsid w:val="00170592"/>
    <w:rsid w:val="00186351"/>
    <w:rsid w:val="00195D83"/>
    <w:rsid w:val="001A00C1"/>
    <w:rsid w:val="001B33E0"/>
    <w:rsid w:val="001B4573"/>
    <w:rsid w:val="001C3264"/>
    <w:rsid w:val="001C779F"/>
    <w:rsid w:val="001D2AC1"/>
    <w:rsid w:val="001D4E88"/>
    <w:rsid w:val="001E26AE"/>
    <w:rsid w:val="00203B3F"/>
    <w:rsid w:val="00205266"/>
    <w:rsid w:val="00220FC2"/>
    <w:rsid w:val="002222F4"/>
    <w:rsid w:val="00224FC0"/>
    <w:rsid w:val="00225EA4"/>
    <w:rsid w:val="00226EAF"/>
    <w:rsid w:val="00231F3A"/>
    <w:rsid w:val="00234199"/>
    <w:rsid w:val="00236BDA"/>
    <w:rsid w:val="002406EE"/>
    <w:rsid w:val="00243EC8"/>
    <w:rsid w:val="002601B7"/>
    <w:rsid w:val="002616E3"/>
    <w:rsid w:val="00270D93"/>
    <w:rsid w:val="002745CC"/>
    <w:rsid w:val="00287DB6"/>
    <w:rsid w:val="002B7924"/>
    <w:rsid w:val="002B7FDE"/>
    <w:rsid w:val="002C3967"/>
    <w:rsid w:val="002C6BA8"/>
    <w:rsid w:val="002D28C3"/>
    <w:rsid w:val="002D39A4"/>
    <w:rsid w:val="002D7B81"/>
    <w:rsid w:val="002D7EE5"/>
    <w:rsid w:val="002E5F99"/>
    <w:rsid w:val="002E6705"/>
    <w:rsid w:val="002E7305"/>
    <w:rsid w:val="002E7F62"/>
    <w:rsid w:val="002F4E9C"/>
    <w:rsid w:val="00301D08"/>
    <w:rsid w:val="0030329A"/>
    <w:rsid w:val="00307D0A"/>
    <w:rsid w:val="0031086F"/>
    <w:rsid w:val="0031414C"/>
    <w:rsid w:val="00314E01"/>
    <w:rsid w:val="0032089D"/>
    <w:rsid w:val="003240B0"/>
    <w:rsid w:val="003308EB"/>
    <w:rsid w:val="003310DE"/>
    <w:rsid w:val="003323B0"/>
    <w:rsid w:val="00344759"/>
    <w:rsid w:val="0035169A"/>
    <w:rsid w:val="0035259D"/>
    <w:rsid w:val="003526B0"/>
    <w:rsid w:val="00364B18"/>
    <w:rsid w:val="00367449"/>
    <w:rsid w:val="003A125D"/>
    <w:rsid w:val="003A3A6D"/>
    <w:rsid w:val="003A3E90"/>
    <w:rsid w:val="003A4C70"/>
    <w:rsid w:val="003B215F"/>
    <w:rsid w:val="003B791C"/>
    <w:rsid w:val="003C4ED7"/>
    <w:rsid w:val="003C799C"/>
    <w:rsid w:val="003D0399"/>
    <w:rsid w:val="003D4B9F"/>
    <w:rsid w:val="003E1C71"/>
    <w:rsid w:val="003E6FB9"/>
    <w:rsid w:val="003E7969"/>
    <w:rsid w:val="003F327B"/>
    <w:rsid w:val="00406166"/>
    <w:rsid w:val="0040704B"/>
    <w:rsid w:val="00410A55"/>
    <w:rsid w:val="00411300"/>
    <w:rsid w:val="00415417"/>
    <w:rsid w:val="00426659"/>
    <w:rsid w:val="00431830"/>
    <w:rsid w:val="0043718E"/>
    <w:rsid w:val="0044391F"/>
    <w:rsid w:val="00450352"/>
    <w:rsid w:val="00452B92"/>
    <w:rsid w:val="00454BDB"/>
    <w:rsid w:val="00464800"/>
    <w:rsid w:val="00465132"/>
    <w:rsid w:val="00471282"/>
    <w:rsid w:val="00475D12"/>
    <w:rsid w:val="00480C90"/>
    <w:rsid w:val="0048396F"/>
    <w:rsid w:val="00493C18"/>
    <w:rsid w:val="004A600C"/>
    <w:rsid w:val="004A6118"/>
    <w:rsid w:val="004A7A0D"/>
    <w:rsid w:val="004B0E53"/>
    <w:rsid w:val="004C478D"/>
    <w:rsid w:val="004E2C26"/>
    <w:rsid w:val="004F36FF"/>
    <w:rsid w:val="00507CE5"/>
    <w:rsid w:val="005125A8"/>
    <w:rsid w:val="0051595E"/>
    <w:rsid w:val="00521AE8"/>
    <w:rsid w:val="00527180"/>
    <w:rsid w:val="00541CCF"/>
    <w:rsid w:val="0054201E"/>
    <w:rsid w:val="00555291"/>
    <w:rsid w:val="00566AD1"/>
    <w:rsid w:val="005754FB"/>
    <w:rsid w:val="00575560"/>
    <w:rsid w:val="00575F88"/>
    <w:rsid w:val="00580838"/>
    <w:rsid w:val="00583EDE"/>
    <w:rsid w:val="00586687"/>
    <w:rsid w:val="00594D8F"/>
    <w:rsid w:val="005A6079"/>
    <w:rsid w:val="005E4698"/>
    <w:rsid w:val="005E5D2B"/>
    <w:rsid w:val="005F5424"/>
    <w:rsid w:val="00603E88"/>
    <w:rsid w:val="00610539"/>
    <w:rsid w:val="00613969"/>
    <w:rsid w:val="006158B8"/>
    <w:rsid w:val="00625C35"/>
    <w:rsid w:val="0063383C"/>
    <w:rsid w:val="00635C8F"/>
    <w:rsid w:val="006449BA"/>
    <w:rsid w:val="00644B12"/>
    <w:rsid w:val="006509B0"/>
    <w:rsid w:val="00656313"/>
    <w:rsid w:val="006565F4"/>
    <w:rsid w:val="006768B4"/>
    <w:rsid w:val="00684EEA"/>
    <w:rsid w:val="0069689B"/>
    <w:rsid w:val="006A1551"/>
    <w:rsid w:val="006A2776"/>
    <w:rsid w:val="006A7DD8"/>
    <w:rsid w:val="006B5FF5"/>
    <w:rsid w:val="006C26EE"/>
    <w:rsid w:val="006E4E1D"/>
    <w:rsid w:val="006F30AF"/>
    <w:rsid w:val="00701759"/>
    <w:rsid w:val="00705C15"/>
    <w:rsid w:val="0071600E"/>
    <w:rsid w:val="007208D1"/>
    <w:rsid w:val="007443E2"/>
    <w:rsid w:val="00747288"/>
    <w:rsid w:val="00747DD3"/>
    <w:rsid w:val="007549C8"/>
    <w:rsid w:val="00754A0B"/>
    <w:rsid w:val="00766D14"/>
    <w:rsid w:val="00767A0F"/>
    <w:rsid w:val="007757F5"/>
    <w:rsid w:val="00785D78"/>
    <w:rsid w:val="007A05F6"/>
    <w:rsid w:val="007A6D8D"/>
    <w:rsid w:val="007B2410"/>
    <w:rsid w:val="007B6F4A"/>
    <w:rsid w:val="007C4B0D"/>
    <w:rsid w:val="007E1C47"/>
    <w:rsid w:val="007E337A"/>
    <w:rsid w:val="007E5C70"/>
    <w:rsid w:val="007F210D"/>
    <w:rsid w:val="007F2FF5"/>
    <w:rsid w:val="007F3F08"/>
    <w:rsid w:val="007F6940"/>
    <w:rsid w:val="00804CC6"/>
    <w:rsid w:val="00817190"/>
    <w:rsid w:val="00820EE5"/>
    <w:rsid w:val="008260E2"/>
    <w:rsid w:val="00831634"/>
    <w:rsid w:val="008322BD"/>
    <w:rsid w:val="0083272F"/>
    <w:rsid w:val="00833E0A"/>
    <w:rsid w:val="00834F73"/>
    <w:rsid w:val="008540A7"/>
    <w:rsid w:val="00854D30"/>
    <w:rsid w:val="00864CF8"/>
    <w:rsid w:val="00872819"/>
    <w:rsid w:val="00874914"/>
    <w:rsid w:val="00891422"/>
    <w:rsid w:val="00892E1A"/>
    <w:rsid w:val="008A3F29"/>
    <w:rsid w:val="008B660A"/>
    <w:rsid w:val="008C01DA"/>
    <w:rsid w:val="008D4E14"/>
    <w:rsid w:val="008F78E9"/>
    <w:rsid w:val="00911989"/>
    <w:rsid w:val="009179F9"/>
    <w:rsid w:val="00917FCD"/>
    <w:rsid w:val="009203CC"/>
    <w:rsid w:val="00933E5E"/>
    <w:rsid w:val="00935218"/>
    <w:rsid w:val="009403F3"/>
    <w:rsid w:val="009555B7"/>
    <w:rsid w:val="009567AA"/>
    <w:rsid w:val="00967374"/>
    <w:rsid w:val="009928FE"/>
    <w:rsid w:val="009A343A"/>
    <w:rsid w:val="009B2F23"/>
    <w:rsid w:val="009B57B3"/>
    <w:rsid w:val="009C3ECF"/>
    <w:rsid w:val="009C5B92"/>
    <w:rsid w:val="009D2920"/>
    <w:rsid w:val="009D3ECF"/>
    <w:rsid w:val="009D5AEB"/>
    <w:rsid w:val="009F0E33"/>
    <w:rsid w:val="009F2927"/>
    <w:rsid w:val="00A030CE"/>
    <w:rsid w:val="00A149DF"/>
    <w:rsid w:val="00A1755C"/>
    <w:rsid w:val="00A203FB"/>
    <w:rsid w:val="00A21B90"/>
    <w:rsid w:val="00A30270"/>
    <w:rsid w:val="00A41805"/>
    <w:rsid w:val="00A4215B"/>
    <w:rsid w:val="00A42DCD"/>
    <w:rsid w:val="00A52AFB"/>
    <w:rsid w:val="00A548CB"/>
    <w:rsid w:val="00A5521C"/>
    <w:rsid w:val="00A62DD4"/>
    <w:rsid w:val="00A643E7"/>
    <w:rsid w:val="00A65569"/>
    <w:rsid w:val="00A73C38"/>
    <w:rsid w:val="00A74FE3"/>
    <w:rsid w:val="00AA3635"/>
    <w:rsid w:val="00AB670D"/>
    <w:rsid w:val="00AB67D8"/>
    <w:rsid w:val="00AE1951"/>
    <w:rsid w:val="00AE3197"/>
    <w:rsid w:val="00AE7E1B"/>
    <w:rsid w:val="00AF03C5"/>
    <w:rsid w:val="00B000D8"/>
    <w:rsid w:val="00B00F75"/>
    <w:rsid w:val="00B12096"/>
    <w:rsid w:val="00B145B6"/>
    <w:rsid w:val="00B16175"/>
    <w:rsid w:val="00B20850"/>
    <w:rsid w:val="00B21CF8"/>
    <w:rsid w:val="00B279EB"/>
    <w:rsid w:val="00B37DB4"/>
    <w:rsid w:val="00B4313C"/>
    <w:rsid w:val="00B50C81"/>
    <w:rsid w:val="00B557F8"/>
    <w:rsid w:val="00B665EF"/>
    <w:rsid w:val="00B742C3"/>
    <w:rsid w:val="00B815FC"/>
    <w:rsid w:val="00B91EFE"/>
    <w:rsid w:val="00B92789"/>
    <w:rsid w:val="00B93FBC"/>
    <w:rsid w:val="00BA072B"/>
    <w:rsid w:val="00BA7DA0"/>
    <w:rsid w:val="00BB2EE4"/>
    <w:rsid w:val="00BB6088"/>
    <w:rsid w:val="00BC121C"/>
    <w:rsid w:val="00BC2108"/>
    <w:rsid w:val="00BD0E9E"/>
    <w:rsid w:val="00BD1BEC"/>
    <w:rsid w:val="00BD32FF"/>
    <w:rsid w:val="00C02092"/>
    <w:rsid w:val="00C1151A"/>
    <w:rsid w:val="00C24D91"/>
    <w:rsid w:val="00C30260"/>
    <w:rsid w:val="00C34B87"/>
    <w:rsid w:val="00C36E32"/>
    <w:rsid w:val="00C40B5D"/>
    <w:rsid w:val="00C45099"/>
    <w:rsid w:val="00C4716D"/>
    <w:rsid w:val="00C53F14"/>
    <w:rsid w:val="00C600CF"/>
    <w:rsid w:val="00C6084F"/>
    <w:rsid w:val="00C61A88"/>
    <w:rsid w:val="00C62A66"/>
    <w:rsid w:val="00C66B1D"/>
    <w:rsid w:val="00C71458"/>
    <w:rsid w:val="00C77613"/>
    <w:rsid w:val="00C82007"/>
    <w:rsid w:val="00C828E7"/>
    <w:rsid w:val="00C86719"/>
    <w:rsid w:val="00C921DD"/>
    <w:rsid w:val="00CA6391"/>
    <w:rsid w:val="00CC34BD"/>
    <w:rsid w:val="00CD1D9A"/>
    <w:rsid w:val="00CD6624"/>
    <w:rsid w:val="00CE161A"/>
    <w:rsid w:val="00CE1A6A"/>
    <w:rsid w:val="00CE3171"/>
    <w:rsid w:val="00CF1601"/>
    <w:rsid w:val="00CF300C"/>
    <w:rsid w:val="00CF6518"/>
    <w:rsid w:val="00D0172F"/>
    <w:rsid w:val="00D068A7"/>
    <w:rsid w:val="00D17476"/>
    <w:rsid w:val="00D30682"/>
    <w:rsid w:val="00D32086"/>
    <w:rsid w:val="00D37A3F"/>
    <w:rsid w:val="00D4431D"/>
    <w:rsid w:val="00D459D7"/>
    <w:rsid w:val="00D4667A"/>
    <w:rsid w:val="00D51B23"/>
    <w:rsid w:val="00D63A1C"/>
    <w:rsid w:val="00D7516F"/>
    <w:rsid w:val="00D8579F"/>
    <w:rsid w:val="00D931D6"/>
    <w:rsid w:val="00D94977"/>
    <w:rsid w:val="00D95F8E"/>
    <w:rsid w:val="00DA0590"/>
    <w:rsid w:val="00DA6559"/>
    <w:rsid w:val="00DB7BEA"/>
    <w:rsid w:val="00DC0A29"/>
    <w:rsid w:val="00DC1739"/>
    <w:rsid w:val="00DC1788"/>
    <w:rsid w:val="00DD2D28"/>
    <w:rsid w:val="00DE319C"/>
    <w:rsid w:val="00DE568F"/>
    <w:rsid w:val="00DE6C67"/>
    <w:rsid w:val="00DF0CA8"/>
    <w:rsid w:val="00DF2B48"/>
    <w:rsid w:val="00DF49A7"/>
    <w:rsid w:val="00E0065E"/>
    <w:rsid w:val="00E07EE2"/>
    <w:rsid w:val="00E07FD1"/>
    <w:rsid w:val="00E1131E"/>
    <w:rsid w:val="00E24573"/>
    <w:rsid w:val="00E25E1E"/>
    <w:rsid w:val="00E27EE7"/>
    <w:rsid w:val="00E348DB"/>
    <w:rsid w:val="00E35404"/>
    <w:rsid w:val="00E4271D"/>
    <w:rsid w:val="00E45109"/>
    <w:rsid w:val="00E47B7A"/>
    <w:rsid w:val="00E51BED"/>
    <w:rsid w:val="00E56A44"/>
    <w:rsid w:val="00E60269"/>
    <w:rsid w:val="00E671AB"/>
    <w:rsid w:val="00E708A4"/>
    <w:rsid w:val="00E72218"/>
    <w:rsid w:val="00E77932"/>
    <w:rsid w:val="00E97830"/>
    <w:rsid w:val="00EB212D"/>
    <w:rsid w:val="00EB48A3"/>
    <w:rsid w:val="00EC0FF1"/>
    <w:rsid w:val="00EC17B0"/>
    <w:rsid w:val="00EE643C"/>
    <w:rsid w:val="00EF0683"/>
    <w:rsid w:val="00EF38E3"/>
    <w:rsid w:val="00EF69D2"/>
    <w:rsid w:val="00EF766E"/>
    <w:rsid w:val="00F0070C"/>
    <w:rsid w:val="00F00EB7"/>
    <w:rsid w:val="00F236D7"/>
    <w:rsid w:val="00F275E2"/>
    <w:rsid w:val="00F34399"/>
    <w:rsid w:val="00F36AB6"/>
    <w:rsid w:val="00F37A09"/>
    <w:rsid w:val="00F409CE"/>
    <w:rsid w:val="00F4379D"/>
    <w:rsid w:val="00F455DF"/>
    <w:rsid w:val="00F45A51"/>
    <w:rsid w:val="00F50D2D"/>
    <w:rsid w:val="00F56C8B"/>
    <w:rsid w:val="00F66810"/>
    <w:rsid w:val="00F846D9"/>
    <w:rsid w:val="00F84DF4"/>
    <w:rsid w:val="00F85C97"/>
    <w:rsid w:val="00FB37D2"/>
    <w:rsid w:val="00FB6D76"/>
    <w:rsid w:val="00FC4EFB"/>
    <w:rsid w:val="00FD01B1"/>
    <w:rsid w:val="00FD068D"/>
    <w:rsid w:val="00FD4F28"/>
    <w:rsid w:val="00FE3E42"/>
    <w:rsid w:val="00FE6784"/>
    <w:rsid w:val="00FF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EC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9D3EC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9D3EC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9D3EC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D3EC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D3EC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D3EC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DD2D28"/>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9D3EC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9D3EC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9D3EC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9D3EC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D3EC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D3EC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D3EC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9D3ECF"/>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D3ECF"/>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D3ECF"/>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9D3EC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D3ECF"/>
    <w:rPr>
      <w:b/>
      <w:sz w:val="24"/>
    </w:rPr>
  </w:style>
  <w:style w:type="table" w:styleId="TableGrid">
    <w:name w:val="Table Grid"/>
    <w:basedOn w:val="TableNormal"/>
    <w:uiPriority w:val="59"/>
    <w:rsid w:val="009D3E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D3EC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D3EC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D3ECF"/>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9D3ECF"/>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D3EC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D3ECF"/>
    <w:pPr>
      <w:numPr>
        <w:ilvl w:val="2"/>
      </w:numPr>
    </w:pPr>
  </w:style>
  <w:style w:type="paragraph" w:customStyle="1" w:styleId="Title4LevelTitre4Niveau">
    <w:name w:val="Title 4 Level / Titre 4 Niveau"/>
    <w:basedOn w:val="Title3LevelTitre3Niveau"/>
    <w:next w:val="ParaNoNdepar-AltN"/>
    <w:uiPriority w:val="4"/>
    <w:qFormat/>
    <w:rsid w:val="009D3EC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D3ECF"/>
    <w:pPr>
      <w:numPr>
        <w:ilvl w:val="4"/>
      </w:numPr>
    </w:pPr>
  </w:style>
  <w:style w:type="paragraph" w:styleId="TOC1">
    <w:name w:val="toc 1"/>
    <w:basedOn w:val="Normal"/>
    <w:next w:val="Normal"/>
    <w:autoRedefine/>
    <w:uiPriority w:val="39"/>
    <w:unhideWhenUsed/>
    <w:rsid w:val="009D3EC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9D3EC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9D3EC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9D3EC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9D3EC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9D3EC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9D3EC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D3ECF"/>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Footnote Text Char Char Char Char Char"/>
    <w:basedOn w:val="Normal"/>
    <w:link w:val="FootnoteTextChar"/>
    <w:uiPriority w:val="99"/>
    <w:unhideWhenUsed/>
    <w:qFormat/>
    <w:rsid w:val="009D3ECF"/>
    <w:rPr>
      <w:rFonts w:asciiTheme="minorHAnsi" w:eastAsiaTheme="minorHAnsi" w:hAnsiTheme="minorHAnsi" w:cstheme="minorBidi"/>
      <w:sz w:val="20"/>
      <w:lang w:val="en-US" w:eastAsia="en-US" w:bidi="en-US"/>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uiPriority w:val="99"/>
    <w:rsid w:val="009D3ECF"/>
    <w:rPr>
      <w:rFonts w:asciiTheme="minorHAnsi" w:eastAsiaTheme="minorHAnsi" w:hAnsiTheme="minorHAnsi" w:cstheme="minorBidi"/>
      <w:lang w:val="en-US" w:eastAsia="en-US" w:bidi="en-US"/>
    </w:rPr>
  </w:style>
  <w:style w:type="character" w:styleId="FootnoteReference">
    <w:name w:val="footnote reference"/>
    <w:basedOn w:val="DefaultParagraphFont"/>
    <w:uiPriority w:val="99"/>
    <w:unhideWhenUsed/>
    <w:rsid w:val="009D3ECF"/>
    <w:rPr>
      <w:vertAlign w:val="superscript"/>
    </w:rPr>
  </w:style>
  <w:style w:type="paragraph" w:styleId="DocumentMap">
    <w:name w:val="Document Map"/>
    <w:basedOn w:val="Normal"/>
    <w:link w:val="DocumentMapChar"/>
    <w:uiPriority w:val="99"/>
    <w:semiHidden/>
    <w:unhideWhenUsed/>
    <w:rsid w:val="009D3ECF"/>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9D3ECF"/>
    <w:rPr>
      <w:rFonts w:ascii="Tahoma" w:eastAsiaTheme="minorHAnsi" w:hAnsi="Tahoma" w:cs="Tahoma"/>
      <w:sz w:val="16"/>
      <w:szCs w:val="16"/>
      <w:lang w:val="en-US" w:eastAsia="en-US" w:bidi="en-US"/>
    </w:rPr>
  </w:style>
  <w:style w:type="paragraph" w:customStyle="1" w:styleId="Lnum1">
    <w:name w:val="Lnum1"/>
    <w:basedOn w:val="Normal"/>
    <w:rsid w:val="009D3ECF"/>
    <w:pPr>
      <w:tabs>
        <w:tab w:val="num" w:pos="0"/>
      </w:tabs>
      <w:spacing w:after="240"/>
      <w:ind w:left="5040" w:hanging="720"/>
    </w:pPr>
    <w:rPr>
      <w:rFonts w:ascii="Book Antiqua" w:eastAsiaTheme="minorHAnsi" w:hAnsi="Book Antiqua" w:cstheme="minorBidi"/>
      <w:lang w:val="en-US" w:eastAsia="en-US" w:bidi="en-US"/>
    </w:rPr>
  </w:style>
  <w:style w:type="paragraph" w:customStyle="1" w:styleId="Lnum2">
    <w:name w:val="Lnum2"/>
    <w:basedOn w:val="Normal"/>
    <w:rsid w:val="009D3ECF"/>
    <w:pPr>
      <w:tabs>
        <w:tab w:val="num" w:pos="0"/>
      </w:tabs>
      <w:spacing w:after="240"/>
      <w:ind w:left="5760" w:hanging="720"/>
    </w:pPr>
    <w:rPr>
      <w:rFonts w:ascii="Book Antiqua" w:eastAsiaTheme="minorHAnsi" w:hAnsi="Book Antiqua" w:cstheme="minorBidi"/>
      <w:lang w:val="en-US" w:eastAsia="en-US" w:bidi="en-US"/>
    </w:rPr>
  </w:style>
  <w:style w:type="paragraph" w:customStyle="1" w:styleId="Lnum3">
    <w:name w:val="Lnum3"/>
    <w:basedOn w:val="Normal"/>
    <w:rsid w:val="009D3ECF"/>
    <w:pPr>
      <w:tabs>
        <w:tab w:val="num" w:pos="0"/>
      </w:tabs>
      <w:spacing w:after="240"/>
      <w:ind w:left="6480" w:hanging="720"/>
    </w:pPr>
    <w:rPr>
      <w:rFonts w:ascii="Book Antiqua" w:eastAsiaTheme="minorHAnsi" w:hAnsi="Book Antiqua" w:cstheme="minorBidi"/>
      <w:lang w:val="en-US" w:eastAsia="en-US" w:bidi="en-US"/>
    </w:rPr>
  </w:style>
  <w:style w:type="paragraph" w:customStyle="1" w:styleId="Style1">
    <w:name w:val="Style1"/>
    <w:basedOn w:val="Heading3"/>
    <w:rsid w:val="009D3ECF"/>
    <w:pPr>
      <w:numPr>
        <w:ilvl w:val="2"/>
      </w:numPr>
      <w:tabs>
        <w:tab w:val="num" w:pos="540"/>
      </w:tabs>
      <w:ind w:left="180"/>
    </w:pPr>
  </w:style>
  <w:style w:type="paragraph" w:styleId="TOCHeading">
    <w:name w:val="TOC Heading"/>
    <w:basedOn w:val="Heading1"/>
    <w:next w:val="Normal"/>
    <w:uiPriority w:val="39"/>
    <w:semiHidden/>
    <w:unhideWhenUsed/>
    <w:qFormat/>
    <w:rsid w:val="009D3ECF"/>
    <w:pPr>
      <w:spacing w:before="480" w:after="0"/>
      <w:ind w:left="0" w:firstLine="0"/>
      <w:outlineLvl w:val="9"/>
    </w:pPr>
    <w:rPr>
      <w:lang w:val="en-US" w:eastAsia="en-US" w:bidi="en-US"/>
    </w:rPr>
  </w:style>
  <w:style w:type="character" w:styleId="Hyperlink">
    <w:name w:val="Hyperlink"/>
    <w:basedOn w:val="DefaultParagraphFont"/>
    <w:uiPriority w:val="99"/>
    <w:unhideWhenUsed/>
    <w:rsid w:val="009D3ECF"/>
    <w:rPr>
      <w:color w:val="0000FF" w:themeColor="hyperlink"/>
      <w:u w:val="single"/>
    </w:rPr>
  </w:style>
  <w:style w:type="paragraph" w:customStyle="1" w:styleId="reasonsnumbering-altn1">
    <w:name w:val="reasonsnumbering-altn1"/>
    <w:basedOn w:val="Normal"/>
    <w:rsid w:val="009D3ECF"/>
    <w:pPr>
      <w:spacing w:after="480"/>
      <w:jc w:val="both"/>
    </w:pPr>
    <w:rPr>
      <w:rFonts w:eastAsiaTheme="minorHAnsi" w:cstheme="minorBidi"/>
      <w:szCs w:val="22"/>
      <w:lang w:val="en-US" w:eastAsia="en-US" w:bidi="en-US"/>
    </w:rPr>
  </w:style>
  <w:style w:type="paragraph" w:styleId="NormalWeb">
    <w:name w:val="Normal (Web)"/>
    <w:basedOn w:val="Normal"/>
    <w:uiPriority w:val="99"/>
    <w:semiHidden/>
    <w:unhideWhenUsed/>
    <w:rsid w:val="009D3ECF"/>
    <w:pPr>
      <w:spacing w:before="100" w:beforeAutospacing="1" w:after="100" w:afterAutospacing="1"/>
    </w:pPr>
    <w:rPr>
      <w:rFonts w:eastAsiaTheme="minorHAnsi" w:cstheme="minorBidi"/>
      <w:szCs w:val="22"/>
      <w:lang w:val="en-US" w:eastAsia="en-US" w:bidi="en-US"/>
    </w:rPr>
  </w:style>
  <w:style w:type="character" w:customStyle="1" w:styleId="reflex3-block">
    <w:name w:val="reflex3-block"/>
    <w:basedOn w:val="DefaultParagraphFont"/>
    <w:rsid w:val="009D3ECF"/>
  </w:style>
  <w:style w:type="paragraph" w:customStyle="1" w:styleId="paranondepar-altn1">
    <w:name w:val="paranondepar-altn1"/>
    <w:basedOn w:val="Normal"/>
    <w:rsid w:val="009D3ECF"/>
    <w:pPr>
      <w:spacing w:before="480" w:after="480"/>
      <w:jc w:val="both"/>
    </w:pPr>
    <w:rPr>
      <w:rFonts w:eastAsiaTheme="minorHAnsi" w:cstheme="minorBidi"/>
      <w:szCs w:val="22"/>
      <w:lang w:val="en-US" w:eastAsia="en-US" w:bidi="en-US"/>
    </w:rPr>
  </w:style>
  <w:style w:type="paragraph" w:customStyle="1" w:styleId="headingnumber01">
    <w:name w:val="headingnumber01"/>
    <w:basedOn w:val="Normal"/>
    <w:rsid w:val="009D3ECF"/>
    <w:pPr>
      <w:spacing w:before="120" w:after="120"/>
      <w:ind w:left="360" w:hanging="360"/>
      <w:jc w:val="both"/>
    </w:pPr>
    <w:rPr>
      <w:rFonts w:eastAsiaTheme="minorHAnsi" w:cstheme="minorBidi"/>
      <w:sz w:val="26"/>
      <w:szCs w:val="26"/>
      <w:lang w:val="en-US" w:eastAsia="en-US" w:bidi="en-US"/>
    </w:rPr>
  </w:style>
  <w:style w:type="paragraph" w:styleId="ListParagraph">
    <w:name w:val="List Paragraph"/>
    <w:basedOn w:val="Normal"/>
    <w:uiPriority w:val="34"/>
    <w:rsid w:val="009D3ECF"/>
    <w:pPr>
      <w:ind w:left="720"/>
      <w:contextualSpacing/>
    </w:pPr>
    <w:rPr>
      <w:rFonts w:eastAsiaTheme="minorHAnsi" w:cstheme="minorBidi"/>
      <w:szCs w:val="22"/>
      <w:lang w:val="en-US" w:eastAsia="en-US" w:bidi="en-US"/>
    </w:rPr>
  </w:style>
  <w:style w:type="character" w:styleId="Emphasis">
    <w:name w:val="Emphasis"/>
    <w:basedOn w:val="DefaultParagraphFont"/>
    <w:uiPriority w:val="20"/>
    <w:rsid w:val="009D3ECF"/>
    <w:rPr>
      <w:i/>
      <w:iCs/>
    </w:rPr>
  </w:style>
  <w:style w:type="paragraph" w:customStyle="1" w:styleId="cquote1">
    <w:name w:val="cquote1"/>
    <w:basedOn w:val="Normal"/>
    <w:rsid w:val="009D3ECF"/>
    <w:pPr>
      <w:spacing w:before="120" w:after="240"/>
      <w:ind w:left="1440" w:right="1440"/>
      <w:jc w:val="both"/>
    </w:pPr>
    <w:rPr>
      <w:rFonts w:ascii="Arial" w:eastAsiaTheme="minorHAnsi" w:hAnsi="Arial" w:cs="Arial"/>
      <w:sz w:val="26"/>
      <w:szCs w:val="26"/>
      <w:lang w:val="en-US" w:eastAsia="en-US" w:bidi="en-US"/>
    </w:rPr>
  </w:style>
  <w:style w:type="character" w:styleId="SubtleEmphasis">
    <w:name w:val="Subtle Emphasis"/>
    <w:basedOn w:val="DefaultParagraphFont"/>
    <w:uiPriority w:val="19"/>
    <w:rsid w:val="009D3ECF"/>
    <w:rPr>
      <w:i/>
      <w:iCs/>
      <w:color w:val="808080" w:themeColor="text1" w:themeTint="7F"/>
    </w:rPr>
  </w:style>
  <w:style w:type="paragraph" w:customStyle="1" w:styleId="11">
    <w:name w:val="11"/>
    <w:basedOn w:val="Normal"/>
    <w:rsid w:val="009D3ECF"/>
    <w:pPr>
      <w:autoSpaceDE w:val="0"/>
      <w:autoSpaceDN w:val="0"/>
      <w:ind w:hanging="720"/>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9D3ECF"/>
    <w:rPr>
      <w:sz w:val="16"/>
      <w:szCs w:val="16"/>
    </w:rPr>
  </w:style>
  <w:style w:type="paragraph" w:styleId="CommentText">
    <w:name w:val="annotation text"/>
    <w:basedOn w:val="Normal"/>
    <w:link w:val="CommentTextChar"/>
    <w:uiPriority w:val="99"/>
    <w:unhideWhenUsed/>
    <w:rsid w:val="009D3EC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9D3EC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9D3ECF"/>
    <w:rPr>
      <w:b/>
      <w:bCs/>
    </w:rPr>
  </w:style>
  <w:style w:type="character" w:customStyle="1" w:styleId="CommentSubjectChar">
    <w:name w:val="Comment Subject Char"/>
    <w:basedOn w:val="CommentTextChar"/>
    <w:link w:val="CommentSubject"/>
    <w:uiPriority w:val="99"/>
    <w:semiHidden/>
    <w:rsid w:val="009D3ECF"/>
    <w:rPr>
      <w:rFonts w:eastAsiaTheme="minorHAnsi" w:cstheme="minorBidi"/>
      <w:b/>
      <w:bCs/>
      <w:szCs w:val="22"/>
      <w:lang w:val="en-US" w:eastAsia="en-US" w:bidi="en-US"/>
    </w:rPr>
  </w:style>
  <w:style w:type="paragraph" w:styleId="Revision">
    <w:name w:val="Revision"/>
    <w:hidden/>
    <w:uiPriority w:val="99"/>
    <w:semiHidden/>
    <w:rsid w:val="009D3ECF"/>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9D3ECF"/>
    <w:rPr>
      <w:smallCaps/>
      <w:sz w:val="24"/>
    </w:rPr>
  </w:style>
  <w:style w:type="paragraph" w:styleId="NoSpacing">
    <w:name w:val="No Spacing"/>
    <w:uiPriority w:val="1"/>
    <w:rsid w:val="009D3ECF"/>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9D3EC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D3E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D3EC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D3EC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D3ECF"/>
    <w:rPr>
      <w:rFonts w:asciiTheme="majorHAnsi" w:eastAsiaTheme="majorEastAsia" w:hAnsiTheme="majorHAnsi" w:cstheme="majorBidi"/>
      <w:i/>
      <w:iCs/>
      <w:color w:val="4F81BD" w:themeColor="accent1"/>
      <w:spacing w:val="15"/>
      <w:sz w:val="24"/>
      <w:szCs w:val="24"/>
      <w:lang w:val="en-US" w:eastAsia="en-US" w:bidi="en-US"/>
    </w:rPr>
  </w:style>
  <w:style w:type="paragraph" w:styleId="Quote">
    <w:name w:val="Quote"/>
    <w:basedOn w:val="Normal"/>
    <w:next w:val="Normal"/>
    <w:link w:val="QuoteChar"/>
    <w:uiPriority w:val="29"/>
    <w:rsid w:val="009D3ECF"/>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9D3ECF"/>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9D3EC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D3ECF"/>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9D3ECF"/>
    <w:rPr>
      <w:b/>
      <w:bCs/>
      <w:i/>
      <w:iCs/>
      <w:color w:val="4F81BD" w:themeColor="accent1"/>
    </w:rPr>
  </w:style>
  <w:style w:type="character" w:styleId="SubtleReference">
    <w:name w:val="Subtle Reference"/>
    <w:basedOn w:val="DefaultParagraphFont"/>
    <w:uiPriority w:val="31"/>
    <w:rsid w:val="009D3ECF"/>
    <w:rPr>
      <w:smallCaps/>
      <w:color w:val="C0504D" w:themeColor="accent2"/>
      <w:u w:val="single"/>
    </w:rPr>
  </w:style>
  <w:style w:type="character" w:styleId="IntenseReference">
    <w:name w:val="Intense Reference"/>
    <w:basedOn w:val="DefaultParagraphFont"/>
    <w:uiPriority w:val="32"/>
    <w:rsid w:val="009D3ECF"/>
    <w:rPr>
      <w:b/>
      <w:bCs/>
      <w:smallCaps/>
      <w:color w:val="C0504D" w:themeColor="accent2"/>
      <w:spacing w:val="5"/>
      <w:u w:val="single"/>
    </w:rPr>
  </w:style>
  <w:style w:type="character" w:styleId="BookTitle">
    <w:name w:val="Book Title"/>
    <w:basedOn w:val="DefaultParagraphFont"/>
    <w:uiPriority w:val="33"/>
    <w:rsid w:val="009D3ECF"/>
    <w:rPr>
      <w:b/>
      <w:bCs/>
      <w:smallCaps/>
      <w:spacing w:val="5"/>
    </w:rPr>
  </w:style>
  <w:style w:type="paragraph" w:customStyle="1" w:styleId="Title6LevelTitre6Niveau">
    <w:name w:val="Title 6 Level / Titre 6 Niveau"/>
    <w:basedOn w:val="Title5LevelTitre5Niveau"/>
    <w:next w:val="ParaNoNdepar-AltN"/>
    <w:uiPriority w:val="4"/>
    <w:qFormat/>
    <w:rsid w:val="009D3ECF"/>
    <w:pPr>
      <w:numPr>
        <w:ilvl w:val="5"/>
      </w:numPr>
    </w:pPr>
    <w:rPr>
      <w:i/>
      <w:u w:val="none"/>
    </w:rPr>
  </w:style>
  <w:style w:type="character" w:customStyle="1" w:styleId="SCCLsocPartyRoleChar">
    <w:name w:val="SCC.Lsoc.PartyRole Char"/>
    <w:basedOn w:val="DefaultParagraphFont"/>
    <w:rsid w:val="007B2410"/>
    <w:rPr>
      <w:lang w:val="en-CA"/>
    </w:rPr>
  </w:style>
  <w:style w:type="paragraph" w:customStyle="1" w:styleId="SCCLsocPrefix">
    <w:name w:val="SCC.Lsoc.Prefix"/>
    <w:basedOn w:val="Normal"/>
    <w:next w:val="Normal"/>
    <w:link w:val="SCCLsocPrefixChar"/>
    <w:rsid w:val="007B2410"/>
    <w:rPr>
      <w:rFonts w:eastAsiaTheme="minorHAnsi" w:cstheme="minorBidi"/>
      <w:b/>
      <w:smallCaps/>
      <w:szCs w:val="24"/>
      <w:lang w:eastAsia="en-US"/>
    </w:rPr>
  </w:style>
  <w:style w:type="character" w:customStyle="1" w:styleId="SCCLsocPrefixChar">
    <w:name w:val="SCC.Lsoc.Prefix Char"/>
    <w:basedOn w:val="DefaultParagraphFont"/>
    <w:link w:val="SCCLsocPrefix"/>
    <w:rsid w:val="007B241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20026-11FC-4A56-B136-50441AD9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9694</Words>
  <Characters>55259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2015-05-07T15:05:00Z</dcterms:created>
  <dcterms:modified xsi:type="dcterms:W3CDTF">2015-10-06T17:16:00Z</dcterms:modified>
</cp:coreProperties>
</file>