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D9" w:rsidRDefault="006468D9" w:rsidP="006468D9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508657488" r:id="rId8"/>
        </w:object>
      </w:r>
    </w:p>
    <w:p w:rsidR="006468D9" w:rsidRDefault="006468D9" w:rsidP="006468D9">
      <w:pPr>
        <w:pStyle w:val="Header"/>
      </w:pPr>
    </w:p>
    <w:p w:rsidR="006468D9" w:rsidRPr="006B210C" w:rsidRDefault="006468D9" w:rsidP="006468D9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6468D9" w:rsidRDefault="006468D9" w:rsidP="006468D9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6468D9" w:rsidRPr="006B210C" w:rsidTr="00E44D9C">
        <w:trPr>
          <w:cantSplit/>
        </w:trPr>
        <w:tc>
          <w:tcPr>
            <w:tcW w:w="6768" w:type="dxa"/>
          </w:tcPr>
          <w:p w:rsidR="006468D9" w:rsidRPr="00482969" w:rsidRDefault="006468D9" w:rsidP="00E44D9C">
            <w:pPr>
              <w:jc w:val="both"/>
              <w:rPr>
                <w:lang w:val="fr-CA"/>
              </w:rPr>
            </w:pPr>
            <w:r w:rsidRPr="00482969">
              <w:rPr>
                <w:b/>
                <w:smallCaps/>
                <w:lang w:val="fr-CA"/>
              </w:rPr>
              <w:t xml:space="preserve">Citation: </w:t>
            </w:r>
            <w:r w:rsidRPr="00482969">
              <w:rPr>
                <w:rStyle w:val="SCCAppellantForRunningHeadChar"/>
                <w:smallCaps w:val="0"/>
              </w:rPr>
              <w:t xml:space="preserve">Bowden Institution </w:t>
            </w:r>
            <w:r w:rsidRPr="00482969">
              <w:rPr>
                <w:rStyle w:val="SCCAppellantForRunningHeadChar"/>
                <w:i/>
                <w:smallCaps w:val="0"/>
              </w:rPr>
              <w:t>v.</w:t>
            </w:r>
            <w:r w:rsidRPr="00482969">
              <w:rPr>
                <w:smallCaps/>
              </w:rPr>
              <w:t xml:space="preserve"> </w:t>
            </w:r>
            <w:r w:rsidRPr="00482969">
              <w:rPr>
                <w:rStyle w:val="SCCRespondentForRunningHeadChar"/>
                <w:smallCaps w:val="0"/>
              </w:rPr>
              <w:t>Khadr</w:t>
            </w:r>
            <w:r>
              <w:rPr>
                <w:rStyle w:val="SCCRespondentForRunningHeadChar"/>
                <w:smallCaps w:val="0"/>
              </w:rPr>
              <w:t xml:space="preserve">, </w:t>
            </w:r>
            <w:r>
              <w:t xml:space="preserve">2015 </w:t>
            </w:r>
            <w:r w:rsidRPr="00C02092">
              <w:t>SCC </w:t>
            </w:r>
            <w:r>
              <w:t>26, [2015] 2 S.C.R. 325</w:t>
            </w:r>
          </w:p>
          <w:p w:rsidR="006468D9" w:rsidRPr="00482969" w:rsidRDefault="006468D9" w:rsidP="00E44D9C">
            <w:pPr>
              <w:rPr>
                <w:lang w:val="fr-CA"/>
              </w:rPr>
            </w:pPr>
          </w:p>
        </w:tc>
        <w:tc>
          <w:tcPr>
            <w:tcW w:w="2808" w:type="dxa"/>
          </w:tcPr>
          <w:p w:rsidR="006468D9" w:rsidRPr="006B210C" w:rsidRDefault="006468D9" w:rsidP="00E44D9C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20150514</w:t>
            </w:r>
          </w:p>
          <w:p w:rsidR="006468D9" w:rsidRPr="006B210C" w:rsidRDefault="006468D9" w:rsidP="00E44D9C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36081</w:t>
            </w:r>
          </w:p>
        </w:tc>
      </w:tr>
    </w:tbl>
    <w:p w:rsidR="006468D9" w:rsidRPr="006B210C" w:rsidRDefault="006468D9" w:rsidP="006468D9"/>
    <w:p w:rsidR="006468D9" w:rsidRDefault="006468D9" w:rsidP="006468D9">
      <w:pPr>
        <w:pStyle w:val="SCCLsocPrefix"/>
      </w:pPr>
      <w:r>
        <w:t>Between:</w:t>
      </w:r>
    </w:p>
    <w:p w:rsidR="006468D9" w:rsidRDefault="006468D9" w:rsidP="006468D9">
      <w:pPr>
        <w:pStyle w:val="SCCLsocParty"/>
        <w:jc w:val="center"/>
      </w:pPr>
      <w:r>
        <w:t>David Pelham, Warden of the Bowden Institution,</w:t>
      </w:r>
    </w:p>
    <w:p w:rsidR="006468D9" w:rsidRDefault="006468D9" w:rsidP="006468D9">
      <w:pPr>
        <w:pStyle w:val="SCCLsocParty"/>
        <w:jc w:val="center"/>
      </w:pPr>
      <w:r>
        <w:t>Attorney General of Canada and</w:t>
      </w:r>
    </w:p>
    <w:p w:rsidR="006468D9" w:rsidRDefault="006468D9" w:rsidP="006468D9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 in Right of Alberta</w:t>
      </w:r>
    </w:p>
    <w:p w:rsidR="006468D9" w:rsidRPr="00D84C9C" w:rsidRDefault="006468D9" w:rsidP="006468D9">
      <w:pPr>
        <w:jc w:val="center"/>
        <w:rPr>
          <w:lang w:val="en-US"/>
        </w:rPr>
      </w:pPr>
      <w:r w:rsidRPr="00D84C9C">
        <w:rPr>
          <w:lang w:val="en-US"/>
        </w:rPr>
        <w:t>Appellant</w:t>
      </w:r>
      <w:r>
        <w:rPr>
          <w:lang w:val="en-US"/>
        </w:rPr>
        <w:t>s</w:t>
      </w:r>
    </w:p>
    <w:p w:rsidR="006468D9" w:rsidRPr="006468D9" w:rsidRDefault="006468D9" w:rsidP="006468D9">
      <w:pPr>
        <w:pStyle w:val="SCCLsocVersus"/>
        <w:spacing w:after="0"/>
        <w:jc w:val="center"/>
        <w:rPr>
          <w:i w:val="0"/>
          <w:lang w:val="en-US"/>
        </w:rPr>
      </w:pPr>
      <w:proofErr w:type="gramStart"/>
      <w:r w:rsidRPr="006468D9">
        <w:rPr>
          <w:i w:val="0"/>
          <w:lang w:val="en-US"/>
        </w:rPr>
        <w:t>and</w:t>
      </w:r>
      <w:proofErr w:type="gramEnd"/>
    </w:p>
    <w:p w:rsidR="006468D9" w:rsidRPr="00945515" w:rsidRDefault="006468D9" w:rsidP="006468D9">
      <w:pPr>
        <w:pStyle w:val="SCCLsocParty"/>
        <w:jc w:val="center"/>
        <w:rPr>
          <w:lang w:val="en-US"/>
        </w:rPr>
      </w:pPr>
      <w:r>
        <w:t>Omar Ahmed Khadr</w:t>
      </w:r>
    </w:p>
    <w:p w:rsidR="006468D9" w:rsidRDefault="006468D9" w:rsidP="006468D9">
      <w:pPr>
        <w:jc w:val="center"/>
        <w:rPr>
          <w:lang w:val="en-US"/>
        </w:rPr>
      </w:pPr>
      <w:r w:rsidRPr="00945515">
        <w:rPr>
          <w:lang w:val="en-US"/>
        </w:rPr>
        <w:t>Respondent</w:t>
      </w:r>
    </w:p>
    <w:p w:rsidR="006468D9" w:rsidRPr="009A7116" w:rsidRDefault="006468D9" w:rsidP="006468D9">
      <w:pPr>
        <w:jc w:val="center"/>
        <w:rPr>
          <w:lang w:val="en-US"/>
        </w:rPr>
      </w:pPr>
      <w:r w:rsidRPr="009A7116">
        <w:rPr>
          <w:lang w:val="en-US"/>
        </w:rPr>
        <w:t>-</w:t>
      </w:r>
      <w:proofErr w:type="gramStart"/>
      <w:r w:rsidRPr="009A7116">
        <w:rPr>
          <w:lang w:val="en-US"/>
        </w:rPr>
        <w:t>and</w:t>
      </w:r>
      <w:proofErr w:type="gramEnd"/>
      <w:r w:rsidRPr="009A7116">
        <w:rPr>
          <w:lang w:val="en-US"/>
        </w:rPr>
        <w:t>-</w:t>
      </w:r>
    </w:p>
    <w:p w:rsidR="006468D9" w:rsidRDefault="006468D9" w:rsidP="006468D9">
      <w:pPr>
        <w:pStyle w:val="SCCLsocParty"/>
        <w:jc w:val="center"/>
      </w:pPr>
      <w:r>
        <w:t>Canadian Civil Liberties Association and</w:t>
      </w:r>
    </w:p>
    <w:p w:rsidR="006468D9" w:rsidRDefault="006468D9" w:rsidP="006468D9">
      <w:pPr>
        <w:jc w:val="center"/>
        <w:rPr>
          <w:b/>
        </w:rPr>
      </w:pPr>
      <w:r w:rsidRPr="00605841">
        <w:rPr>
          <w:b/>
        </w:rPr>
        <w:t>Amnesty International Canada</w:t>
      </w:r>
    </w:p>
    <w:p w:rsidR="006468D9" w:rsidRPr="00605841" w:rsidRDefault="006468D9" w:rsidP="006468D9">
      <w:pPr>
        <w:jc w:val="center"/>
        <w:rPr>
          <w:lang w:val="en-US"/>
        </w:rPr>
      </w:pPr>
      <w:r w:rsidRPr="00605841">
        <w:t>Interveners</w:t>
      </w:r>
    </w:p>
    <w:p w:rsidR="006468D9" w:rsidRPr="00945515" w:rsidRDefault="006468D9" w:rsidP="006468D9">
      <w:pPr>
        <w:rPr>
          <w:lang w:val="en-US"/>
        </w:rPr>
      </w:pPr>
    </w:p>
    <w:p w:rsidR="006468D9" w:rsidRDefault="006468D9" w:rsidP="006468D9">
      <w:pPr>
        <w:jc w:val="both"/>
        <w:rPr>
          <w:b/>
          <w:smallCaps/>
        </w:rPr>
      </w:pPr>
    </w:p>
    <w:p w:rsidR="006468D9" w:rsidRDefault="006468D9" w:rsidP="006468D9">
      <w:pPr>
        <w:jc w:val="both"/>
      </w:pPr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 xml:space="preserve"> </w:t>
      </w:r>
      <w:proofErr w:type="spellStart"/>
      <w:r>
        <w:t>McLachlin</w:t>
      </w:r>
      <w:proofErr w:type="spellEnd"/>
      <w:r>
        <w:t xml:space="preserve"> C.J. and </w:t>
      </w:r>
      <w:proofErr w:type="spellStart"/>
      <w:r>
        <w:t>Abella</w:t>
      </w:r>
      <w:proofErr w:type="spellEnd"/>
      <w:r>
        <w:t xml:space="preserve">, Rothstein, Cromwell,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Wagner, </w:t>
      </w:r>
      <w:proofErr w:type="spellStart"/>
      <w:r>
        <w:t>Gascon</w:t>
      </w:r>
      <w:proofErr w:type="spellEnd"/>
      <w:r>
        <w:t xml:space="preserve"> and </w:t>
      </w:r>
      <w:proofErr w:type="spellStart"/>
      <w:r>
        <w:t>Côté</w:t>
      </w:r>
      <w:proofErr w:type="spellEnd"/>
      <w:r>
        <w:t xml:space="preserve"> JJ.</w:t>
      </w:r>
      <w:bookmarkStart w:id="0" w:name="_GoBack"/>
      <w:bookmarkEnd w:id="0"/>
    </w:p>
    <w:p w:rsidR="006468D9" w:rsidRDefault="006468D9" w:rsidP="006468D9">
      <w:pPr>
        <w:jc w:val="both"/>
      </w:pPr>
    </w:p>
    <w:p w:rsidR="006468D9" w:rsidRPr="006B210C" w:rsidRDefault="006468D9" w:rsidP="006468D9"/>
    <w:p w:rsidR="006468D9" w:rsidRPr="006B210C" w:rsidRDefault="006468D9" w:rsidP="006468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6468D9" w:rsidRPr="006B210C" w:rsidTr="00E44D9C">
        <w:trPr>
          <w:cantSplit/>
        </w:trPr>
        <w:tc>
          <w:tcPr>
            <w:tcW w:w="3618" w:type="dxa"/>
          </w:tcPr>
          <w:p w:rsidR="006468D9" w:rsidRDefault="006468D9" w:rsidP="00E44D9C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6468D9" w:rsidRPr="006B210C" w:rsidRDefault="006468D9" w:rsidP="00E44D9C">
            <w:r>
              <w:t>(paras. 1 to 3)</w:t>
            </w:r>
          </w:p>
        </w:tc>
        <w:tc>
          <w:tcPr>
            <w:tcW w:w="5958" w:type="dxa"/>
          </w:tcPr>
          <w:p w:rsidR="006468D9" w:rsidRPr="006B210C" w:rsidRDefault="006468D9" w:rsidP="00E44D9C">
            <w:pPr>
              <w:jc w:val="both"/>
            </w:pPr>
            <w:proofErr w:type="spellStart"/>
            <w:r>
              <w:t>McLachlin</w:t>
            </w:r>
            <w:proofErr w:type="spellEnd"/>
            <w:r>
              <w:t xml:space="preserve"> C.J. (</w:t>
            </w:r>
            <w:proofErr w:type="spellStart"/>
            <w:r>
              <w:t>Abella</w:t>
            </w:r>
            <w:proofErr w:type="spellEnd"/>
            <w:r>
              <w:t xml:space="preserve">, Rothstein, Cromwell, </w:t>
            </w:r>
            <w:proofErr w:type="spellStart"/>
            <w:r>
              <w:t>Moldaver</w:t>
            </w:r>
            <w:proofErr w:type="spellEnd"/>
            <w:r>
              <w:t xml:space="preserve">, </w:t>
            </w:r>
            <w:proofErr w:type="spellStart"/>
            <w:r>
              <w:t>Karakatsanis</w:t>
            </w:r>
            <w:proofErr w:type="spellEnd"/>
            <w:r>
              <w:t xml:space="preserve">, Wagner, </w:t>
            </w:r>
            <w:proofErr w:type="spellStart"/>
            <w:r>
              <w:t>Gascon</w:t>
            </w:r>
            <w:proofErr w:type="spellEnd"/>
            <w:r>
              <w:t xml:space="preserve"> and </w:t>
            </w:r>
            <w:proofErr w:type="spellStart"/>
            <w:r>
              <w:t>Côté</w:t>
            </w:r>
            <w:proofErr w:type="spellEnd"/>
            <w:r>
              <w:t xml:space="preserve"> JJ. concurring) </w:t>
            </w:r>
          </w:p>
        </w:tc>
      </w:tr>
    </w:tbl>
    <w:p w:rsidR="006468D9" w:rsidRDefault="006468D9" w:rsidP="006468D9"/>
    <w:p w:rsidR="006468D9" w:rsidRPr="006B210C" w:rsidRDefault="006468D9" w:rsidP="006468D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</w:pict>
      </w:r>
    </w:p>
    <w:p w:rsidR="006468D9" w:rsidRDefault="006468D9" w:rsidP="006468D9"/>
    <w:p w:rsidR="006468D9" w:rsidRDefault="006468D9" w:rsidP="0035169A">
      <w:pPr>
        <w:spacing w:line="480" w:lineRule="auto"/>
        <w:jc w:val="both"/>
        <w:rPr>
          <w:rStyle w:val="SCCAppellantForRunningHeadChar"/>
          <w:smallCaps w:val="0"/>
        </w:rPr>
      </w:pPr>
    </w:p>
    <w:p w:rsidR="008322BD" w:rsidRPr="008801FF" w:rsidRDefault="008801FF" w:rsidP="0035169A">
      <w:pPr>
        <w:spacing w:line="480" w:lineRule="auto"/>
        <w:jc w:val="both"/>
        <w:rPr>
          <w:smallCaps/>
        </w:rPr>
      </w:pPr>
      <w:r>
        <w:rPr>
          <w:rStyle w:val="SCCAppellantForRunningHeadChar"/>
          <w:smallCaps w:val="0"/>
        </w:rPr>
        <w:t>B</w:t>
      </w:r>
      <w:r w:rsidR="007570AD" w:rsidRPr="008801FF">
        <w:rPr>
          <w:rStyle w:val="SCCAppellantForRunningHeadChar"/>
          <w:smallCaps w:val="0"/>
        </w:rPr>
        <w:t xml:space="preserve">owden </w:t>
      </w:r>
      <w:r>
        <w:rPr>
          <w:rStyle w:val="SCCAppellantForRunningHeadChar"/>
          <w:smallCaps w:val="0"/>
        </w:rPr>
        <w:t>I</w:t>
      </w:r>
      <w:r w:rsidR="008F78E9" w:rsidRPr="008801FF">
        <w:rPr>
          <w:rStyle w:val="SCCAppellantForRunningHeadChar"/>
          <w:smallCaps w:val="0"/>
        </w:rPr>
        <w:t>nstitu</w:t>
      </w:r>
      <w:r w:rsidR="007570AD" w:rsidRPr="008801FF">
        <w:rPr>
          <w:rStyle w:val="SCCAppellantForRunningHeadChar"/>
          <w:smallCaps w:val="0"/>
        </w:rPr>
        <w:t>tion</w:t>
      </w:r>
      <w:r>
        <w:rPr>
          <w:rStyle w:val="SCCAppellantForRunningHeadChar"/>
          <w:smallCaps w:val="0"/>
        </w:rPr>
        <w:t xml:space="preserve"> </w:t>
      </w:r>
      <w:r w:rsidRPr="008801FF">
        <w:rPr>
          <w:rStyle w:val="SCCAppellantForRunningHeadChar"/>
          <w:i/>
          <w:smallCaps w:val="0"/>
        </w:rPr>
        <w:t>v.</w:t>
      </w:r>
      <w:r w:rsidR="00B000D8" w:rsidRPr="008801FF">
        <w:rPr>
          <w:smallCaps/>
        </w:rPr>
        <w:t xml:space="preserve"> </w:t>
      </w:r>
      <w:r>
        <w:rPr>
          <w:rStyle w:val="SCCRespondentForRunningHeadChar"/>
          <w:smallCaps w:val="0"/>
        </w:rPr>
        <w:t>K</w:t>
      </w:r>
      <w:r w:rsidR="008F78E9" w:rsidRPr="008801FF">
        <w:rPr>
          <w:rStyle w:val="SCCRespondentForRunningHeadChar"/>
          <w:smallCaps w:val="0"/>
        </w:rPr>
        <w:t>hadr</w:t>
      </w:r>
      <w:r>
        <w:rPr>
          <w:rStyle w:val="SCCRespondentForRunningHeadChar"/>
          <w:smallCaps w:val="0"/>
        </w:rPr>
        <w:t xml:space="preserve">, </w:t>
      </w:r>
      <w:r>
        <w:t xml:space="preserve">2015 </w:t>
      </w:r>
      <w:r w:rsidRPr="00C02092">
        <w:t>SCC </w:t>
      </w:r>
      <w:r>
        <w:t>26, [2015] 2 S.C.R. 325</w:t>
      </w:r>
    </w:p>
    <w:p w:rsidR="00A149DF" w:rsidRPr="001426A9" w:rsidRDefault="00A149DF" w:rsidP="00FC4EFB">
      <w:pPr>
        <w:jc w:val="both"/>
      </w:pPr>
    </w:p>
    <w:p w:rsidR="00A86A9A" w:rsidRDefault="007570AD">
      <w:pPr>
        <w:pStyle w:val="SCCLsocParty"/>
      </w:pPr>
      <w:r>
        <w:t>David Pelham, Warden of the Bowden Institution,</w:t>
      </w:r>
    </w:p>
    <w:p w:rsidR="00A86A9A" w:rsidRDefault="007570AD">
      <w:pPr>
        <w:pStyle w:val="SCCLsocParty"/>
      </w:pPr>
      <w:r>
        <w:t>Attorney General of Canada and</w:t>
      </w:r>
    </w:p>
    <w:p w:rsidR="00A86A9A" w:rsidRDefault="007570AD">
      <w:pPr>
        <w:pStyle w:val="SCCLsocLastPartyInRole"/>
      </w:pPr>
      <w:r>
        <w:t xml:space="preserve">Her Majesty </w:t>
      </w:r>
      <w:proofErr w:type="gramStart"/>
      <w:r>
        <w:t>The</w:t>
      </w:r>
      <w:proofErr w:type="gramEnd"/>
      <w:r>
        <w:t xml:space="preserve"> Queen in Right of Alberta</w:t>
      </w:r>
      <w:r>
        <w:rPr>
          <w:rStyle w:val="SCCLsocPartyRole"/>
        </w:rPr>
        <w:tab/>
        <w:t>Appellants</w:t>
      </w:r>
    </w:p>
    <w:p w:rsidR="00A86A9A" w:rsidRDefault="007570AD">
      <w:pPr>
        <w:pStyle w:val="SCCLsocVersus"/>
      </w:pPr>
      <w:proofErr w:type="gramStart"/>
      <w:r>
        <w:t>v</w:t>
      </w:r>
      <w:proofErr w:type="gramEnd"/>
      <w:r>
        <w:t>.</w:t>
      </w:r>
    </w:p>
    <w:p w:rsidR="00A86A9A" w:rsidRDefault="007570AD">
      <w:pPr>
        <w:pStyle w:val="SCCLsocLastPartyInRole"/>
      </w:pPr>
      <w:r>
        <w:lastRenderedPageBreak/>
        <w:t>Omar Ahmed Khadr</w:t>
      </w:r>
      <w:r>
        <w:rPr>
          <w:rStyle w:val="SCCLsocPartyRole"/>
        </w:rPr>
        <w:tab/>
        <w:t>Respondent</w:t>
      </w:r>
    </w:p>
    <w:p w:rsidR="00A86A9A" w:rsidRDefault="007570AD">
      <w:pPr>
        <w:pStyle w:val="SCCLsocOtherPartySeparator"/>
      </w:pPr>
      <w:proofErr w:type="gramStart"/>
      <w:r>
        <w:t>and</w:t>
      </w:r>
      <w:proofErr w:type="gramEnd"/>
    </w:p>
    <w:p w:rsidR="00A86A9A" w:rsidRDefault="007570AD">
      <w:pPr>
        <w:pStyle w:val="SCCLsocParty"/>
      </w:pPr>
      <w:r>
        <w:t>Canadian Civil Liberties Association and</w:t>
      </w:r>
    </w:p>
    <w:p w:rsidR="00A86A9A" w:rsidRDefault="007570AD">
      <w:pPr>
        <w:pStyle w:val="SCCLsocLastPartyInRole"/>
      </w:pPr>
      <w:r>
        <w:t>Amnesty International Canada</w:t>
      </w:r>
      <w:r>
        <w:rPr>
          <w:rStyle w:val="SCCLsocPartyRole"/>
        </w:rPr>
        <w:tab/>
        <w:t>Interveners</w:t>
      </w:r>
    </w:p>
    <w:p w:rsidR="00426659" w:rsidRPr="00A41A85" w:rsidRDefault="00426659" w:rsidP="00807397">
      <w:pPr>
        <w:pStyle w:val="SCCSystemYear"/>
        <w:spacing w:after="720"/>
        <w:jc w:val="both"/>
        <w:rPr>
          <w:b w:val="0"/>
        </w:rPr>
      </w:pPr>
      <w:r w:rsidRPr="00A41A85">
        <w:t>Indexed as:</w:t>
      </w:r>
      <w:r w:rsidRPr="00A41A85">
        <w:rPr>
          <w:b w:val="0"/>
        </w:rPr>
        <w:t xml:space="preserve"> </w:t>
      </w:r>
      <w:r w:rsidRPr="00A41A85">
        <w:rPr>
          <w:rStyle w:val="SCCAppellantForIndexChar"/>
          <w:b/>
        </w:rPr>
        <w:t>Bowden Institu</w:t>
      </w:r>
      <w:r w:rsidR="007570AD" w:rsidRPr="00A41A85">
        <w:rPr>
          <w:rStyle w:val="SCCAppellantForIndexChar"/>
          <w:b/>
        </w:rPr>
        <w:t>tion</w:t>
      </w:r>
      <w:r w:rsidRPr="00A41A85">
        <w:rPr>
          <w:b w:val="0"/>
        </w:rPr>
        <w:t xml:space="preserve"> </w:t>
      </w:r>
      <w:r w:rsidRPr="0061183D">
        <w:rPr>
          <w:i/>
        </w:rPr>
        <w:t>v.</w:t>
      </w:r>
      <w:r w:rsidRPr="00A41A85">
        <w:rPr>
          <w:b w:val="0"/>
        </w:rPr>
        <w:t xml:space="preserve"> </w:t>
      </w:r>
      <w:r w:rsidRPr="00A41A85">
        <w:rPr>
          <w:rStyle w:val="SCCRespondentForIndexChar"/>
          <w:b/>
        </w:rPr>
        <w:t>Khadr</w:t>
      </w:r>
    </w:p>
    <w:p w:rsidR="00A149DF" w:rsidRDefault="00A149DF" w:rsidP="00FC4EFB">
      <w:pPr>
        <w:jc w:val="both"/>
      </w:pPr>
    </w:p>
    <w:p w:rsidR="00426659" w:rsidRPr="00C02092" w:rsidRDefault="004F36FF" w:rsidP="00807397">
      <w:pPr>
        <w:pStyle w:val="SCCSystemYear"/>
        <w:spacing w:after="720"/>
        <w:jc w:val="both"/>
      </w:pPr>
      <w:r>
        <w:t>2015</w:t>
      </w:r>
      <w:r w:rsidR="003D0399">
        <w:t xml:space="preserve"> </w:t>
      </w:r>
      <w:r w:rsidR="00426659" w:rsidRPr="00C02092">
        <w:t>SCC </w:t>
      </w:r>
      <w:r w:rsidR="007570AD">
        <w:t>26</w:t>
      </w:r>
    </w:p>
    <w:p w:rsidR="00A149DF" w:rsidRDefault="00A149DF" w:rsidP="00FC4EFB">
      <w:pPr>
        <w:jc w:val="both"/>
      </w:pPr>
    </w:p>
    <w:p w:rsidR="008322BD" w:rsidRDefault="005E32E5" w:rsidP="00FC4EFB">
      <w:pPr>
        <w:jc w:val="both"/>
      </w:pPr>
      <w:r>
        <w:t xml:space="preserve">File No.: </w:t>
      </w:r>
      <w:r w:rsidR="009B57B3">
        <w:t>36081</w:t>
      </w:r>
      <w:r w:rsidR="009B57B3" w:rsidRPr="001426A9">
        <w:t>.</w:t>
      </w:r>
    </w:p>
    <w:p w:rsidR="00A149DF" w:rsidRDefault="00A149DF" w:rsidP="00807397">
      <w:pPr>
        <w:pStyle w:val="SCCSystemYear"/>
        <w:spacing w:after="720"/>
        <w:jc w:val="both"/>
      </w:pPr>
    </w:p>
    <w:p w:rsidR="008322BD" w:rsidRPr="0061183D" w:rsidRDefault="005E32E5" w:rsidP="00807397">
      <w:pPr>
        <w:pStyle w:val="SCCSystemYear"/>
        <w:spacing w:after="720"/>
        <w:jc w:val="both"/>
        <w:rPr>
          <w:b w:val="0"/>
        </w:rPr>
      </w:pPr>
      <w:r w:rsidRPr="0061183D">
        <w:rPr>
          <w:b w:val="0"/>
        </w:rPr>
        <w:t>2015:</w:t>
      </w:r>
      <w:r w:rsidR="004F36FF" w:rsidRPr="0061183D">
        <w:rPr>
          <w:b w:val="0"/>
        </w:rPr>
        <w:t xml:space="preserve"> May 14</w:t>
      </w:r>
      <w:r w:rsidR="009B57B3" w:rsidRPr="0061183D">
        <w:rPr>
          <w:b w:val="0"/>
        </w:rPr>
        <w:t>.</w:t>
      </w:r>
      <w:r w:rsidR="000F468D" w:rsidRPr="0061183D">
        <w:rPr>
          <w:rStyle w:val="FootnoteReference"/>
          <w:b w:val="0"/>
        </w:rPr>
        <w:footnoteReference w:customMarkFollows="1" w:id="1"/>
        <w:t>*</w:t>
      </w:r>
    </w:p>
    <w:p w:rsidR="008322BD" w:rsidRPr="0061183D" w:rsidRDefault="005E32E5" w:rsidP="0061183D">
      <w:pPr>
        <w:pStyle w:val="SCCLsocVersus"/>
        <w:jc w:val="both"/>
        <w:rPr>
          <w:i w:val="0"/>
        </w:rPr>
      </w:pPr>
      <w:r w:rsidRPr="0061183D">
        <w:rPr>
          <w:i w:val="0"/>
        </w:rPr>
        <w:t xml:space="preserve">Present: </w:t>
      </w:r>
      <w:proofErr w:type="spellStart"/>
      <w:r w:rsidR="009B57B3" w:rsidRPr="0061183D">
        <w:rPr>
          <w:i w:val="0"/>
        </w:rPr>
        <w:t>McLachlin</w:t>
      </w:r>
      <w:proofErr w:type="spellEnd"/>
      <w:r w:rsidR="009B57B3" w:rsidRPr="0061183D">
        <w:rPr>
          <w:i w:val="0"/>
        </w:rPr>
        <w:t xml:space="preserve"> C.J. and </w:t>
      </w:r>
      <w:proofErr w:type="spellStart"/>
      <w:r w:rsidR="009B57B3" w:rsidRPr="0061183D">
        <w:rPr>
          <w:i w:val="0"/>
        </w:rPr>
        <w:t>Abella</w:t>
      </w:r>
      <w:proofErr w:type="spellEnd"/>
      <w:r w:rsidR="009B57B3" w:rsidRPr="0061183D">
        <w:rPr>
          <w:i w:val="0"/>
        </w:rPr>
        <w:t xml:space="preserve">, Rothstein, Cromwell, </w:t>
      </w:r>
      <w:proofErr w:type="spellStart"/>
      <w:r w:rsidR="009B57B3" w:rsidRPr="0061183D">
        <w:rPr>
          <w:i w:val="0"/>
        </w:rPr>
        <w:t>Moldaver</w:t>
      </w:r>
      <w:proofErr w:type="spellEnd"/>
      <w:r w:rsidR="009B57B3" w:rsidRPr="0061183D">
        <w:rPr>
          <w:i w:val="0"/>
        </w:rPr>
        <w:t xml:space="preserve">, </w:t>
      </w:r>
      <w:proofErr w:type="spellStart"/>
      <w:r w:rsidR="009B57B3" w:rsidRPr="0061183D">
        <w:rPr>
          <w:i w:val="0"/>
        </w:rPr>
        <w:t>Karakatsanis</w:t>
      </w:r>
      <w:proofErr w:type="spellEnd"/>
      <w:r w:rsidR="009B57B3" w:rsidRPr="0061183D">
        <w:rPr>
          <w:i w:val="0"/>
        </w:rPr>
        <w:t xml:space="preserve">, Wagner, </w:t>
      </w:r>
      <w:proofErr w:type="spellStart"/>
      <w:r w:rsidR="009B57B3" w:rsidRPr="0061183D">
        <w:rPr>
          <w:i w:val="0"/>
        </w:rPr>
        <w:t>Gascon</w:t>
      </w:r>
      <w:proofErr w:type="spellEnd"/>
      <w:r w:rsidR="009B57B3" w:rsidRPr="0061183D">
        <w:rPr>
          <w:i w:val="0"/>
        </w:rPr>
        <w:t xml:space="preserve"> and </w:t>
      </w:r>
      <w:proofErr w:type="spellStart"/>
      <w:r w:rsidR="009B57B3" w:rsidRPr="0061183D">
        <w:rPr>
          <w:i w:val="0"/>
        </w:rPr>
        <w:t>Côté</w:t>
      </w:r>
      <w:proofErr w:type="spellEnd"/>
      <w:r w:rsidR="009B57B3" w:rsidRPr="0061183D">
        <w:rPr>
          <w:i w:val="0"/>
        </w:rPr>
        <w:t> JJ.</w:t>
      </w:r>
    </w:p>
    <w:p w:rsidR="00E97830" w:rsidRDefault="00E97830" w:rsidP="00FC4EFB">
      <w:pPr>
        <w:jc w:val="both"/>
      </w:pPr>
    </w:p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 appeal f</w:t>
      </w:r>
      <w:r w:rsidR="005E32E5">
        <w:t>or</w:t>
      </w:r>
      <w:r w:rsidR="009B57B3">
        <w:t xml:space="preserve"> </w:t>
      </w:r>
      <w:proofErr w:type="spellStart"/>
      <w:r w:rsidR="009B57B3">
        <w:t>alberta</w:t>
      </w:r>
      <w:proofErr w:type="spellEnd"/>
    </w:p>
    <w:p w:rsidR="003A4C70" w:rsidRPr="001426A9" w:rsidRDefault="003A4C70" w:rsidP="00FC4EFB">
      <w:pPr>
        <w:pStyle w:val="SCCNormalDoubleSpacing"/>
      </w:pPr>
    </w:p>
    <w:p w:rsidR="00610539" w:rsidRPr="00246B02" w:rsidRDefault="009B57B3" w:rsidP="003513F5">
      <w:pPr>
        <w:pStyle w:val="SCCNormalDoubleSpacing"/>
        <w:rPr>
          <w:i/>
        </w:rPr>
      </w:pPr>
      <w:r w:rsidRPr="00583EDE">
        <w:tab/>
      </w:r>
      <w:r w:rsidR="00B64701" w:rsidRPr="00246B02">
        <w:rPr>
          <w:i/>
        </w:rPr>
        <w:t xml:space="preserve">Criminal law — Sentencing — </w:t>
      </w:r>
      <w:r w:rsidR="003B3401">
        <w:rPr>
          <w:i/>
        </w:rPr>
        <w:t>Prisons — H</w:t>
      </w:r>
      <w:r w:rsidR="003B3401" w:rsidRPr="00A9216B">
        <w:rPr>
          <w:i/>
        </w:rPr>
        <w:t xml:space="preserve">abeas corpus </w:t>
      </w:r>
      <w:r w:rsidR="00B64701" w:rsidRPr="00246B02">
        <w:rPr>
          <w:i/>
        </w:rPr>
        <w:t xml:space="preserve">— Canadian citizen </w:t>
      </w:r>
      <w:r w:rsidR="00B64701" w:rsidRPr="003B3401">
        <w:rPr>
          <w:i/>
        </w:rPr>
        <w:t>detained</w:t>
      </w:r>
      <w:r w:rsidR="00B64701" w:rsidRPr="00246B02">
        <w:rPr>
          <w:i/>
        </w:rPr>
        <w:t xml:space="preserve"> by United States </w:t>
      </w:r>
      <w:r w:rsidR="00B64701" w:rsidRPr="00A9216B">
        <w:rPr>
          <w:i/>
        </w:rPr>
        <w:t>agreed to eight-year sentence with transfer to Canada after first year</w:t>
      </w:r>
      <w:r w:rsidR="000C7133" w:rsidRPr="00A9216B">
        <w:rPr>
          <w:i/>
        </w:rPr>
        <w:t xml:space="preserve"> </w:t>
      </w:r>
      <w:r w:rsidR="00B64701" w:rsidRPr="00A9216B">
        <w:rPr>
          <w:i/>
        </w:rPr>
        <w:t>—</w:t>
      </w:r>
      <w:r w:rsidR="00403AC8" w:rsidRPr="00A9216B">
        <w:rPr>
          <w:i/>
        </w:rPr>
        <w:t xml:space="preserve"> </w:t>
      </w:r>
      <w:r w:rsidR="00CF415D" w:rsidRPr="00A9216B">
        <w:rPr>
          <w:i/>
        </w:rPr>
        <w:t>O</w:t>
      </w:r>
      <w:r w:rsidR="00B64701" w:rsidRPr="00A9216B">
        <w:rPr>
          <w:i/>
        </w:rPr>
        <w:t xml:space="preserve">ffender </w:t>
      </w:r>
      <w:r w:rsidR="00A9216B" w:rsidRPr="00A9216B">
        <w:rPr>
          <w:i/>
        </w:rPr>
        <w:t xml:space="preserve">subsequently </w:t>
      </w:r>
      <w:r w:rsidR="00B64701" w:rsidRPr="00A9216B">
        <w:rPr>
          <w:i/>
        </w:rPr>
        <w:t xml:space="preserve">applied </w:t>
      </w:r>
      <w:r w:rsidR="00A9216B" w:rsidRPr="00A9216B">
        <w:rPr>
          <w:i/>
        </w:rPr>
        <w:t xml:space="preserve">for habeas corpus </w:t>
      </w:r>
      <w:r w:rsidR="00261900">
        <w:rPr>
          <w:i/>
        </w:rPr>
        <w:t xml:space="preserve">for </w:t>
      </w:r>
      <w:r w:rsidR="00261900" w:rsidRPr="00A9216B">
        <w:rPr>
          <w:i/>
        </w:rPr>
        <w:t>placement</w:t>
      </w:r>
      <w:r w:rsidR="00261900" w:rsidRPr="00246B02">
        <w:rPr>
          <w:i/>
        </w:rPr>
        <w:t xml:space="preserve"> in provincial correctional facility </w:t>
      </w:r>
      <w:r w:rsidR="00261900">
        <w:rPr>
          <w:i/>
        </w:rPr>
        <w:t>under</w:t>
      </w:r>
      <w:r w:rsidR="00A9216B" w:rsidRPr="00A9216B">
        <w:rPr>
          <w:i/>
        </w:rPr>
        <w:t xml:space="preserve"> International Transfer of </w:t>
      </w:r>
      <w:r w:rsidR="00261900">
        <w:rPr>
          <w:i/>
        </w:rPr>
        <w:lastRenderedPageBreak/>
        <w:t>Offenders Act</w:t>
      </w:r>
      <w:r w:rsidR="003B3401">
        <w:rPr>
          <w:i/>
        </w:rPr>
        <w:t xml:space="preserve"> </w:t>
      </w:r>
      <w:r w:rsidR="00B64701" w:rsidRPr="00246B02">
        <w:rPr>
          <w:i/>
        </w:rPr>
        <w:t xml:space="preserve">— Chambers judge dismissed </w:t>
      </w:r>
      <w:r w:rsidR="00CF415D">
        <w:rPr>
          <w:i/>
        </w:rPr>
        <w:t xml:space="preserve">offender’s </w:t>
      </w:r>
      <w:r w:rsidR="00B64701" w:rsidRPr="00246B02">
        <w:rPr>
          <w:i/>
        </w:rPr>
        <w:t>application but Court of Appeal allowed it and</w:t>
      </w:r>
      <w:r w:rsidR="00967664">
        <w:rPr>
          <w:i/>
        </w:rPr>
        <w:t xml:space="preserve"> ordered offender’s transfer </w:t>
      </w:r>
      <w:r w:rsidR="00403AC8">
        <w:rPr>
          <w:i/>
        </w:rPr>
        <w:t xml:space="preserve">from federal to </w:t>
      </w:r>
      <w:r w:rsidR="00B64701" w:rsidRPr="00246B02">
        <w:rPr>
          <w:i/>
        </w:rPr>
        <w:t>provincial correctional facility for adults</w:t>
      </w:r>
      <w:r w:rsidR="003B3401">
        <w:rPr>
          <w:i/>
        </w:rPr>
        <w:t xml:space="preserve"> —</w:t>
      </w:r>
      <w:r w:rsidR="003B3401" w:rsidRPr="003B3401">
        <w:rPr>
          <w:i/>
        </w:rPr>
        <w:t xml:space="preserve"> </w:t>
      </w:r>
      <w:r w:rsidR="003B3401">
        <w:rPr>
          <w:i/>
        </w:rPr>
        <w:t>Court of Appeal’s order confirmed —</w:t>
      </w:r>
      <w:r w:rsidR="0061183D">
        <w:rPr>
          <w:i/>
        </w:rPr>
        <w:t xml:space="preserve"> </w:t>
      </w:r>
      <w:r w:rsidR="003B3401" w:rsidRPr="00A9216B">
        <w:rPr>
          <w:i/>
        </w:rPr>
        <w:t xml:space="preserve">International Transfer of </w:t>
      </w:r>
      <w:r w:rsidR="003B3401">
        <w:rPr>
          <w:i/>
        </w:rPr>
        <w:t>Offenders Act, S.C. 2004, c. 21</w:t>
      </w:r>
      <w:r w:rsidR="003B3401" w:rsidRPr="0006388A">
        <w:rPr>
          <w:i/>
        </w:rPr>
        <w:t>, s. 20(a)(ii).</w:t>
      </w:r>
    </w:p>
    <w:p w:rsidR="00A149DF" w:rsidRDefault="00A149DF" w:rsidP="00FC4EFB">
      <w:pPr>
        <w:pStyle w:val="SCCNormalDoubleSpacing"/>
      </w:pPr>
    </w:p>
    <w:p w:rsidR="003B215F" w:rsidRDefault="002E6705" w:rsidP="00FC4EFB">
      <w:pPr>
        <w:pStyle w:val="SCCNormalDoubleSpacing"/>
        <w:spacing w:line="240" w:lineRule="auto"/>
      </w:pPr>
      <w:r w:rsidRPr="00314E01">
        <w:rPr>
          <w:b/>
        </w:rPr>
        <w:t>Statutes and Regulations Cite</w:t>
      </w:r>
      <w:r w:rsidR="00A41805">
        <w:rPr>
          <w:b/>
        </w:rPr>
        <w:t>d</w:t>
      </w:r>
    </w:p>
    <w:p w:rsidR="00A41805" w:rsidRDefault="00A41805" w:rsidP="000F468D">
      <w:pPr>
        <w:pStyle w:val="SCCNormalDoubleSpacing"/>
      </w:pPr>
    </w:p>
    <w:p w:rsidR="00A149DF" w:rsidRDefault="005E32E5" w:rsidP="00FC4EFB">
      <w:pPr>
        <w:pStyle w:val="SCCNormalDoubleSpacing"/>
        <w:spacing w:line="240" w:lineRule="auto"/>
        <w:ind w:left="540" w:hanging="540"/>
      </w:pPr>
      <w:r w:rsidRPr="005E32E5">
        <w:rPr>
          <w:i/>
        </w:rPr>
        <w:t>International Transfer of Offenders Act</w:t>
      </w:r>
      <w:r>
        <w:t>, S.C. 2004, c. 21, s. 20(</w:t>
      </w:r>
      <w:r w:rsidRPr="005E32E5">
        <w:rPr>
          <w:i/>
        </w:rPr>
        <w:t>a</w:t>
      </w:r>
      <w:r>
        <w:t>).</w:t>
      </w:r>
    </w:p>
    <w:p w:rsidR="005E32E5" w:rsidRDefault="005E32E5" w:rsidP="00A41A85">
      <w:pPr>
        <w:pStyle w:val="SCCNormalDoubleSpacing"/>
        <w:spacing w:after="480"/>
      </w:pPr>
    </w:p>
    <w:p w:rsidR="00656313" w:rsidRDefault="005E32E5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 w:rsidR="00B85076">
        <w:t xml:space="preserve">Alberta </w:t>
      </w:r>
      <w:r w:rsidR="009B57B3">
        <w:t>Court</w:t>
      </w:r>
      <w:r>
        <w:t xml:space="preserve"> of Appe</w:t>
      </w:r>
      <w:r w:rsidR="00B85076">
        <w:t xml:space="preserve">al (Fraser, Watson and </w:t>
      </w:r>
      <w:proofErr w:type="spellStart"/>
      <w:r w:rsidR="00B85076">
        <w:t>Bielby</w:t>
      </w:r>
      <w:proofErr w:type="spellEnd"/>
      <w:r w:rsidR="00B85076">
        <w:t xml:space="preserve"> JJ.A.), 2014 ABCA 225, 99 Alta. L.R. (5th) 325, 577 A.R. 62, 613 W.A.C. 62, 313 C.C.C. (3d) 491, [2014] 9 W.W.R. 523, [2014] A.J. No. 711 (QL), 2014 </w:t>
      </w:r>
      <w:proofErr w:type="spellStart"/>
      <w:r w:rsidR="00B85076">
        <w:t>CarswellAlta</w:t>
      </w:r>
      <w:proofErr w:type="spellEnd"/>
      <w:r w:rsidR="00B85076">
        <w:t xml:space="preserve"> 1114 (WL Can.), setting aside </w:t>
      </w:r>
      <w:r w:rsidR="00B85076" w:rsidRPr="000F468D">
        <w:t xml:space="preserve">a decision of </w:t>
      </w:r>
      <w:proofErr w:type="spellStart"/>
      <w:r w:rsidR="00B85076" w:rsidRPr="000F468D">
        <w:t>Rooke</w:t>
      </w:r>
      <w:proofErr w:type="spellEnd"/>
      <w:r w:rsidR="00B85076" w:rsidRPr="000F468D">
        <w:t xml:space="preserve"> </w:t>
      </w:r>
      <w:r w:rsidR="00760D12" w:rsidRPr="000F468D">
        <w:t>A.C.</w:t>
      </w:r>
      <w:r w:rsidR="00B85076" w:rsidRPr="000F468D">
        <w:t>J.,</w:t>
      </w:r>
      <w:r w:rsidR="00B85076">
        <w:t xml:space="preserve"> 2013 ABQB 611, 87 Alta. L.R. (5th) 268, 573 A.R. 16, 301 C.C.C. (3d) 467, [2014] 2 W.W.R. 350, [2013] A.J. No. 1109 (QL), 2013 </w:t>
      </w:r>
      <w:proofErr w:type="spellStart"/>
      <w:r w:rsidR="00B85076">
        <w:t>CarswellAlta</w:t>
      </w:r>
      <w:proofErr w:type="spellEnd"/>
      <w:r w:rsidR="00B85076">
        <w:t xml:space="preserve"> 1973</w:t>
      </w:r>
      <w:r w:rsidR="0061183D">
        <w:t xml:space="preserve"> (WL Can.)</w:t>
      </w:r>
      <w:r>
        <w:t>.</w:t>
      </w:r>
      <w:r w:rsidR="00B85076">
        <w:t xml:space="preserve"> Appeal </w:t>
      </w:r>
      <w:r w:rsidR="00B85076" w:rsidRPr="003B3401">
        <w:t>dismissed</w:t>
      </w:r>
      <w:r w:rsidR="00B85076">
        <w:t>.</w:t>
      </w:r>
    </w:p>
    <w:p w:rsidR="00656313" w:rsidRDefault="00656313" w:rsidP="00FC4EFB">
      <w:pPr>
        <w:pStyle w:val="SCCNormalDoubleSpacing"/>
      </w:pPr>
    </w:p>
    <w:p w:rsidR="00A86A9A" w:rsidRDefault="007570AD" w:rsidP="005E32E5">
      <w:pPr>
        <w:pStyle w:val="SCCNormalDoubleSpacing"/>
      </w:pPr>
      <w:r w:rsidRPr="005E32E5">
        <w:rPr>
          <w:rStyle w:val="SCCCounselNameChar"/>
          <w:i w:val="0"/>
        </w:rPr>
        <w:tab/>
      </w:r>
      <w:proofErr w:type="spellStart"/>
      <w:r>
        <w:rPr>
          <w:rStyle w:val="SCCCounselNameChar"/>
        </w:rPr>
        <w:t>Sharlene</w:t>
      </w:r>
      <w:proofErr w:type="spellEnd"/>
      <w:r>
        <w:rPr>
          <w:rStyle w:val="SCCCounselNameChar"/>
        </w:rPr>
        <w:t xml:space="preserve"> </w:t>
      </w:r>
      <w:proofErr w:type="spellStart"/>
      <w:r>
        <w:rPr>
          <w:rStyle w:val="SCCCounselNameChar"/>
        </w:rPr>
        <w:t>Telles</w:t>
      </w:r>
      <w:proofErr w:type="spellEnd"/>
      <w:r>
        <w:rPr>
          <w:rStyle w:val="SCCCounselNameChar"/>
        </w:rPr>
        <w:t>-Langdon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Michael Taylor</w:t>
      </w:r>
      <w:r>
        <w:rPr>
          <w:rStyle w:val="SCCCounselPartyRoleChar"/>
        </w:rPr>
        <w:t>, for the appellant</w:t>
      </w:r>
      <w:r w:rsidR="005E32E5">
        <w:rPr>
          <w:rStyle w:val="SCCCounselPartyRoleChar"/>
        </w:rPr>
        <w:t xml:space="preserve">s </w:t>
      </w:r>
      <w:r w:rsidR="005E32E5" w:rsidRPr="005E32E5">
        <w:rPr>
          <w:rStyle w:val="SCCCounselPartyRoleChar"/>
        </w:rPr>
        <w:t>David Pelham, Warden of the Bowden Institution,</w:t>
      </w:r>
      <w:r w:rsidR="005E32E5">
        <w:rPr>
          <w:rStyle w:val="SCCCounselPartyRoleChar"/>
        </w:rPr>
        <w:t xml:space="preserve"> and the </w:t>
      </w:r>
      <w:r w:rsidR="005E32E5" w:rsidRPr="005E32E5">
        <w:rPr>
          <w:rStyle w:val="SCCCounselPartyRoleChar"/>
        </w:rPr>
        <w:t>Attorney General of Canada</w:t>
      </w:r>
      <w:r>
        <w:rPr>
          <w:rStyle w:val="SCCCounselPartyRoleChar"/>
        </w:rPr>
        <w:t>.</w:t>
      </w:r>
    </w:p>
    <w:p w:rsidR="00A86A9A" w:rsidRDefault="00A86A9A">
      <w:pPr>
        <w:pStyle w:val="SCCNormalDoubleSpacing"/>
      </w:pPr>
    </w:p>
    <w:p w:rsidR="00A86A9A" w:rsidRDefault="007570AD">
      <w:pPr>
        <w:pStyle w:val="SCCNormalDoubleSpacing"/>
      </w:pPr>
      <w:r w:rsidRPr="005E32E5">
        <w:rPr>
          <w:rStyle w:val="SCCCounselNameChar"/>
          <w:i w:val="0"/>
        </w:rPr>
        <w:tab/>
      </w:r>
      <w:r w:rsidR="005E32E5">
        <w:rPr>
          <w:rStyle w:val="SCCCounselNameChar"/>
        </w:rPr>
        <w:t xml:space="preserve">Doreen C. </w:t>
      </w:r>
      <w:r>
        <w:rPr>
          <w:rStyle w:val="SCCCounselNameChar"/>
        </w:rPr>
        <w:t>Mueller</w:t>
      </w:r>
      <w:r>
        <w:rPr>
          <w:rStyle w:val="SCCCounselPartyRoleChar"/>
        </w:rPr>
        <w:t>, for the appellant</w:t>
      </w:r>
      <w:r w:rsidR="005E32E5">
        <w:rPr>
          <w:rStyle w:val="SCCCounselPartyRoleChar"/>
        </w:rPr>
        <w:t xml:space="preserve"> </w:t>
      </w:r>
      <w:r w:rsidR="005E32E5">
        <w:t xml:space="preserve">Her Majesty </w:t>
      </w:r>
      <w:proofErr w:type="gramStart"/>
      <w:r w:rsidR="005E32E5">
        <w:t>The</w:t>
      </w:r>
      <w:proofErr w:type="gramEnd"/>
      <w:r w:rsidR="005E32E5">
        <w:t xml:space="preserve"> Queen in Right of Alberta</w:t>
      </w:r>
      <w:r>
        <w:rPr>
          <w:rStyle w:val="SCCCounselPartyRoleChar"/>
        </w:rPr>
        <w:t>.</w:t>
      </w:r>
    </w:p>
    <w:p w:rsidR="00A86A9A" w:rsidRDefault="00A86A9A">
      <w:pPr>
        <w:pStyle w:val="SCCNormalDoubleSpacing"/>
      </w:pPr>
    </w:p>
    <w:p w:rsidR="00A86A9A" w:rsidRDefault="007570AD">
      <w:pPr>
        <w:pStyle w:val="SCCNormalDoubleSpacing"/>
      </w:pPr>
      <w:r w:rsidRPr="005E32E5">
        <w:rPr>
          <w:rStyle w:val="SCCCounselNameChar"/>
          <w:i w:val="0"/>
        </w:rPr>
        <w:tab/>
      </w:r>
      <w:r w:rsidR="005E32E5">
        <w:rPr>
          <w:rStyle w:val="SCCCounselNameChar"/>
        </w:rPr>
        <w:t>Nathan </w:t>
      </w:r>
      <w:r>
        <w:rPr>
          <w:rStyle w:val="SCCCounselNameChar"/>
        </w:rPr>
        <w:t xml:space="preserve">J. </w:t>
      </w:r>
      <w:proofErr w:type="spellStart"/>
      <w:r>
        <w:rPr>
          <w:rStyle w:val="SCCCounselNameChar"/>
        </w:rPr>
        <w:t>Whitling</w:t>
      </w:r>
      <w:proofErr w:type="spellEnd"/>
      <w:r>
        <w:rPr>
          <w:rStyle w:val="SCCCounselSeparatorChar"/>
        </w:rPr>
        <w:t xml:space="preserve"> and </w:t>
      </w:r>
      <w:r>
        <w:rPr>
          <w:rStyle w:val="SCCCounselNameChar"/>
        </w:rPr>
        <w:t xml:space="preserve">Dennis </w:t>
      </w:r>
      <w:proofErr w:type="spellStart"/>
      <w:r>
        <w:rPr>
          <w:rStyle w:val="SCCCounselNameChar"/>
        </w:rPr>
        <w:t>Edney</w:t>
      </w:r>
      <w:proofErr w:type="spellEnd"/>
      <w:r w:rsidRPr="005E32E5">
        <w:rPr>
          <w:rStyle w:val="SCCCounselNameChar"/>
          <w:i w:val="0"/>
        </w:rPr>
        <w:t xml:space="preserve">, </w:t>
      </w:r>
      <w:r>
        <w:rPr>
          <w:rStyle w:val="SCCCounselNameChar"/>
        </w:rPr>
        <w:t>Q.C.</w:t>
      </w:r>
      <w:r>
        <w:rPr>
          <w:rStyle w:val="SCCCounselPartyRoleChar"/>
        </w:rPr>
        <w:t>, for the respondent.</w:t>
      </w:r>
    </w:p>
    <w:p w:rsidR="00A86A9A" w:rsidRDefault="00A86A9A">
      <w:pPr>
        <w:pStyle w:val="SCCNormalDoubleSpacing"/>
      </w:pPr>
    </w:p>
    <w:p w:rsidR="00A86A9A" w:rsidRDefault="007570AD">
      <w:pPr>
        <w:pStyle w:val="SCCNormalDoubleSpacing"/>
      </w:pPr>
      <w:r w:rsidRPr="005E32E5">
        <w:rPr>
          <w:rStyle w:val="SCCCounselNameChar"/>
          <w:i w:val="0"/>
        </w:rPr>
        <w:lastRenderedPageBreak/>
        <w:tab/>
      </w:r>
      <w:r w:rsidR="005E32E5">
        <w:rPr>
          <w:rStyle w:val="SCCCounselNameChar"/>
        </w:rPr>
        <w:t>Jasmine </w:t>
      </w:r>
      <w:r>
        <w:rPr>
          <w:rStyle w:val="SCCCounselNameChar"/>
        </w:rPr>
        <w:t xml:space="preserve">T. </w:t>
      </w:r>
      <w:proofErr w:type="spellStart"/>
      <w:r>
        <w:rPr>
          <w:rStyle w:val="SCCCounselNameChar"/>
        </w:rPr>
        <w:t>Akbarali</w:t>
      </w:r>
      <w:proofErr w:type="spellEnd"/>
      <w:r>
        <w:rPr>
          <w:rStyle w:val="SCCCounselSeparatorChar"/>
        </w:rPr>
        <w:t xml:space="preserve"> and </w:t>
      </w:r>
      <w:r w:rsidR="005E32E5">
        <w:rPr>
          <w:rStyle w:val="SCCCounselNameChar"/>
        </w:rPr>
        <w:t>Gillian </w:t>
      </w:r>
      <w:r>
        <w:rPr>
          <w:rStyle w:val="SCCCounselNameChar"/>
        </w:rPr>
        <w:t xml:space="preserve">T. </w:t>
      </w:r>
      <w:proofErr w:type="spellStart"/>
      <w:r>
        <w:rPr>
          <w:rStyle w:val="SCCCounselNameChar"/>
        </w:rPr>
        <w:t>Hnatiw</w:t>
      </w:r>
      <w:proofErr w:type="spellEnd"/>
      <w:r>
        <w:rPr>
          <w:rStyle w:val="SCCCounselPartyRoleChar"/>
        </w:rPr>
        <w:t>, for the intervener</w:t>
      </w:r>
      <w:r w:rsidR="005E32E5">
        <w:rPr>
          <w:rStyle w:val="SCCCounselPartyRoleChar"/>
        </w:rPr>
        <w:t xml:space="preserve"> the</w:t>
      </w:r>
      <w:r>
        <w:rPr>
          <w:rStyle w:val="SCCCounselPartyRoleChar"/>
        </w:rPr>
        <w:t xml:space="preserve"> Canadian Civil Liberties Association.</w:t>
      </w:r>
    </w:p>
    <w:p w:rsidR="00A86A9A" w:rsidRDefault="00A86A9A">
      <w:pPr>
        <w:pStyle w:val="SCCNormalDoubleSpacing"/>
      </w:pPr>
    </w:p>
    <w:p w:rsidR="00A86A9A" w:rsidRDefault="007570AD">
      <w:pPr>
        <w:pStyle w:val="SCCNormalDoubleSpacing"/>
      </w:pPr>
      <w:r w:rsidRPr="005E32E5">
        <w:rPr>
          <w:rStyle w:val="SCCCounselNameChar"/>
          <w:i w:val="0"/>
        </w:rPr>
        <w:tab/>
      </w:r>
      <w:r w:rsidR="005E32E5">
        <w:rPr>
          <w:rStyle w:val="SCCCounselNameChar"/>
        </w:rPr>
        <w:t>Fannie Lafontaine</w:t>
      </w:r>
      <w:r w:rsidR="005E32E5">
        <w:rPr>
          <w:rStyle w:val="SCCCounselNameChar"/>
          <w:i w:val="0"/>
        </w:rPr>
        <w:t xml:space="preserve">, </w:t>
      </w:r>
      <w:r>
        <w:rPr>
          <w:rStyle w:val="SCCCounselNameChar"/>
        </w:rPr>
        <w:t xml:space="preserve">François </w:t>
      </w:r>
      <w:proofErr w:type="spellStart"/>
      <w:r>
        <w:rPr>
          <w:rStyle w:val="SCCCounselNameChar"/>
        </w:rPr>
        <w:t>Larocque</w:t>
      </w:r>
      <w:proofErr w:type="spellEnd"/>
      <w:r>
        <w:rPr>
          <w:rStyle w:val="SCCCounselSeparatorChar"/>
        </w:rPr>
        <w:t xml:space="preserve"> and </w:t>
      </w:r>
      <w:r>
        <w:rPr>
          <w:rStyle w:val="SCCCounselNameChar"/>
        </w:rPr>
        <w:t>David Taylor</w:t>
      </w:r>
      <w:r>
        <w:rPr>
          <w:rStyle w:val="SCCCounselPartyRoleChar"/>
        </w:rPr>
        <w:t>, for the intervener Amnesty International Canada.</w:t>
      </w:r>
    </w:p>
    <w:p w:rsidR="00A86A9A" w:rsidRDefault="00A86A9A">
      <w:pPr>
        <w:pStyle w:val="SCCNormalDoubleSpacing"/>
      </w:pPr>
    </w:p>
    <w:p w:rsidR="00DE22FB" w:rsidRDefault="00DE22FB" w:rsidP="00DE22FB">
      <w:pPr>
        <w:pStyle w:val="SCCNormalDoubleSpacing"/>
      </w:pPr>
      <w:r>
        <w:tab/>
      </w:r>
      <w:r w:rsidRPr="00EE36F7">
        <w:t xml:space="preserve">The judgment </w:t>
      </w:r>
      <w:r w:rsidR="00EE36F7" w:rsidRPr="00EE36F7">
        <w:t xml:space="preserve">of the Court was </w:t>
      </w:r>
      <w:r w:rsidRPr="00EE36F7">
        <w:t>delivered orally by</w:t>
      </w:r>
    </w:p>
    <w:p w:rsidR="00DE22FB" w:rsidRDefault="00DE22FB">
      <w:pPr>
        <w:pStyle w:val="SCCNormalDoubleSpacing"/>
      </w:pPr>
    </w:p>
    <w:p w:rsidR="00EE36F7" w:rsidRDefault="00EE36F7" w:rsidP="00EE36F7">
      <w:pPr>
        <w:pStyle w:val="SCCNormalDoubleSpacing"/>
      </w:pPr>
      <w:r>
        <w:t xml:space="preserve">[1] </w:t>
      </w:r>
      <w:r>
        <w:tab/>
      </w:r>
      <w:r w:rsidR="000F468D" w:rsidRPr="000F468D">
        <w:rPr>
          <w:smallCaps/>
        </w:rPr>
        <w:t>The Chief Justice</w:t>
      </w:r>
      <w:r>
        <w:t xml:space="preserve"> — </w:t>
      </w:r>
      <w:proofErr w:type="gramStart"/>
      <w:r>
        <w:t>The</w:t>
      </w:r>
      <w:proofErr w:type="gramEnd"/>
      <w:r>
        <w:t xml:space="preserve"> only issue on this appeal is what correctional facility Mr. Khadr should be placed in. This is a question of statutory interpretation. Simply put, if Mr. Khadr’s eight-year sentence is treated as a single global sentence for all the offences to which he pleaded guilty, the sentence is under the minimum for an adult sentence, with the result that s. 20(</w:t>
      </w:r>
      <w:r w:rsidRPr="001060BF">
        <w:rPr>
          <w:i/>
        </w:rPr>
        <w:t>a</w:t>
      </w:r>
      <w:proofErr w:type="gramStart"/>
      <w:r>
        <w:t>)(</w:t>
      </w:r>
      <w:proofErr w:type="gramEnd"/>
      <w:r>
        <w:t xml:space="preserve">ii) of the </w:t>
      </w:r>
      <w:r w:rsidRPr="00EE36F7">
        <w:rPr>
          <w:i/>
        </w:rPr>
        <w:t>International Transfer of Offenders Act</w:t>
      </w:r>
      <w:r>
        <w:t>, S.C. 2004, c. 21 (“</w:t>
      </w:r>
      <w:r w:rsidRPr="00EE36F7">
        <w:rPr>
          <w:i/>
        </w:rPr>
        <w:t>ITOA</w:t>
      </w:r>
      <w:r>
        <w:t xml:space="preserve">”), applies and his sentence is to be served in a provincial facility. </w:t>
      </w:r>
    </w:p>
    <w:p w:rsidR="00EE36F7" w:rsidRDefault="00EE36F7" w:rsidP="00EE36F7">
      <w:pPr>
        <w:pStyle w:val="SCCNormalDoubleSpacing"/>
      </w:pPr>
    </w:p>
    <w:p w:rsidR="00EE36F7" w:rsidRDefault="00EE36F7" w:rsidP="00EE36F7">
      <w:pPr>
        <w:pStyle w:val="SCCNormalDoubleSpacing"/>
      </w:pPr>
      <w:r>
        <w:t xml:space="preserve">[2] </w:t>
      </w:r>
      <w:r w:rsidR="00B91949">
        <w:tab/>
      </w:r>
      <w:r>
        <w:t>On the submissions before us, we are of the view that a proper interpretation of the relevant legislation does not permit Mr. Khadr’s eight-year sentence to be treated as five distinct eight-year sentences to be served concurrently.  For the purposes of placement, whatever interpretation is taken of the provisions, s. 20(</w:t>
      </w:r>
      <w:r w:rsidRPr="001060BF">
        <w:rPr>
          <w:i/>
        </w:rPr>
        <w:t>a</w:t>
      </w:r>
      <w:r>
        <w:t xml:space="preserve">) of the </w:t>
      </w:r>
      <w:r w:rsidRPr="00EE36F7">
        <w:rPr>
          <w:i/>
        </w:rPr>
        <w:t xml:space="preserve">ITOA </w:t>
      </w:r>
      <w:r>
        <w:t xml:space="preserve">applies in this case, </w:t>
      </w:r>
      <w:proofErr w:type="gramStart"/>
      <w:r>
        <w:t>with</w:t>
      </w:r>
      <w:proofErr w:type="gramEnd"/>
      <w:r>
        <w:t xml:space="preserve"> the result that placement should be in a provincial correctional facility.</w:t>
      </w:r>
    </w:p>
    <w:p w:rsidR="000F468D" w:rsidRDefault="000F468D" w:rsidP="00EE36F7">
      <w:pPr>
        <w:pStyle w:val="SCCNormalDoubleSpacing"/>
      </w:pPr>
    </w:p>
    <w:p w:rsidR="00DE22FB" w:rsidRDefault="00EE36F7" w:rsidP="00EE36F7">
      <w:pPr>
        <w:pStyle w:val="SCCNormalDoubleSpacing"/>
      </w:pPr>
      <w:r>
        <w:lastRenderedPageBreak/>
        <w:t xml:space="preserve">[3] </w:t>
      </w:r>
      <w:r w:rsidR="00B91949">
        <w:tab/>
      </w:r>
      <w:r>
        <w:t xml:space="preserve">Accordingly, we would dismiss the appeal with costs and confirm the order of the Alberta Court of Appeal that Mr. Khadr’s sentence is </w:t>
      </w:r>
      <w:r w:rsidR="003B3401">
        <w:t xml:space="preserve">a youth sentence </w:t>
      </w:r>
      <w:r>
        <w:t>to be served in a provincial correctional facility for adults.</w:t>
      </w:r>
    </w:p>
    <w:p w:rsidR="00DE22FB" w:rsidRDefault="00DE22FB">
      <w:pPr>
        <w:pStyle w:val="SCCNormalDoubleSpacing"/>
      </w:pPr>
    </w:p>
    <w:p w:rsidR="009B57B3" w:rsidRDefault="00DE22FB" w:rsidP="00FC4EFB">
      <w:pPr>
        <w:pStyle w:val="SCCNormalDoubleSpacing"/>
      </w:pPr>
      <w:r>
        <w:tab/>
      </w:r>
      <w:r>
        <w:rPr>
          <w:i/>
        </w:rPr>
        <w:t>Judgment accordingly.</w:t>
      </w:r>
    </w:p>
    <w:p w:rsidR="00A149DF" w:rsidRPr="001426A9" w:rsidRDefault="00A149DF" w:rsidP="00FC4EFB">
      <w:pPr>
        <w:pStyle w:val="SCCNormalDoubleSpacing"/>
      </w:pPr>
    </w:p>
    <w:p w:rsidR="00DE22FB" w:rsidRDefault="00DE22FB" w:rsidP="00DE22FB">
      <w:pPr>
        <w:pStyle w:val="SCCLawFirm"/>
      </w:pPr>
      <w:r>
        <w:tab/>
        <w:t xml:space="preserve">Solicitor for the </w:t>
      </w:r>
      <w:r>
        <w:rPr>
          <w:rStyle w:val="SCCCounselPartyRoleChar"/>
        </w:rPr>
        <w:t xml:space="preserve">appellants </w:t>
      </w:r>
      <w:r w:rsidRPr="005E32E5">
        <w:rPr>
          <w:rStyle w:val="SCCCounselPartyRoleChar"/>
        </w:rPr>
        <w:t>David Pelham, Warden of the Bowden Institution,</w:t>
      </w:r>
      <w:r>
        <w:rPr>
          <w:rStyle w:val="SCCCounselPartyRoleChar"/>
        </w:rPr>
        <w:t xml:space="preserve"> and the </w:t>
      </w:r>
      <w:r w:rsidRPr="005E32E5">
        <w:rPr>
          <w:rStyle w:val="SCCCounselPartyRoleChar"/>
        </w:rPr>
        <w:t>Attorney General of Canada</w:t>
      </w:r>
      <w:r>
        <w:t>: Attorney General of Canada, Winnipeg.</w:t>
      </w:r>
    </w:p>
    <w:p w:rsidR="00DE22FB" w:rsidRDefault="00DE22FB" w:rsidP="00DE22FB">
      <w:pPr>
        <w:pStyle w:val="SCCLawFirm"/>
      </w:pPr>
    </w:p>
    <w:p w:rsidR="00DE22FB" w:rsidRDefault="00DE22FB" w:rsidP="00DE22FB">
      <w:pPr>
        <w:pStyle w:val="SCCLawFirm"/>
      </w:pPr>
      <w:r>
        <w:tab/>
        <w:t xml:space="preserve">Solicitor for the appellant Her Majesty </w:t>
      </w:r>
      <w:proofErr w:type="gramStart"/>
      <w:r>
        <w:t>The</w:t>
      </w:r>
      <w:proofErr w:type="gramEnd"/>
      <w:r>
        <w:t xml:space="preserve"> Queen in Right of Alberta: Attorney General of Alberta, Edmonton.</w:t>
      </w:r>
    </w:p>
    <w:p w:rsidR="00DE22FB" w:rsidRDefault="00DE22FB" w:rsidP="00DE22FB">
      <w:pPr>
        <w:pStyle w:val="SCCLawFirm"/>
      </w:pPr>
    </w:p>
    <w:p w:rsidR="00DE22FB" w:rsidRDefault="00DE22FB" w:rsidP="00DE22FB">
      <w:pPr>
        <w:pStyle w:val="SCCLawFirm"/>
      </w:pPr>
      <w:r>
        <w:tab/>
        <w:t xml:space="preserve">Solicitors for the respondent: </w:t>
      </w:r>
      <w:proofErr w:type="spellStart"/>
      <w:r>
        <w:t>Beresh</w:t>
      </w:r>
      <w:proofErr w:type="spellEnd"/>
      <w:r>
        <w:t xml:space="preserve"> </w:t>
      </w:r>
      <w:proofErr w:type="spellStart"/>
      <w:r>
        <w:t>Aloneissi</w:t>
      </w:r>
      <w:proofErr w:type="spellEnd"/>
      <w:r>
        <w:t xml:space="preserve"> O’Neill Hurley O’Keeffe Millsap, Edmonton; </w:t>
      </w:r>
      <w:r w:rsidRPr="00DE22FB">
        <w:t xml:space="preserve">Dennis </w:t>
      </w:r>
      <w:proofErr w:type="spellStart"/>
      <w:r w:rsidRPr="00DE22FB">
        <w:t>Edney</w:t>
      </w:r>
      <w:proofErr w:type="spellEnd"/>
      <w:r>
        <w:t>, Edmonton.</w:t>
      </w:r>
    </w:p>
    <w:p w:rsidR="00DE22FB" w:rsidRDefault="00DE22FB" w:rsidP="00DE22FB">
      <w:pPr>
        <w:pStyle w:val="SCCLawFirm"/>
      </w:pPr>
    </w:p>
    <w:p w:rsidR="00DE22FB" w:rsidRDefault="00DE22FB" w:rsidP="00DE22FB">
      <w:pPr>
        <w:pStyle w:val="SCCLawFirm"/>
      </w:pPr>
      <w:r>
        <w:tab/>
        <w:t xml:space="preserve">Solicitors for the intervener the Canadian Civil Liberties Association: </w:t>
      </w:r>
      <w:proofErr w:type="spellStart"/>
      <w:r>
        <w:t>Lerners</w:t>
      </w:r>
      <w:proofErr w:type="spellEnd"/>
      <w:r>
        <w:t>, Toronto.</w:t>
      </w:r>
    </w:p>
    <w:p w:rsidR="00DE22FB" w:rsidRDefault="00DE22FB" w:rsidP="00DE22FB">
      <w:pPr>
        <w:pStyle w:val="SCCLawFirm"/>
      </w:pPr>
    </w:p>
    <w:p w:rsidR="00DE22FB" w:rsidRDefault="00DE22FB" w:rsidP="00DE22FB">
      <w:pPr>
        <w:pStyle w:val="SCCLawFirm"/>
      </w:pPr>
      <w:r>
        <w:tab/>
        <w:t xml:space="preserve">Solicitors for the intervener Amnesty International Canada: </w:t>
      </w:r>
      <w:r w:rsidRPr="00DE22FB">
        <w:t>Fannie Lafontaine</w:t>
      </w:r>
      <w:r>
        <w:t>, Québec; Power Law</w:t>
      </w:r>
      <w:r w:rsidR="00760D12">
        <w:t>, Ottawa</w:t>
      </w:r>
      <w:r w:rsidR="006D0D92">
        <w:t>.</w:t>
      </w:r>
    </w:p>
    <w:sectPr w:rsidR="00DE22FB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89" w:rsidRDefault="00E23B89">
      <w:r>
        <w:separator/>
      </w:r>
    </w:p>
  </w:endnote>
  <w:endnote w:type="continuationSeparator" w:id="0">
    <w:p w:rsidR="00E23B89" w:rsidRDefault="00E2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89" w:rsidRDefault="00E23B89">
      <w:r>
        <w:separator/>
      </w:r>
    </w:p>
  </w:footnote>
  <w:footnote w:type="continuationSeparator" w:id="0">
    <w:p w:rsidR="00E23B89" w:rsidRDefault="00E23B89">
      <w:r>
        <w:continuationSeparator/>
      </w:r>
    </w:p>
  </w:footnote>
  <w:footnote w:id="1">
    <w:p w:rsidR="000F468D" w:rsidRPr="008801FF" w:rsidRDefault="000F468D" w:rsidP="0006388A">
      <w:pPr>
        <w:pStyle w:val="FootnoteText"/>
        <w:ind w:left="180" w:hanging="180"/>
        <w:jc w:val="both"/>
        <w:rPr>
          <w:lang w:val="en-US"/>
        </w:rPr>
      </w:pPr>
      <w:r>
        <w:rPr>
          <w:rStyle w:val="FootnoteReference"/>
        </w:rPr>
        <w:t>*</w:t>
      </w:r>
      <w:r>
        <w:tab/>
      </w:r>
      <w:r w:rsidRPr="008801FF">
        <w:rPr>
          <w:lang w:val="en-US"/>
        </w:rPr>
        <w:t>A revised judgment was issued on May 28, 2015, amending para. 3. The amendments are included in this judgment</w:t>
      </w:r>
      <w:r w:rsidR="0061183D" w:rsidRPr="008801FF"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14C"/>
    <w:rsid w:val="00000ED4"/>
    <w:rsid w:val="00025198"/>
    <w:rsid w:val="000578A3"/>
    <w:rsid w:val="0006388A"/>
    <w:rsid w:val="000648CC"/>
    <w:rsid w:val="000C59B8"/>
    <w:rsid w:val="000C6AF0"/>
    <w:rsid w:val="000C7133"/>
    <w:rsid w:val="000F468D"/>
    <w:rsid w:val="00104F33"/>
    <w:rsid w:val="001060BF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46B02"/>
    <w:rsid w:val="00261900"/>
    <w:rsid w:val="00270D93"/>
    <w:rsid w:val="002745CC"/>
    <w:rsid w:val="002B7924"/>
    <w:rsid w:val="002C0223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3F5"/>
    <w:rsid w:val="0035169A"/>
    <w:rsid w:val="0035259D"/>
    <w:rsid w:val="00364B18"/>
    <w:rsid w:val="003A125D"/>
    <w:rsid w:val="003A4C70"/>
    <w:rsid w:val="003B215F"/>
    <w:rsid w:val="003B3401"/>
    <w:rsid w:val="003C799C"/>
    <w:rsid w:val="003D0399"/>
    <w:rsid w:val="003E1C71"/>
    <w:rsid w:val="003F327B"/>
    <w:rsid w:val="00403AC8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1B05"/>
    <w:rsid w:val="0054201E"/>
    <w:rsid w:val="00555291"/>
    <w:rsid w:val="00566AD1"/>
    <w:rsid w:val="00583EDE"/>
    <w:rsid w:val="005A6079"/>
    <w:rsid w:val="005E32E5"/>
    <w:rsid w:val="005E4698"/>
    <w:rsid w:val="00610539"/>
    <w:rsid w:val="0061183D"/>
    <w:rsid w:val="00613969"/>
    <w:rsid w:val="00625C35"/>
    <w:rsid w:val="00637BF6"/>
    <w:rsid w:val="006468D9"/>
    <w:rsid w:val="00656313"/>
    <w:rsid w:val="006565F4"/>
    <w:rsid w:val="006722A0"/>
    <w:rsid w:val="00684EEA"/>
    <w:rsid w:val="00692D59"/>
    <w:rsid w:val="0069689B"/>
    <w:rsid w:val="006A1551"/>
    <w:rsid w:val="006B5FF5"/>
    <w:rsid w:val="006D0D92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570AD"/>
    <w:rsid w:val="00760D12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804CC6"/>
    <w:rsid w:val="00807397"/>
    <w:rsid w:val="00817190"/>
    <w:rsid w:val="00820EE5"/>
    <w:rsid w:val="008260E2"/>
    <w:rsid w:val="008322BD"/>
    <w:rsid w:val="00833E0A"/>
    <w:rsid w:val="00834F73"/>
    <w:rsid w:val="008400B7"/>
    <w:rsid w:val="00864CF8"/>
    <w:rsid w:val="00872819"/>
    <w:rsid w:val="00874914"/>
    <w:rsid w:val="008801FF"/>
    <w:rsid w:val="00891422"/>
    <w:rsid w:val="00892E1A"/>
    <w:rsid w:val="008A3F29"/>
    <w:rsid w:val="008B660A"/>
    <w:rsid w:val="008C01DA"/>
    <w:rsid w:val="008F78E9"/>
    <w:rsid w:val="00911989"/>
    <w:rsid w:val="009179F9"/>
    <w:rsid w:val="00921656"/>
    <w:rsid w:val="00933E5E"/>
    <w:rsid w:val="00935218"/>
    <w:rsid w:val="009403F3"/>
    <w:rsid w:val="009555B7"/>
    <w:rsid w:val="009567AA"/>
    <w:rsid w:val="00967374"/>
    <w:rsid w:val="00967664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1A85"/>
    <w:rsid w:val="00A42DCD"/>
    <w:rsid w:val="00A52AFB"/>
    <w:rsid w:val="00A548CB"/>
    <w:rsid w:val="00A5521C"/>
    <w:rsid w:val="00A643E7"/>
    <w:rsid w:val="00A73C38"/>
    <w:rsid w:val="00A86A9A"/>
    <w:rsid w:val="00A9216B"/>
    <w:rsid w:val="00AB670D"/>
    <w:rsid w:val="00AF03C5"/>
    <w:rsid w:val="00B000D8"/>
    <w:rsid w:val="00B00F75"/>
    <w:rsid w:val="00B145B6"/>
    <w:rsid w:val="00B279EB"/>
    <w:rsid w:val="00B50C81"/>
    <w:rsid w:val="00B557F8"/>
    <w:rsid w:val="00B64701"/>
    <w:rsid w:val="00B815FC"/>
    <w:rsid w:val="00B85076"/>
    <w:rsid w:val="00B91949"/>
    <w:rsid w:val="00B93FBC"/>
    <w:rsid w:val="00BA7DA0"/>
    <w:rsid w:val="00BB2EE4"/>
    <w:rsid w:val="00BC2108"/>
    <w:rsid w:val="00BC5AF6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CF415D"/>
    <w:rsid w:val="00D0172F"/>
    <w:rsid w:val="00D068A7"/>
    <w:rsid w:val="00D14FD3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A5A7E"/>
    <w:rsid w:val="00DB7BEA"/>
    <w:rsid w:val="00DC1739"/>
    <w:rsid w:val="00DC1788"/>
    <w:rsid w:val="00DE22FB"/>
    <w:rsid w:val="00DE319C"/>
    <w:rsid w:val="00DF0CA8"/>
    <w:rsid w:val="00DF2B48"/>
    <w:rsid w:val="00DF49A7"/>
    <w:rsid w:val="00E07EE2"/>
    <w:rsid w:val="00E07FD1"/>
    <w:rsid w:val="00E23B89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83FE7"/>
    <w:rsid w:val="00E97830"/>
    <w:rsid w:val="00EE36F7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68D"/>
  </w:style>
  <w:style w:type="character" w:styleId="FootnoteReference">
    <w:name w:val="footnote reference"/>
    <w:basedOn w:val="DefaultParagraphFont"/>
    <w:uiPriority w:val="99"/>
    <w:semiHidden/>
    <w:unhideWhenUsed/>
    <w:rsid w:val="000F468D"/>
    <w:rPr>
      <w:vertAlign w:val="superscript"/>
    </w:rPr>
  </w:style>
  <w:style w:type="table" w:styleId="TableGrid">
    <w:name w:val="Table Grid"/>
    <w:basedOn w:val="TableNormal"/>
    <w:uiPriority w:val="59"/>
    <w:rsid w:val="006468D9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6468D9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6468D9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6468D9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84F58-48A7-4034-8BC3-DC03343C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2015-05-29T15:37:00Z</dcterms:created>
  <dcterms:modified xsi:type="dcterms:W3CDTF">2015-11-10T15:45:00Z</dcterms:modified>
</cp:coreProperties>
</file>