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6F" w:rsidRDefault="00151A6F" w:rsidP="00151A6F">
      <w:pPr>
        <w:pStyle w:val="Header"/>
      </w:pPr>
      <w:r>
        <w:ptab w:relativeTo="margin" w:alignment="center" w:leader="none"/>
      </w:r>
      <w:r w:rsidRPr="00F72014">
        <w:t xml:space="preserve"> </w:t>
      </w:r>
      <w:r>
        <w:object w:dxaOrig="1365" w:dyaOrig="1440">
          <v:shape id="_x0000_i1027" type="#_x0000_t75" style="width:61.2pt;height:64.8pt" o:ole="">
            <v:imagedata r:id="rId7" o:title=""/>
          </v:shape>
          <o:OLEObject Type="Embed" ProgID="Presentations.Drawing.13" ShapeID="_x0000_i1027" DrawAspect="Content" ObjectID="_1508666671" r:id="rId8"/>
        </w:object>
      </w:r>
      <w:r>
        <w:t xml:space="preserve"> </w:t>
      </w:r>
      <w:r>
        <w:ptab w:relativeTo="margin" w:alignment="right" w:leader="none"/>
      </w:r>
    </w:p>
    <w:p w:rsidR="00151A6F" w:rsidRDefault="00151A6F" w:rsidP="00151A6F">
      <w:pPr>
        <w:pStyle w:val="Header"/>
      </w:pPr>
    </w:p>
    <w:p w:rsidR="00151A6F" w:rsidRPr="006B210C" w:rsidRDefault="00151A6F" w:rsidP="00151A6F">
      <w:pPr>
        <w:jc w:val="center"/>
        <w:rPr>
          <w:b/>
        </w:rPr>
      </w:pPr>
      <w:r w:rsidRPr="006B210C">
        <w:rPr>
          <w:b/>
        </w:rPr>
        <w:t>SUPREME COURT OF CANADA</w:t>
      </w:r>
    </w:p>
    <w:p w:rsidR="00151A6F" w:rsidRDefault="00151A6F" w:rsidP="00151A6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151A6F" w:rsidRPr="006B210C" w:rsidTr="00F12691">
        <w:trPr>
          <w:cantSplit/>
        </w:trPr>
        <w:tc>
          <w:tcPr>
            <w:tcW w:w="6768" w:type="dxa"/>
          </w:tcPr>
          <w:p w:rsidR="00151A6F" w:rsidRPr="006B210C" w:rsidRDefault="00151A6F" w:rsidP="00F12691">
            <w:r w:rsidRPr="006B210C">
              <w:rPr>
                <w:b/>
                <w:smallCaps/>
              </w:rPr>
              <w:t>Citation</w:t>
            </w:r>
            <w:r>
              <w:rPr>
                <w:b/>
                <w:smallCaps/>
              </w:rPr>
              <w:t>:</w:t>
            </w:r>
            <w:r w:rsidRPr="006B210C">
              <w:t xml:space="preserve"> </w:t>
            </w:r>
            <w:r w:rsidRPr="009F758B">
              <w:t xml:space="preserve">R. </w:t>
            </w:r>
            <w:r w:rsidRPr="009F758B">
              <w:rPr>
                <w:i/>
              </w:rPr>
              <w:t>v.</w:t>
            </w:r>
            <w:r w:rsidRPr="009F758B">
              <w:t xml:space="preserve"> Barabash</w:t>
            </w:r>
            <w:r>
              <w:t>, 2015 SCC 29, [2015] 2 S.C.R. 522</w:t>
            </w:r>
          </w:p>
        </w:tc>
        <w:tc>
          <w:tcPr>
            <w:tcW w:w="2808" w:type="dxa"/>
          </w:tcPr>
          <w:p w:rsidR="00151A6F" w:rsidRPr="006B210C" w:rsidRDefault="00151A6F" w:rsidP="00F12691">
            <w:r w:rsidRPr="006B210C">
              <w:rPr>
                <w:b/>
                <w:smallCaps/>
              </w:rPr>
              <w:t>Date</w:t>
            </w:r>
            <w:r>
              <w:rPr>
                <w:b/>
                <w:smallCaps/>
              </w:rPr>
              <w:t>:</w:t>
            </w:r>
            <w:r w:rsidRPr="006B210C">
              <w:t xml:space="preserve"> </w:t>
            </w:r>
            <w:r>
              <w:t>20150522</w:t>
            </w:r>
          </w:p>
          <w:p w:rsidR="00151A6F" w:rsidRPr="006B210C" w:rsidRDefault="00151A6F" w:rsidP="00F12691">
            <w:r w:rsidRPr="006B210C">
              <w:rPr>
                <w:b/>
                <w:smallCaps/>
              </w:rPr>
              <w:t>Docket</w:t>
            </w:r>
            <w:r>
              <w:rPr>
                <w:b/>
                <w:smallCaps/>
              </w:rPr>
              <w:t>:</w:t>
            </w:r>
            <w:r w:rsidRPr="006B210C">
              <w:t xml:space="preserve"> </w:t>
            </w:r>
            <w:r>
              <w:t>35977, 36064</w:t>
            </w:r>
          </w:p>
        </w:tc>
      </w:tr>
    </w:tbl>
    <w:p w:rsidR="00151A6F" w:rsidRPr="006B210C" w:rsidRDefault="00151A6F" w:rsidP="00151A6F"/>
    <w:p w:rsidR="00151A6F" w:rsidRDefault="00151A6F" w:rsidP="00151A6F">
      <w:pPr>
        <w:pStyle w:val="SCCLsocPrefix"/>
      </w:pPr>
      <w:r>
        <w:t>Between:</w:t>
      </w:r>
    </w:p>
    <w:p w:rsidR="00151A6F" w:rsidRDefault="00151A6F" w:rsidP="006747D5">
      <w:pPr>
        <w:pStyle w:val="SCCLsocParty"/>
        <w:jc w:val="center"/>
      </w:pPr>
      <w:r>
        <w:t>Donald Jerry Barabash</w:t>
      </w:r>
    </w:p>
    <w:p w:rsidR="00151A6F" w:rsidRDefault="00151A6F" w:rsidP="006747D5">
      <w:pPr>
        <w:jc w:val="center"/>
      </w:pPr>
      <w:r>
        <w:t>Appellant</w:t>
      </w:r>
    </w:p>
    <w:p w:rsidR="00151A6F" w:rsidRPr="006747D5" w:rsidRDefault="00151A6F" w:rsidP="006747D5">
      <w:pPr>
        <w:pStyle w:val="SCCLsocVersus"/>
        <w:spacing w:after="0"/>
        <w:jc w:val="center"/>
        <w:rPr>
          <w:i w:val="0"/>
        </w:rPr>
      </w:pPr>
      <w:r w:rsidRPr="006747D5">
        <w:rPr>
          <w:i w:val="0"/>
        </w:rPr>
        <w:t>and</w:t>
      </w:r>
    </w:p>
    <w:p w:rsidR="00151A6F" w:rsidRDefault="00151A6F" w:rsidP="006747D5">
      <w:pPr>
        <w:pStyle w:val="SCCLsocParty"/>
        <w:jc w:val="center"/>
      </w:pPr>
      <w:r>
        <w:t>Her Majesty The Queen</w:t>
      </w:r>
    </w:p>
    <w:p w:rsidR="00151A6F" w:rsidRDefault="00151A6F" w:rsidP="006747D5">
      <w:pPr>
        <w:jc w:val="center"/>
      </w:pPr>
      <w:r>
        <w:t>Respondent</w:t>
      </w:r>
    </w:p>
    <w:p w:rsidR="00242269" w:rsidRDefault="00242269" w:rsidP="006747D5">
      <w:pPr>
        <w:pStyle w:val="SCCLsocPrefix"/>
        <w:jc w:val="both"/>
      </w:pPr>
    </w:p>
    <w:p w:rsidR="00151A6F" w:rsidRDefault="00151A6F" w:rsidP="006747D5">
      <w:pPr>
        <w:pStyle w:val="SCCLsocPrefix"/>
        <w:jc w:val="both"/>
      </w:pPr>
      <w:r>
        <w:t>And Between:</w:t>
      </w:r>
    </w:p>
    <w:p w:rsidR="00151A6F" w:rsidRDefault="00151A6F" w:rsidP="006747D5">
      <w:pPr>
        <w:pStyle w:val="SCCLsocParty"/>
        <w:jc w:val="center"/>
      </w:pPr>
      <w:bookmarkStart w:id="0" w:name="_GoBack"/>
      <w:bookmarkEnd w:id="0"/>
      <w:r>
        <w:t>Shane Gordon Rollison</w:t>
      </w:r>
    </w:p>
    <w:p w:rsidR="00151A6F" w:rsidRDefault="00151A6F" w:rsidP="006747D5">
      <w:pPr>
        <w:jc w:val="center"/>
      </w:pPr>
      <w:r>
        <w:t>Appellant</w:t>
      </w:r>
    </w:p>
    <w:p w:rsidR="00151A6F" w:rsidRPr="006747D5" w:rsidRDefault="00151A6F" w:rsidP="006747D5">
      <w:pPr>
        <w:pStyle w:val="SCCLsocVersus"/>
        <w:spacing w:after="0"/>
        <w:jc w:val="center"/>
        <w:rPr>
          <w:i w:val="0"/>
        </w:rPr>
      </w:pPr>
      <w:r w:rsidRPr="006747D5">
        <w:rPr>
          <w:i w:val="0"/>
        </w:rPr>
        <w:t>and</w:t>
      </w:r>
    </w:p>
    <w:p w:rsidR="00151A6F" w:rsidRDefault="00151A6F" w:rsidP="006747D5">
      <w:pPr>
        <w:pStyle w:val="SCCLsocParty"/>
        <w:jc w:val="center"/>
      </w:pPr>
      <w:r>
        <w:t>Her Majesty The Queen</w:t>
      </w:r>
    </w:p>
    <w:p w:rsidR="00151A6F" w:rsidRDefault="00151A6F" w:rsidP="006747D5">
      <w:pPr>
        <w:jc w:val="center"/>
      </w:pPr>
      <w:r>
        <w:t>Respondent</w:t>
      </w:r>
    </w:p>
    <w:p w:rsidR="00151A6F" w:rsidRDefault="00151A6F" w:rsidP="006747D5">
      <w:pPr>
        <w:pStyle w:val="SCCLsocOtherPartySeparator"/>
        <w:spacing w:after="0"/>
        <w:jc w:val="center"/>
      </w:pPr>
      <w:r>
        <w:t>- and -</w:t>
      </w:r>
    </w:p>
    <w:p w:rsidR="00151A6F" w:rsidRDefault="00151A6F" w:rsidP="006747D5">
      <w:pPr>
        <w:pStyle w:val="SCCLsocParty"/>
        <w:jc w:val="center"/>
      </w:pPr>
      <w:r>
        <w:t>Attorney General of Canada, Attorney General of Ontario, Canadian Civil Liberties Association, Beyond Borders and Canadian Centre for Child Protection Inc.</w:t>
      </w:r>
    </w:p>
    <w:p w:rsidR="00151A6F" w:rsidRDefault="00151A6F" w:rsidP="006747D5">
      <w:pPr>
        <w:jc w:val="center"/>
      </w:pPr>
      <w:r>
        <w:t>Interveners</w:t>
      </w:r>
    </w:p>
    <w:p w:rsidR="00151A6F" w:rsidRDefault="00151A6F" w:rsidP="00151A6F"/>
    <w:p w:rsidR="00151A6F" w:rsidRPr="006B210C" w:rsidRDefault="00151A6F" w:rsidP="00151A6F">
      <w:r w:rsidRPr="006B210C">
        <w:rPr>
          <w:b/>
          <w:smallCaps/>
        </w:rPr>
        <w:t>Coram</w:t>
      </w:r>
      <w:r>
        <w:rPr>
          <w:b/>
          <w:smallCaps/>
        </w:rPr>
        <w:t>:</w:t>
      </w:r>
      <w:r w:rsidRPr="006B210C">
        <w:t xml:space="preserve"> </w:t>
      </w:r>
      <w:r>
        <w:t>McLachlin C.J. and Abella, Rothstein, Cromwell, Moldaver, Karakatsanis, Wagner, Gascon and Côté JJ.</w:t>
      </w:r>
    </w:p>
    <w:p w:rsidR="00151A6F" w:rsidRPr="006B210C" w:rsidRDefault="00151A6F" w:rsidP="00151A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51A6F" w:rsidRPr="006B210C" w:rsidTr="00F12691">
        <w:trPr>
          <w:cantSplit/>
        </w:trPr>
        <w:tc>
          <w:tcPr>
            <w:tcW w:w="3618" w:type="dxa"/>
          </w:tcPr>
          <w:p w:rsidR="00151A6F" w:rsidRDefault="00151A6F" w:rsidP="00F12691">
            <w:pPr>
              <w:rPr>
                <w:b/>
                <w:smallCaps/>
              </w:rPr>
            </w:pPr>
            <w:r w:rsidRPr="006B210C">
              <w:rPr>
                <w:b/>
                <w:smallCaps/>
              </w:rPr>
              <w:t>Reasons for Judgment</w:t>
            </w:r>
            <w:r>
              <w:rPr>
                <w:b/>
                <w:smallCaps/>
              </w:rPr>
              <w:t>:</w:t>
            </w:r>
          </w:p>
          <w:p w:rsidR="00151A6F" w:rsidRPr="006B210C" w:rsidRDefault="00151A6F" w:rsidP="00F12691">
            <w:r>
              <w:t>(paras. 1 to 63)</w:t>
            </w:r>
          </w:p>
        </w:tc>
        <w:tc>
          <w:tcPr>
            <w:tcW w:w="5958" w:type="dxa"/>
          </w:tcPr>
          <w:p w:rsidR="00151A6F" w:rsidRPr="006B210C" w:rsidRDefault="00151A6F" w:rsidP="00F12691">
            <w:r>
              <w:t>Karakatsanis J. (McLachlin C.J. and Abella, Rothstein, Cromwell, Moldaver, Wagner, Gascon and Côté JJ. concurring)</w:t>
            </w:r>
          </w:p>
        </w:tc>
      </w:tr>
    </w:tbl>
    <w:p w:rsidR="00151A6F" w:rsidRDefault="00151A6F" w:rsidP="00151A6F"/>
    <w:p w:rsidR="00151A6F" w:rsidRPr="006B210C" w:rsidRDefault="00D92FA8" w:rsidP="00151A6F">
      <w:r>
        <w:rPr>
          <w:noProof/>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59264" o:connectortype="straight"/>
        </w:pict>
      </w:r>
    </w:p>
    <w:p w:rsidR="00151A6F" w:rsidRDefault="00151A6F" w:rsidP="007213AA">
      <w:pPr>
        <w:widowControl w:val="0"/>
        <w:spacing w:after="720"/>
        <w:jc w:val="both"/>
        <w:rPr>
          <w:rStyle w:val="SCCAppellantForRunningHeadChar"/>
          <w:smallCaps w:val="0"/>
        </w:rPr>
      </w:pPr>
    </w:p>
    <w:p w:rsidR="008322BD" w:rsidRPr="006C5595" w:rsidRDefault="006C5595" w:rsidP="007213AA">
      <w:pPr>
        <w:widowControl w:val="0"/>
        <w:spacing w:after="720"/>
        <w:jc w:val="both"/>
        <w:rPr>
          <w:smallCaps/>
        </w:rPr>
      </w:pPr>
      <w:r>
        <w:rPr>
          <w:rStyle w:val="SCCAppellantForRunningHeadChar"/>
          <w:smallCaps w:val="0"/>
        </w:rPr>
        <w:t>R</w:t>
      </w:r>
      <w:r w:rsidR="00682ABE" w:rsidRPr="006C5595">
        <w:rPr>
          <w:rStyle w:val="SCCAppellantForRunningHeadChar"/>
          <w:smallCaps w:val="0"/>
        </w:rPr>
        <w:t xml:space="preserve">. </w:t>
      </w:r>
      <w:r w:rsidR="00682ABE" w:rsidRPr="006C5595">
        <w:rPr>
          <w:i/>
        </w:rPr>
        <w:t>v</w:t>
      </w:r>
      <w:r w:rsidR="00682ABE" w:rsidRPr="006C5595">
        <w:rPr>
          <w:i/>
          <w:smallCaps/>
        </w:rPr>
        <w:t>.</w:t>
      </w:r>
      <w:r w:rsidR="00682ABE" w:rsidRPr="006C5595">
        <w:rPr>
          <w:smallCaps/>
        </w:rPr>
        <w:t xml:space="preserve"> </w:t>
      </w:r>
      <w:r>
        <w:rPr>
          <w:rStyle w:val="SCCAppellantForRunningHeadChar"/>
          <w:smallCaps w:val="0"/>
        </w:rPr>
        <w:t>B</w:t>
      </w:r>
      <w:r w:rsidR="008F78E9" w:rsidRPr="006C5595">
        <w:rPr>
          <w:rStyle w:val="SCCAppellantForRunningHeadChar"/>
          <w:smallCaps w:val="0"/>
        </w:rPr>
        <w:t>arabash</w:t>
      </w:r>
      <w:r>
        <w:rPr>
          <w:rStyle w:val="SCCAppellantForRunningHeadChar"/>
          <w:smallCaps w:val="0"/>
        </w:rPr>
        <w:t xml:space="preserve">, </w:t>
      </w:r>
      <w:r w:rsidRPr="008943AE">
        <w:t xml:space="preserve">2015 </w:t>
      </w:r>
      <w:r>
        <w:t>SCC 29, [2015] 2 S.C.R. 522</w:t>
      </w:r>
    </w:p>
    <w:p w:rsidR="00AC374C" w:rsidRPr="008943AE" w:rsidRDefault="00811854" w:rsidP="007213AA">
      <w:pPr>
        <w:pStyle w:val="SCCLsocLastPartyInRole"/>
        <w:widowControl w:val="0"/>
      </w:pPr>
      <w:r w:rsidRPr="008943AE">
        <w:t>Donald Jerry Barabash</w:t>
      </w:r>
      <w:r w:rsidRPr="008943AE">
        <w:rPr>
          <w:rStyle w:val="SCCLsocPartyRole"/>
        </w:rPr>
        <w:tab/>
        <w:t>Appellant</w:t>
      </w:r>
    </w:p>
    <w:p w:rsidR="00AC374C" w:rsidRPr="008943AE" w:rsidRDefault="00811854" w:rsidP="007213AA">
      <w:pPr>
        <w:pStyle w:val="SCCLsocVersus"/>
        <w:widowControl w:val="0"/>
      </w:pPr>
      <w:r w:rsidRPr="008943AE">
        <w:lastRenderedPageBreak/>
        <w:t>v.</w:t>
      </w:r>
    </w:p>
    <w:p w:rsidR="00AC374C" w:rsidRPr="008943AE" w:rsidRDefault="00682ABE" w:rsidP="007213AA">
      <w:pPr>
        <w:pStyle w:val="SCCLsocLastPartyInRole"/>
        <w:widowControl w:val="0"/>
      </w:pPr>
      <w:r w:rsidRPr="008943AE">
        <w:t>Her Majesty T</w:t>
      </w:r>
      <w:r w:rsidR="00811854" w:rsidRPr="008943AE">
        <w:t>he Queen</w:t>
      </w:r>
      <w:r w:rsidR="00811854" w:rsidRPr="008943AE">
        <w:rPr>
          <w:rStyle w:val="SCCLsocPartyRole"/>
        </w:rPr>
        <w:tab/>
        <w:t>Respondent</w:t>
      </w:r>
    </w:p>
    <w:p w:rsidR="00AC374C" w:rsidRPr="008943AE" w:rsidRDefault="00F96108" w:rsidP="007213AA">
      <w:pPr>
        <w:pStyle w:val="SCCLsocOtherPartySeparator"/>
        <w:widowControl w:val="0"/>
      </w:pPr>
      <w:r>
        <w:t>-</w:t>
      </w:r>
      <w:r w:rsidR="00682ABE" w:rsidRPr="008943AE">
        <w:t xml:space="preserve"> </w:t>
      </w:r>
      <w:r w:rsidR="00811854" w:rsidRPr="008943AE">
        <w:t>and</w:t>
      </w:r>
      <w:r w:rsidR="00682ABE" w:rsidRPr="008943AE">
        <w:t xml:space="preserve"> </w:t>
      </w:r>
      <w:r>
        <w:t>-</w:t>
      </w:r>
    </w:p>
    <w:p w:rsidR="00682ABE" w:rsidRPr="00D92FA8" w:rsidRDefault="00682ABE" w:rsidP="007213AA">
      <w:pPr>
        <w:pStyle w:val="SCCLsocLastPartyInRole"/>
        <w:widowControl w:val="0"/>
        <w:rPr>
          <w:lang w:val="fr-CA"/>
        </w:rPr>
      </w:pPr>
      <w:r w:rsidRPr="00D92FA8">
        <w:rPr>
          <w:lang w:val="fr-CA"/>
        </w:rPr>
        <w:t>Shane Gordon Rollison</w:t>
      </w:r>
      <w:r w:rsidRPr="00D92FA8">
        <w:rPr>
          <w:rStyle w:val="SCCLsocPartyRole"/>
          <w:lang w:val="fr-CA"/>
        </w:rPr>
        <w:tab/>
        <w:t>Appellant</w:t>
      </w:r>
    </w:p>
    <w:p w:rsidR="00682ABE" w:rsidRPr="00D92FA8" w:rsidRDefault="00682ABE" w:rsidP="007213AA">
      <w:pPr>
        <w:pStyle w:val="SCCLsocVersus"/>
        <w:widowControl w:val="0"/>
        <w:rPr>
          <w:lang w:val="fr-CA"/>
        </w:rPr>
      </w:pPr>
      <w:r w:rsidRPr="00D92FA8">
        <w:rPr>
          <w:lang w:val="fr-CA"/>
        </w:rPr>
        <w:t>v.</w:t>
      </w:r>
    </w:p>
    <w:p w:rsidR="00682ABE" w:rsidRPr="008943AE" w:rsidRDefault="00682ABE" w:rsidP="007213AA">
      <w:pPr>
        <w:pStyle w:val="SCCLsocLastPartyInRole"/>
        <w:widowControl w:val="0"/>
      </w:pPr>
      <w:r w:rsidRPr="008943AE">
        <w:t>Her Majesty The Queen</w:t>
      </w:r>
      <w:r w:rsidRPr="008943AE">
        <w:rPr>
          <w:rStyle w:val="SCCLsocPartyRole"/>
        </w:rPr>
        <w:tab/>
        <w:t>Respondent</w:t>
      </w:r>
    </w:p>
    <w:p w:rsidR="00682ABE" w:rsidRPr="008943AE" w:rsidRDefault="00682ABE" w:rsidP="007213AA">
      <w:pPr>
        <w:pStyle w:val="SCCLsocOtherPartySeparator"/>
        <w:widowControl w:val="0"/>
      </w:pPr>
      <w:r w:rsidRPr="008943AE">
        <w:t>and</w:t>
      </w:r>
    </w:p>
    <w:p w:rsidR="00AC374C" w:rsidRPr="008943AE" w:rsidRDefault="00811854" w:rsidP="007213AA">
      <w:pPr>
        <w:pStyle w:val="SCCLsocParty"/>
        <w:widowControl w:val="0"/>
      </w:pPr>
      <w:r w:rsidRPr="008943AE">
        <w:t>Attorney General of Canada,</w:t>
      </w:r>
    </w:p>
    <w:p w:rsidR="00AC374C" w:rsidRPr="008943AE" w:rsidRDefault="00811854" w:rsidP="007213AA">
      <w:pPr>
        <w:pStyle w:val="SCCLsocParty"/>
        <w:widowControl w:val="0"/>
      </w:pPr>
      <w:r w:rsidRPr="008943AE">
        <w:t>Attorney General of Ontario,</w:t>
      </w:r>
    </w:p>
    <w:p w:rsidR="00AC374C" w:rsidRPr="008943AE" w:rsidRDefault="00811854" w:rsidP="007213AA">
      <w:pPr>
        <w:pStyle w:val="SCCLsocParty"/>
        <w:widowControl w:val="0"/>
      </w:pPr>
      <w:r w:rsidRPr="008943AE">
        <w:t>Canadian Civil Liberties Association,</w:t>
      </w:r>
    </w:p>
    <w:p w:rsidR="008E0C4B" w:rsidRPr="008943AE" w:rsidRDefault="00811854" w:rsidP="007213AA">
      <w:pPr>
        <w:pStyle w:val="SCCLsocParty"/>
        <w:widowControl w:val="0"/>
      </w:pPr>
      <w:r w:rsidRPr="008943AE">
        <w:t xml:space="preserve">Beyond Borders and </w:t>
      </w:r>
    </w:p>
    <w:p w:rsidR="00AC374C" w:rsidRPr="008943AE" w:rsidRDefault="00811854" w:rsidP="007213AA">
      <w:pPr>
        <w:pStyle w:val="SCCLsocLastPartyInRole"/>
        <w:widowControl w:val="0"/>
      </w:pPr>
      <w:r w:rsidRPr="008943AE">
        <w:t>Canadian Centre for Child Protection Inc.</w:t>
      </w:r>
      <w:r w:rsidRPr="008943AE">
        <w:rPr>
          <w:rStyle w:val="SCCLsocPartyRole"/>
        </w:rPr>
        <w:tab/>
        <w:t>Interveners</w:t>
      </w:r>
    </w:p>
    <w:p w:rsidR="00426659" w:rsidRPr="008943AE" w:rsidRDefault="00426659" w:rsidP="007213AA">
      <w:pPr>
        <w:widowControl w:val="0"/>
        <w:spacing w:after="720"/>
        <w:jc w:val="both"/>
        <w:rPr>
          <w:b/>
        </w:rPr>
      </w:pPr>
      <w:r w:rsidRPr="008943AE">
        <w:rPr>
          <w:b/>
        </w:rPr>
        <w:t xml:space="preserve">Indexed as: </w:t>
      </w:r>
      <w:r w:rsidR="00682ABE" w:rsidRPr="008943AE">
        <w:rPr>
          <w:b/>
        </w:rPr>
        <w:t xml:space="preserve">R. </w:t>
      </w:r>
      <w:r w:rsidR="00682ABE" w:rsidRPr="008943AE">
        <w:rPr>
          <w:b/>
          <w:i/>
        </w:rPr>
        <w:t>v.</w:t>
      </w:r>
      <w:r w:rsidR="00682ABE" w:rsidRPr="008943AE">
        <w:rPr>
          <w:b/>
        </w:rPr>
        <w:t xml:space="preserve"> </w:t>
      </w:r>
      <w:r w:rsidRPr="008943AE">
        <w:rPr>
          <w:rStyle w:val="SCCAppellantForIndexChar"/>
        </w:rPr>
        <w:t>Barabash</w:t>
      </w:r>
    </w:p>
    <w:p w:rsidR="00426659" w:rsidRPr="008943AE" w:rsidRDefault="004F36FF" w:rsidP="007213AA">
      <w:pPr>
        <w:pStyle w:val="SCCSystemYear"/>
        <w:widowControl w:val="0"/>
        <w:spacing w:after="720"/>
        <w:jc w:val="both"/>
      </w:pPr>
      <w:r w:rsidRPr="008943AE">
        <w:t>2015</w:t>
      </w:r>
      <w:r w:rsidR="003D0399" w:rsidRPr="008943AE">
        <w:t xml:space="preserve"> </w:t>
      </w:r>
      <w:r w:rsidR="007D0853">
        <w:t>SCC</w:t>
      </w:r>
      <w:r w:rsidR="00F96108">
        <w:t xml:space="preserve"> </w:t>
      </w:r>
      <w:r w:rsidR="007D0853">
        <w:t>29</w:t>
      </w:r>
    </w:p>
    <w:p w:rsidR="008322BD" w:rsidRPr="008943AE" w:rsidRDefault="009B57B3" w:rsidP="007213AA">
      <w:pPr>
        <w:widowControl w:val="0"/>
        <w:spacing w:after="720"/>
        <w:jc w:val="both"/>
      </w:pPr>
      <w:r w:rsidRPr="008943AE">
        <w:t>File No</w:t>
      </w:r>
      <w:r w:rsidR="00811854" w:rsidRPr="008943AE">
        <w:t>s</w:t>
      </w:r>
      <w:r w:rsidRPr="008943AE">
        <w:t>.: 35977</w:t>
      </w:r>
      <w:r w:rsidR="00811854" w:rsidRPr="008943AE">
        <w:t>, 36064</w:t>
      </w:r>
      <w:r w:rsidRPr="008943AE">
        <w:t>.</w:t>
      </w:r>
    </w:p>
    <w:p w:rsidR="008322BD" w:rsidRPr="008943AE" w:rsidRDefault="008E0958" w:rsidP="007213AA">
      <w:pPr>
        <w:widowControl w:val="0"/>
        <w:spacing w:after="720"/>
        <w:jc w:val="both"/>
      </w:pPr>
      <w:r w:rsidRPr="008943AE">
        <w:t>2015:</w:t>
      </w:r>
      <w:r w:rsidR="00F96108">
        <w:t xml:space="preserve"> </w:t>
      </w:r>
      <w:r w:rsidRPr="008943AE">
        <w:t>January</w:t>
      </w:r>
      <w:r w:rsidR="00F96108">
        <w:t xml:space="preserve"> </w:t>
      </w:r>
      <w:r w:rsidR="004F36FF" w:rsidRPr="008943AE">
        <w:t>16</w:t>
      </w:r>
      <w:r w:rsidR="009B57B3" w:rsidRPr="008943AE">
        <w:t xml:space="preserve">; </w:t>
      </w:r>
      <w:r w:rsidR="00811854" w:rsidRPr="008943AE">
        <w:t>2015:</w:t>
      </w:r>
      <w:r w:rsidR="00F96108">
        <w:t xml:space="preserve"> </w:t>
      </w:r>
      <w:r w:rsidR="00057995" w:rsidRPr="008943AE">
        <w:t>May</w:t>
      </w:r>
      <w:r w:rsidR="00F96108">
        <w:t xml:space="preserve"> </w:t>
      </w:r>
      <w:r w:rsidR="00057995" w:rsidRPr="008943AE">
        <w:t>22</w:t>
      </w:r>
      <w:r w:rsidR="009B57B3" w:rsidRPr="008943AE">
        <w:t>.</w:t>
      </w:r>
    </w:p>
    <w:p w:rsidR="008322BD" w:rsidRPr="008943AE" w:rsidRDefault="009B57B3" w:rsidP="007213AA">
      <w:pPr>
        <w:widowControl w:val="0"/>
        <w:spacing w:after="720"/>
        <w:jc w:val="both"/>
      </w:pPr>
      <w:r w:rsidRPr="008943AE">
        <w:lastRenderedPageBreak/>
        <w:t>Present: McLachlin</w:t>
      </w:r>
      <w:r w:rsidR="00F96108">
        <w:t xml:space="preserve"> </w:t>
      </w:r>
      <w:r w:rsidRPr="008943AE">
        <w:t>C.J. and Abella, Rothstein, Cromwell, Moldaver, Karakatsanis, Wagner, Gascon and Côté</w:t>
      </w:r>
      <w:r w:rsidR="00F96108">
        <w:t xml:space="preserve"> </w:t>
      </w:r>
      <w:r w:rsidRPr="008943AE">
        <w:t>JJ.</w:t>
      </w:r>
    </w:p>
    <w:p w:rsidR="008322BD" w:rsidRPr="008943AE" w:rsidRDefault="00656313" w:rsidP="007213AA">
      <w:pPr>
        <w:pStyle w:val="SCCLowerCourtNameLowercase"/>
        <w:widowControl w:val="0"/>
        <w:spacing w:after="720" w:line="240" w:lineRule="auto"/>
      </w:pPr>
      <w:r w:rsidRPr="008943AE">
        <w:t>o</w:t>
      </w:r>
      <w:r w:rsidR="00170592" w:rsidRPr="008943AE">
        <w:t>n</w:t>
      </w:r>
      <w:r w:rsidR="00224FC0" w:rsidRPr="008943AE">
        <w:t xml:space="preserve"> </w:t>
      </w:r>
      <w:r w:rsidRPr="008943AE">
        <w:t>a</w:t>
      </w:r>
      <w:r w:rsidR="00170592" w:rsidRPr="008943AE">
        <w:t>ppeal</w:t>
      </w:r>
      <w:r w:rsidR="00224FC0" w:rsidRPr="008943AE">
        <w:t xml:space="preserve"> </w:t>
      </w:r>
      <w:r w:rsidR="00170592" w:rsidRPr="008943AE">
        <w:t>from</w:t>
      </w:r>
      <w:r w:rsidR="009567AA" w:rsidRPr="008943AE">
        <w:t xml:space="preserve"> the</w:t>
      </w:r>
      <w:r w:rsidR="00224FC0" w:rsidRPr="008943AE">
        <w:t xml:space="preserve"> </w:t>
      </w:r>
      <w:r w:rsidR="009B57B3" w:rsidRPr="008943AE">
        <w:t>court of appeal f</w:t>
      </w:r>
      <w:r w:rsidR="00811854" w:rsidRPr="008943AE">
        <w:t>or</w:t>
      </w:r>
      <w:r w:rsidR="009B57B3" w:rsidRPr="008943AE">
        <w:t xml:space="preserve"> alberta</w:t>
      </w:r>
    </w:p>
    <w:p w:rsidR="00667810" w:rsidRPr="008943AE" w:rsidRDefault="00175C44" w:rsidP="007213AA">
      <w:pPr>
        <w:pStyle w:val="SCCNormalDoubleSpacing"/>
        <w:widowControl w:val="0"/>
        <w:spacing w:before="480" w:after="480"/>
        <w:rPr>
          <w:i/>
          <w:szCs w:val="24"/>
        </w:rPr>
      </w:pPr>
      <w:r w:rsidRPr="008943AE">
        <w:rPr>
          <w:i/>
        </w:rPr>
        <w:tab/>
      </w:r>
      <w:r w:rsidR="00667810" w:rsidRPr="008943AE">
        <w:rPr>
          <w:i/>
        </w:rPr>
        <w:t xml:space="preserve">Criminal law — Child pornography — Defences — Private use exception — Accused charged with child pornography offences — </w:t>
      </w:r>
      <w:r w:rsidR="00667810" w:rsidRPr="008943AE">
        <w:rPr>
          <w:i/>
          <w:szCs w:val="24"/>
        </w:rPr>
        <w:t>A</w:t>
      </w:r>
      <w:r w:rsidR="00667810" w:rsidRPr="008943AE">
        <w:rPr>
          <w:i/>
        </w:rPr>
        <w:t>ccused arguing in defence that sexual activity lawful and consensual and that recordings held for private use</w:t>
      </w:r>
      <w:r w:rsidR="00667810" w:rsidRPr="008943AE">
        <w:t xml:space="preserve"> —</w:t>
      </w:r>
      <w:r w:rsidR="00667810" w:rsidRPr="008943AE">
        <w:rPr>
          <w:i/>
          <w:szCs w:val="24"/>
        </w:rPr>
        <w:t xml:space="preserve"> Crown challenging lawfulness of sexual activity on basis of girls’ exploitation </w:t>
      </w:r>
      <w:r w:rsidR="00667810" w:rsidRPr="008943AE">
        <w:rPr>
          <w:rStyle w:val="italic1"/>
          <w:szCs w:val="24"/>
        </w:rPr>
        <w:t>—</w:t>
      </w:r>
      <w:r w:rsidR="00667810" w:rsidRPr="008943AE">
        <w:rPr>
          <w:i/>
          <w:szCs w:val="24"/>
        </w:rPr>
        <w:t xml:space="preserve"> Whether private use exception requires separate and additional exploitation inquiry or whether exploitation included under lawfulness inquiry</w:t>
      </w:r>
      <w:r w:rsidR="00667810" w:rsidRPr="008943AE">
        <w:rPr>
          <w:szCs w:val="24"/>
        </w:rPr>
        <w:t xml:space="preserve"> — </w:t>
      </w:r>
      <w:r w:rsidR="00667810" w:rsidRPr="008943AE">
        <w:rPr>
          <w:i/>
          <w:szCs w:val="24"/>
        </w:rPr>
        <w:t xml:space="preserve">In acquitting accused, </w:t>
      </w:r>
      <w:r w:rsidR="00667810" w:rsidRPr="008943AE">
        <w:rPr>
          <w:rStyle w:val="italic1"/>
          <w:szCs w:val="24"/>
        </w:rPr>
        <w:t xml:space="preserve">whether trial judge properly interpreted exception </w:t>
      </w:r>
      <w:r w:rsidR="00667810" w:rsidRPr="008943AE">
        <w:rPr>
          <w:i/>
          <w:szCs w:val="24"/>
        </w:rPr>
        <w:t>— Criminal Code, R.S.C.</w:t>
      </w:r>
      <w:r w:rsidRPr="008943AE">
        <w:rPr>
          <w:i/>
          <w:szCs w:val="24"/>
        </w:rPr>
        <w:t xml:space="preserve"> 1985, c.</w:t>
      </w:r>
      <w:r w:rsidR="00F96108">
        <w:rPr>
          <w:i/>
          <w:szCs w:val="24"/>
        </w:rPr>
        <w:t xml:space="preserve"> </w:t>
      </w:r>
      <w:r w:rsidR="00667810" w:rsidRPr="008943AE">
        <w:rPr>
          <w:i/>
          <w:szCs w:val="24"/>
        </w:rPr>
        <w:t>C</w:t>
      </w:r>
      <w:r w:rsidR="00F96108">
        <w:rPr>
          <w:i/>
          <w:szCs w:val="24"/>
        </w:rPr>
        <w:t>-</w:t>
      </w:r>
      <w:r w:rsidRPr="008943AE">
        <w:rPr>
          <w:i/>
          <w:szCs w:val="24"/>
        </w:rPr>
        <w:t>46, s.</w:t>
      </w:r>
      <w:r w:rsidR="00F96108">
        <w:rPr>
          <w:i/>
          <w:szCs w:val="24"/>
        </w:rPr>
        <w:t xml:space="preserve"> </w:t>
      </w:r>
      <w:r w:rsidR="00667810" w:rsidRPr="008943AE">
        <w:rPr>
          <w:i/>
          <w:szCs w:val="24"/>
        </w:rPr>
        <w:t>163.1.</w:t>
      </w:r>
      <w:r w:rsidR="002D5B92">
        <w:rPr>
          <w:i/>
          <w:szCs w:val="24"/>
        </w:rPr>
        <w:t xml:space="preserve"> </w:t>
      </w:r>
    </w:p>
    <w:p w:rsidR="00667810" w:rsidRPr="008943AE" w:rsidRDefault="00175C44" w:rsidP="007213AA">
      <w:pPr>
        <w:pStyle w:val="SCCNormalDoubleSpacing"/>
        <w:widowControl w:val="0"/>
        <w:spacing w:before="480" w:after="480"/>
      </w:pPr>
      <w:r w:rsidRPr="008943AE">
        <w:tab/>
      </w:r>
      <w:r w:rsidR="00667810" w:rsidRPr="008943AE">
        <w:t>Two girls, age</w:t>
      </w:r>
      <w:r w:rsidR="00F96108">
        <w:t xml:space="preserve"> </w:t>
      </w:r>
      <w:r w:rsidR="00667810" w:rsidRPr="008943AE">
        <w:t>14, were runaways from a treatment centre. They stayed with the accused B, age</w:t>
      </w:r>
      <w:r w:rsidR="00F96108">
        <w:t xml:space="preserve"> </w:t>
      </w:r>
      <w:r w:rsidR="00667810" w:rsidRPr="008943AE">
        <w:t>60, wh</w:t>
      </w:r>
      <w:r w:rsidRPr="008943AE">
        <w:t>ereas the other accused, R, age</w:t>
      </w:r>
      <w:r w:rsidR="00F96108">
        <w:t xml:space="preserve"> </w:t>
      </w:r>
      <w:r w:rsidR="00667810" w:rsidRPr="008943AE">
        <w:t xml:space="preserve">41, was a regular visitor. The girls were involved in </w:t>
      </w:r>
      <w:r w:rsidR="009D278F" w:rsidRPr="008943AE">
        <w:t>sexual activity</w:t>
      </w:r>
      <w:r w:rsidR="00667810" w:rsidRPr="008943AE">
        <w:t>, which was depicted on video</w:t>
      </w:r>
      <w:r w:rsidR="009D278F" w:rsidRPr="008943AE">
        <w:t xml:space="preserve"> and in photographs,</w:t>
      </w:r>
      <w:r w:rsidR="00667810" w:rsidRPr="008943AE">
        <w:t xml:space="preserve"> with each other and </w:t>
      </w:r>
      <w:r w:rsidR="009D278F" w:rsidRPr="008943AE">
        <w:t xml:space="preserve">with </w:t>
      </w:r>
      <w:r w:rsidR="00667810" w:rsidRPr="008943AE">
        <w:t>R. At the time the videos and photographs were made, 14</w:t>
      </w:r>
      <w:r w:rsidR="00F96108">
        <w:t>-</w:t>
      </w:r>
      <w:r w:rsidR="00667810" w:rsidRPr="008943AE">
        <w:t>year</w:t>
      </w:r>
      <w:r w:rsidR="00F96108">
        <w:t>-</w:t>
      </w:r>
      <w:r w:rsidR="00667810" w:rsidRPr="008943AE">
        <w:t xml:space="preserve">olds could legally consent to sexual acts with adults. Both B and </w:t>
      </w:r>
      <w:r w:rsidR="009D278F" w:rsidRPr="008943AE">
        <w:t>R</w:t>
      </w:r>
      <w:r w:rsidR="00667810" w:rsidRPr="008943AE">
        <w:t xml:space="preserve"> were charged with making ch</w:t>
      </w:r>
      <w:r w:rsidRPr="008943AE">
        <w:t>ild pornography, contrary to s.</w:t>
      </w:r>
      <w:r w:rsidR="00F96108">
        <w:t xml:space="preserve"> </w:t>
      </w:r>
      <w:r w:rsidR="00667810" w:rsidRPr="008943AE">
        <w:t xml:space="preserve">163.1(2) of the </w:t>
      </w:r>
      <w:r w:rsidR="00667810" w:rsidRPr="008943AE">
        <w:rPr>
          <w:i/>
        </w:rPr>
        <w:t>Criminal Code</w:t>
      </w:r>
      <w:r w:rsidR="00667810" w:rsidRPr="008943AE">
        <w:t>. B was also charged with one count of possessing ch</w:t>
      </w:r>
      <w:r w:rsidRPr="008943AE">
        <w:t>ild pornography, contrary to s.</w:t>
      </w:r>
      <w:r w:rsidR="00F96108">
        <w:t xml:space="preserve"> </w:t>
      </w:r>
      <w:r w:rsidR="00667810" w:rsidRPr="008943AE">
        <w:t xml:space="preserve">163.1(4). </w:t>
      </w:r>
      <w:r w:rsidR="009D278F" w:rsidRPr="008943AE">
        <w:t>B and R were tried together</w:t>
      </w:r>
      <w:r w:rsidR="00667810" w:rsidRPr="008943AE">
        <w:t>. The trial judge found that all of the elements of the offences were established; however, the accused raised in defence</w:t>
      </w:r>
      <w:r w:rsidR="00667810" w:rsidRPr="008943AE">
        <w:rPr>
          <w:i/>
          <w:szCs w:val="24"/>
        </w:rPr>
        <w:t xml:space="preserve"> </w:t>
      </w:r>
      <w:r w:rsidR="00667810" w:rsidRPr="008943AE">
        <w:t xml:space="preserve">the private use exception outlined in </w:t>
      </w:r>
      <w:r w:rsidR="00667810" w:rsidRPr="008943AE">
        <w:rPr>
          <w:rStyle w:val="italic1"/>
          <w:szCs w:val="24"/>
        </w:rPr>
        <w:t>R. v. Sharpe</w:t>
      </w:r>
      <w:r w:rsidR="00667810" w:rsidRPr="008943AE">
        <w:t>, 2001 SCC 2, [2001] 1 S.C.R. 45.</w:t>
      </w:r>
      <w:r w:rsidR="009D278F" w:rsidRPr="008943AE">
        <w:t xml:space="preserve"> </w:t>
      </w:r>
      <w:r w:rsidR="00667810" w:rsidRPr="008943AE">
        <w:t xml:space="preserve">The judge concluded that the Crown had failed to disprove the exception beyond a </w:t>
      </w:r>
      <w:r w:rsidR="00667810" w:rsidRPr="008943AE">
        <w:lastRenderedPageBreak/>
        <w:t>reasonable doubt. The C</w:t>
      </w:r>
      <w:r w:rsidR="009D278F" w:rsidRPr="008943AE">
        <w:t xml:space="preserve">ourt of Appeal allowed the appeals, </w:t>
      </w:r>
      <w:r w:rsidR="00667810" w:rsidRPr="008943AE">
        <w:t xml:space="preserve">substituted guilty verdicts and remitted the case for sentencing. </w:t>
      </w:r>
    </w:p>
    <w:p w:rsidR="00667810" w:rsidRPr="008943AE" w:rsidRDefault="00175C44" w:rsidP="007213AA">
      <w:pPr>
        <w:pStyle w:val="SCCNormalDoubleSpacing"/>
        <w:widowControl w:val="0"/>
        <w:spacing w:before="480" w:after="480"/>
      </w:pPr>
      <w:r w:rsidRPr="008943AE">
        <w:rPr>
          <w:i/>
        </w:rPr>
        <w:tab/>
      </w:r>
      <w:r w:rsidR="00667810" w:rsidRPr="008943AE">
        <w:rPr>
          <w:i/>
        </w:rPr>
        <w:t>Held</w:t>
      </w:r>
      <w:r w:rsidR="00667810" w:rsidRPr="008943AE">
        <w:t>: The appeals should be allowed and a new trial ordered.</w:t>
      </w:r>
    </w:p>
    <w:p w:rsidR="00667810" w:rsidRPr="008943AE" w:rsidRDefault="00175C44" w:rsidP="007213AA">
      <w:pPr>
        <w:pStyle w:val="SCCNormalDoubleSpacing"/>
        <w:widowControl w:val="0"/>
        <w:spacing w:before="480" w:after="480"/>
      </w:pPr>
      <w:r w:rsidRPr="008943AE">
        <w:tab/>
      </w:r>
      <w:r w:rsidR="009D278F" w:rsidRPr="008943AE">
        <w:t>T</w:t>
      </w:r>
      <w:r w:rsidR="00667810" w:rsidRPr="008943AE">
        <w:t>he private use exception outlined in</w:t>
      </w:r>
      <w:r w:rsidR="009D278F" w:rsidRPr="008943AE">
        <w:t xml:space="preserve"> </w:t>
      </w:r>
      <w:r w:rsidR="00667810" w:rsidRPr="008943AE">
        <w:rPr>
          <w:i/>
        </w:rPr>
        <w:t>Sharpe</w:t>
      </w:r>
      <w:r w:rsidR="00667810" w:rsidRPr="008943AE">
        <w:t xml:space="preserve"> serves as a defence to the offence of making </w:t>
      </w:r>
      <w:r w:rsidR="009D278F" w:rsidRPr="008943AE">
        <w:t>or</w:t>
      </w:r>
      <w:r w:rsidR="00667810" w:rsidRPr="008943AE">
        <w:t xml:space="preserve"> possessing ch</w:t>
      </w:r>
      <w:r w:rsidRPr="008943AE">
        <w:t>ild pornography, contrary to s.</w:t>
      </w:r>
      <w:r w:rsidR="00F96108">
        <w:t xml:space="preserve"> </w:t>
      </w:r>
      <w:r w:rsidR="00667810" w:rsidRPr="008943AE">
        <w:t xml:space="preserve">163.1 of the </w:t>
      </w:r>
      <w:r w:rsidR="00667810" w:rsidRPr="008943AE">
        <w:rPr>
          <w:i/>
        </w:rPr>
        <w:t>Criminal Code</w:t>
      </w:r>
      <w:r w:rsidR="00667810" w:rsidRPr="008943AE">
        <w:t>. This private use</w:t>
      </w:r>
      <w:r w:rsidR="009D278F" w:rsidRPr="008943AE">
        <w:t xml:space="preserve"> exception </w:t>
      </w:r>
      <w:r w:rsidR="00667810" w:rsidRPr="008943AE">
        <w:t xml:space="preserve">requires a determination that the sexual activity depicted </w:t>
      </w:r>
      <w:r w:rsidR="009D278F" w:rsidRPr="008943AE">
        <w:t>in recordings</w:t>
      </w:r>
      <w:r w:rsidR="00667810" w:rsidRPr="008943AE">
        <w:t xml:space="preserve"> is lawful, that </w:t>
      </w:r>
      <w:r w:rsidR="008D2FFD">
        <w:t xml:space="preserve">the recording of </w:t>
      </w:r>
      <w:r w:rsidR="00667810" w:rsidRPr="008943AE">
        <w:t>the sexual activity is also consensual and that the recordings are h</w:t>
      </w:r>
      <w:r w:rsidR="009D278F" w:rsidRPr="008943AE">
        <w:t>eld exclusively for private use</w:t>
      </w:r>
      <w:r w:rsidR="00667810" w:rsidRPr="008943AE">
        <w:t xml:space="preserve">. In </w:t>
      </w:r>
      <w:r w:rsidR="00667810" w:rsidRPr="008943AE">
        <w:rPr>
          <w:i/>
        </w:rPr>
        <w:t>Sharpe</w:t>
      </w:r>
      <w:r w:rsidR="00667810" w:rsidRPr="008943AE">
        <w:t>, the C</w:t>
      </w:r>
      <w:r w:rsidR="009D278F" w:rsidRPr="008943AE">
        <w:t>ourt did not mandate a separate and</w:t>
      </w:r>
      <w:r w:rsidR="00667810" w:rsidRPr="008943AE">
        <w:t xml:space="preserve"> additional exploitation inquiry. Adding such a step would be</w:t>
      </w:r>
      <w:r w:rsidR="009D278F" w:rsidRPr="008943AE">
        <w:t xml:space="preserve"> unnecessary, as</w:t>
      </w:r>
      <w:r w:rsidR="00667810" w:rsidRPr="008943AE">
        <w:t xml:space="preserve"> exploitation is already captured under the lawfulness inquiry.</w:t>
      </w:r>
      <w:r w:rsidR="009D278F" w:rsidRPr="008943AE">
        <w:t xml:space="preserve"> </w:t>
      </w:r>
      <w:r w:rsidR="00667810" w:rsidRPr="008943AE">
        <w:t>Section</w:t>
      </w:r>
      <w:r w:rsidR="00F96108">
        <w:t xml:space="preserve"> </w:t>
      </w:r>
      <w:r w:rsidR="00667810" w:rsidRPr="008943AE">
        <w:t xml:space="preserve">153 of the </w:t>
      </w:r>
      <w:r w:rsidR="00667810" w:rsidRPr="008943AE">
        <w:rPr>
          <w:i/>
        </w:rPr>
        <w:t>Criminal</w:t>
      </w:r>
      <w:r w:rsidR="00667810" w:rsidRPr="008943AE">
        <w:t xml:space="preserve"> </w:t>
      </w:r>
      <w:r w:rsidR="00667810" w:rsidRPr="008943AE">
        <w:rPr>
          <w:i/>
        </w:rPr>
        <w:t>Code</w:t>
      </w:r>
      <w:r w:rsidR="00667810" w:rsidRPr="008943AE">
        <w:t xml:space="preserve"> </w:t>
      </w:r>
      <w:r w:rsidR="009D278F" w:rsidRPr="008943AE">
        <w:t>makes</w:t>
      </w:r>
      <w:r w:rsidR="00667810" w:rsidRPr="008943AE">
        <w:t xml:space="preserve"> sexual exploitation of a young person</w:t>
      </w:r>
      <w:r w:rsidR="009D278F" w:rsidRPr="008943AE">
        <w:t xml:space="preserve"> a crime</w:t>
      </w:r>
      <w:r w:rsidR="00A05CB8">
        <w:t xml:space="preserve">. </w:t>
      </w:r>
      <w:r w:rsidR="00667810" w:rsidRPr="008943AE">
        <w:t>Thus, where the Crown seeks to rely on s.</w:t>
      </w:r>
      <w:r w:rsidR="00F96108">
        <w:t xml:space="preserve"> </w:t>
      </w:r>
      <w:r w:rsidR="00667810" w:rsidRPr="008943AE">
        <w:t>153 to negate the legality of the sexual activity depicted, the</w:t>
      </w:r>
      <w:r w:rsidR="00667810" w:rsidRPr="008943AE" w:rsidDel="00DD1F52">
        <w:t xml:space="preserve"> </w:t>
      </w:r>
      <w:r w:rsidR="009D278F" w:rsidRPr="008943AE">
        <w:t>judge must consider</w:t>
      </w:r>
      <w:r w:rsidR="00667810" w:rsidRPr="008943AE">
        <w:t xml:space="preserve"> whether it occurred in the context of an exploitative relationshi</w:t>
      </w:r>
      <w:r w:rsidR="00B63FE6">
        <w:t xml:space="preserve">p. </w:t>
      </w:r>
      <w:r w:rsidR="00667810" w:rsidRPr="008943AE">
        <w:t>If so, the sexual activity is not lawful, and the private use exception does not apply.</w:t>
      </w:r>
    </w:p>
    <w:p w:rsidR="00667810" w:rsidRPr="008943AE" w:rsidRDefault="00175C44" w:rsidP="007213AA">
      <w:pPr>
        <w:pStyle w:val="SCCNormalDoubleSpacing"/>
        <w:widowControl w:val="0"/>
        <w:spacing w:before="480" w:after="480"/>
      </w:pPr>
      <w:r w:rsidRPr="008943AE">
        <w:tab/>
        <w:t>Where s.</w:t>
      </w:r>
      <w:r w:rsidR="00F96108">
        <w:t xml:space="preserve"> </w:t>
      </w:r>
      <w:r w:rsidR="009D278F" w:rsidRPr="008943AE">
        <w:t>153</w:t>
      </w:r>
      <w:r w:rsidR="00667810" w:rsidRPr="008943AE">
        <w:t xml:space="preserve"> is engaged, the consent of the young person to the sexual activity cannot render it lawful. Thus</w:t>
      </w:r>
      <w:r w:rsidR="009D278F" w:rsidRPr="008943AE">
        <w:t>, w</w:t>
      </w:r>
      <w:r w:rsidR="00667810" w:rsidRPr="008943AE">
        <w:t xml:space="preserve">here an accused raises the private use exception and the Crown seeks to challenge the lawfulness of the sexual activity on the basis of exploitation, a trial judge must look beyond whether or not consent was given and holistically examine the nature and circumstances of the relationship between the young </w:t>
      </w:r>
      <w:r w:rsidRPr="008943AE">
        <w:t>person and the accused. Section</w:t>
      </w:r>
      <w:r w:rsidR="00F96108">
        <w:t xml:space="preserve"> </w:t>
      </w:r>
      <w:r w:rsidR="00667810" w:rsidRPr="008943AE">
        <w:t>153(1.2) provides a non</w:t>
      </w:r>
      <w:r w:rsidR="00F96108">
        <w:t>-</w:t>
      </w:r>
      <w:r w:rsidR="00667810" w:rsidRPr="008943AE">
        <w:lastRenderedPageBreak/>
        <w:t>exhaustive list of indicia from which a trial judge may infer that the relationship between the accused and a young person is exploitative:</w:t>
      </w:r>
      <w:r w:rsidR="009D278F" w:rsidRPr="008943AE">
        <w:t xml:space="preserve"> </w:t>
      </w:r>
      <w:r w:rsidR="00D91C6B">
        <w:t>“</w:t>
      </w:r>
      <w:r w:rsidR="00667810" w:rsidRPr="008943AE">
        <w:t>(</w:t>
      </w:r>
      <w:r w:rsidR="00667810" w:rsidRPr="008943AE">
        <w:rPr>
          <w:i/>
          <w:iCs/>
        </w:rPr>
        <w:t>a</w:t>
      </w:r>
      <w:r w:rsidRPr="008943AE">
        <w:t>)</w:t>
      </w:r>
      <w:r w:rsidR="00F96108">
        <w:t xml:space="preserve"> </w:t>
      </w:r>
      <w:r w:rsidR="00667810" w:rsidRPr="008943AE">
        <w:t>the age of the young person;</w:t>
      </w:r>
      <w:r w:rsidR="009D278F" w:rsidRPr="008943AE">
        <w:t xml:space="preserve"> </w:t>
      </w:r>
      <w:r w:rsidR="00667810" w:rsidRPr="008943AE">
        <w:t>(</w:t>
      </w:r>
      <w:r w:rsidR="00667810" w:rsidRPr="008943AE">
        <w:rPr>
          <w:i/>
          <w:iCs/>
        </w:rPr>
        <w:t>b</w:t>
      </w:r>
      <w:r w:rsidRPr="008943AE">
        <w:t>)</w:t>
      </w:r>
      <w:r w:rsidR="00F96108">
        <w:t xml:space="preserve"> </w:t>
      </w:r>
      <w:r w:rsidR="00667810" w:rsidRPr="008943AE">
        <w:t>the age difference between the person and the young person;</w:t>
      </w:r>
      <w:r w:rsidR="009D278F" w:rsidRPr="008943AE">
        <w:t xml:space="preserve"> </w:t>
      </w:r>
      <w:r w:rsidR="00667810" w:rsidRPr="008943AE">
        <w:t>(</w:t>
      </w:r>
      <w:r w:rsidR="00667810" w:rsidRPr="008943AE">
        <w:rPr>
          <w:i/>
          <w:iCs/>
        </w:rPr>
        <w:t>c</w:t>
      </w:r>
      <w:r w:rsidRPr="008943AE">
        <w:t>)</w:t>
      </w:r>
      <w:r w:rsidR="00F96108">
        <w:t xml:space="preserve"> </w:t>
      </w:r>
      <w:r w:rsidR="00667810" w:rsidRPr="008943AE">
        <w:t>the evolution of the relationship; and</w:t>
      </w:r>
      <w:r w:rsidR="009D278F" w:rsidRPr="008943AE">
        <w:t xml:space="preserve"> </w:t>
      </w:r>
      <w:r w:rsidR="00667810" w:rsidRPr="008943AE">
        <w:t>(</w:t>
      </w:r>
      <w:r w:rsidR="00667810" w:rsidRPr="008943AE">
        <w:rPr>
          <w:i/>
          <w:iCs/>
        </w:rPr>
        <w:t>d</w:t>
      </w:r>
      <w:r w:rsidRPr="008943AE">
        <w:t>)</w:t>
      </w:r>
      <w:r w:rsidR="00F96108">
        <w:t xml:space="preserve"> </w:t>
      </w:r>
      <w:r w:rsidR="00667810" w:rsidRPr="008943AE">
        <w:t>the degree of control or influence by the person over the young person</w:t>
      </w:r>
      <w:r w:rsidR="00D91C6B">
        <w:t>”</w:t>
      </w:r>
      <w:r w:rsidR="00667810" w:rsidRPr="008943AE">
        <w:t>.</w:t>
      </w:r>
      <w:r w:rsidR="009D278F" w:rsidRPr="008943AE">
        <w:t xml:space="preserve"> </w:t>
      </w:r>
      <w:r w:rsidR="00667810" w:rsidRPr="008943AE">
        <w:t>It is not necessary that the person accused of making or possessing child pornography</w:t>
      </w:r>
      <w:r w:rsidRPr="008943AE">
        <w:t xml:space="preserve"> be charged separately under s.</w:t>
      </w:r>
      <w:r w:rsidR="00F96108">
        <w:t xml:space="preserve"> </w:t>
      </w:r>
      <w:r w:rsidR="00667810" w:rsidRPr="008943AE">
        <w:t xml:space="preserve">153(1) in order for a judge to undertake this inquiry. The lawfulness of the sexual activity is independently assessed as part of the defence. </w:t>
      </w:r>
    </w:p>
    <w:p w:rsidR="00667810" w:rsidRPr="008943AE" w:rsidRDefault="00175C44" w:rsidP="007213AA">
      <w:pPr>
        <w:pStyle w:val="SCCNormalDoubleSpacing"/>
        <w:widowControl w:val="0"/>
        <w:spacing w:before="480" w:after="480"/>
      </w:pPr>
      <w:r w:rsidRPr="008943AE">
        <w:tab/>
      </w:r>
      <w:r w:rsidR="00667810" w:rsidRPr="008943AE">
        <w:t>In this case, the trial judge</w:t>
      </w:r>
      <w:r w:rsidR="009D278F" w:rsidRPr="008943AE">
        <w:t xml:space="preserve"> did not</w:t>
      </w:r>
      <w:r w:rsidR="00667810" w:rsidRPr="008943AE">
        <w:t xml:space="preserve"> </w:t>
      </w:r>
      <w:r w:rsidR="009D278F" w:rsidRPr="008943AE">
        <w:t>consider whether the</w:t>
      </w:r>
      <w:r w:rsidR="00667810" w:rsidRPr="008943AE">
        <w:t xml:space="preserve"> re</w:t>
      </w:r>
      <w:r w:rsidR="009D278F" w:rsidRPr="008943AE">
        <w:t xml:space="preserve">lationship </w:t>
      </w:r>
      <w:r w:rsidR="00667810" w:rsidRPr="008943AE">
        <w:t>between the girls</w:t>
      </w:r>
      <w:r w:rsidR="009D278F" w:rsidRPr="008943AE">
        <w:t xml:space="preserve"> and the accused</w:t>
      </w:r>
      <w:r w:rsidR="00667810" w:rsidRPr="008943AE">
        <w:t xml:space="preserve"> was exploitative within the meaning of s.</w:t>
      </w:r>
      <w:r w:rsidR="00F96108">
        <w:t xml:space="preserve"> </w:t>
      </w:r>
      <w:r w:rsidR="00667810" w:rsidRPr="008943AE">
        <w:t>153, despite the fact t</w:t>
      </w:r>
      <w:r w:rsidRPr="008943AE">
        <w:t>hat, at the time, s.</w:t>
      </w:r>
      <w:r w:rsidR="00F96108">
        <w:t xml:space="preserve"> </w:t>
      </w:r>
      <w:r w:rsidR="00667810" w:rsidRPr="008943AE">
        <w:t xml:space="preserve">153 applied to young persons between the ages of 14 and 17. Where the trial judge did consider evidence that would be relevant to exploitation, he did so in isolation, looking at the factors one at a time. For example, he identified the </w:t>
      </w:r>
      <w:r w:rsidR="009D278F" w:rsidRPr="008943AE">
        <w:t>girls’</w:t>
      </w:r>
      <w:r w:rsidR="00667810" w:rsidRPr="008943AE">
        <w:t xml:space="preserve"> age and the substantial difference in age between them and the accused, but found this was an insufficient basis for concluding that this difference was </w:t>
      </w:r>
      <w:r w:rsidR="009D278F" w:rsidRPr="008943AE">
        <w:t>exploitative</w:t>
      </w:r>
      <w:r w:rsidR="00667810" w:rsidRPr="008943AE">
        <w:t>. However, he did not assess this age difference in light of other aspects of the relationship, such as the impact of the girls’ addictions, their need for shelter, or their past and ongoing experiences with homelessness and prostitution. In short, he did not consider the specific factors in light of the broader context or whether they cumulatively resulted in an exploitative relationship.</w:t>
      </w:r>
    </w:p>
    <w:p w:rsidR="00667810" w:rsidRPr="008943AE" w:rsidRDefault="00175C44" w:rsidP="007213AA">
      <w:pPr>
        <w:pStyle w:val="SCCNormalDoubleSpacing"/>
        <w:widowControl w:val="0"/>
        <w:spacing w:before="480" w:after="480"/>
      </w:pPr>
      <w:r w:rsidRPr="008943AE">
        <w:tab/>
      </w:r>
      <w:r w:rsidR="00667810" w:rsidRPr="008943AE">
        <w:t>In othe</w:t>
      </w:r>
      <w:r w:rsidR="009D278F" w:rsidRPr="008943AE">
        <w:t>r words, t</w:t>
      </w:r>
      <w:r w:rsidR="00667810" w:rsidRPr="008943AE">
        <w:t xml:space="preserve">he trial judge’s analysis focused primarily on the voluntariness of </w:t>
      </w:r>
      <w:r w:rsidR="009D278F" w:rsidRPr="008943AE">
        <w:t>the sexual</w:t>
      </w:r>
      <w:r w:rsidR="00667810" w:rsidRPr="008943AE">
        <w:t xml:space="preserve"> activities, instead of on the nature of the relationship </w:t>
      </w:r>
      <w:r w:rsidR="00667810" w:rsidRPr="008943AE">
        <w:lastRenderedPageBreak/>
        <w:t>between the parties. While the voluntariness of sexual activities is an important aspect of lawfulness, it does not end the inquiry. The trial judge was also required to holistically assess the nature and circumstances of the relationship to determine whether the sexual activity was rendered unlawful under s.</w:t>
      </w:r>
      <w:r w:rsidR="00F96108">
        <w:t xml:space="preserve"> </w:t>
      </w:r>
      <w:r w:rsidR="00667810" w:rsidRPr="008943AE">
        <w:t xml:space="preserve">153. By failing to consider whether the underlying relationship between the </w:t>
      </w:r>
      <w:r w:rsidR="009D278F" w:rsidRPr="008943AE">
        <w:t>girls</w:t>
      </w:r>
      <w:r w:rsidR="00667810" w:rsidRPr="008943AE">
        <w:t xml:space="preserve"> and the accused was exploitative, the trial judge erred in law.</w:t>
      </w:r>
      <w:r w:rsidR="009D278F" w:rsidRPr="008943AE">
        <w:t xml:space="preserve"> This </w:t>
      </w:r>
      <w:r w:rsidR="00667810" w:rsidRPr="008943AE">
        <w:t>error</w:t>
      </w:r>
      <w:r w:rsidR="009D278F" w:rsidRPr="008943AE">
        <w:t xml:space="preserve"> had a material bearing on the </w:t>
      </w:r>
      <w:r w:rsidR="00C4564A">
        <w:t>accused’s</w:t>
      </w:r>
      <w:r w:rsidR="009D278F" w:rsidRPr="008943AE">
        <w:t xml:space="preserve"> acquittals and</w:t>
      </w:r>
      <w:r w:rsidR="00667810" w:rsidRPr="008943AE">
        <w:t xml:space="preserve"> requires a new tri</w:t>
      </w:r>
      <w:r w:rsidRPr="008943AE">
        <w:t>al.</w:t>
      </w:r>
      <w:r w:rsidR="00F96108">
        <w:t xml:space="preserve"> </w:t>
      </w:r>
    </w:p>
    <w:p w:rsidR="007E1C47" w:rsidRPr="008943AE" w:rsidRDefault="002E6705" w:rsidP="007213AA">
      <w:pPr>
        <w:pStyle w:val="SCCNormalDoubleSpacing"/>
        <w:widowControl w:val="0"/>
        <w:spacing w:before="480" w:after="480"/>
        <w:rPr>
          <w:b/>
        </w:rPr>
      </w:pPr>
      <w:r w:rsidRPr="008943AE">
        <w:rPr>
          <w:b/>
        </w:rPr>
        <w:t>Cases Cited</w:t>
      </w:r>
    </w:p>
    <w:p w:rsidR="004E2C26" w:rsidRPr="008943AE" w:rsidRDefault="002E6705" w:rsidP="007213AA">
      <w:pPr>
        <w:pStyle w:val="SCCNormalDoubleSpacing"/>
        <w:widowControl w:val="0"/>
        <w:spacing w:before="480" w:after="480"/>
      </w:pPr>
      <w:r w:rsidRPr="008943AE">
        <w:tab/>
      </w:r>
      <w:r w:rsidR="00C81649" w:rsidRPr="008943AE">
        <w:rPr>
          <w:b/>
        </w:rPr>
        <w:t>Applied:</w:t>
      </w:r>
      <w:r w:rsidR="00C81649" w:rsidRPr="008943AE">
        <w:t xml:space="preserve"> </w:t>
      </w:r>
      <w:r w:rsidR="00E25506" w:rsidRPr="008943AE">
        <w:rPr>
          <w:i/>
        </w:rPr>
        <w:t>R. v. Sharpe</w:t>
      </w:r>
      <w:r w:rsidR="00E25506" w:rsidRPr="008943AE">
        <w:t xml:space="preserve">, 2001 SCC 2, [2001] 1 S.C.R. 45; </w:t>
      </w:r>
      <w:r w:rsidR="00C81649" w:rsidRPr="008943AE">
        <w:rPr>
          <w:b/>
        </w:rPr>
        <w:t>referred to:</w:t>
      </w:r>
      <w:r w:rsidR="00C81649" w:rsidRPr="008943AE">
        <w:t xml:space="preserve"> </w:t>
      </w:r>
      <w:r w:rsidR="00733BF1" w:rsidRPr="008943AE">
        <w:rPr>
          <w:i/>
        </w:rPr>
        <w:t>R. v.</w:t>
      </w:r>
      <w:r w:rsidR="00733BF1" w:rsidRPr="008943AE">
        <w:t xml:space="preserve"> </w:t>
      </w:r>
      <w:r w:rsidR="00733BF1" w:rsidRPr="008943AE">
        <w:rPr>
          <w:i/>
        </w:rPr>
        <w:t>Cockell</w:t>
      </w:r>
      <w:r w:rsidR="00733BF1" w:rsidRPr="008943AE">
        <w:t xml:space="preserve">, 2013 ABCA 112, 553 A.R. 91, leave to appeal refused, [2013] 3 S.C.R. x; </w:t>
      </w:r>
      <w:r w:rsidR="00CC5CA2" w:rsidRPr="008943AE">
        <w:rPr>
          <w:i/>
        </w:rPr>
        <w:t>R. v. L.W.</w:t>
      </w:r>
      <w:r w:rsidR="00392CF8" w:rsidRPr="008943AE">
        <w:rPr>
          <w:i/>
        </w:rPr>
        <w:t xml:space="preserve"> </w:t>
      </w:r>
      <w:r w:rsidR="00392CF8" w:rsidRPr="008943AE">
        <w:t>(2006)</w:t>
      </w:r>
      <w:r w:rsidR="00CC5CA2" w:rsidRPr="008943AE">
        <w:t xml:space="preserve">, </w:t>
      </w:r>
      <w:r w:rsidR="00392CF8" w:rsidRPr="008943AE">
        <w:t xml:space="preserve">208 O.A.C. 42; </w:t>
      </w:r>
      <w:r w:rsidR="00BD44D6" w:rsidRPr="008943AE">
        <w:rPr>
          <w:i/>
        </w:rPr>
        <w:t>R. v. Pickton</w:t>
      </w:r>
      <w:r w:rsidR="00BD44D6" w:rsidRPr="008943AE">
        <w:t xml:space="preserve">, 2010 SCC 32, [2010] 2 S.C.R. 198; </w:t>
      </w:r>
      <w:r w:rsidR="00D94C28" w:rsidRPr="008943AE">
        <w:rPr>
          <w:i/>
        </w:rPr>
        <w:t>R</w:t>
      </w:r>
      <w:r w:rsidR="00385770" w:rsidRPr="008943AE">
        <w:rPr>
          <w:i/>
        </w:rPr>
        <w:t>.</w:t>
      </w:r>
      <w:r w:rsidR="00D94C28" w:rsidRPr="008943AE">
        <w:rPr>
          <w:i/>
        </w:rPr>
        <w:t xml:space="preserve"> v. Sappier</w:t>
      </w:r>
      <w:r w:rsidR="00D94C28" w:rsidRPr="008943AE">
        <w:t xml:space="preserve">, 2006 SCC </w:t>
      </w:r>
      <w:r w:rsidR="00CE7A42" w:rsidRPr="008943AE">
        <w:t xml:space="preserve">54, </w:t>
      </w:r>
      <w:r w:rsidR="00D94C28" w:rsidRPr="008943AE">
        <w:t xml:space="preserve">[2006] 2 S.C.R. 686; </w:t>
      </w:r>
      <w:r w:rsidR="00D94C28" w:rsidRPr="008943AE">
        <w:rPr>
          <w:i/>
        </w:rPr>
        <w:t>M</w:t>
      </w:r>
      <w:r w:rsidR="00CE7A42" w:rsidRPr="008943AE">
        <w:rPr>
          <w:i/>
        </w:rPr>
        <w:t>.</w:t>
      </w:r>
      <w:r w:rsidR="00D94C28" w:rsidRPr="008943AE">
        <w:rPr>
          <w:i/>
        </w:rPr>
        <w:t xml:space="preserve"> v. H</w:t>
      </w:r>
      <w:r w:rsidR="00CE7A42" w:rsidRPr="008943AE">
        <w:rPr>
          <w:i/>
        </w:rPr>
        <w:t>.</w:t>
      </w:r>
      <w:r w:rsidR="00D94C28" w:rsidRPr="008943AE">
        <w:t xml:space="preserve">, [1999] 2 S.C.R. 3; </w:t>
      </w:r>
      <w:r w:rsidR="005141AF" w:rsidRPr="008943AE">
        <w:rPr>
          <w:i/>
        </w:rPr>
        <w:t>R. v. Graveline</w:t>
      </w:r>
      <w:r w:rsidR="005141AF" w:rsidRPr="008943AE">
        <w:t xml:space="preserve">, 2006 SCC 16, [2006] 1 S.C.R. 609; </w:t>
      </w:r>
      <w:r w:rsidR="005141AF" w:rsidRPr="008943AE">
        <w:rPr>
          <w:i/>
        </w:rPr>
        <w:t>R. v. Morin</w:t>
      </w:r>
      <w:r w:rsidR="005141AF" w:rsidRPr="008943AE">
        <w:t>, [1988]</w:t>
      </w:r>
      <w:r w:rsidR="005141AF" w:rsidRPr="008943AE">
        <w:rPr>
          <w:i/>
        </w:rPr>
        <w:t xml:space="preserve"> </w:t>
      </w:r>
      <w:r w:rsidR="005141AF" w:rsidRPr="008943AE">
        <w:t>2 S.C.R. 345</w:t>
      </w:r>
      <w:r w:rsidR="00677677" w:rsidRPr="008943AE">
        <w:t xml:space="preserve">. </w:t>
      </w:r>
    </w:p>
    <w:p w:rsidR="003B215F" w:rsidRPr="008943AE" w:rsidRDefault="002E6705" w:rsidP="007213AA">
      <w:pPr>
        <w:pStyle w:val="SCCNormalDoubleSpacing"/>
        <w:widowControl w:val="0"/>
        <w:spacing w:after="720" w:line="240" w:lineRule="auto"/>
        <w:rPr>
          <w:b/>
        </w:rPr>
      </w:pPr>
      <w:r w:rsidRPr="008943AE">
        <w:rPr>
          <w:b/>
        </w:rPr>
        <w:t>Statutes and Regulations Cite</w:t>
      </w:r>
      <w:r w:rsidR="00A41805" w:rsidRPr="008943AE">
        <w:rPr>
          <w:b/>
        </w:rPr>
        <w:t>d</w:t>
      </w:r>
    </w:p>
    <w:p w:rsidR="00380945" w:rsidRPr="008943AE" w:rsidRDefault="00380945" w:rsidP="007213AA">
      <w:pPr>
        <w:pStyle w:val="SCCNormalDoubleSpacing"/>
        <w:widowControl w:val="0"/>
        <w:spacing w:after="240" w:line="240" w:lineRule="auto"/>
        <w:ind w:left="1138" w:hanging="1138"/>
      </w:pPr>
      <w:r w:rsidRPr="008943AE">
        <w:rPr>
          <w:i/>
        </w:rPr>
        <w:t>Canadian Charter of Rights and Freedoms</w:t>
      </w:r>
      <w:r w:rsidRPr="008943AE">
        <w:t xml:space="preserve">, </w:t>
      </w:r>
      <w:r w:rsidR="00175C44" w:rsidRPr="008943AE">
        <w:t>ss.</w:t>
      </w:r>
      <w:r w:rsidR="00F96108">
        <w:t xml:space="preserve"> </w:t>
      </w:r>
      <w:r w:rsidR="00B76E45" w:rsidRPr="008943AE">
        <w:t xml:space="preserve">1, </w:t>
      </w:r>
      <w:r w:rsidRPr="008943AE">
        <w:t>2(</w:t>
      </w:r>
      <w:r w:rsidRPr="008943AE">
        <w:rPr>
          <w:i/>
        </w:rPr>
        <w:t>b</w:t>
      </w:r>
      <w:r w:rsidRPr="008943AE">
        <w:t>).</w:t>
      </w:r>
    </w:p>
    <w:p w:rsidR="00510787" w:rsidRDefault="00510787" w:rsidP="00D91C6B">
      <w:pPr>
        <w:pStyle w:val="SCCNormalDoubleSpacing"/>
        <w:widowControl w:val="0"/>
        <w:spacing w:after="240" w:line="240" w:lineRule="auto"/>
        <w:ind w:left="1138" w:hanging="1138"/>
      </w:pPr>
      <w:r w:rsidRPr="008943AE">
        <w:rPr>
          <w:i/>
        </w:rPr>
        <w:t>Criminal Code</w:t>
      </w:r>
      <w:r w:rsidR="005300BE" w:rsidRPr="008943AE">
        <w:t>, R.S.C. 1985, c.</w:t>
      </w:r>
      <w:r w:rsidR="00F96108">
        <w:t xml:space="preserve"> </w:t>
      </w:r>
      <w:r w:rsidR="005300BE" w:rsidRPr="008943AE">
        <w:t>C</w:t>
      </w:r>
      <w:r w:rsidR="00F96108">
        <w:t>-</w:t>
      </w:r>
      <w:r w:rsidR="005300BE" w:rsidRPr="008943AE">
        <w:t xml:space="preserve">46, </w:t>
      </w:r>
      <w:r w:rsidR="00175C44" w:rsidRPr="008943AE">
        <w:t>ss.</w:t>
      </w:r>
      <w:r w:rsidR="00F96108">
        <w:t xml:space="preserve"> </w:t>
      </w:r>
      <w:r w:rsidR="001458A2" w:rsidRPr="008943AE">
        <w:t xml:space="preserve">150.1, </w:t>
      </w:r>
      <w:r w:rsidR="00F17FAE" w:rsidRPr="008943AE">
        <w:t xml:space="preserve">151, </w:t>
      </w:r>
      <w:r w:rsidR="007B0FC6" w:rsidRPr="008943AE">
        <w:t xml:space="preserve">152, </w:t>
      </w:r>
      <w:r w:rsidR="00825F7F" w:rsidRPr="008943AE">
        <w:t xml:space="preserve">153, </w:t>
      </w:r>
      <w:r w:rsidR="00CC5CA2" w:rsidRPr="008943AE">
        <w:t xml:space="preserve">155, </w:t>
      </w:r>
      <w:r w:rsidR="00F17FAE" w:rsidRPr="008943AE">
        <w:t xml:space="preserve">160(3), </w:t>
      </w:r>
      <w:r w:rsidRPr="008943AE">
        <w:t>163.1</w:t>
      </w:r>
      <w:r w:rsidR="00825F7F" w:rsidRPr="008943AE">
        <w:t xml:space="preserve">, </w:t>
      </w:r>
      <w:r w:rsidR="00F17FAE" w:rsidRPr="008943AE">
        <w:t xml:space="preserve">173(2), </w:t>
      </w:r>
      <w:r w:rsidR="00825F7F" w:rsidRPr="008943AE">
        <w:t xml:space="preserve">265(3), </w:t>
      </w:r>
      <w:r w:rsidR="00F17FAE" w:rsidRPr="008943AE">
        <w:t xml:space="preserve">271 to 273, </w:t>
      </w:r>
      <w:r w:rsidR="00825F7F" w:rsidRPr="008943AE">
        <w:t>273.1</w:t>
      </w:r>
      <w:r w:rsidR="00CE7A42" w:rsidRPr="008943AE">
        <w:t xml:space="preserve">, </w:t>
      </w:r>
      <w:r w:rsidR="00385770" w:rsidRPr="008943AE">
        <w:t>686(4)(</w:t>
      </w:r>
      <w:r w:rsidR="00385770" w:rsidRPr="008943AE">
        <w:rPr>
          <w:i/>
        </w:rPr>
        <w:t>b</w:t>
      </w:r>
      <w:r w:rsidR="00385770" w:rsidRPr="008943AE">
        <w:t>)(ii)</w:t>
      </w:r>
      <w:r w:rsidR="00D91C6B">
        <w:t>.</w:t>
      </w:r>
    </w:p>
    <w:p w:rsidR="00D91C6B" w:rsidRPr="00D91C6B" w:rsidRDefault="00D91C6B" w:rsidP="007213AA">
      <w:pPr>
        <w:pStyle w:val="SCCNormalDoubleSpacing"/>
        <w:widowControl w:val="0"/>
        <w:spacing w:after="720" w:line="240" w:lineRule="auto"/>
        <w:ind w:left="1134" w:hanging="1134"/>
      </w:pPr>
      <w:r w:rsidRPr="00D91C6B">
        <w:rPr>
          <w:i/>
        </w:rPr>
        <w:t>Tackling Violent Crime Act</w:t>
      </w:r>
      <w:r>
        <w:t>, S.C. 2008, c. 6.</w:t>
      </w:r>
    </w:p>
    <w:p w:rsidR="00656313" w:rsidRPr="008943AE" w:rsidRDefault="00811854" w:rsidP="007213AA">
      <w:pPr>
        <w:pStyle w:val="SCCNormalDoubleSpacing"/>
        <w:widowControl w:val="0"/>
        <w:spacing w:before="480" w:after="480"/>
      </w:pPr>
      <w:r w:rsidRPr="008943AE">
        <w:tab/>
      </w:r>
      <w:r w:rsidR="009B57B3" w:rsidRPr="008943AE">
        <w:t>APPEAL</w:t>
      </w:r>
      <w:r w:rsidRPr="008943AE">
        <w:t>S</w:t>
      </w:r>
      <w:r w:rsidR="009B57B3" w:rsidRPr="008943AE">
        <w:t xml:space="preserve"> from a judgment of the </w:t>
      </w:r>
      <w:r w:rsidRPr="008943AE">
        <w:t xml:space="preserve">Alberta </w:t>
      </w:r>
      <w:r w:rsidR="009B57B3" w:rsidRPr="008943AE">
        <w:t>Court of Appeal</w:t>
      </w:r>
      <w:r w:rsidR="00501676" w:rsidRPr="008943AE">
        <w:t xml:space="preserve"> (Berger, Watson and Slatter</w:t>
      </w:r>
      <w:r w:rsidR="00F96108">
        <w:t xml:space="preserve"> </w:t>
      </w:r>
      <w:r w:rsidR="00501676" w:rsidRPr="008943AE">
        <w:t>JJ.A.)</w:t>
      </w:r>
      <w:r w:rsidRPr="008943AE">
        <w:t>, 2014 ABCA 126</w:t>
      </w:r>
      <w:r w:rsidR="00501676" w:rsidRPr="008943AE">
        <w:t xml:space="preserve">, </w:t>
      </w:r>
      <w:r w:rsidR="001F292D" w:rsidRPr="008943AE">
        <w:t xml:space="preserve">572 A.R. 289, </w:t>
      </w:r>
      <w:r w:rsidR="005A79B2" w:rsidRPr="008943AE">
        <w:t xml:space="preserve">98 Alta. L.R. (5th) 125, </w:t>
      </w:r>
      <w:r w:rsidR="005A79B2" w:rsidRPr="008943AE">
        <w:lastRenderedPageBreak/>
        <w:t xml:space="preserve">10 C.R. (7th) 350, [2014] 8 W.W.R. 69, 310 C.C.C. (3d) 360, 306 C.R.R. (2d) 299, </w:t>
      </w:r>
      <w:r w:rsidR="00D91C6B">
        <w:t xml:space="preserve">609 W.A.C. 289, </w:t>
      </w:r>
      <w:r w:rsidR="00501676" w:rsidRPr="008943AE">
        <w:t xml:space="preserve">[2014] A.J. </w:t>
      </w:r>
      <w:r w:rsidR="00175C44" w:rsidRPr="008943AE">
        <w:t>No.</w:t>
      </w:r>
      <w:r w:rsidR="00F96108">
        <w:t xml:space="preserve"> </w:t>
      </w:r>
      <w:r w:rsidR="00501676" w:rsidRPr="008943AE">
        <w:t>322 (QL)</w:t>
      </w:r>
      <w:r w:rsidR="005A79B2" w:rsidRPr="008943AE">
        <w:t>,</w:t>
      </w:r>
      <w:r w:rsidRPr="008943AE">
        <w:t xml:space="preserve"> </w:t>
      </w:r>
      <w:r w:rsidR="005A79B2" w:rsidRPr="008943AE">
        <w:t xml:space="preserve">2014 CarswellAlta 489 (WL Can.), setting aside the acquittals </w:t>
      </w:r>
      <w:r w:rsidR="00D43A05" w:rsidRPr="008943AE">
        <w:t>entered</w:t>
      </w:r>
      <w:r w:rsidR="005A79B2" w:rsidRPr="008943AE">
        <w:t xml:space="preserve"> by</w:t>
      </w:r>
      <w:r w:rsidR="008E0958" w:rsidRPr="008943AE">
        <w:t xml:space="preserve"> Thomas</w:t>
      </w:r>
      <w:r w:rsidR="00F96108">
        <w:t xml:space="preserve"> </w:t>
      </w:r>
      <w:r w:rsidR="005A79B2" w:rsidRPr="008943AE">
        <w:t xml:space="preserve">J., 2012 ABQB 99, </w:t>
      </w:r>
      <w:r w:rsidR="004E25FF" w:rsidRPr="008943AE">
        <w:t xml:space="preserve">532 A.R. 364, </w:t>
      </w:r>
      <w:r w:rsidR="005A79B2" w:rsidRPr="008943AE">
        <w:t xml:space="preserve">59 Alta. L.R. (5th) 369, 284 C.C.C. (3d) 62, [2012] 10 W.W.R. 104, [2012] A.J. </w:t>
      </w:r>
      <w:r w:rsidR="00175C44" w:rsidRPr="008943AE">
        <w:t>No.</w:t>
      </w:r>
      <w:r w:rsidR="00F96108">
        <w:t xml:space="preserve"> </w:t>
      </w:r>
      <w:r w:rsidR="005A79B2" w:rsidRPr="008943AE">
        <w:t>191 (QL), 2012 CarswellAlta 434</w:t>
      </w:r>
      <w:r w:rsidR="00D25110" w:rsidRPr="008943AE">
        <w:t xml:space="preserve"> (WL Can.)</w:t>
      </w:r>
      <w:r w:rsidR="005A79B2" w:rsidRPr="008943AE">
        <w:t xml:space="preserve">. </w:t>
      </w:r>
      <w:r w:rsidRPr="008943AE">
        <w:t xml:space="preserve">Appeals </w:t>
      </w:r>
      <w:r w:rsidR="00C81649" w:rsidRPr="008943AE">
        <w:t>allowed and new trial ordered</w:t>
      </w:r>
      <w:r w:rsidRPr="008943AE">
        <w:t>.</w:t>
      </w:r>
    </w:p>
    <w:p w:rsidR="00AC374C" w:rsidRPr="008943AE" w:rsidRDefault="00501676" w:rsidP="007213AA">
      <w:pPr>
        <w:pStyle w:val="SCCNormalDoubleSpacing"/>
        <w:widowControl w:val="0"/>
        <w:spacing w:before="480" w:after="480"/>
      </w:pPr>
      <w:r w:rsidRPr="008943AE">
        <w:rPr>
          <w:rStyle w:val="SCCCounselNameChar"/>
          <w:i w:val="0"/>
        </w:rPr>
        <w:tab/>
      </w:r>
      <w:r w:rsidRPr="008943AE">
        <w:rPr>
          <w:rStyle w:val="SCCCounselNameChar"/>
        </w:rPr>
        <w:t>Peter</w:t>
      </w:r>
      <w:r w:rsidR="00F96108">
        <w:rPr>
          <w:rStyle w:val="SCCCounselNameChar"/>
        </w:rPr>
        <w:t xml:space="preserve"> </w:t>
      </w:r>
      <w:r w:rsidR="00811854" w:rsidRPr="008943AE">
        <w:rPr>
          <w:rStyle w:val="SCCCounselNameChar"/>
        </w:rPr>
        <w:t>J. Royal</w:t>
      </w:r>
      <w:r w:rsidR="00811854" w:rsidRPr="008943AE">
        <w:rPr>
          <w:rStyle w:val="SCCCounselNameChar"/>
          <w:i w:val="0"/>
        </w:rPr>
        <w:t xml:space="preserve">, </w:t>
      </w:r>
      <w:r w:rsidR="00811854" w:rsidRPr="008943AE">
        <w:rPr>
          <w:rStyle w:val="SCCCounselNameChar"/>
        </w:rPr>
        <w:t>Q.C.</w:t>
      </w:r>
      <w:r w:rsidR="00811854" w:rsidRPr="008943AE">
        <w:rPr>
          <w:rStyle w:val="SCCCounselPartyRoleChar"/>
        </w:rPr>
        <w:t>, for the appellant</w:t>
      </w:r>
      <w:r w:rsidRPr="008943AE">
        <w:rPr>
          <w:rStyle w:val="SCCCounselPartyRoleChar"/>
        </w:rPr>
        <w:t xml:space="preserve"> </w:t>
      </w:r>
      <w:r w:rsidRPr="008943AE">
        <w:t>Donald Jerry Barabash</w:t>
      </w:r>
      <w:r w:rsidR="00811854" w:rsidRPr="008943AE">
        <w:rPr>
          <w:rStyle w:val="SCCCounselPartyRoleChar"/>
        </w:rPr>
        <w:t>.</w:t>
      </w:r>
    </w:p>
    <w:p w:rsidR="00501676" w:rsidRPr="008943AE" w:rsidRDefault="00501676" w:rsidP="007213AA">
      <w:pPr>
        <w:pStyle w:val="SCCNormalDoubleSpacing"/>
        <w:widowControl w:val="0"/>
        <w:spacing w:before="480" w:after="480"/>
      </w:pPr>
      <w:r w:rsidRPr="008943AE">
        <w:rPr>
          <w:rStyle w:val="SCCCounselNameChar"/>
          <w:i w:val="0"/>
        </w:rPr>
        <w:tab/>
      </w:r>
      <w:r w:rsidRPr="008943AE">
        <w:rPr>
          <w:rStyle w:val="SCCCounselNameChar"/>
        </w:rPr>
        <w:t>Diana</w:t>
      </w:r>
      <w:r w:rsidR="00F96108">
        <w:rPr>
          <w:rStyle w:val="SCCCounselNameChar"/>
        </w:rPr>
        <w:t xml:space="preserve"> </w:t>
      </w:r>
      <w:r w:rsidRPr="008943AE">
        <w:rPr>
          <w:rStyle w:val="SCCCounselNameChar"/>
        </w:rPr>
        <w:t>C. Goldie</w:t>
      </w:r>
      <w:r w:rsidRPr="008943AE">
        <w:rPr>
          <w:rStyle w:val="SCCCounselSeparatorChar"/>
        </w:rPr>
        <w:t xml:space="preserve"> and </w:t>
      </w:r>
      <w:r w:rsidRPr="008943AE">
        <w:rPr>
          <w:rStyle w:val="SCCCounselNameChar"/>
        </w:rPr>
        <w:t>Thomas Slade</w:t>
      </w:r>
      <w:r w:rsidRPr="008943AE">
        <w:rPr>
          <w:rStyle w:val="SCCCounselPartyRoleChar"/>
        </w:rPr>
        <w:t xml:space="preserve">, for the appellant </w:t>
      </w:r>
      <w:r w:rsidRPr="008943AE">
        <w:t>Shane Gordon Rollison</w:t>
      </w:r>
      <w:r w:rsidRPr="008943AE">
        <w:rPr>
          <w:rStyle w:val="SCCCounselPartyRoleChar"/>
        </w:rPr>
        <w:t>.</w:t>
      </w:r>
    </w:p>
    <w:p w:rsidR="00AC374C" w:rsidRPr="008943AE" w:rsidRDefault="00811854" w:rsidP="007213AA">
      <w:pPr>
        <w:pStyle w:val="SCCNormalDoubleSpacing"/>
        <w:widowControl w:val="0"/>
        <w:spacing w:before="480" w:after="480"/>
      </w:pPr>
      <w:r w:rsidRPr="008943AE">
        <w:rPr>
          <w:rStyle w:val="SCCCounselNameChar"/>
          <w:i w:val="0"/>
        </w:rPr>
        <w:tab/>
      </w:r>
      <w:r w:rsidRPr="008943AE">
        <w:rPr>
          <w:rStyle w:val="SCCCounselNameChar"/>
        </w:rPr>
        <w:t>Jolaine Antonio</w:t>
      </w:r>
      <w:r w:rsidRPr="008943AE">
        <w:rPr>
          <w:rStyle w:val="SCCCounselSeparatorChar"/>
        </w:rPr>
        <w:t xml:space="preserve"> and </w:t>
      </w:r>
      <w:r w:rsidRPr="008943AE">
        <w:rPr>
          <w:rStyle w:val="SCCCounselNameChar"/>
        </w:rPr>
        <w:t>Julie Morgan</w:t>
      </w:r>
      <w:r w:rsidRPr="008943AE">
        <w:rPr>
          <w:rStyle w:val="SCCCounselPartyRoleChar"/>
        </w:rPr>
        <w:t>, for the respondent.</w:t>
      </w:r>
    </w:p>
    <w:p w:rsidR="00501676" w:rsidRPr="008943AE" w:rsidRDefault="00501676" w:rsidP="007213AA">
      <w:pPr>
        <w:pStyle w:val="SCCNormalDoubleSpacing"/>
        <w:widowControl w:val="0"/>
        <w:spacing w:before="480" w:after="480"/>
      </w:pPr>
      <w:r w:rsidRPr="008943AE">
        <w:rPr>
          <w:rStyle w:val="SCCCounselNameChar"/>
          <w:i w:val="0"/>
        </w:rPr>
        <w:tab/>
      </w:r>
      <w:r w:rsidRPr="008943AE">
        <w:rPr>
          <w:rStyle w:val="SCCCounselNameChar"/>
        </w:rPr>
        <w:t>Jeffrey</w:t>
      </w:r>
      <w:r w:rsidR="00F96108">
        <w:rPr>
          <w:rStyle w:val="SCCCounselNameChar"/>
        </w:rPr>
        <w:t xml:space="preserve"> </w:t>
      </w:r>
      <w:r w:rsidRPr="008943AE">
        <w:rPr>
          <w:rStyle w:val="SCCCounselNameChar"/>
        </w:rPr>
        <w:t>G. Johnston</w:t>
      </w:r>
      <w:r w:rsidRPr="008943AE">
        <w:rPr>
          <w:rStyle w:val="SCCCounselPartyRoleChar"/>
        </w:rPr>
        <w:t>, for the intervener the Attorney General of Canada.</w:t>
      </w:r>
    </w:p>
    <w:p w:rsidR="00AC374C" w:rsidRPr="008943AE" w:rsidRDefault="00811854" w:rsidP="007213AA">
      <w:pPr>
        <w:pStyle w:val="SCCNormalDoubleSpacing"/>
        <w:widowControl w:val="0"/>
        <w:spacing w:before="480" w:after="480"/>
      </w:pPr>
      <w:r w:rsidRPr="008943AE">
        <w:rPr>
          <w:rStyle w:val="SCCCounselNameChar"/>
          <w:i w:val="0"/>
        </w:rPr>
        <w:tab/>
      </w:r>
      <w:r w:rsidRPr="008943AE">
        <w:rPr>
          <w:rStyle w:val="SCCCounselNameChar"/>
        </w:rPr>
        <w:t>Chr</w:t>
      </w:r>
      <w:r w:rsidR="00501676" w:rsidRPr="008943AE">
        <w:rPr>
          <w:rStyle w:val="SCCCounselNameChar"/>
        </w:rPr>
        <w:t>istine Bartlett</w:t>
      </w:r>
      <w:r w:rsidR="00F96108">
        <w:rPr>
          <w:rStyle w:val="SCCCounselNameChar"/>
        </w:rPr>
        <w:t>-</w:t>
      </w:r>
      <w:r w:rsidRPr="008943AE">
        <w:rPr>
          <w:rStyle w:val="SCCCounselNameChar"/>
        </w:rPr>
        <w:t>Hughes</w:t>
      </w:r>
      <w:r w:rsidRPr="008943AE">
        <w:rPr>
          <w:rStyle w:val="SCCCounselSeparatorChar"/>
        </w:rPr>
        <w:t xml:space="preserve"> and </w:t>
      </w:r>
      <w:r w:rsidRPr="008943AE">
        <w:rPr>
          <w:rStyle w:val="SCCCounselNameChar"/>
        </w:rPr>
        <w:t>Lisa Henderson</w:t>
      </w:r>
      <w:r w:rsidRPr="008943AE">
        <w:rPr>
          <w:rStyle w:val="SCCCounselPartyRoleChar"/>
        </w:rPr>
        <w:t xml:space="preserve">, for the intervener </w:t>
      </w:r>
      <w:r w:rsidR="00501676" w:rsidRPr="008943AE">
        <w:rPr>
          <w:rStyle w:val="SCCCounselPartyRoleChar"/>
        </w:rPr>
        <w:t xml:space="preserve">the </w:t>
      </w:r>
      <w:r w:rsidRPr="008943AE">
        <w:rPr>
          <w:rStyle w:val="SCCCounselPartyRoleChar"/>
        </w:rPr>
        <w:t>Attorney General of Ontario.</w:t>
      </w:r>
    </w:p>
    <w:p w:rsidR="00AC374C" w:rsidRPr="008943AE" w:rsidRDefault="00811854" w:rsidP="007213AA">
      <w:pPr>
        <w:pStyle w:val="SCCNormalDoubleSpacing"/>
        <w:widowControl w:val="0"/>
        <w:spacing w:before="480" w:after="480"/>
      </w:pPr>
      <w:r w:rsidRPr="008943AE">
        <w:rPr>
          <w:rStyle w:val="SCCCounselNameChar"/>
          <w:i w:val="0"/>
        </w:rPr>
        <w:tab/>
      </w:r>
      <w:r w:rsidR="00501676" w:rsidRPr="008943AE">
        <w:rPr>
          <w:rStyle w:val="SCCCounselNameChar"/>
        </w:rPr>
        <w:t>Alexi</w:t>
      </w:r>
      <w:r w:rsidR="00F96108">
        <w:rPr>
          <w:rStyle w:val="SCCCounselNameChar"/>
        </w:rPr>
        <w:t xml:space="preserve"> </w:t>
      </w:r>
      <w:r w:rsidRPr="008943AE">
        <w:rPr>
          <w:rStyle w:val="SCCCounselNameChar"/>
        </w:rPr>
        <w:t>N. Wood</w:t>
      </w:r>
      <w:r w:rsidRPr="008943AE">
        <w:rPr>
          <w:rStyle w:val="SCCCounselSeparatorChar"/>
        </w:rPr>
        <w:t xml:space="preserve"> and </w:t>
      </w:r>
      <w:r w:rsidRPr="008943AE">
        <w:rPr>
          <w:rStyle w:val="SCCCounselNameChar"/>
        </w:rPr>
        <w:t>Kate Southwell</w:t>
      </w:r>
      <w:r w:rsidRPr="008943AE">
        <w:rPr>
          <w:rStyle w:val="SCCCounselPartyRoleChar"/>
        </w:rPr>
        <w:t xml:space="preserve">, for the intervener </w:t>
      </w:r>
      <w:r w:rsidR="00501676" w:rsidRPr="008943AE">
        <w:rPr>
          <w:rStyle w:val="SCCCounselPartyRoleChar"/>
        </w:rPr>
        <w:t xml:space="preserve">the </w:t>
      </w:r>
      <w:r w:rsidRPr="008943AE">
        <w:rPr>
          <w:rStyle w:val="SCCCounselPartyRoleChar"/>
        </w:rPr>
        <w:t>Canadian Civil Liberties Association.</w:t>
      </w:r>
    </w:p>
    <w:p w:rsidR="00AC374C" w:rsidRDefault="00811854" w:rsidP="007213AA">
      <w:pPr>
        <w:pStyle w:val="SCCNormalDoubleSpacing"/>
        <w:widowControl w:val="0"/>
        <w:spacing w:before="480" w:after="480"/>
        <w:rPr>
          <w:rStyle w:val="SCCCounselPartyRoleChar"/>
        </w:rPr>
      </w:pPr>
      <w:r w:rsidRPr="008943AE">
        <w:rPr>
          <w:rStyle w:val="SCCCounselNameChar"/>
          <w:i w:val="0"/>
        </w:rPr>
        <w:tab/>
      </w:r>
      <w:r w:rsidRPr="008943AE">
        <w:rPr>
          <w:rStyle w:val="SCCCounselNameChar"/>
        </w:rPr>
        <w:t>David Matas</w:t>
      </w:r>
      <w:r w:rsidRPr="008943AE">
        <w:rPr>
          <w:rStyle w:val="SCCCounselPartyRoleChar"/>
        </w:rPr>
        <w:t xml:space="preserve"> </w:t>
      </w:r>
      <w:r w:rsidR="00501676" w:rsidRPr="008943AE">
        <w:rPr>
          <w:rStyle w:val="SCCCounselPartyRoleChar"/>
        </w:rPr>
        <w:t xml:space="preserve">and </w:t>
      </w:r>
      <w:r w:rsidR="005300BE" w:rsidRPr="008943AE">
        <w:rPr>
          <w:rStyle w:val="SCCCounselPartyRoleChar"/>
          <w:i/>
        </w:rPr>
        <w:t>Monique St.</w:t>
      </w:r>
      <w:r w:rsidR="00F96108">
        <w:rPr>
          <w:rStyle w:val="SCCCounselPartyRoleChar"/>
          <w:i/>
        </w:rPr>
        <w:t xml:space="preserve"> </w:t>
      </w:r>
      <w:r w:rsidR="00501676" w:rsidRPr="008943AE">
        <w:rPr>
          <w:rStyle w:val="SCCCounselPartyRoleChar"/>
          <w:i/>
        </w:rPr>
        <w:t>Germain</w:t>
      </w:r>
      <w:r w:rsidR="00501676" w:rsidRPr="008943AE">
        <w:rPr>
          <w:rStyle w:val="SCCCounselPartyRoleChar"/>
        </w:rPr>
        <w:t xml:space="preserve">, </w:t>
      </w:r>
      <w:r w:rsidRPr="008943AE">
        <w:rPr>
          <w:rStyle w:val="SCCCounselPartyRoleChar"/>
        </w:rPr>
        <w:t>for the intervener</w:t>
      </w:r>
      <w:r w:rsidR="00501676" w:rsidRPr="008943AE">
        <w:rPr>
          <w:rStyle w:val="SCCCounselPartyRoleChar"/>
        </w:rPr>
        <w:t>s</w:t>
      </w:r>
      <w:r w:rsidR="00C81649" w:rsidRPr="008943AE">
        <w:rPr>
          <w:rStyle w:val="SCCCounselPartyRoleChar"/>
        </w:rPr>
        <w:t xml:space="preserve"> Beyond Borders and </w:t>
      </w:r>
      <w:r w:rsidR="00D91C6B">
        <w:rPr>
          <w:rStyle w:val="SCCCounselPartyRoleChar"/>
        </w:rPr>
        <w:t xml:space="preserve">the </w:t>
      </w:r>
      <w:r w:rsidRPr="008943AE">
        <w:rPr>
          <w:rStyle w:val="SCCCounselPartyRoleChar"/>
        </w:rPr>
        <w:t xml:space="preserve">Canadian </w:t>
      </w:r>
      <w:r w:rsidR="00501676" w:rsidRPr="008943AE">
        <w:rPr>
          <w:rStyle w:val="SCCCounselPartyRoleChar"/>
        </w:rPr>
        <w:t>Centre for Child Protection Inc</w:t>
      </w:r>
      <w:r w:rsidRPr="008943AE">
        <w:rPr>
          <w:rStyle w:val="SCCCounselPartyRoleChar"/>
        </w:rPr>
        <w:t>.</w:t>
      </w:r>
    </w:p>
    <w:p w:rsidR="00D91C6B" w:rsidRDefault="00D91C6B" w:rsidP="007213AA">
      <w:pPr>
        <w:pStyle w:val="SCCNormalDoubleSpacing"/>
        <w:widowControl w:val="0"/>
        <w:spacing w:before="480" w:after="480"/>
        <w:rPr>
          <w:rStyle w:val="SCCCounselPartyRoleChar"/>
        </w:rPr>
      </w:pPr>
      <w:r>
        <w:rPr>
          <w:rStyle w:val="SCCCounselPartyRoleChar"/>
        </w:rPr>
        <w:tab/>
        <w:t>The judgment of the Court was delivered by</w:t>
      </w:r>
    </w:p>
    <w:p w:rsidR="007213AA" w:rsidRPr="0086712E" w:rsidRDefault="00D91C6B" w:rsidP="007213AA">
      <w:pPr>
        <w:pStyle w:val="ParaNoNdepar-AltN"/>
        <w:widowControl w:val="0"/>
        <w:rPr>
          <w:rFonts w:cs="Times New Roman"/>
        </w:rPr>
      </w:pPr>
      <w:r w:rsidRPr="00D91C6B">
        <w:rPr>
          <w:smallCaps/>
        </w:rPr>
        <w:lastRenderedPageBreak/>
        <w:t>Karakatsanis</w:t>
      </w:r>
      <w:r w:rsidRPr="0086712E">
        <w:t xml:space="preserve"> J. — </w:t>
      </w:r>
      <w:r w:rsidR="007213AA" w:rsidRPr="0086712E">
        <w:rPr>
          <w:rFonts w:cs="Times New Roman"/>
        </w:rPr>
        <w:t>Th</w:t>
      </w:r>
      <w:r w:rsidR="007213AA">
        <w:rPr>
          <w:rFonts w:cs="Times New Roman"/>
        </w:rPr>
        <w:t>ese appeals</w:t>
      </w:r>
      <w:r w:rsidR="007213AA" w:rsidRPr="0086712E">
        <w:rPr>
          <w:rFonts w:cs="Times New Roman"/>
        </w:rPr>
        <w:t xml:space="preserve"> concern what happens when teenagers participate in sexual recordings as part of relationships that may involve exploitation.  </w:t>
      </w:r>
      <w:r w:rsidR="007213AA">
        <w:rPr>
          <w:rFonts w:cs="Times New Roman"/>
        </w:rPr>
        <w:t>They</w:t>
      </w:r>
      <w:r w:rsidR="007213AA" w:rsidRPr="0086712E">
        <w:rPr>
          <w:rFonts w:cs="Times New Roman"/>
        </w:rPr>
        <w:t xml:space="preserve"> examine the </w:t>
      </w:r>
      <w:r w:rsidR="007213AA">
        <w:rPr>
          <w:rFonts w:cs="Times New Roman"/>
        </w:rPr>
        <w:t>“</w:t>
      </w:r>
      <w:r w:rsidR="007213AA" w:rsidRPr="0086712E">
        <w:rPr>
          <w:rFonts w:cs="Times New Roman"/>
        </w:rPr>
        <w:t>private use exception</w:t>
      </w:r>
      <w:r w:rsidR="007213AA">
        <w:rPr>
          <w:rFonts w:cs="Times New Roman"/>
        </w:rPr>
        <w:t>”</w:t>
      </w:r>
      <w:r w:rsidR="007213AA" w:rsidRPr="0086712E">
        <w:rPr>
          <w:rFonts w:cs="Times New Roman"/>
        </w:rPr>
        <w:t xml:space="preserve"> outlined in this Court’s decision of </w:t>
      </w:r>
      <w:r w:rsidR="007213AA" w:rsidRPr="0086712E">
        <w:rPr>
          <w:rFonts w:cs="Times New Roman"/>
          <w:i/>
        </w:rPr>
        <w:t>R. v. Sharpe</w:t>
      </w:r>
      <w:r w:rsidR="007213AA" w:rsidRPr="0086712E">
        <w:rPr>
          <w:rFonts w:cs="Times New Roman"/>
        </w:rPr>
        <w:t xml:space="preserve">, </w:t>
      </w:r>
      <w:r w:rsidR="007213AA">
        <w:rPr>
          <w:rFonts w:cs="Times New Roman"/>
        </w:rPr>
        <w:t xml:space="preserve">2001 SCC 2, </w:t>
      </w:r>
      <w:r w:rsidR="007213AA" w:rsidRPr="0086712E">
        <w:rPr>
          <w:rFonts w:cs="Times New Roman"/>
        </w:rPr>
        <w:t>[2001] 1 S.C.R. 45.  The private use exception acts as a defence to the offence</w:t>
      </w:r>
      <w:r w:rsidR="007213AA">
        <w:rPr>
          <w:rFonts w:cs="Times New Roman"/>
        </w:rPr>
        <w:t>s</w:t>
      </w:r>
      <w:r w:rsidR="007213AA" w:rsidRPr="0086712E">
        <w:rPr>
          <w:rFonts w:cs="Times New Roman"/>
        </w:rPr>
        <w:t xml:space="preserve"> of making and possessing child pornography, contrary to s. 163.1 of the </w:t>
      </w:r>
      <w:r w:rsidR="007213AA" w:rsidRPr="0086712E">
        <w:rPr>
          <w:rFonts w:cs="Times New Roman"/>
          <w:i/>
        </w:rPr>
        <w:t>Criminal Code</w:t>
      </w:r>
      <w:r w:rsidR="007213AA">
        <w:rPr>
          <w:rFonts w:cs="Times New Roman"/>
        </w:rPr>
        <w:t>, R.S.C. 1985, c. C-46</w:t>
      </w:r>
      <w:r w:rsidR="007213AA" w:rsidRPr="0086712E">
        <w:rPr>
          <w:rFonts w:cs="Times New Roman"/>
        </w:rPr>
        <w:t>.  The exception covers visual recordings that do not depict unlawful sexual activity, were created with the consent of the persons depicted, and are held exclusively for private use (</w:t>
      </w:r>
      <w:r w:rsidR="007213AA" w:rsidRPr="0086712E">
        <w:rPr>
          <w:rFonts w:cs="Times New Roman"/>
          <w:i/>
        </w:rPr>
        <w:t>Sharpe</w:t>
      </w:r>
      <w:r w:rsidR="007213AA">
        <w:rPr>
          <w:rFonts w:cs="Times New Roman"/>
        </w:rPr>
        <w:t>,</w:t>
      </w:r>
      <w:r w:rsidR="007213AA" w:rsidRPr="0086712E">
        <w:rPr>
          <w:rFonts w:cs="Times New Roman"/>
          <w:i/>
        </w:rPr>
        <w:t xml:space="preserve"> </w:t>
      </w:r>
      <w:r w:rsidR="007213AA" w:rsidRPr="0086712E">
        <w:rPr>
          <w:rFonts w:cs="Times New Roman"/>
        </w:rPr>
        <w:t>at para. 128).</w:t>
      </w:r>
    </w:p>
    <w:p w:rsidR="007213AA" w:rsidRPr="0086712E" w:rsidRDefault="007213AA" w:rsidP="007213AA">
      <w:pPr>
        <w:pStyle w:val="ParaNoNdepar-AltN"/>
        <w:widowControl w:val="0"/>
        <w:rPr>
          <w:rFonts w:cs="Times New Roman"/>
        </w:rPr>
      </w:pPr>
      <w:r w:rsidRPr="0086712E">
        <w:rPr>
          <w:rFonts w:cs="Times New Roman"/>
        </w:rPr>
        <w:t>In this case, the Court is asked to clarify the elements of the exception, and in particular where the concept of exploitation fits in the analysis.</w:t>
      </w:r>
    </w:p>
    <w:p w:rsidR="007213AA" w:rsidRPr="0086712E" w:rsidRDefault="007213AA" w:rsidP="007213AA">
      <w:pPr>
        <w:pStyle w:val="ParaNoNdepar-AltN"/>
        <w:widowControl w:val="0"/>
        <w:rPr>
          <w:rFonts w:cs="Times New Roman"/>
        </w:rPr>
      </w:pPr>
      <w:r w:rsidRPr="0086712E">
        <w:rPr>
          <w:rFonts w:cs="Times New Roman"/>
        </w:rPr>
        <w:t xml:space="preserve">I conclude that the test articulated in </w:t>
      </w:r>
      <w:r w:rsidRPr="0086712E">
        <w:rPr>
          <w:rFonts w:cs="Times New Roman"/>
          <w:i/>
        </w:rPr>
        <w:t>Sharpe</w:t>
      </w:r>
      <w:r w:rsidRPr="0086712E">
        <w:rPr>
          <w:rFonts w:cs="Times New Roman"/>
        </w:rPr>
        <w:t xml:space="preserve"> requires a determination that the sexual activity depicted is lawful ― and thus did not arise in the context of an exploitative relationship.  As the trial judge did not consider this specific question, I would allow the appeal</w:t>
      </w:r>
      <w:r>
        <w:rPr>
          <w:rFonts w:cs="Times New Roman"/>
        </w:rPr>
        <w:t>s</w:t>
      </w:r>
      <w:r w:rsidRPr="0086712E">
        <w:rPr>
          <w:rFonts w:cs="Times New Roman"/>
        </w:rPr>
        <w:t xml:space="preserve"> and order a </w:t>
      </w:r>
      <w:r w:rsidR="00D91C6B">
        <w:rPr>
          <w:rFonts w:cs="Times New Roman"/>
        </w:rPr>
        <w:t xml:space="preserve">new </w:t>
      </w:r>
      <w:r w:rsidRPr="0086712E">
        <w:rPr>
          <w:rFonts w:cs="Times New Roman"/>
        </w:rPr>
        <w:t>trial.</w:t>
      </w:r>
    </w:p>
    <w:p w:rsidR="007213AA" w:rsidRPr="0086712E" w:rsidRDefault="007213AA" w:rsidP="007213AA">
      <w:pPr>
        <w:pStyle w:val="Title1LevelTitre1Niveau-AltL"/>
        <w:widowControl w:val="0"/>
        <w:rPr>
          <w:rFonts w:cs="Times New Roman"/>
        </w:rPr>
      </w:pPr>
      <w:r w:rsidRPr="0086712E">
        <w:rPr>
          <w:rFonts w:cs="Times New Roman"/>
        </w:rPr>
        <w:t>Facts</w:t>
      </w:r>
    </w:p>
    <w:p w:rsidR="007213AA" w:rsidRPr="0086712E" w:rsidRDefault="007213AA" w:rsidP="007213AA">
      <w:pPr>
        <w:pStyle w:val="ParaNoNdepar-AltN"/>
        <w:widowControl w:val="0"/>
        <w:rPr>
          <w:rFonts w:cs="Times New Roman"/>
        </w:rPr>
      </w:pPr>
      <w:r w:rsidRPr="0086712E">
        <w:rPr>
          <w:rFonts w:cs="Times New Roman"/>
        </w:rPr>
        <w:t>In early 2008, two 14-year-old females, K and D, ran away from an adolescent treatment centre in High Prairie, Alberta.  The two teenagers had difficult pasts, with experiences of drug addiction, criminal hi</w:t>
      </w:r>
      <w:r w:rsidR="00D91C6B">
        <w:rPr>
          <w:rFonts w:cs="Times New Roman"/>
        </w:rPr>
        <w:t>story, family issues, and, in K</w:t>
      </w:r>
      <w:r w:rsidRPr="0086712E">
        <w:rPr>
          <w:rFonts w:cs="Times New Roman"/>
        </w:rPr>
        <w:t>’s case</w:t>
      </w:r>
      <w:r w:rsidR="00D91C6B">
        <w:rPr>
          <w:rFonts w:cs="Times New Roman"/>
        </w:rPr>
        <w:t>, a history of prostitution.  K</w:t>
      </w:r>
      <w:r w:rsidRPr="0086712E">
        <w:rPr>
          <w:rFonts w:cs="Times New Roman"/>
        </w:rPr>
        <w:t xml:space="preserve"> described herself as a “street child” with ongoing </w:t>
      </w:r>
      <w:r w:rsidRPr="0086712E">
        <w:rPr>
          <w:rFonts w:cs="Times New Roman"/>
        </w:rPr>
        <w:lastRenderedPageBreak/>
        <w:t>troubles with drug abuse.</w:t>
      </w:r>
    </w:p>
    <w:p w:rsidR="007213AA" w:rsidRPr="0086712E" w:rsidRDefault="007213AA" w:rsidP="007213AA">
      <w:pPr>
        <w:pStyle w:val="ParaNoNdepar-AltN"/>
        <w:widowControl w:val="0"/>
        <w:rPr>
          <w:rFonts w:cs="Times New Roman"/>
        </w:rPr>
      </w:pPr>
      <w:r w:rsidRPr="0086712E">
        <w:rPr>
          <w:rFonts w:cs="Times New Roman"/>
        </w:rPr>
        <w:t xml:space="preserve">After leaving the treatment centre, K and D travelled to Edmonton, where they went to stay at </w:t>
      </w:r>
      <w:r>
        <w:rPr>
          <w:rFonts w:cs="Times New Roman"/>
        </w:rPr>
        <w:t xml:space="preserve">the appellant </w:t>
      </w:r>
      <w:r w:rsidRPr="0086712E">
        <w:rPr>
          <w:rFonts w:cs="Times New Roman"/>
        </w:rPr>
        <w:t xml:space="preserve">Donald Barabash’s residence.  D had known Mr. Barabash for about a year, as a drug dealer and a friend of her father’s.  </w:t>
      </w:r>
      <w:r>
        <w:rPr>
          <w:rFonts w:cs="Times New Roman"/>
        </w:rPr>
        <w:t xml:space="preserve">The other appellant, </w:t>
      </w:r>
      <w:r w:rsidRPr="0086712E">
        <w:rPr>
          <w:rFonts w:cs="Times New Roman"/>
        </w:rPr>
        <w:t>Shane Rollison</w:t>
      </w:r>
      <w:r>
        <w:rPr>
          <w:rFonts w:cs="Times New Roman"/>
        </w:rPr>
        <w:t>,</w:t>
      </w:r>
      <w:r w:rsidRPr="0086712E">
        <w:rPr>
          <w:rFonts w:cs="Times New Roman"/>
        </w:rPr>
        <w:t xml:space="preserve"> was a friend of Mr. Barabash’s who was regularly at the residence and was also involved in drugs.  At trial, K described the place as a stereotypic </w:t>
      </w:r>
      <w:r>
        <w:rPr>
          <w:rFonts w:cs="Times New Roman"/>
        </w:rPr>
        <w:t>“</w:t>
      </w:r>
      <w:r w:rsidRPr="0086712E">
        <w:rPr>
          <w:rFonts w:cs="Times New Roman"/>
        </w:rPr>
        <w:t>crack house” with a wide variety of people visiting to sell, buy, and use various illegal drugs.</w:t>
      </w:r>
    </w:p>
    <w:p w:rsidR="007213AA" w:rsidRPr="0086712E" w:rsidRDefault="007213AA" w:rsidP="007213AA">
      <w:pPr>
        <w:pStyle w:val="ParaNoNdepar-AltN"/>
        <w:widowControl w:val="0"/>
        <w:rPr>
          <w:rFonts w:cs="Times New Roman"/>
        </w:rPr>
      </w:pPr>
      <w:r w:rsidRPr="0086712E">
        <w:rPr>
          <w:rFonts w:cs="Times New Roman"/>
        </w:rPr>
        <w:t>During the time K and D stayed at the Barabash residence (K two to three weeks, D one week), they were involved in the creation of video recordings and still images with the appellants, using a computer webcam in the basement.  In the recordings and images, K and D appear nude and engage in explicit sexual activity.</w:t>
      </w:r>
    </w:p>
    <w:p w:rsidR="007213AA" w:rsidRPr="0086712E" w:rsidRDefault="007213AA" w:rsidP="007213AA">
      <w:pPr>
        <w:pStyle w:val="ParaNoNdepar-AltN"/>
        <w:widowControl w:val="0"/>
        <w:rPr>
          <w:rFonts w:cs="Times New Roman"/>
        </w:rPr>
      </w:pPr>
      <w:r w:rsidRPr="0086712E">
        <w:rPr>
          <w:rFonts w:cs="Times New Roman"/>
        </w:rPr>
        <w:t>The police began investigating the appellants after receiving complaints about a still photograph posted to Nexopia, a social networking site.  The photograph depicted two young women, one of them topless.  The police identified K and D as the two women depicted in the image and searched the Barabash residence.  There they located a number of video recordings and still photographs that they identified as child pornography.  The videos and photographs depicted K and D engaged in various explicit sexual activities, both with each other and with Mr. Rollison.  Mr.</w:t>
      </w:r>
      <w:r>
        <w:rPr>
          <w:rFonts w:cs="Times New Roman"/>
        </w:rPr>
        <w:t xml:space="preserve"> </w:t>
      </w:r>
      <w:r w:rsidRPr="0086712E">
        <w:rPr>
          <w:rFonts w:cs="Times New Roman"/>
        </w:rPr>
        <w:t xml:space="preserve">Barabash generally operated the camera, although K and D did so at times.  At the time the videos and photographs were made, 14-year-olds were able to consent to sexual acts </w:t>
      </w:r>
      <w:r w:rsidRPr="0086712E">
        <w:rPr>
          <w:rFonts w:cs="Times New Roman"/>
        </w:rPr>
        <w:lastRenderedPageBreak/>
        <w:t>with adults.  (This has since been raised to 16.)  K and D were both 14 at the time, while Mr. Barabash was 60, and Mr. Rollison was 4</w:t>
      </w:r>
      <w:r>
        <w:rPr>
          <w:rFonts w:cs="Times New Roman"/>
        </w:rPr>
        <w:t>1</w:t>
      </w:r>
      <w:r w:rsidRPr="0086712E">
        <w:rPr>
          <w:rFonts w:cs="Times New Roman"/>
        </w:rPr>
        <w:t>.</w:t>
      </w:r>
    </w:p>
    <w:p w:rsidR="007213AA" w:rsidRPr="0086712E" w:rsidRDefault="007213AA" w:rsidP="007213AA">
      <w:pPr>
        <w:pStyle w:val="ParaNoNdepar-AltN"/>
        <w:widowControl w:val="0"/>
        <w:rPr>
          <w:rFonts w:cs="Times New Roman"/>
        </w:rPr>
      </w:pPr>
      <w:r w:rsidRPr="0086712E">
        <w:rPr>
          <w:rFonts w:cs="Times New Roman"/>
        </w:rPr>
        <w:t xml:space="preserve">The appellants were both charged with making child pornography contrary to s. 163.1(2) of the </w:t>
      </w:r>
      <w:r w:rsidRPr="0086712E">
        <w:rPr>
          <w:rFonts w:cs="Times New Roman"/>
          <w:i/>
        </w:rPr>
        <w:t>Criminal Code</w:t>
      </w:r>
      <w:r w:rsidRPr="0086712E">
        <w:rPr>
          <w:rFonts w:cs="Times New Roman"/>
        </w:rPr>
        <w:t>.  Mr. Barabash was also charged with one count of possessing child pornography contrary to s. 163.1(4).</w:t>
      </w:r>
    </w:p>
    <w:p w:rsidR="007213AA" w:rsidRPr="0086712E" w:rsidRDefault="007213AA" w:rsidP="007213AA">
      <w:pPr>
        <w:pStyle w:val="Title1LevelTitre1Niveau-AltL"/>
        <w:widowControl w:val="0"/>
        <w:rPr>
          <w:rFonts w:cs="Times New Roman"/>
        </w:rPr>
      </w:pPr>
      <w:r w:rsidRPr="0086712E">
        <w:rPr>
          <w:rFonts w:cs="Times New Roman"/>
        </w:rPr>
        <w:t>Decisions Below</w:t>
      </w:r>
    </w:p>
    <w:p w:rsidR="007213AA" w:rsidRPr="0086712E" w:rsidRDefault="007213AA" w:rsidP="007213AA">
      <w:pPr>
        <w:pStyle w:val="Title2LevelTitre2Niveau"/>
        <w:widowControl w:val="0"/>
        <w:rPr>
          <w:rFonts w:cs="Times New Roman"/>
        </w:rPr>
      </w:pPr>
      <w:r w:rsidRPr="0086712E">
        <w:rPr>
          <w:rFonts w:cs="Times New Roman"/>
        </w:rPr>
        <w:t>Alberta Court of Queen’s Bench</w:t>
      </w:r>
      <w:r>
        <w:rPr>
          <w:rFonts w:cs="Times New Roman"/>
        </w:rPr>
        <w:t>, 2012 ABQB 99, 532 A.R. 364</w:t>
      </w:r>
    </w:p>
    <w:p w:rsidR="007213AA" w:rsidRPr="0086712E" w:rsidRDefault="007213AA" w:rsidP="007213AA">
      <w:pPr>
        <w:pStyle w:val="ParaNoNdepar-AltN"/>
        <w:widowControl w:val="0"/>
        <w:rPr>
          <w:rFonts w:cs="Times New Roman"/>
        </w:rPr>
      </w:pPr>
      <w:r w:rsidRPr="0086712E">
        <w:rPr>
          <w:rFonts w:cs="Times New Roman"/>
        </w:rPr>
        <w:t xml:space="preserve">The appellants were tried together before Thomas J., sitting alone.  The trial judge found the Crown had proven beyond a reasonable doubt that both appellants made child pornography contrary to s. 163.1(2) of the </w:t>
      </w:r>
      <w:r w:rsidRPr="0086712E">
        <w:rPr>
          <w:rFonts w:cs="Times New Roman"/>
          <w:i/>
        </w:rPr>
        <w:t>Criminal Code</w:t>
      </w:r>
      <w:r w:rsidRPr="0086712E">
        <w:rPr>
          <w:rFonts w:cs="Times New Roman"/>
        </w:rPr>
        <w:t>.  He also found the Crown had proven beyond a reasonable doubt that Mr. Barabash was in possession of child pornography</w:t>
      </w:r>
      <w:r>
        <w:rPr>
          <w:rFonts w:cs="Times New Roman"/>
        </w:rPr>
        <w:t xml:space="preserve"> </w:t>
      </w:r>
      <w:r w:rsidRPr="0086712E">
        <w:rPr>
          <w:rFonts w:cs="Times New Roman"/>
        </w:rPr>
        <w:t xml:space="preserve">contrary to s. 163.1(4).  The core issue, however, was the availability of the private use exception from </w:t>
      </w:r>
      <w:r w:rsidRPr="0086712E">
        <w:rPr>
          <w:rFonts w:cs="Times New Roman"/>
          <w:i/>
        </w:rPr>
        <w:t>Sharpe</w:t>
      </w:r>
      <w:r w:rsidRPr="0086712E">
        <w:rPr>
          <w:rFonts w:cs="Times New Roman"/>
        </w:rPr>
        <w:t xml:space="preserve"> as a defence to the charges.</w:t>
      </w:r>
    </w:p>
    <w:p w:rsidR="007213AA" w:rsidRPr="0086712E" w:rsidRDefault="007213AA" w:rsidP="007213AA">
      <w:pPr>
        <w:pStyle w:val="ParaNoNdepar-AltN"/>
        <w:widowControl w:val="0"/>
        <w:rPr>
          <w:rFonts w:cs="Times New Roman"/>
        </w:rPr>
      </w:pPr>
      <w:r w:rsidRPr="0086712E">
        <w:rPr>
          <w:rFonts w:cs="Times New Roman"/>
        </w:rPr>
        <w:t xml:space="preserve">The trial judge reviewed the private use exception and concluded that, according to </w:t>
      </w:r>
      <w:r w:rsidRPr="0086712E">
        <w:rPr>
          <w:rFonts w:cs="Times New Roman"/>
          <w:i/>
        </w:rPr>
        <w:t>Sharpe</w:t>
      </w:r>
      <w:r w:rsidRPr="0086712E">
        <w:rPr>
          <w:rFonts w:cs="Times New Roman"/>
        </w:rPr>
        <w:t xml:space="preserve">, three requirements must be met for the exception to be made out: (1) the sexual activity must be legal; (2) the recording must be made with the consent of the persons depicted; and (3) the recording must be held for private use.  He rejected the Crown’s submission that, in addition to these three requirements, </w:t>
      </w:r>
      <w:r w:rsidRPr="0086712E">
        <w:rPr>
          <w:rFonts w:cs="Times New Roman"/>
        </w:rPr>
        <w:lastRenderedPageBreak/>
        <w:t xml:space="preserve">private use material must possess aspects of “self-fulfilment and self-actualization” and must not result in the </w:t>
      </w:r>
      <w:r>
        <w:rPr>
          <w:rFonts w:cs="Times New Roman"/>
        </w:rPr>
        <w:t>“</w:t>
      </w:r>
      <w:r w:rsidRPr="0086712E">
        <w:rPr>
          <w:rFonts w:cs="Times New Roman"/>
        </w:rPr>
        <w:t>exploitation or abuse of children</w:t>
      </w:r>
      <w:r>
        <w:rPr>
          <w:rFonts w:cs="Times New Roman"/>
        </w:rPr>
        <w:t>”</w:t>
      </w:r>
      <w:r w:rsidRPr="0086712E">
        <w:rPr>
          <w:rFonts w:cs="Times New Roman"/>
        </w:rPr>
        <w:t xml:space="preserve"> (para. 163</w:t>
      </w:r>
      <w:r w:rsidR="00D91C6B">
        <w:rPr>
          <w:rFonts w:cs="Times New Roman"/>
        </w:rPr>
        <w:t xml:space="preserve">, citing </w:t>
      </w:r>
      <w:r w:rsidR="00D91C6B" w:rsidRPr="00D91C6B">
        <w:rPr>
          <w:rFonts w:cs="Times New Roman"/>
          <w:i/>
        </w:rPr>
        <w:t>Sharpe</w:t>
      </w:r>
      <w:r w:rsidR="00D91C6B">
        <w:rPr>
          <w:rFonts w:cs="Times New Roman"/>
        </w:rPr>
        <w:t>, at paras. 120 and 116</w:t>
      </w:r>
      <w:r w:rsidRPr="0086712E">
        <w:rPr>
          <w:rFonts w:cs="Times New Roman"/>
        </w:rPr>
        <w:t xml:space="preserve">).  The trial judge found that all three requirements set out in </w:t>
      </w:r>
      <w:r w:rsidRPr="0086712E">
        <w:rPr>
          <w:rFonts w:cs="Times New Roman"/>
          <w:i/>
        </w:rPr>
        <w:t xml:space="preserve">Sharpe </w:t>
      </w:r>
      <w:r w:rsidRPr="0086712E">
        <w:rPr>
          <w:rFonts w:cs="Times New Roman"/>
        </w:rPr>
        <w:t>were met on the facts of this case and entered acquittals.</w:t>
      </w:r>
    </w:p>
    <w:p w:rsidR="007213AA" w:rsidRPr="0086712E" w:rsidRDefault="00D91C6B" w:rsidP="007213AA">
      <w:pPr>
        <w:pStyle w:val="Title2LevelTitre2Niveau"/>
        <w:widowControl w:val="0"/>
        <w:rPr>
          <w:rFonts w:cs="Times New Roman"/>
        </w:rPr>
      </w:pPr>
      <w:r>
        <w:rPr>
          <w:rFonts w:cs="Times New Roman"/>
        </w:rPr>
        <w:t>Alberta</w:t>
      </w:r>
      <w:r w:rsidR="007213AA" w:rsidRPr="0086712E">
        <w:rPr>
          <w:rFonts w:cs="Times New Roman"/>
        </w:rPr>
        <w:t xml:space="preserve"> Court of Appeal</w:t>
      </w:r>
      <w:r w:rsidR="007213AA">
        <w:rPr>
          <w:rFonts w:cs="Times New Roman"/>
        </w:rPr>
        <w:t>, 2014 ABCA 126, 572 A.R. 289</w:t>
      </w:r>
    </w:p>
    <w:p w:rsidR="007213AA" w:rsidRPr="0086712E" w:rsidRDefault="007213AA" w:rsidP="007213AA">
      <w:pPr>
        <w:pStyle w:val="ParaNoNdepar-AltN"/>
        <w:widowControl w:val="0"/>
        <w:rPr>
          <w:rFonts w:cs="Times New Roman"/>
        </w:rPr>
      </w:pPr>
      <w:r w:rsidRPr="0086712E">
        <w:rPr>
          <w:rFonts w:cs="Times New Roman"/>
        </w:rPr>
        <w:t xml:space="preserve">The Crown appealed the acquittals on the ground that the trial judge erred in his interpretation of the private use exception.  The majority of the Court of Appeal agreed and allowed the appeals, relying on that court’s decision in </w:t>
      </w:r>
      <w:r w:rsidRPr="0086712E">
        <w:rPr>
          <w:rFonts w:cs="Times New Roman"/>
          <w:i/>
        </w:rPr>
        <w:t>R. v.</w:t>
      </w:r>
      <w:r w:rsidRPr="0086712E">
        <w:rPr>
          <w:rFonts w:cs="Times New Roman"/>
        </w:rPr>
        <w:t xml:space="preserve"> </w:t>
      </w:r>
      <w:r w:rsidRPr="0086712E">
        <w:rPr>
          <w:rFonts w:cs="Times New Roman"/>
          <w:i/>
        </w:rPr>
        <w:t>Cockell</w:t>
      </w:r>
      <w:r w:rsidRPr="0086712E">
        <w:rPr>
          <w:rFonts w:cs="Times New Roman"/>
        </w:rPr>
        <w:t>, 2013 ABCA 112,</w:t>
      </w:r>
      <w:r>
        <w:rPr>
          <w:rFonts w:cs="Times New Roman"/>
        </w:rPr>
        <w:t xml:space="preserve"> 553 A.R. 91, </w:t>
      </w:r>
      <w:r w:rsidRPr="0086712E">
        <w:rPr>
          <w:rFonts w:cs="Times New Roman"/>
        </w:rPr>
        <w:t xml:space="preserve">leave </w:t>
      </w:r>
      <w:r>
        <w:rPr>
          <w:rFonts w:cs="Times New Roman"/>
        </w:rPr>
        <w:t>to appeal refused, [2013] 3 S.C.R. x.</w:t>
      </w:r>
      <w:r w:rsidRPr="0086712E">
        <w:rPr>
          <w:rFonts w:cs="Times New Roman"/>
        </w:rPr>
        <w:t xml:space="preserve">  </w:t>
      </w:r>
      <w:r w:rsidRPr="0086712E">
        <w:rPr>
          <w:rFonts w:cs="Times New Roman"/>
          <w:i/>
        </w:rPr>
        <w:t>Cockell</w:t>
      </w:r>
      <w:r w:rsidRPr="0086712E">
        <w:rPr>
          <w:rFonts w:cs="Times New Roman"/>
        </w:rPr>
        <w:t xml:space="preserve"> held that the private use exception also contained a standalone requirement that there be no exploitation or abuse involved in the creation of the recording, and a requirement that the parties intended the pornographic material to be for the private use of all those involved in its creation.</w:t>
      </w:r>
    </w:p>
    <w:p w:rsidR="007213AA" w:rsidRPr="0086712E" w:rsidRDefault="007213AA" w:rsidP="007213AA">
      <w:pPr>
        <w:pStyle w:val="ParaNoNdepar-AltN"/>
        <w:widowControl w:val="0"/>
        <w:rPr>
          <w:rFonts w:cs="Times New Roman"/>
        </w:rPr>
      </w:pPr>
      <w:r w:rsidRPr="0086712E">
        <w:rPr>
          <w:rFonts w:cs="Times New Roman"/>
        </w:rPr>
        <w:t xml:space="preserve">Applying </w:t>
      </w:r>
      <w:r w:rsidRPr="0086712E">
        <w:rPr>
          <w:rFonts w:cs="Times New Roman"/>
          <w:i/>
        </w:rPr>
        <w:t xml:space="preserve">Cockell </w:t>
      </w:r>
      <w:r w:rsidRPr="0086712E">
        <w:rPr>
          <w:rFonts w:cs="Times New Roman"/>
        </w:rPr>
        <w:t xml:space="preserve">to the present case, the majority found that, for the purposes of the exception, the sexual activity must not involve “child exploitation or abuse as cognizable in law generally, not just crimes under the </w:t>
      </w:r>
      <w:r w:rsidRPr="0086712E">
        <w:rPr>
          <w:rFonts w:cs="Times New Roman"/>
          <w:i/>
        </w:rPr>
        <w:t>Code</w:t>
      </w:r>
      <w:r w:rsidRPr="0086712E">
        <w:rPr>
          <w:rFonts w:cs="Times New Roman"/>
        </w:rPr>
        <w:t xml:space="preserve">”, and that “it was not outside the scope of judicial notice to find that considerably more than a ‘nominal risk of harm’ was inflicted on these two damaged kids” </w:t>
      </w:r>
      <w:r>
        <w:rPr>
          <w:rFonts w:cs="Times New Roman"/>
        </w:rPr>
        <w:t>(</w:t>
      </w:r>
      <w:r w:rsidRPr="0086712E">
        <w:rPr>
          <w:rFonts w:cs="Times New Roman"/>
        </w:rPr>
        <w:t xml:space="preserve">para. 36).  The majority </w:t>
      </w:r>
      <w:r>
        <w:rPr>
          <w:rFonts w:cs="Times New Roman"/>
        </w:rPr>
        <w:t xml:space="preserve">therefore </w:t>
      </w:r>
      <w:r w:rsidRPr="0086712E">
        <w:rPr>
          <w:rFonts w:cs="Times New Roman"/>
        </w:rPr>
        <w:t xml:space="preserve">found that, with the correct law applied to the trial judge’s findings of fact, convictions of the appellants were inevitable.  </w:t>
      </w:r>
      <w:r>
        <w:rPr>
          <w:rFonts w:cs="Times New Roman"/>
        </w:rPr>
        <w:t>It</w:t>
      </w:r>
      <w:r w:rsidRPr="0086712E">
        <w:rPr>
          <w:rFonts w:cs="Times New Roman"/>
        </w:rPr>
        <w:t xml:space="preserve"> accordingly substituted guilty verdicts and remitted the case for sentencing.</w:t>
      </w:r>
    </w:p>
    <w:p w:rsidR="007213AA" w:rsidRPr="0086712E" w:rsidRDefault="007213AA" w:rsidP="007213AA">
      <w:pPr>
        <w:pStyle w:val="ParaNoNdepar-AltN"/>
        <w:widowControl w:val="0"/>
        <w:rPr>
          <w:rFonts w:cs="Times New Roman"/>
        </w:rPr>
      </w:pPr>
      <w:r w:rsidRPr="0086712E">
        <w:rPr>
          <w:rFonts w:cs="Times New Roman"/>
        </w:rPr>
        <w:lastRenderedPageBreak/>
        <w:t xml:space="preserve">Berger J.A., writing in dissent, would have dismissed the appeals.  While he agreed with the majority that the trial judge erred, he disagreed with the majority’s view of the private use exception test and found that exploitation is properly subsumed within the lawfulness analysis.  That is, he did not believe that </w:t>
      </w:r>
      <w:r w:rsidRPr="0086712E">
        <w:rPr>
          <w:rFonts w:cs="Times New Roman"/>
          <w:i/>
        </w:rPr>
        <w:t xml:space="preserve">Sharpe </w:t>
      </w:r>
      <w:r w:rsidRPr="0086712E">
        <w:rPr>
          <w:rFonts w:cs="Times New Roman"/>
        </w:rPr>
        <w:t>created a separate and distinct requirement related to factual exploitation.  He found that the private use exception was made out on the facts as found by the trial judge.</w:t>
      </w:r>
    </w:p>
    <w:p w:rsidR="007213AA" w:rsidRPr="0086712E" w:rsidRDefault="007213AA" w:rsidP="007213AA">
      <w:pPr>
        <w:pStyle w:val="Title1LevelTitre1Niveau-AltL"/>
        <w:widowControl w:val="0"/>
        <w:rPr>
          <w:rFonts w:cs="Times New Roman"/>
        </w:rPr>
      </w:pPr>
      <w:r w:rsidRPr="0086712E">
        <w:rPr>
          <w:rFonts w:cs="Times New Roman"/>
        </w:rPr>
        <w:t>Analysis</w:t>
      </w:r>
    </w:p>
    <w:p w:rsidR="007213AA" w:rsidRPr="0086712E" w:rsidRDefault="007213AA" w:rsidP="007213AA">
      <w:pPr>
        <w:pStyle w:val="Title2LevelTitre2Niveau"/>
        <w:widowControl w:val="0"/>
        <w:rPr>
          <w:rFonts w:cs="Times New Roman"/>
        </w:rPr>
      </w:pPr>
      <w:r w:rsidRPr="0086712E">
        <w:rPr>
          <w:rFonts w:cs="Times New Roman"/>
        </w:rPr>
        <w:t>R. v. Sharpe and the Criminal Prohibition on Child Pornography</w:t>
      </w:r>
    </w:p>
    <w:p w:rsidR="007213AA" w:rsidRPr="0086712E" w:rsidRDefault="007213AA" w:rsidP="007213AA">
      <w:pPr>
        <w:pStyle w:val="ParaNoNdepar-AltN"/>
        <w:widowControl w:val="0"/>
        <w:rPr>
          <w:rFonts w:cs="Times New Roman"/>
        </w:rPr>
      </w:pPr>
      <w:r w:rsidRPr="0086712E">
        <w:rPr>
          <w:rFonts w:cs="Times New Roman"/>
        </w:rPr>
        <w:t xml:space="preserve">Section 163.1 of the </w:t>
      </w:r>
      <w:r w:rsidRPr="0086712E">
        <w:rPr>
          <w:rFonts w:cs="Times New Roman"/>
          <w:i/>
        </w:rPr>
        <w:t>Criminal Code</w:t>
      </w:r>
      <w:r w:rsidRPr="0086712E">
        <w:rPr>
          <w:rFonts w:cs="Times New Roman"/>
        </w:rPr>
        <w:t xml:space="preserve"> establishes a number of prohibitions related to the making, possession, distribution and accessing of child pornography.  The child pornography in this case is defined in s. 163.1(1)(</w:t>
      </w:r>
      <w:r w:rsidRPr="0086712E">
        <w:rPr>
          <w:rFonts w:cs="Times New Roman"/>
          <w:i/>
        </w:rPr>
        <w:t>a</w:t>
      </w:r>
      <w:r w:rsidRPr="0086712E">
        <w:rPr>
          <w:rFonts w:cs="Times New Roman"/>
        </w:rPr>
        <w:t>):</w:t>
      </w:r>
    </w:p>
    <w:p w:rsidR="007213AA" w:rsidRPr="0086712E" w:rsidRDefault="00D91C6B" w:rsidP="00A26513">
      <w:pPr>
        <w:pStyle w:val="Citation-AltC"/>
        <w:widowControl w:val="0"/>
        <w:tabs>
          <w:tab w:val="left" w:pos="1620"/>
        </w:tabs>
        <w:ind w:firstLine="4"/>
      </w:pPr>
      <w:r>
        <w:rPr>
          <w:b/>
        </w:rPr>
        <w:tab/>
      </w:r>
      <w:r w:rsidR="007213AA" w:rsidRPr="0086712E">
        <w:rPr>
          <w:b/>
        </w:rPr>
        <w:t>163.1</w:t>
      </w:r>
      <w:r w:rsidR="007213AA" w:rsidRPr="0086712E">
        <w:t xml:space="preserve"> (1) In this section, “child pornography” means</w:t>
      </w:r>
    </w:p>
    <w:p w:rsidR="007213AA" w:rsidRPr="0086712E" w:rsidRDefault="007213AA" w:rsidP="007213AA">
      <w:pPr>
        <w:pStyle w:val="Citation-AltC"/>
        <w:widowControl w:val="0"/>
      </w:pPr>
    </w:p>
    <w:p w:rsidR="007213AA" w:rsidRPr="0086712E" w:rsidRDefault="007213AA" w:rsidP="00A26513">
      <w:pPr>
        <w:pStyle w:val="Citation-AltC"/>
        <w:widowControl w:val="0"/>
        <w:ind w:left="1620"/>
      </w:pPr>
      <w:r w:rsidRPr="0086712E">
        <w:t>(</w:t>
      </w:r>
      <w:r w:rsidRPr="0086712E">
        <w:rPr>
          <w:i/>
        </w:rPr>
        <w:t>a</w:t>
      </w:r>
      <w:r w:rsidR="00A26513">
        <w:t xml:space="preserve">) </w:t>
      </w:r>
      <w:r w:rsidRPr="0086712E">
        <w:t>a photographic, film, video or other visual representation, whether or not it was made by electronic or mechanical means,</w:t>
      </w:r>
    </w:p>
    <w:p w:rsidR="007213AA" w:rsidRPr="0086712E" w:rsidRDefault="007213AA" w:rsidP="007213AA">
      <w:pPr>
        <w:pStyle w:val="Citation-AltC"/>
        <w:widowControl w:val="0"/>
      </w:pPr>
    </w:p>
    <w:p w:rsidR="007213AA" w:rsidRPr="0086712E" w:rsidRDefault="007213AA" w:rsidP="007213AA">
      <w:pPr>
        <w:pStyle w:val="Citation-AltC"/>
        <w:widowControl w:val="0"/>
        <w:ind w:left="2160"/>
      </w:pPr>
      <w:r w:rsidRPr="0086712E">
        <w:t>(i) that shows a person who is or is depicted as being under the age of eighteen years and is engaged in or is depicted as engaged in explicit sexual activity, or</w:t>
      </w:r>
    </w:p>
    <w:p w:rsidR="007213AA" w:rsidRPr="0086712E" w:rsidRDefault="007213AA" w:rsidP="007213AA">
      <w:pPr>
        <w:pStyle w:val="Citation-AltC"/>
        <w:widowControl w:val="0"/>
        <w:ind w:left="2160"/>
      </w:pPr>
    </w:p>
    <w:p w:rsidR="007213AA" w:rsidRPr="0086712E" w:rsidRDefault="007213AA" w:rsidP="007213AA">
      <w:pPr>
        <w:pStyle w:val="Citation-AltC"/>
        <w:widowControl w:val="0"/>
        <w:ind w:left="2160"/>
      </w:pPr>
      <w:r w:rsidRPr="0086712E">
        <w:t>(ii) the dominant characteristic of which is the depiction, for a sexual purpose, of a sexual organ or the anal region of a person under the age of eighteen years;</w:t>
      </w:r>
    </w:p>
    <w:p w:rsidR="007213AA" w:rsidRPr="0086712E" w:rsidRDefault="007213AA" w:rsidP="007213AA">
      <w:pPr>
        <w:pStyle w:val="ParaNoNdepar-AltN"/>
        <w:widowControl w:val="0"/>
        <w:rPr>
          <w:rFonts w:cs="Times New Roman"/>
        </w:rPr>
      </w:pPr>
      <w:r w:rsidRPr="0086712E">
        <w:rPr>
          <w:rFonts w:cs="Times New Roman"/>
        </w:rPr>
        <w:t xml:space="preserve">In </w:t>
      </w:r>
      <w:r w:rsidRPr="0086712E">
        <w:rPr>
          <w:rFonts w:cs="Times New Roman"/>
          <w:i/>
        </w:rPr>
        <w:t>Sharpe</w:t>
      </w:r>
      <w:r w:rsidRPr="0086712E">
        <w:rPr>
          <w:rFonts w:cs="Times New Roman"/>
        </w:rPr>
        <w:t>, McLachlin C.J., writing for the majority of this Court,</w:t>
      </w:r>
      <w:r w:rsidRPr="0086712E" w:rsidDel="00BD0DDE">
        <w:rPr>
          <w:rFonts w:cs="Times New Roman"/>
        </w:rPr>
        <w:t xml:space="preserve"> </w:t>
      </w:r>
      <w:r w:rsidRPr="0086712E">
        <w:rPr>
          <w:rFonts w:cs="Times New Roman"/>
        </w:rPr>
        <w:t xml:space="preserve">concluded that while s. 163.1 infringed the constitutional right to freedom of </w:t>
      </w:r>
      <w:r w:rsidRPr="0086712E">
        <w:rPr>
          <w:rFonts w:cs="Times New Roman"/>
        </w:rPr>
        <w:lastRenderedPageBreak/>
        <w:t>expression protected by s. 2(</w:t>
      </w:r>
      <w:r w:rsidRPr="008921AC">
        <w:rPr>
          <w:rFonts w:cs="Times New Roman"/>
          <w:i/>
        </w:rPr>
        <w:t>b</w:t>
      </w:r>
      <w:r w:rsidRPr="0086712E">
        <w:rPr>
          <w:rFonts w:cs="Times New Roman"/>
        </w:rPr>
        <w:t xml:space="preserve">) of the </w:t>
      </w:r>
      <w:r w:rsidRPr="0086712E">
        <w:rPr>
          <w:rFonts w:cs="Times New Roman"/>
          <w:i/>
        </w:rPr>
        <w:t>Canadian Charter of Rights and Freedoms</w:t>
      </w:r>
      <w:r w:rsidRPr="0086712E">
        <w:rPr>
          <w:rFonts w:cs="Times New Roman"/>
        </w:rPr>
        <w:t xml:space="preserve">, this infringement was, for the most part, justified under s. 1 of the </w:t>
      </w:r>
      <w:r w:rsidRPr="0086712E">
        <w:rPr>
          <w:rFonts w:cs="Times New Roman"/>
          <w:i/>
        </w:rPr>
        <w:t>Charter</w:t>
      </w:r>
      <w:r w:rsidRPr="0086712E">
        <w:rPr>
          <w:rFonts w:cs="Times New Roman"/>
        </w:rPr>
        <w:t xml:space="preserve"> because of the important government objective of protecting children from harm.  However, the majority found that two categories of privately held material captured by the criminal prohibition did not strike the proper balance between preventing harm to children and protecting freedom of expression.  The two categories are (1) self-created expressive material, and (2) private recordings of lawful sexual activity.  These types of private material engage values related to the development of thought, belief, opinion and expression, while posing </w:t>
      </w:r>
      <w:r>
        <w:rPr>
          <w:rFonts w:cs="Times New Roman"/>
        </w:rPr>
        <w:t>“</w:t>
      </w:r>
      <w:r w:rsidRPr="0086712E">
        <w:rPr>
          <w:rFonts w:cs="Times New Roman"/>
        </w:rPr>
        <w:t>no reasoned risk of harm to children</w:t>
      </w:r>
      <w:r>
        <w:rPr>
          <w:rFonts w:cs="Times New Roman"/>
        </w:rPr>
        <w:t>”</w:t>
      </w:r>
      <w:r w:rsidRPr="0086712E">
        <w:rPr>
          <w:rFonts w:cs="Times New Roman"/>
        </w:rPr>
        <w:t xml:space="preserve"> (para. 100).</w:t>
      </w:r>
    </w:p>
    <w:p w:rsidR="007213AA" w:rsidRPr="0086712E" w:rsidRDefault="007213AA" w:rsidP="007213AA">
      <w:pPr>
        <w:pStyle w:val="ParaNoNdepar-AltN"/>
        <w:widowControl w:val="0"/>
        <w:rPr>
          <w:rFonts w:cs="Times New Roman"/>
        </w:rPr>
      </w:pPr>
      <w:r w:rsidRPr="0086712E">
        <w:rPr>
          <w:rFonts w:cs="Times New Roman"/>
        </w:rPr>
        <w:t>To remedy this constitutional defect, the Court</w:t>
      </w:r>
      <w:r w:rsidRPr="0086712E" w:rsidDel="00F547D9">
        <w:rPr>
          <w:rFonts w:cs="Times New Roman"/>
        </w:rPr>
        <w:t xml:space="preserve"> </w:t>
      </w:r>
      <w:r w:rsidRPr="0086712E">
        <w:rPr>
          <w:rFonts w:cs="Times New Roman"/>
        </w:rPr>
        <w:t>read in two exceptions to the prohibition.  Each of these exceptions operates as a defence to prosecution under s. 163.1(2), which prohibits making child pornography, and s. 163.1(4), which prohibits its possession.  The first exception addresses expressive material created and held by a single person and protects “deeply private expression, such as</w:t>
      </w:r>
      <w:r>
        <w:rPr>
          <w:rFonts w:cs="Times New Roman"/>
        </w:rPr>
        <w:t xml:space="preserve"> personal </w:t>
      </w:r>
      <w:r w:rsidRPr="0086712E">
        <w:rPr>
          <w:rFonts w:cs="Times New Roman"/>
        </w:rPr>
        <w:t>journals and drawings, intended solely for the eyes of their creator” (</w:t>
      </w:r>
      <w:r w:rsidRPr="008921AC">
        <w:rPr>
          <w:rFonts w:cs="Times New Roman"/>
          <w:i/>
        </w:rPr>
        <w:t>Sharpe</w:t>
      </w:r>
      <w:r>
        <w:rPr>
          <w:rFonts w:cs="Times New Roman"/>
        </w:rPr>
        <w:t xml:space="preserve">, at </w:t>
      </w:r>
      <w:r w:rsidRPr="008921AC">
        <w:rPr>
          <w:rFonts w:cs="Times New Roman"/>
        </w:rPr>
        <w:t>para</w:t>
      </w:r>
      <w:r w:rsidRPr="0086712E">
        <w:rPr>
          <w:rFonts w:cs="Times New Roman"/>
        </w:rPr>
        <w:t>.</w:t>
      </w:r>
      <w:r>
        <w:rPr>
          <w:rFonts w:cs="Times New Roman"/>
        </w:rPr>
        <w:t xml:space="preserve"> </w:t>
      </w:r>
      <w:r w:rsidRPr="0086712E">
        <w:rPr>
          <w:rFonts w:cs="Times New Roman"/>
        </w:rPr>
        <w:t xml:space="preserve">128).  The second exception, termed the </w:t>
      </w:r>
      <w:r>
        <w:rPr>
          <w:rFonts w:cs="Times New Roman"/>
        </w:rPr>
        <w:t>“</w:t>
      </w:r>
      <w:r w:rsidRPr="0086712E">
        <w:rPr>
          <w:rFonts w:cs="Times New Roman"/>
        </w:rPr>
        <w:t>private use exception</w:t>
      </w:r>
      <w:r>
        <w:rPr>
          <w:rFonts w:cs="Times New Roman"/>
        </w:rPr>
        <w:t>”</w:t>
      </w:r>
      <w:r w:rsidRPr="0086712E">
        <w:rPr>
          <w:rFonts w:cs="Times New Roman"/>
        </w:rPr>
        <w:t>, protects a narrow category of recordings:</w:t>
      </w:r>
    </w:p>
    <w:p w:rsidR="007213AA" w:rsidRPr="0086712E" w:rsidRDefault="007213AA" w:rsidP="00D91C6B">
      <w:pPr>
        <w:pStyle w:val="Citation-AltC"/>
        <w:widowControl w:val="0"/>
        <w:ind w:firstLine="4"/>
      </w:pPr>
      <w:r w:rsidRPr="0086712E">
        <w:t xml:space="preserve">The second exception protects a person’s possession of visual recordings created by or depicting that person, but </w:t>
      </w:r>
      <w:r w:rsidRPr="008921AC">
        <w:rPr>
          <w:u w:val="single"/>
        </w:rPr>
        <w:t>only</w:t>
      </w:r>
      <w:r w:rsidRPr="0086712E">
        <w:t xml:space="preserve"> where these recordings do not depict unlawful sexual activity, are held only for private use, and were created with the consent of those persons depicted.</w:t>
      </w:r>
      <w:r>
        <w:t xml:space="preserve">  [Emphasis in original; </w:t>
      </w:r>
      <w:r>
        <w:rPr>
          <w:i/>
        </w:rPr>
        <w:t>ibid</w:t>
      </w:r>
      <w:r w:rsidRPr="00D91C6B">
        <w:rPr>
          <w:i/>
        </w:rPr>
        <w:t>.</w:t>
      </w:r>
      <w:r>
        <w:t>]</w:t>
      </w:r>
    </w:p>
    <w:p w:rsidR="007213AA" w:rsidRPr="0086712E" w:rsidRDefault="007213AA" w:rsidP="007213AA">
      <w:pPr>
        <w:pStyle w:val="ContinueParaSuitedupar-AltP"/>
        <w:widowControl w:val="0"/>
        <w:rPr>
          <w:rFonts w:cs="Times New Roman"/>
        </w:rPr>
      </w:pPr>
      <w:r w:rsidRPr="0086712E">
        <w:rPr>
          <w:rFonts w:cs="Times New Roman"/>
        </w:rPr>
        <w:t>Only this latter exception is relevant for the purposes of the present appeal</w:t>
      </w:r>
      <w:r>
        <w:rPr>
          <w:rFonts w:cs="Times New Roman"/>
        </w:rPr>
        <w:t>s</w:t>
      </w:r>
      <w:r w:rsidRPr="0086712E">
        <w:rPr>
          <w:rFonts w:cs="Times New Roman"/>
        </w:rPr>
        <w:t>.</w:t>
      </w:r>
    </w:p>
    <w:p w:rsidR="007213AA" w:rsidRPr="0086712E" w:rsidRDefault="007213AA" w:rsidP="007213AA">
      <w:pPr>
        <w:pStyle w:val="ParaNoNdepar-AltN"/>
        <w:widowControl w:val="0"/>
        <w:rPr>
          <w:rFonts w:cs="Times New Roman"/>
        </w:rPr>
      </w:pPr>
      <w:r w:rsidRPr="0086712E">
        <w:rPr>
          <w:rFonts w:cs="Times New Roman"/>
        </w:rPr>
        <w:lastRenderedPageBreak/>
        <w:t xml:space="preserve">The majority </w:t>
      </w:r>
      <w:r>
        <w:rPr>
          <w:rFonts w:cs="Times New Roman"/>
        </w:rPr>
        <w:t xml:space="preserve">in </w:t>
      </w:r>
      <w:r w:rsidRPr="008921AC">
        <w:rPr>
          <w:rFonts w:cs="Times New Roman"/>
          <w:i/>
        </w:rPr>
        <w:t>Sharpe</w:t>
      </w:r>
      <w:r>
        <w:rPr>
          <w:rFonts w:cs="Times New Roman"/>
        </w:rPr>
        <w:t xml:space="preserve"> </w:t>
      </w:r>
      <w:r w:rsidRPr="008921AC">
        <w:rPr>
          <w:rFonts w:cs="Times New Roman"/>
        </w:rPr>
        <w:t>reasoned</w:t>
      </w:r>
      <w:r w:rsidRPr="0086712E">
        <w:rPr>
          <w:rFonts w:cs="Times New Roman"/>
        </w:rPr>
        <w:t xml:space="preserve"> that private recordings may be of significance to adolescent self-fulfilment, self-actualization and sexual exploration and identity. </w:t>
      </w:r>
      <w:r w:rsidRPr="0086712E" w:rsidDel="00456EFC">
        <w:rPr>
          <w:rFonts w:cs="Times New Roman"/>
        </w:rPr>
        <w:t xml:space="preserve"> </w:t>
      </w:r>
      <w:r w:rsidRPr="0086712E">
        <w:rPr>
          <w:rFonts w:cs="Times New Roman"/>
        </w:rPr>
        <w:t>It noted that “two adolescents might arguably deepen a loving and respectful relationship through erotic pictures of themselves engaged in sexual activity”, thus concluding that the cost of criminalizing such materials on the right of free expression outweighs any tenuous benefit it might confer in preventing harm to children (para. 109).</w:t>
      </w:r>
    </w:p>
    <w:p w:rsidR="007213AA" w:rsidRPr="0086712E" w:rsidRDefault="007213AA" w:rsidP="007213AA">
      <w:pPr>
        <w:pStyle w:val="Title2LevelTitre2Niveau"/>
        <w:widowControl w:val="0"/>
        <w:rPr>
          <w:rFonts w:cs="Times New Roman"/>
        </w:rPr>
      </w:pPr>
      <w:r w:rsidRPr="0086712E">
        <w:rPr>
          <w:rFonts w:cs="Times New Roman"/>
        </w:rPr>
        <w:t>Elements of the Private Use Exception</w:t>
      </w:r>
    </w:p>
    <w:p w:rsidR="007213AA" w:rsidRPr="0086712E" w:rsidRDefault="007213AA" w:rsidP="007213AA">
      <w:pPr>
        <w:pStyle w:val="ParaNoNdepar-AltN"/>
        <w:widowControl w:val="0"/>
        <w:rPr>
          <w:rFonts w:cs="Times New Roman"/>
        </w:rPr>
      </w:pPr>
      <w:r w:rsidRPr="0086712E">
        <w:rPr>
          <w:rFonts w:cs="Times New Roman"/>
        </w:rPr>
        <w:t xml:space="preserve">As this Court explained in </w:t>
      </w:r>
      <w:r w:rsidRPr="0086712E">
        <w:rPr>
          <w:rFonts w:cs="Times New Roman"/>
          <w:i/>
        </w:rPr>
        <w:t>Sharpe</w:t>
      </w:r>
      <w:r w:rsidRPr="0086712E">
        <w:rPr>
          <w:rFonts w:cs="Times New Roman"/>
        </w:rPr>
        <w:t>, there are three elements to the private use exception, all of which must have a basis in the evidence for the exception to apply:  (1) the recording must depict lawful sexual activity; (2) the persons depicted must consent to the recording; and (3) the recording must be held for private use.</w:t>
      </w:r>
    </w:p>
    <w:p w:rsidR="007213AA" w:rsidRPr="0086712E" w:rsidRDefault="007213AA" w:rsidP="007213AA">
      <w:pPr>
        <w:pStyle w:val="ParaNoNdepar-AltN"/>
        <w:widowControl w:val="0"/>
        <w:rPr>
          <w:rFonts w:cs="Times New Roman"/>
        </w:rPr>
      </w:pPr>
      <w:r w:rsidRPr="0086712E">
        <w:rPr>
          <w:rFonts w:cs="Times New Roman"/>
        </w:rPr>
        <w:t xml:space="preserve">In order for this defence to go to a jury, the accused must raise an air of reality with respect to all three elements of the defence </w:t>
      </w:r>
      <w:r w:rsidR="002B4CD0">
        <w:rPr>
          <w:rFonts w:cs="Times New Roman"/>
        </w:rPr>
        <w:t>(</w:t>
      </w:r>
      <w:r w:rsidRPr="0086712E">
        <w:rPr>
          <w:rFonts w:cs="Times New Roman"/>
          <w:i/>
        </w:rPr>
        <w:t>Sharpe</w:t>
      </w:r>
      <w:r w:rsidRPr="0086712E">
        <w:rPr>
          <w:rFonts w:cs="Times New Roman"/>
        </w:rPr>
        <w:t>, at para. 116</w:t>
      </w:r>
      <w:r w:rsidR="002B4CD0">
        <w:rPr>
          <w:rFonts w:cs="Times New Roman"/>
        </w:rPr>
        <w:t>)</w:t>
      </w:r>
      <w:r w:rsidRPr="0086712E">
        <w:rPr>
          <w:rFonts w:cs="Times New Roman"/>
        </w:rPr>
        <w:t>.  Once this evidential burden is met, the Crown then bears the persuasive burden to disprove the defence beyond a reasonable doubt.  Since all three elements are necessary for the defence to succeed, the Crown need only disprove one element beyond a reasonable doubt.</w:t>
      </w:r>
    </w:p>
    <w:p w:rsidR="007213AA" w:rsidRPr="0086712E" w:rsidRDefault="007213AA" w:rsidP="007213AA">
      <w:pPr>
        <w:pStyle w:val="Title3LevelTitre3Niveau"/>
        <w:widowControl w:val="0"/>
        <w:rPr>
          <w:rFonts w:cs="Times New Roman"/>
        </w:rPr>
      </w:pPr>
      <w:r w:rsidRPr="0086712E">
        <w:rPr>
          <w:rFonts w:cs="Times New Roman"/>
        </w:rPr>
        <w:t>Lawfulness</w:t>
      </w:r>
    </w:p>
    <w:p w:rsidR="007213AA" w:rsidRPr="0086712E" w:rsidRDefault="007213AA" w:rsidP="007213AA">
      <w:pPr>
        <w:pStyle w:val="ParaNoNdepar-AltN"/>
        <w:widowControl w:val="0"/>
        <w:rPr>
          <w:rFonts w:cs="Times New Roman"/>
        </w:rPr>
      </w:pPr>
      <w:r w:rsidRPr="0086712E">
        <w:rPr>
          <w:rFonts w:cs="Times New Roman"/>
        </w:rPr>
        <w:lastRenderedPageBreak/>
        <w:t xml:space="preserve">First, the recorded sexual activity must be lawful.  That is, the sexual activity cannot itself be a crime.  Consent is a prerequisite to the lawfulness of the sexual activity.  Children under the age of 12 cannot validly consent to sexual activity.  At the time the </w:t>
      </w:r>
      <w:r w:rsidR="00D91C6B">
        <w:rPr>
          <w:rFonts w:cs="Times New Roman"/>
        </w:rPr>
        <w:t>offences are alleged to have been committed</w:t>
      </w:r>
      <w:r w:rsidR="00826C29">
        <w:rPr>
          <w:rFonts w:cs="Times New Roman"/>
        </w:rPr>
        <w:t xml:space="preserve"> in this case</w:t>
      </w:r>
      <w:r w:rsidRPr="0086712E">
        <w:rPr>
          <w:rFonts w:cs="Times New Roman"/>
        </w:rPr>
        <w:t>, the circumstances under which young persons under the age of 14 could validly consent to sexual activity were restricted, depending upon the age of the other participants</w:t>
      </w:r>
      <w:r>
        <w:rPr>
          <w:rFonts w:cs="Times New Roman"/>
        </w:rPr>
        <w:t xml:space="preserve"> </w:t>
      </w:r>
      <w:r w:rsidR="009135F2">
        <w:rPr>
          <w:rFonts w:cs="Times New Roman"/>
        </w:rPr>
        <w:t>(</w:t>
      </w:r>
      <w:r w:rsidRPr="0086712E">
        <w:rPr>
          <w:rFonts w:cs="Times New Roman"/>
          <w:i/>
        </w:rPr>
        <w:t>Criminal Code</w:t>
      </w:r>
      <w:r w:rsidRPr="0086712E">
        <w:rPr>
          <w:rFonts w:cs="Times New Roman"/>
        </w:rPr>
        <w:t>,</w:t>
      </w:r>
      <w:r w:rsidRPr="0086712E">
        <w:rPr>
          <w:rFonts w:cs="Times New Roman"/>
          <w:i/>
        </w:rPr>
        <w:t xml:space="preserve"> </w:t>
      </w:r>
      <w:r w:rsidRPr="0086712E">
        <w:rPr>
          <w:rFonts w:cs="Times New Roman"/>
        </w:rPr>
        <w:t>s.</w:t>
      </w:r>
      <w:r>
        <w:rPr>
          <w:rFonts w:cs="Times New Roman"/>
        </w:rPr>
        <w:t xml:space="preserve"> </w:t>
      </w:r>
      <w:r w:rsidRPr="0086712E">
        <w:rPr>
          <w:rFonts w:cs="Times New Roman"/>
        </w:rPr>
        <w:t>150.1(1)</w:t>
      </w:r>
      <w:r>
        <w:rPr>
          <w:rFonts w:cs="Times New Roman"/>
        </w:rPr>
        <w:t xml:space="preserve"> and </w:t>
      </w:r>
      <w:r w:rsidRPr="0086712E">
        <w:rPr>
          <w:rFonts w:cs="Times New Roman"/>
        </w:rPr>
        <w:t>(2)</w:t>
      </w:r>
      <w:r w:rsidR="009135F2">
        <w:rPr>
          <w:rFonts w:cs="Times New Roman"/>
        </w:rPr>
        <w:t>)</w:t>
      </w:r>
      <w:r w:rsidRPr="0086712E">
        <w:rPr>
          <w:rFonts w:cs="Times New Roman"/>
        </w:rPr>
        <w:t>.  A young person under the age of 14 could not consent to sexual activity with another person unless that person was less than two years older.</w:t>
      </w:r>
      <w:r w:rsidRPr="0086712E" w:rsidDel="003607F9">
        <w:rPr>
          <w:rFonts w:cs="Times New Roman"/>
        </w:rPr>
        <w:t xml:space="preserve"> </w:t>
      </w:r>
      <w:r w:rsidRPr="0086712E">
        <w:rPr>
          <w:rFonts w:cs="Times New Roman"/>
        </w:rPr>
        <w:t xml:space="preserve"> In addition, consent of young persons under 14 to sexual activity would not apply where the other participant was in a position of trust or authority towards them, where the relationship was one of dependency or where the re</w:t>
      </w:r>
      <w:r w:rsidR="00D91C6B">
        <w:rPr>
          <w:rFonts w:cs="Times New Roman"/>
        </w:rPr>
        <w:t xml:space="preserve">lationship was exploitative </w:t>
      </w:r>
      <w:r w:rsidR="009135F2">
        <w:rPr>
          <w:rFonts w:cs="Times New Roman"/>
        </w:rPr>
        <w:t>(</w:t>
      </w:r>
      <w:r w:rsidR="00D91C6B">
        <w:rPr>
          <w:rFonts w:cs="Times New Roman"/>
        </w:rPr>
        <w:t>s</w:t>
      </w:r>
      <w:r w:rsidRPr="0086712E">
        <w:rPr>
          <w:rFonts w:cs="Times New Roman"/>
        </w:rPr>
        <w:t>.</w:t>
      </w:r>
      <w:r>
        <w:rPr>
          <w:rFonts w:cs="Times New Roman"/>
        </w:rPr>
        <w:t xml:space="preserve"> </w:t>
      </w:r>
      <w:r w:rsidRPr="0086712E">
        <w:rPr>
          <w:rFonts w:cs="Times New Roman"/>
        </w:rPr>
        <w:t>150.1(2)(</w:t>
      </w:r>
      <w:r w:rsidRPr="0086712E">
        <w:rPr>
          <w:rFonts w:cs="Times New Roman"/>
          <w:i/>
        </w:rPr>
        <w:t>c</w:t>
      </w:r>
      <w:r w:rsidRPr="0086712E">
        <w:rPr>
          <w:rFonts w:cs="Times New Roman"/>
        </w:rPr>
        <w:t>)</w:t>
      </w:r>
      <w:r w:rsidR="00D91C6B">
        <w:rPr>
          <w:rFonts w:cs="Times New Roman"/>
        </w:rPr>
        <w:t xml:space="preserve"> and </w:t>
      </w:r>
      <w:r w:rsidRPr="0086712E">
        <w:rPr>
          <w:rFonts w:cs="Times New Roman"/>
        </w:rPr>
        <w:t>(3)</w:t>
      </w:r>
      <w:r w:rsidR="009135F2">
        <w:rPr>
          <w:rFonts w:cs="Times New Roman"/>
        </w:rPr>
        <w:t>)</w:t>
      </w:r>
      <w:r w:rsidRPr="0086712E">
        <w:rPr>
          <w:rFonts w:cs="Times New Roman"/>
        </w:rPr>
        <w:t>.  These limits on consent had, and still have, broad application, including sexual touching and invitation, incitement or counselling to sexual touching, as well as other sexual offences.</w:t>
      </w:r>
      <w:r w:rsidRPr="0086712E">
        <w:rPr>
          <w:rStyle w:val="FootnoteReference"/>
          <w:rFonts w:cs="Times New Roman"/>
        </w:rPr>
        <w:footnoteReference w:id="1"/>
      </w:r>
    </w:p>
    <w:p w:rsidR="007213AA" w:rsidRPr="0086712E" w:rsidRDefault="007213AA" w:rsidP="007213AA">
      <w:pPr>
        <w:pStyle w:val="ParaNoNdepar-AltN"/>
        <w:widowControl w:val="0"/>
        <w:rPr>
          <w:rFonts w:cs="Times New Roman"/>
        </w:rPr>
      </w:pPr>
      <w:r w:rsidRPr="0086712E">
        <w:rPr>
          <w:rFonts w:cs="Times New Roman"/>
        </w:rPr>
        <w:t>Young persons aged 14 to 17, inclusive</w:t>
      </w:r>
      <w:r>
        <w:rPr>
          <w:rFonts w:cs="Times New Roman"/>
        </w:rPr>
        <w:t>ly</w:t>
      </w:r>
      <w:r w:rsidRPr="0086712E">
        <w:rPr>
          <w:rFonts w:cs="Times New Roman"/>
        </w:rPr>
        <w:t>, could at that time validly consent to sexual activity with partners of any age.  However, as with younger children, the sexual activity would be unlawful where the relationship is based on exploitation, dependency, trust or authority</w:t>
      </w:r>
      <w:r w:rsidR="00401709">
        <w:rPr>
          <w:rFonts w:cs="Times New Roman"/>
        </w:rPr>
        <w:t xml:space="preserve"> (</w:t>
      </w:r>
      <w:r w:rsidRPr="0086712E">
        <w:rPr>
          <w:rFonts w:cs="Times New Roman"/>
        </w:rPr>
        <w:t>s.</w:t>
      </w:r>
      <w:r>
        <w:rPr>
          <w:rFonts w:cs="Times New Roman"/>
        </w:rPr>
        <w:t xml:space="preserve"> </w:t>
      </w:r>
      <w:r w:rsidRPr="0086712E">
        <w:rPr>
          <w:rFonts w:cs="Times New Roman"/>
        </w:rPr>
        <w:t>153(1)</w:t>
      </w:r>
      <w:r w:rsidR="00401709">
        <w:rPr>
          <w:rFonts w:cs="Times New Roman"/>
        </w:rPr>
        <w:t>)</w:t>
      </w:r>
      <w:r w:rsidRPr="0086712E">
        <w:rPr>
          <w:rFonts w:cs="Times New Roman"/>
        </w:rPr>
        <w:t>.  At any age, consent remains invalid if obtained by means of</w:t>
      </w:r>
      <w:r>
        <w:rPr>
          <w:rFonts w:cs="Times New Roman"/>
        </w:rPr>
        <w:t xml:space="preserve"> </w:t>
      </w:r>
      <w:r w:rsidRPr="0086712E">
        <w:rPr>
          <w:rFonts w:cs="Times New Roman"/>
        </w:rPr>
        <w:t>fraud, duress, or abuse of authority, among other things</w:t>
      </w:r>
      <w:r w:rsidR="00DB46AB">
        <w:rPr>
          <w:rFonts w:cs="Times New Roman"/>
        </w:rPr>
        <w:t xml:space="preserve"> (</w:t>
      </w:r>
      <w:r w:rsidR="00225741" w:rsidRPr="00225741">
        <w:rPr>
          <w:rFonts w:cs="Times New Roman"/>
          <w:i/>
        </w:rPr>
        <w:t>Criminal Code</w:t>
      </w:r>
      <w:r w:rsidR="00225741">
        <w:rPr>
          <w:rFonts w:cs="Times New Roman"/>
        </w:rPr>
        <w:t xml:space="preserve">, </w:t>
      </w:r>
      <w:r w:rsidRPr="0086712E">
        <w:rPr>
          <w:rFonts w:cs="Times New Roman"/>
        </w:rPr>
        <w:t>ss. 265(3)</w:t>
      </w:r>
      <w:r w:rsidR="00D91C6B">
        <w:rPr>
          <w:rFonts w:cs="Times New Roman"/>
        </w:rPr>
        <w:t xml:space="preserve"> and</w:t>
      </w:r>
      <w:r w:rsidRPr="0086712E">
        <w:rPr>
          <w:rFonts w:cs="Times New Roman"/>
        </w:rPr>
        <w:t xml:space="preserve"> 273.1</w:t>
      </w:r>
      <w:r w:rsidR="00DB46AB">
        <w:rPr>
          <w:rFonts w:cs="Times New Roman"/>
        </w:rPr>
        <w:t>)</w:t>
      </w:r>
      <w:r w:rsidRPr="0086712E">
        <w:rPr>
          <w:rFonts w:cs="Times New Roman"/>
        </w:rPr>
        <w:t>.</w:t>
      </w:r>
    </w:p>
    <w:p w:rsidR="007213AA" w:rsidRPr="0086712E" w:rsidRDefault="007213AA" w:rsidP="007213AA">
      <w:pPr>
        <w:pStyle w:val="ParaNoNdepar-AltN"/>
        <w:widowControl w:val="0"/>
        <w:rPr>
          <w:rFonts w:cs="Times New Roman"/>
        </w:rPr>
      </w:pPr>
      <w:r w:rsidRPr="0086712E">
        <w:rPr>
          <w:rFonts w:cs="Times New Roman"/>
        </w:rPr>
        <w:lastRenderedPageBreak/>
        <w:t>In 2008</w:t>
      </w:r>
      <w:r>
        <w:rPr>
          <w:rFonts w:cs="Times New Roman"/>
        </w:rPr>
        <w:t>,</w:t>
      </w:r>
      <w:r w:rsidRPr="0086712E">
        <w:rPr>
          <w:rFonts w:cs="Times New Roman"/>
        </w:rPr>
        <w:t xml:space="preserve"> Parliament amended the </w:t>
      </w:r>
      <w:r w:rsidRPr="0086712E">
        <w:rPr>
          <w:rFonts w:cs="Times New Roman"/>
          <w:i/>
        </w:rPr>
        <w:t>Criminal Code</w:t>
      </w:r>
      <w:r w:rsidRPr="0086712E">
        <w:rPr>
          <w:rFonts w:cs="Times New Roman"/>
        </w:rPr>
        <w:t xml:space="preserve"> to effectively raise the age of consent from 14 to 16 years</w:t>
      </w:r>
      <w:r w:rsidR="00D91C6B">
        <w:rPr>
          <w:rFonts w:cs="Times New Roman"/>
        </w:rPr>
        <w:t xml:space="preserve"> (S.C. 2008, c. 6)</w:t>
      </w:r>
      <w:r w:rsidRPr="0086712E">
        <w:rPr>
          <w:rFonts w:cs="Times New Roman"/>
        </w:rPr>
        <w:t>.  Young persons aged 14 and 15 may now only consent to sexual activity with another person where they are either close in age to that person or married to that person</w:t>
      </w:r>
      <w:r w:rsidR="00694789">
        <w:rPr>
          <w:rFonts w:cs="Times New Roman"/>
        </w:rPr>
        <w:t xml:space="preserve"> </w:t>
      </w:r>
      <w:r w:rsidR="00DB46AB">
        <w:rPr>
          <w:rFonts w:cs="Times New Roman"/>
        </w:rPr>
        <w:t>(</w:t>
      </w:r>
      <w:r w:rsidRPr="0086712E">
        <w:rPr>
          <w:rFonts w:cs="Times New Roman"/>
        </w:rPr>
        <w:t>s. 150.1(2.1)</w:t>
      </w:r>
      <w:r w:rsidR="00DB46AB">
        <w:rPr>
          <w:rFonts w:cs="Times New Roman"/>
        </w:rPr>
        <w:t>)</w:t>
      </w:r>
      <w:r w:rsidRPr="0086712E">
        <w:rPr>
          <w:rFonts w:cs="Times New Roman"/>
        </w:rPr>
        <w:t>.</w:t>
      </w:r>
    </w:p>
    <w:p w:rsidR="007213AA" w:rsidRPr="0086712E" w:rsidRDefault="007213AA" w:rsidP="007213AA">
      <w:pPr>
        <w:pStyle w:val="ParaNoNdepar-AltN"/>
        <w:widowControl w:val="0"/>
        <w:rPr>
          <w:rFonts w:cs="Times New Roman"/>
        </w:rPr>
      </w:pPr>
      <w:r w:rsidRPr="0086712E">
        <w:rPr>
          <w:rFonts w:cs="Times New Roman"/>
        </w:rPr>
        <w:t xml:space="preserve">In the context of a child pornography prosecution, these legislative limits on minors’ consent restrict the circumstances in which the underlying sexual activity will be lawful.  In so doing, they restrict the circumstances in which a person charged under s. 163.1 can rely on the private use exception as a defence.  Thus, subject to those exceptions explicitly permitted in the </w:t>
      </w:r>
      <w:r w:rsidRPr="0086712E">
        <w:rPr>
          <w:rFonts w:cs="Times New Roman"/>
          <w:i/>
        </w:rPr>
        <w:t>Code</w:t>
      </w:r>
      <w:r w:rsidRPr="0086712E">
        <w:rPr>
          <w:rFonts w:cs="Times New Roman"/>
        </w:rPr>
        <w:t>, the consent of a person under the age of 14 (now 16) would not be valid and the defence would not be available.  Nor will the private use exception apply where the Crown proves beyond a reasonable doubt that the relationship between those involved is tainted by exploitation, dependency, or abuse of authority or of a position of trust, as those offences are described in s. 153(1).  Of course, the exception does not apply to any activities that are themselves offences, regardless of consent, such as incest (s. 155).</w:t>
      </w:r>
    </w:p>
    <w:p w:rsidR="007213AA" w:rsidRPr="0086712E" w:rsidRDefault="007213AA" w:rsidP="007213AA">
      <w:pPr>
        <w:pStyle w:val="ParaNoNdepar-AltN"/>
        <w:widowControl w:val="0"/>
        <w:rPr>
          <w:rFonts w:cs="Times New Roman"/>
        </w:rPr>
      </w:pPr>
      <w:r w:rsidRPr="0086712E">
        <w:rPr>
          <w:rFonts w:cs="Times New Roman"/>
        </w:rPr>
        <w:t xml:space="preserve">In summary, the private use exception can never be available as a defence to child pornography involving children under the age of 12.  For young persons aged 12 or 13, the circumstances where the exception may be available are defined narrowly by the </w:t>
      </w:r>
      <w:r w:rsidRPr="0086712E">
        <w:rPr>
          <w:rFonts w:cs="Times New Roman"/>
          <w:i/>
        </w:rPr>
        <w:t>Criminal Code</w:t>
      </w:r>
      <w:r w:rsidRPr="0086712E">
        <w:rPr>
          <w:rFonts w:cs="Times New Roman"/>
        </w:rPr>
        <w:t xml:space="preserve">.  Otherwise, at the time of the </w:t>
      </w:r>
      <w:r w:rsidR="00D91C6B">
        <w:rPr>
          <w:rFonts w:cs="Times New Roman"/>
        </w:rPr>
        <w:t>alleged offences</w:t>
      </w:r>
      <w:r w:rsidRPr="0086712E">
        <w:rPr>
          <w:rFonts w:cs="Times New Roman"/>
        </w:rPr>
        <w:t xml:space="preserve"> in this case, the private use exception was only available where the young person involved in the sexual activity was between 14 and 17 years of age</w:t>
      </w:r>
      <w:r>
        <w:rPr>
          <w:rFonts w:cs="Times New Roman"/>
        </w:rPr>
        <w:t>, inclusively</w:t>
      </w:r>
      <w:r w:rsidRPr="0086712E">
        <w:rPr>
          <w:rFonts w:cs="Times New Roman"/>
        </w:rPr>
        <w:t>; today, this is restricted to those aged 16 or 17 years.</w:t>
      </w:r>
    </w:p>
    <w:p w:rsidR="007213AA" w:rsidRPr="0086712E" w:rsidRDefault="007213AA" w:rsidP="007213AA">
      <w:pPr>
        <w:pStyle w:val="Title3LevelTitre3Niveau"/>
        <w:widowControl w:val="0"/>
        <w:rPr>
          <w:rFonts w:cs="Times New Roman"/>
          <w:lang w:val="en-US"/>
        </w:rPr>
      </w:pPr>
      <w:r w:rsidRPr="0086712E">
        <w:rPr>
          <w:rFonts w:cs="Times New Roman"/>
          <w:lang w:val="en-US"/>
        </w:rPr>
        <w:lastRenderedPageBreak/>
        <w:t>Consent to Recording</w:t>
      </w:r>
    </w:p>
    <w:p w:rsidR="007213AA" w:rsidRPr="0086712E" w:rsidRDefault="007213AA" w:rsidP="007213AA">
      <w:pPr>
        <w:pStyle w:val="ParaNoNdepar-AltN"/>
        <w:widowControl w:val="0"/>
        <w:rPr>
          <w:rFonts w:cs="Times New Roman"/>
          <w:lang w:val="en-US"/>
        </w:rPr>
      </w:pPr>
      <w:r w:rsidRPr="0086712E">
        <w:rPr>
          <w:rFonts w:cs="Times New Roman"/>
        </w:rPr>
        <w:t xml:space="preserve">Second, all participants must consent to the recording of the lawful sexual activity.  Particularly in the digital age, the recording itself can create a risk of harm, quite separate from the underlying sexual activity.  </w:t>
      </w:r>
      <w:r w:rsidRPr="0086712E">
        <w:rPr>
          <w:rFonts w:cs="Times New Roman"/>
          <w:lang w:val="en-US"/>
        </w:rPr>
        <w:t xml:space="preserve">The consent requirement protects an individual’s privacy by ensuring only consensual sexual expression falls within the exception to the prohibition on making </w:t>
      </w:r>
      <w:r>
        <w:rPr>
          <w:rFonts w:cs="Times New Roman"/>
          <w:lang w:val="en-US"/>
        </w:rPr>
        <w:t>or</w:t>
      </w:r>
      <w:r w:rsidRPr="0086712E">
        <w:rPr>
          <w:rFonts w:cs="Times New Roman"/>
          <w:lang w:val="en-US"/>
        </w:rPr>
        <w:t xml:space="preserve"> possessing child pornography.</w:t>
      </w:r>
    </w:p>
    <w:p w:rsidR="007213AA" w:rsidRPr="0086712E" w:rsidRDefault="007213AA" w:rsidP="007213AA">
      <w:pPr>
        <w:pStyle w:val="Title3LevelTitre3Niveau"/>
        <w:widowControl w:val="0"/>
        <w:rPr>
          <w:rFonts w:cs="Times New Roman"/>
          <w:lang w:val="en-US"/>
        </w:rPr>
      </w:pPr>
      <w:r w:rsidRPr="0086712E">
        <w:rPr>
          <w:rFonts w:cs="Times New Roman"/>
          <w:lang w:val="en-US"/>
        </w:rPr>
        <w:t>Privacy</w:t>
      </w:r>
    </w:p>
    <w:p w:rsidR="007213AA" w:rsidRPr="0086712E" w:rsidRDefault="007213AA" w:rsidP="007213AA">
      <w:pPr>
        <w:pStyle w:val="ParaNoNdepar-AltN"/>
        <w:widowControl w:val="0"/>
        <w:rPr>
          <w:rFonts w:cs="Times New Roman"/>
        </w:rPr>
      </w:pPr>
      <w:r w:rsidRPr="0086712E">
        <w:rPr>
          <w:rFonts w:cs="Times New Roman"/>
        </w:rPr>
        <w:t xml:space="preserve">Third, as this Court held in </w:t>
      </w:r>
      <w:r w:rsidRPr="0086712E">
        <w:rPr>
          <w:rFonts w:cs="Times New Roman"/>
          <w:i/>
        </w:rPr>
        <w:t>Sharpe</w:t>
      </w:r>
      <w:r w:rsidRPr="0086712E">
        <w:rPr>
          <w:rFonts w:cs="Times New Roman"/>
        </w:rPr>
        <w:t xml:space="preserve">, “[t]he recording must be kept in strict privacy by the person in possession, and intended exclusively for private use by the creator and the persons depicted therein” (para. 116; see also para. 118).  The moment such privacy is breached, the recording falls outside the ambit of the private use exception.  This ensures that cases such as </w:t>
      </w:r>
      <w:r w:rsidRPr="0086712E">
        <w:rPr>
          <w:rFonts w:cs="Times New Roman"/>
          <w:i/>
        </w:rPr>
        <w:t xml:space="preserve">R. v. </w:t>
      </w:r>
      <w:r>
        <w:rPr>
          <w:rFonts w:cs="Times New Roman"/>
          <w:i/>
        </w:rPr>
        <w:t xml:space="preserve">L.W. </w:t>
      </w:r>
      <w:r w:rsidRPr="00544288">
        <w:rPr>
          <w:rFonts w:cs="Times New Roman"/>
        </w:rPr>
        <w:t>(2006)</w:t>
      </w:r>
      <w:r w:rsidRPr="0086712E">
        <w:rPr>
          <w:rFonts w:cs="Times New Roman"/>
        </w:rPr>
        <w:t xml:space="preserve">, </w:t>
      </w:r>
      <w:r>
        <w:rPr>
          <w:rFonts w:cs="Times New Roman"/>
        </w:rPr>
        <w:t>208 O.A.C. 42</w:t>
      </w:r>
      <w:r w:rsidRPr="0086712E">
        <w:rPr>
          <w:rFonts w:cs="Times New Roman"/>
        </w:rPr>
        <w:t>, where the accused distributed consensually made images of himself and his 15-year-old girlfriend after their relationship ended</w:t>
      </w:r>
      <w:r>
        <w:rPr>
          <w:rFonts w:cs="Times New Roman"/>
        </w:rPr>
        <w:t>,</w:t>
      </w:r>
      <w:r w:rsidRPr="0086712E">
        <w:rPr>
          <w:rFonts w:cs="Times New Roman"/>
        </w:rPr>
        <w:t xml:space="preserve"> would not fall under the private use exception.</w:t>
      </w:r>
    </w:p>
    <w:p w:rsidR="007213AA" w:rsidRPr="0086712E" w:rsidRDefault="007213AA" w:rsidP="007213AA">
      <w:pPr>
        <w:pStyle w:val="ParaNoNdepar-AltN"/>
        <w:widowControl w:val="0"/>
        <w:rPr>
          <w:rFonts w:cs="Times New Roman"/>
        </w:rPr>
      </w:pPr>
      <w:r w:rsidRPr="0086712E">
        <w:rPr>
          <w:rFonts w:cs="Times New Roman"/>
          <w:szCs w:val="24"/>
        </w:rPr>
        <w:t xml:space="preserve">Although it does not arise on the facts of this case, the trial judge and two interveners addressed the question of what happens when a participant in a recording under the private use exception demands that the recording be returned or destroyed.  The trial judge concluded that once a recording is created, a participant retains the ability to demand its return or destruction, on the basis that effective control by each </w:t>
      </w:r>
      <w:r w:rsidRPr="0086712E">
        <w:rPr>
          <w:rFonts w:cs="Times New Roman"/>
          <w:szCs w:val="24"/>
        </w:rPr>
        <w:lastRenderedPageBreak/>
        <w:t>participant is a necessary element that must be established for a recording to be privately held.  In his view, effective control is lost “where the owners of private use materials are unable to demand the return of the private use materials or their destruction” (para. 186; see also paras. 187</w:t>
      </w:r>
      <w:r w:rsidR="00D91C6B">
        <w:rPr>
          <w:rFonts w:cs="Times New Roman"/>
          <w:szCs w:val="24"/>
        </w:rPr>
        <w:t xml:space="preserve"> and</w:t>
      </w:r>
      <w:r w:rsidRPr="0086712E">
        <w:rPr>
          <w:rFonts w:cs="Times New Roman"/>
          <w:szCs w:val="24"/>
        </w:rPr>
        <w:t xml:space="preserve"> 271-74).</w:t>
      </w:r>
    </w:p>
    <w:p w:rsidR="007213AA" w:rsidRPr="0086712E" w:rsidRDefault="007213AA" w:rsidP="007213AA">
      <w:pPr>
        <w:pStyle w:val="ParaNoNdepar-AltN"/>
        <w:widowControl w:val="0"/>
        <w:rPr>
          <w:rFonts w:cs="Times New Roman"/>
        </w:rPr>
      </w:pPr>
      <w:r w:rsidRPr="0086712E">
        <w:rPr>
          <w:rFonts w:cs="Times New Roman"/>
        </w:rPr>
        <w:t xml:space="preserve">The </w:t>
      </w:r>
      <w:r>
        <w:rPr>
          <w:rFonts w:cs="Times New Roman"/>
        </w:rPr>
        <w:t xml:space="preserve">intervener the </w:t>
      </w:r>
      <w:r w:rsidRPr="0086712E">
        <w:rPr>
          <w:rFonts w:cs="Times New Roman"/>
        </w:rPr>
        <w:t xml:space="preserve">Attorney General of Ontario argued that </w:t>
      </w:r>
      <w:r w:rsidRPr="0086712E">
        <w:rPr>
          <w:rFonts w:cs="Times New Roman"/>
          <w:i/>
        </w:rPr>
        <w:t>Sharpe</w:t>
      </w:r>
      <w:r w:rsidRPr="0086712E">
        <w:rPr>
          <w:rFonts w:cs="Times New Roman"/>
        </w:rPr>
        <w:t xml:space="preserve"> implicitly requires that a child must have either ongoing access or </w:t>
      </w:r>
      <w:r w:rsidRPr="0086712E">
        <w:rPr>
          <w:rFonts w:cs="Times New Roman"/>
          <w:i/>
        </w:rPr>
        <w:t>de facto</w:t>
      </w:r>
      <w:r w:rsidRPr="0086712E">
        <w:rPr>
          <w:rFonts w:cs="Times New Roman"/>
        </w:rPr>
        <w:t xml:space="preserve"> control over the material, so as to destroy or direct the destruction of the material in circumstances where the child comes to regret </w:t>
      </w:r>
      <w:r>
        <w:rPr>
          <w:rFonts w:cs="Times New Roman"/>
        </w:rPr>
        <w:t>his or h</w:t>
      </w:r>
      <w:r w:rsidRPr="0086712E">
        <w:rPr>
          <w:rFonts w:cs="Times New Roman"/>
        </w:rPr>
        <w:t>er participation in its creation (</w:t>
      </w:r>
      <w:r w:rsidR="00D91C6B">
        <w:rPr>
          <w:rFonts w:cs="Times New Roman"/>
        </w:rPr>
        <w:t>factum</w:t>
      </w:r>
      <w:r>
        <w:rPr>
          <w:rFonts w:cs="Times New Roman"/>
        </w:rPr>
        <w:t xml:space="preserve">, </w:t>
      </w:r>
      <w:r w:rsidRPr="0086712E">
        <w:rPr>
          <w:rFonts w:cs="Times New Roman"/>
        </w:rPr>
        <w:t xml:space="preserve">at paras. 20-25).  The </w:t>
      </w:r>
      <w:r>
        <w:rPr>
          <w:rFonts w:cs="Times New Roman"/>
        </w:rPr>
        <w:t xml:space="preserve">intervener the </w:t>
      </w:r>
      <w:r w:rsidRPr="0086712E">
        <w:rPr>
          <w:rFonts w:cs="Times New Roman"/>
        </w:rPr>
        <w:t>C</w:t>
      </w:r>
      <w:r>
        <w:rPr>
          <w:rFonts w:cs="Times New Roman"/>
        </w:rPr>
        <w:t xml:space="preserve">anadian </w:t>
      </w:r>
      <w:r w:rsidRPr="0086712E">
        <w:rPr>
          <w:rFonts w:cs="Times New Roman"/>
        </w:rPr>
        <w:t>C</w:t>
      </w:r>
      <w:r>
        <w:rPr>
          <w:rFonts w:cs="Times New Roman"/>
        </w:rPr>
        <w:t xml:space="preserve">ivil </w:t>
      </w:r>
      <w:r w:rsidRPr="0086712E">
        <w:rPr>
          <w:rFonts w:cs="Times New Roman"/>
        </w:rPr>
        <w:t>L</w:t>
      </w:r>
      <w:r>
        <w:rPr>
          <w:rFonts w:cs="Times New Roman"/>
        </w:rPr>
        <w:t xml:space="preserve">iberties </w:t>
      </w:r>
      <w:r w:rsidRPr="0086712E">
        <w:rPr>
          <w:rFonts w:cs="Times New Roman"/>
        </w:rPr>
        <w:t>A</w:t>
      </w:r>
      <w:r>
        <w:rPr>
          <w:rFonts w:cs="Times New Roman"/>
        </w:rPr>
        <w:t>ssociation</w:t>
      </w:r>
      <w:r w:rsidRPr="0086712E">
        <w:rPr>
          <w:rFonts w:cs="Times New Roman"/>
        </w:rPr>
        <w:t xml:space="preserve"> submitted that the privacy branch “implicitly enables an owner to unilaterally demand that a recording be destroyed” (</w:t>
      </w:r>
      <w:r w:rsidR="00D91C6B">
        <w:rPr>
          <w:rFonts w:cs="Times New Roman"/>
        </w:rPr>
        <w:t>factum</w:t>
      </w:r>
      <w:r>
        <w:rPr>
          <w:rFonts w:cs="Times New Roman"/>
        </w:rPr>
        <w:t xml:space="preserve">, at </w:t>
      </w:r>
      <w:r w:rsidRPr="0086712E">
        <w:rPr>
          <w:rFonts w:cs="Times New Roman"/>
        </w:rPr>
        <w:t>para. 18).</w:t>
      </w:r>
    </w:p>
    <w:p w:rsidR="007213AA" w:rsidRPr="0086712E" w:rsidRDefault="007213AA" w:rsidP="007213AA">
      <w:pPr>
        <w:pStyle w:val="ParaNoNdepar-AltN"/>
        <w:widowControl w:val="0"/>
        <w:rPr>
          <w:rFonts w:cs="Times New Roman"/>
        </w:rPr>
      </w:pPr>
      <w:r w:rsidRPr="0086712E">
        <w:rPr>
          <w:rFonts w:cs="Times New Roman"/>
          <w:i/>
        </w:rPr>
        <w:t>Sharpe</w:t>
      </w:r>
      <w:r w:rsidRPr="0086712E">
        <w:rPr>
          <w:rFonts w:cs="Times New Roman"/>
        </w:rPr>
        <w:t xml:space="preserve"> did not include any reference to ongoing control, or to the right to the return or destruction of the recording, in the exception that the Court “read in” so that the legislation would strike an acceptable constitutional balance.</w:t>
      </w:r>
      <w:r>
        <w:rPr>
          <w:rFonts w:cs="Times New Roman"/>
        </w:rPr>
        <w:t xml:space="preserve">  </w:t>
      </w:r>
      <w:r w:rsidRPr="0086712E">
        <w:rPr>
          <w:rFonts w:cs="Times New Roman"/>
        </w:rPr>
        <w:t xml:space="preserve">This Court recognized an exception only for recordings of lawful sexual activity that are “privately created” and “kept in strict privacy </w:t>
      </w:r>
      <w:r>
        <w:rPr>
          <w:rFonts w:cs="Times New Roman"/>
        </w:rPr>
        <w:t xml:space="preserve">. . . </w:t>
      </w:r>
      <w:r w:rsidRPr="0086712E">
        <w:rPr>
          <w:rFonts w:cs="Times New Roman"/>
        </w:rPr>
        <w:t>and intended</w:t>
      </w:r>
      <w:r>
        <w:rPr>
          <w:rFonts w:cs="Times New Roman"/>
        </w:rPr>
        <w:t xml:space="preserve"> . . .</w:t>
      </w:r>
      <w:r w:rsidRPr="0086712E">
        <w:rPr>
          <w:rFonts w:cs="Times New Roman"/>
        </w:rPr>
        <w:t xml:space="preserve"> for </w:t>
      </w:r>
      <w:r>
        <w:rPr>
          <w:rFonts w:cs="Times New Roman"/>
        </w:rPr>
        <w:t>private</w:t>
      </w:r>
      <w:r w:rsidRPr="0086712E">
        <w:rPr>
          <w:rFonts w:cs="Times New Roman"/>
        </w:rPr>
        <w:t xml:space="preserve"> use by the creator and the persons depicted therein” (paras. 76</w:t>
      </w:r>
      <w:r w:rsidR="00D91C6B">
        <w:rPr>
          <w:rFonts w:cs="Times New Roman"/>
        </w:rPr>
        <w:t xml:space="preserve"> and</w:t>
      </w:r>
      <w:r w:rsidRPr="0086712E">
        <w:rPr>
          <w:rFonts w:cs="Times New Roman"/>
        </w:rPr>
        <w:t xml:space="preserve"> 116).  However, the exception relates not only to consent to the creation of the recording, but also to the ongoing nature of the possession.</w:t>
      </w:r>
      <w:r>
        <w:rPr>
          <w:rFonts w:cs="Times New Roman"/>
        </w:rPr>
        <w:t xml:space="preserve">  </w:t>
      </w:r>
      <w:r w:rsidRPr="0086712E">
        <w:rPr>
          <w:rFonts w:cs="Times New Roman"/>
        </w:rPr>
        <w:t>This imports notions of privacy and control in the creation, use, and ongoing possession of the recording.</w:t>
      </w:r>
    </w:p>
    <w:p w:rsidR="007213AA" w:rsidRPr="0086712E" w:rsidRDefault="007213AA" w:rsidP="007213AA">
      <w:pPr>
        <w:pStyle w:val="ParaNoNdepar-AltN"/>
        <w:widowControl w:val="0"/>
        <w:rPr>
          <w:rFonts w:cs="Times New Roman"/>
        </w:rPr>
      </w:pPr>
      <w:r w:rsidRPr="0086712E">
        <w:rPr>
          <w:rFonts w:cs="Times New Roman"/>
        </w:rPr>
        <w:t xml:space="preserve">It may well be that the right of a young person who participates in the </w:t>
      </w:r>
      <w:r w:rsidRPr="0086712E">
        <w:rPr>
          <w:rFonts w:cs="Times New Roman"/>
        </w:rPr>
        <w:lastRenderedPageBreak/>
        <w:t xml:space="preserve">recording to demand the return or destruction of the recording is also implicit in </w:t>
      </w:r>
      <w:r w:rsidRPr="0086712E">
        <w:rPr>
          <w:rFonts w:cs="Times New Roman"/>
          <w:i/>
        </w:rPr>
        <w:t>Sharpe</w:t>
      </w:r>
      <w:r w:rsidRPr="0086712E">
        <w:rPr>
          <w:rFonts w:cs="Times New Roman"/>
        </w:rPr>
        <w:t>’s weighing of the harm of child pornography against the values of self-expression and self-actualization (paras. 102-10).</w:t>
      </w:r>
      <w:r w:rsidRPr="0086712E" w:rsidDel="00585285">
        <w:rPr>
          <w:rFonts w:cs="Times New Roman"/>
        </w:rPr>
        <w:t xml:space="preserve"> </w:t>
      </w:r>
      <w:r>
        <w:rPr>
          <w:rFonts w:cs="Times New Roman"/>
        </w:rPr>
        <w:t xml:space="preserve"> </w:t>
      </w:r>
      <w:r w:rsidRPr="0086712E">
        <w:rPr>
          <w:rFonts w:cs="Times New Roman"/>
        </w:rPr>
        <w:t>In my view, t</w:t>
      </w:r>
      <w:r w:rsidRPr="0086712E">
        <w:rPr>
          <w:rFonts w:cs="Times New Roman"/>
          <w:lang w:val="en-US"/>
        </w:rPr>
        <w:t xml:space="preserve">he balance struck between the right of free expression and preventing harm to children in </w:t>
      </w:r>
      <w:r w:rsidRPr="0086712E">
        <w:rPr>
          <w:rFonts w:cs="Times New Roman"/>
          <w:i/>
          <w:lang w:val="en-US"/>
        </w:rPr>
        <w:t>Sharpe</w:t>
      </w:r>
      <w:r w:rsidRPr="0086712E">
        <w:rPr>
          <w:rFonts w:cs="Times New Roman"/>
          <w:lang w:val="en-US"/>
        </w:rPr>
        <w:t xml:space="preserve"> suggests</w:t>
      </w:r>
      <w:r>
        <w:rPr>
          <w:rFonts w:cs="Times New Roman"/>
          <w:lang w:val="en-US"/>
        </w:rPr>
        <w:t xml:space="preserve"> </w:t>
      </w:r>
      <w:r w:rsidRPr="0086712E">
        <w:rPr>
          <w:rFonts w:cs="Times New Roman"/>
          <w:lang w:val="en-US"/>
        </w:rPr>
        <w:t xml:space="preserve">that young persons who participate in a sexual recording caught by the private use exception retain the ability to ensure its return or destruction.  </w:t>
      </w:r>
      <w:r w:rsidRPr="0086712E">
        <w:rPr>
          <w:rFonts w:cs="Times New Roman"/>
        </w:rPr>
        <w:t xml:space="preserve">This understanding of the exception would provide protection for young persons who may suffer anxiety or distress from the knowledge that another person possesses such material and could unlawfully share it.  It would serve to address circumstances in which the risk of harm outweighs the expressive value of the recording, contrary to the principles articulated in </w:t>
      </w:r>
      <w:r w:rsidRPr="0086712E">
        <w:rPr>
          <w:rFonts w:cs="Times New Roman"/>
          <w:i/>
        </w:rPr>
        <w:t>Sharpe</w:t>
      </w:r>
      <w:r w:rsidRPr="0086712E">
        <w:rPr>
          <w:rFonts w:cs="Times New Roman"/>
        </w:rPr>
        <w:t>.  However, since the question of a right to access or destruction is not relevant on the facts of th</w:t>
      </w:r>
      <w:r>
        <w:rPr>
          <w:rFonts w:cs="Times New Roman"/>
        </w:rPr>
        <w:t>e</w:t>
      </w:r>
      <w:r w:rsidRPr="0086712E">
        <w:rPr>
          <w:rFonts w:cs="Times New Roman"/>
        </w:rPr>
        <w:t>s</w:t>
      </w:r>
      <w:r>
        <w:rPr>
          <w:rFonts w:cs="Times New Roman"/>
        </w:rPr>
        <w:t>e</w:t>
      </w:r>
      <w:r w:rsidRPr="0086712E">
        <w:rPr>
          <w:rFonts w:cs="Times New Roman"/>
        </w:rPr>
        <w:t xml:space="preserve"> appeal</w:t>
      </w:r>
      <w:r>
        <w:rPr>
          <w:rFonts w:cs="Times New Roman"/>
        </w:rPr>
        <w:t>s</w:t>
      </w:r>
      <w:r w:rsidRPr="0086712E">
        <w:rPr>
          <w:rFonts w:cs="Times New Roman"/>
        </w:rPr>
        <w:t>, I would not make any final pronouncement about it.</w:t>
      </w:r>
    </w:p>
    <w:p w:rsidR="007213AA" w:rsidRPr="0086712E" w:rsidRDefault="007213AA" w:rsidP="007213AA">
      <w:pPr>
        <w:pStyle w:val="Title2LevelTitre2Niveau"/>
        <w:widowControl w:val="0"/>
        <w:rPr>
          <w:rFonts w:cs="Times New Roman"/>
        </w:rPr>
      </w:pPr>
      <w:r w:rsidRPr="0086712E">
        <w:rPr>
          <w:rFonts w:cs="Times New Roman"/>
        </w:rPr>
        <w:t xml:space="preserve">What </w:t>
      </w:r>
      <w:r>
        <w:rPr>
          <w:rFonts w:cs="Times New Roman"/>
        </w:rPr>
        <w:t>I</w:t>
      </w:r>
      <w:r w:rsidRPr="0086712E">
        <w:rPr>
          <w:rFonts w:cs="Times New Roman"/>
        </w:rPr>
        <w:t>s the Role of Exploitation in the Private Use Exception?</w:t>
      </w:r>
    </w:p>
    <w:p w:rsidR="007213AA" w:rsidRPr="0086712E" w:rsidRDefault="007213AA" w:rsidP="007213AA">
      <w:pPr>
        <w:pStyle w:val="ParaNoNdepar-AltN"/>
        <w:widowControl w:val="0"/>
        <w:rPr>
          <w:rFonts w:cs="Times New Roman"/>
        </w:rPr>
      </w:pPr>
      <w:r w:rsidRPr="0086712E">
        <w:rPr>
          <w:rFonts w:cs="Times New Roman"/>
        </w:rPr>
        <w:t xml:space="preserve">In the present case, the Court of Appeal found that </w:t>
      </w:r>
      <w:r w:rsidRPr="0086712E">
        <w:rPr>
          <w:rFonts w:cs="Times New Roman"/>
          <w:i/>
        </w:rPr>
        <w:t xml:space="preserve">Sharpe </w:t>
      </w:r>
      <w:r w:rsidRPr="0086712E">
        <w:rPr>
          <w:rFonts w:cs="Times New Roman"/>
        </w:rPr>
        <w:t xml:space="preserve">mandates an additional element to the private use exception: the absence of factual exploitation.  With respect, this interpretation of </w:t>
      </w:r>
      <w:r w:rsidRPr="0086712E">
        <w:rPr>
          <w:rFonts w:cs="Times New Roman"/>
          <w:i/>
        </w:rPr>
        <w:t>Sharpe</w:t>
      </w:r>
      <w:r w:rsidRPr="0086712E">
        <w:rPr>
          <w:rFonts w:cs="Times New Roman"/>
        </w:rPr>
        <w:t xml:space="preserve"> is incorrect.  While alleged exploitation plays an important role in determining whether the private use exception is an available defence to child pornography charges, this consideration is already captured as a part of the </w:t>
      </w:r>
      <w:r w:rsidRPr="0086712E">
        <w:rPr>
          <w:rFonts w:cs="Times New Roman"/>
          <w:i/>
        </w:rPr>
        <w:t xml:space="preserve">Sharpe </w:t>
      </w:r>
      <w:r w:rsidRPr="0086712E">
        <w:rPr>
          <w:rFonts w:cs="Times New Roman"/>
        </w:rPr>
        <w:t>analysis.  As I explain below, there is no need to add another layer of exploitation inquiry to the existing test.</w:t>
      </w:r>
    </w:p>
    <w:p w:rsidR="007213AA" w:rsidRPr="0086712E" w:rsidRDefault="007213AA" w:rsidP="007213AA">
      <w:pPr>
        <w:pStyle w:val="ParaNoNdepar-AltN"/>
        <w:widowControl w:val="0"/>
        <w:rPr>
          <w:rFonts w:cs="Times New Roman"/>
        </w:rPr>
      </w:pPr>
      <w:r w:rsidRPr="0086712E">
        <w:rPr>
          <w:rFonts w:cs="Times New Roman"/>
        </w:rPr>
        <w:lastRenderedPageBreak/>
        <w:t>The Crown advanced a modified version of this argument in oral submissions before this Court.  In its view, exploitation must be considered directly when assessing whether there was consent to the recording.  As I will explain, this issue may arise in another case; however, it does not arise in this case, and the common law of consent was not fully argued in the courts below or in written submissions to this Court.</w:t>
      </w:r>
    </w:p>
    <w:p w:rsidR="007213AA" w:rsidRPr="0086712E" w:rsidRDefault="007213AA" w:rsidP="007213AA">
      <w:pPr>
        <w:pStyle w:val="Title3LevelTitre3Niveau"/>
        <w:widowControl w:val="0"/>
        <w:jc w:val="both"/>
        <w:rPr>
          <w:rFonts w:cs="Times New Roman"/>
        </w:rPr>
      </w:pPr>
      <w:r w:rsidRPr="0086712E">
        <w:rPr>
          <w:rFonts w:cs="Times New Roman"/>
        </w:rPr>
        <w:t>Exploitation Would Render the Consensual Sexual Activity Unlawful</w:t>
      </w:r>
    </w:p>
    <w:p w:rsidR="007213AA" w:rsidRPr="0086712E" w:rsidRDefault="007213AA" w:rsidP="007213AA">
      <w:pPr>
        <w:pStyle w:val="ParaNoNdepar-AltN"/>
        <w:widowControl w:val="0"/>
        <w:rPr>
          <w:rFonts w:cs="Times New Roman"/>
        </w:rPr>
      </w:pPr>
      <w:r w:rsidRPr="0086712E">
        <w:rPr>
          <w:rFonts w:cs="Times New Roman"/>
        </w:rPr>
        <w:t>As noted above, sexual activity is unlawful in the absence of consent.  Where an accused faces prosecution for making or possessing child pornography, the absence of consent precludes the availability of the private use exception as a defence.  However, even if the young person consents to the sexual activity, it may nonetheless be unlawful in certain circumstances.  As noted above, a child under 12 can never validly consent</w:t>
      </w:r>
      <w:r>
        <w:rPr>
          <w:rFonts w:cs="Times New Roman"/>
        </w:rPr>
        <w:t>,</w:t>
      </w:r>
      <w:r w:rsidRPr="0086712E">
        <w:rPr>
          <w:rFonts w:cs="Times New Roman"/>
        </w:rPr>
        <w:t xml:space="preserve"> and the validity of the consent of a young person between the ages of 12 </w:t>
      </w:r>
      <w:r w:rsidR="00694789">
        <w:rPr>
          <w:rFonts w:cs="Times New Roman"/>
        </w:rPr>
        <w:t>and</w:t>
      </w:r>
      <w:r w:rsidRPr="0086712E">
        <w:rPr>
          <w:rFonts w:cs="Times New Roman"/>
        </w:rPr>
        <w:t xml:space="preserve"> 15</w:t>
      </w:r>
      <w:r>
        <w:rPr>
          <w:rFonts w:cs="Times New Roman"/>
        </w:rPr>
        <w:t xml:space="preserve">, inclusively, </w:t>
      </w:r>
      <w:r w:rsidRPr="0086712E">
        <w:rPr>
          <w:rFonts w:cs="Times New Roman"/>
        </w:rPr>
        <w:t>is now limited to those close in age or to spouses.</w:t>
      </w:r>
    </w:p>
    <w:p w:rsidR="007213AA" w:rsidRPr="0086712E" w:rsidRDefault="007213AA" w:rsidP="007213AA">
      <w:pPr>
        <w:pStyle w:val="ParaNoNdepar-AltN"/>
        <w:widowControl w:val="0"/>
        <w:rPr>
          <w:rFonts w:cs="Times New Roman"/>
        </w:rPr>
      </w:pPr>
      <w:r w:rsidRPr="0086712E">
        <w:rPr>
          <w:rFonts w:cs="Times New Roman"/>
        </w:rPr>
        <w:t xml:space="preserve">Section 153 of the </w:t>
      </w:r>
      <w:r w:rsidRPr="0086712E">
        <w:rPr>
          <w:rFonts w:cs="Times New Roman"/>
          <w:i/>
        </w:rPr>
        <w:t>Code</w:t>
      </w:r>
      <w:r w:rsidRPr="0086712E">
        <w:rPr>
          <w:rFonts w:cs="Times New Roman"/>
        </w:rPr>
        <w:t xml:space="preserve"> addresses sexual exploitation of a young person 16 or 17 years of age.  (Today</w:t>
      </w:r>
      <w:r>
        <w:rPr>
          <w:rFonts w:cs="Times New Roman"/>
        </w:rPr>
        <w:t>,</w:t>
      </w:r>
      <w:r w:rsidRPr="0086712E">
        <w:rPr>
          <w:rFonts w:cs="Times New Roman"/>
        </w:rPr>
        <w:t xml:space="preserve"> 14</w:t>
      </w:r>
      <w:r>
        <w:rPr>
          <w:rFonts w:cs="Times New Roman"/>
        </w:rPr>
        <w:t xml:space="preserve">- </w:t>
      </w:r>
      <w:r w:rsidRPr="0086712E">
        <w:rPr>
          <w:rFonts w:cs="Times New Roman"/>
        </w:rPr>
        <w:t>and 15</w:t>
      </w:r>
      <w:r>
        <w:rPr>
          <w:rFonts w:cs="Times New Roman"/>
        </w:rPr>
        <w:t>-</w:t>
      </w:r>
      <w:r w:rsidRPr="0086712E">
        <w:rPr>
          <w:rFonts w:cs="Times New Roman"/>
        </w:rPr>
        <w:t>year-olds are similarly protected under s.</w:t>
      </w:r>
      <w:r>
        <w:rPr>
          <w:rFonts w:cs="Times New Roman"/>
        </w:rPr>
        <w:t xml:space="preserve"> </w:t>
      </w:r>
      <w:r w:rsidRPr="0086712E">
        <w:rPr>
          <w:rFonts w:cs="Times New Roman"/>
        </w:rPr>
        <w:t>150.1(2.1)(</w:t>
      </w:r>
      <w:r w:rsidRPr="0086712E">
        <w:rPr>
          <w:rFonts w:cs="Times New Roman"/>
          <w:i/>
        </w:rPr>
        <w:t>a</w:t>
      </w:r>
      <w:r w:rsidRPr="0086712E">
        <w:rPr>
          <w:rFonts w:cs="Times New Roman"/>
        </w:rPr>
        <w:t xml:space="preserve">).)  At the time </w:t>
      </w:r>
      <w:r w:rsidR="002870F1">
        <w:rPr>
          <w:rFonts w:cs="Times New Roman"/>
        </w:rPr>
        <w:t>of the alleged offences</w:t>
      </w:r>
      <w:r>
        <w:rPr>
          <w:rFonts w:cs="Times New Roman"/>
        </w:rPr>
        <w:t xml:space="preserve"> in this case</w:t>
      </w:r>
      <w:r w:rsidRPr="0086712E">
        <w:rPr>
          <w:rFonts w:cs="Times New Roman"/>
        </w:rPr>
        <w:t>, s. 153 covered persons between the ages of 14 and 17, inclusively.  Section 153 would thus have applied to K and D.  This section criminalizes a broad range of sexual activities and communications arising from certain types of relationships with young persons:</w:t>
      </w:r>
    </w:p>
    <w:p w:rsidR="007213AA" w:rsidRPr="0086712E" w:rsidRDefault="007213AA" w:rsidP="0025632D">
      <w:pPr>
        <w:pStyle w:val="Citation-AltC"/>
        <w:widowControl w:val="0"/>
        <w:ind w:firstLine="454"/>
      </w:pPr>
      <w:r w:rsidRPr="0086712E">
        <w:rPr>
          <w:b/>
          <w:bCs/>
        </w:rPr>
        <w:lastRenderedPageBreak/>
        <w:t xml:space="preserve">153. </w:t>
      </w:r>
      <w:r w:rsidRPr="0086712E">
        <w:t>(1) Every person commits an offence who is in a position of trust or authority towards a young person, who is a person with whom the young person is in a relationship of dependency or who is in a relationship with a young person that is exploitative of the young person, and who</w:t>
      </w:r>
    </w:p>
    <w:p w:rsidR="007213AA" w:rsidRPr="0086712E" w:rsidRDefault="007213AA" w:rsidP="007213AA">
      <w:pPr>
        <w:pStyle w:val="Citation-AltC"/>
        <w:widowControl w:val="0"/>
      </w:pPr>
    </w:p>
    <w:p w:rsidR="007213AA" w:rsidRPr="0086712E" w:rsidRDefault="007213AA" w:rsidP="0025632D">
      <w:pPr>
        <w:pStyle w:val="Citation-AltC"/>
        <w:widowControl w:val="0"/>
        <w:ind w:left="1620"/>
      </w:pPr>
      <w:r>
        <w:t>(</w:t>
      </w:r>
      <w:r w:rsidRPr="00BC0B48">
        <w:rPr>
          <w:i/>
        </w:rPr>
        <w:t>a</w:t>
      </w:r>
      <w:r>
        <w:t xml:space="preserve">) </w:t>
      </w:r>
      <w:r w:rsidRPr="00BC0B48">
        <w:t>for</w:t>
      </w:r>
      <w:r w:rsidRPr="0086712E">
        <w:t xml:space="preserve"> a sexual purpose, touches, directly or indirectly, with a part of the body or with an object, any part of the body of the young person; or</w:t>
      </w:r>
    </w:p>
    <w:p w:rsidR="007213AA" w:rsidRPr="0086712E" w:rsidRDefault="007213AA" w:rsidP="007213AA">
      <w:pPr>
        <w:pStyle w:val="Citation-AltC"/>
        <w:widowControl w:val="0"/>
        <w:ind w:left="1440"/>
      </w:pPr>
    </w:p>
    <w:p w:rsidR="007213AA" w:rsidRPr="0086712E" w:rsidRDefault="007213AA" w:rsidP="0025632D">
      <w:pPr>
        <w:pStyle w:val="Citation-AltC"/>
        <w:widowControl w:val="0"/>
        <w:ind w:left="1620"/>
      </w:pPr>
      <w:r>
        <w:t>(</w:t>
      </w:r>
      <w:r w:rsidRPr="00BC0B48">
        <w:rPr>
          <w:i/>
        </w:rPr>
        <w:t>b</w:t>
      </w:r>
      <w:r>
        <w:t xml:space="preserve">) </w:t>
      </w:r>
      <w:r w:rsidRPr="00BC0B48">
        <w:t>for</w:t>
      </w:r>
      <w:r w:rsidRPr="0086712E">
        <w:t xml:space="preserve"> a sexual purpose, invites, counsels or incites a young person to touch, directly or indirectly, with a part of the body or with an object, the body of any person, including the body of the person who so invites, counsels or incites and the body of the young person.</w:t>
      </w:r>
    </w:p>
    <w:p w:rsidR="007213AA" w:rsidRPr="0086712E" w:rsidRDefault="007213AA" w:rsidP="007213AA">
      <w:pPr>
        <w:pStyle w:val="ParaNoNdepar-AltN"/>
        <w:widowControl w:val="0"/>
        <w:rPr>
          <w:rFonts w:cs="Times New Roman"/>
        </w:rPr>
      </w:pPr>
      <w:r w:rsidRPr="0086712E">
        <w:rPr>
          <w:rFonts w:cs="Times New Roman"/>
        </w:rPr>
        <w:t>Thus, the private use exception will not be available where the Crown can prove beyond a reasonable doubt that the sexual conduct depicted (even if consensual) occurred in the course of one of the relationships described in this provision.  Where this section is engaged, the consent of the young person to the sexual activity cannot render it lawful.</w:t>
      </w:r>
    </w:p>
    <w:p w:rsidR="007213AA" w:rsidRPr="0086712E" w:rsidRDefault="007213AA" w:rsidP="007213AA">
      <w:pPr>
        <w:pStyle w:val="ParaNoNdepar-AltN"/>
        <w:widowControl w:val="0"/>
        <w:rPr>
          <w:rFonts w:cs="Times New Roman"/>
        </w:rPr>
      </w:pPr>
      <w:r w:rsidRPr="0086712E">
        <w:rPr>
          <w:rFonts w:cs="Times New Roman"/>
        </w:rPr>
        <w:t>Where an accused raises the private use exception and the Crown seeks to challenge the lawfulness of the sexual activity on the basis of exploitation, a trial judge must look beyond whether or not consent was given and holistically examine the nature and circumstances of the relationship between the young person and the accused.  Section 153(1.2) provides a non-exhaustive list of indicia from which a trial judge may infer that the relationship between the accused and a young person is exploitative:</w:t>
      </w:r>
    </w:p>
    <w:p w:rsidR="007213AA" w:rsidRDefault="007213AA" w:rsidP="000361F8">
      <w:pPr>
        <w:pStyle w:val="Citation-AltC"/>
        <w:widowControl w:val="0"/>
        <w:ind w:left="1620"/>
        <w:rPr>
          <w:rFonts w:eastAsiaTheme="minorEastAsia"/>
        </w:rPr>
      </w:pPr>
      <w:r w:rsidRPr="0086712E">
        <w:rPr>
          <w:rFonts w:eastAsiaTheme="minorEastAsia"/>
        </w:rPr>
        <w:t>(</w:t>
      </w:r>
      <w:r w:rsidRPr="0086712E">
        <w:rPr>
          <w:rFonts w:eastAsiaTheme="minorEastAsia"/>
          <w:i/>
          <w:iCs/>
        </w:rPr>
        <w:t>a</w:t>
      </w:r>
      <w:r w:rsidRPr="0086712E">
        <w:rPr>
          <w:rFonts w:eastAsiaTheme="minorEastAsia"/>
        </w:rPr>
        <w:t>) the age of the young person;</w:t>
      </w:r>
    </w:p>
    <w:p w:rsidR="002870F1" w:rsidRPr="0086712E" w:rsidRDefault="002870F1" w:rsidP="000361F8">
      <w:pPr>
        <w:pStyle w:val="Citation-AltC"/>
        <w:widowControl w:val="0"/>
        <w:ind w:left="1620"/>
        <w:rPr>
          <w:rFonts w:eastAsiaTheme="minorEastAsia"/>
        </w:rPr>
      </w:pPr>
    </w:p>
    <w:p w:rsidR="007213AA" w:rsidRDefault="007213AA" w:rsidP="000361F8">
      <w:pPr>
        <w:pStyle w:val="Citation-AltC"/>
        <w:widowControl w:val="0"/>
        <w:ind w:left="1620"/>
        <w:rPr>
          <w:rFonts w:eastAsiaTheme="minorEastAsia"/>
        </w:rPr>
      </w:pPr>
      <w:r w:rsidRPr="0086712E">
        <w:rPr>
          <w:rFonts w:eastAsiaTheme="minorEastAsia"/>
        </w:rPr>
        <w:t>(</w:t>
      </w:r>
      <w:r w:rsidRPr="0086712E">
        <w:rPr>
          <w:rFonts w:eastAsiaTheme="minorEastAsia"/>
          <w:i/>
          <w:iCs/>
        </w:rPr>
        <w:t>b</w:t>
      </w:r>
      <w:r w:rsidRPr="0086712E">
        <w:rPr>
          <w:rFonts w:eastAsiaTheme="minorEastAsia"/>
        </w:rPr>
        <w:t>) the age difference between the person and the young person;</w:t>
      </w:r>
    </w:p>
    <w:p w:rsidR="002870F1" w:rsidRPr="0086712E" w:rsidRDefault="002870F1" w:rsidP="000361F8">
      <w:pPr>
        <w:pStyle w:val="Citation-AltC"/>
        <w:widowControl w:val="0"/>
        <w:ind w:left="1620"/>
      </w:pPr>
    </w:p>
    <w:p w:rsidR="007213AA" w:rsidRDefault="007213AA" w:rsidP="000361F8">
      <w:pPr>
        <w:pStyle w:val="Citation-AltC"/>
        <w:widowControl w:val="0"/>
        <w:ind w:left="1620"/>
        <w:rPr>
          <w:rFonts w:eastAsiaTheme="minorEastAsia"/>
        </w:rPr>
      </w:pPr>
      <w:r w:rsidRPr="0086712E">
        <w:rPr>
          <w:rFonts w:eastAsiaTheme="minorEastAsia"/>
        </w:rPr>
        <w:t>(</w:t>
      </w:r>
      <w:r w:rsidRPr="0086712E">
        <w:rPr>
          <w:rFonts w:eastAsiaTheme="minorEastAsia"/>
          <w:i/>
          <w:iCs/>
        </w:rPr>
        <w:t>c</w:t>
      </w:r>
      <w:r w:rsidRPr="0086712E">
        <w:rPr>
          <w:rFonts w:eastAsiaTheme="minorEastAsia"/>
        </w:rPr>
        <w:t>) the evolution of the relationship; and</w:t>
      </w:r>
    </w:p>
    <w:p w:rsidR="002870F1" w:rsidRPr="0086712E" w:rsidRDefault="002870F1" w:rsidP="000361F8">
      <w:pPr>
        <w:pStyle w:val="Citation-AltC"/>
        <w:widowControl w:val="0"/>
        <w:ind w:left="1620"/>
      </w:pPr>
    </w:p>
    <w:p w:rsidR="007213AA" w:rsidRPr="0086712E" w:rsidRDefault="007213AA" w:rsidP="000361F8">
      <w:pPr>
        <w:pStyle w:val="Citation-AltC"/>
        <w:widowControl w:val="0"/>
        <w:ind w:left="1620" w:hanging="4"/>
      </w:pPr>
      <w:r w:rsidRPr="0086712E">
        <w:rPr>
          <w:rFonts w:eastAsiaTheme="minorEastAsia"/>
        </w:rPr>
        <w:t>(</w:t>
      </w:r>
      <w:r w:rsidRPr="0086712E">
        <w:rPr>
          <w:rFonts w:eastAsiaTheme="minorEastAsia"/>
          <w:i/>
          <w:iCs/>
        </w:rPr>
        <w:t>d</w:t>
      </w:r>
      <w:r w:rsidRPr="0086712E">
        <w:rPr>
          <w:rFonts w:eastAsiaTheme="minorEastAsia"/>
        </w:rPr>
        <w:t>)</w:t>
      </w:r>
      <w:r>
        <w:rPr>
          <w:rFonts w:eastAsiaTheme="minorEastAsia"/>
        </w:rPr>
        <w:t xml:space="preserve"> </w:t>
      </w:r>
      <w:r w:rsidRPr="0086712E">
        <w:rPr>
          <w:rFonts w:eastAsiaTheme="minorEastAsia"/>
        </w:rPr>
        <w:t>the degree of control or influence by the person over the young person.</w:t>
      </w:r>
    </w:p>
    <w:p w:rsidR="007213AA" w:rsidRPr="0086712E" w:rsidRDefault="007213AA" w:rsidP="007213AA">
      <w:pPr>
        <w:pStyle w:val="ContinueParaSuitedupar-AltP"/>
        <w:widowControl w:val="0"/>
        <w:rPr>
          <w:rFonts w:cs="Times New Roman"/>
        </w:rPr>
      </w:pPr>
      <w:r w:rsidRPr="0086712E">
        <w:rPr>
          <w:rFonts w:cs="Times New Roman"/>
        </w:rPr>
        <w:t>It is not necessary that the person accused of making or possessing child pornography be charged separately under s. 153(1) in order for a judge to undertake this inquiry.  The lawfulness of the sexual activity is independently assessed as part of the defence.</w:t>
      </w:r>
    </w:p>
    <w:p w:rsidR="007213AA" w:rsidRPr="0086712E" w:rsidRDefault="007213AA" w:rsidP="007213AA">
      <w:pPr>
        <w:pStyle w:val="Title3LevelTitre3Niveau"/>
        <w:widowControl w:val="0"/>
        <w:jc w:val="both"/>
        <w:rPr>
          <w:rFonts w:cs="Times New Roman"/>
        </w:rPr>
      </w:pPr>
      <w:r w:rsidRPr="0086712E">
        <w:rPr>
          <w:rFonts w:cs="Times New Roman"/>
        </w:rPr>
        <w:t xml:space="preserve">Is There a Separate and Additional Requirement </w:t>
      </w:r>
      <w:r>
        <w:rPr>
          <w:rFonts w:cs="Times New Roman"/>
        </w:rPr>
        <w:t>T</w:t>
      </w:r>
      <w:r w:rsidRPr="0086712E">
        <w:rPr>
          <w:rFonts w:cs="Times New Roman"/>
        </w:rPr>
        <w:t>hat the Judge Find the Absence of Exploitation?</w:t>
      </w:r>
    </w:p>
    <w:p w:rsidR="007213AA" w:rsidRPr="0086712E" w:rsidRDefault="007213AA" w:rsidP="007213AA">
      <w:pPr>
        <w:pStyle w:val="ParaNoNdepar-AltN"/>
        <w:widowControl w:val="0"/>
        <w:rPr>
          <w:rFonts w:cs="Times New Roman"/>
        </w:rPr>
      </w:pPr>
      <w:r w:rsidRPr="0086712E">
        <w:rPr>
          <w:rFonts w:cs="Times New Roman"/>
        </w:rPr>
        <w:t xml:space="preserve">The parties agree that exploitation must be considered in order to determine whether or not </w:t>
      </w:r>
      <w:r w:rsidR="00694789">
        <w:rPr>
          <w:rFonts w:cs="Times New Roman"/>
        </w:rPr>
        <w:t xml:space="preserve">the </w:t>
      </w:r>
      <w:r w:rsidRPr="0086712E">
        <w:rPr>
          <w:rFonts w:cs="Times New Roman"/>
        </w:rPr>
        <w:t xml:space="preserve">recorded sexual activity is lawful.  However, throughout these proceedings the Crown argued that, in addition to the three elements identified above, </w:t>
      </w:r>
      <w:r w:rsidRPr="0086712E">
        <w:rPr>
          <w:rFonts w:cs="Times New Roman"/>
          <w:i/>
        </w:rPr>
        <w:t xml:space="preserve">Sharpe </w:t>
      </w:r>
      <w:r w:rsidRPr="0086712E">
        <w:rPr>
          <w:rFonts w:cs="Times New Roman"/>
        </w:rPr>
        <w:t xml:space="preserve">requires a further inquiry into whether factual exploitation occurred as a prerequisite to the availability of the private use exception.  The trial judge rejected this argument, finding that this Court did not mandate an additional exploitation analysis in </w:t>
      </w:r>
      <w:r w:rsidRPr="0086712E">
        <w:rPr>
          <w:rFonts w:cs="Times New Roman"/>
          <w:i/>
        </w:rPr>
        <w:t>Sharpe</w:t>
      </w:r>
      <w:r w:rsidRPr="0086712E">
        <w:rPr>
          <w:rFonts w:cs="Times New Roman"/>
        </w:rPr>
        <w:t>.</w:t>
      </w:r>
    </w:p>
    <w:p w:rsidR="007213AA" w:rsidRPr="0086712E" w:rsidRDefault="007213AA" w:rsidP="007213AA">
      <w:pPr>
        <w:pStyle w:val="ParaNoNdepar-AltN"/>
        <w:widowControl w:val="0"/>
        <w:rPr>
          <w:rFonts w:cs="Times New Roman"/>
        </w:rPr>
      </w:pPr>
      <w:r w:rsidRPr="0086712E">
        <w:rPr>
          <w:rFonts w:cs="Times New Roman"/>
        </w:rPr>
        <w:t>At the Court of Appeal, the majority and dissent diverged on whether or not an additional exploitation analysis is required, with the majority concluding that the private use exception was only available where the absence of factual exploitation or abuse is established, separate</w:t>
      </w:r>
      <w:r>
        <w:rPr>
          <w:rFonts w:cs="Times New Roman"/>
        </w:rPr>
        <w:t>ly</w:t>
      </w:r>
      <w:r w:rsidRPr="0086712E">
        <w:rPr>
          <w:rFonts w:cs="Times New Roman"/>
        </w:rPr>
        <w:t xml:space="preserve"> from the inquiries into lawfulness and consent to recording.  The Court of Appeal had based this conclusion on this Court’s statement, at para</w:t>
      </w:r>
      <w:r>
        <w:rPr>
          <w:rFonts w:cs="Times New Roman"/>
        </w:rPr>
        <w:t>.</w:t>
      </w:r>
      <w:r w:rsidRPr="0086712E">
        <w:rPr>
          <w:rFonts w:cs="Times New Roman"/>
        </w:rPr>
        <w:t xml:space="preserve"> 116 of </w:t>
      </w:r>
      <w:r w:rsidRPr="0086712E">
        <w:rPr>
          <w:rFonts w:cs="Times New Roman"/>
          <w:i/>
        </w:rPr>
        <w:t>Sharpe</w:t>
      </w:r>
      <w:r w:rsidRPr="0086712E">
        <w:rPr>
          <w:rFonts w:cs="Times New Roman"/>
        </w:rPr>
        <w:t xml:space="preserve">, that the sexual activity “must not be unlawful, thus ensuring </w:t>
      </w:r>
      <w:r w:rsidRPr="0086712E">
        <w:rPr>
          <w:rFonts w:cs="Times New Roman"/>
        </w:rPr>
        <w:lastRenderedPageBreak/>
        <w:t>the consent of all parties, and precluding the exploitation or abuse of children”</w:t>
      </w:r>
      <w:r>
        <w:rPr>
          <w:rFonts w:cs="Times New Roman"/>
        </w:rPr>
        <w:t>.</w:t>
      </w:r>
    </w:p>
    <w:p w:rsidR="007213AA" w:rsidRPr="0086712E" w:rsidRDefault="007213AA" w:rsidP="007213AA">
      <w:pPr>
        <w:pStyle w:val="ParaNoNdepar-AltN"/>
        <w:widowControl w:val="0"/>
        <w:rPr>
          <w:rFonts w:cs="Times New Roman"/>
        </w:rPr>
      </w:pPr>
      <w:r w:rsidRPr="0086712E">
        <w:rPr>
          <w:rFonts w:cs="Times New Roman"/>
        </w:rPr>
        <w:t>To the extent they relied upon para</w:t>
      </w:r>
      <w:r>
        <w:rPr>
          <w:rFonts w:cs="Times New Roman"/>
        </w:rPr>
        <w:t>.</w:t>
      </w:r>
      <w:r w:rsidRPr="0086712E">
        <w:rPr>
          <w:rFonts w:cs="Times New Roman"/>
        </w:rPr>
        <w:t xml:space="preserve"> 116 of </w:t>
      </w:r>
      <w:r w:rsidRPr="0086712E">
        <w:rPr>
          <w:rFonts w:cs="Times New Roman"/>
          <w:i/>
        </w:rPr>
        <w:t>Sharpe</w:t>
      </w:r>
      <w:r w:rsidRPr="0086712E">
        <w:rPr>
          <w:rFonts w:cs="Times New Roman"/>
        </w:rPr>
        <w:t xml:space="preserve"> to suggest that factual exploitation is an additional requirement of the private use exception, the Court of Appeal majority misreads </w:t>
      </w:r>
      <w:r w:rsidRPr="0086712E">
        <w:rPr>
          <w:rFonts w:cs="Times New Roman"/>
          <w:i/>
        </w:rPr>
        <w:t>Sharpe</w:t>
      </w:r>
      <w:r w:rsidRPr="0086712E">
        <w:rPr>
          <w:rFonts w:cs="Times New Roman"/>
        </w:rPr>
        <w:t>.  The Supreme Court’s summary of the exception</w:t>
      </w:r>
      <w:r>
        <w:rPr>
          <w:rFonts w:cs="Times New Roman"/>
        </w:rPr>
        <w:t>,</w:t>
      </w:r>
      <w:r w:rsidRPr="0086712E">
        <w:rPr>
          <w:rFonts w:cs="Times New Roman"/>
        </w:rPr>
        <w:t xml:space="preserve"> at para</w:t>
      </w:r>
      <w:r>
        <w:rPr>
          <w:rFonts w:cs="Times New Roman"/>
        </w:rPr>
        <w:t>.</w:t>
      </w:r>
      <w:r w:rsidRPr="0086712E">
        <w:rPr>
          <w:rFonts w:cs="Times New Roman"/>
        </w:rPr>
        <w:t xml:space="preserve"> 128 </w:t>
      </w:r>
      <w:r>
        <w:rPr>
          <w:rFonts w:cs="Times New Roman"/>
        </w:rPr>
        <w:t xml:space="preserve">of </w:t>
      </w:r>
      <w:r w:rsidRPr="00364280">
        <w:rPr>
          <w:rFonts w:cs="Times New Roman"/>
          <w:i/>
        </w:rPr>
        <w:t>Sharpe</w:t>
      </w:r>
      <w:r>
        <w:rPr>
          <w:rFonts w:cs="Times New Roman"/>
        </w:rPr>
        <w:t xml:space="preserve">, </w:t>
      </w:r>
      <w:r w:rsidRPr="003620AE">
        <w:rPr>
          <w:rFonts w:cs="Times New Roman"/>
        </w:rPr>
        <w:t>contains</w:t>
      </w:r>
      <w:r w:rsidRPr="0086712E">
        <w:rPr>
          <w:rFonts w:cs="Times New Roman"/>
        </w:rPr>
        <w:t xml:space="preserve"> no such separate requirement.  The relevant part of para. 116 reads as follows:</w:t>
      </w:r>
    </w:p>
    <w:p w:rsidR="007213AA" w:rsidRPr="0086712E" w:rsidRDefault="007213AA" w:rsidP="007213AA">
      <w:pPr>
        <w:pStyle w:val="Citation-AltC"/>
        <w:widowControl w:val="0"/>
        <w:ind w:firstLine="274"/>
      </w:pPr>
      <w:r w:rsidRPr="0086712E">
        <w:t xml:space="preserve">The second category would protect auto-depictions, such as photographs taken by a child or adolescent of him- or herself alone, kept in strict privacy and intended for personal use only.  It would also extend to protect the recording of lawful sexual activity, provided certain conditions were met.  The person possessing the recording must have personally recorded or participated in the sexual activity in question.  </w:t>
      </w:r>
      <w:r w:rsidRPr="0086712E">
        <w:rPr>
          <w:u w:val="single"/>
        </w:rPr>
        <w:t>That activity must not be unlawful, thus ensuring the consent of all parties, and precluding the exploitation or abuse of children.</w:t>
      </w:r>
      <w:r w:rsidRPr="0086712E">
        <w:t xml:space="preserve">  All parties must also have consented to the creation of the record.  The recording must be kept in strict privacy by the person in possession, and intended exclusively for private use by the creator and the persons depicted therein.  [Emphasis added.]</w:t>
      </w:r>
    </w:p>
    <w:p w:rsidR="007213AA" w:rsidRPr="0086712E" w:rsidRDefault="007213AA" w:rsidP="007213AA">
      <w:pPr>
        <w:pStyle w:val="ParaNoNdepar-AltN"/>
        <w:widowControl w:val="0"/>
        <w:rPr>
          <w:rFonts w:cs="Times New Roman"/>
        </w:rPr>
      </w:pPr>
      <w:r w:rsidRPr="0086712E">
        <w:rPr>
          <w:rFonts w:cs="Times New Roman"/>
        </w:rPr>
        <w:t>Paragraph 116 situates exploitation firmly within the lawfulness analysis, which is one of the three elements required for the defence to succeed.</w:t>
      </w:r>
    </w:p>
    <w:p w:rsidR="007213AA" w:rsidRPr="0086712E" w:rsidRDefault="007213AA" w:rsidP="007213AA">
      <w:pPr>
        <w:pStyle w:val="ParaNoNdepar-AltN"/>
        <w:widowControl w:val="0"/>
        <w:rPr>
          <w:rFonts w:cs="Times New Roman"/>
        </w:rPr>
      </w:pPr>
      <w:r w:rsidRPr="0086712E">
        <w:rPr>
          <w:rFonts w:cs="Times New Roman"/>
        </w:rPr>
        <w:t>This does not mean that exploitation is not an important part of the inquiry.  Indeed, where there are indicia of exploitation, the Crown will likely raise these facts in order to prove, on the basis of s. 153, that the activity was unlawful beyond a reasonable doubt.</w:t>
      </w:r>
    </w:p>
    <w:p w:rsidR="007213AA" w:rsidRPr="0086712E" w:rsidRDefault="007213AA" w:rsidP="007213AA">
      <w:pPr>
        <w:pStyle w:val="ParaNoNdepar-AltN"/>
        <w:widowControl w:val="0"/>
        <w:rPr>
          <w:rFonts w:cs="Times New Roman"/>
        </w:rPr>
      </w:pPr>
      <w:r w:rsidRPr="0086712E">
        <w:rPr>
          <w:rFonts w:cs="Times New Roman"/>
        </w:rPr>
        <w:t xml:space="preserve">Faced with such evidence, a trial judge must be alive to Parliament’s </w:t>
      </w:r>
      <w:r w:rsidRPr="0086712E">
        <w:rPr>
          <w:rFonts w:cs="Times New Roman"/>
        </w:rPr>
        <w:lastRenderedPageBreak/>
        <w:t xml:space="preserve">direction in s. 153 that consent not be taken merely at face value where a young person is concerned.  Properly interpreted and applied, exploitation must be determined by looking at the relationship between the complainant and </w:t>
      </w:r>
      <w:r>
        <w:rPr>
          <w:rFonts w:cs="Times New Roman"/>
        </w:rPr>
        <w:t xml:space="preserve">the </w:t>
      </w:r>
      <w:r w:rsidRPr="0086712E">
        <w:rPr>
          <w:rFonts w:cs="Times New Roman"/>
        </w:rPr>
        <w:t>accused, and the entire context of their interactions.</w:t>
      </w:r>
    </w:p>
    <w:p w:rsidR="007213AA" w:rsidRPr="0086712E" w:rsidRDefault="007213AA" w:rsidP="007213AA">
      <w:pPr>
        <w:pStyle w:val="ParaNoNdepar-AltN"/>
        <w:widowControl w:val="0"/>
        <w:rPr>
          <w:rFonts w:cs="Times New Roman"/>
        </w:rPr>
      </w:pPr>
      <w:r w:rsidRPr="0086712E">
        <w:rPr>
          <w:rFonts w:cs="Times New Roman"/>
        </w:rPr>
        <w:t xml:space="preserve">This does not mean that </w:t>
      </w:r>
      <w:r>
        <w:rPr>
          <w:rFonts w:cs="Times New Roman"/>
        </w:rPr>
        <w:t>“</w:t>
      </w:r>
      <w:r w:rsidRPr="0086712E">
        <w:rPr>
          <w:rFonts w:cs="Times New Roman"/>
        </w:rPr>
        <w:t>factual exploitation</w:t>
      </w:r>
      <w:r>
        <w:rPr>
          <w:rFonts w:cs="Times New Roman"/>
        </w:rPr>
        <w:t>”</w:t>
      </w:r>
      <w:r w:rsidRPr="0086712E">
        <w:rPr>
          <w:rFonts w:cs="Times New Roman"/>
        </w:rPr>
        <w:t xml:space="preserve">, divorced from any of the three prongs set out in </w:t>
      </w:r>
      <w:r w:rsidRPr="0086712E">
        <w:rPr>
          <w:rFonts w:cs="Times New Roman"/>
          <w:i/>
        </w:rPr>
        <w:t>Sharpe</w:t>
      </w:r>
      <w:r w:rsidRPr="0086712E">
        <w:rPr>
          <w:rFonts w:cs="Times New Roman"/>
        </w:rPr>
        <w:t xml:space="preserve">, is a separate part of the private use exception.  I agree with the appellants that this proposed additional step is redundant.  It is not required by this Court’s decision in </w:t>
      </w:r>
      <w:r w:rsidRPr="0086712E">
        <w:rPr>
          <w:rFonts w:cs="Times New Roman"/>
          <w:i/>
        </w:rPr>
        <w:t>Sharpe</w:t>
      </w:r>
      <w:r w:rsidRPr="0086712E">
        <w:rPr>
          <w:rFonts w:cs="Times New Roman"/>
        </w:rPr>
        <w:t>, nor is it required to ensure that those who exploit young people do not benefit from the private use exception.  The inquiry into lawfulness of the underlying sexual activity already permits a robust analysis of exploitation.</w:t>
      </w:r>
    </w:p>
    <w:p w:rsidR="007213AA" w:rsidRPr="0086712E" w:rsidRDefault="007213AA" w:rsidP="007213AA">
      <w:pPr>
        <w:pStyle w:val="Title3LevelTitre3Niveau"/>
        <w:widowControl w:val="0"/>
        <w:jc w:val="both"/>
        <w:rPr>
          <w:rFonts w:cs="Times New Roman"/>
        </w:rPr>
      </w:pPr>
      <w:r w:rsidRPr="0086712E">
        <w:rPr>
          <w:rFonts w:cs="Times New Roman"/>
        </w:rPr>
        <w:t>Is There a Requirement to Assess Exploitation in Relation to Consent to Recording?</w:t>
      </w:r>
    </w:p>
    <w:p w:rsidR="007213AA" w:rsidRPr="0086712E" w:rsidRDefault="007213AA" w:rsidP="007213AA">
      <w:pPr>
        <w:pStyle w:val="ParaNoNdepar-AltN"/>
        <w:widowControl w:val="0"/>
        <w:rPr>
          <w:rFonts w:cs="Times New Roman"/>
        </w:rPr>
      </w:pPr>
      <w:r w:rsidRPr="0086712E">
        <w:rPr>
          <w:rFonts w:cs="Times New Roman"/>
        </w:rPr>
        <w:t>In oral submissions before this Court, the Crown modified the position it took before the courts below.  The Crown argued that exploitation must also be considered when determining whether or not the complainant consented to the recording.  In other words, the court should examine how exploitation may influence a young person’s consent to being recorded, separate</w:t>
      </w:r>
      <w:r>
        <w:rPr>
          <w:rFonts w:cs="Times New Roman"/>
        </w:rPr>
        <w:t>ly</w:t>
      </w:r>
      <w:r w:rsidRPr="0086712E">
        <w:rPr>
          <w:rFonts w:cs="Times New Roman"/>
        </w:rPr>
        <w:t xml:space="preserve"> and apart from the question of consent to the underlying sexual activity.  Although the </w:t>
      </w:r>
      <w:r w:rsidRPr="0086712E">
        <w:rPr>
          <w:rFonts w:cs="Times New Roman"/>
          <w:i/>
        </w:rPr>
        <w:t>Criminal Code</w:t>
      </w:r>
      <w:r w:rsidRPr="0086712E">
        <w:rPr>
          <w:rFonts w:cs="Times New Roman"/>
        </w:rPr>
        <w:t xml:space="preserve"> restricts consent to sexual activity in circumstances such as incapacity, coercion and abuse of authority, no such protections apply to the consent to record.</w:t>
      </w:r>
    </w:p>
    <w:p w:rsidR="007213AA" w:rsidRPr="0086712E" w:rsidRDefault="007213AA" w:rsidP="007213AA">
      <w:pPr>
        <w:pStyle w:val="ParaNoNdepar-AltN"/>
        <w:widowControl w:val="0"/>
        <w:rPr>
          <w:rFonts w:cs="Times New Roman"/>
        </w:rPr>
      </w:pPr>
      <w:r w:rsidRPr="0086712E">
        <w:rPr>
          <w:rFonts w:cs="Times New Roman"/>
        </w:rPr>
        <w:lastRenderedPageBreak/>
        <w:t>The Crown anchored this view in what it sees as the limited scope of s.</w:t>
      </w:r>
      <w:r>
        <w:rPr>
          <w:rFonts w:cs="Times New Roman"/>
        </w:rPr>
        <w:t xml:space="preserve"> </w:t>
      </w:r>
      <w:r w:rsidRPr="0086712E">
        <w:rPr>
          <w:rFonts w:cs="Times New Roman"/>
        </w:rPr>
        <w:t>153, which it argues may not cover situations where no sexual touching occurs or where the touching is not invited, counsel</w:t>
      </w:r>
      <w:r w:rsidR="002870F1">
        <w:rPr>
          <w:rFonts w:cs="Times New Roman"/>
        </w:rPr>
        <w:t>l</w:t>
      </w:r>
      <w:r w:rsidRPr="0086712E">
        <w:rPr>
          <w:rFonts w:cs="Times New Roman"/>
        </w:rPr>
        <w:t>ed or incited.  The only example the Crown could suggest was that of nude posing by a young person aged 16 or 17, which could occur in the context of an exploitative relationship but nonetheless fall outside the ambit of s. 153.</w:t>
      </w:r>
      <w:r w:rsidRPr="0086712E">
        <w:rPr>
          <w:rStyle w:val="FootnoteReference"/>
          <w:rFonts w:cs="Times New Roman"/>
        </w:rPr>
        <w:footnoteReference w:id="2"/>
      </w:r>
      <w:r w:rsidRPr="0086712E">
        <w:rPr>
          <w:rFonts w:cs="Times New Roman"/>
        </w:rPr>
        <w:t xml:space="preserve">  In the Crown’s view, only an additional exploitation analysis with respect to consent to the recording itself could properly capture recordings that are beyond the scope of s. 153.</w:t>
      </w:r>
    </w:p>
    <w:p w:rsidR="007213AA" w:rsidRPr="0086712E" w:rsidRDefault="007213AA" w:rsidP="007213AA">
      <w:pPr>
        <w:pStyle w:val="ParaNoNdepar-AltN"/>
        <w:widowControl w:val="0"/>
        <w:rPr>
          <w:rFonts w:cs="Times New Roman"/>
        </w:rPr>
      </w:pPr>
      <w:r w:rsidRPr="0086712E">
        <w:rPr>
          <w:rFonts w:cs="Times New Roman"/>
        </w:rPr>
        <w:t xml:space="preserve">The concerns raised by the Crown’s example can only arise where the subject of the recording does not involve any touching or invitation to touching that would be caught by s. 153.  As the Attorney General of Ontario submitted in these proceedings, it is quite possible that s. 153 could apply to the example of the still photos of nude posing.  The language in s. 153 is broad and captures any invitation to sexual touching of others or </w:t>
      </w:r>
      <w:r>
        <w:rPr>
          <w:rFonts w:cs="Times New Roman"/>
        </w:rPr>
        <w:t>one</w:t>
      </w:r>
      <w:r w:rsidRPr="0086712E">
        <w:rPr>
          <w:rFonts w:cs="Times New Roman"/>
        </w:rPr>
        <w:t>sel</w:t>
      </w:r>
      <w:r>
        <w:rPr>
          <w:rFonts w:cs="Times New Roman"/>
        </w:rPr>
        <w:t>f</w:t>
      </w:r>
      <w:r w:rsidRPr="0086712E">
        <w:rPr>
          <w:rFonts w:cs="Times New Roman"/>
        </w:rPr>
        <w:t>.  It is not clear that there would be many instances where a still photograph is taken by the dominant person in the context of an exploitative relationship that did not involve any invitation to sexual touching.  In such circumstances, consent to the sexual activity and to the act of recording will often be intertwined, and thus captured by s. 153.</w:t>
      </w:r>
    </w:p>
    <w:p w:rsidR="007213AA" w:rsidRPr="0086712E" w:rsidRDefault="007213AA" w:rsidP="007213AA">
      <w:pPr>
        <w:pStyle w:val="ParaNoNdepar-AltN"/>
        <w:widowControl w:val="0"/>
        <w:rPr>
          <w:rFonts w:cs="Times New Roman"/>
        </w:rPr>
      </w:pPr>
      <w:r w:rsidRPr="0086712E">
        <w:rPr>
          <w:rFonts w:cs="Times New Roman"/>
        </w:rPr>
        <w:t xml:space="preserve">This is not to say that where the recording is concerned the young person’s consent is necessarily a simple question of yes or no.  Should a case arise in which no underlying sexual activity exists that could be caught by the </w:t>
      </w:r>
      <w:r w:rsidRPr="0086712E">
        <w:rPr>
          <w:rFonts w:cs="Times New Roman"/>
          <w:i/>
        </w:rPr>
        <w:t xml:space="preserve">Criminal </w:t>
      </w:r>
      <w:r w:rsidRPr="0086712E">
        <w:rPr>
          <w:rFonts w:cs="Times New Roman"/>
          <w:i/>
        </w:rPr>
        <w:lastRenderedPageBreak/>
        <w:t>Code</w:t>
      </w:r>
      <w:r w:rsidRPr="0086712E">
        <w:rPr>
          <w:rFonts w:cs="Times New Roman"/>
        </w:rPr>
        <w:t>’s provisions related to sexual exploitation, it may be that an exploitative relationship would be relevant to the common law rules of consent in the context of consent to recording.</w:t>
      </w:r>
    </w:p>
    <w:p w:rsidR="007213AA" w:rsidRPr="0086712E" w:rsidRDefault="007213AA" w:rsidP="007213AA">
      <w:pPr>
        <w:pStyle w:val="ParaNoNdepar-AltN"/>
        <w:widowControl w:val="0"/>
        <w:rPr>
          <w:rFonts w:cs="Times New Roman"/>
        </w:rPr>
      </w:pPr>
      <w:r w:rsidRPr="0086712E">
        <w:rPr>
          <w:rFonts w:cs="Times New Roman"/>
        </w:rPr>
        <w:t>However, this is not the case to decide whether an exploitative relationship can vitiate consent to the recording.  Circumstances where the exploitation is not captured in the lawfulness analysis are not likely to arise frequently ― and they do not arise in this case.  The extent to which an exploitative relationship may vitiate consent generally under the common law was not clearly developed in the courts below or in the factum of the Crown.  I think it best to leave this question about the common law principles of consent to a case with a proper record and argument.  The implications may be far reaching.</w:t>
      </w:r>
    </w:p>
    <w:p w:rsidR="007213AA" w:rsidRPr="0086712E" w:rsidRDefault="007213AA" w:rsidP="007213AA">
      <w:pPr>
        <w:pStyle w:val="ParaNoNdepar-AltN"/>
        <w:widowControl w:val="0"/>
        <w:rPr>
          <w:rFonts w:cs="Times New Roman"/>
        </w:rPr>
      </w:pPr>
      <w:r w:rsidRPr="0086712E">
        <w:rPr>
          <w:rFonts w:cs="Times New Roman"/>
        </w:rPr>
        <w:t xml:space="preserve">In short, any exploitation in the relationship between K and D and the appellants in this case is properly considered in the lawfulness analysis with respect to s. 153 of the </w:t>
      </w:r>
      <w:r w:rsidRPr="0086712E">
        <w:rPr>
          <w:rFonts w:cs="Times New Roman"/>
          <w:i/>
        </w:rPr>
        <w:t>Criminal Code</w:t>
      </w:r>
      <w:r w:rsidRPr="0086712E">
        <w:rPr>
          <w:rFonts w:cs="Times New Roman"/>
        </w:rPr>
        <w:t>.</w:t>
      </w:r>
    </w:p>
    <w:p w:rsidR="007213AA" w:rsidRPr="0086712E" w:rsidRDefault="007213AA" w:rsidP="007213AA">
      <w:pPr>
        <w:pStyle w:val="Title3LevelTitre3Niveau"/>
        <w:widowControl w:val="0"/>
        <w:jc w:val="both"/>
        <w:rPr>
          <w:rFonts w:cs="Times New Roman"/>
        </w:rPr>
      </w:pPr>
      <w:r w:rsidRPr="0086712E">
        <w:rPr>
          <w:rFonts w:cs="Times New Roman"/>
        </w:rPr>
        <w:t>Is Mutuality of Benefit a Prerequisite to Availability of the Private Use Exception?</w:t>
      </w:r>
    </w:p>
    <w:p w:rsidR="007213AA" w:rsidRPr="0086712E" w:rsidRDefault="007213AA" w:rsidP="007213AA">
      <w:pPr>
        <w:pStyle w:val="ParaNoNdepar-AltN"/>
        <w:widowControl w:val="0"/>
        <w:rPr>
          <w:rFonts w:cs="Times New Roman"/>
        </w:rPr>
      </w:pPr>
      <w:r w:rsidRPr="0086712E">
        <w:rPr>
          <w:rFonts w:cs="Times New Roman"/>
        </w:rPr>
        <w:t xml:space="preserve">The Crown argues that </w:t>
      </w:r>
      <w:r w:rsidRPr="0086712E">
        <w:rPr>
          <w:rFonts w:cs="Times New Roman"/>
          <w:i/>
        </w:rPr>
        <w:t>Sharpe</w:t>
      </w:r>
      <w:r w:rsidRPr="0086712E">
        <w:rPr>
          <w:rFonts w:cs="Times New Roman"/>
        </w:rPr>
        <w:t xml:space="preserve"> also requires that there be a “mutuality of benefit” among all individuals captured by the recording (transcript, at p. 53).  In support of this argument, the Crown cites this Court’s discussion in </w:t>
      </w:r>
      <w:r w:rsidRPr="0086712E">
        <w:rPr>
          <w:rFonts w:cs="Times New Roman"/>
          <w:i/>
        </w:rPr>
        <w:t xml:space="preserve">Sharpe </w:t>
      </w:r>
      <w:r w:rsidRPr="0086712E">
        <w:rPr>
          <w:rFonts w:cs="Times New Roman"/>
        </w:rPr>
        <w:t xml:space="preserve">of the significance that recordings of sexual activity may have for “adolescent self-fulfilment, self-actualization and sexual exploration and identity” (para. 109).  In the </w:t>
      </w:r>
      <w:r w:rsidRPr="0086712E">
        <w:rPr>
          <w:rFonts w:cs="Times New Roman"/>
        </w:rPr>
        <w:lastRenderedPageBreak/>
        <w:t>Crown’s view, such expressive values can only be achieved where all individuals depicted, including any minors, actually derive a proven benefit from the recording.  Such a requirement is characterized as a necessary bulwark against exploitation.</w:t>
      </w:r>
    </w:p>
    <w:p w:rsidR="007213AA" w:rsidRPr="0086712E" w:rsidRDefault="007213AA" w:rsidP="007213AA">
      <w:pPr>
        <w:pStyle w:val="ParaNoNdepar-AltN"/>
        <w:widowControl w:val="0"/>
        <w:rPr>
          <w:rFonts w:cs="Times New Roman"/>
        </w:rPr>
      </w:pPr>
      <w:r w:rsidRPr="0086712E">
        <w:rPr>
          <w:rFonts w:cs="Times New Roman"/>
        </w:rPr>
        <w:t xml:space="preserve">The </w:t>
      </w:r>
      <w:r w:rsidR="002870F1" w:rsidRPr="0086712E">
        <w:rPr>
          <w:rFonts w:cs="Times New Roman"/>
        </w:rPr>
        <w:t xml:space="preserve">Alberta </w:t>
      </w:r>
      <w:r w:rsidRPr="0086712E">
        <w:rPr>
          <w:rFonts w:cs="Times New Roman"/>
        </w:rPr>
        <w:t>Court of Appeal agreed, concluding that a “[p]rerequisite to the availability of the private use defence is evidence that the parties intended the pornographic material for the private use of [the complainant] as well as that of the appellant, sometimes called a mutuality of benefit” (</w:t>
      </w:r>
      <w:r>
        <w:rPr>
          <w:rFonts w:cs="Times New Roman"/>
        </w:rPr>
        <w:t xml:space="preserve">para. 13, citing </w:t>
      </w:r>
      <w:r w:rsidRPr="0086712E">
        <w:rPr>
          <w:rFonts w:cs="Times New Roman"/>
          <w:i/>
        </w:rPr>
        <w:t>Cockell</w:t>
      </w:r>
      <w:r w:rsidRPr="0086712E">
        <w:rPr>
          <w:rFonts w:cs="Times New Roman"/>
        </w:rPr>
        <w:t>,</w:t>
      </w:r>
      <w:r w:rsidRPr="0086712E">
        <w:rPr>
          <w:rFonts w:cs="Times New Roman"/>
          <w:i/>
        </w:rPr>
        <w:t xml:space="preserve"> </w:t>
      </w:r>
      <w:r w:rsidRPr="0086712E">
        <w:rPr>
          <w:rFonts w:cs="Times New Roman"/>
        </w:rPr>
        <w:t>at para.</w:t>
      </w:r>
      <w:r>
        <w:rPr>
          <w:rFonts w:cs="Times New Roman"/>
        </w:rPr>
        <w:t xml:space="preserve"> </w:t>
      </w:r>
      <w:r w:rsidRPr="0086712E">
        <w:rPr>
          <w:rFonts w:cs="Times New Roman"/>
        </w:rPr>
        <w:t>36</w:t>
      </w:r>
      <w:r>
        <w:rPr>
          <w:rFonts w:cs="Times New Roman"/>
        </w:rPr>
        <w:t>).</w:t>
      </w:r>
    </w:p>
    <w:p w:rsidR="007213AA" w:rsidRPr="0086712E" w:rsidRDefault="007213AA" w:rsidP="007213AA">
      <w:pPr>
        <w:pStyle w:val="ParaNoNdepar-AltN"/>
        <w:widowControl w:val="0"/>
        <w:rPr>
          <w:rFonts w:cs="Times New Roman"/>
        </w:rPr>
      </w:pPr>
      <w:r w:rsidRPr="0086712E">
        <w:rPr>
          <w:rFonts w:cs="Times New Roman"/>
        </w:rPr>
        <w:t xml:space="preserve">I cannot accede to this interpretation of this Court’s decision in </w:t>
      </w:r>
      <w:r w:rsidRPr="0086712E">
        <w:rPr>
          <w:rFonts w:cs="Times New Roman"/>
          <w:i/>
        </w:rPr>
        <w:t>Sharpe</w:t>
      </w:r>
      <w:r w:rsidRPr="0086712E">
        <w:rPr>
          <w:rFonts w:cs="Times New Roman"/>
        </w:rPr>
        <w:t xml:space="preserve">.  </w:t>
      </w:r>
      <w:r w:rsidRPr="0086712E">
        <w:rPr>
          <w:rFonts w:cs="Times New Roman"/>
          <w:i/>
        </w:rPr>
        <w:t xml:space="preserve">Sharpe </w:t>
      </w:r>
      <w:r w:rsidRPr="0086712E">
        <w:rPr>
          <w:rFonts w:cs="Times New Roman"/>
        </w:rPr>
        <w:t xml:space="preserve">does not refer to mutuality of benefit as a standalone requirement for the private use exception.  Rather, </w:t>
      </w:r>
      <w:r w:rsidRPr="0086712E">
        <w:rPr>
          <w:rFonts w:cs="Times New Roman"/>
          <w:i/>
        </w:rPr>
        <w:t xml:space="preserve">Sharpe </w:t>
      </w:r>
      <w:r w:rsidRPr="0086712E">
        <w:rPr>
          <w:rFonts w:cs="Times New Roman"/>
        </w:rPr>
        <w:t xml:space="preserve">says that the material must be “intended exclusively for private use by the creator and the persons depicted” (para. 116).  I do not read this as establishing “mutuality of benefit” as a requirement for the private use exception.  It simply establishes that private use is limited to use by the creator and the persons depicted, and nobody else.  This requirement leaves the determination regarding possible benefits to the consenting individuals.  Adding a </w:t>
      </w:r>
      <w:r>
        <w:rPr>
          <w:rFonts w:cs="Times New Roman"/>
        </w:rPr>
        <w:t>“</w:t>
      </w:r>
      <w:r w:rsidRPr="0086712E">
        <w:rPr>
          <w:rFonts w:cs="Times New Roman"/>
        </w:rPr>
        <w:t>mutuality of benefit</w:t>
      </w:r>
      <w:r>
        <w:rPr>
          <w:rFonts w:cs="Times New Roman"/>
        </w:rPr>
        <w:t>”</w:t>
      </w:r>
      <w:r w:rsidRPr="0086712E">
        <w:rPr>
          <w:rFonts w:cs="Times New Roman"/>
        </w:rPr>
        <w:t xml:space="preserve"> requirement to the analysis would unnecessarily complicate the private use exception test while providing little benefit.</w:t>
      </w:r>
    </w:p>
    <w:p w:rsidR="007213AA" w:rsidRPr="0086712E" w:rsidRDefault="007213AA" w:rsidP="007213AA">
      <w:pPr>
        <w:pStyle w:val="ParaNoNdepar-AltN"/>
        <w:widowControl w:val="0"/>
        <w:rPr>
          <w:rFonts w:cs="Times New Roman"/>
        </w:rPr>
      </w:pPr>
      <w:r w:rsidRPr="0086712E">
        <w:rPr>
          <w:rFonts w:cs="Times New Roman"/>
        </w:rPr>
        <w:t xml:space="preserve">To conclude, the private use exception established in </w:t>
      </w:r>
      <w:r w:rsidRPr="0086712E">
        <w:rPr>
          <w:rFonts w:cs="Times New Roman"/>
          <w:i/>
        </w:rPr>
        <w:t>Sharpe</w:t>
      </w:r>
      <w:r w:rsidRPr="0086712E">
        <w:rPr>
          <w:rFonts w:cs="Times New Roman"/>
        </w:rPr>
        <w:t xml:space="preserve"> is available only where (1) the sexual activity is lawful</w:t>
      </w:r>
      <w:r>
        <w:rPr>
          <w:rFonts w:cs="Times New Roman"/>
        </w:rPr>
        <w:t>,</w:t>
      </w:r>
      <w:r w:rsidRPr="0086712E">
        <w:rPr>
          <w:rFonts w:cs="Times New Roman"/>
        </w:rPr>
        <w:t xml:space="preserve"> (2) all participants consented to the recording</w:t>
      </w:r>
      <w:r>
        <w:rPr>
          <w:rFonts w:cs="Times New Roman"/>
        </w:rPr>
        <w:t>,</w:t>
      </w:r>
      <w:r w:rsidRPr="0086712E">
        <w:rPr>
          <w:rFonts w:cs="Times New Roman"/>
        </w:rPr>
        <w:t xml:space="preserve"> and (3) the recording</w:t>
      </w:r>
      <w:r>
        <w:rPr>
          <w:rFonts w:cs="Times New Roman"/>
        </w:rPr>
        <w:t xml:space="preserve"> </w:t>
      </w:r>
      <w:r w:rsidRPr="0086712E">
        <w:rPr>
          <w:rFonts w:cs="Times New Roman"/>
        </w:rPr>
        <w:t xml:space="preserve">is created and retained strictly for the private use of </w:t>
      </w:r>
      <w:r w:rsidRPr="0086712E">
        <w:rPr>
          <w:rFonts w:cs="Times New Roman"/>
        </w:rPr>
        <w:lastRenderedPageBreak/>
        <w:t>those involved.  In determining the lawfulness of the sexual activity, the sexual activity recorded cannot be considered in isolation.  Where the Crown seeks to rely on s. 153 to negate the legality of the sexual activity depicted, the</w:t>
      </w:r>
      <w:r w:rsidRPr="0086712E" w:rsidDel="00DD1F52">
        <w:rPr>
          <w:rFonts w:cs="Times New Roman"/>
        </w:rPr>
        <w:t xml:space="preserve"> </w:t>
      </w:r>
      <w:r w:rsidRPr="0086712E">
        <w:rPr>
          <w:rFonts w:cs="Times New Roman"/>
        </w:rPr>
        <w:t>judge must also determine whether it occurred in the context of an exploitative relationship.  If so, the sexual activity is not lawful, and the private use exception does not apply.</w:t>
      </w:r>
    </w:p>
    <w:p w:rsidR="007213AA" w:rsidRPr="0086712E" w:rsidRDefault="007213AA" w:rsidP="007213AA">
      <w:pPr>
        <w:pStyle w:val="Title1LevelTitre1Niveau-AltL"/>
        <w:widowControl w:val="0"/>
        <w:rPr>
          <w:rFonts w:cs="Times New Roman"/>
        </w:rPr>
      </w:pPr>
      <w:r w:rsidRPr="0086712E">
        <w:rPr>
          <w:rFonts w:cs="Times New Roman"/>
        </w:rPr>
        <w:t xml:space="preserve">Application to </w:t>
      </w:r>
      <w:r>
        <w:rPr>
          <w:rFonts w:cs="Times New Roman"/>
        </w:rPr>
        <w:t>T</w:t>
      </w:r>
      <w:r w:rsidRPr="0086712E">
        <w:rPr>
          <w:rFonts w:cs="Times New Roman"/>
        </w:rPr>
        <w:t>his Case</w:t>
      </w:r>
    </w:p>
    <w:p w:rsidR="007213AA" w:rsidRPr="0086712E" w:rsidRDefault="007213AA" w:rsidP="007213AA">
      <w:pPr>
        <w:pStyle w:val="ParaNoNdepar-AltN"/>
        <w:widowControl w:val="0"/>
        <w:rPr>
          <w:rFonts w:cs="Times New Roman"/>
        </w:rPr>
      </w:pPr>
      <w:r w:rsidRPr="0086712E">
        <w:rPr>
          <w:rFonts w:cs="Times New Roman"/>
        </w:rPr>
        <w:t xml:space="preserve">The trial judge found </w:t>
      </w:r>
      <w:r w:rsidR="002870F1">
        <w:rPr>
          <w:rFonts w:cs="Times New Roman"/>
        </w:rPr>
        <w:t xml:space="preserve">that </w:t>
      </w:r>
      <w:r w:rsidRPr="0086712E">
        <w:rPr>
          <w:rFonts w:cs="Times New Roman"/>
        </w:rPr>
        <w:t xml:space="preserve">the sexual activity in this case was lawful.  In so doing, he relied on an apparent concession by the Crown regarding lawfulness.  This concession arose in the context of the Crown advancing an erroneous legal framework for analyzing the private use exception, both at trial and on appeal.  Of course, a trial judge is not bound by concessions of law if those concessions are erroneous </w:t>
      </w:r>
      <w:r w:rsidR="008F3E4E">
        <w:rPr>
          <w:rFonts w:cs="Times New Roman"/>
        </w:rPr>
        <w:t>(</w:t>
      </w:r>
      <w:r w:rsidRPr="0086712E">
        <w:rPr>
          <w:rFonts w:cs="Times New Roman"/>
          <w:i/>
        </w:rPr>
        <w:t>R. v. Pickton</w:t>
      </w:r>
      <w:r w:rsidRPr="0086712E">
        <w:rPr>
          <w:rFonts w:cs="Times New Roman"/>
        </w:rPr>
        <w:t xml:space="preserve">, </w:t>
      </w:r>
      <w:r>
        <w:rPr>
          <w:rFonts w:cs="Times New Roman"/>
        </w:rPr>
        <w:t xml:space="preserve">2010 SCC 32, </w:t>
      </w:r>
      <w:r w:rsidRPr="0086712E">
        <w:rPr>
          <w:rFonts w:cs="Times New Roman"/>
        </w:rPr>
        <w:t>[2010] 2 S.C.R. 198, at para. 27</w:t>
      </w:r>
      <w:r>
        <w:rPr>
          <w:rFonts w:cs="Times New Roman"/>
        </w:rPr>
        <w:t xml:space="preserve">; </w:t>
      </w:r>
      <w:r w:rsidRPr="0086712E">
        <w:rPr>
          <w:rFonts w:cs="Times New Roman"/>
          <w:i/>
        </w:rPr>
        <w:t>R</w:t>
      </w:r>
      <w:r>
        <w:rPr>
          <w:rFonts w:cs="Times New Roman"/>
          <w:i/>
        </w:rPr>
        <w:t>.</w:t>
      </w:r>
      <w:r w:rsidRPr="0086712E">
        <w:rPr>
          <w:rFonts w:cs="Times New Roman"/>
          <w:i/>
        </w:rPr>
        <w:t xml:space="preserve"> v. Sappier</w:t>
      </w:r>
      <w:r w:rsidRPr="0086712E">
        <w:rPr>
          <w:rFonts w:cs="Times New Roman"/>
        </w:rPr>
        <w:t xml:space="preserve">, </w:t>
      </w:r>
      <w:r>
        <w:rPr>
          <w:rFonts w:cs="Times New Roman"/>
        </w:rPr>
        <w:t xml:space="preserve">2006 SCC 54, </w:t>
      </w:r>
      <w:r w:rsidRPr="0086712E">
        <w:rPr>
          <w:rFonts w:cs="Times New Roman"/>
        </w:rPr>
        <w:t xml:space="preserve">[2006] 2 S.C.R. 686, at paras. 62-64; </w:t>
      </w:r>
      <w:r w:rsidRPr="0086712E">
        <w:rPr>
          <w:rFonts w:cs="Times New Roman"/>
          <w:i/>
        </w:rPr>
        <w:t>M</w:t>
      </w:r>
      <w:r>
        <w:rPr>
          <w:rFonts w:cs="Times New Roman"/>
          <w:i/>
        </w:rPr>
        <w:t>.</w:t>
      </w:r>
      <w:r w:rsidRPr="0086712E">
        <w:rPr>
          <w:rFonts w:cs="Times New Roman"/>
          <w:i/>
        </w:rPr>
        <w:t xml:space="preserve"> v. H</w:t>
      </w:r>
      <w:r>
        <w:rPr>
          <w:rFonts w:cs="Times New Roman"/>
          <w:i/>
        </w:rPr>
        <w:t>.</w:t>
      </w:r>
      <w:r w:rsidRPr="0086712E">
        <w:rPr>
          <w:rFonts w:cs="Times New Roman"/>
        </w:rPr>
        <w:t>, [1999] 2 S.C.R. 3, at para. 45</w:t>
      </w:r>
      <w:r w:rsidR="008F3E4E">
        <w:rPr>
          <w:rFonts w:cs="Times New Roman"/>
        </w:rPr>
        <w:t>)</w:t>
      </w:r>
      <w:r w:rsidRPr="0086712E">
        <w:rPr>
          <w:rFonts w:cs="Times New Roman"/>
        </w:rPr>
        <w:t xml:space="preserve">.  </w:t>
      </w:r>
      <w:r w:rsidRPr="0086712E">
        <w:rPr>
          <w:rFonts w:cs="Times New Roman"/>
          <w:szCs w:val="24"/>
        </w:rPr>
        <w:t xml:space="preserve">However, while the Crown’s position was wrong in law, the fact that exploitation was advanced for consideration at trial </w:t>
      </w:r>
      <w:r w:rsidRPr="0086712E">
        <w:rPr>
          <w:rFonts w:cs="Times New Roman"/>
        </w:rPr>
        <w:t xml:space="preserve">(albeit as a separate element in the </w:t>
      </w:r>
      <w:r w:rsidRPr="0086712E">
        <w:rPr>
          <w:rFonts w:cs="Times New Roman"/>
          <w:i/>
        </w:rPr>
        <w:t>Sharpe</w:t>
      </w:r>
      <w:r w:rsidRPr="0086712E">
        <w:rPr>
          <w:rFonts w:cs="Times New Roman"/>
        </w:rPr>
        <w:t xml:space="preserve"> test) </w:t>
      </w:r>
      <w:r w:rsidRPr="0086712E">
        <w:rPr>
          <w:rFonts w:cs="Times New Roman"/>
          <w:szCs w:val="24"/>
        </w:rPr>
        <w:t xml:space="preserve">overcomes any prejudice to the </w:t>
      </w:r>
      <w:r>
        <w:rPr>
          <w:rFonts w:cs="Times New Roman"/>
          <w:szCs w:val="24"/>
        </w:rPr>
        <w:t>appellants</w:t>
      </w:r>
      <w:r w:rsidRPr="0086712E">
        <w:rPr>
          <w:rFonts w:cs="Times New Roman"/>
          <w:szCs w:val="24"/>
        </w:rPr>
        <w:t xml:space="preserve"> resulting from the erroneous legal position taken by the Crown.  </w:t>
      </w:r>
      <w:r w:rsidRPr="0086712E">
        <w:rPr>
          <w:rFonts w:cs="Times New Roman"/>
        </w:rPr>
        <w:t xml:space="preserve">That is, despite how the Crown framed the legal test in this case, it is clear the Crown took the position that the private use exception was not available because of an exploitative relationship between the two </w:t>
      </w:r>
      <w:r>
        <w:rPr>
          <w:rFonts w:cs="Times New Roman"/>
        </w:rPr>
        <w:t>appellants</w:t>
      </w:r>
      <w:r w:rsidRPr="0086712E">
        <w:rPr>
          <w:rFonts w:cs="Times New Roman"/>
        </w:rPr>
        <w:t xml:space="preserve"> and K and D.</w:t>
      </w:r>
      <w:r w:rsidRPr="0086712E" w:rsidDel="009A4DBE">
        <w:rPr>
          <w:rFonts w:cs="Times New Roman"/>
        </w:rPr>
        <w:t xml:space="preserve"> </w:t>
      </w:r>
      <w:r w:rsidRPr="0086712E">
        <w:rPr>
          <w:rFonts w:cs="Times New Roman"/>
        </w:rPr>
        <w:t xml:space="preserve"> In determining whether the private use exception was available as a defence, the trial judge was required, in these circumstances, to consider whether that relationship was exploitative within the </w:t>
      </w:r>
      <w:r w:rsidRPr="0086712E">
        <w:rPr>
          <w:rFonts w:cs="Times New Roman"/>
        </w:rPr>
        <w:lastRenderedPageBreak/>
        <w:t>meaning of s. 153.</w:t>
      </w:r>
    </w:p>
    <w:p w:rsidR="007213AA" w:rsidRPr="0086712E" w:rsidRDefault="007213AA" w:rsidP="007213AA">
      <w:pPr>
        <w:pStyle w:val="ParaNoNdepar-AltN"/>
        <w:widowControl w:val="0"/>
        <w:rPr>
          <w:rFonts w:cs="Times New Roman"/>
        </w:rPr>
      </w:pPr>
      <w:r w:rsidRPr="0086712E">
        <w:rPr>
          <w:rFonts w:cs="Times New Roman"/>
        </w:rPr>
        <w:t xml:space="preserve">Reviewing the trial judge’s findings, it is apparent that he did not turn his mind to whether or not the broader relationship was one of exploitation within the meaning of s. 153.  Where the trial judge did consider evidence that would be relevant to exploitation, he did so in isolation, looking at the factors one at a time.  For example, he identified the age of the complainants and the substantial difference in age between them and the </w:t>
      </w:r>
      <w:r>
        <w:rPr>
          <w:rFonts w:cs="Times New Roman"/>
        </w:rPr>
        <w:t>appellants</w:t>
      </w:r>
      <w:r w:rsidRPr="0086712E">
        <w:rPr>
          <w:rFonts w:cs="Times New Roman"/>
        </w:rPr>
        <w:t>, but found this was an insufficient basis for concluding that this difference was “intrinsically exploitive or abusive” (para. 226).  However, he did not assess this age difference in light of other aspects of the relationship, such as the impact of the complainants’ addictions, their need for shelter, or their past and ongoing experiences with homelessness and prostitution.  In short, he did not consider the specific factors in light of the broader context or whether they cumulatively resulted in an exploitative relationship.</w:t>
      </w:r>
    </w:p>
    <w:p w:rsidR="007213AA" w:rsidRPr="0086712E" w:rsidRDefault="007213AA" w:rsidP="007213AA">
      <w:pPr>
        <w:pStyle w:val="ParaNoNdepar-AltN"/>
        <w:widowControl w:val="0"/>
        <w:rPr>
          <w:rFonts w:cs="Times New Roman"/>
        </w:rPr>
      </w:pPr>
      <w:r w:rsidRPr="0086712E">
        <w:rPr>
          <w:rFonts w:cs="Times New Roman"/>
        </w:rPr>
        <w:t xml:space="preserve">The trial judge’s analysis focused primarily on the voluntariness of particular </w:t>
      </w:r>
      <w:r w:rsidRPr="0086712E">
        <w:rPr>
          <w:rFonts w:cs="Times New Roman"/>
          <w:i/>
        </w:rPr>
        <w:t>activities</w:t>
      </w:r>
      <w:r w:rsidRPr="0086712E">
        <w:rPr>
          <w:rFonts w:cs="Times New Roman"/>
        </w:rPr>
        <w:t xml:space="preserve">, instead of on the nature of the </w:t>
      </w:r>
      <w:r w:rsidRPr="0086712E">
        <w:rPr>
          <w:rFonts w:cs="Times New Roman"/>
          <w:i/>
        </w:rPr>
        <w:t>relationship</w:t>
      </w:r>
      <w:r w:rsidRPr="0086712E">
        <w:rPr>
          <w:rFonts w:cs="Times New Roman"/>
        </w:rPr>
        <w:t xml:space="preserve"> between the parties.  While the voluntariness of sexual activities is an important aspect of lawfulness, it does not end the inquiry.  The trial judge was also required to holistically assess the nature and circumstances of the relationship to determine whether the sexual activity was rendered unlawful under s.</w:t>
      </w:r>
      <w:r>
        <w:rPr>
          <w:rFonts w:cs="Times New Roman"/>
        </w:rPr>
        <w:t xml:space="preserve"> </w:t>
      </w:r>
      <w:r w:rsidRPr="0086712E">
        <w:rPr>
          <w:rFonts w:cs="Times New Roman"/>
        </w:rPr>
        <w:t xml:space="preserve">153.  By failing to consider whether the underlying relationship between the complainants and the </w:t>
      </w:r>
      <w:r>
        <w:rPr>
          <w:rFonts w:cs="Times New Roman"/>
        </w:rPr>
        <w:t>appellants</w:t>
      </w:r>
      <w:r w:rsidRPr="0086712E">
        <w:rPr>
          <w:rFonts w:cs="Times New Roman"/>
        </w:rPr>
        <w:t xml:space="preserve"> was exploitative, the trial judge erred in law.</w:t>
      </w:r>
    </w:p>
    <w:p w:rsidR="007213AA" w:rsidRPr="0086712E" w:rsidRDefault="007213AA" w:rsidP="007213AA">
      <w:pPr>
        <w:pStyle w:val="ParaNoNdepar-AltN"/>
        <w:widowControl w:val="0"/>
        <w:rPr>
          <w:rFonts w:cs="Times New Roman"/>
        </w:rPr>
      </w:pPr>
      <w:r w:rsidRPr="0086712E">
        <w:rPr>
          <w:rFonts w:cs="Times New Roman"/>
        </w:rPr>
        <w:lastRenderedPageBreak/>
        <w:t xml:space="preserve">Thus, while the Court of Appeal erred in law in its approach to the case, I am nonetheless of the view that the trial judge erred by failing to consider whether the sexual activity was unlawful by virtue of s. 153 of the </w:t>
      </w:r>
      <w:r w:rsidRPr="0086712E">
        <w:rPr>
          <w:rFonts w:cs="Times New Roman"/>
          <w:i/>
        </w:rPr>
        <w:t>Code</w:t>
      </w:r>
      <w:r w:rsidRPr="0086712E">
        <w:rPr>
          <w:rFonts w:cs="Times New Roman"/>
        </w:rPr>
        <w:t xml:space="preserve">. Given the trial judge’s findings of fact, however, I am not persuaded that Mr. Barabash and Mr. Rollison would have been found guilty but for the trial judge’s error </w:t>
      </w:r>
      <w:r w:rsidR="002870F1">
        <w:rPr>
          <w:rFonts w:cs="Times New Roman"/>
        </w:rPr>
        <w:t xml:space="preserve">in </w:t>
      </w:r>
      <w:r w:rsidRPr="0086712E">
        <w:rPr>
          <w:rFonts w:cs="Times New Roman"/>
        </w:rPr>
        <w:t xml:space="preserve">law </w:t>
      </w:r>
      <w:r w:rsidR="008F3E4E">
        <w:rPr>
          <w:rFonts w:cs="Times New Roman"/>
        </w:rPr>
        <w:t>(</w:t>
      </w:r>
      <w:r w:rsidR="002870F1" w:rsidRPr="002870F1">
        <w:rPr>
          <w:rFonts w:cs="Times New Roman"/>
          <w:i/>
        </w:rPr>
        <w:t>Criminal Code</w:t>
      </w:r>
      <w:r w:rsidR="002870F1">
        <w:rPr>
          <w:rFonts w:cs="Times New Roman"/>
        </w:rPr>
        <w:t xml:space="preserve">, </w:t>
      </w:r>
      <w:r w:rsidRPr="0086712E">
        <w:rPr>
          <w:rFonts w:cs="Times New Roman"/>
        </w:rPr>
        <w:t>s. 686(4)(</w:t>
      </w:r>
      <w:r w:rsidRPr="000057CB">
        <w:rPr>
          <w:rFonts w:cs="Times New Roman"/>
          <w:i/>
        </w:rPr>
        <w:t>b</w:t>
      </w:r>
      <w:r w:rsidRPr="0086712E">
        <w:rPr>
          <w:rFonts w:cs="Times New Roman"/>
        </w:rPr>
        <w:t>)(ii)</w:t>
      </w:r>
      <w:r w:rsidR="008F3E4E">
        <w:rPr>
          <w:rFonts w:cs="Times New Roman"/>
        </w:rPr>
        <w:t>)</w:t>
      </w:r>
      <w:r w:rsidRPr="0086712E">
        <w:rPr>
          <w:rFonts w:cs="Times New Roman"/>
        </w:rPr>
        <w:t>.  I therefore would not uphold the Court of Appeal’s decision to enter convictions.  This is especially true since the trial judge’s legal error was induced in part by an erroneous Crown concession at trial.</w:t>
      </w:r>
    </w:p>
    <w:p w:rsidR="007213AA" w:rsidRPr="0086712E" w:rsidRDefault="007213AA" w:rsidP="007213AA">
      <w:pPr>
        <w:pStyle w:val="ParaNoNdepar-AltN"/>
        <w:widowControl w:val="0"/>
        <w:rPr>
          <w:rFonts w:cs="Times New Roman"/>
        </w:rPr>
      </w:pPr>
      <w:r w:rsidRPr="0086712E">
        <w:rPr>
          <w:rFonts w:cs="Times New Roman"/>
        </w:rPr>
        <w:t xml:space="preserve">The acquittals should be restored unless the Crown shows that </w:t>
      </w:r>
      <w:r>
        <w:rPr>
          <w:rFonts w:cs="Times New Roman"/>
        </w:rPr>
        <w:t xml:space="preserve">the trial judge’s </w:t>
      </w:r>
      <w:r w:rsidRPr="0086712E">
        <w:rPr>
          <w:rFonts w:cs="Times New Roman"/>
        </w:rPr>
        <w:t xml:space="preserve">legal error has a material bearing on the acquittals </w:t>
      </w:r>
      <w:r w:rsidR="001300DE">
        <w:rPr>
          <w:rFonts w:cs="Times New Roman"/>
        </w:rPr>
        <w:t>(</w:t>
      </w:r>
      <w:r w:rsidRPr="0086712E">
        <w:rPr>
          <w:rFonts w:cs="Times New Roman"/>
          <w:i/>
        </w:rPr>
        <w:t>R. v. Graveline</w:t>
      </w:r>
      <w:r w:rsidRPr="000057CB">
        <w:rPr>
          <w:rFonts w:cs="Times New Roman"/>
        </w:rPr>
        <w:t>,</w:t>
      </w:r>
      <w:r w:rsidRPr="0086712E">
        <w:rPr>
          <w:rFonts w:cs="Times New Roman"/>
        </w:rPr>
        <w:t xml:space="preserve"> 2006 SCC 16, [2006] 1 S.C.R. 609, at para. 14; </w:t>
      </w:r>
      <w:r w:rsidRPr="0086712E">
        <w:rPr>
          <w:rFonts w:cs="Times New Roman"/>
          <w:i/>
        </w:rPr>
        <w:t>R. v. Morin</w:t>
      </w:r>
      <w:r w:rsidRPr="0086712E">
        <w:rPr>
          <w:rFonts w:cs="Times New Roman"/>
        </w:rPr>
        <w:t>, [1988]</w:t>
      </w:r>
      <w:r w:rsidRPr="0086712E">
        <w:rPr>
          <w:rFonts w:cs="Times New Roman"/>
          <w:i/>
        </w:rPr>
        <w:t xml:space="preserve"> </w:t>
      </w:r>
      <w:r w:rsidRPr="0086712E">
        <w:rPr>
          <w:rFonts w:cs="Times New Roman"/>
        </w:rPr>
        <w:t xml:space="preserve">2 S.C.R. 345, at </w:t>
      </w:r>
      <w:r>
        <w:rPr>
          <w:rFonts w:cs="Times New Roman"/>
        </w:rPr>
        <w:t xml:space="preserve">p. </w:t>
      </w:r>
      <w:r w:rsidRPr="0086712E">
        <w:rPr>
          <w:rFonts w:cs="Times New Roman"/>
        </w:rPr>
        <w:t>374</w:t>
      </w:r>
      <w:r w:rsidR="001300DE">
        <w:rPr>
          <w:rFonts w:cs="Times New Roman"/>
        </w:rPr>
        <w:t>)</w:t>
      </w:r>
      <w:r w:rsidRPr="0086712E">
        <w:rPr>
          <w:rFonts w:cs="Times New Roman"/>
        </w:rPr>
        <w:t xml:space="preserve">.  The appellants submit that regardless of this legal error the trial judge’s factual findings would inevitably have led him to find no exploitation in this case and </w:t>
      </w:r>
      <w:r>
        <w:rPr>
          <w:rFonts w:cs="Times New Roman"/>
        </w:rPr>
        <w:t xml:space="preserve">that therefore </w:t>
      </w:r>
      <w:r w:rsidRPr="0086712E">
        <w:rPr>
          <w:rFonts w:cs="Times New Roman"/>
        </w:rPr>
        <w:t>the acquittal</w:t>
      </w:r>
      <w:r>
        <w:rPr>
          <w:rFonts w:cs="Times New Roman"/>
        </w:rPr>
        <w:t>s</w:t>
      </w:r>
      <w:r w:rsidRPr="0086712E">
        <w:rPr>
          <w:rFonts w:cs="Times New Roman"/>
        </w:rPr>
        <w:t xml:space="preserve"> should be restored.  With respect, I cannot agree.</w:t>
      </w:r>
    </w:p>
    <w:p w:rsidR="007213AA" w:rsidRPr="0086712E" w:rsidRDefault="007213AA" w:rsidP="007213AA">
      <w:pPr>
        <w:pStyle w:val="ParaNoNdepar-AltN"/>
        <w:widowControl w:val="0"/>
        <w:rPr>
          <w:rFonts w:cs="Times New Roman"/>
          <w:szCs w:val="24"/>
        </w:rPr>
      </w:pPr>
      <w:r w:rsidRPr="0086712E">
        <w:rPr>
          <w:rFonts w:cs="Times New Roman"/>
          <w:szCs w:val="24"/>
        </w:rPr>
        <w:t xml:space="preserve">For example, the trial judge found that both K and D may have been under the influence of drugs and alcohol at the time the recorded sexual activities occurred, but that they were </w:t>
      </w:r>
      <w:r>
        <w:rPr>
          <w:rFonts w:cs="Times New Roman"/>
          <w:szCs w:val="24"/>
        </w:rPr>
        <w:t xml:space="preserve">nevertheless </w:t>
      </w:r>
      <w:r w:rsidRPr="0086712E">
        <w:rPr>
          <w:rFonts w:cs="Times New Roman"/>
          <w:szCs w:val="24"/>
        </w:rPr>
        <w:t>aware of and consented to their nudity, the sexual activities in which they engaged, and the recording of those activities.  He found that the complainants were not coerced and that they did not exchange sex or nude posing for drugs.  On the contrary, he found that they “initiate[d] and direct[ed] many of the activities” and “willingly consented to and participated in the making of the recordings” (para. 100).</w:t>
      </w:r>
    </w:p>
    <w:p w:rsidR="007213AA" w:rsidRPr="0086712E" w:rsidRDefault="007213AA" w:rsidP="007213AA">
      <w:pPr>
        <w:pStyle w:val="ParaNoNdepar-AltN"/>
        <w:widowControl w:val="0"/>
        <w:rPr>
          <w:rFonts w:cs="Times New Roman"/>
          <w:szCs w:val="24"/>
        </w:rPr>
      </w:pPr>
      <w:r>
        <w:rPr>
          <w:rFonts w:cs="Times New Roman"/>
          <w:szCs w:val="24"/>
        </w:rPr>
        <w:lastRenderedPageBreak/>
        <w:t>T</w:t>
      </w:r>
      <w:r w:rsidRPr="0086712E">
        <w:rPr>
          <w:rFonts w:cs="Times New Roman"/>
          <w:szCs w:val="24"/>
        </w:rPr>
        <w:t>he judge also accepted that K believed she would have a better prospect of sharing drugs if she engaged in sexual activities with Mr. Barabash and Mr.</w:t>
      </w:r>
      <w:r>
        <w:rPr>
          <w:rFonts w:cs="Times New Roman"/>
          <w:szCs w:val="24"/>
        </w:rPr>
        <w:t xml:space="preserve"> </w:t>
      </w:r>
      <w:r w:rsidRPr="0086712E">
        <w:rPr>
          <w:rFonts w:cs="Times New Roman"/>
          <w:szCs w:val="24"/>
        </w:rPr>
        <w:t xml:space="preserve">Rollison.  Indeed, he referred to K’s testimony that while </w:t>
      </w:r>
      <w:r>
        <w:rPr>
          <w:rFonts w:cs="Times New Roman"/>
          <w:szCs w:val="24"/>
        </w:rPr>
        <w:t>“</w:t>
      </w:r>
      <w:r w:rsidRPr="0086712E">
        <w:rPr>
          <w:rFonts w:cs="Times New Roman"/>
          <w:szCs w:val="24"/>
        </w:rPr>
        <w:t>no formal exchange arrangement existed</w:t>
      </w:r>
      <w:r>
        <w:rPr>
          <w:rFonts w:cs="Times New Roman"/>
          <w:szCs w:val="24"/>
        </w:rPr>
        <w:t>”</w:t>
      </w:r>
      <w:r w:rsidRPr="0086712E">
        <w:rPr>
          <w:rFonts w:cs="Times New Roman"/>
          <w:szCs w:val="24"/>
        </w:rPr>
        <w:t xml:space="preserve">, drugs would be provided and used “[w]hen she engaged in sex with Barabash and Rollison” (para. 37).  K further indicated she may have engaged in sexual activities with the intention of obtaining drugs.  However, the judge did not consider the implications of this conclusion on the question of whether the relationships between the complainants and the </w:t>
      </w:r>
      <w:r>
        <w:rPr>
          <w:rFonts w:cs="Times New Roman"/>
          <w:szCs w:val="24"/>
        </w:rPr>
        <w:t>appellants</w:t>
      </w:r>
      <w:r w:rsidRPr="0086712E">
        <w:rPr>
          <w:rFonts w:cs="Times New Roman"/>
          <w:szCs w:val="24"/>
        </w:rPr>
        <w:t xml:space="preserve"> were exploitative.  He also did not consider whether the complainants’ willingness to participate in sexual activities was influenced by any dependence on Mr. Barabash for</w:t>
      </w:r>
      <w:r>
        <w:rPr>
          <w:rFonts w:cs="Times New Roman"/>
          <w:szCs w:val="24"/>
        </w:rPr>
        <w:t xml:space="preserve"> </w:t>
      </w:r>
      <w:r w:rsidRPr="0086712E">
        <w:rPr>
          <w:rFonts w:cs="Times New Roman"/>
          <w:szCs w:val="24"/>
        </w:rPr>
        <w:t>shelter or drugs.  Fundamentally, the trial judge failed to consider the extent to which the appellants ― two older men ― may have exercised control over two vulnerable, deeply troubled and runaway girls.</w:t>
      </w:r>
    </w:p>
    <w:p w:rsidR="007213AA" w:rsidRPr="0086712E" w:rsidRDefault="007213AA" w:rsidP="007213AA">
      <w:pPr>
        <w:pStyle w:val="ParaNoNdepar-AltN"/>
        <w:widowControl w:val="0"/>
        <w:rPr>
          <w:rFonts w:cs="Times New Roman"/>
        </w:rPr>
      </w:pPr>
      <w:r w:rsidRPr="0086712E">
        <w:rPr>
          <w:rFonts w:cs="Times New Roman"/>
        </w:rPr>
        <w:t xml:space="preserve">Thus, the trial judge’s factual findings do not adequately establish whether the </w:t>
      </w:r>
      <w:r>
        <w:rPr>
          <w:rFonts w:cs="Times New Roman"/>
        </w:rPr>
        <w:t>appellants</w:t>
      </w:r>
      <w:r w:rsidRPr="0086712E">
        <w:rPr>
          <w:rFonts w:cs="Times New Roman"/>
        </w:rPr>
        <w:t xml:space="preserve"> were in positions of trust or authority towards the complainants, whether the complainants were dependent upon them, or whether the relationships were exploitative of K and D, as required by s. 153.</w:t>
      </w:r>
    </w:p>
    <w:p w:rsidR="007213AA" w:rsidRPr="0086712E" w:rsidRDefault="007213AA" w:rsidP="007213AA">
      <w:pPr>
        <w:pStyle w:val="ParaNoNdepar-AltN"/>
        <w:widowControl w:val="0"/>
        <w:rPr>
          <w:rFonts w:cs="Times New Roman"/>
        </w:rPr>
      </w:pPr>
      <w:r w:rsidRPr="0086712E">
        <w:rPr>
          <w:rFonts w:cs="Times New Roman"/>
        </w:rPr>
        <w:t>As a result, I am satisfied that the trial judge’s error had a material bearing on the acquittals.  The trial judge’s failure to properly address whether the sexual activity was lawful within the meaning of s. 153 as part of the private use exception analysis requires a new trial.</w:t>
      </w:r>
    </w:p>
    <w:p w:rsidR="007213AA" w:rsidRPr="0086712E" w:rsidRDefault="007213AA" w:rsidP="007213AA">
      <w:pPr>
        <w:pStyle w:val="Title1LevelTitre1Niveau-AltL"/>
        <w:widowControl w:val="0"/>
        <w:rPr>
          <w:rFonts w:cs="Times New Roman"/>
        </w:rPr>
      </w:pPr>
      <w:r w:rsidRPr="0086712E">
        <w:rPr>
          <w:rFonts w:cs="Times New Roman"/>
        </w:rPr>
        <w:lastRenderedPageBreak/>
        <w:t>Remedy</w:t>
      </w:r>
    </w:p>
    <w:p w:rsidR="007213AA" w:rsidRPr="0086712E" w:rsidRDefault="007213AA" w:rsidP="007213AA">
      <w:pPr>
        <w:pStyle w:val="ParaNoNdepar-AltN"/>
        <w:widowControl w:val="0"/>
        <w:rPr>
          <w:rFonts w:cs="Times New Roman"/>
        </w:rPr>
      </w:pPr>
      <w:r w:rsidRPr="0086712E">
        <w:rPr>
          <w:rFonts w:cs="Times New Roman"/>
        </w:rPr>
        <w:t>I would allow the appeal</w:t>
      </w:r>
      <w:r>
        <w:rPr>
          <w:rFonts w:cs="Times New Roman"/>
        </w:rPr>
        <w:t>s</w:t>
      </w:r>
      <w:r w:rsidRPr="0086712E">
        <w:rPr>
          <w:rFonts w:cs="Times New Roman"/>
        </w:rPr>
        <w:t xml:space="preserve"> and direct that a new trial be held.</w:t>
      </w:r>
    </w:p>
    <w:p w:rsidR="009B57B3" w:rsidRPr="008943AE" w:rsidRDefault="00501676" w:rsidP="007213AA">
      <w:pPr>
        <w:pStyle w:val="SCCNormalDoubleSpacing"/>
        <w:widowControl w:val="0"/>
        <w:spacing w:before="480" w:after="480"/>
      </w:pPr>
      <w:r w:rsidRPr="008943AE">
        <w:tab/>
      </w:r>
      <w:r w:rsidR="00656313" w:rsidRPr="008943AE">
        <w:rPr>
          <w:i/>
        </w:rPr>
        <w:t>Appeal</w:t>
      </w:r>
      <w:r w:rsidR="00C81649" w:rsidRPr="008943AE">
        <w:rPr>
          <w:i/>
        </w:rPr>
        <w:t>s allowed and new trial ordered</w:t>
      </w:r>
      <w:r w:rsidRPr="008943AE">
        <w:rPr>
          <w:i/>
        </w:rPr>
        <w:t>.</w:t>
      </w:r>
    </w:p>
    <w:p w:rsidR="00C352BE" w:rsidRPr="008943AE" w:rsidRDefault="00C352BE" w:rsidP="007213AA">
      <w:pPr>
        <w:pStyle w:val="SCCLawFirm"/>
        <w:widowControl w:val="0"/>
        <w:spacing w:before="480" w:after="480"/>
      </w:pPr>
      <w:r w:rsidRPr="008943AE">
        <w:tab/>
        <w:t>Solicitors for the appellant Donald Jerry Barabash</w:t>
      </w:r>
      <w:r w:rsidR="008E0958" w:rsidRPr="008943AE">
        <w:t>:</w:t>
      </w:r>
      <w:r w:rsidR="00F96108">
        <w:t xml:space="preserve"> </w:t>
      </w:r>
      <w:r w:rsidRPr="008943AE">
        <w:t>Royal Teskey, Edmonton.</w:t>
      </w:r>
    </w:p>
    <w:p w:rsidR="00C352BE" w:rsidRPr="008943AE" w:rsidRDefault="00C352BE" w:rsidP="007213AA">
      <w:pPr>
        <w:pStyle w:val="SCCLawFirm"/>
        <w:widowControl w:val="0"/>
        <w:spacing w:before="480" w:after="480"/>
      </w:pPr>
      <w:r w:rsidRPr="008943AE">
        <w:tab/>
        <w:t>Solicitors for the appellant Shane Gordon Rollison</w:t>
      </w:r>
      <w:r w:rsidR="008E0958" w:rsidRPr="008943AE">
        <w:t>:</w:t>
      </w:r>
      <w:r w:rsidR="00F96108">
        <w:t xml:space="preserve"> </w:t>
      </w:r>
      <w:r w:rsidRPr="008943AE">
        <w:t>Legal Aid Alberta, Edmonton; Supreme Advocacy, Ottawa.</w:t>
      </w:r>
    </w:p>
    <w:p w:rsidR="00C352BE" w:rsidRPr="008943AE" w:rsidRDefault="00C352BE" w:rsidP="007213AA">
      <w:pPr>
        <w:pStyle w:val="SCCLawFirm"/>
        <w:widowControl w:val="0"/>
        <w:spacing w:before="480" w:after="480"/>
      </w:pPr>
      <w:r w:rsidRPr="008943AE">
        <w:tab/>
        <w:t>Solicitor for the respondent</w:t>
      </w:r>
      <w:r w:rsidR="008E0958" w:rsidRPr="008943AE">
        <w:t>:</w:t>
      </w:r>
      <w:r w:rsidR="00F96108">
        <w:t xml:space="preserve"> </w:t>
      </w:r>
      <w:r w:rsidRPr="008943AE">
        <w:t>Attorney General of Alberta, Calgary.</w:t>
      </w:r>
    </w:p>
    <w:p w:rsidR="00C352BE" w:rsidRPr="008943AE" w:rsidRDefault="00C352BE" w:rsidP="007213AA">
      <w:pPr>
        <w:pStyle w:val="SCCLawFirm"/>
        <w:widowControl w:val="0"/>
        <w:spacing w:before="480" w:after="480"/>
      </w:pPr>
      <w:r w:rsidRPr="008943AE">
        <w:tab/>
        <w:t>Solicitor for the intervener the Attorney General of Canada</w:t>
      </w:r>
      <w:r w:rsidR="008E0958" w:rsidRPr="008943AE">
        <w:t>:</w:t>
      </w:r>
      <w:r w:rsidR="00F96108">
        <w:t xml:space="preserve"> </w:t>
      </w:r>
      <w:r w:rsidRPr="008943AE">
        <w:t>Attorney General of Canada, Ottawa.</w:t>
      </w:r>
    </w:p>
    <w:p w:rsidR="00C352BE" w:rsidRPr="008943AE" w:rsidRDefault="00C352BE" w:rsidP="007213AA">
      <w:pPr>
        <w:pStyle w:val="SCCLawFirm"/>
        <w:widowControl w:val="0"/>
        <w:spacing w:before="480" w:after="480"/>
      </w:pPr>
      <w:r w:rsidRPr="008943AE">
        <w:tab/>
        <w:t>Solicitor for the intervener the Attorney General of Ontario</w:t>
      </w:r>
      <w:r w:rsidR="008E0958" w:rsidRPr="008943AE">
        <w:t>:</w:t>
      </w:r>
      <w:r w:rsidR="00F96108">
        <w:t xml:space="preserve"> </w:t>
      </w:r>
      <w:r w:rsidRPr="008943AE">
        <w:t>Attorney General of Ontario, Toronto.</w:t>
      </w:r>
    </w:p>
    <w:p w:rsidR="00C352BE" w:rsidRPr="008943AE" w:rsidRDefault="00C352BE" w:rsidP="007213AA">
      <w:pPr>
        <w:pStyle w:val="SCCLawFirm"/>
        <w:widowControl w:val="0"/>
        <w:spacing w:before="480" w:after="480"/>
      </w:pPr>
      <w:r w:rsidRPr="008943AE">
        <w:tab/>
        <w:t>Solicitors for the intervener the Canadian Civil Liberties Association</w:t>
      </w:r>
      <w:r w:rsidR="008E0958" w:rsidRPr="008943AE">
        <w:t>:</w:t>
      </w:r>
      <w:r w:rsidR="00F96108">
        <w:t xml:space="preserve"> </w:t>
      </w:r>
      <w:r w:rsidRPr="008943AE">
        <w:t>Davis, Toronto.</w:t>
      </w:r>
    </w:p>
    <w:p w:rsidR="009B57B3" w:rsidRDefault="00C352BE" w:rsidP="007213AA">
      <w:pPr>
        <w:pStyle w:val="SCCLawFirm"/>
        <w:widowControl w:val="0"/>
        <w:rPr>
          <w:b/>
          <w:i w:val="0"/>
        </w:rPr>
      </w:pPr>
      <w:r w:rsidRPr="008943AE">
        <w:tab/>
        <w:t>Solicitors for the int</w:t>
      </w:r>
      <w:r w:rsidR="00C81649" w:rsidRPr="008943AE">
        <w:t xml:space="preserve">erveners Beyond Borders and </w:t>
      </w:r>
      <w:r w:rsidR="002870F1">
        <w:t xml:space="preserve">the </w:t>
      </w:r>
      <w:r w:rsidRPr="008943AE">
        <w:t>Canadian Centre for Child Protection Inc.</w:t>
      </w:r>
      <w:r w:rsidR="008E0958" w:rsidRPr="008943AE">
        <w:t>:</w:t>
      </w:r>
      <w:r w:rsidR="00F96108">
        <w:t xml:space="preserve"> </w:t>
      </w:r>
      <w:r w:rsidRPr="008943AE">
        <w:t xml:space="preserve">David Matas, Winnipeg; </w:t>
      </w:r>
      <w:r w:rsidRPr="008943AE">
        <w:rPr>
          <w:rStyle w:val="SCCCounselPartyRoleChar"/>
        </w:rPr>
        <w:t xml:space="preserve">Canadian Centre for Child </w:t>
      </w:r>
      <w:r w:rsidRPr="008943AE">
        <w:rPr>
          <w:rStyle w:val="SCCCounselPartyRoleChar"/>
        </w:rPr>
        <w:lastRenderedPageBreak/>
        <w:t>Protection Inc</w:t>
      </w:r>
      <w:r w:rsidRPr="008943AE">
        <w:t>., Winnipeg.</w:t>
      </w:r>
    </w:p>
    <w:sectPr w:rsidR="009B57B3"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108" w:rsidRDefault="00F96108">
      <w:r>
        <w:separator/>
      </w:r>
    </w:p>
  </w:endnote>
  <w:endnote w:type="continuationSeparator" w:id="0">
    <w:p w:rsidR="00F96108" w:rsidRDefault="00F9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108" w:rsidRDefault="00F96108">
      <w:r>
        <w:separator/>
      </w:r>
    </w:p>
  </w:footnote>
  <w:footnote w:type="continuationSeparator" w:id="0">
    <w:p w:rsidR="00F96108" w:rsidRDefault="00F96108">
      <w:r>
        <w:continuationSeparator/>
      </w:r>
    </w:p>
  </w:footnote>
  <w:footnote w:id="1">
    <w:p w:rsidR="007213AA" w:rsidRDefault="007213AA" w:rsidP="00401709">
      <w:pPr>
        <w:pStyle w:val="CommentText"/>
        <w:ind w:left="180" w:hanging="180"/>
        <w:jc w:val="both"/>
        <w:rPr>
          <w:lang w:val="en-US"/>
        </w:rPr>
      </w:pPr>
      <w:r>
        <w:rPr>
          <w:rStyle w:val="FootnoteReference"/>
        </w:rPr>
        <w:footnoteRef/>
      </w:r>
      <w:r w:rsidR="00401709">
        <w:t xml:space="preserve"> </w:t>
      </w:r>
      <w:r>
        <w:t>These limits on consent appl</w:t>
      </w:r>
      <w:r w:rsidRPr="003E40AF">
        <w:t>ied</w:t>
      </w:r>
      <w:r>
        <w:t xml:space="preserve"> to the following offences:  s. 151 (sexual interference); s. 152 (invitation to sexual touching); s. 160(3) (bestiality in presence of or by child); s. 173(2) (exposure); ss. 271 to 273 (sexual assault).</w:t>
      </w:r>
    </w:p>
  </w:footnote>
  <w:footnote w:id="2">
    <w:p w:rsidR="007213AA" w:rsidRPr="004F5B1F" w:rsidRDefault="007213AA" w:rsidP="007213AA">
      <w:pPr>
        <w:pStyle w:val="FootnoteText"/>
        <w:jc w:val="both"/>
        <w:rPr>
          <w:lang w:val="en-US"/>
        </w:rPr>
      </w:pPr>
      <w:r>
        <w:rPr>
          <w:rStyle w:val="FootnoteReference"/>
        </w:rPr>
        <w:footnoteRef/>
      </w:r>
      <w:r>
        <w:t xml:space="preserve">  </w:t>
      </w:r>
      <w:r>
        <w:rPr>
          <w:lang w:val="en-US"/>
        </w:rPr>
        <w:t>Similar considerations would apply to the operation of the s. 152 invitation to sexual touching provision for those under the age of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08" w:rsidRPr="00450352" w:rsidRDefault="00F96108"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0CA61C1"/>
    <w:multiLevelType w:val="multilevel"/>
    <w:tmpl w:val="EA34573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A705E"/>
    <w:multiLevelType w:val="hybridMultilevel"/>
    <w:tmpl w:val="5B901174"/>
    <w:lvl w:ilvl="0" w:tplc="0C08E1D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CC58D9"/>
    <w:multiLevelType w:val="multilevel"/>
    <w:tmpl w:val="7820F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E4019C0"/>
    <w:multiLevelType w:val="hybridMultilevel"/>
    <w:tmpl w:val="7BF4B4D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0"/>
  </w:num>
  <w:num w:numId="5">
    <w:abstractNumId w:val="5"/>
  </w:num>
  <w:num w:numId="6">
    <w:abstractNumId w:val="6"/>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13A69"/>
    <w:rsid w:val="0001424D"/>
    <w:rsid w:val="00025198"/>
    <w:rsid w:val="000361F8"/>
    <w:rsid w:val="000578A3"/>
    <w:rsid w:val="00057995"/>
    <w:rsid w:val="00064457"/>
    <w:rsid w:val="000648CC"/>
    <w:rsid w:val="000C59B8"/>
    <w:rsid w:val="000C6AF0"/>
    <w:rsid w:val="00104F33"/>
    <w:rsid w:val="00111DE2"/>
    <w:rsid w:val="00116B38"/>
    <w:rsid w:val="001300DE"/>
    <w:rsid w:val="00135406"/>
    <w:rsid w:val="00135972"/>
    <w:rsid w:val="001426A9"/>
    <w:rsid w:val="001458A2"/>
    <w:rsid w:val="00151A6F"/>
    <w:rsid w:val="00154D7C"/>
    <w:rsid w:val="001570B0"/>
    <w:rsid w:val="0015752C"/>
    <w:rsid w:val="00157737"/>
    <w:rsid w:val="00165277"/>
    <w:rsid w:val="00170592"/>
    <w:rsid w:val="00175C44"/>
    <w:rsid w:val="00186351"/>
    <w:rsid w:val="00195D83"/>
    <w:rsid w:val="001A00C1"/>
    <w:rsid w:val="001B33E0"/>
    <w:rsid w:val="001B4573"/>
    <w:rsid w:val="001C779F"/>
    <w:rsid w:val="001D2AC1"/>
    <w:rsid w:val="001D42A5"/>
    <w:rsid w:val="001D4E88"/>
    <w:rsid w:val="001F292D"/>
    <w:rsid w:val="00220FC2"/>
    <w:rsid w:val="002222F4"/>
    <w:rsid w:val="00224FC0"/>
    <w:rsid w:val="00225741"/>
    <w:rsid w:val="00225EA4"/>
    <w:rsid w:val="00226EAF"/>
    <w:rsid w:val="00231F3A"/>
    <w:rsid w:val="00234199"/>
    <w:rsid w:val="002406EE"/>
    <w:rsid w:val="00242269"/>
    <w:rsid w:val="00243EC8"/>
    <w:rsid w:val="0025632D"/>
    <w:rsid w:val="00270D93"/>
    <w:rsid w:val="002745CC"/>
    <w:rsid w:val="002870F1"/>
    <w:rsid w:val="00297C39"/>
    <w:rsid w:val="002B4CD0"/>
    <w:rsid w:val="002B4E35"/>
    <w:rsid w:val="002B7924"/>
    <w:rsid w:val="002D28C3"/>
    <w:rsid w:val="002D39A4"/>
    <w:rsid w:val="002D5B92"/>
    <w:rsid w:val="002E6705"/>
    <w:rsid w:val="002F3FE2"/>
    <w:rsid w:val="00301D08"/>
    <w:rsid w:val="0030329A"/>
    <w:rsid w:val="0031086F"/>
    <w:rsid w:val="0031414C"/>
    <w:rsid w:val="00314E01"/>
    <w:rsid w:val="0032089D"/>
    <w:rsid w:val="003310DE"/>
    <w:rsid w:val="003323B0"/>
    <w:rsid w:val="0035169A"/>
    <w:rsid w:val="0035259D"/>
    <w:rsid w:val="00364B18"/>
    <w:rsid w:val="00380945"/>
    <w:rsid w:val="00385770"/>
    <w:rsid w:val="00392CF8"/>
    <w:rsid w:val="003A125D"/>
    <w:rsid w:val="003A4C70"/>
    <w:rsid w:val="003B215F"/>
    <w:rsid w:val="003C799C"/>
    <w:rsid w:val="003D0399"/>
    <w:rsid w:val="003D4D90"/>
    <w:rsid w:val="003E1C71"/>
    <w:rsid w:val="003F327B"/>
    <w:rsid w:val="00401709"/>
    <w:rsid w:val="00406166"/>
    <w:rsid w:val="0040704B"/>
    <w:rsid w:val="00410A55"/>
    <w:rsid w:val="00411300"/>
    <w:rsid w:val="00415417"/>
    <w:rsid w:val="00426659"/>
    <w:rsid w:val="00450352"/>
    <w:rsid w:val="00454BDB"/>
    <w:rsid w:val="00464800"/>
    <w:rsid w:val="00465132"/>
    <w:rsid w:val="00480C90"/>
    <w:rsid w:val="0048396F"/>
    <w:rsid w:val="00493C18"/>
    <w:rsid w:val="004A600C"/>
    <w:rsid w:val="004A6118"/>
    <w:rsid w:val="004C478D"/>
    <w:rsid w:val="004E25FF"/>
    <w:rsid w:val="004E2C26"/>
    <w:rsid w:val="004F36FF"/>
    <w:rsid w:val="004F3C75"/>
    <w:rsid w:val="00501676"/>
    <w:rsid w:val="00510787"/>
    <w:rsid w:val="005125A8"/>
    <w:rsid w:val="005141AF"/>
    <w:rsid w:val="00521AE8"/>
    <w:rsid w:val="00527180"/>
    <w:rsid w:val="005300BE"/>
    <w:rsid w:val="0054201E"/>
    <w:rsid w:val="00555291"/>
    <w:rsid w:val="00566AD1"/>
    <w:rsid w:val="00570D23"/>
    <w:rsid w:val="00583EDE"/>
    <w:rsid w:val="005A6079"/>
    <w:rsid w:val="005A79B2"/>
    <w:rsid w:val="005B5830"/>
    <w:rsid w:val="005D6E80"/>
    <w:rsid w:val="005E4698"/>
    <w:rsid w:val="00610539"/>
    <w:rsid w:val="00613969"/>
    <w:rsid w:val="00625C35"/>
    <w:rsid w:val="00655901"/>
    <w:rsid w:val="00656313"/>
    <w:rsid w:val="006565F4"/>
    <w:rsid w:val="00667810"/>
    <w:rsid w:val="006747D5"/>
    <w:rsid w:val="00677677"/>
    <w:rsid w:val="00682ABE"/>
    <w:rsid w:val="00684EEA"/>
    <w:rsid w:val="00694789"/>
    <w:rsid w:val="0069689B"/>
    <w:rsid w:val="006A1551"/>
    <w:rsid w:val="006B5FF5"/>
    <w:rsid w:val="006C5595"/>
    <w:rsid w:val="006D6ABB"/>
    <w:rsid w:val="006F30AF"/>
    <w:rsid w:val="00701759"/>
    <w:rsid w:val="00703B27"/>
    <w:rsid w:val="00705C15"/>
    <w:rsid w:val="0071345B"/>
    <w:rsid w:val="0071600E"/>
    <w:rsid w:val="007208D1"/>
    <w:rsid w:val="007213AA"/>
    <w:rsid w:val="00733BF1"/>
    <w:rsid w:val="00747288"/>
    <w:rsid w:val="00747DD3"/>
    <w:rsid w:val="007549C8"/>
    <w:rsid w:val="00754A0B"/>
    <w:rsid w:val="00766D14"/>
    <w:rsid w:val="00767A0F"/>
    <w:rsid w:val="00777B5C"/>
    <w:rsid w:val="007A05F6"/>
    <w:rsid w:val="007B0FC6"/>
    <w:rsid w:val="007B6F4A"/>
    <w:rsid w:val="007D0853"/>
    <w:rsid w:val="007E1C47"/>
    <w:rsid w:val="007E337A"/>
    <w:rsid w:val="007E5C70"/>
    <w:rsid w:val="007F2FF5"/>
    <w:rsid w:val="007F3F08"/>
    <w:rsid w:val="00804CC6"/>
    <w:rsid w:val="00811854"/>
    <w:rsid w:val="00817190"/>
    <w:rsid w:val="00820EE5"/>
    <w:rsid w:val="00825F7F"/>
    <w:rsid w:val="008260E2"/>
    <w:rsid w:val="00826C29"/>
    <w:rsid w:val="008322BD"/>
    <w:rsid w:val="008336D4"/>
    <w:rsid w:val="00833E0A"/>
    <w:rsid w:val="00834F73"/>
    <w:rsid w:val="0084335F"/>
    <w:rsid w:val="00864CF8"/>
    <w:rsid w:val="00872819"/>
    <w:rsid w:val="00874914"/>
    <w:rsid w:val="00891422"/>
    <w:rsid w:val="00892E1A"/>
    <w:rsid w:val="008943AE"/>
    <w:rsid w:val="008972B2"/>
    <w:rsid w:val="008A3F29"/>
    <w:rsid w:val="008A4566"/>
    <w:rsid w:val="008B120F"/>
    <w:rsid w:val="008B660A"/>
    <w:rsid w:val="008C01DA"/>
    <w:rsid w:val="008D2FFD"/>
    <w:rsid w:val="008D302E"/>
    <w:rsid w:val="008E0958"/>
    <w:rsid w:val="008E0C4B"/>
    <w:rsid w:val="008F3E4E"/>
    <w:rsid w:val="008F78E9"/>
    <w:rsid w:val="00911989"/>
    <w:rsid w:val="009135F2"/>
    <w:rsid w:val="009179F9"/>
    <w:rsid w:val="00933E5E"/>
    <w:rsid w:val="00935218"/>
    <w:rsid w:val="009403F3"/>
    <w:rsid w:val="00940621"/>
    <w:rsid w:val="009555B7"/>
    <w:rsid w:val="009567AA"/>
    <w:rsid w:val="00967374"/>
    <w:rsid w:val="00993B30"/>
    <w:rsid w:val="009A343A"/>
    <w:rsid w:val="009B2F23"/>
    <w:rsid w:val="009B57B3"/>
    <w:rsid w:val="009C5B92"/>
    <w:rsid w:val="009D278F"/>
    <w:rsid w:val="009D2920"/>
    <w:rsid w:val="009D5AEB"/>
    <w:rsid w:val="009F0E33"/>
    <w:rsid w:val="009F4A29"/>
    <w:rsid w:val="00A030CE"/>
    <w:rsid w:val="00A05CB8"/>
    <w:rsid w:val="00A149DF"/>
    <w:rsid w:val="00A1755C"/>
    <w:rsid w:val="00A21B90"/>
    <w:rsid w:val="00A26513"/>
    <w:rsid w:val="00A37779"/>
    <w:rsid w:val="00A41805"/>
    <w:rsid w:val="00A42DCD"/>
    <w:rsid w:val="00A52AFB"/>
    <w:rsid w:val="00A548CB"/>
    <w:rsid w:val="00A5521C"/>
    <w:rsid w:val="00A56C79"/>
    <w:rsid w:val="00A643E7"/>
    <w:rsid w:val="00A73C38"/>
    <w:rsid w:val="00A775BB"/>
    <w:rsid w:val="00AB670D"/>
    <w:rsid w:val="00AC374C"/>
    <w:rsid w:val="00AF03C5"/>
    <w:rsid w:val="00B000D8"/>
    <w:rsid w:val="00B00F75"/>
    <w:rsid w:val="00B02402"/>
    <w:rsid w:val="00B145B6"/>
    <w:rsid w:val="00B279EB"/>
    <w:rsid w:val="00B50C81"/>
    <w:rsid w:val="00B557F8"/>
    <w:rsid w:val="00B63FE6"/>
    <w:rsid w:val="00B70AF4"/>
    <w:rsid w:val="00B76E45"/>
    <w:rsid w:val="00B77595"/>
    <w:rsid w:val="00B815FC"/>
    <w:rsid w:val="00B93FBC"/>
    <w:rsid w:val="00BA7DA0"/>
    <w:rsid w:val="00BB2EE4"/>
    <w:rsid w:val="00BC2108"/>
    <w:rsid w:val="00BD0E9E"/>
    <w:rsid w:val="00BD1BEC"/>
    <w:rsid w:val="00BD32FF"/>
    <w:rsid w:val="00BD44D6"/>
    <w:rsid w:val="00BF033C"/>
    <w:rsid w:val="00C02092"/>
    <w:rsid w:val="00C113C9"/>
    <w:rsid w:val="00C24D91"/>
    <w:rsid w:val="00C352BE"/>
    <w:rsid w:val="00C4564A"/>
    <w:rsid w:val="00C53F14"/>
    <w:rsid w:val="00C600CF"/>
    <w:rsid w:val="00C6084F"/>
    <w:rsid w:val="00C62A66"/>
    <w:rsid w:val="00C71458"/>
    <w:rsid w:val="00C77613"/>
    <w:rsid w:val="00C81649"/>
    <w:rsid w:val="00C828E7"/>
    <w:rsid w:val="00C86719"/>
    <w:rsid w:val="00C921DD"/>
    <w:rsid w:val="00CA6391"/>
    <w:rsid w:val="00CC34BD"/>
    <w:rsid w:val="00CC5CA2"/>
    <w:rsid w:val="00CE1322"/>
    <w:rsid w:val="00CE161A"/>
    <w:rsid w:val="00CE3171"/>
    <w:rsid w:val="00CE7A42"/>
    <w:rsid w:val="00CF1601"/>
    <w:rsid w:val="00D0172F"/>
    <w:rsid w:val="00D068A7"/>
    <w:rsid w:val="00D17476"/>
    <w:rsid w:val="00D25110"/>
    <w:rsid w:val="00D32086"/>
    <w:rsid w:val="00D37A3F"/>
    <w:rsid w:val="00D43A05"/>
    <w:rsid w:val="00D4431D"/>
    <w:rsid w:val="00D4667A"/>
    <w:rsid w:val="00D46866"/>
    <w:rsid w:val="00D61A87"/>
    <w:rsid w:val="00D63A1C"/>
    <w:rsid w:val="00D7516F"/>
    <w:rsid w:val="00D8579F"/>
    <w:rsid w:val="00D91C6B"/>
    <w:rsid w:val="00D92FA8"/>
    <w:rsid w:val="00D94C28"/>
    <w:rsid w:val="00D95F8E"/>
    <w:rsid w:val="00DA0590"/>
    <w:rsid w:val="00DB46AB"/>
    <w:rsid w:val="00DB7BEA"/>
    <w:rsid w:val="00DC1739"/>
    <w:rsid w:val="00DC1788"/>
    <w:rsid w:val="00DE319C"/>
    <w:rsid w:val="00DF0CA8"/>
    <w:rsid w:val="00DF2B48"/>
    <w:rsid w:val="00DF49A7"/>
    <w:rsid w:val="00E058BD"/>
    <w:rsid w:val="00E07EE2"/>
    <w:rsid w:val="00E07FD1"/>
    <w:rsid w:val="00E24573"/>
    <w:rsid w:val="00E25506"/>
    <w:rsid w:val="00E25E1E"/>
    <w:rsid w:val="00E27EE7"/>
    <w:rsid w:val="00E35404"/>
    <w:rsid w:val="00E45109"/>
    <w:rsid w:val="00E47B7A"/>
    <w:rsid w:val="00E56A44"/>
    <w:rsid w:val="00E60269"/>
    <w:rsid w:val="00E77932"/>
    <w:rsid w:val="00E97830"/>
    <w:rsid w:val="00EE643C"/>
    <w:rsid w:val="00EF0683"/>
    <w:rsid w:val="00EF36E2"/>
    <w:rsid w:val="00EF69D2"/>
    <w:rsid w:val="00EF766E"/>
    <w:rsid w:val="00F0070C"/>
    <w:rsid w:val="00F00EB7"/>
    <w:rsid w:val="00F17FAE"/>
    <w:rsid w:val="00F31702"/>
    <w:rsid w:val="00F36AB6"/>
    <w:rsid w:val="00F37A09"/>
    <w:rsid w:val="00F409CE"/>
    <w:rsid w:val="00F4379D"/>
    <w:rsid w:val="00F50D2D"/>
    <w:rsid w:val="00F56C8B"/>
    <w:rsid w:val="00F66810"/>
    <w:rsid w:val="00F846D9"/>
    <w:rsid w:val="00F84DF4"/>
    <w:rsid w:val="00F85C97"/>
    <w:rsid w:val="00F96108"/>
    <w:rsid w:val="00FB047F"/>
    <w:rsid w:val="00FB37D2"/>
    <w:rsid w:val="00FC4EFB"/>
    <w:rsid w:val="00FD068D"/>
    <w:rsid w:val="00FD4F28"/>
    <w:rsid w:val="00FE6784"/>
    <w:rsid w:val="00FF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667810"/>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italic1">
    <w:name w:val="italic1"/>
    <w:basedOn w:val="DefaultParagraphFont"/>
    <w:rsid w:val="00667810"/>
    <w:rPr>
      <w:i/>
      <w:iCs/>
    </w:rPr>
  </w:style>
  <w:style w:type="paragraph" w:customStyle="1" w:styleId="SCCLsocOtherPartyRoleSeparator">
    <w:name w:val="SCC.Lsoc.OtherPartyRoleSeparator"/>
    <w:basedOn w:val="Normal"/>
    <w:next w:val="Normal"/>
    <w:link w:val="SCCLsocOtherPartyRoleSeparatorChar"/>
    <w:rsid w:val="007213AA"/>
    <w:pPr>
      <w:spacing w:after="480"/>
    </w:pPr>
    <w:rPr>
      <w:rFonts w:eastAsiaTheme="minorHAnsi" w:cstheme="minorBidi"/>
      <w:szCs w:val="22"/>
      <w:lang w:eastAsia="en-US"/>
    </w:rPr>
  </w:style>
  <w:style w:type="paragraph" w:customStyle="1" w:styleId="SCCCoram">
    <w:name w:val="SCC.Coram"/>
    <w:basedOn w:val="Normal"/>
    <w:next w:val="Normal"/>
    <w:link w:val="SCCCoramChar"/>
    <w:rsid w:val="007213A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213A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213AA"/>
    <w:rPr>
      <w:rFonts w:eastAsiaTheme="minorHAnsi" w:cstheme="minorBidi"/>
      <w:sz w:val="24"/>
      <w:szCs w:val="22"/>
      <w:lang w:eastAsia="en-US"/>
    </w:rPr>
  </w:style>
  <w:style w:type="character" w:customStyle="1" w:styleId="SCCBanSummaryChar">
    <w:name w:val="SCC.BanSummary Char"/>
    <w:basedOn w:val="DefaultParagraphFont"/>
    <w:link w:val="SCCBanSummary"/>
    <w:rsid w:val="007213AA"/>
    <w:rPr>
      <w:b/>
      <w:sz w:val="24"/>
    </w:rPr>
  </w:style>
  <w:style w:type="table" w:styleId="TableGrid">
    <w:name w:val="Table Grid"/>
    <w:basedOn w:val="TableNormal"/>
    <w:uiPriority w:val="59"/>
    <w:rsid w:val="007213A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213A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213A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213AA"/>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213AA"/>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213AA"/>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213AA"/>
    <w:pPr>
      <w:numPr>
        <w:ilvl w:val="2"/>
      </w:numPr>
    </w:pPr>
  </w:style>
  <w:style w:type="paragraph" w:customStyle="1" w:styleId="Title4LevelTitre4Niveau">
    <w:name w:val="Title 4 Level / Titre 4 Niveau"/>
    <w:basedOn w:val="Title3LevelTitre3Niveau"/>
    <w:next w:val="ParaNoNdepar-AltN"/>
    <w:uiPriority w:val="4"/>
    <w:qFormat/>
    <w:rsid w:val="007213AA"/>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7213AA"/>
    <w:pPr>
      <w:numPr>
        <w:ilvl w:val="4"/>
      </w:numPr>
    </w:pPr>
  </w:style>
  <w:style w:type="paragraph" w:styleId="TOC1">
    <w:name w:val="toc 1"/>
    <w:basedOn w:val="Normal"/>
    <w:next w:val="Normal"/>
    <w:autoRedefine/>
    <w:uiPriority w:val="39"/>
    <w:unhideWhenUsed/>
    <w:rsid w:val="007213A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213A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213A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213A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213A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213AA"/>
    <w:pPr>
      <w:tabs>
        <w:tab w:val="left" w:pos="2160"/>
        <w:tab w:val="right" w:leader="dot" w:pos="8270"/>
      </w:tabs>
      <w:spacing w:after="100"/>
      <w:ind w:left="1800"/>
    </w:pPr>
    <w:rPr>
      <w:noProof/>
    </w:rPr>
  </w:style>
  <w:style w:type="table" w:customStyle="1" w:styleId="TableGrid1">
    <w:name w:val="Table Grid1"/>
    <w:basedOn w:val="TableNormal"/>
    <w:uiPriority w:val="59"/>
    <w:rsid w:val="007213A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213AA"/>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213AA"/>
    <w:pPr>
      <w:numPr>
        <w:ilvl w:val="5"/>
      </w:numPr>
    </w:pPr>
    <w:rPr>
      <w:i/>
      <w:u w:val="none"/>
    </w:rPr>
  </w:style>
  <w:style w:type="paragraph" w:styleId="ListParagraph">
    <w:name w:val="List Paragraph"/>
    <w:basedOn w:val="Normal"/>
    <w:uiPriority w:val="34"/>
    <w:qFormat/>
    <w:rsid w:val="007213AA"/>
    <w:pPr>
      <w:ind w:left="720"/>
      <w:contextualSpacing/>
    </w:pPr>
    <w:rPr>
      <w:rFonts w:eastAsiaTheme="minorHAnsi" w:cstheme="minorBidi"/>
      <w:szCs w:val="22"/>
      <w:lang w:eastAsia="en-US"/>
    </w:rPr>
  </w:style>
  <w:style w:type="character" w:styleId="CommentReference">
    <w:name w:val="annotation reference"/>
    <w:basedOn w:val="DefaultParagraphFont"/>
    <w:uiPriority w:val="99"/>
    <w:semiHidden/>
    <w:unhideWhenUsed/>
    <w:rsid w:val="007213AA"/>
    <w:rPr>
      <w:sz w:val="16"/>
      <w:szCs w:val="16"/>
    </w:rPr>
  </w:style>
  <w:style w:type="paragraph" w:styleId="CommentText">
    <w:name w:val="annotation text"/>
    <w:basedOn w:val="Normal"/>
    <w:link w:val="CommentTextChar"/>
    <w:uiPriority w:val="99"/>
    <w:unhideWhenUsed/>
    <w:rsid w:val="007213AA"/>
    <w:rPr>
      <w:sz w:val="20"/>
    </w:rPr>
  </w:style>
  <w:style w:type="character" w:customStyle="1" w:styleId="CommentTextChar">
    <w:name w:val="Comment Text Char"/>
    <w:basedOn w:val="DefaultParagraphFont"/>
    <w:link w:val="CommentText"/>
    <w:uiPriority w:val="99"/>
    <w:rsid w:val="007213AA"/>
  </w:style>
  <w:style w:type="paragraph" w:styleId="CommentSubject">
    <w:name w:val="annotation subject"/>
    <w:basedOn w:val="CommentText"/>
    <w:next w:val="CommentText"/>
    <w:link w:val="CommentSubjectChar"/>
    <w:uiPriority w:val="99"/>
    <w:semiHidden/>
    <w:unhideWhenUsed/>
    <w:rsid w:val="007213AA"/>
    <w:rPr>
      <w:b/>
      <w:bCs/>
    </w:rPr>
  </w:style>
  <w:style w:type="character" w:customStyle="1" w:styleId="CommentSubjectChar">
    <w:name w:val="Comment Subject Char"/>
    <w:basedOn w:val="CommentTextChar"/>
    <w:link w:val="CommentSubject"/>
    <w:uiPriority w:val="99"/>
    <w:semiHidden/>
    <w:rsid w:val="007213AA"/>
    <w:rPr>
      <w:b/>
      <w:bCs/>
    </w:rPr>
  </w:style>
  <w:style w:type="paragraph" w:styleId="FootnoteText">
    <w:name w:val="footnote text"/>
    <w:basedOn w:val="Normal"/>
    <w:link w:val="FootnoteTextChar"/>
    <w:uiPriority w:val="99"/>
    <w:semiHidden/>
    <w:unhideWhenUsed/>
    <w:rsid w:val="007213AA"/>
    <w:rPr>
      <w:sz w:val="20"/>
    </w:rPr>
  </w:style>
  <w:style w:type="character" w:customStyle="1" w:styleId="FootnoteTextChar">
    <w:name w:val="Footnote Text Char"/>
    <w:basedOn w:val="DefaultParagraphFont"/>
    <w:link w:val="FootnoteText"/>
    <w:uiPriority w:val="99"/>
    <w:semiHidden/>
    <w:rsid w:val="007213AA"/>
  </w:style>
  <w:style w:type="character" w:styleId="FootnoteReference">
    <w:name w:val="footnote reference"/>
    <w:basedOn w:val="DefaultParagraphFont"/>
    <w:uiPriority w:val="99"/>
    <w:semiHidden/>
    <w:unhideWhenUsed/>
    <w:rsid w:val="007213AA"/>
    <w:rPr>
      <w:vertAlign w:val="superscript"/>
    </w:rPr>
  </w:style>
  <w:style w:type="character" w:styleId="Hyperlink">
    <w:name w:val="Hyperlink"/>
    <w:basedOn w:val="DefaultParagraphFont"/>
    <w:uiPriority w:val="99"/>
    <w:unhideWhenUsed/>
    <w:rsid w:val="007213AA"/>
    <w:rPr>
      <w:color w:val="0000FF" w:themeColor="hyperlink"/>
      <w:u w:val="single"/>
    </w:rPr>
  </w:style>
  <w:style w:type="paragraph" w:styleId="Revision">
    <w:name w:val="Revision"/>
    <w:hidden/>
    <w:uiPriority w:val="99"/>
    <w:semiHidden/>
    <w:rsid w:val="007213AA"/>
    <w:rPr>
      <w:sz w:val="24"/>
      <w:szCs w:val="24"/>
    </w:rPr>
  </w:style>
  <w:style w:type="character" w:customStyle="1" w:styleId="SCCLsocPartyRoleChar">
    <w:name w:val="SCC.Lsoc.PartyRole Char"/>
    <w:basedOn w:val="DefaultParagraphFont"/>
    <w:rsid w:val="00151A6F"/>
    <w:rPr>
      <w:lang w:val="en-CA"/>
    </w:rPr>
  </w:style>
  <w:style w:type="paragraph" w:customStyle="1" w:styleId="SCCLsocPrefix">
    <w:name w:val="SCC.Lsoc.Prefix"/>
    <w:basedOn w:val="Normal"/>
    <w:next w:val="Normal"/>
    <w:link w:val="SCCLsocPrefixChar"/>
    <w:rsid w:val="00151A6F"/>
    <w:rPr>
      <w:rFonts w:eastAsiaTheme="minorHAnsi" w:cstheme="minorBidi"/>
      <w:b/>
      <w:smallCaps/>
      <w:szCs w:val="24"/>
      <w:lang w:eastAsia="en-US"/>
    </w:rPr>
  </w:style>
  <w:style w:type="character" w:customStyle="1" w:styleId="SCCLsocPrefixChar">
    <w:name w:val="SCC.Lsoc.Prefix Char"/>
    <w:basedOn w:val="DefaultParagraphFont"/>
    <w:link w:val="SCCLsocPrefix"/>
    <w:rsid w:val="00151A6F"/>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86891">
      <w:bodyDiv w:val="1"/>
      <w:marLeft w:val="0"/>
      <w:marRight w:val="0"/>
      <w:marTop w:val="0"/>
      <w:marBottom w:val="0"/>
      <w:divBdr>
        <w:top w:val="none" w:sz="0" w:space="0" w:color="auto"/>
        <w:left w:val="none" w:sz="0" w:space="0" w:color="auto"/>
        <w:bottom w:val="none" w:sz="0" w:space="0" w:color="auto"/>
        <w:right w:val="none" w:sz="0" w:space="0" w:color="auto"/>
      </w:divBdr>
    </w:div>
    <w:div w:id="8713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7078</Words>
  <Characters>40348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2015-05-27T18:02:00Z</dcterms:created>
  <dcterms:modified xsi:type="dcterms:W3CDTF">2015-11-10T18:18:00Z</dcterms:modified>
</cp:coreProperties>
</file>