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ED" w:rsidRDefault="00DC11ED" w:rsidP="00DC11E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31247" r:id="rId8"/>
        </w:object>
      </w:r>
      <w:r>
        <w:t xml:space="preserve"> </w:t>
      </w:r>
      <w:r>
        <w:ptab w:relativeTo="margin" w:alignment="right" w:leader="none"/>
      </w:r>
    </w:p>
    <w:p w:rsidR="00DC11ED" w:rsidRDefault="00DC11ED" w:rsidP="00DC11ED">
      <w:pPr>
        <w:pStyle w:val="Header"/>
      </w:pPr>
    </w:p>
    <w:p w:rsidR="00DC11ED" w:rsidRPr="006B210C" w:rsidRDefault="00DC11ED" w:rsidP="00DC11ED">
      <w:pPr>
        <w:jc w:val="center"/>
        <w:rPr>
          <w:b/>
        </w:rPr>
      </w:pPr>
      <w:r w:rsidRPr="006B210C">
        <w:rPr>
          <w:b/>
        </w:rPr>
        <w:t>SUPREME COURT OF CANADA</w:t>
      </w:r>
    </w:p>
    <w:p w:rsidR="00DC11ED" w:rsidRDefault="00DC11ED" w:rsidP="00DC11E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C11ED" w:rsidRPr="006B210C" w:rsidTr="004F2792">
        <w:trPr>
          <w:cantSplit/>
        </w:trPr>
        <w:tc>
          <w:tcPr>
            <w:tcW w:w="6768" w:type="dxa"/>
          </w:tcPr>
          <w:p w:rsidR="00DC11ED" w:rsidRPr="00755DC5" w:rsidRDefault="00DC11ED" w:rsidP="00DC11ED">
            <w:pPr>
              <w:spacing w:after="720"/>
              <w:jc w:val="both"/>
              <w:rPr>
                <w:smallCaps/>
              </w:rPr>
            </w:pPr>
            <w:r w:rsidRPr="006B210C">
              <w:rPr>
                <w:b/>
                <w:smallCaps/>
              </w:rPr>
              <w:t>Citation</w:t>
            </w:r>
            <w:r>
              <w:rPr>
                <w:b/>
                <w:smallCaps/>
              </w:rPr>
              <w:t>:</w:t>
            </w:r>
            <w:r w:rsidRPr="006B210C">
              <w:t xml:space="preserve"> </w:t>
            </w:r>
            <w:proofErr w:type="spellStart"/>
            <w:r w:rsidRPr="0005030F">
              <w:t>Kahkewistahaw</w:t>
            </w:r>
            <w:proofErr w:type="spellEnd"/>
            <w:r w:rsidRPr="0005030F">
              <w:t xml:space="preserve"> First Nation </w:t>
            </w:r>
            <w:r w:rsidRPr="0005030F">
              <w:rPr>
                <w:i/>
              </w:rPr>
              <w:t>v.</w:t>
            </w:r>
            <w:r w:rsidRPr="0005030F">
              <w:t xml:space="preserve"> </w:t>
            </w:r>
            <w:proofErr w:type="spellStart"/>
            <w:r w:rsidRPr="0005030F">
              <w:t>Taypotat</w:t>
            </w:r>
            <w:proofErr w:type="spellEnd"/>
            <w:r>
              <w:t xml:space="preserve">, 2015 SCC 30, [2015] </w:t>
            </w:r>
            <w:r w:rsidR="00CE715F">
              <w:t xml:space="preserve">2 </w:t>
            </w:r>
            <w:r>
              <w:t>S.C.R. 548</w:t>
            </w:r>
          </w:p>
          <w:p w:rsidR="00DC11ED" w:rsidRPr="006B210C" w:rsidRDefault="00DC11ED" w:rsidP="004F2792"/>
        </w:tc>
        <w:tc>
          <w:tcPr>
            <w:tcW w:w="2808" w:type="dxa"/>
          </w:tcPr>
          <w:p w:rsidR="00DC11ED" w:rsidRPr="006B210C" w:rsidRDefault="00DC11ED" w:rsidP="004F2792">
            <w:r w:rsidRPr="006B210C">
              <w:rPr>
                <w:b/>
                <w:smallCaps/>
              </w:rPr>
              <w:t>Date</w:t>
            </w:r>
            <w:r>
              <w:rPr>
                <w:b/>
                <w:smallCaps/>
              </w:rPr>
              <w:t>:</w:t>
            </w:r>
            <w:r w:rsidRPr="006B210C">
              <w:t xml:space="preserve"> </w:t>
            </w:r>
            <w:r>
              <w:t>20150528</w:t>
            </w:r>
          </w:p>
          <w:p w:rsidR="00DC11ED" w:rsidRPr="006B210C" w:rsidRDefault="00DC11ED" w:rsidP="004F2792">
            <w:r w:rsidRPr="006B210C">
              <w:rPr>
                <w:b/>
                <w:smallCaps/>
              </w:rPr>
              <w:t>Docket</w:t>
            </w:r>
            <w:r>
              <w:rPr>
                <w:b/>
                <w:smallCaps/>
              </w:rPr>
              <w:t>:</w:t>
            </w:r>
            <w:r w:rsidRPr="006B210C">
              <w:t xml:space="preserve"> </w:t>
            </w:r>
            <w:r>
              <w:t>35518</w:t>
            </w:r>
          </w:p>
        </w:tc>
      </w:tr>
    </w:tbl>
    <w:p w:rsidR="00DC11ED" w:rsidRDefault="00DC11ED" w:rsidP="00DC11ED">
      <w:pPr>
        <w:pStyle w:val="SCCLsocPrefix"/>
      </w:pPr>
      <w:r>
        <w:t>Between:</w:t>
      </w:r>
    </w:p>
    <w:p w:rsidR="00433CBD" w:rsidRDefault="00DC11ED" w:rsidP="00DC11ED">
      <w:pPr>
        <w:pStyle w:val="SCCLsocParty"/>
        <w:jc w:val="center"/>
      </w:pPr>
      <w:r>
        <w:t xml:space="preserve">Chief Sheldon </w:t>
      </w:r>
      <w:proofErr w:type="spellStart"/>
      <w:r>
        <w:t>Taypotat</w:t>
      </w:r>
      <w:proofErr w:type="spellEnd"/>
      <w:r>
        <w:t xml:space="preserve">, Michael Bob, Janice McKay, Iris </w:t>
      </w:r>
      <w:proofErr w:type="spellStart"/>
      <w:r>
        <w:t>Taypotat</w:t>
      </w:r>
      <w:proofErr w:type="spellEnd"/>
      <w:r>
        <w:t xml:space="preserve"> </w:t>
      </w:r>
    </w:p>
    <w:p w:rsidR="00433CBD" w:rsidRDefault="00DC11ED" w:rsidP="00DC11ED">
      <w:pPr>
        <w:pStyle w:val="SCCLsocParty"/>
        <w:jc w:val="center"/>
      </w:pPr>
      <w:proofErr w:type="gramStart"/>
      <w:r>
        <w:t>and</w:t>
      </w:r>
      <w:proofErr w:type="gramEnd"/>
      <w:r>
        <w:t xml:space="preserve"> Vera </w:t>
      </w:r>
      <w:proofErr w:type="spellStart"/>
      <w:r>
        <w:t>Wasacase</w:t>
      </w:r>
      <w:proofErr w:type="spellEnd"/>
      <w:r>
        <w:t xml:space="preserve"> as Chief and Council Representatives </w:t>
      </w:r>
    </w:p>
    <w:p w:rsidR="00DC11ED" w:rsidRDefault="00DC11ED" w:rsidP="00DC11ED">
      <w:pPr>
        <w:pStyle w:val="SCCLsocParty"/>
        <w:jc w:val="center"/>
      </w:pPr>
      <w:proofErr w:type="gramStart"/>
      <w:r>
        <w:t>of</w:t>
      </w:r>
      <w:proofErr w:type="gramEnd"/>
      <w:r>
        <w:t xml:space="preserve"> the </w:t>
      </w:r>
      <w:proofErr w:type="spellStart"/>
      <w:r>
        <w:t>Kahkewistahaw</w:t>
      </w:r>
      <w:proofErr w:type="spellEnd"/>
      <w:r>
        <w:t xml:space="preserve"> First Nation</w:t>
      </w:r>
    </w:p>
    <w:p w:rsidR="00DC11ED" w:rsidRDefault="00DC11ED" w:rsidP="00DC11ED">
      <w:pPr>
        <w:jc w:val="center"/>
      </w:pPr>
      <w:r>
        <w:t>Appellants</w:t>
      </w:r>
    </w:p>
    <w:p w:rsidR="00DC11ED" w:rsidRPr="00DC11ED" w:rsidRDefault="00DC11ED" w:rsidP="00DC11ED">
      <w:pPr>
        <w:pStyle w:val="SCCLsocVersus"/>
        <w:spacing w:after="0"/>
        <w:jc w:val="center"/>
        <w:rPr>
          <w:i w:val="0"/>
        </w:rPr>
      </w:pPr>
      <w:proofErr w:type="gramStart"/>
      <w:r w:rsidRPr="00DC11ED">
        <w:rPr>
          <w:i w:val="0"/>
        </w:rPr>
        <w:t>and</w:t>
      </w:r>
      <w:proofErr w:type="gramEnd"/>
    </w:p>
    <w:p w:rsidR="00DC11ED" w:rsidRDefault="00DC11ED" w:rsidP="00DC11ED">
      <w:pPr>
        <w:pStyle w:val="SCCLsocParty"/>
        <w:jc w:val="center"/>
      </w:pPr>
      <w:r>
        <w:t xml:space="preserve">Louis </w:t>
      </w:r>
      <w:proofErr w:type="spellStart"/>
      <w:r>
        <w:t>Taypotat</w:t>
      </w:r>
      <w:proofErr w:type="spellEnd"/>
    </w:p>
    <w:p w:rsidR="00DC11ED" w:rsidRDefault="00DC11ED" w:rsidP="00DC11ED">
      <w:pPr>
        <w:jc w:val="center"/>
      </w:pPr>
      <w:r>
        <w:t>Respondent</w:t>
      </w:r>
    </w:p>
    <w:p w:rsidR="00DC11ED" w:rsidRPr="006B210C" w:rsidRDefault="00DC11ED" w:rsidP="00DC11ED"/>
    <w:p w:rsidR="00DC11ED" w:rsidRPr="006B210C" w:rsidRDefault="00DC11ED" w:rsidP="00DC11ED">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DC11ED" w:rsidRPr="006B210C" w:rsidRDefault="00DC11ED" w:rsidP="00DC11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C11ED" w:rsidRPr="006B210C" w:rsidTr="004F2792">
        <w:trPr>
          <w:cantSplit/>
        </w:trPr>
        <w:tc>
          <w:tcPr>
            <w:tcW w:w="3618" w:type="dxa"/>
          </w:tcPr>
          <w:p w:rsidR="00DC11ED" w:rsidRDefault="00DC11ED" w:rsidP="004F2792">
            <w:pPr>
              <w:rPr>
                <w:b/>
                <w:smallCaps/>
              </w:rPr>
            </w:pPr>
            <w:r w:rsidRPr="006B210C">
              <w:rPr>
                <w:b/>
                <w:smallCaps/>
              </w:rPr>
              <w:t>Reasons for Judgment</w:t>
            </w:r>
            <w:r>
              <w:rPr>
                <w:b/>
                <w:smallCaps/>
              </w:rPr>
              <w:t>:</w:t>
            </w:r>
          </w:p>
          <w:p w:rsidR="00DC11ED" w:rsidRPr="006B210C" w:rsidRDefault="00DC11ED" w:rsidP="004F2792">
            <w:r>
              <w:t>(paras. 1 to 35)</w:t>
            </w:r>
          </w:p>
        </w:tc>
        <w:tc>
          <w:tcPr>
            <w:tcW w:w="5958" w:type="dxa"/>
          </w:tcPr>
          <w:p w:rsidR="00DC11ED" w:rsidRPr="006B210C" w:rsidRDefault="00DC11ED" w:rsidP="004F2792">
            <w:proofErr w:type="spellStart"/>
            <w:r>
              <w:t>Abella</w:t>
            </w:r>
            <w:proofErr w:type="spellEnd"/>
            <w:r>
              <w:t xml:space="preserve"> J. (</w:t>
            </w:r>
            <w:proofErr w:type="spellStart"/>
            <w:r>
              <w:t>McLachlin</w:t>
            </w:r>
            <w:proofErr w:type="spellEnd"/>
            <w:r>
              <w:t xml:space="preserve"> C.J. and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xml:space="preserve"> JJ. concurring)</w:t>
            </w:r>
          </w:p>
        </w:tc>
      </w:tr>
    </w:tbl>
    <w:p w:rsidR="00DC11ED" w:rsidRDefault="00DC11ED" w:rsidP="00DC11ED"/>
    <w:p w:rsidR="00DC11ED" w:rsidRPr="006B210C" w:rsidRDefault="00DC11ED" w:rsidP="00DC11ED"/>
    <w:p w:rsidR="00DC11ED" w:rsidRPr="006B210C" w:rsidRDefault="00696BE9" w:rsidP="00DC11ED">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DC11ED" w:rsidRDefault="00DC11ED" w:rsidP="00E906DC">
      <w:pPr>
        <w:spacing w:after="720"/>
        <w:jc w:val="both"/>
        <w:rPr>
          <w:rStyle w:val="SCCAppellantForRunningHeadChar"/>
          <w:smallCaps w:val="0"/>
        </w:rPr>
      </w:pPr>
    </w:p>
    <w:p w:rsidR="008322BD" w:rsidRPr="00755DC5" w:rsidRDefault="00755DC5" w:rsidP="00E906DC">
      <w:pPr>
        <w:spacing w:after="720"/>
        <w:jc w:val="both"/>
        <w:rPr>
          <w:smallCaps/>
        </w:rPr>
      </w:pPr>
      <w:proofErr w:type="spellStart"/>
      <w:r>
        <w:rPr>
          <w:rStyle w:val="SCCAppellantForRunningHeadChar"/>
          <w:smallCaps w:val="0"/>
        </w:rPr>
        <w:t>Kahkewistahaw</w:t>
      </w:r>
      <w:proofErr w:type="spellEnd"/>
      <w:r>
        <w:rPr>
          <w:rStyle w:val="SCCAppellantForRunningHeadChar"/>
          <w:smallCaps w:val="0"/>
        </w:rPr>
        <w:t xml:space="preserve"> First N</w:t>
      </w:r>
      <w:r w:rsidR="00846913" w:rsidRPr="00755DC5">
        <w:rPr>
          <w:rStyle w:val="SCCAppellantForRunningHeadChar"/>
          <w:smallCaps w:val="0"/>
        </w:rPr>
        <w:t>ation</w:t>
      </w:r>
      <w:r w:rsidR="00480C90" w:rsidRPr="00755DC5">
        <w:rPr>
          <w:smallCaps/>
        </w:rPr>
        <w:t xml:space="preserve"> </w:t>
      </w:r>
      <w:r w:rsidR="009B57B3" w:rsidRPr="00755DC5">
        <w:rPr>
          <w:i/>
        </w:rPr>
        <w:t>v</w:t>
      </w:r>
      <w:r w:rsidR="009B57B3" w:rsidRPr="00755DC5">
        <w:rPr>
          <w:i/>
          <w:smallCaps/>
        </w:rPr>
        <w:t>.</w:t>
      </w:r>
      <w:r w:rsidR="00B000D8" w:rsidRPr="00755DC5">
        <w:rPr>
          <w:smallCaps/>
        </w:rPr>
        <w:t xml:space="preserve"> </w:t>
      </w:r>
      <w:proofErr w:type="spellStart"/>
      <w:r>
        <w:rPr>
          <w:rStyle w:val="SCCRespondentForRunningHeadChar"/>
          <w:smallCaps w:val="0"/>
        </w:rPr>
        <w:t>T</w:t>
      </w:r>
      <w:r w:rsidR="008F78E9" w:rsidRPr="00755DC5">
        <w:rPr>
          <w:rStyle w:val="SCCRespondentForRunningHeadChar"/>
          <w:smallCaps w:val="0"/>
        </w:rPr>
        <w:t>aypotat</w:t>
      </w:r>
      <w:proofErr w:type="spellEnd"/>
      <w:r>
        <w:rPr>
          <w:rStyle w:val="SCCRespondentForRunningHeadChar"/>
          <w:smallCaps w:val="0"/>
        </w:rPr>
        <w:t xml:space="preserve">, </w:t>
      </w:r>
      <w:r w:rsidRPr="0098677F">
        <w:t>2015 SCC</w:t>
      </w:r>
      <w:r>
        <w:t xml:space="preserve"> </w:t>
      </w:r>
      <w:r w:rsidRPr="0098677F">
        <w:t>30</w:t>
      </w:r>
      <w:r>
        <w:t xml:space="preserve">, [2015] </w:t>
      </w:r>
      <w:r w:rsidR="00696BE9">
        <w:t xml:space="preserve">2 </w:t>
      </w:r>
      <w:bookmarkStart w:id="0" w:name="_GoBack"/>
      <w:bookmarkEnd w:id="0"/>
      <w:r>
        <w:t>S.C.R. 548</w:t>
      </w:r>
    </w:p>
    <w:p w:rsidR="00846913" w:rsidRPr="0098677F" w:rsidRDefault="00766BDC" w:rsidP="00846913">
      <w:pPr>
        <w:pStyle w:val="SCCLsocParty"/>
      </w:pPr>
      <w:r w:rsidRPr="0098677F">
        <w:t xml:space="preserve">Chief Sheldon </w:t>
      </w:r>
      <w:proofErr w:type="spellStart"/>
      <w:r w:rsidRPr="0098677F">
        <w:t>Taypotat</w:t>
      </w:r>
      <w:proofErr w:type="spellEnd"/>
      <w:r w:rsidRPr="0098677F">
        <w:t>,</w:t>
      </w:r>
      <w:r w:rsidR="00846913" w:rsidRPr="0098677F">
        <w:t xml:space="preserve"> </w:t>
      </w:r>
      <w:r w:rsidRPr="0098677F">
        <w:t xml:space="preserve">Michael Bob, Janice McKay, </w:t>
      </w:r>
    </w:p>
    <w:p w:rsidR="00846913" w:rsidRPr="0098677F" w:rsidRDefault="00766BDC" w:rsidP="00846913">
      <w:pPr>
        <w:pStyle w:val="SCCLsocParty"/>
      </w:pPr>
      <w:r w:rsidRPr="0098677F">
        <w:t xml:space="preserve">Iris </w:t>
      </w:r>
      <w:proofErr w:type="spellStart"/>
      <w:r w:rsidRPr="0098677F">
        <w:t>Taypotat</w:t>
      </w:r>
      <w:proofErr w:type="spellEnd"/>
      <w:r w:rsidRPr="0098677F">
        <w:t xml:space="preserve"> and Vera </w:t>
      </w:r>
      <w:proofErr w:type="spellStart"/>
      <w:r w:rsidRPr="0098677F">
        <w:t>Wasacase</w:t>
      </w:r>
      <w:proofErr w:type="spellEnd"/>
      <w:r w:rsidRPr="0098677F">
        <w:t xml:space="preserve"> as Chief and Council </w:t>
      </w:r>
    </w:p>
    <w:p w:rsidR="00F761A9" w:rsidRPr="0098677F" w:rsidRDefault="00A8030C" w:rsidP="00E906DC">
      <w:pPr>
        <w:pStyle w:val="SCCLsocParty"/>
        <w:spacing w:after="720"/>
        <w:rPr>
          <w:rStyle w:val="SCCLsocPartyRole"/>
        </w:rPr>
      </w:pPr>
      <w:r w:rsidRPr="0098677F">
        <w:t>Representatives</w:t>
      </w:r>
      <w:r w:rsidR="00766BDC" w:rsidRPr="0098677F">
        <w:t xml:space="preserve"> of the </w:t>
      </w:r>
      <w:proofErr w:type="spellStart"/>
      <w:r w:rsidR="00766BDC" w:rsidRPr="0098677F">
        <w:t>Kahkewistahaw</w:t>
      </w:r>
      <w:proofErr w:type="spellEnd"/>
      <w:r w:rsidR="00766BDC" w:rsidRPr="0098677F">
        <w:t xml:space="preserve"> First Nation</w:t>
      </w:r>
      <w:r w:rsidR="00766BDC" w:rsidRPr="0098677F">
        <w:rPr>
          <w:rStyle w:val="SCCLsocPartyRole"/>
        </w:rPr>
        <w:tab/>
        <w:t>Appellants</w:t>
      </w:r>
    </w:p>
    <w:p w:rsidR="00F761A9" w:rsidRPr="0098677F" w:rsidRDefault="00766BDC">
      <w:pPr>
        <w:pStyle w:val="SCCLsocVersus"/>
      </w:pPr>
      <w:proofErr w:type="gramStart"/>
      <w:r w:rsidRPr="0098677F">
        <w:t>v</w:t>
      </w:r>
      <w:proofErr w:type="gramEnd"/>
      <w:r w:rsidRPr="0098677F">
        <w:t>.</w:t>
      </w:r>
    </w:p>
    <w:p w:rsidR="00F761A9" w:rsidRPr="0098677F" w:rsidRDefault="00766BDC">
      <w:pPr>
        <w:pStyle w:val="SCCLsocLastPartyInRole"/>
      </w:pPr>
      <w:r w:rsidRPr="0098677F">
        <w:lastRenderedPageBreak/>
        <w:t xml:space="preserve">Louis </w:t>
      </w:r>
      <w:proofErr w:type="spellStart"/>
      <w:r w:rsidRPr="0098677F">
        <w:t>Taypotat</w:t>
      </w:r>
      <w:proofErr w:type="spellEnd"/>
      <w:r w:rsidRPr="0098677F">
        <w:rPr>
          <w:rStyle w:val="SCCLsocPartyRole"/>
        </w:rPr>
        <w:tab/>
        <w:t>Respondent</w:t>
      </w:r>
    </w:p>
    <w:p w:rsidR="00426659" w:rsidRPr="0098677F" w:rsidRDefault="00426659" w:rsidP="00E906DC">
      <w:pPr>
        <w:spacing w:after="720"/>
        <w:jc w:val="both"/>
        <w:rPr>
          <w:b/>
        </w:rPr>
      </w:pPr>
      <w:r w:rsidRPr="0098677F">
        <w:rPr>
          <w:b/>
        </w:rPr>
        <w:t xml:space="preserve">Indexed as: </w:t>
      </w:r>
      <w:proofErr w:type="spellStart"/>
      <w:r w:rsidR="00846913" w:rsidRPr="0098677F">
        <w:rPr>
          <w:b/>
        </w:rPr>
        <w:t>Kahkewistahaw</w:t>
      </w:r>
      <w:proofErr w:type="spellEnd"/>
      <w:r w:rsidR="00846913" w:rsidRPr="0098677F">
        <w:rPr>
          <w:b/>
        </w:rPr>
        <w:t xml:space="preserve"> First Nation</w:t>
      </w:r>
      <w:r w:rsidRPr="0098677F">
        <w:rPr>
          <w:b/>
        </w:rPr>
        <w:t xml:space="preserve"> </w:t>
      </w:r>
      <w:r w:rsidRPr="0098677F">
        <w:rPr>
          <w:b/>
          <w:i/>
        </w:rPr>
        <w:t>v.</w:t>
      </w:r>
      <w:r w:rsidRPr="0098677F">
        <w:rPr>
          <w:b/>
        </w:rPr>
        <w:t xml:space="preserve"> </w:t>
      </w:r>
      <w:proofErr w:type="spellStart"/>
      <w:r w:rsidRPr="0098677F">
        <w:rPr>
          <w:rStyle w:val="SCCRespondentForIndexChar"/>
        </w:rPr>
        <w:t>Taypotat</w:t>
      </w:r>
      <w:proofErr w:type="spellEnd"/>
    </w:p>
    <w:p w:rsidR="00426659" w:rsidRPr="0098677F" w:rsidRDefault="00AB4F2B" w:rsidP="00E906DC">
      <w:pPr>
        <w:pStyle w:val="SCCSystemYear"/>
        <w:spacing w:after="720"/>
        <w:jc w:val="both"/>
      </w:pPr>
      <w:r w:rsidRPr="0098677F">
        <w:t>2015</w:t>
      </w:r>
      <w:r w:rsidR="003D0399" w:rsidRPr="0098677F">
        <w:t xml:space="preserve"> </w:t>
      </w:r>
      <w:r w:rsidR="00DF636C" w:rsidRPr="0098677F">
        <w:t>SCC</w:t>
      </w:r>
      <w:r w:rsidR="008B0327">
        <w:t xml:space="preserve"> </w:t>
      </w:r>
      <w:r w:rsidR="00DF636C" w:rsidRPr="0098677F">
        <w:t>30</w:t>
      </w:r>
    </w:p>
    <w:p w:rsidR="008322BD" w:rsidRPr="0098677F" w:rsidRDefault="00E066F0" w:rsidP="00E906DC">
      <w:pPr>
        <w:spacing w:after="720"/>
        <w:jc w:val="both"/>
      </w:pPr>
      <w:r w:rsidRPr="0098677F">
        <w:t xml:space="preserve">File No.: </w:t>
      </w:r>
      <w:r w:rsidR="009B57B3" w:rsidRPr="0098677F">
        <w:t>35518.</w:t>
      </w:r>
    </w:p>
    <w:p w:rsidR="008322BD" w:rsidRPr="0098677F" w:rsidRDefault="00E906DC" w:rsidP="00E906DC">
      <w:pPr>
        <w:spacing w:after="720"/>
        <w:jc w:val="both"/>
      </w:pPr>
      <w:r w:rsidRPr="0098677F">
        <w:t>2014:</w:t>
      </w:r>
      <w:r w:rsidR="008B0327">
        <w:t xml:space="preserve"> </w:t>
      </w:r>
      <w:r w:rsidRPr="0098677F">
        <w:t>October</w:t>
      </w:r>
      <w:r w:rsidR="008B0327">
        <w:t xml:space="preserve"> </w:t>
      </w:r>
      <w:r w:rsidR="004F36FF" w:rsidRPr="0098677F">
        <w:t>9</w:t>
      </w:r>
      <w:r w:rsidR="009B57B3" w:rsidRPr="0098677F">
        <w:t xml:space="preserve">; </w:t>
      </w:r>
      <w:r w:rsidRPr="0098677F">
        <w:t>2015:</w:t>
      </w:r>
      <w:r w:rsidR="008B0327">
        <w:t xml:space="preserve"> </w:t>
      </w:r>
      <w:r w:rsidR="00B71C5D" w:rsidRPr="0098677F">
        <w:t>May</w:t>
      </w:r>
      <w:r w:rsidR="008B0327">
        <w:t xml:space="preserve"> </w:t>
      </w:r>
      <w:r w:rsidR="00B71C5D" w:rsidRPr="0098677F">
        <w:t>28</w:t>
      </w:r>
      <w:r w:rsidR="009B57B3" w:rsidRPr="0098677F">
        <w:t>.</w:t>
      </w:r>
    </w:p>
    <w:p w:rsidR="008322BD" w:rsidRPr="0098677F" w:rsidRDefault="00E066F0" w:rsidP="00E906DC">
      <w:pPr>
        <w:spacing w:after="720"/>
        <w:jc w:val="both"/>
      </w:pPr>
      <w:r w:rsidRPr="0098677F">
        <w:t xml:space="preserve">Present: </w:t>
      </w:r>
      <w:proofErr w:type="spellStart"/>
      <w:r w:rsidR="009B57B3" w:rsidRPr="0098677F">
        <w:t>McLachlin</w:t>
      </w:r>
      <w:proofErr w:type="spellEnd"/>
      <w:r w:rsidR="008B0327">
        <w:t xml:space="preserve"> </w:t>
      </w:r>
      <w:r w:rsidR="009B57B3" w:rsidRPr="0098677F">
        <w:t xml:space="preserve">C.J. and </w:t>
      </w:r>
      <w:proofErr w:type="spellStart"/>
      <w:r w:rsidR="009B57B3" w:rsidRPr="0098677F">
        <w:t>Abella</w:t>
      </w:r>
      <w:proofErr w:type="spellEnd"/>
      <w:r w:rsidR="009B57B3" w:rsidRPr="0098677F">
        <w:t xml:space="preserve">, Cromwell, </w:t>
      </w:r>
      <w:proofErr w:type="spellStart"/>
      <w:r w:rsidR="009B57B3" w:rsidRPr="0098677F">
        <w:t>Moldaver</w:t>
      </w:r>
      <w:proofErr w:type="spellEnd"/>
      <w:r w:rsidR="009B57B3" w:rsidRPr="0098677F">
        <w:t xml:space="preserve">, </w:t>
      </w:r>
      <w:proofErr w:type="spellStart"/>
      <w:r w:rsidR="009B57B3" w:rsidRPr="0098677F">
        <w:t>Karakatsanis</w:t>
      </w:r>
      <w:proofErr w:type="spellEnd"/>
      <w:r w:rsidR="009B57B3" w:rsidRPr="0098677F">
        <w:t xml:space="preserve">, Wagner and </w:t>
      </w:r>
      <w:proofErr w:type="spellStart"/>
      <w:r w:rsidR="009B57B3" w:rsidRPr="0098677F">
        <w:t>Gascon</w:t>
      </w:r>
      <w:proofErr w:type="spellEnd"/>
      <w:r w:rsidR="008B0327">
        <w:t xml:space="preserve"> </w:t>
      </w:r>
      <w:r w:rsidR="009B57B3" w:rsidRPr="0098677F">
        <w:t>JJ.</w:t>
      </w:r>
    </w:p>
    <w:p w:rsidR="008322BD" w:rsidRPr="0098677F" w:rsidRDefault="00656313" w:rsidP="00E906DC">
      <w:pPr>
        <w:pStyle w:val="SCCLowerCourtNameLowercase"/>
        <w:spacing w:before="480" w:after="480"/>
      </w:pPr>
      <w:r w:rsidRPr="0098677F">
        <w:t>o</w:t>
      </w:r>
      <w:r w:rsidR="00170592" w:rsidRPr="0098677F">
        <w:t>n</w:t>
      </w:r>
      <w:r w:rsidR="00224FC0" w:rsidRPr="0098677F">
        <w:t xml:space="preserve"> </w:t>
      </w:r>
      <w:r w:rsidRPr="0098677F">
        <w:t>a</w:t>
      </w:r>
      <w:r w:rsidR="00170592" w:rsidRPr="0098677F">
        <w:t>ppeal</w:t>
      </w:r>
      <w:r w:rsidR="00224FC0" w:rsidRPr="0098677F">
        <w:t xml:space="preserve"> </w:t>
      </w:r>
      <w:r w:rsidR="00170592" w:rsidRPr="0098677F">
        <w:t>from</w:t>
      </w:r>
      <w:r w:rsidR="009567AA" w:rsidRPr="0098677F">
        <w:t xml:space="preserve"> the</w:t>
      </w:r>
      <w:r w:rsidR="00224FC0" w:rsidRPr="0098677F">
        <w:t xml:space="preserve"> </w:t>
      </w:r>
      <w:r w:rsidR="009B57B3" w:rsidRPr="0098677F">
        <w:t xml:space="preserve">federal court of </w:t>
      </w:r>
      <w:r w:rsidR="001E665A" w:rsidRPr="0098677F">
        <w:t>appeal</w:t>
      </w:r>
    </w:p>
    <w:p w:rsidR="00651912" w:rsidRPr="0098677F" w:rsidRDefault="00651912" w:rsidP="00CA374C">
      <w:pPr>
        <w:pStyle w:val="SCCNormalDoubleSpacing"/>
        <w:spacing w:before="480" w:after="480"/>
        <w:rPr>
          <w:i/>
        </w:rPr>
      </w:pPr>
      <w:r w:rsidRPr="0098677F">
        <w:rPr>
          <w:i/>
        </w:rPr>
        <w:tab/>
        <w:t xml:space="preserve">Constitutional law — Charter of Rights — Right to equality — Elections — Eligibility requirements — </w:t>
      </w:r>
      <w:proofErr w:type="spellStart"/>
      <w:r w:rsidRPr="0098677F">
        <w:rPr>
          <w:i/>
        </w:rPr>
        <w:t>Kahkewistahaw</w:t>
      </w:r>
      <w:proofErr w:type="spellEnd"/>
      <w:r w:rsidRPr="0098677F">
        <w:rPr>
          <w:i/>
        </w:rPr>
        <w:t xml:space="preserve"> Election Act requires that candidates for Chief or Band Councillor have Grade 12 education — Whether ed</w:t>
      </w:r>
      <w:r w:rsidR="0028435D" w:rsidRPr="0098677F">
        <w:rPr>
          <w:i/>
        </w:rPr>
        <w:t>ucation requirement violates s.</w:t>
      </w:r>
      <w:r w:rsidR="008B0327">
        <w:rPr>
          <w:i/>
        </w:rPr>
        <w:t xml:space="preserve"> </w:t>
      </w:r>
      <w:r w:rsidRPr="0098677F">
        <w:rPr>
          <w:i/>
        </w:rPr>
        <w:t>15(1) of Canadian Charter of Rights and Freedoms —</w:t>
      </w:r>
      <w:r w:rsidR="0028435D" w:rsidRPr="0098677F">
        <w:rPr>
          <w:i/>
        </w:rPr>
        <w:t xml:space="preserve"> </w:t>
      </w:r>
      <w:proofErr w:type="spellStart"/>
      <w:r w:rsidR="0028435D" w:rsidRPr="0098677F">
        <w:rPr>
          <w:i/>
        </w:rPr>
        <w:t>Kahkewistahaw</w:t>
      </w:r>
      <w:proofErr w:type="spellEnd"/>
      <w:r w:rsidR="0028435D" w:rsidRPr="0098677F">
        <w:rPr>
          <w:i/>
        </w:rPr>
        <w:t xml:space="preserve"> Election Act, s.</w:t>
      </w:r>
      <w:r w:rsidR="008B0327">
        <w:rPr>
          <w:i/>
        </w:rPr>
        <w:t xml:space="preserve"> </w:t>
      </w:r>
      <w:r w:rsidRPr="0098677F">
        <w:rPr>
          <w:i/>
        </w:rPr>
        <w:t>9.03(c).</w:t>
      </w:r>
    </w:p>
    <w:p w:rsidR="00651912" w:rsidRPr="0098677F" w:rsidRDefault="00651912" w:rsidP="00CA374C">
      <w:pPr>
        <w:pStyle w:val="SCCNormalDoubleSpacing"/>
        <w:spacing w:before="480" w:after="480"/>
      </w:pPr>
      <w:r w:rsidRPr="0098677F">
        <w:tab/>
        <w:t>In the 1996 Report of the Royal Commission on Aboriginal Peoples, education was identified as a top priority for promoting collective and individual well</w:t>
      </w:r>
      <w:r w:rsidR="008B0327">
        <w:t>-</w:t>
      </w:r>
      <w:r w:rsidRPr="0098677F">
        <w:t>being in Aboriginal communities, and for helping those communities prepare to assume the complete range of responsibilities associated with self</w:t>
      </w:r>
      <w:r w:rsidR="008B0327">
        <w:t>-</w:t>
      </w:r>
      <w:r w:rsidRPr="0098677F">
        <w:t xml:space="preserve">government. In response to these goals — promoting good governance and encouraging education — </w:t>
      </w:r>
      <w:r w:rsidRPr="0098677F">
        <w:lastRenderedPageBreak/>
        <w:t xml:space="preserve">the </w:t>
      </w:r>
      <w:proofErr w:type="spellStart"/>
      <w:r w:rsidRPr="0098677F">
        <w:t>Kahkewistahaw</w:t>
      </w:r>
      <w:proofErr w:type="spellEnd"/>
      <w:r w:rsidRPr="0098677F">
        <w:t xml:space="preserve"> First Nation in Saskatchewan spent 13 years developing an Election Code which included a Grade 12 education</w:t>
      </w:r>
      <w:r w:rsidRPr="0098677F">
        <w:rPr>
          <w:b/>
        </w:rPr>
        <w:t xml:space="preserve"> </w:t>
      </w:r>
      <w:r w:rsidRPr="0098677F">
        <w:t xml:space="preserve">requirement for candidates who wished to be Chief or </w:t>
      </w:r>
      <w:r w:rsidR="00D26CD3" w:rsidRPr="0098677F">
        <w:t xml:space="preserve">a </w:t>
      </w:r>
      <w:r w:rsidRPr="0098677F">
        <w:t xml:space="preserve">Band Councillor. Louis </w:t>
      </w:r>
      <w:proofErr w:type="spellStart"/>
      <w:r w:rsidRPr="0098677F">
        <w:t>Taypotat</w:t>
      </w:r>
      <w:proofErr w:type="spellEnd"/>
      <w:r w:rsidRPr="0098677F">
        <w:t>, who had been Chief for most of the previous three decades, was 76 years old and had a Grade 10 education. Despite the fact that he was Chief for much of the consultation process that led to the development of the new Election Code, he challenged the process, his disqualification and the constitutionality of the Grade 12 requirement. Only the constitutional issue is before this Court. His argument was that the Grade 12 educ</w:t>
      </w:r>
      <w:r w:rsidR="0028435D" w:rsidRPr="0098677F">
        <w:t>ational requirement violated s.</w:t>
      </w:r>
      <w:r w:rsidR="008B0327">
        <w:t xml:space="preserve"> </w:t>
      </w:r>
      <w:r w:rsidRPr="0098677F">
        <w:t xml:space="preserve">15(1) of the </w:t>
      </w:r>
      <w:r w:rsidRPr="0098677F">
        <w:rPr>
          <w:i/>
        </w:rPr>
        <w:t>Canadian Charter of Rights and Freedoms</w:t>
      </w:r>
      <w:r w:rsidRPr="0098677F">
        <w:t xml:space="preserve"> because “educational attainment is analogous to race and age</w:t>
      </w:r>
      <w:r w:rsidR="0028435D" w:rsidRPr="0098677F">
        <w:t>” for the purposes of s.</w:t>
      </w:r>
      <w:r w:rsidR="008B0327">
        <w:t xml:space="preserve"> </w:t>
      </w:r>
      <w:r w:rsidRPr="0098677F">
        <w:t xml:space="preserve">15(1). In the Federal Court, de </w:t>
      </w:r>
      <w:proofErr w:type="spellStart"/>
      <w:r w:rsidRPr="0098677F">
        <w:t>Montigny</w:t>
      </w:r>
      <w:proofErr w:type="spellEnd"/>
      <w:r w:rsidRPr="0098677F">
        <w:t xml:space="preserve"> J. dismissed the application. The Federal Court of Appeal allowed the appe</w:t>
      </w:r>
      <w:r w:rsidR="000450F1">
        <w:t>al.</w:t>
      </w:r>
      <w:r w:rsidR="008B0327">
        <w:t xml:space="preserve"> </w:t>
      </w:r>
      <w:r w:rsidRPr="0098677F">
        <w:t>The grounds on which it based its decision, age and residence on a reserve, were not pleaded.</w:t>
      </w:r>
    </w:p>
    <w:p w:rsidR="00651912" w:rsidRPr="0098677F" w:rsidRDefault="00651912" w:rsidP="00CA374C">
      <w:pPr>
        <w:pStyle w:val="SCCNormalDoubleSpacing"/>
        <w:spacing w:before="480" w:after="480"/>
      </w:pPr>
      <w:r w:rsidRPr="0098677F">
        <w:rPr>
          <w:i/>
        </w:rPr>
        <w:tab/>
        <w:t>Held</w:t>
      </w:r>
      <w:r w:rsidRPr="0098677F">
        <w:t xml:space="preserve">: The appeal should be allowed and the decision of de </w:t>
      </w:r>
      <w:proofErr w:type="spellStart"/>
      <w:r w:rsidRPr="0098677F">
        <w:t>Montigny</w:t>
      </w:r>
      <w:proofErr w:type="spellEnd"/>
      <w:r w:rsidRPr="0098677F">
        <w:t xml:space="preserve"> J. restored. </w:t>
      </w:r>
    </w:p>
    <w:p w:rsidR="00651912" w:rsidRPr="0098677F" w:rsidRDefault="0028435D" w:rsidP="00CA374C">
      <w:pPr>
        <w:pStyle w:val="SCCNormalDoubleSpacing"/>
        <w:spacing w:before="480" w:after="480"/>
      </w:pPr>
      <w:r w:rsidRPr="0098677F">
        <w:tab/>
        <w:t>The approach to s.</w:t>
      </w:r>
      <w:r w:rsidR="008B0327">
        <w:t xml:space="preserve"> </w:t>
      </w:r>
      <w:r w:rsidR="00651912" w:rsidRPr="0098677F">
        <w:t xml:space="preserve">15 was most recently set out in </w:t>
      </w:r>
      <w:r w:rsidR="00651912" w:rsidRPr="0098677F">
        <w:rPr>
          <w:i/>
        </w:rPr>
        <w:t>Quebec (Attorney General) v. A</w:t>
      </w:r>
      <w:r w:rsidR="00651912" w:rsidRPr="0098677F">
        <w:t xml:space="preserve">, [2013] 1 S.C.R. 61, at </w:t>
      </w:r>
      <w:r w:rsidR="000450F1">
        <w:t>paras.</w:t>
      </w:r>
      <w:r w:rsidR="008B0327">
        <w:t xml:space="preserve"> </w:t>
      </w:r>
      <w:r w:rsidR="00651912" w:rsidRPr="0098677F">
        <w:t>319</w:t>
      </w:r>
      <w:r w:rsidR="008B0327">
        <w:t>-</w:t>
      </w:r>
      <w:r w:rsidR="00E50606">
        <w:t>4</w:t>
      </w:r>
      <w:r w:rsidR="00651912" w:rsidRPr="0098677F">
        <w:t xml:space="preserve">7. </w:t>
      </w:r>
      <w:proofErr w:type="gramStart"/>
      <w:r w:rsidR="00651912" w:rsidRPr="0098677F">
        <w:t>It</w:t>
      </w:r>
      <w:proofErr w:type="gramEnd"/>
      <w:r w:rsidR="00651912" w:rsidRPr="0098677F">
        <w:rPr>
          <w:i/>
        </w:rPr>
        <w:t xml:space="preserve"> </w:t>
      </w:r>
      <w:r w:rsidR="00651912" w:rsidRPr="0098677F">
        <w:t>requires a flexible and contextual inquiry into whether a distinction has the effect of perpetuating arbitrary disadvantage on the claimant because of his or her membership in an enumerated or analogous grou</w:t>
      </w:r>
      <w:r w:rsidR="000450F1">
        <w:t xml:space="preserve">p. </w:t>
      </w:r>
      <w:r w:rsidR="00651912" w:rsidRPr="0098677F">
        <w:t xml:space="preserve">It is an approach which recognizes that persistent systemic disadvantages have operated to limit the opportunities available to members of certain groups in society and seeks to prevent conduct that perpetuates those disadvantages. </w:t>
      </w:r>
      <w:r w:rsidRPr="0098677F">
        <w:lastRenderedPageBreak/>
        <w:t>The focus of s.</w:t>
      </w:r>
      <w:r w:rsidR="008B0327">
        <w:t xml:space="preserve"> </w:t>
      </w:r>
      <w:r w:rsidR="00651912" w:rsidRPr="0098677F">
        <w:t xml:space="preserve">15 is on laws that draw </w:t>
      </w:r>
      <w:r w:rsidR="00651912" w:rsidRPr="0098677F">
        <w:rPr>
          <w:i/>
        </w:rPr>
        <w:t>discriminatory</w:t>
      </w:r>
      <w:r w:rsidR="00651912" w:rsidRPr="0098677F">
        <w:t xml:space="preserve"> distinctions — that is, distinctions that have the effect of perpetuating arbitrary disadvantage based on an individual</w:t>
      </w:r>
      <w:r w:rsidR="0098677F">
        <w:t>’</w:t>
      </w:r>
      <w:r w:rsidR="00651912" w:rsidRPr="0098677F">
        <w:t>s membership in an enumerated or analogous grou</w:t>
      </w:r>
      <w:r w:rsidR="000450F1">
        <w:t>p.</w:t>
      </w:r>
      <w:r w:rsidR="008B0327">
        <w:t xml:space="preserve"> </w:t>
      </w:r>
      <w:r w:rsidR="0098677F">
        <w:t>The s.</w:t>
      </w:r>
      <w:r w:rsidR="008B0327">
        <w:t xml:space="preserve"> </w:t>
      </w:r>
      <w:r w:rsidR="00651912" w:rsidRPr="0098677F">
        <w:t>15(1) analysis is accordingly concerned with substantive equality.</w:t>
      </w:r>
    </w:p>
    <w:p w:rsidR="00651912" w:rsidRPr="0098677F" w:rsidRDefault="0028435D" w:rsidP="00CA374C">
      <w:pPr>
        <w:pStyle w:val="SCCNormalDoubleSpacing"/>
        <w:spacing w:before="480" w:after="480"/>
        <w:rPr>
          <w:b/>
        </w:rPr>
      </w:pPr>
      <w:r w:rsidRPr="0098677F">
        <w:tab/>
        <w:t>The first part of the s.</w:t>
      </w:r>
      <w:r w:rsidR="008B0327">
        <w:t xml:space="preserve"> </w:t>
      </w:r>
      <w:r w:rsidR="00651912" w:rsidRPr="0098677F">
        <w:t>15 analysis asks whether a law creates a distinction</w:t>
      </w:r>
      <w:r w:rsidR="00651912" w:rsidRPr="0098677F">
        <w:rPr>
          <w:i/>
        </w:rPr>
        <w:t xml:space="preserve"> </w:t>
      </w:r>
      <w:r w:rsidR="00651912" w:rsidRPr="0098677F">
        <w:t>on the basis of an enumerated or analogous ground. The second part of the analysis focuses on arbitrary — or discriminatory — disadvantage, that is, whether the impugned law fails to respond to the actual capacities and needs of the members of the group and instead imposes burdens or denies a benefit in a manner that has the effect of reinforcing, perpetuating or exacerbating their disadvantage.</w:t>
      </w:r>
    </w:p>
    <w:p w:rsidR="00651912" w:rsidRPr="0098677F" w:rsidRDefault="00651912" w:rsidP="00CA374C">
      <w:pPr>
        <w:pStyle w:val="SCCNormalDoubleSpacing"/>
        <w:spacing w:before="480" w:after="480"/>
      </w:pPr>
      <w:r w:rsidRPr="0098677F">
        <w:tab/>
        <w:t xml:space="preserve">To establish a </w:t>
      </w:r>
      <w:r w:rsidRPr="0098677F">
        <w:rPr>
          <w:i/>
        </w:rPr>
        <w:t>prima facie</w:t>
      </w:r>
      <w:r w:rsidR="0028435D" w:rsidRPr="0098677F">
        <w:t xml:space="preserve"> violation of s.</w:t>
      </w:r>
      <w:r w:rsidR="008B0327">
        <w:t xml:space="preserve"> </w:t>
      </w:r>
      <w:r w:rsidRPr="0098677F">
        <w:t>15(1), the claimant must therefore demonstrate that the law at issue has a disproportionate effect on the claimant based on his or her membership in an enumerated or analogous grou</w:t>
      </w:r>
      <w:r w:rsidR="000A6B8D">
        <w:t xml:space="preserve">p. </w:t>
      </w:r>
      <w:r w:rsidRPr="0098677F">
        <w:t>At the second stage of the analysis, the specific evidence required will vary depending on the context of the claim.</w:t>
      </w:r>
    </w:p>
    <w:p w:rsidR="00651912" w:rsidRPr="0098677F" w:rsidRDefault="00651912" w:rsidP="00CA374C">
      <w:pPr>
        <w:pStyle w:val="SCCNormalDoubleSpacing"/>
        <w:spacing w:before="480" w:after="480"/>
      </w:pPr>
      <w:r w:rsidRPr="0098677F">
        <w:tab/>
        <w:t>While facially neutral qualifications like education requirements may well be a proxy for, or mask, a discriminatory impact, this case falls on the absence of any evidence linking the requirement to a disparate impact on members of an enumerated or analogous grou</w:t>
      </w:r>
      <w:r w:rsidR="000450F1">
        <w:t>p.</w:t>
      </w:r>
      <w:r w:rsidR="000A6B8D">
        <w:t xml:space="preserve"> </w:t>
      </w:r>
      <w:r w:rsidRPr="0098677F">
        <w:t xml:space="preserve">There is virtually no evidence about the relationship between age, residency on a reserve, and education levels in the </w:t>
      </w:r>
      <w:proofErr w:type="spellStart"/>
      <w:r w:rsidRPr="0098677F">
        <w:t>Kahkewistahaw</w:t>
      </w:r>
      <w:proofErr w:type="spellEnd"/>
      <w:r w:rsidRPr="0098677F">
        <w:t xml:space="preserve"> First Nation. Nor is there any evidence about the effect of the education provisions on </w:t>
      </w:r>
      <w:r w:rsidRPr="0098677F">
        <w:lastRenderedPageBreak/>
        <w:t xml:space="preserve">older community members, on community members who live on a reserve, or on individuals who belong to both of these groups. Most significantly, the record is silent about the education levels of members of the </w:t>
      </w:r>
      <w:proofErr w:type="spellStart"/>
      <w:r w:rsidRPr="0098677F">
        <w:t>Kahkewistahaw</w:t>
      </w:r>
      <w:proofErr w:type="spellEnd"/>
      <w:r w:rsidRPr="0098677F">
        <w:t xml:space="preserve"> First Nation who live on a reserve.</w:t>
      </w:r>
    </w:p>
    <w:p w:rsidR="00651912" w:rsidRPr="0098677F" w:rsidRDefault="00651912" w:rsidP="00CA374C">
      <w:pPr>
        <w:pStyle w:val="SCCNormalDoubleSpacing"/>
        <w:spacing w:before="480" w:after="480"/>
      </w:pPr>
      <w:r w:rsidRPr="0098677F">
        <w:tab/>
        <w:t>Statistical evidence is not always required to establish that a fa</w:t>
      </w:r>
      <w:r w:rsidR="0028435D" w:rsidRPr="0098677F">
        <w:t>cially neutral law infringes s.</w:t>
      </w:r>
      <w:r w:rsidR="008B0327">
        <w:t xml:space="preserve"> </w:t>
      </w:r>
      <w:r w:rsidRPr="0098677F">
        <w:t xml:space="preserve">15. In some cases, the disparate impact on an enumerated or analogous group will be apparent and immediate. The evidence in this case, however, does not point to any such link between the education requirement and a disparate impact on the basis of an enumerated or analogous ground. While the evidentiary burden need not be onerous, the evidence must amount to more than a web of instinct. Accordingly, the education provisions in the </w:t>
      </w:r>
      <w:proofErr w:type="spellStart"/>
      <w:r w:rsidRPr="0098677F">
        <w:rPr>
          <w:i/>
        </w:rPr>
        <w:t>Kahkewistahaw</w:t>
      </w:r>
      <w:proofErr w:type="spellEnd"/>
      <w:r w:rsidRPr="0098677F">
        <w:rPr>
          <w:i/>
        </w:rPr>
        <w:t xml:space="preserve"> Election Act </w:t>
      </w:r>
      <w:r w:rsidRPr="0098677F">
        <w:t>do not</w:t>
      </w:r>
      <w:r w:rsidRPr="0098677F">
        <w:rPr>
          <w:i/>
        </w:rPr>
        <w:t xml:space="preserve"> </w:t>
      </w:r>
      <w:r w:rsidRPr="0098677F">
        <w:t xml:space="preserve">represent a </w:t>
      </w:r>
      <w:r w:rsidRPr="0098677F">
        <w:rPr>
          <w:i/>
        </w:rPr>
        <w:t>prima facie</w:t>
      </w:r>
      <w:r w:rsidR="0028435D" w:rsidRPr="0098677F">
        <w:t xml:space="preserve"> violation of s.</w:t>
      </w:r>
      <w:r w:rsidR="008B0327">
        <w:t xml:space="preserve"> </w:t>
      </w:r>
      <w:r w:rsidRPr="0098677F">
        <w:t>15.</w:t>
      </w:r>
    </w:p>
    <w:p w:rsidR="007E1C47" w:rsidRPr="0098677F" w:rsidRDefault="002E6705" w:rsidP="00E906DC">
      <w:pPr>
        <w:pStyle w:val="SCCNormalDoubleSpacing"/>
        <w:spacing w:after="720" w:line="240" w:lineRule="auto"/>
        <w:rPr>
          <w:b/>
        </w:rPr>
      </w:pPr>
      <w:r w:rsidRPr="0098677F">
        <w:rPr>
          <w:b/>
        </w:rPr>
        <w:t>Cases Cited</w:t>
      </w:r>
    </w:p>
    <w:p w:rsidR="004E2C26" w:rsidRPr="0098677F" w:rsidRDefault="002E6705" w:rsidP="00E906DC">
      <w:pPr>
        <w:pStyle w:val="SCCNormalDoubleSpacing"/>
        <w:spacing w:before="480" w:after="480"/>
      </w:pPr>
      <w:r w:rsidRPr="0098677F">
        <w:tab/>
      </w:r>
      <w:r w:rsidR="00D26CD3" w:rsidRPr="0098677F">
        <w:rPr>
          <w:b/>
        </w:rPr>
        <w:t>Applied</w:t>
      </w:r>
      <w:r w:rsidRPr="0098677F">
        <w:rPr>
          <w:b/>
        </w:rPr>
        <w:t>:</w:t>
      </w:r>
      <w:r w:rsidR="00BD0E9E" w:rsidRPr="0098677F">
        <w:t xml:space="preserve"> </w:t>
      </w:r>
      <w:r w:rsidR="00AA0C95" w:rsidRPr="0098677F">
        <w:rPr>
          <w:i/>
        </w:rPr>
        <w:t>Quebec (Attorney General) v. A</w:t>
      </w:r>
      <w:r w:rsidR="00AA0C95" w:rsidRPr="0098677F">
        <w:t xml:space="preserve">, </w:t>
      </w:r>
      <w:r w:rsidR="002B68C5" w:rsidRPr="0098677F">
        <w:t xml:space="preserve">2013 SCC 5, </w:t>
      </w:r>
      <w:r w:rsidR="00AA0C95" w:rsidRPr="0098677F">
        <w:t>[2013] 1 S.C.R. 61</w:t>
      </w:r>
      <w:r w:rsidR="002B68C5" w:rsidRPr="0098677F">
        <w:t>;</w:t>
      </w:r>
      <w:r w:rsidR="00D26CD3" w:rsidRPr="0098677F">
        <w:t xml:space="preserve"> </w:t>
      </w:r>
      <w:r w:rsidR="00D26CD3" w:rsidRPr="0098677F">
        <w:rPr>
          <w:b/>
        </w:rPr>
        <w:t>referred to:</w:t>
      </w:r>
      <w:r w:rsidR="002B68C5" w:rsidRPr="0098677F">
        <w:t xml:space="preserve"> </w:t>
      </w:r>
      <w:proofErr w:type="spellStart"/>
      <w:r w:rsidR="002B68C5" w:rsidRPr="0098677F">
        <w:rPr>
          <w:i/>
        </w:rPr>
        <w:t>Withler</w:t>
      </w:r>
      <w:proofErr w:type="spellEnd"/>
      <w:r w:rsidR="002B68C5" w:rsidRPr="0098677F">
        <w:rPr>
          <w:i/>
        </w:rPr>
        <w:t xml:space="preserve"> </w:t>
      </w:r>
      <w:r w:rsidR="002B68C5" w:rsidRPr="0098677F">
        <w:rPr>
          <w:i/>
          <w:iCs/>
        </w:rPr>
        <w:t>v.</w:t>
      </w:r>
      <w:r w:rsidR="002B68C5" w:rsidRPr="0098677F">
        <w:rPr>
          <w:b/>
          <w:bCs/>
          <w:i/>
        </w:rPr>
        <w:t xml:space="preserve"> </w:t>
      </w:r>
      <w:r w:rsidR="002B68C5" w:rsidRPr="0098677F">
        <w:rPr>
          <w:i/>
        </w:rPr>
        <w:t>Canada (Attorney General)</w:t>
      </w:r>
      <w:r w:rsidR="002B68C5" w:rsidRPr="0098677F">
        <w:t>,</w:t>
      </w:r>
      <w:r w:rsidR="00CF65D1" w:rsidRPr="0098677F">
        <w:t xml:space="preserve"> 2011 SCC 12,</w:t>
      </w:r>
      <w:r w:rsidR="002B68C5" w:rsidRPr="0098677F">
        <w:t xml:space="preserve"> [2011] 1 S.C.R. 396</w:t>
      </w:r>
      <w:r w:rsidR="00CF65D1" w:rsidRPr="0098677F">
        <w:t xml:space="preserve">; </w:t>
      </w:r>
      <w:r w:rsidR="00C6614F" w:rsidRPr="0098677F">
        <w:rPr>
          <w:i/>
        </w:rPr>
        <w:t xml:space="preserve">R. v. </w:t>
      </w:r>
      <w:proofErr w:type="spellStart"/>
      <w:r w:rsidR="00C6614F" w:rsidRPr="0098677F">
        <w:rPr>
          <w:i/>
        </w:rPr>
        <w:t>Kapp</w:t>
      </w:r>
      <w:proofErr w:type="spellEnd"/>
      <w:r w:rsidR="00C6614F" w:rsidRPr="0098677F">
        <w:t>, 2008 SCC 41, [2008] 2 S.C.R. 483;</w:t>
      </w:r>
      <w:r w:rsidR="00C6614F" w:rsidRPr="0098677F">
        <w:rPr>
          <w:i/>
          <w:iCs/>
          <w:szCs w:val="24"/>
        </w:rPr>
        <w:t xml:space="preserve"> </w:t>
      </w:r>
      <w:r w:rsidR="00C6614F" w:rsidRPr="0098677F">
        <w:rPr>
          <w:i/>
          <w:iCs/>
        </w:rPr>
        <w:t>Andrews v. Law Society of British Columbia</w:t>
      </w:r>
      <w:r w:rsidR="00C6614F" w:rsidRPr="0098677F">
        <w:t xml:space="preserve">, [1989] 1 S.C.R. 143; </w:t>
      </w:r>
      <w:proofErr w:type="spellStart"/>
      <w:r w:rsidR="00DC5E6B" w:rsidRPr="0098677F">
        <w:rPr>
          <w:i/>
        </w:rPr>
        <w:t>Corbiere</w:t>
      </w:r>
      <w:proofErr w:type="spellEnd"/>
      <w:r w:rsidR="00DC5E6B" w:rsidRPr="0098677F">
        <w:rPr>
          <w:i/>
        </w:rPr>
        <w:t xml:space="preserve"> v. Canada (Minister of Indian and Northern Affairs)</w:t>
      </w:r>
      <w:r w:rsidR="00DC5E6B" w:rsidRPr="0098677F">
        <w:t>,</w:t>
      </w:r>
      <w:r w:rsidR="00DC5E6B" w:rsidRPr="0098677F">
        <w:rPr>
          <w:i/>
        </w:rPr>
        <w:t xml:space="preserve"> </w:t>
      </w:r>
      <w:r w:rsidR="00DC5E6B" w:rsidRPr="0098677F">
        <w:t xml:space="preserve">[1999] 2 S.C.R. 203; </w:t>
      </w:r>
      <w:r w:rsidR="00DC1BDC" w:rsidRPr="0098677F">
        <w:rPr>
          <w:i/>
        </w:rPr>
        <w:t>Law v. Canada (Minister of Employment and Immigration)</w:t>
      </w:r>
      <w:r w:rsidR="00DC1BDC" w:rsidRPr="0098677F">
        <w:t xml:space="preserve">, [1999] 1 S.C.R. 497; </w:t>
      </w:r>
      <w:r w:rsidR="00DC1BDC" w:rsidRPr="0098677F">
        <w:rPr>
          <w:i/>
        </w:rPr>
        <w:t>Griggs v. Duke Power Co.</w:t>
      </w:r>
      <w:r w:rsidR="00DC1BDC" w:rsidRPr="0098677F">
        <w:t xml:space="preserve">, 401 U.S. 424 (1971); </w:t>
      </w:r>
      <w:r w:rsidR="000E5593" w:rsidRPr="0098677F">
        <w:rPr>
          <w:i/>
        </w:rPr>
        <w:t>British Columbia (Public Service Employee Relations Commission) v. BCGSEU</w:t>
      </w:r>
      <w:r w:rsidR="00546A04" w:rsidRPr="0098677F">
        <w:t>,</w:t>
      </w:r>
      <w:r w:rsidR="000E5593" w:rsidRPr="0098677F">
        <w:t xml:space="preserve"> [1999] 3 S.C.R. 3</w:t>
      </w:r>
      <w:r w:rsidR="00546A04" w:rsidRPr="0098677F">
        <w:t xml:space="preserve">; </w:t>
      </w:r>
      <w:r w:rsidR="00546A04" w:rsidRPr="0098677F">
        <w:rPr>
          <w:i/>
        </w:rPr>
        <w:t>R</w:t>
      </w:r>
      <w:r w:rsidR="003E1E60" w:rsidRPr="0098677F">
        <w:rPr>
          <w:i/>
        </w:rPr>
        <w:t>.</w:t>
      </w:r>
      <w:r w:rsidR="00546A04" w:rsidRPr="0098677F">
        <w:rPr>
          <w:i/>
        </w:rPr>
        <w:t xml:space="preserve"> v. </w:t>
      </w:r>
      <w:proofErr w:type="spellStart"/>
      <w:r w:rsidR="00546A04" w:rsidRPr="0098677F">
        <w:rPr>
          <w:i/>
        </w:rPr>
        <w:t>Mian</w:t>
      </w:r>
      <w:proofErr w:type="spellEnd"/>
      <w:r w:rsidR="00546A04" w:rsidRPr="0098677F">
        <w:t>,</w:t>
      </w:r>
      <w:r w:rsidR="00546A04" w:rsidRPr="0098677F">
        <w:rPr>
          <w:i/>
        </w:rPr>
        <w:t xml:space="preserve"> </w:t>
      </w:r>
      <w:r w:rsidR="00546A04" w:rsidRPr="0098677F">
        <w:t>2014 SCC 54</w:t>
      </w:r>
      <w:r w:rsidR="00281168" w:rsidRPr="0098677F">
        <w:t>, [2014] 2 S.C.R. 689.</w:t>
      </w:r>
      <w:r w:rsidR="00546A04" w:rsidRPr="0098677F">
        <w:t xml:space="preserve"> </w:t>
      </w:r>
    </w:p>
    <w:p w:rsidR="003B215F" w:rsidRPr="0098677F" w:rsidRDefault="002E6705" w:rsidP="00E906DC">
      <w:pPr>
        <w:pStyle w:val="SCCNormalDoubleSpacing"/>
        <w:spacing w:after="720" w:line="240" w:lineRule="auto"/>
      </w:pPr>
      <w:r w:rsidRPr="0098677F">
        <w:rPr>
          <w:b/>
        </w:rPr>
        <w:lastRenderedPageBreak/>
        <w:t>Statutes and Regulations Cite</w:t>
      </w:r>
      <w:r w:rsidR="00A41805" w:rsidRPr="0098677F">
        <w:rPr>
          <w:b/>
        </w:rPr>
        <w:t>d</w:t>
      </w:r>
    </w:p>
    <w:p w:rsidR="00127126" w:rsidRPr="0098677F" w:rsidRDefault="00127126" w:rsidP="00E906DC">
      <w:pPr>
        <w:pStyle w:val="SCCNormalDoubleSpacing"/>
        <w:spacing w:after="240" w:line="240" w:lineRule="auto"/>
        <w:ind w:left="540" w:hanging="540"/>
      </w:pPr>
      <w:r w:rsidRPr="0098677F">
        <w:rPr>
          <w:i/>
        </w:rPr>
        <w:t>Canadian Charter of Rights and Freedoms</w:t>
      </w:r>
      <w:r w:rsidR="00E906DC" w:rsidRPr="0098677F">
        <w:t>, s.</w:t>
      </w:r>
      <w:r w:rsidR="008B0327">
        <w:t xml:space="preserve"> </w:t>
      </w:r>
      <w:r w:rsidRPr="0098677F">
        <w:t>15.</w:t>
      </w:r>
    </w:p>
    <w:p w:rsidR="005E3DA0" w:rsidRDefault="005E3DA0" w:rsidP="00E906DC">
      <w:pPr>
        <w:pStyle w:val="SCCNormalDoubleSpacing"/>
        <w:spacing w:after="240" w:line="240" w:lineRule="auto"/>
        <w:ind w:left="567" w:hanging="567"/>
      </w:pPr>
      <w:r w:rsidRPr="0098677F">
        <w:rPr>
          <w:i/>
          <w:iCs/>
        </w:rPr>
        <w:t>Civil Rights Act of 1964</w:t>
      </w:r>
      <w:r w:rsidRPr="0098677F">
        <w:t>, Pub. L. 88</w:t>
      </w:r>
      <w:r w:rsidR="008B0327">
        <w:t>-</w:t>
      </w:r>
      <w:r w:rsidR="00E906DC" w:rsidRPr="0098677F">
        <w:t>352, 78 Stat. 241 (1964), Title</w:t>
      </w:r>
      <w:r w:rsidR="008B0327">
        <w:t xml:space="preserve"> </w:t>
      </w:r>
      <w:r w:rsidRPr="0098677F">
        <w:t>VII.</w:t>
      </w:r>
    </w:p>
    <w:p w:rsidR="008B2F9F" w:rsidRPr="0098677F" w:rsidRDefault="008B2F9F" w:rsidP="00E906DC">
      <w:pPr>
        <w:pStyle w:val="SCCNormalDoubleSpacing"/>
        <w:spacing w:after="240" w:line="240" w:lineRule="auto"/>
        <w:ind w:left="567" w:hanging="567"/>
      </w:pPr>
      <w:r w:rsidRPr="0098677F">
        <w:rPr>
          <w:i/>
        </w:rPr>
        <w:t>Indian Act</w:t>
      </w:r>
      <w:r w:rsidRPr="0098677F">
        <w:t>, R.S.C. 1985, c.</w:t>
      </w:r>
      <w:r>
        <w:t xml:space="preserve"> </w:t>
      </w:r>
      <w:r w:rsidRPr="0098677F">
        <w:t>I</w:t>
      </w:r>
      <w:r>
        <w:t>-</w:t>
      </w:r>
      <w:r w:rsidRPr="0098677F">
        <w:t>5.</w:t>
      </w:r>
    </w:p>
    <w:p w:rsidR="008B2F9F" w:rsidRDefault="00281168" w:rsidP="008B2F9F">
      <w:pPr>
        <w:pStyle w:val="SCCNormalDoubleSpacing"/>
        <w:spacing w:after="240" w:line="240" w:lineRule="auto"/>
        <w:ind w:left="567" w:hanging="567"/>
      </w:pPr>
      <w:proofErr w:type="spellStart"/>
      <w:r w:rsidRPr="0098677F">
        <w:rPr>
          <w:i/>
        </w:rPr>
        <w:t>Kahkewistahaw</w:t>
      </w:r>
      <w:proofErr w:type="spellEnd"/>
      <w:r w:rsidRPr="0098677F">
        <w:rPr>
          <w:i/>
        </w:rPr>
        <w:t xml:space="preserve"> Election Act</w:t>
      </w:r>
      <w:r w:rsidR="005A0439" w:rsidRPr="0098677F">
        <w:t xml:space="preserve"> [</w:t>
      </w:r>
      <w:proofErr w:type="spellStart"/>
      <w:r w:rsidR="004C2422" w:rsidRPr="0098677F">
        <w:t>en</w:t>
      </w:r>
      <w:proofErr w:type="spellEnd"/>
      <w:r w:rsidR="004C2422" w:rsidRPr="0098677F">
        <w:t xml:space="preserve">. </w:t>
      </w:r>
      <w:r w:rsidR="005A0439" w:rsidRPr="0098677F">
        <w:t xml:space="preserve">pursuant to </w:t>
      </w:r>
      <w:r w:rsidR="00BF59CD" w:rsidRPr="0098677F">
        <w:t xml:space="preserve">the </w:t>
      </w:r>
      <w:r w:rsidR="00BF59CD" w:rsidRPr="0098677F">
        <w:rPr>
          <w:i/>
          <w:iCs/>
        </w:rPr>
        <w:t>Order Amending the Indian Bands Council Elections Order (</w:t>
      </w:r>
      <w:proofErr w:type="spellStart"/>
      <w:r w:rsidR="00BF59CD" w:rsidRPr="0098677F">
        <w:rPr>
          <w:i/>
          <w:iCs/>
        </w:rPr>
        <w:t>Kahkewistahaw</w:t>
      </w:r>
      <w:proofErr w:type="spellEnd"/>
      <w:r w:rsidR="00BF59CD" w:rsidRPr="0098677F">
        <w:rPr>
          <w:i/>
          <w:iCs/>
        </w:rPr>
        <w:t>)</w:t>
      </w:r>
      <w:r w:rsidR="00BF59CD" w:rsidRPr="0098677F">
        <w:rPr>
          <w:iCs/>
        </w:rPr>
        <w:t xml:space="preserve">, </w:t>
      </w:r>
      <w:r w:rsidR="005A0439" w:rsidRPr="0098677F">
        <w:t>SOR/2011</w:t>
      </w:r>
      <w:r w:rsidR="008B0327">
        <w:t>-</w:t>
      </w:r>
      <w:r w:rsidR="005A0439" w:rsidRPr="0098677F">
        <w:t>49],</w:t>
      </w:r>
      <w:r w:rsidRPr="0098677F">
        <w:t xml:space="preserve"> </w:t>
      </w:r>
      <w:r w:rsidR="000450F1">
        <w:t>ss.</w:t>
      </w:r>
      <w:r w:rsidR="008B0327">
        <w:t xml:space="preserve"> </w:t>
      </w:r>
      <w:r w:rsidRPr="0098677F">
        <w:t xml:space="preserve">9.03(c), 9.04, 9.05, 10.01(d). </w:t>
      </w:r>
    </w:p>
    <w:p w:rsidR="008B2F9F" w:rsidRDefault="008B2F9F" w:rsidP="008B2F9F">
      <w:pPr>
        <w:pStyle w:val="SCCNormalDoubleSpacing"/>
        <w:spacing w:after="240" w:line="240" w:lineRule="auto"/>
        <w:ind w:left="567" w:hanging="567"/>
        <w:rPr>
          <w:b/>
        </w:rPr>
      </w:pPr>
    </w:p>
    <w:p w:rsidR="00DE319C" w:rsidRPr="0098677F" w:rsidRDefault="002E6705" w:rsidP="0028435D">
      <w:pPr>
        <w:pStyle w:val="SCCNormalDoubleSpacing"/>
        <w:widowControl w:val="0"/>
        <w:spacing w:after="720" w:line="240" w:lineRule="auto"/>
      </w:pPr>
      <w:r w:rsidRPr="0098677F">
        <w:rPr>
          <w:b/>
        </w:rPr>
        <w:t>Authors Cited</w:t>
      </w:r>
    </w:p>
    <w:p w:rsidR="00281168" w:rsidRPr="0098677F" w:rsidRDefault="00281168" w:rsidP="00E906DC">
      <w:pPr>
        <w:pStyle w:val="SCCNormalDoubleSpacing"/>
        <w:spacing w:after="240" w:line="240" w:lineRule="auto"/>
        <w:ind w:left="547" w:hanging="547"/>
      </w:pPr>
      <w:r w:rsidRPr="0098677F">
        <w:t xml:space="preserve">Canada. Royal Commission on Aboriginal Peoples. </w:t>
      </w:r>
      <w:r w:rsidRPr="0098677F">
        <w:rPr>
          <w:i/>
        </w:rPr>
        <w:t>Report of the Royal Commission on Aboriginal Peoples</w:t>
      </w:r>
      <w:r w:rsidRPr="0098677F">
        <w:t xml:space="preserve">, </w:t>
      </w:r>
      <w:r w:rsidR="000450F1">
        <w:t>vol.</w:t>
      </w:r>
      <w:r w:rsidR="008B0327">
        <w:t xml:space="preserve"> </w:t>
      </w:r>
      <w:r w:rsidRPr="0098677F">
        <w:t xml:space="preserve">3, </w:t>
      </w:r>
      <w:r w:rsidRPr="0098677F">
        <w:rPr>
          <w:i/>
        </w:rPr>
        <w:t>Gathering Strength</w:t>
      </w:r>
      <w:r w:rsidRPr="0098677F">
        <w:t xml:space="preserve">. Ottawa: The Commission, 1996. </w:t>
      </w:r>
    </w:p>
    <w:p w:rsidR="00281168" w:rsidRPr="0098677F" w:rsidRDefault="00281168" w:rsidP="00E906DC">
      <w:pPr>
        <w:pStyle w:val="SCCNormalDoubleSpacing"/>
        <w:spacing w:after="240" w:line="240" w:lineRule="auto"/>
        <w:ind w:left="547" w:hanging="547"/>
      </w:pPr>
      <w:r w:rsidRPr="0098677F">
        <w:t xml:space="preserve">Canada. Statistics Canada. </w:t>
      </w:r>
      <w:r w:rsidRPr="0098677F">
        <w:rPr>
          <w:i/>
        </w:rPr>
        <w:t>Educational Portrait of Canada, 2006 Census</w:t>
      </w:r>
      <w:r w:rsidRPr="0098677F">
        <w:t xml:space="preserve">. Ottawa: Minister of Industry, 2008. </w:t>
      </w:r>
    </w:p>
    <w:p w:rsidR="00281168" w:rsidRPr="0098677F" w:rsidRDefault="00281168" w:rsidP="00E906DC">
      <w:pPr>
        <w:pStyle w:val="SCCNormalDoubleSpacing"/>
        <w:spacing w:after="240" w:line="240" w:lineRule="auto"/>
        <w:ind w:left="547" w:hanging="547"/>
      </w:pPr>
      <w:r w:rsidRPr="0098677F">
        <w:t xml:space="preserve">Richards, John. </w:t>
      </w:r>
      <w:r w:rsidRPr="0098677F">
        <w:rPr>
          <w:i/>
        </w:rPr>
        <w:t>Closing the Aboriginal/non</w:t>
      </w:r>
      <w:r w:rsidR="008B0327">
        <w:rPr>
          <w:i/>
        </w:rPr>
        <w:t>-</w:t>
      </w:r>
      <w:r w:rsidRPr="0098677F">
        <w:rPr>
          <w:i/>
        </w:rPr>
        <w:t>Aboriginal Education Gaps</w:t>
      </w:r>
      <w:r w:rsidRPr="0098677F">
        <w:t>. C.D.</w:t>
      </w:r>
      <w:r w:rsidR="008B0327">
        <w:t xml:space="preserve"> </w:t>
      </w:r>
      <w:r w:rsidRPr="0098677F">
        <w:t>Howe Institute Backgrounder 116 (online</w:t>
      </w:r>
      <w:r w:rsidR="00D11E79">
        <w:t>:</w:t>
      </w:r>
      <w:r w:rsidRPr="0098677F">
        <w:t xml:space="preserve"> https://www.cdhowe.org/), 2008. </w:t>
      </w:r>
    </w:p>
    <w:p w:rsidR="00281168" w:rsidRPr="0098677F" w:rsidRDefault="00281168" w:rsidP="00E906DC">
      <w:pPr>
        <w:pStyle w:val="SCCNormalDoubleSpacing"/>
        <w:spacing w:after="720" w:line="240" w:lineRule="auto"/>
        <w:ind w:left="547" w:hanging="547"/>
      </w:pPr>
      <w:r w:rsidRPr="0098677F">
        <w:t xml:space="preserve">Smith, Lynn, and William Black. “The Equality Rights” (2013), 62 </w:t>
      </w:r>
      <w:r w:rsidRPr="0098677F">
        <w:rPr>
          <w:i/>
        </w:rPr>
        <w:t>S.C.L.R.</w:t>
      </w:r>
      <w:r w:rsidRPr="0098677F">
        <w:t xml:space="preserve"> (2d) 301. </w:t>
      </w:r>
    </w:p>
    <w:p w:rsidR="00F13068" w:rsidRPr="0098677F" w:rsidRDefault="00864C4C" w:rsidP="00E906DC">
      <w:pPr>
        <w:pStyle w:val="SCCNormalDoubleSpacing"/>
        <w:spacing w:before="480" w:after="480"/>
      </w:pPr>
      <w:r w:rsidRPr="0098677F">
        <w:tab/>
      </w:r>
      <w:r w:rsidR="009B57B3" w:rsidRPr="0098677F">
        <w:t>APPEAL from a judgment of the Federal Court of Appeal</w:t>
      </w:r>
      <w:r w:rsidR="00E906DC" w:rsidRPr="0098677F">
        <w:t xml:space="preserve"> (</w:t>
      </w:r>
      <w:proofErr w:type="spellStart"/>
      <w:r w:rsidR="00E906DC" w:rsidRPr="0098677F">
        <w:t>Blais</w:t>
      </w:r>
      <w:proofErr w:type="spellEnd"/>
      <w:r w:rsidR="008B0327">
        <w:t xml:space="preserve"> </w:t>
      </w:r>
      <w:r w:rsidR="00E906DC" w:rsidRPr="0098677F">
        <w:t xml:space="preserve">C.J. and </w:t>
      </w:r>
      <w:proofErr w:type="spellStart"/>
      <w:r w:rsidR="00E906DC" w:rsidRPr="0098677F">
        <w:t>Mainville</w:t>
      </w:r>
      <w:proofErr w:type="spellEnd"/>
      <w:r w:rsidR="00E906DC" w:rsidRPr="0098677F">
        <w:t xml:space="preserve"> and Near</w:t>
      </w:r>
      <w:r w:rsidR="008B0327">
        <w:t xml:space="preserve"> </w:t>
      </w:r>
      <w:r w:rsidR="00D33AF9" w:rsidRPr="0098677F">
        <w:t>JJ.</w:t>
      </w:r>
      <w:r w:rsidR="00E066F0" w:rsidRPr="0098677F">
        <w:t>A.</w:t>
      </w:r>
      <w:r w:rsidR="00D33AF9" w:rsidRPr="0098677F">
        <w:t xml:space="preserve">), 2013 FCA 192, 447 N.R. 352, 365 D.L.R. (4th) 485, [2014] 1 C.N.L.R. 375, [2013] F.C.J. </w:t>
      </w:r>
      <w:r w:rsidR="000450F1">
        <w:t>No.</w:t>
      </w:r>
      <w:r w:rsidR="008B0327">
        <w:t xml:space="preserve"> </w:t>
      </w:r>
      <w:r w:rsidR="00D33AF9" w:rsidRPr="0098677F">
        <w:t xml:space="preserve">938 (QL), 2013 </w:t>
      </w:r>
      <w:proofErr w:type="spellStart"/>
      <w:r w:rsidR="00D33AF9" w:rsidRPr="0098677F">
        <w:t>CarswellNat</w:t>
      </w:r>
      <w:proofErr w:type="spellEnd"/>
      <w:r w:rsidR="00D33AF9" w:rsidRPr="0098677F">
        <w:t xml:space="preserve"> 3091</w:t>
      </w:r>
      <w:r w:rsidR="00A33B69" w:rsidRPr="0098677F">
        <w:t xml:space="preserve"> (WL Can.)</w:t>
      </w:r>
      <w:r w:rsidR="00D33AF9" w:rsidRPr="0098677F">
        <w:t xml:space="preserve">, </w:t>
      </w:r>
      <w:r w:rsidR="00A33B69" w:rsidRPr="0098677F">
        <w:t>setting aside</w:t>
      </w:r>
      <w:r w:rsidR="007174FC" w:rsidRPr="0098677F">
        <w:t xml:space="preserve"> a decision of</w:t>
      </w:r>
      <w:r w:rsidR="0098677F">
        <w:t xml:space="preserve"> de </w:t>
      </w:r>
      <w:proofErr w:type="spellStart"/>
      <w:r w:rsidR="0098677F">
        <w:t>Montigny</w:t>
      </w:r>
      <w:proofErr w:type="spellEnd"/>
      <w:r w:rsidR="008B0327">
        <w:t xml:space="preserve"> </w:t>
      </w:r>
      <w:r w:rsidR="007174FC" w:rsidRPr="0098677F">
        <w:t xml:space="preserve">J., </w:t>
      </w:r>
      <w:r w:rsidR="00F13068" w:rsidRPr="0098677F">
        <w:t xml:space="preserve">2012 FC 1036, 417 F.T.R. 160, 268 C.R.R. (2d) 77, [2013] 1 C.N.L.R. 349, [2012] F.C.J. </w:t>
      </w:r>
      <w:r w:rsidR="000450F1">
        <w:t>No.</w:t>
      </w:r>
      <w:r w:rsidR="008B0327">
        <w:t xml:space="preserve"> </w:t>
      </w:r>
      <w:r w:rsidR="00F13068" w:rsidRPr="0098677F">
        <w:t>112</w:t>
      </w:r>
      <w:r w:rsidR="00A33B69" w:rsidRPr="0098677F">
        <w:t xml:space="preserve">5 (QL), 2012 </w:t>
      </w:r>
      <w:proofErr w:type="spellStart"/>
      <w:r w:rsidR="00A33B69" w:rsidRPr="0098677F">
        <w:t>CarswellNat</w:t>
      </w:r>
      <w:proofErr w:type="spellEnd"/>
      <w:r w:rsidR="00A33B69" w:rsidRPr="0098677F">
        <w:t xml:space="preserve"> 3389 (WL Can.). </w:t>
      </w:r>
      <w:r w:rsidR="00F13068" w:rsidRPr="0098677F">
        <w:t xml:space="preserve">Appeal </w:t>
      </w:r>
      <w:r w:rsidR="00B71C5D" w:rsidRPr="0098677F">
        <w:t>allowed</w:t>
      </w:r>
      <w:r w:rsidR="00F13068" w:rsidRPr="0098677F">
        <w:t>.</w:t>
      </w:r>
    </w:p>
    <w:p w:rsidR="00F761A9" w:rsidRPr="0098677F" w:rsidRDefault="00766BDC" w:rsidP="00E906DC">
      <w:pPr>
        <w:pStyle w:val="SCCNormalDoubleSpacing"/>
        <w:spacing w:before="480" w:after="480"/>
      </w:pPr>
      <w:r w:rsidRPr="0098677F">
        <w:rPr>
          <w:rStyle w:val="SCCCounselNameChar"/>
        </w:rPr>
        <w:lastRenderedPageBreak/>
        <w:tab/>
      </w:r>
      <w:r w:rsidR="002D0D22" w:rsidRPr="0098677F">
        <w:rPr>
          <w:rStyle w:val="SCCCounselNameChar"/>
        </w:rPr>
        <w:t>Eugene Meehan</w:t>
      </w:r>
      <w:r w:rsidR="002D0D22" w:rsidRPr="0098677F">
        <w:rPr>
          <w:rStyle w:val="SCCCounselNameChar"/>
          <w:i w:val="0"/>
        </w:rPr>
        <w:t xml:space="preserve">, </w:t>
      </w:r>
      <w:r w:rsidR="002D0D22" w:rsidRPr="0098677F">
        <w:rPr>
          <w:rStyle w:val="SCCCounselNameChar"/>
        </w:rPr>
        <w:t>Q.C.</w:t>
      </w:r>
      <w:r w:rsidR="002D0D22" w:rsidRPr="0098677F">
        <w:rPr>
          <w:rStyle w:val="SCCCounselPartyRoleChar"/>
        </w:rPr>
        <w:t xml:space="preserve">, </w:t>
      </w:r>
      <w:r w:rsidR="002D0D22" w:rsidRPr="0098677F">
        <w:rPr>
          <w:rStyle w:val="SCCCounselPartyRoleChar"/>
          <w:i/>
        </w:rPr>
        <w:t>Marie</w:t>
      </w:r>
      <w:r w:rsidR="008B0327">
        <w:rPr>
          <w:rStyle w:val="SCCCounselPartyRoleChar"/>
          <w:i/>
        </w:rPr>
        <w:t>-</w:t>
      </w:r>
      <w:r w:rsidR="002D0D22" w:rsidRPr="0098677F">
        <w:rPr>
          <w:rStyle w:val="SCCCounselPartyRoleChar"/>
          <w:i/>
        </w:rPr>
        <w:t>France Major</w:t>
      </w:r>
      <w:r w:rsidR="002D0D22" w:rsidRPr="0098677F">
        <w:rPr>
          <w:rStyle w:val="SCCCounselPartyRoleChar"/>
        </w:rPr>
        <w:t xml:space="preserve">, </w:t>
      </w:r>
      <w:r w:rsidR="00E906DC" w:rsidRPr="0098677F">
        <w:rPr>
          <w:rStyle w:val="SCCCounselNameChar"/>
        </w:rPr>
        <w:t>James</w:t>
      </w:r>
      <w:r w:rsidR="008B0327">
        <w:rPr>
          <w:rStyle w:val="SCCCounselNameChar"/>
        </w:rPr>
        <w:t xml:space="preserve"> </w:t>
      </w:r>
      <w:r w:rsidRPr="0098677F">
        <w:rPr>
          <w:rStyle w:val="SCCCounselNameChar"/>
        </w:rPr>
        <w:t xml:space="preserve">D. </w:t>
      </w:r>
      <w:proofErr w:type="spellStart"/>
      <w:r w:rsidRPr="0098677F">
        <w:rPr>
          <w:rStyle w:val="SCCCounselNameChar"/>
        </w:rPr>
        <w:t>Jodouin</w:t>
      </w:r>
      <w:proofErr w:type="spellEnd"/>
      <w:r w:rsidR="002D0D22" w:rsidRPr="0098677F">
        <w:rPr>
          <w:rStyle w:val="SCCCounselNameChar"/>
        </w:rPr>
        <w:t xml:space="preserve"> </w:t>
      </w:r>
      <w:r w:rsidR="002D0D22" w:rsidRPr="0098677F">
        <w:rPr>
          <w:rStyle w:val="SCCCounselNameChar"/>
          <w:i w:val="0"/>
        </w:rPr>
        <w:t>and</w:t>
      </w:r>
      <w:r w:rsidRPr="0098677F">
        <w:rPr>
          <w:rStyle w:val="SCCCounselSeparatorChar"/>
        </w:rPr>
        <w:t xml:space="preserve"> </w:t>
      </w:r>
      <w:r w:rsidR="00E906DC" w:rsidRPr="0098677F">
        <w:rPr>
          <w:rStyle w:val="SCCCounselNameChar"/>
        </w:rPr>
        <w:t>Marcus</w:t>
      </w:r>
      <w:r w:rsidR="008B0327">
        <w:rPr>
          <w:rStyle w:val="SCCCounselNameChar"/>
        </w:rPr>
        <w:t xml:space="preserve"> </w:t>
      </w:r>
      <w:r w:rsidRPr="0098677F">
        <w:rPr>
          <w:rStyle w:val="SCCCounselNameChar"/>
        </w:rPr>
        <w:t>R. Davies</w:t>
      </w:r>
      <w:r w:rsidR="002D0D22" w:rsidRPr="0098677F">
        <w:rPr>
          <w:rStyle w:val="SCCCounselSeparatorChar"/>
        </w:rPr>
        <w:t xml:space="preserve">, </w:t>
      </w:r>
      <w:r w:rsidRPr="0098677F">
        <w:rPr>
          <w:rStyle w:val="SCCCounselPartyRoleChar"/>
        </w:rPr>
        <w:t>for the appellant</w:t>
      </w:r>
      <w:r w:rsidR="002D0D22" w:rsidRPr="0098677F">
        <w:rPr>
          <w:rStyle w:val="SCCCounselPartyRoleChar"/>
        </w:rPr>
        <w:t>s</w:t>
      </w:r>
      <w:r w:rsidRPr="0098677F">
        <w:rPr>
          <w:rStyle w:val="SCCCounselPartyRoleChar"/>
        </w:rPr>
        <w:t>.</w:t>
      </w:r>
    </w:p>
    <w:p w:rsidR="00F761A9" w:rsidRPr="0098677F" w:rsidRDefault="00766BDC" w:rsidP="00E906DC">
      <w:pPr>
        <w:pStyle w:val="SCCNormalDoubleSpacing"/>
        <w:spacing w:before="480" w:after="480"/>
      </w:pPr>
      <w:r w:rsidRPr="0098677F">
        <w:rPr>
          <w:rStyle w:val="SCCCounselNameChar"/>
        </w:rPr>
        <w:tab/>
        <w:t>Mervin</w:t>
      </w:r>
      <w:r w:rsidR="008B0327">
        <w:rPr>
          <w:rStyle w:val="SCCCounselNameChar"/>
        </w:rPr>
        <w:t xml:space="preserve"> </w:t>
      </w:r>
      <w:r w:rsidRPr="0098677F">
        <w:rPr>
          <w:rStyle w:val="SCCCounselNameChar"/>
        </w:rPr>
        <w:t>C. Phillips</w:t>
      </w:r>
      <w:r w:rsidRPr="0098677F">
        <w:rPr>
          <w:rStyle w:val="SCCCounselSeparatorChar"/>
        </w:rPr>
        <w:t xml:space="preserve"> and </w:t>
      </w:r>
      <w:proofErr w:type="spellStart"/>
      <w:r w:rsidRPr="0098677F">
        <w:rPr>
          <w:rStyle w:val="SCCCounselNameChar"/>
        </w:rPr>
        <w:t>Leane</w:t>
      </w:r>
      <w:proofErr w:type="spellEnd"/>
      <w:r w:rsidRPr="0098677F">
        <w:rPr>
          <w:rStyle w:val="SCCCounselNameChar"/>
        </w:rPr>
        <w:t xml:space="preserve"> Phillips</w:t>
      </w:r>
      <w:r w:rsidRPr="0098677F">
        <w:rPr>
          <w:rStyle w:val="SCCCounselPartyRoleChar"/>
        </w:rPr>
        <w:t>, for the respondent.</w:t>
      </w:r>
    </w:p>
    <w:p w:rsidR="008B0327" w:rsidRPr="00B01841" w:rsidRDefault="00B01841" w:rsidP="008B0327">
      <w:pPr>
        <w:pStyle w:val="JudgeJuge"/>
        <w:rPr>
          <w:smallCaps w:val="0"/>
        </w:rPr>
      </w:pPr>
      <w:r>
        <w:tab/>
      </w:r>
      <w:r>
        <w:rPr>
          <w:smallCaps w:val="0"/>
        </w:rPr>
        <w:t xml:space="preserve">The judgment of the court was delivered by </w:t>
      </w:r>
    </w:p>
    <w:p w:rsidR="008B0327" w:rsidRPr="00E90093" w:rsidRDefault="008B0327" w:rsidP="008B0327">
      <w:pPr>
        <w:pStyle w:val="ParaNoNdepar-AltN"/>
        <w:rPr>
          <w:rFonts w:cs="Times New Roman"/>
          <w:i/>
        </w:rPr>
      </w:pPr>
      <w:proofErr w:type="spellStart"/>
      <w:r w:rsidRPr="008B0327">
        <w:rPr>
          <w:smallCaps/>
        </w:rPr>
        <w:t>Abella</w:t>
      </w:r>
      <w:proofErr w:type="spellEnd"/>
      <w:r w:rsidRPr="008B0327">
        <w:rPr>
          <w:smallCaps/>
        </w:rPr>
        <w:t xml:space="preserve"> J.</w:t>
      </w:r>
      <w:r w:rsidRPr="008B0327">
        <w:t xml:space="preserve"> — </w:t>
      </w:r>
      <w:r w:rsidRPr="00E90093">
        <w:rPr>
          <w:rFonts w:cs="Times New Roman"/>
        </w:rPr>
        <w:t xml:space="preserve">In the 1996 Report of the Royal Commission on Aboriginal Peoples, education was identified as a top priority for promoting collective and individual well-being in Aboriginal communities, and for helping those communities prepare to assume the complete range of responsibilities associated with self-government: </w:t>
      </w:r>
    </w:p>
    <w:p w:rsidR="008B0327" w:rsidRPr="00E90093" w:rsidRDefault="008B0327" w:rsidP="008B0327">
      <w:pPr>
        <w:pStyle w:val="Citation-AltC"/>
      </w:pPr>
      <w:r w:rsidRPr="00E90093">
        <w:t>In our public hearings, Aboriginal parents, elders, youth and leaders came forward to tell us of the vital importance of education in achieving their vision of a prosperous future.  Education is seen as the vehicle for both enhancing the life of the individual and reaching collective goals.</w:t>
      </w:r>
    </w:p>
    <w:p w:rsidR="008B0327" w:rsidRPr="00E90093" w:rsidRDefault="008B0327" w:rsidP="008B0327">
      <w:pPr>
        <w:pStyle w:val="Citation-AltC"/>
      </w:pPr>
    </w:p>
    <w:p w:rsidR="008B0327" w:rsidRPr="00E90093" w:rsidRDefault="008B0327" w:rsidP="008B0327">
      <w:pPr>
        <w:pStyle w:val="Citation-AltC"/>
        <w:jc w:val="center"/>
      </w:pPr>
      <w:r>
        <w:t>. . .</w:t>
      </w:r>
    </w:p>
    <w:p w:rsidR="008B0327" w:rsidRPr="00E90093" w:rsidRDefault="008B0327" w:rsidP="008B0327">
      <w:pPr>
        <w:pStyle w:val="Citation-AltC"/>
      </w:pPr>
    </w:p>
    <w:p w:rsidR="008B0327" w:rsidRPr="00E90093" w:rsidRDefault="008B0327" w:rsidP="008B0327">
      <w:pPr>
        <w:pStyle w:val="Citation-AltC"/>
      </w:pPr>
      <w:r w:rsidRPr="00E90093">
        <w:tab/>
        <w:t>Over the past two decades, as the determination to re-establish self-governing nations has gathered momentum, Aboriginal people have repeatedly stressed the importance of building their capacity to operate contemporary self-governing structures</w:t>
      </w:r>
      <w:r>
        <w:t>. . . .</w:t>
      </w:r>
    </w:p>
    <w:p w:rsidR="008B0327" w:rsidRPr="00E90093" w:rsidRDefault="008B0327" w:rsidP="008B0327">
      <w:pPr>
        <w:pStyle w:val="Citation-AltC"/>
      </w:pPr>
    </w:p>
    <w:p w:rsidR="008B0327" w:rsidRPr="00E90093" w:rsidRDefault="008B0327" w:rsidP="008B0327">
      <w:pPr>
        <w:pStyle w:val="Citation-AltC"/>
        <w:jc w:val="center"/>
      </w:pPr>
      <w:r>
        <w:t>. . .</w:t>
      </w:r>
    </w:p>
    <w:p w:rsidR="008B0327" w:rsidRPr="00E90093" w:rsidRDefault="008B0327" w:rsidP="008B0327">
      <w:pPr>
        <w:pStyle w:val="Citation-AltC"/>
      </w:pPr>
    </w:p>
    <w:p w:rsidR="00B01841" w:rsidRDefault="008B0327" w:rsidP="008B0327">
      <w:pPr>
        <w:pStyle w:val="Citation-AltC"/>
      </w:pPr>
      <w:r w:rsidRPr="00E90093">
        <w:tab/>
      </w:r>
      <w:r>
        <w:t>. . .</w:t>
      </w:r>
      <w:r w:rsidRPr="00E90093">
        <w:t xml:space="preserve"> Education is essential to hone the talents needed to assume the responsibilities of the present and </w:t>
      </w:r>
      <w:proofErr w:type="gramStart"/>
      <w:r w:rsidRPr="00E90093">
        <w:t>future</w:t>
      </w:r>
      <w:r w:rsidR="00B35C2E">
        <w:t xml:space="preserve"> </w:t>
      </w:r>
      <w:r>
        <w:t>.</w:t>
      </w:r>
      <w:proofErr w:type="gramEnd"/>
      <w:r>
        <w:t> . . .</w:t>
      </w:r>
      <w:r w:rsidRPr="00E90093">
        <w:t xml:space="preserve"> </w:t>
      </w:r>
    </w:p>
    <w:p w:rsidR="00B01841" w:rsidRDefault="00B01841" w:rsidP="00B35C2E">
      <w:pPr>
        <w:pStyle w:val="Citation-AltC"/>
        <w:spacing w:after="480" w:line="480" w:lineRule="auto"/>
        <w:ind w:left="0"/>
      </w:pPr>
    </w:p>
    <w:p w:rsidR="008B0327" w:rsidRPr="00E90093" w:rsidRDefault="00B01841" w:rsidP="00B35C2E">
      <w:pPr>
        <w:pStyle w:val="Citation-AltC"/>
        <w:spacing w:after="480" w:line="480" w:lineRule="auto"/>
        <w:ind w:left="0"/>
      </w:pPr>
      <w:r w:rsidRPr="00B01841">
        <w:t>(</w:t>
      </w:r>
      <w:r w:rsidR="008B0327" w:rsidRPr="00E90093">
        <w:rPr>
          <w:i/>
        </w:rPr>
        <w:t>Report of the Royal Commission on Aboriginal People</w:t>
      </w:r>
      <w:r>
        <w:rPr>
          <w:i/>
        </w:rPr>
        <w:t>s</w:t>
      </w:r>
      <w:r w:rsidR="008B0327" w:rsidRPr="00E90093">
        <w:t xml:space="preserve">, vol. 3, </w:t>
      </w:r>
      <w:r w:rsidR="008B0327" w:rsidRPr="00E90093">
        <w:rPr>
          <w:i/>
        </w:rPr>
        <w:t>Gathering Strength</w:t>
      </w:r>
      <w:r>
        <w:t xml:space="preserve"> (1996),</w:t>
      </w:r>
      <w:r w:rsidR="007677D0">
        <w:t xml:space="preserve"> at</w:t>
      </w:r>
      <w:r w:rsidR="008B0327" w:rsidRPr="00E90093">
        <w:t xml:space="preserve"> pp. 433 and 540-41</w:t>
      </w:r>
      <w:r>
        <w:t>)</w:t>
      </w:r>
    </w:p>
    <w:p w:rsidR="008B0327" w:rsidRPr="00E90093" w:rsidRDefault="008B0327" w:rsidP="008B0327">
      <w:pPr>
        <w:pStyle w:val="ParaNoNdepar-AltN"/>
        <w:rPr>
          <w:rFonts w:cs="Times New Roman"/>
        </w:rPr>
      </w:pPr>
      <w:r w:rsidRPr="00E90093">
        <w:rPr>
          <w:rFonts w:cs="Times New Roman"/>
        </w:rPr>
        <w:lastRenderedPageBreak/>
        <w:t xml:space="preserve">In response to these aspirational goals — promoting good governance and encouraging education — the </w:t>
      </w:r>
      <w:proofErr w:type="spellStart"/>
      <w:r w:rsidRPr="00E90093">
        <w:rPr>
          <w:rFonts w:cs="Times New Roman"/>
        </w:rPr>
        <w:t>Kahkewistahaw</w:t>
      </w:r>
      <w:proofErr w:type="spellEnd"/>
      <w:r w:rsidRPr="00E90093">
        <w:rPr>
          <w:rFonts w:cs="Times New Roman"/>
        </w:rPr>
        <w:t xml:space="preserve"> First Nation in Saskatchewan spent 13 years developing an Election Code which included a Grade 12 requirement for candidates who wished to be Chief or a Band Councillor.  This had the effect of preventing Louis </w:t>
      </w:r>
      <w:proofErr w:type="spellStart"/>
      <w:r w:rsidRPr="00E90093">
        <w:rPr>
          <w:rFonts w:cs="Times New Roman"/>
        </w:rPr>
        <w:t>Taypotat</w:t>
      </w:r>
      <w:proofErr w:type="spellEnd"/>
      <w:r w:rsidRPr="00E90093">
        <w:rPr>
          <w:rFonts w:cs="Times New Roman"/>
        </w:rPr>
        <w:t xml:space="preserve">, who had been Chief for most of the previous three decades, from running again for office.  Despite the fact that he was Chief for much of the consultation process that led to the development of the new Election Code, he challenged the process, his disqualification and the constitutionality of the Grade 12 requirement.  The only remaining issue in this appeal is the constitutional challenge. </w:t>
      </w:r>
    </w:p>
    <w:p w:rsidR="008B0327" w:rsidRPr="00E90093" w:rsidRDefault="008B0327" w:rsidP="008B0327">
      <w:pPr>
        <w:pStyle w:val="ParaNoNdepar-AltN"/>
        <w:numPr>
          <w:ilvl w:val="0"/>
          <w:numId w:val="0"/>
        </w:numPr>
        <w:rPr>
          <w:rFonts w:cs="Times New Roman"/>
          <w:u w:val="single"/>
        </w:rPr>
      </w:pPr>
      <w:r w:rsidRPr="00E90093">
        <w:rPr>
          <w:rFonts w:cs="Times New Roman"/>
          <w:u w:val="single"/>
        </w:rPr>
        <w:t>Background</w:t>
      </w:r>
    </w:p>
    <w:p w:rsidR="008B0327" w:rsidRPr="00E90093" w:rsidRDefault="008B0327" w:rsidP="008B0327">
      <w:pPr>
        <w:pStyle w:val="ParaNoNdepar-AltN"/>
        <w:rPr>
          <w:rFonts w:cs="Times New Roman"/>
        </w:rPr>
      </w:pPr>
      <w:r w:rsidRPr="00E90093">
        <w:rPr>
          <w:rFonts w:cs="Times New Roman"/>
        </w:rPr>
        <w:t xml:space="preserve">The Department of Indian Affairs and Northern Development has an established process by which First Nations communities who have been subject to the election provisions of the </w:t>
      </w:r>
      <w:r w:rsidRPr="00E90093">
        <w:rPr>
          <w:rFonts w:cs="Times New Roman"/>
          <w:i/>
        </w:rPr>
        <w:t>Indian Act</w:t>
      </w:r>
      <w:r w:rsidRPr="00E90093">
        <w:rPr>
          <w:rFonts w:cs="Times New Roman"/>
        </w:rPr>
        <w:t>,</w:t>
      </w:r>
      <w:r w:rsidRPr="00E90093">
        <w:rPr>
          <w:rFonts w:cs="Times New Roman"/>
          <w:i/>
        </w:rPr>
        <w:t xml:space="preserve"> </w:t>
      </w:r>
      <w:r w:rsidRPr="00E90093">
        <w:rPr>
          <w:rFonts w:cs="Times New Roman"/>
        </w:rPr>
        <w:t>R.S.C. 1985, c. I-5, can elect their leaders under their own Election Codes.</w:t>
      </w:r>
      <w:r w:rsidRPr="00E90093">
        <w:rPr>
          <w:rFonts w:cs="Times New Roman"/>
          <w:b/>
        </w:rPr>
        <w:t xml:space="preserve"> </w:t>
      </w:r>
      <w:r w:rsidRPr="00E90093">
        <w:rPr>
          <w:rFonts w:cs="Times New Roman"/>
        </w:rPr>
        <w:t xml:space="preserve">Before the Minister authorizes a community to take this step, the community has to prepare a written election code which meets certain minimum requirements, including compliance with the </w:t>
      </w:r>
      <w:r w:rsidRPr="00E90093">
        <w:rPr>
          <w:rFonts w:cs="Times New Roman"/>
          <w:i/>
        </w:rPr>
        <w:t>Canadian Charter of Rights and Freedoms</w:t>
      </w:r>
      <w:r w:rsidRPr="00E90093">
        <w:rPr>
          <w:rFonts w:cs="Times New Roman"/>
        </w:rPr>
        <w:t>. A majority of the voting members of the First Nation must be in favour of the Code.</w:t>
      </w:r>
      <w:r w:rsidRPr="00E90093">
        <w:rPr>
          <w:rFonts w:cs="Times New Roman"/>
          <w:b/>
        </w:rPr>
        <w:t xml:space="preserve">  </w:t>
      </w:r>
    </w:p>
    <w:p w:rsidR="008B0327" w:rsidRPr="00E90093" w:rsidRDefault="008B0327" w:rsidP="008B0327">
      <w:pPr>
        <w:pStyle w:val="ParaNoNdepar-AltN"/>
        <w:rPr>
          <w:rFonts w:cs="Times New Roman"/>
        </w:rPr>
      </w:pPr>
      <w:r w:rsidRPr="00E90093">
        <w:rPr>
          <w:rFonts w:cs="Times New Roman"/>
        </w:rPr>
        <w:t xml:space="preserve">Louis </w:t>
      </w:r>
      <w:proofErr w:type="spellStart"/>
      <w:r w:rsidRPr="00E90093">
        <w:rPr>
          <w:rFonts w:cs="Times New Roman"/>
        </w:rPr>
        <w:t>Taypotat</w:t>
      </w:r>
      <w:proofErr w:type="spellEnd"/>
      <w:r w:rsidRPr="00E90093">
        <w:rPr>
          <w:rFonts w:cs="Times New Roman"/>
        </w:rPr>
        <w:t xml:space="preserve"> is 76 years old. He is a member of the </w:t>
      </w:r>
      <w:proofErr w:type="spellStart"/>
      <w:r w:rsidRPr="00E90093">
        <w:rPr>
          <w:rFonts w:cs="Times New Roman"/>
        </w:rPr>
        <w:t>Kahkewistahaw</w:t>
      </w:r>
      <w:proofErr w:type="spellEnd"/>
      <w:r w:rsidRPr="00E90093">
        <w:rPr>
          <w:rFonts w:cs="Times New Roman"/>
        </w:rPr>
        <w:t xml:space="preserve"> First Nation, a community of approximately 2,000 people in Saskatchewan.  He has a Grade 10 education and received an honorary diploma from the Saskatchewan Indian </w:t>
      </w:r>
      <w:r w:rsidRPr="00E90093">
        <w:rPr>
          <w:rFonts w:cs="Times New Roman"/>
        </w:rPr>
        <w:lastRenderedPageBreak/>
        <w:t xml:space="preserve">Institute of Technology in recognition of his service to his community. He was the elected Chief of the </w:t>
      </w:r>
      <w:proofErr w:type="spellStart"/>
      <w:r w:rsidRPr="00E90093">
        <w:rPr>
          <w:rFonts w:cs="Times New Roman"/>
        </w:rPr>
        <w:t>Kahkewistahaw</w:t>
      </w:r>
      <w:proofErr w:type="spellEnd"/>
      <w:r w:rsidRPr="00E90093">
        <w:rPr>
          <w:rFonts w:cs="Times New Roman"/>
        </w:rPr>
        <w:t xml:space="preserve"> First Nation for a total of more than 27 years — from 1973 to 1989, from 1992 to 1993 and from 1997 to 2007.  His elections were held under the procedure set out in the </w:t>
      </w:r>
      <w:r w:rsidRPr="00E90093">
        <w:rPr>
          <w:rFonts w:cs="Times New Roman"/>
          <w:i/>
        </w:rPr>
        <w:t>Indian Act</w:t>
      </w:r>
      <w:r w:rsidRPr="00E90093">
        <w:rPr>
          <w:rFonts w:cs="Times New Roman"/>
        </w:rPr>
        <w:t xml:space="preserve">. </w:t>
      </w:r>
    </w:p>
    <w:p w:rsidR="008B0327" w:rsidRPr="00E90093" w:rsidRDefault="008B0327" w:rsidP="008B0327">
      <w:pPr>
        <w:pStyle w:val="ParaNoNdepar-AltN"/>
        <w:rPr>
          <w:rFonts w:cs="Times New Roman"/>
        </w:rPr>
      </w:pPr>
      <w:r w:rsidRPr="00E90093">
        <w:rPr>
          <w:rFonts w:cs="Times New Roman"/>
        </w:rPr>
        <w:t xml:space="preserve">In the late 1990s, the </w:t>
      </w:r>
      <w:proofErr w:type="spellStart"/>
      <w:r w:rsidRPr="00E90093">
        <w:rPr>
          <w:rFonts w:cs="Times New Roman"/>
        </w:rPr>
        <w:t>Kahkewistahaw</w:t>
      </w:r>
      <w:proofErr w:type="spellEnd"/>
      <w:r w:rsidRPr="00E90093">
        <w:rPr>
          <w:rFonts w:cs="Times New Roman"/>
        </w:rPr>
        <w:t xml:space="preserve"> First Nation began the process of developing its own community Election Code. The community consultation to develop and ratify the code took 13 years. Much of the process, which was conducted publicly and openly, was under the guidance of Louis </w:t>
      </w:r>
      <w:proofErr w:type="spellStart"/>
      <w:r w:rsidRPr="00E90093">
        <w:rPr>
          <w:rFonts w:cs="Times New Roman"/>
        </w:rPr>
        <w:t>Taypotat</w:t>
      </w:r>
      <w:proofErr w:type="spellEnd"/>
      <w:r w:rsidRPr="00E90093">
        <w:rPr>
          <w:rFonts w:cs="Times New Roman"/>
        </w:rPr>
        <w:t xml:space="preserve"> as Chief. </w:t>
      </w:r>
    </w:p>
    <w:p w:rsidR="008B0327" w:rsidRPr="00E90093" w:rsidRDefault="008B0327" w:rsidP="008B0327">
      <w:pPr>
        <w:pStyle w:val="ParaNoNdepar-AltN"/>
        <w:spacing w:before="240"/>
        <w:rPr>
          <w:rFonts w:cs="Times New Roman"/>
        </w:rPr>
      </w:pPr>
      <w:r w:rsidRPr="00E90093">
        <w:rPr>
          <w:rFonts w:cs="Times New Roman"/>
        </w:rPr>
        <w:t xml:space="preserve">The first draft of the Code was developed in 1998. It included a provision that required candidates for Chief or Band Councillor to have “formal education at a post-secondary level or equivalent education/experience”. Subsequent drafts, including the final version, specified that candidates are required to have at least a Grade 12 education: </w:t>
      </w:r>
      <w:proofErr w:type="spellStart"/>
      <w:r w:rsidRPr="00E90093">
        <w:rPr>
          <w:rFonts w:cs="Times New Roman"/>
          <w:i/>
        </w:rPr>
        <w:t>Kahkewistahaw</w:t>
      </w:r>
      <w:proofErr w:type="spellEnd"/>
      <w:r w:rsidRPr="00E90093">
        <w:rPr>
          <w:rFonts w:cs="Times New Roman"/>
          <w:i/>
        </w:rPr>
        <w:t xml:space="preserve"> Election Act</w:t>
      </w:r>
      <w:r w:rsidR="008B2F9F" w:rsidRPr="008B2F9F">
        <w:rPr>
          <w:rFonts w:cs="Times New Roman"/>
        </w:rPr>
        <w:t>,</w:t>
      </w:r>
      <w:r w:rsidR="008B2F9F">
        <w:rPr>
          <w:rFonts w:cs="Times New Roman"/>
          <w:i/>
        </w:rPr>
        <w:t xml:space="preserve"> </w:t>
      </w:r>
      <w:r w:rsidR="008B2F9F" w:rsidRPr="00E90093">
        <w:rPr>
          <w:rFonts w:cs="Times New Roman"/>
        </w:rPr>
        <w:t>s. 9.03(</w:t>
      </w:r>
      <w:r w:rsidR="008B2F9F" w:rsidRPr="00B01841">
        <w:rPr>
          <w:rFonts w:cs="Times New Roman"/>
        </w:rPr>
        <w:t>c</w:t>
      </w:r>
      <w:r w:rsidR="008B2F9F" w:rsidRPr="00E90093">
        <w:rPr>
          <w:rFonts w:cs="Times New Roman"/>
        </w:rPr>
        <w:t>)</w:t>
      </w:r>
      <w:r w:rsidRPr="00E90093">
        <w:rPr>
          <w:rFonts w:cs="Times New Roman"/>
        </w:rPr>
        <w:t xml:space="preserve">.  Candidates have to demonstrate to the Electoral Officer that they have the requisite level of education before they are permitted to run: </w:t>
      </w:r>
      <w:proofErr w:type="spellStart"/>
      <w:r w:rsidRPr="00E90093">
        <w:rPr>
          <w:rFonts w:cs="Times New Roman"/>
          <w:i/>
        </w:rPr>
        <w:t>Kahkewistahaw</w:t>
      </w:r>
      <w:proofErr w:type="spellEnd"/>
      <w:r w:rsidRPr="00E90093">
        <w:rPr>
          <w:rFonts w:cs="Times New Roman"/>
          <w:i/>
        </w:rPr>
        <w:t xml:space="preserve"> Election Act</w:t>
      </w:r>
      <w:r w:rsidRPr="00E90093">
        <w:rPr>
          <w:rFonts w:cs="Times New Roman"/>
        </w:rPr>
        <w:t xml:space="preserve">, s. 10.01(d).  </w:t>
      </w:r>
    </w:p>
    <w:p w:rsidR="008B0327" w:rsidRPr="00E90093" w:rsidRDefault="008B0327" w:rsidP="008B0327">
      <w:pPr>
        <w:pStyle w:val="ParaNoNdepar-AltN"/>
        <w:rPr>
          <w:rFonts w:cs="Times New Roman"/>
        </w:rPr>
      </w:pPr>
      <w:r w:rsidRPr="00E90093">
        <w:rPr>
          <w:rFonts w:cs="Times New Roman"/>
        </w:rPr>
        <w:t xml:space="preserve">The first ratification vote of the final version of the Code, the </w:t>
      </w:r>
      <w:proofErr w:type="spellStart"/>
      <w:r w:rsidRPr="00E90093">
        <w:rPr>
          <w:rFonts w:cs="Times New Roman"/>
          <w:i/>
        </w:rPr>
        <w:t>Kahkewistahaw</w:t>
      </w:r>
      <w:proofErr w:type="spellEnd"/>
      <w:r w:rsidRPr="00E90093">
        <w:rPr>
          <w:rFonts w:cs="Times New Roman"/>
          <w:i/>
        </w:rPr>
        <w:t xml:space="preserve"> Election Act</w:t>
      </w:r>
      <w:r w:rsidRPr="00E90093">
        <w:rPr>
          <w:rFonts w:cs="Times New Roman"/>
        </w:rPr>
        <w:t xml:space="preserve">, was held in September 2008 while Louis </w:t>
      </w:r>
      <w:proofErr w:type="spellStart"/>
      <w:r w:rsidRPr="00E90093">
        <w:rPr>
          <w:rFonts w:cs="Times New Roman"/>
        </w:rPr>
        <w:t>Taypotat</w:t>
      </w:r>
      <w:proofErr w:type="spellEnd"/>
      <w:r w:rsidRPr="00E90093">
        <w:rPr>
          <w:rFonts w:cs="Times New Roman"/>
        </w:rPr>
        <w:t xml:space="preserve"> was Chief. Turnout was too low to reflect the support required by the Department. A second ratification vote was held in March 2009.  Turnout was again too low to satisfy the Department. As a result, the Department approved a “continuation vote” to supplement the second vote. In order to ensure its integrity, only members who had </w:t>
      </w:r>
      <w:r w:rsidRPr="00E90093">
        <w:rPr>
          <w:rFonts w:cs="Times New Roman"/>
        </w:rPr>
        <w:lastRenderedPageBreak/>
        <w:t>not voted in the second vote were eligible to vote in the continuation vote.  It was held in January 2010.</w:t>
      </w:r>
    </w:p>
    <w:p w:rsidR="008B0327" w:rsidRPr="00E90093" w:rsidRDefault="008B0327" w:rsidP="008B0327">
      <w:pPr>
        <w:pStyle w:val="ParaNoNdepar-AltN"/>
        <w:rPr>
          <w:rFonts w:cs="Times New Roman"/>
        </w:rPr>
      </w:pPr>
      <w:r w:rsidRPr="00E90093">
        <w:rPr>
          <w:rFonts w:cs="Times New Roman"/>
        </w:rPr>
        <w:t xml:space="preserve"> The continuation vote resulted in the </w:t>
      </w:r>
      <w:proofErr w:type="spellStart"/>
      <w:r w:rsidRPr="00E90093">
        <w:rPr>
          <w:rFonts w:cs="Times New Roman"/>
          <w:i/>
        </w:rPr>
        <w:t>Kahkewistahaw</w:t>
      </w:r>
      <w:proofErr w:type="spellEnd"/>
      <w:r w:rsidRPr="00E90093">
        <w:rPr>
          <w:rFonts w:cs="Times New Roman"/>
          <w:i/>
        </w:rPr>
        <w:t xml:space="preserve"> Election Act </w:t>
      </w:r>
      <w:r w:rsidR="0049750D">
        <w:rPr>
          <w:rFonts w:cs="Times New Roman"/>
        </w:rPr>
        <w:t>getting between 84 and 85 per</w:t>
      </w:r>
      <w:r w:rsidR="003A3343">
        <w:rPr>
          <w:rFonts w:cs="Times New Roman"/>
        </w:rPr>
        <w:t xml:space="preserve"> </w:t>
      </w:r>
      <w:r w:rsidRPr="00E90093">
        <w:rPr>
          <w:rFonts w:cs="Times New Roman"/>
        </w:rPr>
        <w:t>cent approval</w:t>
      </w:r>
      <w:r w:rsidRPr="00E90093">
        <w:rPr>
          <w:rFonts w:cs="Times New Roman"/>
          <w:i/>
        </w:rPr>
        <w:t>.</w:t>
      </w:r>
      <w:r w:rsidRPr="00E90093">
        <w:rPr>
          <w:rFonts w:cs="Times New Roman"/>
        </w:rPr>
        <w:t xml:space="preserve"> As a result, the Department removed the </w:t>
      </w:r>
      <w:proofErr w:type="spellStart"/>
      <w:r w:rsidRPr="00E90093">
        <w:rPr>
          <w:rFonts w:cs="Times New Roman"/>
        </w:rPr>
        <w:t>Kahkewistahaw</w:t>
      </w:r>
      <w:proofErr w:type="spellEnd"/>
      <w:r w:rsidRPr="00E90093">
        <w:rPr>
          <w:rFonts w:cs="Times New Roman"/>
        </w:rPr>
        <w:t xml:space="preserve"> First Nation from the election provisions of the </w:t>
      </w:r>
      <w:r w:rsidRPr="00E90093">
        <w:rPr>
          <w:rFonts w:cs="Times New Roman"/>
          <w:i/>
        </w:rPr>
        <w:t>Indian Act</w:t>
      </w:r>
      <w:r w:rsidRPr="00E90093">
        <w:rPr>
          <w:rFonts w:cs="Times New Roman"/>
        </w:rPr>
        <w:t xml:space="preserve"> and authorized it to operate pursuant to its own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on February 18, 2011</w:t>
      </w:r>
      <w:r w:rsidRPr="00E90093">
        <w:rPr>
          <w:rFonts w:cs="Times New Roman"/>
          <w:i/>
        </w:rPr>
        <w:t xml:space="preserve">. </w:t>
      </w:r>
      <w:r w:rsidRPr="00E90093">
        <w:rPr>
          <w:rFonts w:cs="Times New Roman"/>
        </w:rPr>
        <w:t xml:space="preserve"> </w:t>
      </w:r>
    </w:p>
    <w:p w:rsidR="008B0327" w:rsidRPr="00E90093" w:rsidRDefault="008B0327" w:rsidP="008B0327">
      <w:pPr>
        <w:pStyle w:val="ParaNoNdepar-AltN"/>
        <w:rPr>
          <w:rFonts w:cs="Times New Roman"/>
        </w:rPr>
      </w:pPr>
      <w:r w:rsidRPr="00E90093">
        <w:rPr>
          <w:rFonts w:cs="Times New Roman"/>
        </w:rPr>
        <w:t>The first election under the</w:t>
      </w:r>
      <w:r w:rsidRPr="00E90093">
        <w:rPr>
          <w:rFonts w:cs="Times New Roman"/>
          <w:i/>
        </w:rPr>
        <w:t xml:space="preserv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was scheduled for May 13, 2011. Louis </w:t>
      </w:r>
      <w:proofErr w:type="spellStart"/>
      <w:r w:rsidRPr="00E90093">
        <w:rPr>
          <w:rFonts w:cs="Times New Roman"/>
        </w:rPr>
        <w:t>Taypotat</w:t>
      </w:r>
      <w:proofErr w:type="spellEnd"/>
      <w:r w:rsidRPr="00E90093">
        <w:rPr>
          <w:rFonts w:cs="Times New Roman"/>
        </w:rPr>
        <w:t xml:space="preserve"> submitted documents to enable him to run as a candidate for Chief, but the Electoral Officer refused to certify his candidacy because he did not demonstrate that he had a Grade 12 or equivalent level of education. His nephew, Sheldon </w:t>
      </w:r>
      <w:proofErr w:type="spellStart"/>
      <w:r w:rsidRPr="00E90093">
        <w:rPr>
          <w:rFonts w:cs="Times New Roman"/>
        </w:rPr>
        <w:t>Taypotat</w:t>
      </w:r>
      <w:proofErr w:type="spellEnd"/>
      <w:r w:rsidRPr="00E90093">
        <w:rPr>
          <w:rFonts w:cs="Times New Roman"/>
        </w:rPr>
        <w:t xml:space="preserve">, who had previously been elected as Chief in May 2009, </w:t>
      </w:r>
      <w:r w:rsidR="00B01841">
        <w:rPr>
          <w:rFonts w:cs="Times New Roman"/>
        </w:rPr>
        <w:t xml:space="preserve">in </w:t>
      </w:r>
      <w:r w:rsidRPr="00E90093">
        <w:rPr>
          <w:rFonts w:cs="Times New Roman"/>
        </w:rPr>
        <w:t xml:space="preserve">the last election held under the </w:t>
      </w:r>
      <w:r w:rsidRPr="00E90093">
        <w:rPr>
          <w:rFonts w:cs="Times New Roman"/>
          <w:i/>
        </w:rPr>
        <w:t>Indian Act</w:t>
      </w:r>
      <w:r w:rsidRPr="00E90093">
        <w:rPr>
          <w:rFonts w:cs="Times New Roman"/>
        </w:rPr>
        <w:t xml:space="preserve">, became Chief. </w:t>
      </w:r>
    </w:p>
    <w:p w:rsidR="008B0327" w:rsidRPr="00E90093" w:rsidRDefault="008B0327" w:rsidP="008B0327">
      <w:pPr>
        <w:pStyle w:val="ParaNoNdepar-AltN"/>
        <w:rPr>
          <w:rFonts w:cs="Times New Roman"/>
        </w:rPr>
      </w:pPr>
      <w:r w:rsidRPr="00E90093">
        <w:rPr>
          <w:rFonts w:cs="Times New Roman"/>
        </w:rPr>
        <w:t xml:space="preserve">Louis </w:t>
      </w:r>
      <w:proofErr w:type="spellStart"/>
      <w:r w:rsidRPr="00E90093">
        <w:rPr>
          <w:rFonts w:cs="Times New Roman"/>
        </w:rPr>
        <w:t>Taypotat</w:t>
      </w:r>
      <w:proofErr w:type="spellEnd"/>
      <w:r w:rsidRPr="00E90093">
        <w:rPr>
          <w:rFonts w:cs="Times New Roman"/>
        </w:rPr>
        <w:t xml:space="preserve"> brought an application for judicial review of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process.  Of particular relevance, he argued that the Grade 12 educational requirement violated s. 15(1) of the </w:t>
      </w:r>
      <w:r w:rsidRPr="00E90093">
        <w:rPr>
          <w:rFonts w:cs="Times New Roman"/>
          <w:i/>
        </w:rPr>
        <w:t xml:space="preserve">Charter </w:t>
      </w:r>
      <w:r w:rsidRPr="00E90093">
        <w:rPr>
          <w:rFonts w:cs="Times New Roman"/>
        </w:rPr>
        <w:t xml:space="preserve">because “educational attainment is analogous to race and age” for the purposes of s. 15(1).  </w:t>
      </w:r>
    </w:p>
    <w:p w:rsidR="008B0327" w:rsidRPr="00E90093" w:rsidRDefault="008B0327" w:rsidP="008B0327">
      <w:pPr>
        <w:pStyle w:val="ParaNoNdepar-AltN"/>
        <w:rPr>
          <w:rFonts w:cs="Times New Roman"/>
        </w:rPr>
      </w:pPr>
      <w:r w:rsidRPr="00E90093">
        <w:rPr>
          <w:rFonts w:cs="Times New Roman"/>
        </w:rPr>
        <w:t xml:space="preserve">The Federal Court dismissed the application. Justice de </w:t>
      </w:r>
      <w:proofErr w:type="spellStart"/>
      <w:r w:rsidRPr="00E90093">
        <w:rPr>
          <w:rFonts w:cs="Times New Roman"/>
        </w:rPr>
        <w:t>Montigny</w:t>
      </w:r>
      <w:proofErr w:type="spellEnd"/>
      <w:r w:rsidRPr="00E90093">
        <w:rPr>
          <w:rFonts w:cs="Times New Roman"/>
        </w:rPr>
        <w:t xml:space="preserve"> held that Louis </w:t>
      </w:r>
      <w:proofErr w:type="spellStart"/>
      <w:r w:rsidRPr="00E90093">
        <w:rPr>
          <w:rFonts w:cs="Times New Roman"/>
        </w:rPr>
        <w:t>Taypotat</w:t>
      </w:r>
      <w:proofErr w:type="spellEnd"/>
      <w:r w:rsidRPr="00E90093">
        <w:rPr>
          <w:rFonts w:cs="Times New Roman"/>
        </w:rPr>
        <w:t xml:space="preserve"> had produced no evidence to demonstrate that education was an analogous ground for the purposes of s. 15.</w:t>
      </w:r>
    </w:p>
    <w:p w:rsidR="008B0327" w:rsidRPr="00E90093" w:rsidRDefault="008B0327" w:rsidP="008B0327">
      <w:pPr>
        <w:pStyle w:val="ParaNoNdepar-AltN"/>
        <w:rPr>
          <w:rFonts w:cs="Times New Roman"/>
        </w:rPr>
      </w:pPr>
      <w:r w:rsidRPr="00E90093">
        <w:rPr>
          <w:rFonts w:cs="Times New Roman"/>
        </w:rPr>
        <w:lastRenderedPageBreak/>
        <w:t xml:space="preserve">On appeal, Louis </w:t>
      </w:r>
      <w:proofErr w:type="spellStart"/>
      <w:r w:rsidRPr="00E90093">
        <w:rPr>
          <w:rFonts w:cs="Times New Roman"/>
        </w:rPr>
        <w:t>Taypotat</w:t>
      </w:r>
      <w:proofErr w:type="spellEnd"/>
      <w:r w:rsidRPr="00E90093">
        <w:rPr>
          <w:rFonts w:cs="Times New Roman"/>
        </w:rPr>
        <w:t xml:space="preserve"> advanced </w:t>
      </w:r>
      <w:r w:rsidR="00B01841">
        <w:rPr>
          <w:rFonts w:cs="Times New Roman"/>
        </w:rPr>
        <w:t>10</w:t>
      </w:r>
      <w:r w:rsidRPr="00E90093">
        <w:rPr>
          <w:rFonts w:cs="Times New Roman"/>
        </w:rPr>
        <w:t xml:space="preserve"> separate grounds. The newly formulated basis for his s. 15 submission, which had not been raised in his application for judicial review to the Federal Court, was that residential school survivors without a Grade 12 education constituted an analogous group for the purposes of s. 15.</w:t>
      </w:r>
    </w:p>
    <w:p w:rsidR="008B0327" w:rsidRPr="00E90093" w:rsidRDefault="008B0327" w:rsidP="008B0327">
      <w:pPr>
        <w:pStyle w:val="ParaNoNdepar-AltN"/>
        <w:rPr>
          <w:rFonts w:cs="Times New Roman"/>
        </w:rPr>
      </w:pPr>
      <w:r w:rsidRPr="00E90093">
        <w:rPr>
          <w:rFonts w:cs="Times New Roman"/>
        </w:rPr>
        <w:t xml:space="preserve">Although it dismissed nine of the grounds for appeal “without difficulty”, the Federal Court of Appeal allowed Mr. </w:t>
      </w:r>
      <w:proofErr w:type="spellStart"/>
      <w:r w:rsidRPr="00E90093">
        <w:rPr>
          <w:rFonts w:cs="Times New Roman"/>
        </w:rPr>
        <w:t>Taypotat’s</w:t>
      </w:r>
      <w:proofErr w:type="spellEnd"/>
      <w:r w:rsidRPr="00E90093">
        <w:rPr>
          <w:rFonts w:cs="Times New Roman"/>
        </w:rPr>
        <w:t xml:space="preserve"> claim under s. 15 of the </w:t>
      </w:r>
      <w:r w:rsidRPr="00E90093">
        <w:rPr>
          <w:rFonts w:cs="Times New Roman"/>
          <w:i/>
        </w:rPr>
        <w:t>Charter</w:t>
      </w:r>
      <w:r w:rsidRPr="00E90093">
        <w:rPr>
          <w:rFonts w:cs="Times New Roman"/>
        </w:rPr>
        <w:t xml:space="preserve">. It did not deal explicitly with the argument that residential school survivors without a Grade 12 education constituted an analogous group for the purposes of s. 15, but concluded instead, even though it was not pleaded, that the education requirement had a discriminatory impact on the basis of age. In addition, without anyone having raised the issue, it found the education requirement discriminated on the basis of “residence on a reserve”.   </w:t>
      </w:r>
    </w:p>
    <w:p w:rsidR="008B0327" w:rsidRPr="00E90093" w:rsidRDefault="008B0327" w:rsidP="008B0327">
      <w:pPr>
        <w:pStyle w:val="ParaNoNdepar-AltN"/>
        <w:rPr>
          <w:rFonts w:cs="Times New Roman"/>
        </w:rPr>
      </w:pPr>
      <w:r w:rsidRPr="00E90093">
        <w:rPr>
          <w:rFonts w:cs="Times New Roman"/>
        </w:rPr>
        <w:t xml:space="preserve">Before this Court, Louis </w:t>
      </w:r>
      <w:proofErr w:type="spellStart"/>
      <w:r w:rsidRPr="00E90093">
        <w:rPr>
          <w:rFonts w:cs="Times New Roman"/>
        </w:rPr>
        <w:t>Taypotat</w:t>
      </w:r>
      <w:proofErr w:type="spellEnd"/>
      <w:r w:rsidRPr="00E90093">
        <w:rPr>
          <w:rFonts w:cs="Times New Roman"/>
        </w:rPr>
        <w:t xml:space="preserve"> relied on the Federal Court of Appeal’s conclusions to reformulate his s. 15 claim. He now argues that the education requirement violates s. 15(1) because it has a disproportionate effect on older community members who live on a reserve.    </w:t>
      </w:r>
    </w:p>
    <w:p w:rsidR="008B0327" w:rsidRPr="00E90093" w:rsidRDefault="008B0327" w:rsidP="008B0327">
      <w:pPr>
        <w:pStyle w:val="ParaNoNdepar-AltN"/>
        <w:rPr>
          <w:rFonts w:cs="Times New Roman"/>
        </w:rPr>
      </w:pPr>
      <w:r w:rsidRPr="00E90093">
        <w:rPr>
          <w:rFonts w:cs="Times New Roman"/>
        </w:rPr>
        <w:t xml:space="preserve">While facially neutral qualifications like education requirements may well be a proxy for, or mask, a discriminatory impact, this case falls not on the existence of the requirement, but on the absence of any evidence linking the requirement to a disparate impact on members of an enumerated or analogous group. </w:t>
      </w:r>
    </w:p>
    <w:p w:rsidR="008B0327" w:rsidRPr="00E90093" w:rsidRDefault="008B0327" w:rsidP="008B0327">
      <w:pPr>
        <w:pStyle w:val="TitleTitre-AltT"/>
        <w:rPr>
          <w:rFonts w:cs="Times New Roman"/>
          <w:u w:val="single"/>
        </w:rPr>
      </w:pPr>
      <w:r w:rsidRPr="00E90093">
        <w:rPr>
          <w:rFonts w:cs="Times New Roman"/>
          <w:u w:val="single"/>
        </w:rPr>
        <w:lastRenderedPageBreak/>
        <w:t>Analysis</w:t>
      </w:r>
    </w:p>
    <w:p w:rsidR="008B0327" w:rsidRPr="00E90093" w:rsidRDefault="008B0327" w:rsidP="008B0327">
      <w:pPr>
        <w:pStyle w:val="ParaNoNdepar-AltN"/>
        <w:rPr>
          <w:rFonts w:cs="Times New Roman"/>
        </w:rPr>
      </w:pPr>
      <w:r w:rsidRPr="00E90093">
        <w:rPr>
          <w:rFonts w:cs="Times New Roman"/>
        </w:rPr>
        <w:t xml:space="preserve">The approach to s. 15 was most recently set out in </w:t>
      </w:r>
      <w:r w:rsidRPr="00E90093">
        <w:rPr>
          <w:rFonts w:cs="Times New Roman"/>
          <w:i/>
        </w:rPr>
        <w:t>Quebec (Attorney General) v. A</w:t>
      </w:r>
      <w:r w:rsidRPr="00E90093">
        <w:rPr>
          <w:rFonts w:cs="Times New Roman"/>
        </w:rPr>
        <w:t xml:space="preserve">, [2013] 1 S.C.R. 61, at paras. 319-47. </w:t>
      </w:r>
      <w:proofErr w:type="gramStart"/>
      <w:r w:rsidRPr="00E90093">
        <w:rPr>
          <w:rFonts w:cs="Times New Roman"/>
        </w:rPr>
        <w:t>It</w:t>
      </w:r>
      <w:proofErr w:type="gramEnd"/>
      <w:r w:rsidRPr="00E90093">
        <w:rPr>
          <w:rFonts w:cs="Times New Roman"/>
        </w:rPr>
        <w:t xml:space="preserve"> clarifies that</w:t>
      </w:r>
      <w:r w:rsidRPr="00E90093">
        <w:rPr>
          <w:rFonts w:cs="Times New Roman"/>
          <w:b/>
        </w:rPr>
        <w:t xml:space="preserve"> </w:t>
      </w:r>
      <w:r w:rsidRPr="00E90093">
        <w:rPr>
          <w:rFonts w:cs="Times New Roman"/>
        </w:rPr>
        <w:t xml:space="preserve">s. 15(1) of the </w:t>
      </w:r>
      <w:r w:rsidRPr="00E90093">
        <w:rPr>
          <w:rFonts w:cs="Times New Roman"/>
          <w:i/>
        </w:rPr>
        <w:t xml:space="preserve">Charter </w:t>
      </w:r>
      <w:r w:rsidRPr="00E90093">
        <w:rPr>
          <w:rFonts w:cs="Times New Roman"/>
        </w:rPr>
        <w:t xml:space="preserve">requires a “flexible and contextual inquiry into whether a distinction has the effect of perpetuating arbitrary disadvantage on the claimant </w:t>
      </w:r>
      <w:r w:rsidRPr="00E90093">
        <w:rPr>
          <w:rFonts w:cs="Times New Roman"/>
          <w:i/>
        </w:rPr>
        <w:t>because of his or her membership in an enumerated or analogous group</w:t>
      </w:r>
      <w:r w:rsidRPr="00E90093">
        <w:rPr>
          <w:rFonts w:cs="Times New Roman"/>
        </w:rPr>
        <w:t xml:space="preserve">”: para. 331 (emphasis added).  </w:t>
      </w:r>
    </w:p>
    <w:p w:rsidR="008B0327" w:rsidRPr="00E90093" w:rsidRDefault="008B0327" w:rsidP="008B0327">
      <w:pPr>
        <w:pStyle w:val="ParaNoNdepar-AltN"/>
        <w:rPr>
          <w:rFonts w:cs="Times New Roman"/>
        </w:rPr>
      </w:pPr>
      <w:r w:rsidRPr="00E90093">
        <w:rPr>
          <w:rFonts w:cs="Times New Roman"/>
        </w:rPr>
        <w:t xml:space="preserve">This Court has repeatedly confirmed that s. 15 protects substantive equality: </w:t>
      </w:r>
      <w:r w:rsidRPr="00E90093">
        <w:rPr>
          <w:rFonts w:cs="Times New Roman"/>
          <w:i/>
        </w:rPr>
        <w:t>Quebec v. A</w:t>
      </w:r>
      <w:r w:rsidRPr="00E90093">
        <w:rPr>
          <w:rFonts w:cs="Times New Roman"/>
        </w:rPr>
        <w:t xml:space="preserve">, at para. 325; </w:t>
      </w:r>
      <w:proofErr w:type="spellStart"/>
      <w:r w:rsidRPr="00E90093">
        <w:rPr>
          <w:rFonts w:cs="Times New Roman"/>
          <w:i/>
        </w:rPr>
        <w:t>Withler</w:t>
      </w:r>
      <w:proofErr w:type="spellEnd"/>
      <w:r w:rsidRPr="00E90093">
        <w:rPr>
          <w:rFonts w:cs="Times New Roman"/>
          <w:i/>
        </w:rPr>
        <w:t xml:space="preserve"> </w:t>
      </w:r>
      <w:r w:rsidRPr="00E90093">
        <w:rPr>
          <w:rFonts w:cs="Times New Roman"/>
          <w:i/>
          <w:iCs/>
        </w:rPr>
        <w:t>v.</w:t>
      </w:r>
      <w:r w:rsidRPr="00E90093">
        <w:rPr>
          <w:rFonts w:cs="Times New Roman"/>
          <w:b/>
          <w:bCs/>
          <w:i/>
        </w:rPr>
        <w:t xml:space="preserve"> </w:t>
      </w:r>
      <w:r w:rsidRPr="00E90093">
        <w:rPr>
          <w:rFonts w:cs="Times New Roman"/>
          <w:i/>
        </w:rPr>
        <w:t>Canada (Attorney General)</w:t>
      </w:r>
      <w:r w:rsidRPr="00E90093">
        <w:rPr>
          <w:rFonts w:cs="Times New Roman"/>
        </w:rPr>
        <w:t>,</w:t>
      </w:r>
      <w:r w:rsidRPr="00E90093">
        <w:rPr>
          <w:rStyle w:val="sccrespondentforindexchar1"/>
        </w:rPr>
        <w:t xml:space="preserve"> </w:t>
      </w:r>
      <w:r w:rsidRPr="00B01841">
        <w:rPr>
          <w:rStyle w:val="sccrespondentforindexchar1"/>
          <w:b w:val="0"/>
        </w:rPr>
        <w:t xml:space="preserve">[2011] 1 S.C.R. 396, at </w:t>
      </w:r>
      <w:r w:rsidRPr="00E90093">
        <w:rPr>
          <w:rFonts w:cs="Times New Roman"/>
        </w:rPr>
        <w:t xml:space="preserve">para. 2; </w:t>
      </w:r>
      <w:r w:rsidRPr="00E90093">
        <w:rPr>
          <w:rFonts w:cs="Times New Roman"/>
          <w:i/>
        </w:rPr>
        <w:t>R</w:t>
      </w:r>
      <w:r w:rsidR="00B01841">
        <w:rPr>
          <w:rFonts w:cs="Times New Roman"/>
          <w:i/>
        </w:rPr>
        <w:t>.</w:t>
      </w:r>
      <w:r w:rsidRPr="00E90093">
        <w:rPr>
          <w:rFonts w:cs="Times New Roman"/>
          <w:i/>
        </w:rPr>
        <w:t xml:space="preserve"> v. </w:t>
      </w:r>
      <w:proofErr w:type="spellStart"/>
      <w:r w:rsidRPr="00E90093">
        <w:rPr>
          <w:rFonts w:cs="Times New Roman"/>
          <w:i/>
        </w:rPr>
        <w:t>Kapp</w:t>
      </w:r>
      <w:proofErr w:type="spellEnd"/>
      <w:r w:rsidRPr="00E90093">
        <w:rPr>
          <w:rFonts w:cs="Times New Roman"/>
        </w:rPr>
        <w:t>,</w:t>
      </w:r>
      <w:r w:rsidRPr="00E90093">
        <w:rPr>
          <w:rFonts w:cs="Times New Roman"/>
          <w:i/>
        </w:rPr>
        <w:t xml:space="preserve"> </w:t>
      </w:r>
      <w:r w:rsidRPr="00E90093">
        <w:rPr>
          <w:rFonts w:cs="Times New Roman"/>
        </w:rPr>
        <w:t xml:space="preserve">[2008] 2 S.C.R. 483, at para. 16; </w:t>
      </w:r>
      <w:r w:rsidRPr="00E90093">
        <w:rPr>
          <w:rFonts w:cs="Times New Roman"/>
          <w:i/>
          <w:iCs/>
        </w:rPr>
        <w:t>Andrews v. Law Society of British Columbia</w:t>
      </w:r>
      <w:r w:rsidRPr="00E90093">
        <w:rPr>
          <w:rFonts w:cs="Times New Roman"/>
        </w:rPr>
        <w:t xml:space="preserve">, [1989] 1 S.C.R. 143.  It is an approach which recognizes that persistent systemic disadvantages have operated to limit the opportunities available to members of certain groups in society and seeks to prevent conduct that perpetuates those disadvantages. As McIntyre J. observed in </w:t>
      </w:r>
      <w:r w:rsidRPr="00E90093">
        <w:rPr>
          <w:rFonts w:cs="Times New Roman"/>
          <w:i/>
        </w:rPr>
        <w:t>Andrews</w:t>
      </w:r>
      <w:r w:rsidRPr="00E90093">
        <w:rPr>
          <w:rFonts w:cs="Times New Roman"/>
        </w:rPr>
        <w:t>,</w:t>
      </w:r>
      <w:r w:rsidRPr="00E90093">
        <w:rPr>
          <w:rFonts w:cs="Times New Roman"/>
          <w:i/>
        </w:rPr>
        <w:t xml:space="preserve"> </w:t>
      </w:r>
      <w:r w:rsidRPr="00E90093">
        <w:rPr>
          <w:rFonts w:cs="Times New Roman"/>
        </w:rPr>
        <w:t>such an approach rests on the idea that not every difference in treatment will necessarily result in inequality and that identical treatment may frequently produce serious inequality: p. 164.</w:t>
      </w:r>
    </w:p>
    <w:p w:rsidR="008B0327" w:rsidRPr="00E90093" w:rsidRDefault="008B0327" w:rsidP="008B0327">
      <w:pPr>
        <w:pStyle w:val="ParaNoNdepar-AltN"/>
        <w:rPr>
          <w:rFonts w:cs="Times New Roman"/>
          <w:spacing w:val="-3"/>
        </w:rPr>
      </w:pPr>
      <w:r w:rsidRPr="00E90093">
        <w:rPr>
          <w:rFonts w:cs="Times New Roman"/>
        </w:rPr>
        <w:t xml:space="preserve">The focus of s. 15 is therefore on laws that draw </w:t>
      </w:r>
      <w:r w:rsidRPr="00E90093">
        <w:rPr>
          <w:rFonts w:cs="Times New Roman"/>
          <w:i/>
        </w:rPr>
        <w:t>discriminatory</w:t>
      </w:r>
      <w:r w:rsidRPr="00E90093">
        <w:rPr>
          <w:rFonts w:cs="Times New Roman"/>
        </w:rPr>
        <w:t xml:space="preserve"> distinctions — that is, distinctions that have the effect of perpetuating arbitrary disadvantage based on an individual’s membership in an enumerated or analogous group: </w:t>
      </w:r>
      <w:r w:rsidRPr="00E90093">
        <w:rPr>
          <w:rFonts w:cs="Times New Roman"/>
          <w:i/>
          <w:spacing w:val="-3"/>
        </w:rPr>
        <w:t>Andrews</w:t>
      </w:r>
      <w:r w:rsidRPr="00E90093">
        <w:rPr>
          <w:rFonts w:cs="Times New Roman"/>
          <w:spacing w:val="-3"/>
        </w:rPr>
        <w:t>,</w:t>
      </w:r>
      <w:r w:rsidRPr="00E90093">
        <w:rPr>
          <w:rFonts w:cs="Times New Roman"/>
          <w:i/>
          <w:spacing w:val="-3"/>
        </w:rPr>
        <w:t xml:space="preserve"> </w:t>
      </w:r>
      <w:r w:rsidRPr="00E90093">
        <w:rPr>
          <w:rFonts w:cs="Times New Roman"/>
          <w:spacing w:val="-3"/>
        </w:rPr>
        <w:t>at pp. 174-75;</w:t>
      </w:r>
      <w:r w:rsidRPr="00E90093">
        <w:rPr>
          <w:rFonts w:cs="Times New Roman"/>
        </w:rPr>
        <w:t xml:space="preserve"> </w:t>
      </w:r>
      <w:r w:rsidRPr="00E90093">
        <w:rPr>
          <w:rFonts w:cs="Times New Roman"/>
          <w:i/>
        </w:rPr>
        <w:t>Quebec v. A</w:t>
      </w:r>
      <w:r w:rsidRPr="00E90093">
        <w:rPr>
          <w:rFonts w:cs="Times New Roman"/>
        </w:rPr>
        <w:t xml:space="preserve">, at para. 331. The s. 15(1) analysis is accordingly concerned with the social and economic context in which a claim of </w:t>
      </w:r>
      <w:r w:rsidRPr="00E90093">
        <w:rPr>
          <w:rFonts w:cs="Times New Roman"/>
        </w:rPr>
        <w:lastRenderedPageBreak/>
        <w:t xml:space="preserve">inequality arises, and with the effects of the challenged law or action on the claimant group: </w:t>
      </w:r>
      <w:r w:rsidRPr="00E90093">
        <w:rPr>
          <w:rFonts w:cs="Times New Roman"/>
          <w:i/>
        </w:rPr>
        <w:t>Quebec v. A</w:t>
      </w:r>
      <w:r w:rsidRPr="00E90093">
        <w:rPr>
          <w:rFonts w:cs="Times New Roman"/>
        </w:rPr>
        <w:t>,</w:t>
      </w:r>
      <w:r w:rsidRPr="00E90093">
        <w:rPr>
          <w:rFonts w:cs="Times New Roman"/>
          <w:i/>
        </w:rPr>
        <w:t xml:space="preserve"> </w:t>
      </w:r>
      <w:r w:rsidRPr="00E90093">
        <w:rPr>
          <w:rFonts w:cs="Times New Roman"/>
        </w:rPr>
        <w:t>at para. 331.</w:t>
      </w:r>
    </w:p>
    <w:p w:rsidR="008B0327" w:rsidRPr="00E90093" w:rsidRDefault="008B0327" w:rsidP="008B0327">
      <w:pPr>
        <w:pStyle w:val="ParaNoNdepar-AltN"/>
        <w:rPr>
          <w:rFonts w:cs="Times New Roman"/>
        </w:rPr>
      </w:pPr>
      <w:r w:rsidRPr="00E90093">
        <w:rPr>
          <w:rFonts w:cs="Times New Roman"/>
        </w:rPr>
        <w:t>The first part of the s. 15 analysis therefore asks whether, on its face or in its impact, a law creates a distinction</w:t>
      </w:r>
      <w:r w:rsidRPr="00E90093">
        <w:rPr>
          <w:rFonts w:cs="Times New Roman"/>
          <w:i/>
        </w:rPr>
        <w:t xml:space="preserve"> </w:t>
      </w:r>
      <w:r w:rsidRPr="00E90093">
        <w:rPr>
          <w:rFonts w:cs="Times New Roman"/>
        </w:rPr>
        <w:t xml:space="preserve">on the basis of an enumerated or analogous ground. Limiting claims to enumerated or analogous grounds, which “stand as constant markers of suspect decision making or potential discrimination”, screens out those claims “having nothing to do with substantive equality and helps keep the focus on equality for groups that are disadvantaged in the larger social and economic context”: </w:t>
      </w:r>
      <w:proofErr w:type="spellStart"/>
      <w:r w:rsidRPr="00E90093">
        <w:rPr>
          <w:rFonts w:cs="Times New Roman"/>
          <w:i/>
        </w:rPr>
        <w:t>Corbiere</w:t>
      </w:r>
      <w:proofErr w:type="spellEnd"/>
      <w:r w:rsidRPr="00E90093">
        <w:rPr>
          <w:rFonts w:cs="Times New Roman"/>
          <w:i/>
        </w:rPr>
        <w:t xml:space="preserve"> v. Canada (Minister of Indian and Northern Affairs)</w:t>
      </w:r>
      <w:r w:rsidRPr="00E90093">
        <w:rPr>
          <w:rFonts w:cs="Times New Roman"/>
        </w:rPr>
        <w:t>,</w:t>
      </w:r>
      <w:r w:rsidRPr="00E90093">
        <w:rPr>
          <w:rFonts w:cs="Times New Roman"/>
          <w:i/>
        </w:rPr>
        <w:t xml:space="preserve"> </w:t>
      </w:r>
      <w:r w:rsidRPr="00E90093">
        <w:rPr>
          <w:rFonts w:cs="Times New Roman"/>
        </w:rPr>
        <w:t>[1999] 2 S.C.R. 203,</w:t>
      </w:r>
      <w:r w:rsidRPr="00E90093">
        <w:rPr>
          <w:rFonts w:cs="Times New Roman"/>
          <w:i/>
        </w:rPr>
        <w:t xml:space="preserve"> </w:t>
      </w:r>
      <w:r w:rsidRPr="00E90093">
        <w:rPr>
          <w:rFonts w:cs="Times New Roman"/>
        </w:rPr>
        <w:t xml:space="preserve">at para. 8; Lynn Smith and William Black, “The Equality Rights” (2013), 62 </w:t>
      </w:r>
      <w:r w:rsidRPr="00E90093">
        <w:rPr>
          <w:rFonts w:cs="Times New Roman"/>
          <w:i/>
        </w:rPr>
        <w:t>S.C.L.R.</w:t>
      </w:r>
      <w:r w:rsidRPr="00E90093">
        <w:rPr>
          <w:rFonts w:cs="Times New Roman"/>
        </w:rPr>
        <w:t xml:space="preserve"> (2d) 301, at p. 336.  Claimants may frame their claim in terms of one protected ground or several, depending on the conduct at issue and how it interacts with the disadvantage imposed on members of the claimant’s group: </w:t>
      </w:r>
      <w:r w:rsidRPr="00E90093">
        <w:rPr>
          <w:rFonts w:cs="Times New Roman"/>
          <w:i/>
        </w:rPr>
        <w:t>Law v. Canada (Minister of Employment and Immigration)</w:t>
      </w:r>
      <w:r w:rsidRPr="00E90093">
        <w:rPr>
          <w:rFonts w:cs="Times New Roman"/>
        </w:rPr>
        <w:t xml:space="preserve">, [1999] 1 S.C.R. 497, at para. 37.  </w:t>
      </w:r>
    </w:p>
    <w:p w:rsidR="008B0327" w:rsidRPr="00E90093" w:rsidRDefault="008B0327" w:rsidP="008B0327">
      <w:pPr>
        <w:pStyle w:val="ParaNoNdepar-AltN"/>
        <w:rPr>
          <w:rFonts w:cs="Times New Roman"/>
        </w:rPr>
      </w:pPr>
      <w:r w:rsidRPr="00E90093">
        <w:rPr>
          <w:rFonts w:cs="Times New Roman"/>
        </w:rPr>
        <w:t>The second part of the analysis focuses on arbitrary — or discriminatory — disadvantage, that is, whether the impugned law fails to respond to the actual capacities and needs of the members of the group and instead imposes burdens or denies a benefit in a manner that has the effect of reinforcing, perpetuating or exacerbating their disadvantage:</w:t>
      </w:r>
    </w:p>
    <w:p w:rsidR="008B0327" w:rsidRPr="00E90093" w:rsidRDefault="008B0327" w:rsidP="008B0327">
      <w:pPr>
        <w:pStyle w:val="Citation-AltC"/>
      </w:pPr>
      <w:r w:rsidRPr="00E90093">
        <w:tab/>
        <w:t xml:space="preserve">The root of s. 15 is our awareness that certain groups have been historically discriminated against, and that the perpetuation of such discrimination should be curtailed.  If the state conduct widens the gap between the historically disadvantaged group and the rest of society </w:t>
      </w:r>
      <w:r w:rsidRPr="00E90093">
        <w:lastRenderedPageBreak/>
        <w:t>rather than narrowing it, then it is discriminatory. [</w:t>
      </w:r>
      <w:r w:rsidRPr="00E90093">
        <w:rPr>
          <w:i/>
        </w:rPr>
        <w:t>Quebec v. A</w:t>
      </w:r>
      <w:r w:rsidRPr="00E90093">
        <w:t>,</w:t>
      </w:r>
      <w:r w:rsidRPr="00E90093">
        <w:rPr>
          <w:i/>
        </w:rPr>
        <w:t xml:space="preserve"> </w:t>
      </w:r>
      <w:r w:rsidRPr="00E90093">
        <w:t>at para. 332]</w:t>
      </w:r>
    </w:p>
    <w:p w:rsidR="008B0327" w:rsidRPr="00E90093" w:rsidRDefault="008B0327" w:rsidP="008B0327">
      <w:pPr>
        <w:pStyle w:val="ParaNoNdepar-AltN"/>
        <w:rPr>
          <w:rFonts w:cs="Times New Roman"/>
        </w:rPr>
      </w:pPr>
      <w:r w:rsidRPr="00E90093">
        <w:rPr>
          <w:rFonts w:cs="Times New Roman"/>
        </w:rPr>
        <w:t xml:space="preserve">To establish a </w:t>
      </w:r>
      <w:r w:rsidRPr="00E90093">
        <w:rPr>
          <w:rFonts w:cs="Times New Roman"/>
          <w:i/>
        </w:rPr>
        <w:t>prima facie</w:t>
      </w:r>
      <w:r w:rsidRPr="00E90093">
        <w:rPr>
          <w:rFonts w:cs="Times New Roman"/>
        </w:rPr>
        <w:t xml:space="preserve"> violation of s. 15(1), the claimant must therefore demonstrate that the law at issue has a disproportionate effect on the claimant based on his or her membership in an enumerated or analogous group. At the second stage of the analysis, the specific evidence required will vary depending on the context of the claim, but “evidence that goes to establishing a claimant’s historical position of disadvantage” will be relevant: </w:t>
      </w:r>
      <w:proofErr w:type="spellStart"/>
      <w:r w:rsidRPr="00E90093">
        <w:rPr>
          <w:rFonts w:cs="Times New Roman"/>
          <w:i/>
        </w:rPr>
        <w:t>Withler</w:t>
      </w:r>
      <w:proofErr w:type="spellEnd"/>
      <w:r w:rsidRPr="00E90093">
        <w:rPr>
          <w:rFonts w:cs="Times New Roman"/>
        </w:rPr>
        <w:t>,</w:t>
      </w:r>
      <w:r w:rsidRPr="00E90093">
        <w:rPr>
          <w:rFonts w:cs="Times New Roman"/>
          <w:i/>
        </w:rPr>
        <w:t xml:space="preserve"> </w:t>
      </w:r>
      <w:r w:rsidRPr="00E90093">
        <w:rPr>
          <w:rFonts w:cs="Times New Roman"/>
        </w:rPr>
        <w:t xml:space="preserve">at para. 38; </w:t>
      </w:r>
      <w:r w:rsidRPr="00E90093">
        <w:rPr>
          <w:rFonts w:cs="Times New Roman"/>
          <w:i/>
        </w:rPr>
        <w:t>Quebec v. A</w:t>
      </w:r>
      <w:r w:rsidRPr="00E90093">
        <w:rPr>
          <w:rFonts w:cs="Times New Roman"/>
        </w:rPr>
        <w:t xml:space="preserve">, at para. 327. </w:t>
      </w:r>
    </w:p>
    <w:p w:rsidR="008B0327" w:rsidRPr="00E90093" w:rsidRDefault="008B0327" w:rsidP="008B0327">
      <w:pPr>
        <w:pStyle w:val="ParaNoNdepar-AltN"/>
        <w:rPr>
          <w:rFonts w:cs="Times New Roman"/>
        </w:rPr>
      </w:pPr>
      <w:r w:rsidRPr="00E90093">
        <w:rPr>
          <w:rFonts w:cs="Times New Roman"/>
        </w:rPr>
        <w:t xml:space="preserve">The question in this case is which “enumerated or analogous group” faces discrimination, and whether Mr. </w:t>
      </w:r>
      <w:proofErr w:type="spellStart"/>
      <w:r w:rsidRPr="00E90093">
        <w:rPr>
          <w:rFonts w:cs="Times New Roman"/>
        </w:rPr>
        <w:t>Taypotat</w:t>
      </w:r>
      <w:proofErr w:type="spellEnd"/>
      <w:r w:rsidRPr="00E90093">
        <w:rPr>
          <w:rFonts w:cs="Times New Roman"/>
        </w:rPr>
        <w:t xml:space="preserve"> has established that the education requirement set out in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has a disproportionate effect on the members of any such group.</w:t>
      </w:r>
    </w:p>
    <w:p w:rsidR="008B0327" w:rsidRPr="00E90093" w:rsidRDefault="008B0327" w:rsidP="008B0327">
      <w:pPr>
        <w:pStyle w:val="ParaNoNdepar-AltN"/>
        <w:rPr>
          <w:rFonts w:cs="Times New Roman"/>
        </w:rPr>
      </w:pPr>
      <w:r w:rsidRPr="00E90093">
        <w:rPr>
          <w:rFonts w:cs="Times New Roman"/>
        </w:rPr>
        <w:t xml:space="preserve">There is no question that education requirements for employment could, in certain circumstances, be shown to have a discriminatory impact in violation of s. 15.  In </w:t>
      </w:r>
      <w:r w:rsidRPr="00E90093">
        <w:rPr>
          <w:rFonts w:cs="Times New Roman"/>
          <w:i/>
        </w:rPr>
        <w:t>Griggs v. Duke Power Co</w:t>
      </w:r>
      <w:r w:rsidR="00B01841">
        <w:rPr>
          <w:rFonts w:cs="Times New Roman"/>
          <w:i/>
        </w:rPr>
        <w:t>.</w:t>
      </w:r>
      <w:r w:rsidRPr="00E90093">
        <w:rPr>
          <w:rFonts w:cs="Times New Roman"/>
        </w:rPr>
        <w:t>,</w:t>
      </w:r>
      <w:r w:rsidRPr="00E90093">
        <w:rPr>
          <w:rFonts w:cs="Times New Roman"/>
          <w:i/>
        </w:rPr>
        <w:t xml:space="preserve"> </w:t>
      </w:r>
      <w:r w:rsidRPr="00E90093">
        <w:rPr>
          <w:rFonts w:cs="Times New Roman"/>
        </w:rPr>
        <w:t xml:space="preserve">401 U.S. 424 (1971), for example, the United States Supreme Court concluded that it was a violation of Title VII of the </w:t>
      </w:r>
      <w:r w:rsidRPr="00E90093">
        <w:rPr>
          <w:rFonts w:cs="Times New Roman"/>
          <w:i/>
        </w:rPr>
        <w:t>Civil Rights Act of 1964</w:t>
      </w:r>
      <w:r w:rsidRPr="00E90093">
        <w:rPr>
          <w:rFonts w:cs="Times New Roman"/>
        </w:rPr>
        <w:t xml:space="preserve"> for an employer to require that employees have a high school diploma to work as, among other things, a coal handler or in maintenance at a power plant.  The effect of this facially neutral requirement was to disproportionately exclude African Americans from positions in the plant.  The court concluded that:</w:t>
      </w:r>
    </w:p>
    <w:p w:rsidR="008B0327" w:rsidRPr="00E90093" w:rsidRDefault="008B0327" w:rsidP="008B0327">
      <w:pPr>
        <w:pStyle w:val="Citation-AltC"/>
      </w:pPr>
      <w:r>
        <w:lastRenderedPageBreak/>
        <w:t>. . .</w:t>
      </w:r>
      <w:r w:rsidRPr="00E90093">
        <w:t xml:space="preserve"> </w:t>
      </w:r>
      <w:proofErr w:type="gramStart"/>
      <w:r w:rsidRPr="00E90093">
        <w:t>practices</w:t>
      </w:r>
      <w:proofErr w:type="gramEnd"/>
      <w:r w:rsidRPr="00E90093">
        <w:t xml:space="preserve">, procedures, or tests neutral on their face, and even neutral in terms of intent, cannot be maintained if they operate to “freeze” the status quo of prior discriminatory employment practices.  [p. 430] </w:t>
      </w:r>
    </w:p>
    <w:p w:rsidR="008B0327" w:rsidRPr="00E90093" w:rsidRDefault="008B0327" w:rsidP="008B0327">
      <w:pPr>
        <w:pStyle w:val="ParaNoNdepar-AltN"/>
        <w:numPr>
          <w:ilvl w:val="0"/>
          <w:numId w:val="0"/>
        </w:numPr>
        <w:rPr>
          <w:rFonts w:cs="Times New Roman"/>
        </w:rPr>
      </w:pPr>
      <w:r w:rsidRPr="00E90093">
        <w:rPr>
          <w:rFonts w:cs="Times New Roman"/>
        </w:rPr>
        <w:t xml:space="preserve">As the court observed, employment requirements that are unrelated to measuring job capability can operate as “built-in headwinds” for minority groups, and will therefore be discriminatory: p. 432. See also </w:t>
      </w:r>
      <w:r w:rsidRPr="00E90093">
        <w:rPr>
          <w:rFonts w:cs="Times New Roman"/>
          <w:i/>
        </w:rPr>
        <w:t>British Columbia (Public Service Employee Relations Commission) v. BCGSEU</w:t>
      </w:r>
      <w:r w:rsidRPr="00E90093">
        <w:rPr>
          <w:rFonts w:cs="Times New Roman"/>
        </w:rPr>
        <w:t xml:space="preserve">, [1999] 3 S.C.R. 3. </w:t>
      </w:r>
    </w:p>
    <w:p w:rsidR="008B0327" w:rsidRPr="00E90093" w:rsidRDefault="008B0327" w:rsidP="008B0327">
      <w:pPr>
        <w:pStyle w:val="ParaNoNdepar-AltN"/>
        <w:rPr>
          <w:rFonts w:cs="Times New Roman"/>
        </w:rPr>
      </w:pPr>
      <w:r w:rsidRPr="00E90093">
        <w:rPr>
          <w:rFonts w:cs="Times New Roman"/>
        </w:rPr>
        <w:t xml:space="preserve">In this case, however, there is virtually no evidence about the relationship between age, residency on a reserve, and education levels in the </w:t>
      </w:r>
      <w:proofErr w:type="spellStart"/>
      <w:r w:rsidRPr="00E90093">
        <w:rPr>
          <w:rFonts w:cs="Times New Roman"/>
        </w:rPr>
        <w:t>Kahkewistahaw</w:t>
      </w:r>
      <w:proofErr w:type="spellEnd"/>
      <w:r w:rsidRPr="00E90093">
        <w:rPr>
          <w:rFonts w:cs="Times New Roman"/>
        </w:rPr>
        <w:t xml:space="preserve"> First Nation to demonstrate the operation of such a “headwind”. Nor is there any evidence about the effect of the education provisions on older community members, on community members who live on a reserve, or on individuals who belong to both of these groups.  </w:t>
      </w:r>
    </w:p>
    <w:p w:rsidR="008B0327" w:rsidRPr="00E90093" w:rsidRDefault="008B0327" w:rsidP="008B0327">
      <w:pPr>
        <w:pStyle w:val="ParaNoNdepar-AltN"/>
        <w:rPr>
          <w:rFonts w:cs="Times New Roman"/>
        </w:rPr>
      </w:pPr>
      <w:r w:rsidRPr="00E90093">
        <w:rPr>
          <w:rFonts w:cs="Times New Roman"/>
        </w:rPr>
        <w:t xml:space="preserve">That may well be because the bases on which the Federal Court of Appeal decided the s. 15 issue —  age and residence on a reserve — were not pleaded by Louis </w:t>
      </w:r>
      <w:proofErr w:type="spellStart"/>
      <w:r w:rsidRPr="00E90093">
        <w:rPr>
          <w:rFonts w:cs="Times New Roman"/>
        </w:rPr>
        <w:t>Taypotat</w:t>
      </w:r>
      <w:proofErr w:type="spellEnd"/>
      <w:r w:rsidRPr="00E90093">
        <w:rPr>
          <w:rFonts w:cs="Times New Roman"/>
        </w:rPr>
        <w:t xml:space="preserve"> either in his judicial review application or as a ground of appeal from the Federal Court to the Federal Court of Appeal. The Federal Court of Appeal instead appears to have raised the issues on its own initiative.  </w:t>
      </w:r>
    </w:p>
    <w:p w:rsidR="008B0327" w:rsidRPr="00E90093" w:rsidRDefault="008B0327" w:rsidP="008B0327">
      <w:pPr>
        <w:pStyle w:val="ParaNoNdepar-AltN"/>
        <w:rPr>
          <w:rFonts w:cs="Times New Roman"/>
        </w:rPr>
      </w:pPr>
      <w:r w:rsidRPr="00E90093">
        <w:rPr>
          <w:rFonts w:cs="Times New Roman"/>
        </w:rPr>
        <w:t xml:space="preserve"> In </w:t>
      </w:r>
      <w:r w:rsidRPr="00E90093">
        <w:rPr>
          <w:rFonts w:cs="Times New Roman"/>
          <w:i/>
        </w:rPr>
        <w:t>R</w:t>
      </w:r>
      <w:r w:rsidR="00B01841">
        <w:rPr>
          <w:rFonts w:cs="Times New Roman"/>
          <w:i/>
        </w:rPr>
        <w:t>.</w:t>
      </w:r>
      <w:r w:rsidRPr="00E90093">
        <w:rPr>
          <w:rFonts w:cs="Times New Roman"/>
          <w:i/>
        </w:rPr>
        <w:t xml:space="preserve"> v. </w:t>
      </w:r>
      <w:proofErr w:type="spellStart"/>
      <w:r w:rsidRPr="00E90093">
        <w:rPr>
          <w:rFonts w:cs="Times New Roman"/>
          <w:i/>
        </w:rPr>
        <w:t>Mian</w:t>
      </w:r>
      <w:proofErr w:type="spellEnd"/>
      <w:r w:rsidRPr="00E90093">
        <w:rPr>
          <w:rFonts w:cs="Times New Roman"/>
        </w:rPr>
        <w:t xml:space="preserve">, [2014] 2 S.C.R. 689, at para. 41, this Court clarified that an appellate court may only raise new issues on its own initiative when failing to do so would risk an injustice. The court must also be satisfied that there is a “sufficient </w:t>
      </w:r>
      <w:r w:rsidRPr="00E90093">
        <w:rPr>
          <w:rFonts w:cs="Times New Roman"/>
        </w:rPr>
        <w:lastRenderedPageBreak/>
        <w:t xml:space="preserve">basis in the record on which to resolve the issue”: para. 51. The Federal Court of Appeal’s decision to raise the issue of residence on a reserve on its own initiative is particularly troubling because “residence on a reserve” has not been recognized as an analogous ground for the purposes of s. 15. </w:t>
      </w:r>
      <w:proofErr w:type="spellStart"/>
      <w:r w:rsidRPr="00E90093">
        <w:rPr>
          <w:rFonts w:cs="Times New Roman"/>
          <w:i/>
        </w:rPr>
        <w:t>Corbiere</w:t>
      </w:r>
      <w:proofErr w:type="spellEnd"/>
      <w:r w:rsidRPr="00E90093">
        <w:rPr>
          <w:rFonts w:cs="Times New Roman"/>
          <w:i/>
        </w:rPr>
        <w:t xml:space="preserve"> </w:t>
      </w:r>
      <w:r w:rsidRPr="00E90093">
        <w:rPr>
          <w:rFonts w:cs="Times New Roman"/>
        </w:rPr>
        <w:t xml:space="preserve">recognized </w:t>
      </w:r>
      <w:r w:rsidRPr="00E90093">
        <w:rPr>
          <w:rFonts w:cs="Times New Roman"/>
          <w:i/>
        </w:rPr>
        <w:t>off-reserve</w:t>
      </w:r>
      <w:r w:rsidRPr="00E90093">
        <w:rPr>
          <w:rFonts w:cs="Times New Roman"/>
        </w:rPr>
        <w:t xml:space="preserve"> residence as an analogous ground, but declined to address whether residence on a reserve would similarly trigger the protection of s. 15: paras. 6 and 62. The Court’s recognition of off-reserve residence as an analogous ground in </w:t>
      </w:r>
      <w:proofErr w:type="spellStart"/>
      <w:r w:rsidRPr="00E90093">
        <w:rPr>
          <w:rFonts w:cs="Times New Roman"/>
          <w:i/>
        </w:rPr>
        <w:t>Corbiere</w:t>
      </w:r>
      <w:proofErr w:type="spellEnd"/>
      <w:r w:rsidRPr="00E90093">
        <w:rPr>
          <w:rFonts w:cs="Times New Roman"/>
        </w:rPr>
        <w:t xml:space="preserve"> relied in part on the argument that First Nations people living off-reserve have experienced unique disadvantages relative to community members living on a reserve and that, for many, the decision to live off-reserve was either forced or heavily constrained. With respect, I would be reluctant to impose a simple mirror inference without argument or evidence from the parties. </w:t>
      </w:r>
    </w:p>
    <w:p w:rsidR="008B0327" w:rsidRPr="00E90093" w:rsidRDefault="008B0327" w:rsidP="008B0327">
      <w:pPr>
        <w:pStyle w:val="ParaNoNdepar-AltN"/>
        <w:rPr>
          <w:rFonts w:cs="Times New Roman"/>
        </w:rPr>
      </w:pPr>
      <w:r w:rsidRPr="00E90093">
        <w:rPr>
          <w:rFonts w:cs="Times New Roman"/>
        </w:rPr>
        <w:t xml:space="preserve">In this case, there was no factual record to support deciding the appeal as a violation of the s. 15 rights of community members who live on a reserve. Most significantly, the record is silent about the education levels of members of the </w:t>
      </w:r>
      <w:proofErr w:type="spellStart"/>
      <w:r w:rsidRPr="00E90093">
        <w:rPr>
          <w:rFonts w:cs="Times New Roman"/>
        </w:rPr>
        <w:t>Kahkewistahaw</w:t>
      </w:r>
      <w:proofErr w:type="spellEnd"/>
      <w:r w:rsidRPr="00E90093">
        <w:rPr>
          <w:rFonts w:cs="Times New Roman"/>
        </w:rPr>
        <w:t xml:space="preserve"> First Nation who live on a reserve. The only evidence on the record dealing with education and residence on a reserve covers First Nations persons between 20 and 24 in Saskatchewan as a whole. The data does not address education levels among other age groups: John Richards, </w:t>
      </w:r>
      <w:r w:rsidRPr="00E90093">
        <w:rPr>
          <w:rFonts w:cs="Times New Roman"/>
          <w:i/>
        </w:rPr>
        <w:t>Closing the Aboriginal/non-Aboriginal Education Gap</w:t>
      </w:r>
      <w:r w:rsidR="00B01841">
        <w:rPr>
          <w:rFonts w:cs="Times New Roman"/>
          <w:i/>
        </w:rPr>
        <w:t>s</w:t>
      </w:r>
      <w:r w:rsidRPr="00E90093">
        <w:rPr>
          <w:rFonts w:cs="Times New Roman"/>
          <w:i/>
        </w:rPr>
        <w:t xml:space="preserve"> </w:t>
      </w:r>
      <w:r w:rsidRPr="00E90093">
        <w:rPr>
          <w:rFonts w:cs="Times New Roman"/>
        </w:rPr>
        <w:t>(2008) (online) (the “C.D. Howe Report”), at p. 4.</w:t>
      </w:r>
    </w:p>
    <w:p w:rsidR="008B0327" w:rsidRPr="00E90093" w:rsidRDefault="008B0327" w:rsidP="008B0327">
      <w:pPr>
        <w:pStyle w:val="ParaNoNdepar-AltN"/>
        <w:rPr>
          <w:rFonts w:cs="Times New Roman"/>
        </w:rPr>
      </w:pPr>
      <w:r w:rsidRPr="00E90093">
        <w:rPr>
          <w:rFonts w:cs="Times New Roman"/>
        </w:rPr>
        <w:t xml:space="preserve">Finally, even if it had been properly raised and argued by the parties, I have serious doubts about the merits of the argument that the education requirements </w:t>
      </w:r>
      <w:r w:rsidRPr="00E90093">
        <w:rPr>
          <w:rFonts w:cs="Times New Roman"/>
        </w:rPr>
        <w:lastRenderedPageBreak/>
        <w:t xml:space="preserve">in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have the effect of imposing arbitrary disadvantage on community members based on their residence on the reserve.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specifically requires that the Chief and three of the four Councillors </w:t>
      </w:r>
      <w:r w:rsidRPr="00E90093">
        <w:rPr>
          <w:rFonts w:cs="Times New Roman"/>
          <w:i/>
        </w:rPr>
        <w:t>must</w:t>
      </w:r>
      <w:r w:rsidRPr="00E90093">
        <w:rPr>
          <w:rFonts w:cs="Times New Roman"/>
        </w:rPr>
        <w:t xml:space="preserve"> reside on the reserve during their term:  ss. 9.04 and 9.05.  Far from having the effect of excluding community members who live on the reserve,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is specifically designed to foster their participation in community governance.  As a result, in the context of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as a whole, it is difficult to conclude that it has the effect of perpetuating arbitrary disadvantage against these community members.  </w:t>
      </w:r>
    </w:p>
    <w:p w:rsidR="008B0327" w:rsidRPr="00E90093" w:rsidRDefault="008B0327" w:rsidP="008B0327">
      <w:pPr>
        <w:pStyle w:val="ParaNoNdepar-AltN"/>
        <w:rPr>
          <w:rFonts w:cs="Times New Roman"/>
        </w:rPr>
      </w:pPr>
      <w:r w:rsidRPr="00E90093">
        <w:rPr>
          <w:rFonts w:cs="Times New Roman"/>
        </w:rPr>
        <w:t xml:space="preserve">Accordingly, in my view the Court of Appeal erred in concluding that the education provisions in the </w:t>
      </w:r>
      <w:proofErr w:type="spellStart"/>
      <w:r w:rsidRPr="00E90093">
        <w:rPr>
          <w:rFonts w:cs="Times New Roman"/>
          <w:i/>
        </w:rPr>
        <w:t>Kahkewistahaw</w:t>
      </w:r>
      <w:proofErr w:type="spellEnd"/>
      <w:r w:rsidRPr="00E90093">
        <w:rPr>
          <w:rFonts w:cs="Times New Roman"/>
          <w:i/>
        </w:rPr>
        <w:t xml:space="preserve"> Election Act </w:t>
      </w:r>
      <w:r w:rsidRPr="00E90093">
        <w:rPr>
          <w:rFonts w:cs="Times New Roman"/>
        </w:rPr>
        <w:t xml:space="preserve">represent a </w:t>
      </w:r>
      <w:r w:rsidRPr="00E90093">
        <w:rPr>
          <w:rFonts w:cs="Times New Roman"/>
          <w:i/>
        </w:rPr>
        <w:t>prima facie</w:t>
      </w:r>
      <w:r w:rsidRPr="00E90093">
        <w:rPr>
          <w:rFonts w:cs="Times New Roman"/>
        </w:rPr>
        <w:t xml:space="preserve"> violation of the s. 15 rights of community members who live on the reserve. </w:t>
      </w:r>
    </w:p>
    <w:p w:rsidR="008B0327" w:rsidRPr="00E90093" w:rsidRDefault="008B0327" w:rsidP="008B0327">
      <w:pPr>
        <w:pStyle w:val="ParaNoNdepar-AltN"/>
        <w:rPr>
          <w:rFonts w:cs="Times New Roman"/>
        </w:rPr>
      </w:pPr>
      <w:r w:rsidRPr="00E90093">
        <w:rPr>
          <w:rFonts w:cs="Times New Roman"/>
        </w:rPr>
        <w:t>Turning to the</w:t>
      </w:r>
      <w:r w:rsidRPr="00E90093">
        <w:rPr>
          <w:rFonts w:cs="Times New Roman"/>
          <w:b/>
        </w:rPr>
        <w:t xml:space="preserve"> </w:t>
      </w:r>
      <w:r w:rsidRPr="00E90093">
        <w:rPr>
          <w:rFonts w:cs="Times New Roman"/>
        </w:rPr>
        <w:t xml:space="preserve">conclusion reached by the Federal Court of Appeal that the education requirements discriminate against older members of the community, we confront similar evidentiary vacuums. The Federal Court of Appeal relied on two pieces of statistical evidence in support of this conclusion. The first was data from the 2006 census, about which the Federal Court of Appeal took judicial notice.  That data showed that </w:t>
      </w:r>
    </w:p>
    <w:p w:rsidR="008B0327" w:rsidRPr="00E90093" w:rsidRDefault="008B0327" w:rsidP="008B0327">
      <w:pPr>
        <w:pStyle w:val="Citation-AltC"/>
      </w:pPr>
      <w:r w:rsidRPr="00E90093">
        <w:tab/>
        <w:t xml:space="preserve">15% of Canadians between the age of 25 and 64 had less than a high school education. However, this number increases considerably with age, ranging from 11% for 25-34 year olds to 23% for 55-64 year olds: Statistics Canada, </w:t>
      </w:r>
      <w:r w:rsidRPr="00E90093">
        <w:rPr>
          <w:i/>
        </w:rPr>
        <w:t>Educational Portrait of Canada</w:t>
      </w:r>
      <w:r w:rsidRPr="00E90093">
        <w:t>, 2006 Census (Ottawa: Minister of Industry, 2008) at p. 10 (Catalogue number 97-560). [para. 52]</w:t>
      </w:r>
    </w:p>
    <w:p w:rsidR="008B0327" w:rsidRPr="00E90093" w:rsidRDefault="008B0327" w:rsidP="008B0327">
      <w:pPr>
        <w:pStyle w:val="ParaNoNdepar-AltN"/>
        <w:rPr>
          <w:rFonts w:cs="Times New Roman"/>
        </w:rPr>
      </w:pPr>
      <w:r w:rsidRPr="00E90093">
        <w:rPr>
          <w:rFonts w:cs="Times New Roman"/>
        </w:rPr>
        <w:lastRenderedPageBreak/>
        <w:t xml:space="preserve">Census data can certainly be a useful evidentiary tool to demonstrate that a law has a disadvantaging impact. But this case is about a particular Election Code in a particular First Nations community. I find it difficult to draw even a weak inference about the correlation between age and education among the almost 2000 members of the </w:t>
      </w:r>
      <w:proofErr w:type="spellStart"/>
      <w:r w:rsidRPr="00E90093">
        <w:rPr>
          <w:rFonts w:cs="Times New Roman"/>
        </w:rPr>
        <w:t>Kahkewistahaw</w:t>
      </w:r>
      <w:proofErr w:type="spellEnd"/>
      <w:r w:rsidRPr="00E90093">
        <w:rPr>
          <w:rFonts w:cs="Times New Roman"/>
        </w:rPr>
        <w:t xml:space="preserve"> First Nation from census data about the Canadian population generally. </w:t>
      </w:r>
      <w:r w:rsidRPr="00E90093">
        <w:rPr>
          <w:rFonts w:cs="Times New Roman"/>
          <w:b/>
        </w:rPr>
        <w:t xml:space="preserve"> </w:t>
      </w:r>
      <w:r w:rsidRPr="00E90093">
        <w:rPr>
          <w:rFonts w:cs="Times New Roman"/>
        </w:rPr>
        <w:t xml:space="preserve">As a result, in my respectful view, the Court of Appeal erred in taking judicial notice of this data as a key to its conclusion that the </w:t>
      </w:r>
      <w:proofErr w:type="spellStart"/>
      <w:r w:rsidRPr="00E90093">
        <w:rPr>
          <w:rFonts w:cs="Times New Roman"/>
        </w:rPr>
        <w:t>Kahkewistahaw</w:t>
      </w:r>
      <w:proofErr w:type="spellEnd"/>
      <w:r w:rsidRPr="00E90093">
        <w:rPr>
          <w:rFonts w:cs="Times New Roman"/>
        </w:rPr>
        <w:t xml:space="preserve"> First Nation’s Election Code would have a disadvantaging effect on older community members.</w:t>
      </w:r>
      <w:r w:rsidRPr="00E90093">
        <w:rPr>
          <w:rFonts w:cs="Times New Roman"/>
          <w:b/>
        </w:rPr>
        <w:t xml:space="preserve"> </w:t>
      </w:r>
    </w:p>
    <w:p w:rsidR="008B0327" w:rsidRPr="00E90093" w:rsidRDefault="008B0327" w:rsidP="008B0327">
      <w:pPr>
        <w:pStyle w:val="ParaNoNdepar-AltN"/>
        <w:rPr>
          <w:rFonts w:cs="Times New Roman"/>
        </w:rPr>
      </w:pPr>
      <w:r w:rsidRPr="00E90093">
        <w:rPr>
          <w:rFonts w:cs="Times New Roman"/>
        </w:rPr>
        <w:t xml:space="preserve">The second statistical basis for the Federal Court of Appeal’s finding was aggregate educational data in the C.D. Howe Report dealing with all aboriginal people in Canada: pp. 4-5. The Federal Court of Appeal used this data to conclude that the provision would have a disproportionate impact on older community members in the </w:t>
      </w:r>
      <w:proofErr w:type="spellStart"/>
      <w:r w:rsidRPr="00E90093">
        <w:rPr>
          <w:rFonts w:cs="Times New Roman"/>
        </w:rPr>
        <w:t>Kahkewistahaw</w:t>
      </w:r>
      <w:proofErr w:type="spellEnd"/>
      <w:r w:rsidRPr="00E90093">
        <w:rPr>
          <w:rFonts w:cs="Times New Roman"/>
        </w:rPr>
        <w:t xml:space="preserve"> First Nation.  But the data relates to all Aboriginal people in Canada, including the Métis, the Inuit, and First Nations.   It is less helpful in shedding light on the relationship between age and education in the specific context of the members of the </w:t>
      </w:r>
      <w:proofErr w:type="spellStart"/>
      <w:r w:rsidRPr="00E90093">
        <w:rPr>
          <w:rFonts w:cs="Times New Roman"/>
        </w:rPr>
        <w:t>Kahkewistahaw</w:t>
      </w:r>
      <w:proofErr w:type="spellEnd"/>
      <w:r w:rsidRPr="00E90093">
        <w:rPr>
          <w:rFonts w:cs="Times New Roman"/>
        </w:rPr>
        <w:t xml:space="preserve"> First Nation. It captures a vastly larger, more diverse population than the community affected by the Code in this case and does not meaningfully illuminate</w:t>
      </w:r>
      <w:r w:rsidRPr="00E90093">
        <w:rPr>
          <w:rFonts w:cs="Times New Roman"/>
          <w:i/>
        </w:rPr>
        <w:t xml:space="preserve"> </w:t>
      </w:r>
      <w:r w:rsidRPr="00E90093">
        <w:rPr>
          <w:rFonts w:cs="Times New Roman"/>
        </w:rPr>
        <w:t xml:space="preserve">whether and to what extent the Grade 12 education requirement functions to disadvantage older community members of the </w:t>
      </w:r>
      <w:proofErr w:type="spellStart"/>
      <w:r w:rsidRPr="00E90093">
        <w:rPr>
          <w:rFonts w:cs="Times New Roman"/>
        </w:rPr>
        <w:t>Kahkewistahaw</w:t>
      </w:r>
      <w:proofErr w:type="spellEnd"/>
      <w:r w:rsidRPr="00E90093">
        <w:rPr>
          <w:rFonts w:cs="Times New Roman"/>
        </w:rPr>
        <w:t xml:space="preserve"> First Nation.</w:t>
      </w:r>
    </w:p>
    <w:p w:rsidR="008B0327" w:rsidRPr="00E90093" w:rsidRDefault="008B0327" w:rsidP="008B0327">
      <w:pPr>
        <w:pStyle w:val="ParaNoNdepar-AltN"/>
        <w:rPr>
          <w:rFonts w:cs="Times New Roman"/>
        </w:rPr>
      </w:pPr>
      <w:r w:rsidRPr="00E90093">
        <w:rPr>
          <w:rFonts w:cs="Times New Roman"/>
        </w:rPr>
        <w:lastRenderedPageBreak/>
        <w:t xml:space="preserve">Finally, in his submissions before this Court, Mr. </w:t>
      </w:r>
      <w:proofErr w:type="spellStart"/>
      <w:r w:rsidRPr="00E90093">
        <w:rPr>
          <w:rFonts w:cs="Times New Roman"/>
        </w:rPr>
        <w:t>Taypotat</w:t>
      </w:r>
      <w:proofErr w:type="spellEnd"/>
      <w:r w:rsidRPr="00E90093">
        <w:rPr>
          <w:rFonts w:cs="Times New Roman"/>
        </w:rPr>
        <w:t xml:space="preserve"> reframed the Federal Court of Appeal’s conclusion slightly, asserting that the education provisions discriminate against </w:t>
      </w:r>
      <w:r w:rsidRPr="00E90093">
        <w:rPr>
          <w:rFonts w:cs="Times New Roman"/>
          <w:i/>
        </w:rPr>
        <w:t>older community members who live on a reserve</w:t>
      </w:r>
      <w:r w:rsidRPr="00E90093">
        <w:rPr>
          <w:rFonts w:cs="Times New Roman"/>
        </w:rPr>
        <w:t>, rather than, as the Court of Appeal found, against both older community members</w:t>
      </w:r>
      <w:r w:rsidRPr="00E90093">
        <w:rPr>
          <w:rFonts w:cs="Times New Roman"/>
          <w:i/>
        </w:rPr>
        <w:t xml:space="preserve"> and</w:t>
      </w:r>
      <w:r w:rsidRPr="00E90093">
        <w:rPr>
          <w:rFonts w:cs="Times New Roman"/>
        </w:rPr>
        <w:t xml:space="preserve"> those who live on the reserve.  On this issue, too, the record is silent and we are left only with Mr. </w:t>
      </w:r>
      <w:proofErr w:type="spellStart"/>
      <w:r w:rsidRPr="00E90093">
        <w:rPr>
          <w:rFonts w:cs="Times New Roman"/>
        </w:rPr>
        <w:t>Taypotat’s</w:t>
      </w:r>
      <w:proofErr w:type="spellEnd"/>
      <w:r w:rsidRPr="00E90093">
        <w:rPr>
          <w:rFonts w:cs="Times New Roman"/>
        </w:rPr>
        <w:t xml:space="preserve"> bare assertion.  This is not to say that statistical evidence is invariably required to establish that a facially neutral law infringes s. 15.  In some cases, the disparate impact on an enumerated or analogous group will be apparent and immediate.  The evidence in this case, however, does not point to any such link between the education requirement and a disparate impact on the basis of an enumerated or analogous ground.</w:t>
      </w:r>
    </w:p>
    <w:p w:rsidR="008B0327" w:rsidRPr="00E90093" w:rsidRDefault="008B0327" w:rsidP="008B0327">
      <w:pPr>
        <w:pStyle w:val="ParaNoNdepar-AltN"/>
        <w:rPr>
          <w:rFonts w:cs="Times New Roman"/>
        </w:rPr>
      </w:pPr>
      <w:r w:rsidRPr="00E90093">
        <w:rPr>
          <w:rFonts w:cs="Times New Roman"/>
        </w:rPr>
        <w:t xml:space="preserve">I think intuition may well lead us to the conclusion that the provision has some disparate impact, but before we put the </w:t>
      </w:r>
      <w:proofErr w:type="spellStart"/>
      <w:r w:rsidRPr="00E90093">
        <w:rPr>
          <w:rFonts w:cs="Times New Roman"/>
        </w:rPr>
        <w:t>Kahkewistahaw</w:t>
      </w:r>
      <w:proofErr w:type="spellEnd"/>
      <w:r w:rsidRPr="00E90093">
        <w:rPr>
          <w:rFonts w:cs="Times New Roman"/>
        </w:rPr>
        <w:t xml:space="preserve"> First Nation to the burden of justifying a breach of s. 15 in its </w:t>
      </w:r>
      <w:proofErr w:type="spellStart"/>
      <w:r w:rsidRPr="00E90093">
        <w:rPr>
          <w:rFonts w:cs="Times New Roman"/>
          <w:i/>
        </w:rPr>
        <w:t>Kahkewistahaw</w:t>
      </w:r>
      <w:proofErr w:type="spellEnd"/>
      <w:r w:rsidRPr="00E90093">
        <w:rPr>
          <w:rFonts w:cs="Times New Roman"/>
          <w:i/>
        </w:rPr>
        <w:t xml:space="preserve"> Election Act</w:t>
      </w:r>
      <w:r w:rsidRPr="00E90093">
        <w:rPr>
          <w:rFonts w:cs="Times New Roman"/>
        </w:rPr>
        <w:t xml:space="preserve">, there must be enough evidence to show a </w:t>
      </w:r>
      <w:r w:rsidRPr="00E90093">
        <w:rPr>
          <w:rFonts w:cs="Times New Roman"/>
          <w:i/>
        </w:rPr>
        <w:t>prima facie</w:t>
      </w:r>
      <w:r w:rsidRPr="00E90093">
        <w:rPr>
          <w:rFonts w:cs="Times New Roman"/>
        </w:rPr>
        <w:t xml:space="preserve"> breach.  While the evidentiary burden need not be onerous, the evidence must amount to more than a web of instinct. The evidence before us, even in combination, does not rise to the level of demonstrating any relationship between age, residence on a reserve, and education among members of the </w:t>
      </w:r>
      <w:proofErr w:type="spellStart"/>
      <w:r w:rsidRPr="00E90093">
        <w:rPr>
          <w:rFonts w:cs="Times New Roman"/>
        </w:rPr>
        <w:t>Kahkewistahaw</w:t>
      </w:r>
      <w:proofErr w:type="spellEnd"/>
      <w:r w:rsidRPr="00E90093">
        <w:rPr>
          <w:rFonts w:cs="Times New Roman"/>
        </w:rPr>
        <w:t xml:space="preserve"> First Nation, let alone that arbitrary disadvantage results from the impugned provisions. </w:t>
      </w:r>
    </w:p>
    <w:p w:rsidR="008B0327" w:rsidRPr="00E90093" w:rsidRDefault="008B0327" w:rsidP="008B0327">
      <w:pPr>
        <w:pStyle w:val="ParaNoNdepar-AltN"/>
        <w:rPr>
          <w:rFonts w:cs="Times New Roman"/>
        </w:rPr>
      </w:pPr>
      <w:r w:rsidRPr="00E90093">
        <w:rPr>
          <w:rFonts w:cs="Times New Roman"/>
        </w:rPr>
        <w:t xml:space="preserve">I would therefore allow the appeal with costs and restore the decision of de </w:t>
      </w:r>
      <w:proofErr w:type="spellStart"/>
      <w:r w:rsidRPr="00E90093">
        <w:rPr>
          <w:rFonts w:cs="Times New Roman"/>
        </w:rPr>
        <w:t>Montigny</w:t>
      </w:r>
      <w:proofErr w:type="spellEnd"/>
      <w:r w:rsidRPr="00E90093">
        <w:rPr>
          <w:rFonts w:cs="Times New Roman"/>
        </w:rPr>
        <w:t xml:space="preserve"> J.</w:t>
      </w:r>
    </w:p>
    <w:p w:rsidR="009B57B3" w:rsidRPr="0098677F" w:rsidRDefault="009B57B3" w:rsidP="00E906DC">
      <w:pPr>
        <w:pStyle w:val="SCCNormalDoubleSpacing"/>
        <w:spacing w:before="480" w:after="480"/>
      </w:pPr>
      <w:r w:rsidRPr="0098677F">
        <w:lastRenderedPageBreak/>
        <w:tab/>
      </w:r>
      <w:r w:rsidR="00656313" w:rsidRPr="0098677F">
        <w:rPr>
          <w:i/>
        </w:rPr>
        <w:t>Appeal</w:t>
      </w:r>
      <w:r w:rsidR="002D0D22" w:rsidRPr="0098677F">
        <w:rPr>
          <w:i/>
        </w:rPr>
        <w:t xml:space="preserve"> </w:t>
      </w:r>
      <w:r w:rsidR="00B71C5D" w:rsidRPr="0098677F">
        <w:rPr>
          <w:i/>
        </w:rPr>
        <w:t>allowed</w:t>
      </w:r>
      <w:r w:rsidR="00B01841">
        <w:rPr>
          <w:i/>
        </w:rPr>
        <w:t xml:space="preserve"> with costs</w:t>
      </w:r>
      <w:r w:rsidR="002D0D22" w:rsidRPr="0098677F">
        <w:rPr>
          <w:i/>
        </w:rPr>
        <w:t>.</w:t>
      </w:r>
    </w:p>
    <w:p w:rsidR="00AB4F2B" w:rsidRPr="0098677F" w:rsidRDefault="002D0D22" w:rsidP="00E906DC">
      <w:pPr>
        <w:pStyle w:val="SCCLawFirm"/>
        <w:spacing w:before="480" w:after="480"/>
      </w:pPr>
      <w:r w:rsidRPr="0098677F">
        <w:tab/>
      </w:r>
      <w:r w:rsidR="00E906DC" w:rsidRPr="0098677F">
        <w:t>Solicitors for the appellants:</w:t>
      </w:r>
      <w:r w:rsidR="008B0327">
        <w:t xml:space="preserve"> </w:t>
      </w:r>
      <w:r w:rsidR="00AB4F2B" w:rsidRPr="0098677F">
        <w:t xml:space="preserve">Supreme Advocacy, Ottawa; Bainbridge </w:t>
      </w:r>
      <w:proofErr w:type="spellStart"/>
      <w:r w:rsidR="00AB4F2B" w:rsidRPr="0098677F">
        <w:t>Jodouin</w:t>
      </w:r>
      <w:proofErr w:type="spellEnd"/>
      <w:r w:rsidR="00AB4F2B" w:rsidRPr="0098677F">
        <w:t xml:space="preserve"> </w:t>
      </w:r>
      <w:proofErr w:type="spellStart"/>
      <w:r w:rsidR="00AB4F2B" w:rsidRPr="0098677F">
        <w:t>Cheecham</w:t>
      </w:r>
      <w:proofErr w:type="spellEnd"/>
      <w:r w:rsidR="00AB4F2B" w:rsidRPr="0098677F">
        <w:t>, Saskatoon.</w:t>
      </w:r>
    </w:p>
    <w:p w:rsidR="009B57B3" w:rsidRDefault="00AB4F2B" w:rsidP="008B0327">
      <w:pPr>
        <w:pStyle w:val="SCCLawFirm"/>
        <w:rPr>
          <w:b/>
          <w:i w:val="0"/>
        </w:rPr>
      </w:pPr>
      <w:r w:rsidRPr="0098677F">
        <w:tab/>
      </w:r>
      <w:r w:rsidR="00E906DC" w:rsidRPr="0098677F">
        <w:t>Solicitors for the respondent:</w:t>
      </w:r>
      <w:r w:rsidR="008B0327">
        <w:t xml:space="preserve"> </w:t>
      </w:r>
      <w:r w:rsidRPr="0098677F">
        <w:t>Phillips &amp; Co., Regina.</w:t>
      </w:r>
    </w:p>
    <w:p w:rsidR="008B0327" w:rsidRPr="008B0327" w:rsidRDefault="008B0327" w:rsidP="008B0327">
      <w:pPr>
        <w:pStyle w:val="SCCNormalDoubleSpacing"/>
      </w:pPr>
    </w:p>
    <w:sectPr w:rsidR="008B0327" w:rsidRPr="008B0327"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F1" w:rsidRDefault="000450F1">
      <w:r>
        <w:separator/>
      </w:r>
    </w:p>
  </w:endnote>
  <w:endnote w:type="continuationSeparator" w:id="0">
    <w:p w:rsidR="000450F1" w:rsidRDefault="0004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F1" w:rsidRDefault="000450F1">
      <w:r>
        <w:separator/>
      </w:r>
    </w:p>
  </w:footnote>
  <w:footnote w:type="continuationSeparator" w:id="0">
    <w:p w:rsidR="000450F1" w:rsidRDefault="0004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F1" w:rsidRPr="00450352" w:rsidRDefault="000450F1"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9836C36C"/>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D04"/>
    <w:rsid w:val="00005E77"/>
    <w:rsid w:val="000140F9"/>
    <w:rsid w:val="00025198"/>
    <w:rsid w:val="000450F1"/>
    <w:rsid w:val="000578A3"/>
    <w:rsid w:val="000648CC"/>
    <w:rsid w:val="00067E72"/>
    <w:rsid w:val="000A6B8D"/>
    <w:rsid w:val="000C59B8"/>
    <w:rsid w:val="000C6AF0"/>
    <w:rsid w:val="000E5593"/>
    <w:rsid w:val="00104F33"/>
    <w:rsid w:val="00111DE2"/>
    <w:rsid w:val="00113F16"/>
    <w:rsid w:val="00116B38"/>
    <w:rsid w:val="00127126"/>
    <w:rsid w:val="00135406"/>
    <w:rsid w:val="00135972"/>
    <w:rsid w:val="00140433"/>
    <w:rsid w:val="001426A9"/>
    <w:rsid w:val="00154D7C"/>
    <w:rsid w:val="001570B0"/>
    <w:rsid w:val="0015752C"/>
    <w:rsid w:val="00157737"/>
    <w:rsid w:val="00165277"/>
    <w:rsid w:val="00170592"/>
    <w:rsid w:val="00186351"/>
    <w:rsid w:val="00195D83"/>
    <w:rsid w:val="001A00C1"/>
    <w:rsid w:val="001B13B9"/>
    <w:rsid w:val="001B33E0"/>
    <w:rsid w:val="001B4573"/>
    <w:rsid w:val="001C779F"/>
    <w:rsid w:val="001D2AC1"/>
    <w:rsid w:val="001D4E88"/>
    <w:rsid w:val="001E665A"/>
    <w:rsid w:val="00216AA3"/>
    <w:rsid w:val="00220FC2"/>
    <w:rsid w:val="002222F4"/>
    <w:rsid w:val="00224FC0"/>
    <w:rsid w:val="00225EA4"/>
    <w:rsid w:val="00226EAF"/>
    <w:rsid w:val="00231F3A"/>
    <w:rsid w:val="00234199"/>
    <w:rsid w:val="002352D3"/>
    <w:rsid w:val="002406EE"/>
    <w:rsid w:val="00243EC8"/>
    <w:rsid w:val="00270D93"/>
    <w:rsid w:val="002745CC"/>
    <w:rsid w:val="00281168"/>
    <w:rsid w:val="0028435D"/>
    <w:rsid w:val="002B68C5"/>
    <w:rsid w:val="002B7924"/>
    <w:rsid w:val="002D0D22"/>
    <w:rsid w:val="002D28C3"/>
    <w:rsid w:val="002D39A4"/>
    <w:rsid w:val="002E6705"/>
    <w:rsid w:val="00301D08"/>
    <w:rsid w:val="0030329A"/>
    <w:rsid w:val="0031086F"/>
    <w:rsid w:val="003131F5"/>
    <w:rsid w:val="0031414C"/>
    <w:rsid w:val="00314E01"/>
    <w:rsid w:val="0032089D"/>
    <w:rsid w:val="003310DE"/>
    <w:rsid w:val="003323B0"/>
    <w:rsid w:val="0035169A"/>
    <w:rsid w:val="0035259D"/>
    <w:rsid w:val="00364B18"/>
    <w:rsid w:val="003652AA"/>
    <w:rsid w:val="00376B07"/>
    <w:rsid w:val="003A125D"/>
    <w:rsid w:val="003A3343"/>
    <w:rsid w:val="003A4C70"/>
    <w:rsid w:val="003B215F"/>
    <w:rsid w:val="003C799C"/>
    <w:rsid w:val="003D0399"/>
    <w:rsid w:val="003E1C71"/>
    <w:rsid w:val="003E1E60"/>
    <w:rsid w:val="003F327B"/>
    <w:rsid w:val="00406166"/>
    <w:rsid w:val="0040704B"/>
    <w:rsid w:val="00410A55"/>
    <w:rsid w:val="00411300"/>
    <w:rsid w:val="00415417"/>
    <w:rsid w:val="00426659"/>
    <w:rsid w:val="00433CBD"/>
    <w:rsid w:val="00450352"/>
    <w:rsid w:val="00454BDB"/>
    <w:rsid w:val="00464800"/>
    <w:rsid w:val="00465132"/>
    <w:rsid w:val="00480C90"/>
    <w:rsid w:val="0048396F"/>
    <w:rsid w:val="00493C18"/>
    <w:rsid w:val="0049750D"/>
    <w:rsid w:val="004A600C"/>
    <w:rsid w:val="004A6118"/>
    <w:rsid w:val="004C2422"/>
    <w:rsid w:val="004C478D"/>
    <w:rsid w:val="004E2C26"/>
    <w:rsid w:val="004F36FF"/>
    <w:rsid w:val="005125A8"/>
    <w:rsid w:val="00521AE8"/>
    <w:rsid w:val="00527180"/>
    <w:rsid w:val="0054201E"/>
    <w:rsid w:val="00546A04"/>
    <w:rsid w:val="00555291"/>
    <w:rsid w:val="00566AD1"/>
    <w:rsid w:val="0057574C"/>
    <w:rsid w:val="00581DA6"/>
    <w:rsid w:val="00583EDE"/>
    <w:rsid w:val="00586E34"/>
    <w:rsid w:val="005A0439"/>
    <w:rsid w:val="005A3B2A"/>
    <w:rsid w:val="005A6079"/>
    <w:rsid w:val="005E3DA0"/>
    <w:rsid w:val="005E4698"/>
    <w:rsid w:val="00610539"/>
    <w:rsid w:val="00613969"/>
    <w:rsid w:val="00625C35"/>
    <w:rsid w:val="00651912"/>
    <w:rsid w:val="00654AC4"/>
    <w:rsid w:val="00656313"/>
    <w:rsid w:val="006565F4"/>
    <w:rsid w:val="00684EEA"/>
    <w:rsid w:val="0069689B"/>
    <w:rsid w:val="00696BE9"/>
    <w:rsid w:val="006A1551"/>
    <w:rsid w:val="006B5FF5"/>
    <w:rsid w:val="006C7D05"/>
    <w:rsid w:val="006D20A7"/>
    <w:rsid w:val="006D6F91"/>
    <w:rsid w:val="006F14DD"/>
    <w:rsid w:val="006F30AF"/>
    <w:rsid w:val="00701759"/>
    <w:rsid w:val="00705C15"/>
    <w:rsid w:val="00707DCD"/>
    <w:rsid w:val="0071600E"/>
    <w:rsid w:val="007174FC"/>
    <w:rsid w:val="007208D1"/>
    <w:rsid w:val="00747288"/>
    <w:rsid w:val="00747DD3"/>
    <w:rsid w:val="00754595"/>
    <w:rsid w:val="007549C8"/>
    <w:rsid w:val="00754A0B"/>
    <w:rsid w:val="00755DC5"/>
    <w:rsid w:val="00766BDC"/>
    <w:rsid w:val="00766D14"/>
    <w:rsid w:val="007677D0"/>
    <w:rsid w:val="00767A0F"/>
    <w:rsid w:val="007A05F6"/>
    <w:rsid w:val="007A4A37"/>
    <w:rsid w:val="007B039E"/>
    <w:rsid w:val="007B6F4A"/>
    <w:rsid w:val="007E1C47"/>
    <w:rsid w:val="007E337A"/>
    <w:rsid w:val="007E5C70"/>
    <w:rsid w:val="007F2FF5"/>
    <w:rsid w:val="007F3F08"/>
    <w:rsid w:val="00804CC6"/>
    <w:rsid w:val="00817190"/>
    <w:rsid w:val="00820EE5"/>
    <w:rsid w:val="008260E2"/>
    <w:rsid w:val="008322BD"/>
    <w:rsid w:val="00833E0A"/>
    <w:rsid w:val="00834F73"/>
    <w:rsid w:val="00846913"/>
    <w:rsid w:val="008521B8"/>
    <w:rsid w:val="00864C4C"/>
    <w:rsid w:val="00864CF8"/>
    <w:rsid w:val="00872819"/>
    <w:rsid w:val="00874914"/>
    <w:rsid w:val="00887F27"/>
    <w:rsid w:val="00891422"/>
    <w:rsid w:val="00892E1A"/>
    <w:rsid w:val="008A3F29"/>
    <w:rsid w:val="008B0327"/>
    <w:rsid w:val="008B18F2"/>
    <w:rsid w:val="008B2F9F"/>
    <w:rsid w:val="008B660A"/>
    <w:rsid w:val="008C01DA"/>
    <w:rsid w:val="008E72A1"/>
    <w:rsid w:val="008F78E9"/>
    <w:rsid w:val="00911989"/>
    <w:rsid w:val="0091376A"/>
    <w:rsid w:val="009179F9"/>
    <w:rsid w:val="00933E5E"/>
    <w:rsid w:val="00935218"/>
    <w:rsid w:val="009403F3"/>
    <w:rsid w:val="009555B7"/>
    <w:rsid w:val="009567AA"/>
    <w:rsid w:val="00956F4B"/>
    <w:rsid w:val="00967374"/>
    <w:rsid w:val="009841E2"/>
    <w:rsid w:val="0098677F"/>
    <w:rsid w:val="0099090D"/>
    <w:rsid w:val="009914C4"/>
    <w:rsid w:val="009A343A"/>
    <w:rsid w:val="009B2F23"/>
    <w:rsid w:val="009B57B3"/>
    <w:rsid w:val="009C5B92"/>
    <w:rsid w:val="009D2920"/>
    <w:rsid w:val="009D5A23"/>
    <w:rsid w:val="009D5AEB"/>
    <w:rsid w:val="009F0E33"/>
    <w:rsid w:val="00A01140"/>
    <w:rsid w:val="00A030CE"/>
    <w:rsid w:val="00A149DF"/>
    <w:rsid w:val="00A1755C"/>
    <w:rsid w:val="00A21B90"/>
    <w:rsid w:val="00A33B69"/>
    <w:rsid w:val="00A41805"/>
    <w:rsid w:val="00A42DCD"/>
    <w:rsid w:val="00A52AFB"/>
    <w:rsid w:val="00A53D73"/>
    <w:rsid w:val="00A548CB"/>
    <w:rsid w:val="00A5521C"/>
    <w:rsid w:val="00A643E7"/>
    <w:rsid w:val="00A67CC1"/>
    <w:rsid w:val="00A73C38"/>
    <w:rsid w:val="00A8030C"/>
    <w:rsid w:val="00AA0C95"/>
    <w:rsid w:val="00AB4F2B"/>
    <w:rsid w:val="00AB670D"/>
    <w:rsid w:val="00AC2F99"/>
    <w:rsid w:val="00AF03C5"/>
    <w:rsid w:val="00AF3002"/>
    <w:rsid w:val="00B000D8"/>
    <w:rsid w:val="00B00F75"/>
    <w:rsid w:val="00B01841"/>
    <w:rsid w:val="00B128CC"/>
    <w:rsid w:val="00B145B6"/>
    <w:rsid w:val="00B279EB"/>
    <w:rsid w:val="00B35C2E"/>
    <w:rsid w:val="00B50C81"/>
    <w:rsid w:val="00B557F8"/>
    <w:rsid w:val="00B62D08"/>
    <w:rsid w:val="00B71C5D"/>
    <w:rsid w:val="00B815FC"/>
    <w:rsid w:val="00B93FBC"/>
    <w:rsid w:val="00BA7DA0"/>
    <w:rsid w:val="00BB2EE4"/>
    <w:rsid w:val="00BC2108"/>
    <w:rsid w:val="00BD0E9E"/>
    <w:rsid w:val="00BD1BEC"/>
    <w:rsid w:val="00BD32FF"/>
    <w:rsid w:val="00BD3EF5"/>
    <w:rsid w:val="00BE49BB"/>
    <w:rsid w:val="00BF59CD"/>
    <w:rsid w:val="00C02092"/>
    <w:rsid w:val="00C24D91"/>
    <w:rsid w:val="00C34251"/>
    <w:rsid w:val="00C53F14"/>
    <w:rsid w:val="00C600CF"/>
    <w:rsid w:val="00C6084F"/>
    <w:rsid w:val="00C62A66"/>
    <w:rsid w:val="00C6614F"/>
    <w:rsid w:val="00C70060"/>
    <w:rsid w:val="00C71458"/>
    <w:rsid w:val="00C77613"/>
    <w:rsid w:val="00C828E7"/>
    <w:rsid w:val="00C86719"/>
    <w:rsid w:val="00C921DD"/>
    <w:rsid w:val="00CA374C"/>
    <w:rsid w:val="00CA6391"/>
    <w:rsid w:val="00CC34BD"/>
    <w:rsid w:val="00CD72ED"/>
    <w:rsid w:val="00CD7B1E"/>
    <w:rsid w:val="00CE161A"/>
    <w:rsid w:val="00CE3171"/>
    <w:rsid w:val="00CE532C"/>
    <w:rsid w:val="00CE715F"/>
    <w:rsid w:val="00CF1601"/>
    <w:rsid w:val="00CF65D1"/>
    <w:rsid w:val="00D0172F"/>
    <w:rsid w:val="00D068A7"/>
    <w:rsid w:val="00D11E79"/>
    <w:rsid w:val="00D17476"/>
    <w:rsid w:val="00D26CD3"/>
    <w:rsid w:val="00D32086"/>
    <w:rsid w:val="00D33AF9"/>
    <w:rsid w:val="00D37A3F"/>
    <w:rsid w:val="00D4431D"/>
    <w:rsid w:val="00D4667A"/>
    <w:rsid w:val="00D63A1C"/>
    <w:rsid w:val="00D7516F"/>
    <w:rsid w:val="00D8579F"/>
    <w:rsid w:val="00D9431B"/>
    <w:rsid w:val="00D95F8E"/>
    <w:rsid w:val="00DA0590"/>
    <w:rsid w:val="00DB7BEA"/>
    <w:rsid w:val="00DC11ED"/>
    <w:rsid w:val="00DC1739"/>
    <w:rsid w:val="00DC1788"/>
    <w:rsid w:val="00DC1BDC"/>
    <w:rsid w:val="00DC5E6B"/>
    <w:rsid w:val="00DE319C"/>
    <w:rsid w:val="00DE5613"/>
    <w:rsid w:val="00DF0CA8"/>
    <w:rsid w:val="00DF2B48"/>
    <w:rsid w:val="00DF49A7"/>
    <w:rsid w:val="00DF636C"/>
    <w:rsid w:val="00E066F0"/>
    <w:rsid w:val="00E07EE2"/>
    <w:rsid w:val="00E07FD1"/>
    <w:rsid w:val="00E24573"/>
    <w:rsid w:val="00E25E1E"/>
    <w:rsid w:val="00E27EE7"/>
    <w:rsid w:val="00E34E15"/>
    <w:rsid w:val="00E35404"/>
    <w:rsid w:val="00E45109"/>
    <w:rsid w:val="00E464FF"/>
    <w:rsid w:val="00E47B7A"/>
    <w:rsid w:val="00E50606"/>
    <w:rsid w:val="00E554B7"/>
    <w:rsid w:val="00E56A44"/>
    <w:rsid w:val="00E60269"/>
    <w:rsid w:val="00E77932"/>
    <w:rsid w:val="00E87780"/>
    <w:rsid w:val="00E906DC"/>
    <w:rsid w:val="00E9705F"/>
    <w:rsid w:val="00E97830"/>
    <w:rsid w:val="00EB63F5"/>
    <w:rsid w:val="00EE643C"/>
    <w:rsid w:val="00EF0683"/>
    <w:rsid w:val="00EF69D2"/>
    <w:rsid w:val="00EF766E"/>
    <w:rsid w:val="00F0070C"/>
    <w:rsid w:val="00F00EB7"/>
    <w:rsid w:val="00F13068"/>
    <w:rsid w:val="00F36AB6"/>
    <w:rsid w:val="00F37A09"/>
    <w:rsid w:val="00F409CE"/>
    <w:rsid w:val="00F4379D"/>
    <w:rsid w:val="00F50D2D"/>
    <w:rsid w:val="00F56C8B"/>
    <w:rsid w:val="00F66810"/>
    <w:rsid w:val="00F761A9"/>
    <w:rsid w:val="00F846D9"/>
    <w:rsid w:val="00F84DF4"/>
    <w:rsid w:val="00F85C97"/>
    <w:rsid w:val="00F94DC8"/>
    <w:rsid w:val="00FB175C"/>
    <w:rsid w:val="00FB37D2"/>
    <w:rsid w:val="00FC4EFB"/>
    <w:rsid w:val="00FD068D"/>
    <w:rsid w:val="00FD2E77"/>
    <w:rsid w:val="00FD4F28"/>
    <w:rsid w:val="00FE6784"/>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1B13B9"/>
    <w:rPr>
      <w:color w:val="0000FF" w:themeColor="hyperlink"/>
      <w:u w:val="single"/>
    </w:rPr>
  </w:style>
  <w:style w:type="paragraph" w:customStyle="1" w:styleId="ParaNoNdepar-AltN">
    <w:name w:val="Para. No. / Nº de par. - Alt N"/>
    <w:qFormat/>
    <w:rsid w:val="0065191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8B032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0327"/>
    <w:rPr>
      <w:rFonts w:eastAsiaTheme="minorHAnsi" w:cstheme="minorBidi"/>
      <w:sz w:val="24"/>
      <w:szCs w:val="22"/>
      <w:lang w:eastAsia="en-US"/>
    </w:rPr>
  </w:style>
  <w:style w:type="table" w:styleId="TableGrid">
    <w:name w:val="Table Grid"/>
    <w:basedOn w:val="TableNormal"/>
    <w:uiPriority w:val="59"/>
    <w:rsid w:val="008B032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0327"/>
    <w:pPr>
      <w:spacing w:after="720"/>
      <w:ind w:left="1166"/>
      <w:contextualSpacing/>
      <w:jc w:val="both"/>
    </w:pPr>
    <w:rPr>
      <w:sz w:val="24"/>
      <w:szCs w:val="24"/>
    </w:rPr>
  </w:style>
  <w:style w:type="paragraph" w:customStyle="1" w:styleId="JudgeJuge">
    <w:name w:val="Judge / Juge"/>
    <w:uiPriority w:val="3"/>
    <w:rsid w:val="008B0327"/>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8B0327"/>
    <w:pPr>
      <w:tabs>
        <w:tab w:val="left" w:pos="360"/>
      </w:tabs>
      <w:spacing w:before="480" w:after="720"/>
      <w:ind w:left="360" w:hanging="360"/>
      <w:jc w:val="both"/>
    </w:pPr>
    <w:rPr>
      <w:rFonts w:eastAsiaTheme="minorHAnsi" w:cstheme="minorBidi"/>
      <w:sz w:val="24"/>
      <w:szCs w:val="22"/>
      <w:lang w:eastAsia="en-US"/>
    </w:rPr>
  </w:style>
  <w:style w:type="character" w:customStyle="1" w:styleId="sccrespondentforindexchar1">
    <w:name w:val="sccrespondentforindexchar1"/>
    <w:basedOn w:val="DefaultParagraphFont"/>
    <w:rsid w:val="008B0327"/>
    <w:rPr>
      <w:rFonts w:ascii="Times New Roman" w:hAnsi="Times New Roman" w:cs="Times New Roman" w:hint="default"/>
      <w:b/>
      <w:bCs/>
    </w:rPr>
  </w:style>
  <w:style w:type="character" w:customStyle="1" w:styleId="SCCLsocPartyRoleChar">
    <w:name w:val="SCC.Lsoc.PartyRole Char"/>
    <w:basedOn w:val="DefaultParagraphFont"/>
    <w:rsid w:val="00DC11ED"/>
    <w:rPr>
      <w:lang w:val="en-CA"/>
    </w:rPr>
  </w:style>
  <w:style w:type="paragraph" w:customStyle="1" w:styleId="SCCLsocPrefix">
    <w:name w:val="SCC.Lsoc.Prefix"/>
    <w:basedOn w:val="Normal"/>
    <w:next w:val="Normal"/>
    <w:link w:val="SCCLsocPrefixChar"/>
    <w:rsid w:val="00DC11ED"/>
    <w:rPr>
      <w:rFonts w:eastAsiaTheme="minorHAnsi" w:cstheme="minorBidi"/>
      <w:b/>
      <w:smallCaps/>
      <w:szCs w:val="24"/>
      <w:lang w:eastAsia="en-US"/>
    </w:rPr>
  </w:style>
  <w:style w:type="character" w:customStyle="1" w:styleId="SCCLsocPrefixChar">
    <w:name w:val="SCC.Lsoc.Prefix Char"/>
    <w:basedOn w:val="DefaultParagraphFont"/>
    <w:link w:val="SCCLsocPrefix"/>
    <w:rsid w:val="00DC11E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2015-06-02T21:04:00Z</dcterms:created>
  <dcterms:modified xsi:type="dcterms:W3CDTF">2015-11-12T16:01:00Z</dcterms:modified>
</cp:coreProperties>
</file>