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C7" w:rsidRDefault="00AC00C7" w:rsidP="00AC00C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17988821" r:id="rId8"/>
        </w:object>
      </w:r>
      <w:r>
        <w:t xml:space="preserve"> </w:t>
      </w:r>
      <w:r>
        <w:ptab w:relativeTo="margin" w:alignment="right" w:leader="none"/>
      </w:r>
    </w:p>
    <w:p w:rsidR="00AC00C7" w:rsidRDefault="00AC00C7" w:rsidP="00AC00C7">
      <w:pPr>
        <w:pStyle w:val="Header"/>
      </w:pPr>
    </w:p>
    <w:p w:rsidR="00AC00C7" w:rsidRPr="006B210C" w:rsidRDefault="00AC00C7" w:rsidP="00AC00C7">
      <w:pPr>
        <w:jc w:val="center"/>
        <w:rPr>
          <w:b/>
        </w:rPr>
      </w:pPr>
      <w:r w:rsidRPr="006B210C">
        <w:rPr>
          <w:b/>
        </w:rPr>
        <w:t>SUPREME COURT OF CANADA</w:t>
      </w:r>
    </w:p>
    <w:p w:rsidR="00AC00C7" w:rsidRDefault="00AC00C7" w:rsidP="00AC00C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AC00C7" w:rsidRPr="006B210C" w:rsidTr="00F045EF">
        <w:trPr>
          <w:cantSplit/>
        </w:trPr>
        <w:tc>
          <w:tcPr>
            <w:tcW w:w="6768" w:type="dxa"/>
          </w:tcPr>
          <w:p w:rsidR="00AC00C7" w:rsidRPr="006B210C" w:rsidRDefault="00AC00C7" w:rsidP="00F045EF">
            <w:r w:rsidRPr="006B210C">
              <w:rPr>
                <w:b/>
                <w:smallCaps/>
              </w:rPr>
              <w:t>Citation</w:t>
            </w:r>
            <w:r>
              <w:rPr>
                <w:b/>
                <w:smallCaps/>
              </w:rPr>
              <w:t>:</w:t>
            </w:r>
            <w:r w:rsidRPr="006B210C">
              <w:t xml:space="preserve"> </w:t>
            </w:r>
            <w:r w:rsidRPr="0094473E">
              <w:t xml:space="preserve">R. </w:t>
            </w:r>
            <w:r w:rsidRPr="0094473E">
              <w:rPr>
                <w:i/>
              </w:rPr>
              <w:t>v.</w:t>
            </w:r>
            <w:r w:rsidRPr="0094473E">
              <w:t xml:space="preserve"> </w:t>
            </w:r>
            <w:proofErr w:type="spellStart"/>
            <w:r w:rsidRPr="0094473E">
              <w:t>Moriarity</w:t>
            </w:r>
            <w:proofErr w:type="spellEnd"/>
            <w:r w:rsidRPr="0094473E">
              <w:t>, 2015 SCC 55</w:t>
            </w:r>
            <w:r w:rsidR="00857FFE">
              <w:t>, [2015] 3 S.C.R. 485</w:t>
            </w:r>
          </w:p>
        </w:tc>
        <w:tc>
          <w:tcPr>
            <w:tcW w:w="2808" w:type="dxa"/>
          </w:tcPr>
          <w:p w:rsidR="00AC00C7" w:rsidRPr="006B210C" w:rsidRDefault="00AC00C7" w:rsidP="00F045EF">
            <w:r w:rsidRPr="006B210C">
              <w:rPr>
                <w:b/>
                <w:smallCaps/>
              </w:rPr>
              <w:t>Date</w:t>
            </w:r>
            <w:r>
              <w:rPr>
                <w:b/>
                <w:smallCaps/>
              </w:rPr>
              <w:t>:</w:t>
            </w:r>
            <w:r w:rsidRPr="006B210C">
              <w:t xml:space="preserve"> </w:t>
            </w:r>
            <w:r>
              <w:t>20151119</w:t>
            </w:r>
          </w:p>
          <w:p w:rsidR="00AC00C7" w:rsidRPr="006B210C" w:rsidRDefault="00AC00C7" w:rsidP="00F045EF">
            <w:r w:rsidRPr="006B210C">
              <w:rPr>
                <w:b/>
                <w:smallCaps/>
              </w:rPr>
              <w:t>Docket</w:t>
            </w:r>
            <w:r>
              <w:rPr>
                <w:b/>
                <w:smallCaps/>
              </w:rPr>
              <w:t>:</w:t>
            </w:r>
            <w:r w:rsidRPr="006B210C">
              <w:t xml:space="preserve"> </w:t>
            </w:r>
            <w:r>
              <w:t>35755, 35873, 35946</w:t>
            </w:r>
          </w:p>
        </w:tc>
      </w:tr>
    </w:tbl>
    <w:p w:rsidR="00AC00C7" w:rsidRPr="006B210C" w:rsidRDefault="00AC00C7" w:rsidP="00AC00C7"/>
    <w:p w:rsidR="00AC00C7" w:rsidRDefault="00AC00C7" w:rsidP="00AC00C7">
      <w:pPr>
        <w:pStyle w:val="SCCLsocPrefix"/>
      </w:pPr>
      <w:r>
        <w:t>Between:</w:t>
      </w:r>
    </w:p>
    <w:p w:rsidR="00AC00C7" w:rsidRPr="00857FFE" w:rsidRDefault="00AC00C7" w:rsidP="00857FFE">
      <w:pPr>
        <w:pStyle w:val="SCCLsocParty"/>
        <w:spacing w:after="0"/>
        <w:jc w:val="center"/>
        <w:rPr>
          <w:b/>
        </w:rPr>
      </w:pPr>
      <w:r w:rsidRPr="00857FFE">
        <w:rPr>
          <w:b/>
        </w:rPr>
        <w:t xml:space="preserve">Second Lieutenant </w:t>
      </w:r>
      <w:proofErr w:type="spellStart"/>
      <w:r w:rsidRPr="00857FFE">
        <w:rPr>
          <w:b/>
        </w:rPr>
        <w:t>Moriarity</w:t>
      </w:r>
      <w:proofErr w:type="spellEnd"/>
    </w:p>
    <w:p w:rsidR="00AC00C7" w:rsidRDefault="00AC00C7" w:rsidP="00857FFE">
      <w:pPr>
        <w:jc w:val="center"/>
      </w:pPr>
      <w:r>
        <w:t>Appellant</w:t>
      </w:r>
    </w:p>
    <w:p w:rsidR="00AC00C7" w:rsidRPr="00857FFE" w:rsidRDefault="00AC00C7" w:rsidP="00857FFE">
      <w:pPr>
        <w:pStyle w:val="SCCLsocVersus"/>
        <w:spacing w:after="0"/>
        <w:jc w:val="center"/>
        <w:rPr>
          <w:i w:val="0"/>
        </w:rPr>
      </w:pPr>
      <w:proofErr w:type="gramStart"/>
      <w:r w:rsidRPr="00857FFE">
        <w:rPr>
          <w:i w:val="0"/>
        </w:rPr>
        <w:t>and</w:t>
      </w:r>
      <w:proofErr w:type="gramEnd"/>
    </w:p>
    <w:p w:rsidR="00AC00C7" w:rsidRPr="00857FFE" w:rsidRDefault="00AC00C7" w:rsidP="00857FFE">
      <w:pPr>
        <w:pStyle w:val="SCCLsocParty"/>
        <w:spacing w:after="0"/>
        <w:jc w:val="center"/>
        <w:rPr>
          <w:b/>
        </w:rPr>
      </w:pPr>
      <w:r w:rsidRPr="00857FFE">
        <w:rPr>
          <w:b/>
        </w:rPr>
        <w:t xml:space="preserve">Her Majesty </w:t>
      </w:r>
      <w:proofErr w:type="gramStart"/>
      <w:r w:rsidRPr="00857FFE">
        <w:rPr>
          <w:b/>
        </w:rPr>
        <w:t>The</w:t>
      </w:r>
      <w:proofErr w:type="gramEnd"/>
      <w:r w:rsidRPr="00857FFE">
        <w:rPr>
          <w:b/>
        </w:rPr>
        <w:t xml:space="preserve"> Queen</w:t>
      </w:r>
    </w:p>
    <w:p w:rsidR="00AC00C7" w:rsidRDefault="00AC00C7" w:rsidP="00857FFE">
      <w:pPr>
        <w:jc w:val="center"/>
      </w:pPr>
      <w:r>
        <w:t>Respondent</w:t>
      </w:r>
    </w:p>
    <w:p w:rsidR="00AC00C7" w:rsidRPr="00857FFE" w:rsidRDefault="00AC00C7" w:rsidP="00857FFE">
      <w:pPr>
        <w:pStyle w:val="SCCLsocSubfileSeparator"/>
        <w:spacing w:after="0"/>
        <w:rPr>
          <w:b/>
          <w:smallCaps/>
        </w:rPr>
      </w:pPr>
      <w:r w:rsidRPr="00857FFE">
        <w:rPr>
          <w:b/>
          <w:smallCaps/>
        </w:rPr>
        <w:t>and between:</w:t>
      </w:r>
    </w:p>
    <w:p w:rsidR="00AC00C7" w:rsidRPr="00857FFE" w:rsidRDefault="00AC00C7" w:rsidP="00857FFE">
      <w:pPr>
        <w:pStyle w:val="SCCLsocParty"/>
        <w:spacing w:after="0"/>
        <w:jc w:val="center"/>
        <w:rPr>
          <w:b/>
        </w:rPr>
      </w:pPr>
      <w:r w:rsidRPr="00857FFE">
        <w:rPr>
          <w:b/>
        </w:rPr>
        <w:t>Private M.B.A. Hannah</w:t>
      </w:r>
    </w:p>
    <w:p w:rsidR="00AC00C7" w:rsidRDefault="00AC00C7" w:rsidP="00857FFE">
      <w:pPr>
        <w:jc w:val="center"/>
      </w:pPr>
      <w:r>
        <w:t>Appellant</w:t>
      </w:r>
    </w:p>
    <w:p w:rsidR="00AC00C7" w:rsidRPr="00857FFE" w:rsidRDefault="00AC00C7" w:rsidP="00857FFE">
      <w:pPr>
        <w:pStyle w:val="SCCLsocVersus"/>
        <w:spacing w:after="0"/>
        <w:jc w:val="center"/>
        <w:rPr>
          <w:i w:val="0"/>
        </w:rPr>
      </w:pPr>
      <w:proofErr w:type="gramStart"/>
      <w:r w:rsidRPr="00857FFE">
        <w:rPr>
          <w:i w:val="0"/>
        </w:rPr>
        <w:t>and</w:t>
      </w:r>
      <w:proofErr w:type="gramEnd"/>
    </w:p>
    <w:p w:rsidR="00AC00C7" w:rsidRPr="00857FFE" w:rsidRDefault="00AC00C7" w:rsidP="00857FFE">
      <w:pPr>
        <w:pStyle w:val="SCCLsocParty"/>
        <w:spacing w:after="0"/>
        <w:jc w:val="center"/>
        <w:rPr>
          <w:b/>
        </w:rPr>
      </w:pPr>
      <w:r w:rsidRPr="00857FFE">
        <w:rPr>
          <w:b/>
        </w:rPr>
        <w:t xml:space="preserve">Her Majesty </w:t>
      </w:r>
      <w:proofErr w:type="gramStart"/>
      <w:r w:rsidRPr="00857FFE">
        <w:rPr>
          <w:b/>
        </w:rPr>
        <w:t>The</w:t>
      </w:r>
      <w:proofErr w:type="gramEnd"/>
      <w:r w:rsidRPr="00857FFE">
        <w:rPr>
          <w:b/>
        </w:rPr>
        <w:t xml:space="preserve"> Queen</w:t>
      </w:r>
    </w:p>
    <w:p w:rsidR="00AC00C7" w:rsidRDefault="00AC00C7" w:rsidP="00857FFE">
      <w:pPr>
        <w:jc w:val="center"/>
      </w:pPr>
      <w:r>
        <w:t>Respondent</w:t>
      </w:r>
    </w:p>
    <w:p w:rsidR="00AC00C7" w:rsidRDefault="00AC00C7" w:rsidP="00AC00C7">
      <w:pPr>
        <w:pStyle w:val="SCCLsocPrefix"/>
      </w:pPr>
      <w:r>
        <w:t>Between:</w:t>
      </w:r>
    </w:p>
    <w:p w:rsidR="00AC00C7" w:rsidRPr="00857FFE" w:rsidRDefault="00AC00C7" w:rsidP="00857FFE">
      <w:pPr>
        <w:pStyle w:val="SCCLsocParty"/>
        <w:spacing w:after="0"/>
        <w:jc w:val="center"/>
        <w:rPr>
          <w:b/>
        </w:rPr>
      </w:pPr>
      <w:r w:rsidRPr="00857FFE">
        <w:rPr>
          <w:b/>
        </w:rPr>
        <w:t xml:space="preserve">Private Alexandra </w:t>
      </w:r>
      <w:proofErr w:type="spellStart"/>
      <w:r w:rsidRPr="00857FFE">
        <w:rPr>
          <w:b/>
        </w:rPr>
        <w:t>Vezina</w:t>
      </w:r>
      <w:proofErr w:type="spellEnd"/>
    </w:p>
    <w:p w:rsidR="00AC00C7" w:rsidRDefault="00AC00C7" w:rsidP="00857FFE">
      <w:pPr>
        <w:jc w:val="center"/>
      </w:pPr>
      <w:r>
        <w:t>Appellant</w:t>
      </w:r>
    </w:p>
    <w:p w:rsidR="00AC00C7" w:rsidRPr="00857FFE" w:rsidRDefault="00AC00C7" w:rsidP="00857FFE">
      <w:pPr>
        <w:pStyle w:val="SCCLsocVersus"/>
        <w:spacing w:after="0"/>
        <w:jc w:val="center"/>
        <w:rPr>
          <w:i w:val="0"/>
        </w:rPr>
      </w:pPr>
      <w:proofErr w:type="gramStart"/>
      <w:r w:rsidRPr="00857FFE">
        <w:rPr>
          <w:i w:val="0"/>
        </w:rPr>
        <w:t>and</w:t>
      </w:r>
      <w:proofErr w:type="gramEnd"/>
    </w:p>
    <w:p w:rsidR="00AC00C7" w:rsidRPr="00857FFE" w:rsidRDefault="00AC00C7" w:rsidP="00857FFE">
      <w:pPr>
        <w:pStyle w:val="SCCLsocParty"/>
        <w:spacing w:after="0"/>
        <w:jc w:val="center"/>
        <w:rPr>
          <w:b/>
        </w:rPr>
      </w:pPr>
      <w:r w:rsidRPr="00857FFE">
        <w:rPr>
          <w:b/>
        </w:rPr>
        <w:t xml:space="preserve">Her Majesty </w:t>
      </w:r>
      <w:proofErr w:type="gramStart"/>
      <w:r w:rsidRPr="00857FFE">
        <w:rPr>
          <w:b/>
        </w:rPr>
        <w:t>The</w:t>
      </w:r>
      <w:proofErr w:type="gramEnd"/>
      <w:r w:rsidRPr="00857FFE">
        <w:rPr>
          <w:b/>
        </w:rPr>
        <w:t xml:space="preserve"> Queen</w:t>
      </w:r>
    </w:p>
    <w:p w:rsidR="00AC00C7" w:rsidRDefault="00AC00C7" w:rsidP="00857FFE">
      <w:pPr>
        <w:jc w:val="center"/>
      </w:pPr>
      <w:r>
        <w:t>Respondent</w:t>
      </w:r>
    </w:p>
    <w:p w:rsidR="00AC00C7" w:rsidRDefault="00AC00C7" w:rsidP="00AC00C7">
      <w:pPr>
        <w:pStyle w:val="SCCLsocPrefix"/>
      </w:pPr>
      <w:r>
        <w:t>Between:</w:t>
      </w:r>
    </w:p>
    <w:p w:rsidR="00AC00C7" w:rsidRPr="00857FFE" w:rsidRDefault="00AC00C7" w:rsidP="00857FFE">
      <w:pPr>
        <w:pStyle w:val="SCCLsocParty"/>
        <w:spacing w:after="0"/>
        <w:jc w:val="center"/>
        <w:rPr>
          <w:b/>
        </w:rPr>
      </w:pPr>
      <w:r w:rsidRPr="00857FFE">
        <w:rPr>
          <w:b/>
          <w:lang w:val="en-US"/>
        </w:rPr>
        <w:t>Sergeant Damien Arsenault</w:t>
      </w:r>
    </w:p>
    <w:p w:rsidR="00AC00C7" w:rsidRDefault="00AC00C7" w:rsidP="00857FFE">
      <w:pPr>
        <w:jc w:val="center"/>
      </w:pPr>
      <w:r>
        <w:t>Appellant</w:t>
      </w:r>
    </w:p>
    <w:p w:rsidR="00AC00C7" w:rsidRPr="00857FFE" w:rsidRDefault="00AC00C7" w:rsidP="00857FFE">
      <w:pPr>
        <w:pStyle w:val="SCCLsocVersus"/>
        <w:spacing w:after="0"/>
        <w:jc w:val="center"/>
        <w:rPr>
          <w:i w:val="0"/>
        </w:rPr>
      </w:pPr>
      <w:proofErr w:type="gramStart"/>
      <w:r w:rsidRPr="00857FFE">
        <w:rPr>
          <w:i w:val="0"/>
        </w:rPr>
        <w:t>and</w:t>
      </w:r>
      <w:proofErr w:type="gramEnd"/>
    </w:p>
    <w:p w:rsidR="00AC00C7" w:rsidRPr="00857FFE" w:rsidRDefault="00AC00C7" w:rsidP="00857FFE">
      <w:pPr>
        <w:pStyle w:val="SCCLsocParty"/>
        <w:spacing w:after="0"/>
        <w:jc w:val="center"/>
        <w:rPr>
          <w:b/>
        </w:rPr>
      </w:pPr>
      <w:r w:rsidRPr="00857FFE">
        <w:rPr>
          <w:b/>
        </w:rPr>
        <w:t xml:space="preserve">Her Majesty </w:t>
      </w:r>
      <w:proofErr w:type="gramStart"/>
      <w:r w:rsidRPr="00857FFE">
        <w:rPr>
          <w:b/>
        </w:rPr>
        <w:t>The</w:t>
      </w:r>
      <w:proofErr w:type="gramEnd"/>
      <w:r w:rsidRPr="00857FFE">
        <w:rPr>
          <w:b/>
        </w:rPr>
        <w:t xml:space="preserve"> Queen</w:t>
      </w:r>
    </w:p>
    <w:p w:rsidR="00AC00C7" w:rsidRDefault="00AC00C7" w:rsidP="00857FFE">
      <w:pPr>
        <w:jc w:val="center"/>
      </w:pPr>
      <w:r>
        <w:t>Respondent</w:t>
      </w:r>
    </w:p>
    <w:p w:rsidR="00AC00C7" w:rsidRDefault="00AC00C7" w:rsidP="00857FFE">
      <w:pPr>
        <w:jc w:val="center"/>
      </w:pPr>
    </w:p>
    <w:p w:rsidR="00AC00C7" w:rsidRPr="006B210C" w:rsidRDefault="00AC00C7" w:rsidP="00AC00C7"/>
    <w:p w:rsidR="00AC00C7" w:rsidRPr="006B210C" w:rsidRDefault="00AC00C7" w:rsidP="00AC00C7">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JJ.</w:t>
      </w:r>
    </w:p>
    <w:p w:rsidR="00AC00C7" w:rsidRPr="006B210C" w:rsidRDefault="00AC00C7" w:rsidP="00AC00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C00C7" w:rsidRPr="006B210C" w:rsidTr="00F045EF">
        <w:trPr>
          <w:cantSplit/>
        </w:trPr>
        <w:tc>
          <w:tcPr>
            <w:tcW w:w="3618" w:type="dxa"/>
          </w:tcPr>
          <w:p w:rsidR="00AC00C7" w:rsidRDefault="00AC00C7" w:rsidP="00F045EF">
            <w:pPr>
              <w:rPr>
                <w:b/>
                <w:smallCaps/>
              </w:rPr>
            </w:pPr>
            <w:r w:rsidRPr="006B210C">
              <w:rPr>
                <w:b/>
                <w:smallCaps/>
              </w:rPr>
              <w:t>Reasons for Judgment</w:t>
            </w:r>
            <w:r>
              <w:rPr>
                <w:b/>
                <w:smallCaps/>
              </w:rPr>
              <w:t>:</w:t>
            </w:r>
          </w:p>
          <w:p w:rsidR="00AC00C7" w:rsidRPr="006B210C" w:rsidRDefault="00AC00C7" w:rsidP="00F045EF">
            <w:r>
              <w:t xml:space="preserve">(paras. </w:t>
            </w:r>
            <w:r w:rsidRPr="0048088E">
              <w:t>1 to 59</w:t>
            </w:r>
            <w:r>
              <w:t>)</w:t>
            </w:r>
          </w:p>
        </w:tc>
        <w:tc>
          <w:tcPr>
            <w:tcW w:w="5958" w:type="dxa"/>
          </w:tcPr>
          <w:p w:rsidR="00AC00C7" w:rsidRPr="006B210C" w:rsidRDefault="00AC00C7" w:rsidP="00F045EF">
            <w:r>
              <w:t>Cromwell J. (</w:t>
            </w:r>
            <w:proofErr w:type="spellStart"/>
            <w:r>
              <w:t>McLachlin</w:t>
            </w:r>
            <w:proofErr w:type="spellEnd"/>
            <w:r>
              <w:t xml:space="preserve"> C.J. and </w:t>
            </w:r>
            <w:proofErr w:type="spellStart"/>
            <w:r>
              <w:t>Abella</w:t>
            </w:r>
            <w:proofErr w:type="spellEnd"/>
            <w:r>
              <w:t xml:space="preserve">, Rothstein,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xml:space="preserve"> JJ. concurring)</w:t>
            </w:r>
          </w:p>
        </w:tc>
      </w:tr>
    </w:tbl>
    <w:p w:rsidR="00AC00C7" w:rsidRDefault="00AC00C7" w:rsidP="00AC00C7">
      <w:bookmarkStart w:id="0" w:name="_GoBack"/>
      <w:bookmarkEnd w:id="0"/>
    </w:p>
    <w:p w:rsidR="00AC00C7" w:rsidRPr="006B210C" w:rsidRDefault="00AC00C7" w:rsidP="00AC00C7">
      <w:r>
        <w:rPr>
          <w:noProof/>
          <w:lang w:val="en-US"/>
        </w:rPr>
        <mc:AlternateContent>
          <mc:Choice Requires="wps">
            <w:drawing>
              <wp:anchor distT="0" distB="0" distL="114300" distR="114300" simplePos="0" relativeHeight="251659264" behindDoc="0" locked="0" layoutInCell="1" allowOverlap="1" wp14:anchorId="56633164" wp14:editId="366ABB1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9FAD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C00C7" w:rsidRDefault="00AC00C7" w:rsidP="009B303A">
      <w:pPr>
        <w:widowControl w:val="0"/>
        <w:spacing w:after="720"/>
        <w:jc w:val="both"/>
        <w:rPr>
          <w:rStyle w:val="SCCAppellantForRunningHeadChar"/>
          <w:smallCaps w:val="0"/>
        </w:rPr>
      </w:pPr>
    </w:p>
    <w:p w:rsidR="00861C68" w:rsidRPr="00097285" w:rsidRDefault="00EC305D" w:rsidP="009B303A">
      <w:pPr>
        <w:widowControl w:val="0"/>
        <w:spacing w:after="720"/>
        <w:jc w:val="both"/>
      </w:pPr>
      <w:r>
        <w:rPr>
          <w:rStyle w:val="SCCAppellantForRunningHeadChar"/>
          <w:smallCaps w:val="0"/>
        </w:rPr>
        <w:lastRenderedPageBreak/>
        <w:t>R</w:t>
      </w:r>
      <w:r w:rsidR="00861C68" w:rsidRPr="00EC305D">
        <w:rPr>
          <w:rStyle w:val="SCCAppellantForRunningHeadChar"/>
          <w:smallCaps w:val="0"/>
        </w:rPr>
        <w:t>.</w:t>
      </w:r>
      <w:r w:rsidR="00861C68" w:rsidRPr="00097285">
        <w:rPr>
          <w:rStyle w:val="SCCAppellantForRunningHeadChar"/>
        </w:rPr>
        <w:t xml:space="preserve"> </w:t>
      </w:r>
      <w:r w:rsidR="00861C68" w:rsidRPr="00097285">
        <w:rPr>
          <w:i/>
        </w:rPr>
        <w:t>v.</w:t>
      </w:r>
      <w:r w:rsidR="00861C68" w:rsidRPr="00097285">
        <w:t xml:space="preserve"> </w:t>
      </w:r>
      <w:proofErr w:type="spellStart"/>
      <w:r>
        <w:rPr>
          <w:rStyle w:val="SCCAppellantForRunningHeadChar"/>
          <w:smallCaps w:val="0"/>
        </w:rPr>
        <w:t>M</w:t>
      </w:r>
      <w:r w:rsidR="00861C68" w:rsidRPr="00EC305D">
        <w:rPr>
          <w:rStyle w:val="SCCAppellantForRunningHeadChar"/>
          <w:smallCaps w:val="0"/>
        </w:rPr>
        <w:t>oriarity</w:t>
      </w:r>
      <w:proofErr w:type="spellEnd"/>
      <w:r>
        <w:rPr>
          <w:rStyle w:val="SCCAppellantForRunningHeadChar"/>
          <w:smallCaps w:val="0"/>
        </w:rPr>
        <w:t xml:space="preserve">, </w:t>
      </w:r>
      <w:r w:rsidRPr="00097285">
        <w:t>2015 SCC 55</w:t>
      </w:r>
      <w:r>
        <w:t>, [2015] 3 S.C.R. 485</w:t>
      </w:r>
    </w:p>
    <w:p w:rsidR="00861C68" w:rsidRPr="00097285" w:rsidRDefault="00861C68" w:rsidP="009B303A">
      <w:pPr>
        <w:pStyle w:val="SCCLsocLastPartyInRole"/>
        <w:widowControl w:val="0"/>
      </w:pPr>
      <w:r w:rsidRPr="00097285">
        <w:t xml:space="preserve">Second Lieutenant </w:t>
      </w:r>
      <w:proofErr w:type="spellStart"/>
      <w:r w:rsidRPr="00097285">
        <w:t>Moriarity</w:t>
      </w:r>
      <w:proofErr w:type="spellEnd"/>
      <w:r w:rsidRPr="00097285">
        <w:rPr>
          <w:rStyle w:val="SCCLsocPartyRole"/>
        </w:rPr>
        <w:tab/>
        <w:t>Appellant</w:t>
      </w:r>
    </w:p>
    <w:p w:rsidR="00861C68" w:rsidRPr="00097285" w:rsidRDefault="00861C68" w:rsidP="009B303A">
      <w:pPr>
        <w:pStyle w:val="SCCLsocVersus"/>
        <w:widowControl w:val="0"/>
      </w:pPr>
      <w:proofErr w:type="gramStart"/>
      <w:r w:rsidRPr="00097285">
        <w:t>v</w:t>
      </w:r>
      <w:proofErr w:type="gramEnd"/>
      <w:r w:rsidRPr="00097285">
        <w:t>.</w:t>
      </w:r>
    </w:p>
    <w:p w:rsidR="00861C68" w:rsidRPr="00097285" w:rsidRDefault="00861C68" w:rsidP="009B303A">
      <w:pPr>
        <w:pStyle w:val="SCCLsocLastPartyInRole"/>
        <w:widowControl w:val="0"/>
      </w:pPr>
      <w:r w:rsidRPr="00097285">
        <w:t xml:space="preserve">Her Majesty </w:t>
      </w:r>
      <w:proofErr w:type="gramStart"/>
      <w:r w:rsidRPr="00097285">
        <w:t>The</w:t>
      </w:r>
      <w:proofErr w:type="gramEnd"/>
      <w:r w:rsidRPr="00097285">
        <w:t xml:space="preserve"> Queen</w:t>
      </w:r>
      <w:r w:rsidRPr="00097285">
        <w:rPr>
          <w:rStyle w:val="SCCLsocPartyRole"/>
        </w:rPr>
        <w:tab/>
        <w:t>Respondent</w:t>
      </w:r>
    </w:p>
    <w:p w:rsidR="00861C68" w:rsidRPr="00097285" w:rsidRDefault="00861C68" w:rsidP="009B303A">
      <w:pPr>
        <w:pStyle w:val="SCCLsocSubfileSeparator"/>
        <w:widowControl w:val="0"/>
      </w:pPr>
      <w:proofErr w:type="gramStart"/>
      <w:r w:rsidRPr="00097285">
        <w:t>and</w:t>
      </w:r>
      <w:proofErr w:type="gramEnd"/>
    </w:p>
    <w:p w:rsidR="00861C68" w:rsidRPr="00097285" w:rsidRDefault="00861C68" w:rsidP="009B303A">
      <w:pPr>
        <w:pStyle w:val="SCCLsocLastPartyInRole"/>
        <w:widowControl w:val="0"/>
      </w:pPr>
      <w:r w:rsidRPr="00097285">
        <w:t>Private M.B.A. Hannah</w:t>
      </w:r>
      <w:r w:rsidRPr="00097285">
        <w:rPr>
          <w:rStyle w:val="SCCLsocPartyRole"/>
        </w:rPr>
        <w:tab/>
        <w:t>Appellant</w:t>
      </w:r>
    </w:p>
    <w:p w:rsidR="00861C68" w:rsidRPr="00097285" w:rsidRDefault="00861C68" w:rsidP="009B303A">
      <w:pPr>
        <w:pStyle w:val="SCCLsocVersus"/>
        <w:widowControl w:val="0"/>
      </w:pPr>
      <w:proofErr w:type="gramStart"/>
      <w:r w:rsidRPr="00097285">
        <w:t>v</w:t>
      </w:r>
      <w:proofErr w:type="gramEnd"/>
      <w:r w:rsidRPr="00097285">
        <w:t>.</w:t>
      </w:r>
    </w:p>
    <w:p w:rsidR="00861C68" w:rsidRPr="00097285" w:rsidRDefault="00861C68" w:rsidP="009B303A">
      <w:pPr>
        <w:pStyle w:val="SCCLsocLastPartyInRole"/>
        <w:widowControl w:val="0"/>
      </w:pPr>
      <w:r w:rsidRPr="00097285">
        <w:t xml:space="preserve">Her Majesty </w:t>
      </w:r>
      <w:proofErr w:type="gramStart"/>
      <w:r w:rsidRPr="00097285">
        <w:t>The</w:t>
      </w:r>
      <w:proofErr w:type="gramEnd"/>
      <w:r w:rsidRPr="00097285">
        <w:t xml:space="preserve"> Queen</w:t>
      </w:r>
      <w:r w:rsidRPr="00097285">
        <w:rPr>
          <w:rStyle w:val="SCCLsocPartyRole"/>
        </w:rPr>
        <w:tab/>
        <w:t>Respondent</w:t>
      </w:r>
    </w:p>
    <w:p w:rsidR="00861C68" w:rsidRPr="00097285" w:rsidRDefault="00861C68" w:rsidP="009B303A">
      <w:pPr>
        <w:pStyle w:val="SCCLsocSubfileSeparator"/>
        <w:widowControl w:val="0"/>
      </w:pPr>
      <w:r w:rsidRPr="00097285">
        <w:noBreakHyphen/>
        <w:t xml:space="preserve"> </w:t>
      </w:r>
      <w:proofErr w:type="gramStart"/>
      <w:r w:rsidRPr="00097285">
        <w:t>and</w:t>
      </w:r>
      <w:proofErr w:type="gramEnd"/>
      <w:r w:rsidRPr="00097285">
        <w:t xml:space="preserve"> </w:t>
      </w:r>
      <w:r w:rsidRPr="00097285">
        <w:noBreakHyphen/>
      </w:r>
    </w:p>
    <w:p w:rsidR="00861C68" w:rsidRPr="00097285" w:rsidRDefault="00861C68" w:rsidP="009B303A">
      <w:pPr>
        <w:pStyle w:val="SCCLsocLastPartyInRole"/>
        <w:widowControl w:val="0"/>
      </w:pPr>
      <w:r w:rsidRPr="00097285">
        <w:t xml:space="preserve">Private Alexandra </w:t>
      </w:r>
      <w:proofErr w:type="spellStart"/>
      <w:r w:rsidRPr="00097285">
        <w:t>Vezina</w:t>
      </w:r>
      <w:proofErr w:type="spellEnd"/>
      <w:r w:rsidRPr="00097285">
        <w:rPr>
          <w:rStyle w:val="SCCLsocPartyRole"/>
        </w:rPr>
        <w:tab/>
        <w:t>Appellant</w:t>
      </w:r>
    </w:p>
    <w:p w:rsidR="00861C68" w:rsidRPr="00097285" w:rsidRDefault="00861C68" w:rsidP="009B303A">
      <w:pPr>
        <w:pStyle w:val="SCCLsocVersus"/>
        <w:widowControl w:val="0"/>
      </w:pPr>
      <w:proofErr w:type="gramStart"/>
      <w:r w:rsidRPr="00097285">
        <w:t>v</w:t>
      </w:r>
      <w:proofErr w:type="gramEnd"/>
      <w:r w:rsidRPr="00097285">
        <w:t>.</w:t>
      </w:r>
    </w:p>
    <w:p w:rsidR="00861C68" w:rsidRPr="00097285" w:rsidRDefault="00861C68" w:rsidP="009B303A">
      <w:pPr>
        <w:pStyle w:val="SCCLsocLastPartyInRole"/>
        <w:widowControl w:val="0"/>
      </w:pPr>
      <w:r w:rsidRPr="00097285">
        <w:t xml:space="preserve">Her Majesty </w:t>
      </w:r>
      <w:proofErr w:type="gramStart"/>
      <w:r w:rsidRPr="00097285">
        <w:t>The</w:t>
      </w:r>
      <w:proofErr w:type="gramEnd"/>
      <w:r w:rsidRPr="00097285">
        <w:t xml:space="preserve"> Queen</w:t>
      </w:r>
      <w:r w:rsidRPr="00097285">
        <w:rPr>
          <w:rStyle w:val="SCCLsocPartyRole"/>
        </w:rPr>
        <w:tab/>
        <w:t>Respondent</w:t>
      </w:r>
    </w:p>
    <w:p w:rsidR="00861C68" w:rsidRPr="00097285" w:rsidRDefault="00861C68" w:rsidP="009B303A">
      <w:pPr>
        <w:pStyle w:val="SCCLsocSubfileSeparator"/>
        <w:widowControl w:val="0"/>
        <w:rPr>
          <w:lang w:val="fr-CA"/>
        </w:rPr>
      </w:pPr>
      <w:r w:rsidRPr="00097285">
        <w:rPr>
          <w:lang w:val="fr-CA"/>
        </w:rPr>
        <w:noBreakHyphen/>
        <w:t xml:space="preserve"> </w:t>
      </w:r>
      <w:proofErr w:type="gramStart"/>
      <w:r w:rsidRPr="00097285">
        <w:rPr>
          <w:lang w:val="fr-CA"/>
        </w:rPr>
        <w:t>and</w:t>
      </w:r>
      <w:proofErr w:type="gramEnd"/>
      <w:r w:rsidRPr="00097285">
        <w:rPr>
          <w:lang w:val="fr-CA"/>
        </w:rPr>
        <w:t xml:space="preserve"> </w:t>
      </w:r>
      <w:r w:rsidRPr="00097285">
        <w:rPr>
          <w:lang w:val="fr-CA"/>
        </w:rPr>
        <w:noBreakHyphen/>
      </w:r>
    </w:p>
    <w:p w:rsidR="00861C68" w:rsidRPr="00097285" w:rsidRDefault="00861C68" w:rsidP="009B303A">
      <w:pPr>
        <w:pStyle w:val="SCCLsocLastPartyInRole"/>
        <w:widowControl w:val="0"/>
        <w:rPr>
          <w:lang w:val="fr-CA"/>
        </w:rPr>
      </w:pPr>
      <w:proofErr w:type="spellStart"/>
      <w:r w:rsidRPr="00097285">
        <w:rPr>
          <w:lang w:val="fr-CA"/>
        </w:rPr>
        <w:t>Sergeant</w:t>
      </w:r>
      <w:proofErr w:type="spellEnd"/>
      <w:r w:rsidRPr="00097285">
        <w:rPr>
          <w:lang w:val="fr-CA"/>
        </w:rPr>
        <w:t xml:space="preserve"> Damien Arsenault</w:t>
      </w:r>
      <w:r w:rsidRPr="00097285">
        <w:rPr>
          <w:rStyle w:val="SCCLsocPartyRole"/>
          <w:lang w:val="fr-CA"/>
        </w:rPr>
        <w:tab/>
      </w:r>
      <w:proofErr w:type="spellStart"/>
      <w:r w:rsidRPr="00097285">
        <w:rPr>
          <w:rStyle w:val="SCCLsocPartyRole"/>
          <w:lang w:val="fr-CA"/>
        </w:rPr>
        <w:t>Appellant</w:t>
      </w:r>
      <w:proofErr w:type="spellEnd"/>
    </w:p>
    <w:p w:rsidR="00861C68" w:rsidRPr="00097285" w:rsidRDefault="00861C68" w:rsidP="009B303A">
      <w:pPr>
        <w:pStyle w:val="SCCLsocVersus"/>
        <w:widowControl w:val="0"/>
        <w:rPr>
          <w:lang w:val="fr-CA"/>
        </w:rPr>
      </w:pPr>
      <w:r w:rsidRPr="00097285">
        <w:rPr>
          <w:lang w:val="fr-CA"/>
        </w:rPr>
        <w:lastRenderedPageBreak/>
        <w:t>v.</w:t>
      </w:r>
    </w:p>
    <w:p w:rsidR="00861C68" w:rsidRPr="00097285" w:rsidRDefault="00861C68" w:rsidP="009B303A">
      <w:pPr>
        <w:pStyle w:val="SCCLsocLastPartyInRole"/>
        <w:widowControl w:val="0"/>
      </w:pPr>
      <w:r w:rsidRPr="00097285">
        <w:t xml:space="preserve">Her Majesty </w:t>
      </w:r>
      <w:proofErr w:type="gramStart"/>
      <w:r w:rsidRPr="00097285">
        <w:t>The</w:t>
      </w:r>
      <w:proofErr w:type="gramEnd"/>
      <w:r w:rsidRPr="00097285">
        <w:t xml:space="preserve"> Queen</w:t>
      </w:r>
      <w:r w:rsidRPr="00097285">
        <w:rPr>
          <w:rStyle w:val="SCCLsocPartyRole"/>
        </w:rPr>
        <w:tab/>
        <w:t>Respondent</w:t>
      </w:r>
    </w:p>
    <w:p w:rsidR="00861C68" w:rsidRPr="00097285" w:rsidRDefault="00861C68" w:rsidP="009B303A">
      <w:pPr>
        <w:widowControl w:val="0"/>
        <w:spacing w:after="720"/>
        <w:jc w:val="both"/>
        <w:rPr>
          <w:b/>
        </w:rPr>
      </w:pPr>
      <w:r w:rsidRPr="00097285">
        <w:rPr>
          <w:b/>
        </w:rPr>
        <w:t xml:space="preserve">Indexed as: R. </w:t>
      </w:r>
      <w:r w:rsidRPr="00097285">
        <w:rPr>
          <w:b/>
          <w:i/>
        </w:rPr>
        <w:t>v.</w:t>
      </w:r>
      <w:r w:rsidRPr="00097285">
        <w:rPr>
          <w:b/>
        </w:rPr>
        <w:t xml:space="preserve"> </w:t>
      </w:r>
      <w:proofErr w:type="spellStart"/>
      <w:r w:rsidRPr="00097285">
        <w:rPr>
          <w:rStyle w:val="SCCAppellantForIndexChar"/>
          <w:rFonts w:eastAsiaTheme="majorEastAsia"/>
        </w:rPr>
        <w:t>Moriarity</w:t>
      </w:r>
      <w:proofErr w:type="spellEnd"/>
    </w:p>
    <w:p w:rsidR="00861C68" w:rsidRPr="00097285" w:rsidRDefault="00861C68" w:rsidP="009B303A">
      <w:pPr>
        <w:pStyle w:val="SCCSystemYear"/>
        <w:widowControl w:val="0"/>
        <w:spacing w:after="720"/>
        <w:jc w:val="both"/>
      </w:pPr>
      <w:r w:rsidRPr="00097285">
        <w:t>2015 SCC 55</w:t>
      </w:r>
    </w:p>
    <w:p w:rsidR="00861C68" w:rsidRPr="00097285" w:rsidRDefault="00861C68" w:rsidP="009B303A">
      <w:pPr>
        <w:widowControl w:val="0"/>
        <w:spacing w:after="720"/>
        <w:jc w:val="both"/>
      </w:pPr>
      <w:r w:rsidRPr="00097285">
        <w:t>File Nos.: 35755, 35873, 35946.</w:t>
      </w:r>
    </w:p>
    <w:p w:rsidR="00861C68" w:rsidRPr="00097285" w:rsidRDefault="00861C68" w:rsidP="009B303A">
      <w:pPr>
        <w:widowControl w:val="0"/>
        <w:spacing w:after="720"/>
        <w:jc w:val="both"/>
      </w:pPr>
      <w:r w:rsidRPr="00097285">
        <w:t>2015: May 12; 2015: November 19.</w:t>
      </w:r>
    </w:p>
    <w:p w:rsidR="00861C68" w:rsidRPr="00097285" w:rsidRDefault="00861C68" w:rsidP="009B303A">
      <w:pPr>
        <w:widowControl w:val="0"/>
        <w:spacing w:after="720"/>
        <w:jc w:val="both"/>
      </w:pPr>
      <w:r w:rsidRPr="00097285">
        <w:t xml:space="preserve">Present: </w:t>
      </w:r>
      <w:proofErr w:type="spellStart"/>
      <w:r w:rsidRPr="00097285">
        <w:t>McLachlin</w:t>
      </w:r>
      <w:proofErr w:type="spellEnd"/>
      <w:r w:rsidRPr="00097285">
        <w:t xml:space="preserve"> C.J. and </w:t>
      </w:r>
      <w:proofErr w:type="spellStart"/>
      <w:r w:rsidRPr="00097285">
        <w:t>Abella</w:t>
      </w:r>
      <w:proofErr w:type="spellEnd"/>
      <w:r w:rsidRPr="00097285">
        <w:t xml:space="preserve">, Rothstein, Cromwell, </w:t>
      </w:r>
      <w:proofErr w:type="spellStart"/>
      <w:r w:rsidRPr="00097285">
        <w:t>Moldaver</w:t>
      </w:r>
      <w:proofErr w:type="spellEnd"/>
      <w:r w:rsidRPr="00097285">
        <w:t xml:space="preserve">, </w:t>
      </w:r>
      <w:proofErr w:type="spellStart"/>
      <w:r w:rsidRPr="00097285">
        <w:t>Karakatsanis</w:t>
      </w:r>
      <w:proofErr w:type="spellEnd"/>
      <w:r w:rsidRPr="00097285">
        <w:t xml:space="preserve">, Wagner, </w:t>
      </w:r>
      <w:proofErr w:type="spellStart"/>
      <w:r w:rsidRPr="00097285">
        <w:t>Gascon</w:t>
      </w:r>
      <w:proofErr w:type="spellEnd"/>
      <w:r w:rsidRPr="00097285">
        <w:t xml:space="preserve"> and </w:t>
      </w:r>
      <w:proofErr w:type="spellStart"/>
      <w:r w:rsidRPr="00097285">
        <w:t>Côté</w:t>
      </w:r>
      <w:proofErr w:type="spellEnd"/>
      <w:r w:rsidRPr="00097285">
        <w:t> JJ.</w:t>
      </w:r>
    </w:p>
    <w:p w:rsidR="00861C68" w:rsidRPr="00097285" w:rsidRDefault="00861C68" w:rsidP="009B303A">
      <w:pPr>
        <w:pStyle w:val="SCCLowerCourtNameLowercase"/>
        <w:widowControl w:val="0"/>
        <w:spacing w:after="720" w:line="240" w:lineRule="auto"/>
      </w:pPr>
      <w:r w:rsidRPr="00097285">
        <w:t xml:space="preserve">on appeal from the court martial appeal court of </w:t>
      </w:r>
      <w:proofErr w:type="spellStart"/>
      <w:r w:rsidRPr="00097285">
        <w:t>canada</w:t>
      </w:r>
      <w:proofErr w:type="spellEnd"/>
    </w:p>
    <w:p w:rsidR="00861C68" w:rsidRPr="00097285" w:rsidRDefault="00861C68" w:rsidP="009B303A">
      <w:pPr>
        <w:pStyle w:val="SCCNormalDoubleSpacing"/>
        <w:widowControl w:val="0"/>
        <w:spacing w:before="480" w:after="480"/>
      </w:pPr>
      <w:r w:rsidRPr="00097285">
        <w:tab/>
      </w:r>
      <w:r w:rsidRPr="00097285">
        <w:rPr>
          <w:i/>
          <w:iCs/>
          <w:lang w:val="en"/>
        </w:rPr>
        <w:t xml:space="preserve">Constitutional law — Charter of Rights — Fundamental justice — Overbreadth — Armed forces — Military offences — </w:t>
      </w:r>
      <w:r w:rsidRPr="00097285">
        <w:rPr>
          <w:i/>
        </w:rPr>
        <w:t>National Defence Act</w:t>
      </w:r>
      <w:r w:rsidRPr="00097285">
        <w:rPr>
          <w:i/>
          <w:iCs/>
          <w:lang w:val="en"/>
        </w:rPr>
        <w:t xml:space="preserve"> permitting federal offences to be prosecuted within military justice system </w:t>
      </w:r>
      <w:r w:rsidRPr="00097285">
        <w:rPr>
          <w:i/>
        </w:rPr>
        <w:t xml:space="preserve">in relation to everyone subject to Code of Service Discipline regardless of circumstances in which offences were committed </w:t>
      </w:r>
      <w:r w:rsidRPr="00097285">
        <w:rPr>
          <w:i/>
          <w:iCs/>
          <w:lang w:val="en"/>
        </w:rPr>
        <w:t xml:space="preserve">— Whether provisions of </w:t>
      </w:r>
      <w:r w:rsidRPr="00097285">
        <w:rPr>
          <w:i/>
        </w:rPr>
        <w:t>National Defence Act</w:t>
      </w:r>
      <w:r w:rsidRPr="00097285">
        <w:rPr>
          <w:i/>
          <w:iCs/>
          <w:lang w:val="en"/>
        </w:rPr>
        <w:t xml:space="preserve"> at issue broader than necessary to achieve their purpose in violation of s. 7 of Canadian Charter of Rights and Freedoms — If so, whether infringement justifiable under s. 1 of Charter — </w:t>
      </w:r>
      <w:r w:rsidRPr="00097285">
        <w:rPr>
          <w:i/>
        </w:rPr>
        <w:t>National Defence Act, R.S.C. 1985, c. N</w:t>
      </w:r>
      <w:r w:rsidRPr="00097285">
        <w:rPr>
          <w:i/>
        </w:rPr>
        <w:noBreakHyphen/>
        <w:t>5, ss. 130(1)(a), 117(f).</w:t>
      </w:r>
    </w:p>
    <w:p w:rsidR="00861C68" w:rsidRPr="00097285" w:rsidRDefault="00861C68" w:rsidP="009B303A">
      <w:pPr>
        <w:pStyle w:val="SCCNormalDoubleSpacing"/>
        <w:widowControl w:val="0"/>
        <w:spacing w:before="480" w:after="480"/>
      </w:pPr>
      <w:r w:rsidRPr="00097285">
        <w:tab/>
        <w:t xml:space="preserve">The appeals relate to offences </w:t>
      </w:r>
      <w:r w:rsidRPr="00097285">
        <w:rPr>
          <w:lang w:val="en"/>
        </w:rPr>
        <w:t xml:space="preserve">committed by members of the armed forces </w:t>
      </w:r>
      <w:r w:rsidRPr="00097285">
        <w:rPr>
          <w:lang w:val="en"/>
        </w:rPr>
        <w:lastRenderedPageBreak/>
        <w:t xml:space="preserve">subject to the Code of </w:t>
      </w:r>
      <w:r w:rsidRPr="00097285">
        <w:t>Service</w:t>
      </w:r>
      <w:r w:rsidRPr="00097285">
        <w:rPr>
          <w:lang w:val="en"/>
        </w:rPr>
        <w:t xml:space="preserve"> Discipline </w:t>
      </w:r>
      <w:r w:rsidRPr="00097285">
        <w:t xml:space="preserve">(“CSD”) set forth under Part III of the </w:t>
      </w:r>
      <w:r w:rsidRPr="00097285">
        <w:rPr>
          <w:i/>
        </w:rPr>
        <w:t xml:space="preserve">National Defence Act </w:t>
      </w:r>
      <w:r w:rsidRPr="00097285">
        <w:t>(“</w:t>
      </w:r>
      <w:r w:rsidRPr="00097285">
        <w:rPr>
          <w:i/>
        </w:rPr>
        <w:t>NDA</w:t>
      </w:r>
      <w:r w:rsidRPr="00097285">
        <w:t>”). Section 130(1</w:t>
      </w:r>
      <w:proofErr w:type="gramStart"/>
      <w:r w:rsidRPr="00097285">
        <w:t>)(</w:t>
      </w:r>
      <w:proofErr w:type="gramEnd"/>
      <w:r w:rsidRPr="00097285">
        <w:rPr>
          <w:i/>
        </w:rPr>
        <w:t>a</w:t>
      </w:r>
      <w:r w:rsidRPr="00097285">
        <w:t xml:space="preserve">) of the </w:t>
      </w:r>
      <w:r w:rsidRPr="00097285">
        <w:rPr>
          <w:i/>
        </w:rPr>
        <w:t>NDA</w:t>
      </w:r>
      <w:r w:rsidRPr="00097285">
        <w:t xml:space="preserve"> creates a service offence of committing a federal offence punishable under Part VII of the </w:t>
      </w:r>
      <w:r w:rsidRPr="00097285">
        <w:rPr>
          <w:i/>
        </w:rPr>
        <w:t>NDA</w:t>
      </w:r>
      <w:r w:rsidRPr="00097285">
        <w:t xml:space="preserve">, the </w:t>
      </w:r>
      <w:r w:rsidRPr="00097285">
        <w:rPr>
          <w:i/>
        </w:rPr>
        <w:t>Criminal Code</w:t>
      </w:r>
      <w:r w:rsidRPr="00097285">
        <w:t xml:space="preserve"> or any other Act of Parliament. Section 117(</w:t>
      </w:r>
      <w:r w:rsidRPr="00097285">
        <w:rPr>
          <w:i/>
        </w:rPr>
        <w:t>f</w:t>
      </w:r>
      <w:r w:rsidRPr="00097285">
        <w:t xml:space="preserve">) of the </w:t>
      </w:r>
      <w:r w:rsidRPr="00097285">
        <w:rPr>
          <w:i/>
        </w:rPr>
        <w:t>NDA</w:t>
      </w:r>
      <w:r w:rsidRPr="00097285">
        <w:t xml:space="preserve"> creates a service offence of committing any act of a fraudulent nature. The four accused were convicted of offences punishable under the </w:t>
      </w:r>
      <w:r w:rsidRPr="00097285">
        <w:rPr>
          <w:i/>
        </w:rPr>
        <w:t>Criminal Code</w:t>
      </w:r>
      <w:r w:rsidRPr="00097285">
        <w:t xml:space="preserve"> and/or the </w:t>
      </w:r>
      <w:r w:rsidRPr="00097285">
        <w:rPr>
          <w:i/>
        </w:rPr>
        <w:t>Controlled Drugs and Substances Act</w:t>
      </w:r>
      <w:r w:rsidRPr="00097285">
        <w:t xml:space="preserve"> which are service offences by virtue of s. 130(1)(</w:t>
      </w:r>
      <w:r w:rsidRPr="00097285">
        <w:rPr>
          <w:i/>
        </w:rPr>
        <w:t>a</w:t>
      </w:r>
      <w:r w:rsidRPr="00097285">
        <w:t xml:space="preserve">) of the </w:t>
      </w:r>
      <w:r w:rsidRPr="00097285">
        <w:rPr>
          <w:i/>
        </w:rPr>
        <w:t>NDA</w:t>
      </w:r>
      <w:r w:rsidRPr="00097285">
        <w:t>. Section 117(</w:t>
      </w:r>
      <w:r w:rsidRPr="00097285">
        <w:rPr>
          <w:i/>
        </w:rPr>
        <w:t>f</w:t>
      </w:r>
      <w:r w:rsidRPr="00097285">
        <w:t>) is relevant only to the case of A who was found guilty of fraud contrary to ss. 130(1</w:t>
      </w:r>
      <w:proofErr w:type="gramStart"/>
      <w:r w:rsidRPr="00097285">
        <w:t>)(</w:t>
      </w:r>
      <w:proofErr w:type="gramEnd"/>
      <w:r w:rsidRPr="00097285">
        <w:rPr>
          <w:i/>
        </w:rPr>
        <w:t>a</w:t>
      </w:r>
      <w:r w:rsidRPr="00097285">
        <w:t>) and 125(</w:t>
      </w:r>
      <w:r w:rsidRPr="00097285">
        <w:rPr>
          <w:i/>
        </w:rPr>
        <w:t>a</w:t>
      </w:r>
      <w:r w:rsidRPr="00097285">
        <w:t xml:space="preserve">) of the </w:t>
      </w:r>
      <w:r w:rsidRPr="00097285">
        <w:rPr>
          <w:i/>
        </w:rPr>
        <w:t>NDA</w:t>
      </w:r>
      <w:r w:rsidRPr="00097285">
        <w:t>. All the accused except V argued at first instance that s. 130(1)(</w:t>
      </w:r>
      <w:r w:rsidRPr="00097285">
        <w:rPr>
          <w:i/>
        </w:rPr>
        <w:t>a</w:t>
      </w:r>
      <w:r w:rsidRPr="00097285">
        <w:t xml:space="preserve">) was </w:t>
      </w:r>
      <w:r w:rsidRPr="00097285">
        <w:rPr>
          <w:iCs/>
          <w:lang w:val="en"/>
        </w:rPr>
        <w:t>broader than necessary to achieve its purpose and hence</w:t>
      </w:r>
      <w:r w:rsidRPr="00097285">
        <w:t xml:space="preserve"> violated s. 7 of the </w:t>
      </w:r>
      <w:r w:rsidRPr="00097285">
        <w:rPr>
          <w:i/>
        </w:rPr>
        <w:t>C</w:t>
      </w:r>
      <w:r w:rsidR="00602478">
        <w:rPr>
          <w:i/>
        </w:rPr>
        <w:t>anadian C</w:t>
      </w:r>
      <w:r w:rsidRPr="00097285">
        <w:rPr>
          <w:i/>
        </w:rPr>
        <w:t>harter</w:t>
      </w:r>
      <w:r w:rsidR="00602478">
        <w:rPr>
          <w:i/>
        </w:rPr>
        <w:t xml:space="preserve"> of Rights and Freedoms</w:t>
      </w:r>
      <w:r w:rsidRPr="00097285">
        <w:t>. In each case, the military judge held that this provision was constitutional.</w:t>
      </w:r>
    </w:p>
    <w:p w:rsidR="00861C68" w:rsidRPr="00097285" w:rsidRDefault="00861C68" w:rsidP="009B303A">
      <w:pPr>
        <w:pStyle w:val="SCCNormalDoubleSpacing"/>
        <w:widowControl w:val="0"/>
        <w:spacing w:before="480" w:after="480"/>
      </w:pPr>
      <w:r w:rsidRPr="00097285">
        <w:tab/>
        <w:t>M and H appealed unsuccessfully to the Court Martial Appeal Court (“CMAC”), which held that, properly interpreted as requiring a military nexus, s. 130(1)(</w:t>
      </w:r>
      <w:r w:rsidRPr="00097285">
        <w:rPr>
          <w:i/>
        </w:rPr>
        <w:t>a</w:t>
      </w:r>
      <w:r w:rsidRPr="00097285">
        <w:t>) is not overbroad. V also raised the s. 7 overbreadth argument before the CMAC but the argument was dismissed based on the ruling regarding M and H</w:t>
      </w:r>
      <w:r w:rsidRPr="00602478">
        <w:t>.</w:t>
      </w:r>
      <w:r w:rsidRPr="00097285">
        <w:t xml:space="preserve"> On appeal to the CMAC, </w:t>
      </w:r>
      <w:proofErr w:type="spellStart"/>
      <w:r w:rsidRPr="00097285">
        <w:t>A</w:t>
      </w:r>
      <w:proofErr w:type="spellEnd"/>
      <w:r w:rsidRPr="00097285">
        <w:t xml:space="preserve"> also argued that s. 130(1</w:t>
      </w:r>
      <w:proofErr w:type="gramStart"/>
      <w:r w:rsidRPr="00097285">
        <w:t>)(</w:t>
      </w:r>
      <w:proofErr w:type="gramEnd"/>
      <w:r w:rsidRPr="00097285">
        <w:rPr>
          <w:i/>
        </w:rPr>
        <w:t>a</w:t>
      </w:r>
      <w:r w:rsidRPr="00097285">
        <w:t>) violates s. 7. In addition, he raised a similar argument with respect to s. 117(</w:t>
      </w:r>
      <w:r w:rsidRPr="00097285">
        <w:rPr>
          <w:i/>
        </w:rPr>
        <w:t>f</w:t>
      </w:r>
      <w:r w:rsidRPr="00097285">
        <w:t xml:space="preserve">) of the </w:t>
      </w:r>
      <w:r w:rsidRPr="00097285">
        <w:rPr>
          <w:i/>
        </w:rPr>
        <w:t>NDA</w:t>
      </w:r>
      <w:r w:rsidRPr="00097285">
        <w:t>. The CMAC unanimously rejected the s. 7 argument holding that the ruling regarding M and H was binding precedent with respect to s. 130(1)(</w:t>
      </w:r>
      <w:r w:rsidRPr="00097285">
        <w:rPr>
          <w:i/>
        </w:rPr>
        <w:t>a</w:t>
      </w:r>
      <w:r w:rsidRPr="00097285">
        <w:t>) and that the challenge to s. 117(</w:t>
      </w:r>
      <w:r w:rsidRPr="00097285">
        <w:rPr>
          <w:i/>
        </w:rPr>
        <w:t>f</w:t>
      </w:r>
      <w:r w:rsidRPr="00097285">
        <w:t>) was moot.</w:t>
      </w:r>
    </w:p>
    <w:p w:rsidR="00861C68" w:rsidRPr="00097285" w:rsidRDefault="00861C68" w:rsidP="009B303A">
      <w:pPr>
        <w:pStyle w:val="SCCNormalDoubleSpacing"/>
        <w:widowControl w:val="0"/>
        <w:spacing w:before="480" w:after="480"/>
      </w:pPr>
      <w:r w:rsidRPr="00097285">
        <w:tab/>
        <w:t>The four accused appeal to this Court raising the issue of whether ss. 130(1)(</w:t>
      </w:r>
      <w:r w:rsidRPr="00097285">
        <w:rPr>
          <w:i/>
        </w:rPr>
        <w:t>a</w:t>
      </w:r>
      <w:r w:rsidRPr="00097285">
        <w:t>) and 117(</w:t>
      </w:r>
      <w:r w:rsidRPr="00097285">
        <w:rPr>
          <w:i/>
        </w:rPr>
        <w:t>f</w:t>
      </w:r>
      <w:r w:rsidRPr="00097285">
        <w:t xml:space="preserve">) of the </w:t>
      </w:r>
      <w:r w:rsidRPr="00097285">
        <w:rPr>
          <w:i/>
        </w:rPr>
        <w:t>NDA</w:t>
      </w:r>
      <w:r w:rsidRPr="00097285">
        <w:t xml:space="preserve"> infringe s. 7 of the </w:t>
      </w:r>
      <w:r w:rsidRPr="00097285">
        <w:rPr>
          <w:i/>
        </w:rPr>
        <w:t>Charter</w:t>
      </w:r>
      <w:r w:rsidRPr="00097285">
        <w:t xml:space="preserve"> because they create service offences that do not directly pertain to military discipline, efficiency and </w:t>
      </w:r>
      <w:r w:rsidRPr="00097285">
        <w:lastRenderedPageBreak/>
        <w:t>morale, and thus are overbroad.</w:t>
      </w:r>
    </w:p>
    <w:p w:rsidR="00861C68" w:rsidRPr="00097285" w:rsidRDefault="00861C68" w:rsidP="009B303A">
      <w:pPr>
        <w:pStyle w:val="SCCNormalDoubleSpacing"/>
        <w:widowControl w:val="0"/>
        <w:spacing w:before="480" w:after="480"/>
      </w:pPr>
      <w:r w:rsidRPr="00097285">
        <w:tab/>
      </w:r>
      <w:r w:rsidRPr="00097285">
        <w:rPr>
          <w:rStyle w:val="QuoteChar"/>
        </w:rPr>
        <w:t>Held</w:t>
      </w:r>
      <w:r w:rsidRPr="00A66B53">
        <w:rPr>
          <w:rStyle w:val="QuoteChar"/>
          <w:i w:val="0"/>
        </w:rPr>
        <w:t>:</w:t>
      </w:r>
      <w:r w:rsidRPr="00097285">
        <w:t xml:space="preserve"> The appeals should be dismissed.</w:t>
      </w:r>
    </w:p>
    <w:p w:rsidR="00861C68" w:rsidRPr="00097285" w:rsidRDefault="00861C68" w:rsidP="009B303A">
      <w:pPr>
        <w:pStyle w:val="SCCNormalDoubleSpacing"/>
        <w:widowControl w:val="0"/>
        <w:spacing w:before="480" w:after="480"/>
      </w:pPr>
      <w:r w:rsidRPr="00097285">
        <w:tab/>
        <w:t>Both ss. 130(1</w:t>
      </w:r>
      <w:proofErr w:type="gramStart"/>
      <w:r w:rsidRPr="00097285">
        <w:t>)(</w:t>
      </w:r>
      <w:proofErr w:type="gramEnd"/>
      <w:r w:rsidRPr="00097285">
        <w:rPr>
          <w:i/>
        </w:rPr>
        <w:t>a</w:t>
      </w:r>
      <w:r w:rsidRPr="00097285">
        <w:t>) and 117(</w:t>
      </w:r>
      <w:r w:rsidRPr="00097285">
        <w:rPr>
          <w:i/>
        </w:rPr>
        <w:t>f</w:t>
      </w:r>
      <w:r w:rsidRPr="00097285">
        <w:t xml:space="preserve">) of the </w:t>
      </w:r>
      <w:r w:rsidRPr="00097285">
        <w:rPr>
          <w:i/>
        </w:rPr>
        <w:t>NDA</w:t>
      </w:r>
      <w:r w:rsidRPr="00097285">
        <w:t xml:space="preserve"> engage the liberty interest of individuals subject to the CSD. Therefore, in order for these provisions to comply with s. 7 of the </w:t>
      </w:r>
      <w:r w:rsidRPr="00097285">
        <w:rPr>
          <w:i/>
        </w:rPr>
        <w:t>Charter</w:t>
      </w:r>
      <w:r w:rsidRPr="00097285">
        <w:t>, this deprivation of liberty must be done in accordance with the principles of fundamental justice, namely the principle against overbroad laws.</w:t>
      </w:r>
    </w:p>
    <w:p w:rsidR="00861C68" w:rsidRPr="00097285" w:rsidRDefault="00861C68" w:rsidP="009B303A">
      <w:pPr>
        <w:pStyle w:val="SCCNormalDoubleSpacing"/>
        <w:widowControl w:val="0"/>
        <w:spacing w:before="480" w:after="480"/>
      </w:pPr>
      <w:r w:rsidRPr="00097285">
        <w:tab/>
        <w:t xml:space="preserve">At the outset of an overbreadth analysis, it is critically important to identify the law’s purpose and effects because overbreadth is concerned with whether there is </w:t>
      </w:r>
      <w:proofErr w:type="gramStart"/>
      <w:r w:rsidRPr="00097285">
        <w:t>a disconnect</w:t>
      </w:r>
      <w:proofErr w:type="gramEnd"/>
      <w:r w:rsidRPr="00097285">
        <w:t xml:space="preserve"> between the two. With respect to both purpose and effects, the focus is on the challenged provision, understood within the context of the legislative scheme of which it forms a part.</w:t>
      </w:r>
    </w:p>
    <w:p w:rsidR="00861C68" w:rsidRPr="00097285" w:rsidRDefault="00861C68" w:rsidP="009B303A">
      <w:pPr>
        <w:pStyle w:val="SCCNormalDoubleSpacing"/>
        <w:widowControl w:val="0"/>
        <w:spacing w:before="480" w:after="480"/>
      </w:pPr>
      <w:r w:rsidRPr="00097285">
        <w:tab/>
        <w:t>The objective of the challenged provision may be more difficult to identify and articulate than its effects. The objective is identified by an analysis of the provision in its full context. In general, the articulation of the objective should focus on the ends of the legislation rather than on its means, be at an appropriate level of generality and capture the main thrust of the law in precise and succinct terms. An unduly broad statement of purpose will almost always lead to a finding that the provision is not overbroad, while an unduly narrow statement of purpose will almost always lead to a finding of overbreadth. Moreover, the overbreadth analysis does not evaluate the appropriateness of the objective. Rather, it assumes a legislative objective that is appropriate and lawful.</w:t>
      </w:r>
    </w:p>
    <w:p w:rsidR="00861C68" w:rsidRPr="00097285" w:rsidRDefault="00861C68" w:rsidP="009B303A">
      <w:pPr>
        <w:pStyle w:val="SCCNormalDoubleSpacing"/>
        <w:widowControl w:val="0"/>
        <w:spacing w:before="480" w:after="480"/>
      </w:pPr>
      <w:r w:rsidRPr="00097285">
        <w:lastRenderedPageBreak/>
        <w:tab/>
        <w:t>Here, Parliament’s objective in creating the military justice system was to provide processes that would assure the maintenance of discipline, efficiency and morale of the military. That objective, for the purposes of the overbreadth analysis, should not be understood as being restricted to providing for the prosecution of offences which have a direct link to those values. The challenged provisions are broad laws which have to be understood as furthering the purpose of the system of military justice. Both s. 130(1</w:t>
      </w:r>
      <w:proofErr w:type="gramStart"/>
      <w:r w:rsidRPr="00097285">
        <w:t>)(</w:t>
      </w:r>
      <w:proofErr w:type="gramEnd"/>
      <w:r w:rsidRPr="00097285">
        <w:rPr>
          <w:i/>
        </w:rPr>
        <w:t>a</w:t>
      </w:r>
      <w:r w:rsidRPr="00097285">
        <w:t>) and s. 117(</w:t>
      </w:r>
      <w:r w:rsidRPr="00097285">
        <w:rPr>
          <w:i/>
        </w:rPr>
        <w:t>f</w:t>
      </w:r>
      <w:r w:rsidRPr="00097285">
        <w:t>)’s purpose is to maintain discipline, efficiency and morale in the military. The real question is whether there is a rational connection between that purpose and the effects of the challenged provisions.</w:t>
      </w:r>
    </w:p>
    <w:p w:rsidR="00861C68" w:rsidRPr="00097285" w:rsidRDefault="00861C68" w:rsidP="009B303A">
      <w:pPr>
        <w:pStyle w:val="SCCNormalDoubleSpacing"/>
        <w:widowControl w:val="0"/>
        <w:spacing w:before="480" w:after="480"/>
      </w:pPr>
      <w:r w:rsidRPr="00097285">
        <w:tab/>
        <w:t>The challenged provisions make it an offence to engage in conduct prohibited under an underlying federal offence and to engage in fraudulent conduct. Those offences apply regardless of the circumstances of the commission of the offence and their effect is to subject those who have committed these offences to the jurisdiction of service tribunals. It cannot be said that the fact that these offences apply in instances where the only military connection is the status of the accused is not rationally connected to the purpose of the challenged provisions. To conclude otherwise implies too narrow a view of the meaning of “discipline, efficiency and morale” and of how the effects of the provisions are connected to that purpose. The objective of maintaining “discipline, efficiency and morale” is rationally connected to dealing with criminal actions committed by members of the military even when not occurring in military circumstances. The behaviour of members of the military relates to discipline, efficiency and morale even when they are not on duty, in uniform, or on a military base.</w:t>
      </w:r>
    </w:p>
    <w:p w:rsidR="00861C68" w:rsidRPr="00097285" w:rsidRDefault="00861C68" w:rsidP="009B303A">
      <w:pPr>
        <w:pStyle w:val="SCCNormalDoubleSpacing"/>
        <w:widowControl w:val="0"/>
        <w:spacing w:before="480" w:after="480"/>
      </w:pPr>
      <w:r w:rsidRPr="00097285">
        <w:tab/>
        <w:t xml:space="preserve">It follows that the prosecution under military law of members of the </w:t>
      </w:r>
      <w:r w:rsidRPr="00097285">
        <w:lastRenderedPageBreak/>
        <w:t>military engaging in the full range of conduct covered by ss. 130(1</w:t>
      </w:r>
      <w:proofErr w:type="gramStart"/>
      <w:r w:rsidRPr="00097285">
        <w:t>)(</w:t>
      </w:r>
      <w:proofErr w:type="gramEnd"/>
      <w:r w:rsidRPr="00097285">
        <w:rPr>
          <w:i/>
        </w:rPr>
        <w:t>a</w:t>
      </w:r>
      <w:r w:rsidRPr="00097285">
        <w:t>) and 117(</w:t>
      </w:r>
      <w:r w:rsidRPr="00097285">
        <w:rPr>
          <w:i/>
        </w:rPr>
        <w:t>f</w:t>
      </w:r>
      <w:r w:rsidRPr="00097285">
        <w:t>) is rationally connected to the maintenance of discipline, efficiency and morale regardless of the circumstances of the commission of the offence. The challenged provisions are therefore not overbroad.</w:t>
      </w:r>
    </w:p>
    <w:p w:rsidR="00861C68" w:rsidRPr="00097285" w:rsidRDefault="00861C68" w:rsidP="009B303A">
      <w:pPr>
        <w:pStyle w:val="SCCNormalDoubleSpacing"/>
        <w:widowControl w:val="0"/>
        <w:spacing w:before="480" w:after="480"/>
      </w:pPr>
      <w:r w:rsidRPr="00097285">
        <w:tab/>
        <w:t xml:space="preserve">The question of the scope of Parliament’s authority to legislate in relation to “Militia, Military and Naval Service, and Defence” under s. 91(7) of the </w:t>
      </w:r>
      <w:r w:rsidRPr="00097285">
        <w:rPr>
          <w:i/>
        </w:rPr>
        <w:t>Constitution Act, 1867</w:t>
      </w:r>
      <w:r w:rsidRPr="00097285">
        <w:t xml:space="preserve"> and the scope of the exemption of military law from the right to a jury trial guaranteed by s. 11(</w:t>
      </w:r>
      <w:r w:rsidRPr="00097285">
        <w:rPr>
          <w:i/>
        </w:rPr>
        <w:t>f</w:t>
      </w:r>
      <w:r w:rsidRPr="00097285">
        <w:t xml:space="preserve">) of the </w:t>
      </w:r>
      <w:r w:rsidRPr="00097285">
        <w:rPr>
          <w:i/>
        </w:rPr>
        <w:t>Charter</w:t>
      </w:r>
      <w:r w:rsidRPr="00097285">
        <w:t xml:space="preserve"> are not before the Court in these appeals.</w:t>
      </w:r>
    </w:p>
    <w:p w:rsidR="00861C68" w:rsidRPr="00097285" w:rsidRDefault="00861C68" w:rsidP="009B303A">
      <w:pPr>
        <w:pStyle w:val="SCCNormalDoubleSpacing"/>
        <w:widowControl w:val="0"/>
        <w:spacing w:before="480" w:after="480"/>
        <w:rPr>
          <w:b/>
        </w:rPr>
      </w:pPr>
      <w:r w:rsidRPr="00097285">
        <w:rPr>
          <w:b/>
        </w:rPr>
        <w:t>Cases Cited</w:t>
      </w:r>
    </w:p>
    <w:p w:rsidR="00861C68" w:rsidRPr="00097285" w:rsidRDefault="00861C68" w:rsidP="009B303A">
      <w:pPr>
        <w:pStyle w:val="SCCNormalDoubleSpacing"/>
        <w:widowControl w:val="0"/>
        <w:spacing w:after="480"/>
      </w:pPr>
      <w:r w:rsidRPr="00097285">
        <w:tab/>
      </w:r>
      <w:r w:rsidRPr="00097285">
        <w:rPr>
          <w:b/>
        </w:rPr>
        <w:t xml:space="preserve">Considered: </w:t>
      </w:r>
      <w:r w:rsidRPr="00097285">
        <w:rPr>
          <w:i/>
        </w:rPr>
        <w:t xml:space="preserve">R. v. </w:t>
      </w:r>
      <w:proofErr w:type="spellStart"/>
      <w:r w:rsidRPr="00097285">
        <w:rPr>
          <w:i/>
        </w:rPr>
        <w:t>Généreux</w:t>
      </w:r>
      <w:proofErr w:type="spellEnd"/>
      <w:r w:rsidRPr="00097285">
        <w:t xml:space="preserve">, [1992] 1 S.C.R. 259; </w:t>
      </w:r>
      <w:r w:rsidRPr="00097285">
        <w:rPr>
          <w:b/>
        </w:rPr>
        <w:t>referred to:</w:t>
      </w:r>
      <w:r w:rsidRPr="00097285">
        <w:t xml:space="preserve"> </w:t>
      </w:r>
      <w:r w:rsidRPr="00097285">
        <w:rPr>
          <w:i/>
        </w:rPr>
        <w:t xml:space="preserve">R. v. </w:t>
      </w:r>
      <w:proofErr w:type="spellStart"/>
      <w:r w:rsidRPr="00097285">
        <w:rPr>
          <w:i/>
        </w:rPr>
        <w:t>Trépanier</w:t>
      </w:r>
      <w:proofErr w:type="spellEnd"/>
      <w:r w:rsidRPr="00097285">
        <w:t xml:space="preserve">, 2008 CMAC 3, 232 C.C.C. (3d) 498; </w:t>
      </w:r>
      <w:r w:rsidRPr="00097285">
        <w:rPr>
          <w:i/>
        </w:rPr>
        <w:t>R. v. St</w:t>
      </w:r>
      <w:r w:rsidRPr="00097285">
        <w:rPr>
          <w:i/>
        </w:rPr>
        <w:noBreakHyphen/>
        <w:t>Jean</w:t>
      </w:r>
      <w:r w:rsidRPr="00097285">
        <w:t xml:space="preserve">, 2000 </w:t>
      </w:r>
      <w:proofErr w:type="spellStart"/>
      <w:r w:rsidRPr="00097285">
        <w:t>CanLII</w:t>
      </w:r>
      <w:proofErr w:type="spellEnd"/>
      <w:r w:rsidRPr="00097285">
        <w:t xml:space="preserve"> 29663; </w:t>
      </w:r>
      <w:r w:rsidRPr="00097285">
        <w:rPr>
          <w:i/>
        </w:rPr>
        <w:t>Canada (Attorney General) v. Bedford</w:t>
      </w:r>
      <w:r w:rsidRPr="00097285">
        <w:t xml:space="preserve">, 2013 SCC 72, [2013] 3 S.C.R. 1101; </w:t>
      </w:r>
      <w:r w:rsidRPr="00097285">
        <w:rPr>
          <w:i/>
        </w:rPr>
        <w:t>Ward v. Canada (Attorney General)</w:t>
      </w:r>
      <w:r w:rsidRPr="00097285">
        <w:t xml:space="preserve">, 2002 SCC 17, [2002] 1 S.C.R. 569; </w:t>
      </w:r>
      <w:r w:rsidRPr="00097285">
        <w:rPr>
          <w:i/>
        </w:rPr>
        <w:t>Carter v. Canada (Attorney General)</w:t>
      </w:r>
      <w:r w:rsidRPr="00097285">
        <w:t xml:space="preserve">, 2015 SCC 5, [2015] 1 S.C.R. 331; </w:t>
      </w:r>
      <w:r w:rsidRPr="00097285">
        <w:rPr>
          <w:i/>
        </w:rPr>
        <w:t>R. v. Heywood</w:t>
      </w:r>
      <w:r w:rsidRPr="00097285">
        <w:t xml:space="preserve">, [1994] 3 S.C.R. 761; </w:t>
      </w:r>
      <w:r w:rsidRPr="00097285">
        <w:rPr>
          <w:i/>
        </w:rPr>
        <w:t>R. v. Khawaja</w:t>
      </w:r>
      <w:r w:rsidRPr="00097285">
        <w:t xml:space="preserve">, 2012 SCC 69, [2012] 3 S.C.R. 555; </w:t>
      </w:r>
      <w:r w:rsidRPr="00097285">
        <w:rPr>
          <w:i/>
        </w:rPr>
        <w:t xml:space="preserve">R. v. </w:t>
      </w:r>
      <w:proofErr w:type="spellStart"/>
      <w:r w:rsidRPr="00097285">
        <w:rPr>
          <w:i/>
        </w:rPr>
        <w:t>Garofoli</w:t>
      </w:r>
      <w:proofErr w:type="spellEnd"/>
      <w:r w:rsidRPr="00097285">
        <w:t xml:space="preserve">, [1990] 2 S.C.R. 1421; </w:t>
      </w:r>
      <w:proofErr w:type="spellStart"/>
      <w:r w:rsidRPr="00097285">
        <w:rPr>
          <w:i/>
        </w:rPr>
        <w:t>Ionson</w:t>
      </w:r>
      <w:proofErr w:type="spellEnd"/>
      <w:r w:rsidRPr="00097285">
        <w:rPr>
          <w:i/>
        </w:rPr>
        <w:t xml:space="preserve"> v. The Queen</w:t>
      </w:r>
      <w:r w:rsidRPr="00097285">
        <w:t xml:space="preserve"> (1987), 4 C.M.A.R. 433, aff’d [1989] 2 S.C.R. 1073; </w:t>
      </w:r>
      <w:proofErr w:type="spellStart"/>
      <w:r w:rsidRPr="00097285">
        <w:rPr>
          <w:i/>
        </w:rPr>
        <w:t>MacEachern</w:t>
      </w:r>
      <w:proofErr w:type="spellEnd"/>
      <w:r w:rsidRPr="00097285">
        <w:rPr>
          <w:i/>
        </w:rPr>
        <w:t xml:space="preserve"> v. The Queen</w:t>
      </w:r>
      <w:r w:rsidRPr="00097285">
        <w:t xml:space="preserve"> (1985), 4 C.M.A.R. 447; </w:t>
      </w:r>
      <w:proofErr w:type="spellStart"/>
      <w:r w:rsidRPr="00097285">
        <w:rPr>
          <w:i/>
        </w:rPr>
        <w:t>Schachter</w:t>
      </w:r>
      <w:proofErr w:type="spellEnd"/>
      <w:r w:rsidRPr="00097285">
        <w:rPr>
          <w:i/>
        </w:rPr>
        <w:t xml:space="preserve"> v. Canada</w:t>
      </w:r>
      <w:r w:rsidRPr="00097285">
        <w:t xml:space="preserve">, [1992] 2 S.C.R. 679. </w:t>
      </w:r>
    </w:p>
    <w:p w:rsidR="00861C68" w:rsidRPr="00097285" w:rsidRDefault="00861C68" w:rsidP="009B303A">
      <w:pPr>
        <w:pStyle w:val="SCCNormalDoubleSpacing"/>
        <w:widowControl w:val="0"/>
        <w:spacing w:after="720" w:line="240" w:lineRule="auto"/>
      </w:pPr>
      <w:r w:rsidRPr="00097285">
        <w:rPr>
          <w:b/>
        </w:rPr>
        <w:t>Statutes and Regulations Cited</w:t>
      </w:r>
    </w:p>
    <w:p w:rsidR="00861C68" w:rsidRPr="00097285" w:rsidRDefault="00861C68" w:rsidP="009B303A">
      <w:pPr>
        <w:pStyle w:val="SCCNormalDoubleSpacing"/>
        <w:widowControl w:val="0"/>
        <w:spacing w:after="240" w:line="240" w:lineRule="auto"/>
        <w:ind w:left="547" w:hanging="547"/>
      </w:pPr>
      <w:r w:rsidRPr="00097285">
        <w:rPr>
          <w:i/>
        </w:rPr>
        <w:t>Canadian Charter of Rights and Freedoms</w:t>
      </w:r>
      <w:r w:rsidRPr="00097285">
        <w:t>, ss. 1, 7, 11(</w:t>
      </w:r>
      <w:r w:rsidRPr="00097285">
        <w:rPr>
          <w:i/>
        </w:rPr>
        <w:t>f</w:t>
      </w:r>
      <w:r w:rsidRPr="00097285">
        <w:t xml:space="preserve">). </w:t>
      </w:r>
    </w:p>
    <w:p w:rsidR="00861C68" w:rsidRPr="00097285" w:rsidRDefault="00861C68" w:rsidP="009B303A">
      <w:pPr>
        <w:pStyle w:val="SCCNormalDoubleSpacing"/>
        <w:widowControl w:val="0"/>
        <w:spacing w:after="240" w:line="240" w:lineRule="auto"/>
        <w:ind w:left="547" w:hanging="547"/>
        <w:rPr>
          <w:i/>
        </w:rPr>
      </w:pPr>
      <w:r w:rsidRPr="00097285">
        <w:rPr>
          <w:i/>
        </w:rPr>
        <w:lastRenderedPageBreak/>
        <w:t>Constitution Act, 1867</w:t>
      </w:r>
      <w:r w:rsidRPr="00097285">
        <w:t>, s. 91(7).</w:t>
      </w:r>
    </w:p>
    <w:p w:rsidR="00861C68" w:rsidRPr="00097285" w:rsidRDefault="00861C68" w:rsidP="009B303A">
      <w:pPr>
        <w:pStyle w:val="SCCNormalDoubleSpacing"/>
        <w:widowControl w:val="0"/>
        <w:spacing w:after="240" w:line="240" w:lineRule="auto"/>
        <w:ind w:left="547" w:hanging="547"/>
        <w:rPr>
          <w:i/>
        </w:rPr>
      </w:pPr>
      <w:r w:rsidRPr="00097285">
        <w:rPr>
          <w:i/>
        </w:rPr>
        <w:t>Constitution Act, 1982</w:t>
      </w:r>
      <w:r w:rsidRPr="00097285">
        <w:t>, s. 52.</w:t>
      </w:r>
    </w:p>
    <w:p w:rsidR="00861C68" w:rsidRPr="00097285" w:rsidRDefault="00861C68" w:rsidP="009B303A">
      <w:pPr>
        <w:pStyle w:val="SCCNormalDoubleSpacing"/>
        <w:widowControl w:val="0"/>
        <w:spacing w:after="240" w:line="240" w:lineRule="auto"/>
        <w:ind w:left="547" w:hanging="547"/>
      </w:pPr>
      <w:r w:rsidRPr="00097285">
        <w:rPr>
          <w:i/>
        </w:rPr>
        <w:t>Controlled Drugs and Substances Act</w:t>
      </w:r>
      <w:r w:rsidRPr="00097285">
        <w:t xml:space="preserve">, </w:t>
      </w:r>
      <w:r>
        <w:t>S.C. 1996, c. </w:t>
      </w:r>
      <w:r w:rsidRPr="00097285">
        <w:t>19.</w:t>
      </w:r>
    </w:p>
    <w:p w:rsidR="00861C68" w:rsidRPr="00097285" w:rsidRDefault="00861C68" w:rsidP="009B303A">
      <w:pPr>
        <w:pStyle w:val="SCCNormalDoubleSpacing"/>
        <w:widowControl w:val="0"/>
        <w:spacing w:after="240" w:line="240" w:lineRule="auto"/>
        <w:ind w:left="547" w:hanging="547"/>
        <w:rPr>
          <w:lang w:val="fr-CA"/>
        </w:rPr>
      </w:pPr>
      <w:proofErr w:type="spellStart"/>
      <w:r w:rsidRPr="00097285">
        <w:rPr>
          <w:i/>
          <w:lang w:val="fr-CA"/>
        </w:rPr>
        <w:t>Criminal</w:t>
      </w:r>
      <w:proofErr w:type="spellEnd"/>
      <w:r w:rsidRPr="00097285">
        <w:rPr>
          <w:i/>
          <w:lang w:val="fr-CA"/>
        </w:rPr>
        <w:t xml:space="preserve"> Code</w:t>
      </w:r>
      <w:r>
        <w:rPr>
          <w:lang w:val="fr-CA"/>
        </w:rPr>
        <w:t>, R.S.C. 1985, c. </w:t>
      </w:r>
      <w:r w:rsidRPr="00097285">
        <w:rPr>
          <w:lang w:val="fr-CA"/>
        </w:rPr>
        <w:t>C</w:t>
      </w:r>
      <w:r w:rsidRPr="00097285">
        <w:rPr>
          <w:lang w:val="fr-CA"/>
        </w:rPr>
        <w:noBreakHyphen/>
        <w:t>46.</w:t>
      </w:r>
    </w:p>
    <w:p w:rsidR="00861C68" w:rsidRPr="00097285" w:rsidRDefault="00861C68" w:rsidP="009B303A">
      <w:pPr>
        <w:pStyle w:val="SCCNormalDoubleSpacing"/>
        <w:widowControl w:val="0"/>
        <w:spacing w:after="720" w:line="240" w:lineRule="auto"/>
        <w:ind w:left="547" w:hanging="547"/>
      </w:pPr>
      <w:r w:rsidRPr="00097285">
        <w:rPr>
          <w:i/>
        </w:rPr>
        <w:t>National Defence Act</w:t>
      </w:r>
      <w:r>
        <w:t>, R.S.C. 1985, c. </w:t>
      </w:r>
      <w:r w:rsidRPr="00097285">
        <w:t>N</w:t>
      </w:r>
      <w:r w:rsidRPr="00097285">
        <w:noBreakHyphen/>
        <w:t>5, Part III, “Code of Service Discipline”, ss. 60</w:t>
      </w:r>
      <w:r w:rsidR="00602478">
        <w:t>,</w:t>
      </w:r>
      <w:r w:rsidRPr="00097285">
        <w:t xml:space="preserve"> 61, 66, 70, 73 to 128, </w:t>
      </w:r>
      <w:r w:rsidR="00602478">
        <w:t xml:space="preserve">92 to 98, </w:t>
      </w:r>
      <w:r w:rsidRPr="00097285">
        <w:t>114, 117(</w:t>
      </w:r>
      <w:r w:rsidRPr="00097285">
        <w:rPr>
          <w:i/>
        </w:rPr>
        <w:t>f</w:t>
      </w:r>
      <w:r w:rsidRPr="00097285">
        <w:t>), 125(</w:t>
      </w:r>
      <w:r w:rsidRPr="00097285">
        <w:rPr>
          <w:i/>
        </w:rPr>
        <w:t>a</w:t>
      </w:r>
      <w:r w:rsidRPr="00097285">
        <w:t>), 130(1</w:t>
      </w:r>
      <w:proofErr w:type="gramStart"/>
      <w:r w:rsidRPr="00097285">
        <w:t>)(</w:t>
      </w:r>
      <w:proofErr w:type="gramEnd"/>
      <w:r w:rsidRPr="00097285">
        <w:rPr>
          <w:i/>
        </w:rPr>
        <w:t>a</w:t>
      </w:r>
      <w:r w:rsidRPr="00097285">
        <w:t>), (2)</w:t>
      </w:r>
      <w:r w:rsidR="00602478">
        <w:t>, Part VII</w:t>
      </w:r>
      <w:r w:rsidRPr="00097285">
        <w:t>.</w:t>
      </w:r>
    </w:p>
    <w:p w:rsidR="00861C68" w:rsidRPr="00097285" w:rsidRDefault="00861C68" w:rsidP="009B303A">
      <w:pPr>
        <w:pStyle w:val="SCCNormalDoubleSpacing"/>
        <w:widowControl w:val="0"/>
        <w:spacing w:after="720" w:line="240" w:lineRule="auto"/>
        <w:rPr>
          <w:b/>
        </w:rPr>
      </w:pPr>
      <w:r w:rsidRPr="00097285">
        <w:rPr>
          <w:b/>
        </w:rPr>
        <w:t>Authors Cited</w:t>
      </w:r>
    </w:p>
    <w:p w:rsidR="00861C68" w:rsidRPr="00097285" w:rsidRDefault="00861C68" w:rsidP="009B303A">
      <w:pPr>
        <w:pStyle w:val="SCCNormalDoubleSpacing"/>
        <w:widowControl w:val="0"/>
        <w:spacing w:after="720" w:line="240" w:lineRule="auto"/>
        <w:ind w:left="547" w:hanging="547"/>
      </w:pPr>
      <w:r w:rsidRPr="00097285">
        <w:t xml:space="preserve">Sullivan, Ruth. </w:t>
      </w:r>
      <w:r w:rsidRPr="00097285">
        <w:rPr>
          <w:i/>
          <w:iCs/>
        </w:rPr>
        <w:t>Sullivan on the Construction of Statutes</w:t>
      </w:r>
      <w:r w:rsidRPr="00097285">
        <w:t>, 6th ed. Markham, Ont.: LexisNexis, 2014.</w:t>
      </w:r>
    </w:p>
    <w:p w:rsidR="00861C68" w:rsidRPr="00097285" w:rsidRDefault="00861C68" w:rsidP="009B303A">
      <w:pPr>
        <w:pStyle w:val="SCCNormalDoubleSpacing"/>
        <w:widowControl w:val="0"/>
        <w:spacing w:before="480" w:after="480"/>
      </w:pPr>
      <w:r w:rsidRPr="00097285">
        <w:tab/>
        <w:t xml:space="preserve">APPEALS from a judgment of the Court Martial Appeal Court of Canada (Blanchard C.J. and </w:t>
      </w:r>
      <w:proofErr w:type="spellStart"/>
      <w:r w:rsidRPr="00097285">
        <w:t>Weiler</w:t>
      </w:r>
      <w:proofErr w:type="spellEnd"/>
      <w:r w:rsidRPr="00097285">
        <w:t xml:space="preserve"> and Dawson JJ.A.), 2014 CMAC 1, 455 N.R. 59, 299 C.R.R. (2d) 224, [2014] C.M.A.J. No. 1 (QL), 2014 </w:t>
      </w:r>
      <w:proofErr w:type="spellStart"/>
      <w:r w:rsidRPr="00097285">
        <w:t>CarswellNat</w:t>
      </w:r>
      <w:proofErr w:type="spellEnd"/>
      <w:r w:rsidRPr="00097285">
        <w:t xml:space="preserve"> 868 (WL Can.), affirming a decision of </w:t>
      </w:r>
      <w:proofErr w:type="spellStart"/>
      <w:r w:rsidRPr="00097285">
        <w:t>d’Auteuil</w:t>
      </w:r>
      <w:proofErr w:type="spellEnd"/>
      <w:r w:rsidRPr="00097285">
        <w:t xml:space="preserve"> M.J., 2012 CM 3017, 2012 </w:t>
      </w:r>
      <w:proofErr w:type="spellStart"/>
      <w:r w:rsidRPr="00097285">
        <w:t>CarswellNat</w:t>
      </w:r>
      <w:proofErr w:type="spellEnd"/>
      <w:r w:rsidRPr="00097285">
        <w:t xml:space="preserve"> 5728 (WL Can.), and a decision of Lamont M.J., 2013 CM 2011, 2013 </w:t>
      </w:r>
      <w:proofErr w:type="spellStart"/>
      <w:r w:rsidRPr="00097285">
        <w:t>CarswellNat</w:t>
      </w:r>
      <w:proofErr w:type="spellEnd"/>
      <w:r w:rsidRPr="00097285">
        <w:t xml:space="preserve"> 1720 (WL Can.). Appeals dismissed.</w:t>
      </w:r>
    </w:p>
    <w:p w:rsidR="00861C68" w:rsidRPr="00097285" w:rsidRDefault="00861C68" w:rsidP="009B303A">
      <w:pPr>
        <w:pStyle w:val="SCCNormalDoubleSpacing"/>
        <w:widowControl w:val="0"/>
        <w:spacing w:before="480" w:after="480"/>
      </w:pPr>
      <w:r w:rsidRPr="00097285">
        <w:tab/>
        <w:t>APPEAL from a judgment of the Court Martial Appeal Court of Canada (</w:t>
      </w:r>
      <w:proofErr w:type="spellStart"/>
      <w:r w:rsidRPr="00097285">
        <w:t>Ewaschuk</w:t>
      </w:r>
      <w:proofErr w:type="spellEnd"/>
      <w:r w:rsidRPr="00097285">
        <w:t xml:space="preserve">, </w:t>
      </w:r>
      <w:proofErr w:type="spellStart"/>
      <w:r w:rsidRPr="00097285">
        <w:t>Stratas</w:t>
      </w:r>
      <w:proofErr w:type="spellEnd"/>
      <w:r w:rsidRPr="00097285">
        <w:t xml:space="preserve"> and Rennie JJ.A.), 2014 CMAC 3, 461 N.R. 286, [2014] C.M.A.J. No. 3 (QL), 2014 </w:t>
      </w:r>
      <w:proofErr w:type="spellStart"/>
      <w:r w:rsidRPr="00097285">
        <w:t>CarswellNat</w:t>
      </w:r>
      <w:proofErr w:type="spellEnd"/>
      <w:r w:rsidRPr="00097285">
        <w:t xml:space="preserve"> 869 (WL Can.), affirming decisions of </w:t>
      </w:r>
      <w:proofErr w:type="spellStart"/>
      <w:r w:rsidRPr="00097285">
        <w:t>d’Auteuil</w:t>
      </w:r>
      <w:proofErr w:type="spellEnd"/>
      <w:r w:rsidRPr="00097285">
        <w:t xml:space="preserve"> M.J., 2013 CM 3013, 2013 </w:t>
      </w:r>
      <w:proofErr w:type="spellStart"/>
      <w:r w:rsidRPr="00097285">
        <w:t>CarswellNat</w:t>
      </w:r>
      <w:proofErr w:type="spellEnd"/>
      <w:r w:rsidRPr="00097285">
        <w:t xml:space="preserve"> 5003 (WL Can.), and 2013 CM 3014, 2013 </w:t>
      </w:r>
      <w:proofErr w:type="spellStart"/>
      <w:r w:rsidRPr="00097285">
        <w:t>CarswellNat</w:t>
      </w:r>
      <w:proofErr w:type="spellEnd"/>
      <w:r w:rsidRPr="00097285">
        <w:t xml:space="preserve"> 5004 (WL Can.). Appeal dismissed.</w:t>
      </w:r>
    </w:p>
    <w:p w:rsidR="00861C68" w:rsidRPr="00097285" w:rsidRDefault="00861C68" w:rsidP="009B303A">
      <w:pPr>
        <w:pStyle w:val="SCCNormalDoubleSpacing"/>
        <w:widowControl w:val="0"/>
        <w:spacing w:before="480" w:after="480"/>
      </w:pPr>
      <w:r w:rsidRPr="00097285">
        <w:tab/>
        <w:t xml:space="preserve">APPEAL from a judgment of the Court Martial Appeal Court of Canada </w:t>
      </w:r>
      <w:r w:rsidRPr="00097285">
        <w:lastRenderedPageBreak/>
        <w:t>(</w:t>
      </w:r>
      <w:proofErr w:type="spellStart"/>
      <w:r w:rsidRPr="00097285">
        <w:t>Cournoyer</w:t>
      </w:r>
      <w:proofErr w:type="spellEnd"/>
      <w:r w:rsidRPr="00097285">
        <w:t xml:space="preserve">, Vincent and Scott JJ.A.), 2014 CMAC 8, 466 N.R. 2, [2014] C.M.A.J. No. 8 (QL), 2014 </w:t>
      </w:r>
      <w:proofErr w:type="spellStart"/>
      <w:r w:rsidRPr="00097285">
        <w:t>CarswellNat</w:t>
      </w:r>
      <w:proofErr w:type="spellEnd"/>
      <w:r w:rsidRPr="00097285">
        <w:t xml:space="preserve"> 5167 (WL Can.), affirming decisions of </w:t>
      </w:r>
      <w:proofErr w:type="spellStart"/>
      <w:r w:rsidRPr="00097285">
        <w:t>Perron</w:t>
      </w:r>
      <w:proofErr w:type="spellEnd"/>
      <w:r w:rsidRPr="00097285">
        <w:t xml:space="preserve"> M.J., 2013 CM 4005, 2013 </w:t>
      </w:r>
      <w:proofErr w:type="spellStart"/>
      <w:r w:rsidRPr="00097285">
        <w:t>CarswellNat</w:t>
      </w:r>
      <w:proofErr w:type="spellEnd"/>
      <w:r w:rsidRPr="00097285">
        <w:t xml:space="preserve"> 3230 (WL Can.), and 2013 CM 4006, 2013 </w:t>
      </w:r>
      <w:proofErr w:type="spellStart"/>
      <w:r w:rsidRPr="00097285">
        <w:t>CarswellNat</w:t>
      </w:r>
      <w:proofErr w:type="spellEnd"/>
      <w:r w:rsidRPr="00097285">
        <w:t xml:space="preserve"> 3986 (WL Can.). Appeal dismissed.</w:t>
      </w:r>
    </w:p>
    <w:p w:rsidR="00861C68" w:rsidRDefault="00861C68" w:rsidP="009B303A">
      <w:pPr>
        <w:pStyle w:val="SCCNormalDoubleSpacing"/>
        <w:widowControl w:val="0"/>
        <w:spacing w:before="480" w:after="480"/>
        <w:rPr>
          <w:rStyle w:val="SCCCounselPartyRoleChar"/>
        </w:rPr>
      </w:pPr>
      <w:r w:rsidRPr="00097285">
        <w:rPr>
          <w:rStyle w:val="SCCCounselNameChar"/>
        </w:rPr>
        <w:tab/>
        <w:t xml:space="preserve">Mark </w:t>
      </w:r>
      <w:proofErr w:type="spellStart"/>
      <w:r w:rsidRPr="00097285">
        <w:rPr>
          <w:rStyle w:val="SCCCounselNameChar"/>
        </w:rPr>
        <w:t>Létourneau</w:t>
      </w:r>
      <w:proofErr w:type="spellEnd"/>
      <w:r w:rsidRPr="00097285">
        <w:rPr>
          <w:rStyle w:val="SCCCounselSeparatorChar"/>
        </w:rPr>
        <w:t xml:space="preserve">, </w:t>
      </w:r>
      <w:r w:rsidRPr="00097285">
        <w:rPr>
          <w:rStyle w:val="SCCCounselNameChar"/>
        </w:rPr>
        <w:t>Jean</w:t>
      </w:r>
      <w:r w:rsidRPr="00097285">
        <w:rPr>
          <w:rStyle w:val="SCCCounselNameChar"/>
        </w:rPr>
        <w:noBreakHyphen/>
        <w:t xml:space="preserve">Bruno </w:t>
      </w:r>
      <w:proofErr w:type="spellStart"/>
      <w:r w:rsidRPr="00097285">
        <w:rPr>
          <w:rStyle w:val="SCCCounselNameChar"/>
        </w:rPr>
        <w:t>Cloutier</w:t>
      </w:r>
      <w:proofErr w:type="spellEnd"/>
      <w:r w:rsidRPr="00097285">
        <w:rPr>
          <w:rStyle w:val="SCCCounselSeparatorChar"/>
        </w:rPr>
        <w:t xml:space="preserve"> and </w:t>
      </w:r>
      <w:r w:rsidRPr="00097285">
        <w:rPr>
          <w:rStyle w:val="SCCCounselNameChar"/>
        </w:rPr>
        <w:t>Delano K. Fullerton</w:t>
      </w:r>
      <w:r w:rsidRPr="00097285">
        <w:rPr>
          <w:rStyle w:val="SCCCounselPartyRoleChar"/>
        </w:rPr>
        <w:t>, for the appellants.</w:t>
      </w:r>
    </w:p>
    <w:p w:rsidR="002626A4" w:rsidRPr="00097285" w:rsidRDefault="002626A4" w:rsidP="009B303A">
      <w:pPr>
        <w:pStyle w:val="SCCNormalDoubleSpacing"/>
        <w:widowControl w:val="0"/>
        <w:spacing w:before="480" w:after="480"/>
      </w:pPr>
      <w:r w:rsidRPr="00097285">
        <w:rPr>
          <w:rStyle w:val="SCCCounselNameChar"/>
        </w:rPr>
        <w:tab/>
        <w:t>Steven D. Richards</w:t>
      </w:r>
      <w:r w:rsidRPr="00097285">
        <w:rPr>
          <w:rStyle w:val="SCCCounselSeparatorChar"/>
        </w:rPr>
        <w:t xml:space="preserve"> and </w:t>
      </w:r>
      <w:r w:rsidRPr="00097285">
        <w:rPr>
          <w:rStyle w:val="SCCCounselNameChar"/>
        </w:rPr>
        <w:t>Bruce W. MacGregor</w:t>
      </w:r>
      <w:r w:rsidRPr="00097285">
        <w:rPr>
          <w:rStyle w:val="SCCCounselPartyRoleChar"/>
        </w:rPr>
        <w:t>, for the respondent.</w:t>
      </w:r>
    </w:p>
    <w:p w:rsidR="002626A4" w:rsidRPr="002626A4" w:rsidRDefault="002626A4" w:rsidP="009B303A">
      <w:pPr>
        <w:pStyle w:val="JudgeJuge"/>
        <w:widowControl w:val="0"/>
        <w:rPr>
          <w:smallCaps w:val="0"/>
        </w:rPr>
      </w:pPr>
      <w:r>
        <w:rPr>
          <w:smallCaps w:val="0"/>
        </w:rPr>
        <w:tab/>
        <w:t>The judgment of the Court was delivered by</w:t>
      </w:r>
    </w:p>
    <w:p w:rsidR="006977A9" w:rsidRPr="000E3A43" w:rsidRDefault="006977A9" w:rsidP="009B303A">
      <w:pPr>
        <w:pStyle w:val="JudgeJuge"/>
        <w:widowControl w:val="0"/>
      </w:pPr>
      <w:r w:rsidRPr="000E3A43">
        <w:tab/>
        <w:t xml:space="preserve">Cromwell J. — </w:t>
      </w:r>
    </w:p>
    <w:p w:rsidR="006977A9" w:rsidRPr="000E3A43" w:rsidRDefault="006977A9" w:rsidP="009B303A">
      <w:pPr>
        <w:pStyle w:val="Title1LevelTitre1Niveau-AltL"/>
        <w:widowControl w:val="0"/>
        <w:rPr>
          <w:rFonts w:cs="Times New Roman"/>
        </w:rPr>
      </w:pPr>
      <w:r w:rsidRPr="000E3A43">
        <w:rPr>
          <w:rFonts w:cs="Times New Roman"/>
        </w:rPr>
        <w:t>Introduction</w:t>
      </w:r>
    </w:p>
    <w:p w:rsidR="006977A9" w:rsidRPr="000E3A43" w:rsidRDefault="006977A9" w:rsidP="009B303A">
      <w:pPr>
        <w:pStyle w:val="ParaNoNdepar-AltN"/>
        <w:widowControl w:val="0"/>
        <w:rPr>
          <w:rFonts w:cs="Times New Roman"/>
        </w:rPr>
      </w:pPr>
      <w:r w:rsidRPr="000E3A43">
        <w:rPr>
          <w:rFonts w:cs="Times New Roman"/>
        </w:rPr>
        <w:t xml:space="preserve">Certain provisions of the </w:t>
      </w:r>
      <w:r w:rsidRPr="000E3A43">
        <w:rPr>
          <w:rFonts w:cs="Times New Roman"/>
          <w:i/>
        </w:rPr>
        <w:t>National Defence Act</w:t>
      </w:r>
      <w:r>
        <w:rPr>
          <w:rFonts w:cs="Times New Roman"/>
        </w:rPr>
        <w:t>, R.S.C. 1985, c. N-5</w:t>
      </w:r>
      <w:r w:rsidRPr="000E3A43">
        <w:rPr>
          <w:rFonts w:cs="Times New Roman"/>
        </w:rPr>
        <w:t xml:space="preserve"> (“</w:t>
      </w:r>
      <w:r w:rsidRPr="000E3A43">
        <w:rPr>
          <w:rFonts w:cs="Times New Roman"/>
          <w:i/>
        </w:rPr>
        <w:t>NDA</w:t>
      </w:r>
      <w:r w:rsidRPr="000E3A43">
        <w:rPr>
          <w:rFonts w:cs="Times New Roman"/>
        </w:rPr>
        <w:t>”)</w:t>
      </w:r>
      <w:r>
        <w:rPr>
          <w:rFonts w:cs="Times New Roman"/>
        </w:rPr>
        <w:t>,</w:t>
      </w:r>
      <w:r w:rsidRPr="000E3A43">
        <w:rPr>
          <w:rFonts w:cs="Times New Roman"/>
        </w:rPr>
        <w:t xml:space="preserve"> permit nearly every federal offence to be prosecuted within the military justice system. The appellants contend that this extends the reach of military justice too broadly because these provisions restrict liberty in a manner that is not connected to their purpose. This, they submit,</w:t>
      </w:r>
      <w:r>
        <w:rPr>
          <w:rFonts w:cs="Times New Roman"/>
        </w:rPr>
        <w:t xml:space="preserve"> makes the provisions</w:t>
      </w:r>
      <w:r w:rsidRPr="000E3A43">
        <w:rPr>
          <w:rFonts w:cs="Times New Roman"/>
        </w:rPr>
        <w:t xml:space="preserve"> overbroad and therefore contrary to s. 7 of the </w:t>
      </w:r>
      <w:r w:rsidRPr="000E3A43">
        <w:rPr>
          <w:rFonts w:cs="Times New Roman"/>
          <w:i/>
        </w:rPr>
        <w:t>Canadian Charter of Rights and Freedoms</w:t>
      </w:r>
      <w:r w:rsidRPr="000E3A43">
        <w:rPr>
          <w:rFonts w:cs="Times New Roman"/>
        </w:rPr>
        <w:t xml:space="preserve">. </w:t>
      </w:r>
    </w:p>
    <w:p w:rsidR="006977A9" w:rsidRPr="000E3A43" w:rsidRDefault="006977A9" w:rsidP="009B303A">
      <w:pPr>
        <w:pStyle w:val="ParaNoNdepar-AltN"/>
        <w:widowControl w:val="0"/>
        <w:rPr>
          <w:rFonts w:cs="Times New Roman"/>
        </w:rPr>
      </w:pPr>
      <w:r w:rsidRPr="000E3A43">
        <w:rPr>
          <w:rFonts w:cs="Times New Roman"/>
        </w:rPr>
        <w:t xml:space="preserve">In my view, the appellants’ contention fails because these provisions are not overbroad. A law is overbroad when there is no rational connection between the purpose of the law and some of its effects. The touchstones of the analysis are, </w:t>
      </w:r>
      <w:r w:rsidRPr="000E3A43">
        <w:rPr>
          <w:rFonts w:cs="Times New Roman"/>
        </w:rPr>
        <w:lastRenderedPageBreak/>
        <w:t>therefore, the objective of the law and whether its effects are connected to that objective.  Properly understood, the challenged provisions have a broader purpose than that identified by the appellants and they have failed to show that the law’s effects are not rationally connected to that broader purpose. Their claim of overbreadth fails as a result.</w:t>
      </w:r>
    </w:p>
    <w:p w:rsidR="006977A9" w:rsidRPr="000E3A43" w:rsidRDefault="006977A9" w:rsidP="009B303A">
      <w:pPr>
        <w:pStyle w:val="ParaNoNdepar-AltN"/>
        <w:widowControl w:val="0"/>
        <w:rPr>
          <w:rFonts w:cs="Times New Roman"/>
        </w:rPr>
      </w:pPr>
      <w:r w:rsidRPr="000E3A43">
        <w:rPr>
          <w:rFonts w:cs="Times New Roman"/>
        </w:rPr>
        <w:t>The appellants further submit that reading in a military nexus requirement, as did the Court Martial Appeal Court</w:t>
      </w:r>
      <w:r>
        <w:rPr>
          <w:rFonts w:cs="Times New Roman"/>
        </w:rPr>
        <w:t xml:space="preserve"> (“CMAC”)</w:t>
      </w:r>
      <w:r w:rsidRPr="000E3A43">
        <w:rPr>
          <w:rFonts w:cs="Times New Roman"/>
        </w:rPr>
        <w:t xml:space="preserve">, does not constitute an appropriate remedy under s. 52 of the </w:t>
      </w:r>
      <w:r w:rsidRPr="000E3A43">
        <w:rPr>
          <w:rFonts w:cs="Times New Roman"/>
          <w:i/>
        </w:rPr>
        <w:t>Constitution Act, 1982</w:t>
      </w:r>
      <w:r w:rsidRPr="000E3A43">
        <w:rPr>
          <w:rFonts w:cs="Times New Roman"/>
        </w:rPr>
        <w:t xml:space="preserve"> because doing so does not make the challenged provisions constitutional in all their dimensions: A.F. (</w:t>
      </w:r>
      <w:proofErr w:type="spellStart"/>
      <w:r w:rsidRPr="000E3A43">
        <w:rPr>
          <w:rFonts w:cs="Times New Roman"/>
        </w:rPr>
        <w:t>Moriarity</w:t>
      </w:r>
      <w:proofErr w:type="spellEnd"/>
      <w:r w:rsidR="002626A4">
        <w:rPr>
          <w:rFonts w:cs="Times New Roman"/>
        </w:rPr>
        <w:t xml:space="preserve">, Hannah and </w:t>
      </w:r>
      <w:proofErr w:type="spellStart"/>
      <w:r w:rsidR="002626A4">
        <w:rPr>
          <w:rFonts w:cs="Times New Roman"/>
        </w:rPr>
        <w:t>Vezina</w:t>
      </w:r>
      <w:proofErr w:type="spellEnd"/>
      <w:r w:rsidRPr="000E3A43">
        <w:rPr>
          <w:rFonts w:cs="Times New Roman"/>
        </w:rPr>
        <w:t xml:space="preserve">), at para. 44; A.F. (Arsenault), at para. 57.  These submissions go to remedy in the event that the provisions are found unconstitutionally overbroad.  Because I conclude that the provisions are not overbroad, I do not need to address these remedial submissions.  I underline that the s. 52 analysis is concerned with determining the appropriate remedy in order to address the previously found constitutional violation.  It cannot be used in effect to launch novel constitutional arguments that are not properly before the </w:t>
      </w:r>
      <w:r>
        <w:rPr>
          <w:rFonts w:cs="Times New Roman"/>
        </w:rPr>
        <w:t>c</w:t>
      </w:r>
      <w:r w:rsidRPr="000E3A43">
        <w:rPr>
          <w:rFonts w:cs="Times New Roman"/>
        </w:rPr>
        <w:t xml:space="preserve">ourt.  </w:t>
      </w:r>
    </w:p>
    <w:p w:rsidR="006977A9" w:rsidRPr="000E3A43" w:rsidRDefault="006977A9" w:rsidP="009B303A">
      <w:pPr>
        <w:pStyle w:val="ParaNoNdepar-AltN"/>
        <w:widowControl w:val="0"/>
        <w:rPr>
          <w:rFonts w:cs="Times New Roman"/>
        </w:rPr>
      </w:pPr>
      <w:r w:rsidRPr="000E3A43">
        <w:rPr>
          <w:rFonts w:cs="Times New Roman"/>
        </w:rPr>
        <w:t>I would dismiss the appeals.</w:t>
      </w:r>
    </w:p>
    <w:p w:rsidR="006977A9" w:rsidRPr="000E3A43" w:rsidRDefault="006977A9" w:rsidP="009B303A">
      <w:pPr>
        <w:pStyle w:val="Title1LevelTitre1Niveau-AltL"/>
        <w:widowControl w:val="0"/>
        <w:rPr>
          <w:rFonts w:cs="Times New Roman"/>
        </w:rPr>
      </w:pPr>
      <w:r w:rsidRPr="000E3A43">
        <w:rPr>
          <w:rFonts w:cs="Times New Roman"/>
        </w:rPr>
        <w:t>Facts and Judicial History</w:t>
      </w:r>
    </w:p>
    <w:p w:rsidR="006977A9" w:rsidRPr="000E3A43" w:rsidRDefault="006977A9" w:rsidP="009B303A">
      <w:pPr>
        <w:pStyle w:val="ParaNoNdepar-AltN"/>
        <w:widowControl w:val="0"/>
        <w:tabs>
          <w:tab w:val="clear" w:pos="1152"/>
          <w:tab w:val="left" w:pos="1166"/>
        </w:tabs>
        <w:spacing w:before="240"/>
        <w:rPr>
          <w:rFonts w:cs="Times New Roman"/>
        </w:rPr>
      </w:pPr>
      <w:r w:rsidRPr="000E3A43">
        <w:rPr>
          <w:rFonts w:cs="Times New Roman"/>
        </w:rPr>
        <w:t>The focus of the appeals is ss. 130(1</w:t>
      </w:r>
      <w:proofErr w:type="gramStart"/>
      <w:r w:rsidRPr="000E3A43">
        <w:rPr>
          <w:rFonts w:cs="Times New Roman"/>
        </w:rPr>
        <w:t>)(</w:t>
      </w:r>
      <w:proofErr w:type="gramEnd"/>
      <w:r w:rsidRPr="000E3A43">
        <w:rPr>
          <w:rFonts w:cs="Times New Roman"/>
          <w:i/>
        </w:rPr>
        <w:t>a</w:t>
      </w:r>
      <w:r w:rsidRPr="000E3A43">
        <w:rPr>
          <w:rFonts w:cs="Times New Roman"/>
        </w:rPr>
        <w:t>) and 117(</w:t>
      </w:r>
      <w:r w:rsidRPr="000E3A43">
        <w:rPr>
          <w:rFonts w:cs="Times New Roman"/>
          <w:i/>
        </w:rPr>
        <w:t>f</w:t>
      </w:r>
      <w:r w:rsidRPr="000E3A43">
        <w:rPr>
          <w:rFonts w:cs="Times New Roman"/>
        </w:rPr>
        <w:t xml:space="preserve">) of the </w:t>
      </w:r>
      <w:r w:rsidRPr="000E3A43">
        <w:rPr>
          <w:rFonts w:cs="Times New Roman"/>
          <w:i/>
        </w:rPr>
        <w:t>NDA</w:t>
      </w:r>
      <w:r w:rsidRPr="000E3A43">
        <w:rPr>
          <w:rFonts w:cs="Times New Roman"/>
        </w:rPr>
        <w:t>. Section 130(1)(</w:t>
      </w:r>
      <w:r w:rsidRPr="000E3A43">
        <w:rPr>
          <w:rFonts w:cs="Times New Roman"/>
          <w:i/>
        </w:rPr>
        <w:t>a</w:t>
      </w:r>
      <w:r w:rsidRPr="000E3A43">
        <w:rPr>
          <w:rFonts w:cs="Times New Roman"/>
        </w:rPr>
        <w:t xml:space="preserve">) makes offences punishable under Part VII of the </w:t>
      </w:r>
      <w:r w:rsidRPr="000E3A43">
        <w:rPr>
          <w:rFonts w:cs="Times New Roman"/>
          <w:i/>
        </w:rPr>
        <w:t>NDA</w:t>
      </w:r>
      <w:r w:rsidRPr="000E3A43">
        <w:rPr>
          <w:rFonts w:cs="Times New Roman"/>
        </w:rPr>
        <w:t xml:space="preserve">, the </w:t>
      </w:r>
      <w:r w:rsidRPr="000E3A43">
        <w:rPr>
          <w:rFonts w:cs="Times New Roman"/>
          <w:i/>
        </w:rPr>
        <w:t>Criminal Code</w:t>
      </w:r>
      <w:r>
        <w:rPr>
          <w:rFonts w:cs="Times New Roman"/>
        </w:rPr>
        <w:t>, R.S.C. 1985, c. C-46,</w:t>
      </w:r>
      <w:r w:rsidRPr="000E3A43">
        <w:rPr>
          <w:rFonts w:cs="Times New Roman"/>
        </w:rPr>
        <w:t xml:space="preserve"> or any other Act of Parliament (what I will call the underlying </w:t>
      </w:r>
      <w:r w:rsidRPr="000E3A43">
        <w:rPr>
          <w:rFonts w:cs="Times New Roman"/>
        </w:rPr>
        <w:lastRenderedPageBreak/>
        <w:t>federal offences) service offences which may be prosecuted within the military justice system. Section 117(</w:t>
      </w:r>
      <w:r w:rsidRPr="000E3A43">
        <w:rPr>
          <w:rFonts w:cs="Times New Roman"/>
          <w:i/>
        </w:rPr>
        <w:t>f</w:t>
      </w:r>
      <w:r w:rsidRPr="000E3A43">
        <w:rPr>
          <w:rFonts w:cs="Times New Roman"/>
        </w:rPr>
        <w:t>) creates a service offence of committing any act of a fraudulent nature. It is worth pausing here to review these provisions because the appellants’ overbreadth analysis turns on their purpose and effects.</w:t>
      </w:r>
    </w:p>
    <w:p w:rsidR="006977A9" w:rsidRPr="000E3A43" w:rsidRDefault="006977A9" w:rsidP="009B303A">
      <w:pPr>
        <w:pStyle w:val="ParaNoNdepar-AltN"/>
        <w:widowControl w:val="0"/>
        <w:tabs>
          <w:tab w:val="clear" w:pos="1152"/>
          <w:tab w:val="left" w:pos="1166"/>
        </w:tabs>
        <w:spacing w:before="240"/>
        <w:rPr>
          <w:rFonts w:cs="Times New Roman"/>
        </w:rPr>
      </w:pPr>
      <w:r w:rsidRPr="000E3A43">
        <w:rPr>
          <w:rFonts w:cs="Times New Roman"/>
        </w:rPr>
        <w:t>Section 130(1)(</w:t>
      </w:r>
      <w:r w:rsidRPr="000E3A43">
        <w:rPr>
          <w:rFonts w:cs="Times New Roman"/>
          <w:i/>
        </w:rPr>
        <w:t>a</w:t>
      </w:r>
      <w:r w:rsidRPr="000E3A43">
        <w:rPr>
          <w:rFonts w:cs="Times New Roman"/>
        </w:rPr>
        <w:t>) provides as follows:</w:t>
      </w:r>
    </w:p>
    <w:p w:rsidR="006977A9" w:rsidRPr="000E3A43" w:rsidRDefault="006977A9" w:rsidP="009B303A">
      <w:pPr>
        <w:pStyle w:val="Citation-AltC"/>
        <w:widowControl w:val="0"/>
        <w:ind w:firstLine="454"/>
      </w:pPr>
      <w:r w:rsidRPr="000E3A43">
        <w:rPr>
          <w:b/>
        </w:rPr>
        <w:t>130.</w:t>
      </w:r>
      <w:r w:rsidRPr="000E3A43">
        <w:t xml:space="preserve"> (1) </w:t>
      </w:r>
      <w:proofErr w:type="gramStart"/>
      <w:r w:rsidRPr="000E3A43">
        <w:t>An</w:t>
      </w:r>
      <w:proofErr w:type="gramEnd"/>
      <w:r w:rsidRPr="000E3A43">
        <w:t xml:space="preserve"> act or omission</w:t>
      </w:r>
    </w:p>
    <w:p w:rsidR="006977A9" w:rsidRPr="000E3A43" w:rsidRDefault="006977A9" w:rsidP="009B303A">
      <w:pPr>
        <w:pStyle w:val="Citation-AltC"/>
        <w:widowControl w:val="0"/>
      </w:pPr>
    </w:p>
    <w:p w:rsidR="006977A9" w:rsidRDefault="006977A9" w:rsidP="009B303A">
      <w:pPr>
        <w:pStyle w:val="Citation-AltC"/>
        <w:widowControl w:val="0"/>
        <w:ind w:left="1620"/>
      </w:pPr>
      <w:r w:rsidRPr="00A57E3E">
        <w:t>(</w:t>
      </w:r>
      <w:r w:rsidRPr="00A57E3E">
        <w:rPr>
          <w:i/>
        </w:rPr>
        <w:t>a</w:t>
      </w:r>
      <w:r w:rsidR="002626A4">
        <w:t xml:space="preserve">) </w:t>
      </w:r>
      <w:r>
        <w:t xml:space="preserve"> </w:t>
      </w:r>
      <w:proofErr w:type="gramStart"/>
      <w:r w:rsidRPr="000E3A43">
        <w:t>that</w:t>
      </w:r>
      <w:proofErr w:type="gramEnd"/>
      <w:r w:rsidRPr="000E3A43">
        <w:t xml:space="preserve"> takes place in Canada and is punishable under Part VII, the </w:t>
      </w:r>
      <w:r w:rsidRPr="000E3A43">
        <w:rPr>
          <w:i/>
        </w:rPr>
        <w:t>Criminal Code</w:t>
      </w:r>
      <w:r w:rsidRPr="000E3A43">
        <w:t xml:space="preserve"> or any other Act of Parliament</w:t>
      </w:r>
      <w:r>
        <w:t xml:space="preserve"> </w:t>
      </w:r>
      <w:r w:rsidRPr="000E3A43">
        <w:t>. . .</w:t>
      </w:r>
    </w:p>
    <w:p w:rsidR="006977A9" w:rsidRDefault="006977A9" w:rsidP="009B303A">
      <w:pPr>
        <w:pStyle w:val="Citation-AltC"/>
        <w:widowControl w:val="0"/>
        <w:ind w:left="1800"/>
      </w:pPr>
    </w:p>
    <w:p w:rsidR="006977A9" w:rsidRDefault="006977A9" w:rsidP="009B303A">
      <w:pPr>
        <w:pStyle w:val="Citation-AltC"/>
        <w:widowControl w:val="0"/>
        <w:ind w:left="1800"/>
        <w:jc w:val="center"/>
      </w:pPr>
      <w:r>
        <w:t>. . .</w:t>
      </w:r>
    </w:p>
    <w:p w:rsidR="006977A9" w:rsidRPr="000E3A43" w:rsidRDefault="006977A9" w:rsidP="009B303A">
      <w:pPr>
        <w:pStyle w:val="Citation-AltC"/>
        <w:widowControl w:val="0"/>
        <w:ind w:left="1800"/>
      </w:pPr>
    </w:p>
    <w:p w:rsidR="006977A9" w:rsidRPr="000E3A43" w:rsidRDefault="006977A9" w:rsidP="009B303A">
      <w:pPr>
        <w:pStyle w:val="Citation-AltC"/>
        <w:widowControl w:val="0"/>
      </w:pPr>
      <w:proofErr w:type="gramStart"/>
      <w:r w:rsidRPr="000E3A43">
        <w:t>is</w:t>
      </w:r>
      <w:proofErr w:type="gramEnd"/>
      <w:r w:rsidRPr="000E3A43">
        <w:t xml:space="preserve"> an offence under this Division and every person convicted thereof is liable to suffer punishment as provided in subsection (2).  </w:t>
      </w:r>
    </w:p>
    <w:p w:rsidR="006977A9" w:rsidRPr="000E3A43" w:rsidRDefault="006977A9" w:rsidP="009B303A">
      <w:pPr>
        <w:pStyle w:val="ParaNoNdepar-AltN"/>
        <w:widowControl w:val="0"/>
        <w:rPr>
          <w:rFonts w:cs="Times New Roman"/>
        </w:rPr>
      </w:pPr>
      <w:r w:rsidRPr="000E3A43">
        <w:rPr>
          <w:rFonts w:cs="Times New Roman"/>
        </w:rPr>
        <w:t>Section 130(1</w:t>
      </w:r>
      <w:proofErr w:type="gramStart"/>
      <w:r w:rsidRPr="000E3A43">
        <w:rPr>
          <w:rFonts w:cs="Times New Roman"/>
        </w:rPr>
        <w:t>)(</w:t>
      </w:r>
      <w:proofErr w:type="gramEnd"/>
      <w:r w:rsidRPr="000E3A43">
        <w:rPr>
          <w:rFonts w:cs="Times New Roman"/>
          <w:i/>
        </w:rPr>
        <w:t>a</w:t>
      </w:r>
      <w:r w:rsidRPr="000E3A43">
        <w:rPr>
          <w:rFonts w:cs="Times New Roman"/>
        </w:rPr>
        <w:t xml:space="preserve">) creates an offence under the </w:t>
      </w:r>
      <w:r w:rsidRPr="00FD7525">
        <w:rPr>
          <w:rFonts w:cs="Times New Roman"/>
        </w:rPr>
        <w:t>Code of Service Discipline</w:t>
      </w:r>
      <w:r w:rsidRPr="000E3A43">
        <w:rPr>
          <w:rFonts w:cs="Times New Roman"/>
          <w:i/>
        </w:rPr>
        <w:t xml:space="preserve"> </w:t>
      </w:r>
      <w:r w:rsidRPr="000E3A43">
        <w:rPr>
          <w:rFonts w:cs="Times New Roman"/>
        </w:rPr>
        <w:t>(“</w:t>
      </w:r>
      <w:r w:rsidRPr="00FD7525">
        <w:rPr>
          <w:rFonts w:cs="Times New Roman"/>
        </w:rPr>
        <w:t>CSD</w:t>
      </w:r>
      <w:r w:rsidRPr="000E3A43">
        <w:rPr>
          <w:rFonts w:cs="Times New Roman"/>
        </w:rPr>
        <w:t>”</w:t>
      </w:r>
      <w:r w:rsidR="002626A4">
        <w:rPr>
          <w:rFonts w:cs="Times New Roman"/>
        </w:rPr>
        <w:t>,</w:t>
      </w:r>
      <w:r>
        <w:rPr>
          <w:rFonts w:cs="Times New Roman"/>
        </w:rPr>
        <w:t xml:space="preserve"> set forth under Part III of the </w:t>
      </w:r>
      <w:r w:rsidRPr="00A57E3E">
        <w:rPr>
          <w:rFonts w:cs="Times New Roman"/>
          <w:i/>
        </w:rPr>
        <w:t>NDA</w:t>
      </w:r>
      <w:r w:rsidRPr="000E3A43">
        <w:rPr>
          <w:rFonts w:cs="Times New Roman"/>
        </w:rPr>
        <w:t>) out of the underlying federal offences</w:t>
      </w:r>
      <w:r>
        <w:rPr>
          <w:rFonts w:cs="Times New Roman"/>
        </w:rPr>
        <w:t xml:space="preserve"> (what I will refer to interchangeably as a CSD or service offence)</w:t>
      </w:r>
      <w:r w:rsidRPr="000E3A43">
        <w:rPr>
          <w:rFonts w:cs="Times New Roman"/>
        </w:rPr>
        <w:t xml:space="preserve">, over which service tribunals have jurisdiction.  It does so through incorporating by reference the underlying federal offences. The essential elements of the underlying federal offences remain the same, and the </w:t>
      </w:r>
      <w:r w:rsidRPr="000E3A43">
        <w:rPr>
          <w:rFonts w:cs="Times New Roman"/>
          <w:i/>
        </w:rPr>
        <w:t>NDA</w:t>
      </w:r>
      <w:r w:rsidRPr="000E3A43">
        <w:rPr>
          <w:rFonts w:cs="Times New Roman"/>
        </w:rPr>
        <w:t xml:space="preserve"> provides that the pleas of </w:t>
      </w:r>
      <w:r w:rsidRPr="000E3A43">
        <w:rPr>
          <w:rFonts w:cs="Times New Roman"/>
          <w:i/>
        </w:rPr>
        <w:t>autrefois acqui</w:t>
      </w:r>
      <w:r>
        <w:rPr>
          <w:rFonts w:cs="Times New Roman"/>
          <w:i/>
        </w:rPr>
        <w:t>t</w:t>
      </w:r>
      <w:r w:rsidRPr="000E3A43">
        <w:rPr>
          <w:rFonts w:cs="Times New Roman"/>
        </w:rPr>
        <w:t xml:space="preserve"> and </w:t>
      </w:r>
      <w:r w:rsidRPr="000E3A43">
        <w:rPr>
          <w:rFonts w:cs="Times New Roman"/>
          <w:i/>
        </w:rPr>
        <w:t xml:space="preserve">autrefois convict </w:t>
      </w:r>
      <w:r w:rsidRPr="000E3A43">
        <w:rPr>
          <w:rFonts w:cs="Times New Roman"/>
        </w:rPr>
        <w:t xml:space="preserve">are available in order to avoid double jeopardy under both the </w:t>
      </w:r>
      <w:r w:rsidRPr="00FD7525">
        <w:rPr>
          <w:rFonts w:cs="Times New Roman"/>
        </w:rPr>
        <w:t>CSD</w:t>
      </w:r>
      <w:r w:rsidRPr="000E3A43">
        <w:rPr>
          <w:rFonts w:cs="Times New Roman"/>
        </w:rPr>
        <w:t xml:space="preserve"> and the federal offence: s. 66.  </w:t>
      </w:r>
    </w:p>
    <w:p w:rsidR="006977A9" w:rsidRPr="000E3A43" w:rsidRDefault="006977A9" w:rsidP="009B303A">
      <w:pPr>
        <w:pStyle w:val="ParaNoNdepar-AltN"/>
        <w:widowControl w:val="0"/>
        <w:tabs>
          <w:tab w:val="clear" w:pos="1152"/>
          <w:tab w:val="left" w:pos="1166"/>
        </w:tabs>
        <w:rPr>
          <w:rFonts w:cs="Times New Roman"/>
        </w:rPr>
      </w:pPr>
      <w:r>
        <w:rPr>
          <w:rFonts w:cs="Times New Roman"/>
        </w:rPr>
        <w:t xml:space="preserve">The effect of s. </w:t>
      </w:r>
      <w:r w:rsidRPr="000E3A43">
        <w:rPr>
          <w:rFonts w:cs="Times New Roman"/>
        </w:rPr>
        <w:t>130(1</w:t>
      </w:r>
      <w:proofErr w:type="gramStart"/>
      <w:r w:rsidRPr="000E3A43">
        <w:rPr>
          <w:rFonts w:cs="Times New Roman"/>
        </w:rPr>
        <w:t>)(</w:t>
      </w:r>
      <w:proofErr w:type="gramEnd"/>
      <w:r w:rsidRPr="000E3A43">
        <w:rPr>
          <w:rFonts w:cs="Times New Roman"/>
          <w:i/>
        </w:rPr>
        <w:t>a</w:t>
      </w:r>
      <w:r w:rsidRPr="000E3A43">
        <w:rPr>
          <w:rFonts w:cs="Times New Roman"/>
        </w:rPr>
        <w:t xml:space="preserve">) is to extend the jurisdiction of service tribunals in relation to all underlying federal offences to everyone subject to the </w:t>
      </w:r>
      <w:r w:rsidRPr="000F3CFB">
        <w:rPr>
          <w:rFonts w:cs="Times New Roman"/>
        </w:rPr>
        <w:t>CSD</w:t>
      </w:r>
      <w:r w:rsidRPr="000E3A43">
        <w:rPr>
          <w:rFonts w:cs="Times New Roman"/>
        </w:rPr>
        <w:t xml:space="preserve">: see </w:t>
      </w:r>
      <w:r w:rsidRPr="000E3A43">
        <w:rPr>
          <w:rFonts w:cs="Times New Roman"/>
          <w:i/>
        </w:rPr>
        <w:t>NDA</w:t>
      </w:r>
      <w:r w:rsidRPr="000E3A43">
        <w:rPr>
          <w:rFonts w:cs="Times New Roman"/>
        </w:rPr>
        <w:t>, s</w:t>
      </w:r>
      <w:r>
        <w:rPr>
          <w:rFonts w:cs="Times New Roman"/>
        </w:rPr>
        <w:t>s</w:t>
      </w:r>
      <w:r w:rsidRPr="000E3A43">
        <w:rPr>
          <w:rFonts w:cs="Times New Roman"/>
        </w:rPr>
        <w:t>. 60</w:t>
      </w:r>
      <w:r>
        <w:rPr>
          <w:rFonts w:cs="Times New Roman"/>
        </w:rPr>
        <w:t xml:space="preserve"> and </w:t>
      </w:r>
      <w:r w:rsidRPr="000E3A43">
        <w:rPr>
          <w:rFonts w:cs="Times New Roman"/>
        </w:rPr>
        <w:t>61.  There is no explicit limitation in the text of s. 130(1</w:t>
      </w:r>
      <w:proofErr w:type="gramStart"/>
      <w:r w:rsidRPr="000E3A43">
        <w:rPr>
          <w:rFonts w:cs="Times New Roman"/>
        </w:rPr>
        <w:t>)(</w:t>
      </w:r>
      <w:proofErr w:type="gramEnd"/>
      <w:r w:rsidRPr="000E3A43">
        <w:rPr>
          <w:rFonts w:cs="Times New Roman"/>
          <w:i/>
        </w:rPr>
        <w:t>a</w:t>
      </w:r>
      <w:r w:rsidRPr="000E3A43">
        <w:rPr>
          <w:rFonts w:cs="Times New Roman"/>
        </w:rPr>
        <w:t xml:space="preserve">) to the effect that </w:t>
      </w:r>
      <w:r w:rsidRPr="000E3A43">
        <w:rPr>
          <w:rFonts w:cs="Times New Roman"/>
        </w:rPr>
        <w:lastRenderedPageBreak/>
        <w:t xml:space="preserve">the offence must have been committed in a military context; it transforms the underlying offence into a service offence “irrespective of its nature and the circumstances of its commission”: </w:t>
      </w:r>
      <w:r w:rsidRPr="00A462E3">
        <w:rPr>
          <w:rFonts w:cs="Times New Roman"/>
          <w:i/>
        </w:rPr>
        <w:t>R. v</w:t>
      </w:r>
      <w:r>
        <w:rPr>
          <w:rFonts w:cs="Times New Roman"/>
        </w:rPr>
        <w:t xml:space="preserve">. </w:t>
      </w:r>
      <w:proofErr w:type="spellStart"/>
      <w:r>
        <w:rPr>
          <w:rFonts w:cs="Times New Roman"/>
          <w:i/>
        </w:rPr>
        <w:t>Trépanier</w:t>
      </w:r>
      <w:proofErr w:type="spellEnd"/>
      <w:r w:rsidRPr="000E3A43">
        <w:rPr>
          <w:rFonts w:cs="Times New Roman"/>
        </w:rPr>
        <w:t>, 2008 CMAC 3,</w:t>
      </w:r>
      <w:r>
        <w:rPr>
          <w:rFonts w:cs="Times New Roman"/>
        </w:rPr>
        <w:t xml:space="preserve"> 232 C.C.C. (3d) 498,</w:t>
      </w:r>
      <w:r w:rsidRPr="000E3A43">
        <w:rPr>
          <w:rFonts w:cs="Times New Roman"/>
        </w:rPr>
        <w:t xml:space="preserve"> at para.</w:t>
      </w:r>
      <w:r>
        <w:rPr>
          <w:rFonts w:cs="Times New Roman"/>
        </w:rPr>
        <w:t xml:space="preserve"> </w:t>
      </w:r>
      <w:r w:rsidRPr="000E3A43">
        <w:rPr>
          <w:rFonts w:cs="Times New Roman"/>
        </w:rPr>
        <w:t xml:space="preserve">27; see also </w:t>
      </w:r>
      <w:r w:rsidRPr="000E3A43">
        <w:rPr>
          <w:rFonts w:cs="Times New Roman"/>
          <w:i/>
        </w:rPr>
        <w:t>R. v. St-Jean</w:t>
      </w:r>
      <w:r>
        <w:rPr>
          <w:rFonts w:cs="Times New Roman"/>
        </w:rPr>
        <w:t>, 2000</w:t>
      </w:r>
      <w:r w:rsidRPr="000E3A43">
        <w:rPr>
          <w:rFonts w:cs="Times New Roman"/>
        </w:rPr>
        <w:t xml:space="preserve"> </w:t>
      </w:r>
      <w:proofErr w:type="spellStart"/>
      <w:r>
        <w:rPr>
          <w:rFonts w:cs="Times New Roman"/>
        </w:rPr>
        <w:t>CanLII</w:t>
      </w:r>
      <w:proofErr w:type="spellEnd"/>
      <w:r>
        <w:rPr>
          <w:rFonts w:cs="Times New Roman"/>
        </w:rPr>
        <w:t xml:space="preserve"> 29663 (C.M.A.C.),</w:t>
      </w:r>
      <w:r w:rsidRPr="000E3A43">
        <w:rPr>
          <w:rFonts w:cs="Times New Roman"/>
        </w:rPr>
        <w:t xml:space="preserve"> at para. 38.  I note that the only federal offences that are not incorporated in the </w:t>
      </w:r>
      <w:r w:rsidRPr="00FD7525">
        <w:rPr>
          <w:rFonts w:cs="Times New Roman"/>
        </w:rPr>
        <w:t>CSD</w:t>
      </w:r>
      <w:r w:rsidRPr="000E3A43">
        <w:rPr>
          <w:rFonts w:cs="Times New Roman"/>
        </w:rPr>
        <w:t xml:space="preserve"> are murder, manslaughter, and offences relating to child abduction: </w:t>
      </w:r>
      <w:r w:rsidRPr="000E3A43">
        <w:rPr>
          <w:rFonts w:cs="Times New Roman"/>
          <w:i/>
        </w:rPr>
        <w:t>NDA</w:t>
      </w:r>
      <w:r w:rsidRPr="000E3A43">
        <w:rPr>
          <w:rFonts w:cs="Times New Roman"/>
        </w:rPr>
        <w:t>, s. 70.</w:t>
      </w:r>
    </w:p>
    <w:p w:rsidR="006977A9" w:rsidRPr="000E3A43" w:rsidRDefault="006977A9" w:rsidP="009B303A">
      <w:pPr>
        <w:pStyle w:val="ParaNoNdepar-AltN"/>
        <w:widowControl w:val="0"/>
        <w:rPr>
          <w:rFonts w:cs="Times New Roman"/>
        </w:rPr>
      </w:pPr>
      <w:r w:rsidRPr="000E3A43">
        <w:rPr>
          <w:rFonts w:cs="Times New Roman"/>
        </w:rPr>
        <w:t>Section 117(</w:t>
      </w:r>
      <w:r w:rsidRPr="000E3A43">
        <w:rPr>
          <w:rFonts w:cs="Times New Roman"/>
          <w:i/>
        </w:rPr>
        <w:t>f</w:t>
      </w:r>
      <w:r w:rsidRPr="000E3A43">
        <w:rPr>
          <w:rFonts w:cs="Times New Roman"/>
        </w:rPr>
        <w:t xml:space="preserve">) makes it a </w:t>
      </w:r>
      <w:r w:rsidRPr="00FD7525">
        <w:rPr>
          <w:rFonts w:cs="Times New Roman"/>
        </w:rPr>
        <w:t>CSD</w:t>
      </w:r>
      <w:r w:rsidRPr="000E3A43">
        <w:rPr>
          <w:rFonts w:cs="Times New Roman"/>
        </w:rPr>
        <w:t xml:space="preserve"> offence to commit “any act of a fraudulent nature not particularly specified in sections 73 to 128 [of the </w:t>
      </w:r>
      <w:r w:rsidRPr="000E3A43">
        <w:rPr>
          <w:rFonts w:cs="Times New Roman"/>
          <w:i/>
        </w:rPr>
        <w:t>NDA</w:t>
      </w:r>
      <w:r w:rsidRPr="000E3A43">
        <w:rPr>
          <w:rFonts w:cs="Times New Roman"/>
        </w:rPr>
        <w:t xml:space="preserve">]”.  This offence is punishable by imprisonment for less than two years or a lesser punishment.  Little has been said about the scope and effect of this provision and how it can be distinguished from fraudulent acts already prohibited under the </w:t>
      </w:r>
      <w:r w:rsidRPr="00FD7525">
        <w:rPr>
          <w:rFonts w:cs="Times New Roman"/>
        </w:rPr>
        <w:t>CSD</w:t>
      </w:r>
      <w:r w:rsidRPr="000E3A43">
        <w:rPr>
          <w:rFonts w:cs="Times New Roman"/>
        </w:rPr>
        <w:t xml:space="preserve"> or other federal laws.   </w:t>
      </w:r>
    </w:p>
    <w:p w:rsidR="006977A9" w:rsidRPr="000E3A43" w:rsidRDefault="006977A9" w:rsidP="009B303A">
      <w:pPr>
        <w:pStyle w:val="ParaNoNdepar-AltN"/>
        <w:widowControl w:val="0"/>
        <w:rPr>
          <w:rFonts w:cs="Times New Roman"/>
        </w:rPr>
      </w:pPr>
      <w:r w:rsidRPr="000E3A43">
        <w:rPr>
          <w:rFonts w:cs="Times New Roman"/>
        </w:rPr>
        <w:t xml:space="preserve">That brings me to the prosecutions against the four appellants. They were convicted by military judges </w:t>
      </w:r>
      <w:r>
        <w:rPr>
          <w:rFonts w:cs="Times New Roman"/>
        </w:rPr>
        <w:t>of</w:t>
      </w:r>
      <w:r w:rsidRPr="000E3A43">
        <w:rPr>
          <w:rFonts w:cs="Times New Roman"/>
        </w:rPr>
        <w:t xml:space="preserve"> offences punishable under the </w:t>
      </w:r>
      <w:r w:rsidRPr="00FD7525">
        <w:rPr>
          <w:rFonts w:cs="Times New Roman"/>
        </w:rPr>
        <w:t>CSD</w:t>
      </w:r>
      <w:r>
        <w:rPr>
          <w:rFonts w:cs="Times New Roman"/>
        </w:rPr>
        <w:t>. Their convictions relate</w:t>
      </w:r>
      <w:r w:rsidRPr="000E3A43">
        <w:rPr>
          <w:rFonts w:cs="Times New Roman"/>
        </w:rPr>
        <w:t xml:space="preserve"> to offences under the </w:t>
      </w:r>
      <w:r w:rsidRPr="000E3A43">
        <w:rPr>
          <w:rFonts w:cs="Times New Roman"/>
          <w:i/>
        </w:rPr>
        <w:t>Criminal Code</w:t>
      </w:r>
      <w:r w:rsidRPr="000E3A43">
        <w:rPr>
          <w:rFonts w:cs="Times New Roman"/>
        </w:rPr>
        <w:t xml:space="preserve"> and/or the </w:t>
      </w:r>
      <w:r w:rsidRPr="000E3A43">
        <w:rPr>
          <w:rFonts w:cs="Times New Roman"/>
          <w:i/>
        </w:rPr>
        <w:t>Controlled Drugs and Substances Act</w:t>
      </w:r>
      <w:r>
        <w:rPr>
          <w:rFonts w:cs="Times New Roman"/>
        </w:rPr>
        <w:t>, S.C. 1996, c. 19,</w:t>
      </w:r>
      <w:r w:rsidRPr="000E3A43">
        <w:rPr>
          <w:rFonts w:cs="Times New Roman"/>
        </w:rPr>
        <w:t xml:space="preserve"> which, as just described, are s</w:t>
      </w:r>
      <w:r>
        <w:rPr>
          <w:rFonts w:cs="Times New Roman"/>
        </w:rPr>
        <w:t xml:space="preserve">ervice offences by virtue of s. </w:t>
      </w:r>
      <w:r w:rsidRPr="000E3A43">
        <w:rPr>
          <w:rFonts w:cs="Times New Roman"/>
        </w:rPr>
        <w:t>130(1)(</w:t>
      </w:r>
      <w:r w:rsidRPr="000E3A43">
        <w:rPr>
          <w:rFonts w:cs="Times New Roman"/>
          <w:i/>
        </w:rPr>
        <w:t>a</w:t>
      </w:r>
      <w:r w:rsidRPr="000E3A43">
        <w:rPr>
          <w:rFonts w:cs="Times New Roman"/>
        </w:rPr>
        <w:t xml:space="preserve">) of the </w:t>
      </w:r>
      <w:r w:rsidRPr="000E3A43">
        <w:rPr>
          <w:rFonts w:cs="Times New Roman"/>
          <w:i/>
        </w:rPr>
        <w:t>NDA</w:t>
      </w:r>
      <w:r w:rsidRPr="000E3A43">
        <w:rPr>
          <w:rFonts w:cs="Times New Roman"/>
        </w:rPr>
        <w:t>.  Section</w:t>
      </w:r>
      <w:r>
        <w:rPr>
          <w:rFonts w:cs="Times New Roman"/>
        </w:rPr>
        <w:t xml:space="preserve"> </w:t>
      </w:r>
      <w:r w:rsidRPr="000E3A43">
        <w:rPr>
          <w:rFonts w:cs="Times New Roman"/>
        </w:rPr>
        <w:t>117(</w:t>
      </w:r>
      <w:r w:rsidRPr="000E3A43">
        <w:rPr>
          <w:rFonts w:cs="Times New Roman"/>
          <w:i/>
        </w:rPr>
        <w:t>f</w:t>
      </w:r>
      <w:r w:rsidRPr="000E3A43">
        <w:rPr>
          <w:rFonts w:cs="Times New Roman"/>
        </w:rPr>
        <w:t>) is relevant only to the case of S</w:t>
      </w:r>
      <w:r w:rsidR="002626A4">
        <w:rPr>
          <w:rFonts w:cs="Times New Roman"/>
        </w:rPr>
        <w:t>ergeant</w:t>
      </w:r>
      <w:r w:rsidRPr="000E3A43">
        <w:rPr>
          <w:rFonts w:cs="Times New Roman"/>
        </w:rPr>
        <w:t xml:space="preserve"> Arsenault. He was found guilty of fraud contrary to ss</w:t>
      </w:r>
      <w:r>
        <w:rPr>
          <w:rFonts w:cs="Times New Roman"/>
        </w:rPr>
        <w:t xml:space="preserve">. </w:t>
      </w:r>
      <w:r w:rsidRPr="000E3A43">
        <w:rPr>
          <w:rFonts w:cs="Times New Roman"/>
        </w:rPr>
        <w:t>130(1</w:t>
      </w:r>
      <w:proofErr w:type="gramStart"/>
      <w:r w:rsidRPr="000E3A43">
        <w:rPr>
          <w:rFonts w:cs="Times New Roman"/>
        </w:rPr>
        <w:t>)(</w:t>
      </w:r>
      <w:proofErr w:type="gramEnd"/>
      <w:r w:rsidRPr="000E3A43">
        <w:rPr>
          <w:rFonts w:cs="Times New Roman"/>
          <w:i/>
        </w:rPr>
        <w:t>a</w:t>
      </w:r>
      <w:r w:rsidRPr="000E3A43">
        <w:rPr>
          <w:rFonts w:cs="Times New Roman"/>
        </w:rPr>
        <w:t>) and</w:t>
      </w:r>
      <w:r>
        <w:rPr>
          <w:rFonts w:cs="Times New Roman"/>
        </w:rPr>
        <w:t xml:space="preserve"> </w:t>
      </w:r>
      <w:r w:rsidRPr="000E3A43">
        <w:rPr>
          <w:rFonts w:cs="Times New Roman"/>
        </w:rPr>
        <w:t>125</w:t>
      </w:r>
      <w:r>
        <w:rPr>
          <w:rFonts w:cs="Times New Roman"/>
        </w:rPr>
        <w:t>(</w:t>
      </w:r>
      <w:r w:rsidRPr="00221168">
        <w:rPr>
          <w:rFonts w:cs="Times New Roman"/>
          <w:i/>
        </w:rPr>
        <w:t>a</w:t>
      </w:r>
      <w:r>
        <w:rPr>
          <w:rFonts w:cs="Times New Roman"/>
        </w:rPr>
        <w:t>)</w:t>
      </w:r>
      <w:r w:rsidRPr="000E3A43">
        <w:rPr>
          <w:rFonts w:cs="Times New Roman"/>
        </w:rPr>
        <w:t xml:space="preserve"> of the </w:t>
      </w:r>
      <w:r w:rsidRPr="000E3A43">
        <w:rPr>
          <w:rFonts w:cs="Times New Roman"/>
          <w:i/>
        </w:rPr>
        <w:t>NDA</w:t>
      </w:r>
      <w:r w:rsidRPr="000E3A43">
        <w:rPr>
          <w:rFonts w:cs="Times New Roman"/>
        </w:rPr>
        <w:t xml:space="preserve"> for wilfully making a false statement in an official document signed by him.  He was also c</w:t>
      </w:r>
      <w:r>
        <w:rPr>
          <w:rFonts w:cs="Times New Roman"/>
        </w:rPr>
        <w:t xml:space="preserve">harged with two counts under s. </w:t>
      </w:r>
      <w:r w:rsidRPr="000E3A43">
        <w:rPr>
          <w:rFonts w:cs="Times New Roman"/>
        </w:rPr>
        <w:t>117(</w:t>
      </w:r>
      <w:r w:rsidRPr="000E3A43">
        <w:rPr>
          <w:rFonts w:cs="Times New Roman"/>
          <w:i/>
        </w:rPr>
        <w:t>f</w:t>
      </w:r>
      <w:r w:rsidRPr="000E3A43">
        <w:rPr>
          <w:rFonts w:cs="Times New Roman"/>
        </w:rPr>
        <w:t xml:space="preserve">) of the </w:t>
      </w:r>
      <w:r w:rsidRPr="000E3A43">
        <w:rPr>
          <w:rFonts w:cs="Times New Roman"/>
          <w:i/>
        </w:rPr>
        <w:t>NDA</w:t>
      </w:r>
      <w:r w:rsidRPr="000E3A43">
        <w:rPr>
          <w:rFonts w:cs="Times New Roman"/>
        </w:rPr>
        <w:t xml:space="preserve"> for having committed fraud</w:t>
      </w:r>
      <w:r>
        <w:rPr>
          <w:rFonts w:cs="Times New Roman"/>
        </w:rPr>
        <w:t xml:space="preserve">ulent acts not specified in ss. </w:t>
      </w:r>
      <w:r w:rsidRPr="000E3A43">
        <w:rPr>
          <w:rFonts w:cs="Times New Roman"/>
        </w:rPr>
        <w:t xml:space="preserve">73 to 128 of the </w:t>
      </w:r>
      <w:r w:rsidRPr="000E3A43">
        <w:rPr>
          <w:rFonts w:cs="Times New Roman"/>
          <w:i/>
        </w:rPr>
        <w:t>NDA</w:t>
      </w:r>
      <w:r w:rsidRPr="000E3A43">
        <w:rPr>
          <w:rFonts w:cs="Times New Roman"/>
        </w:rPr>
        <w:t>.  The latter counts were alternative charges and, in light of the convictions entered, were conditionall</w:t>
      </w:r>
      <w:r>
        <w:rPr>
          <w:rFonts w:cs="Times New Roman"/>
        </w:rPr>
        <w:t>y stayed by the military judge.</w:t>
      </w:r>
    </w:p>
    <w:p w:rsidR="006977A9" w:rsidRPr="000E3A43" w:rsidRDefault="006977A9" w:rsidP="009B303A">
      <w:pPr>
        <w:pStyle w:val="ParaNoNdepar-AltN"/>
        <w:widowControl w:val="0"/>
        <w:rPr>
          <w:rFonts w:cs="Times New Roman"/>
        </w:rPr>
      </w:pPr>
      <w:r w:rsidRPr="000E3A43">
        <w:rPr>
          <w:rFonts w:cs="Times New Roman"/>
        </w:rPr>
        <w:t xml:space="preserve">All the appellants except </w:t>
      </w:r>
      <w:r>
        <w:rPr>
          <w:rFonts w:cs="Times New Roman"/>
        </w:rPr>
        <w:t xml:space="preserve">Private </w:t>
      </w:r>
      <w:proofErr w:type="spellStart"/>
      <w:r>
        <w:rPr>
          <w:rFonts w:cs="Times New Roman"/>
        </w:rPr>
        <w:t>Vezina</w:t>
      </w:r>
      <w:proofErr w:type="spellEnd"/>
      <w:r w:rsidRPr="000E3A43">
        <w:rPr>
          <w:rFonts w:cs="Times New Roman"/>
        </w:rPr>
        <w:t xml:space="preserve"> argued at first instance that </w:t>
      </w:r>
      <w:r w:rsidRPr="000E3A43">
        <w:rPr>
          <w:rFonts w:cs="Times New Roman"/>
        </w:rPr>
        <w:lastRenderedPageBreak/>
        <w:t>s. 130(1</w:t>
      </w:r>
      <w:proofErr w:type="gramStart"/>
      <w:r w:rsidRPr="000E3A43">
        <w:rPr>
          <w:rFonts w:cs="Times New Roman"/>
        </w:rPr>
        <w:t>)(</w:t>
      </w:r>
      <w:proofErr w:type="gramEnd"/>
      <w:r w:rsidRPr="000E3A43">
        <w:rPr>
          <w:rFonts w:cs="Times New Roman"/>
          <w:i/>
        </w:rPr>
        <w:t>a</w:t>
      </w:r>
      <w:r w:rsidRPr="000E3A43">
        <w:rPr>
          <w:rFonts w:cs="Times New Roman"/>
        </w:rPr>
        <w:t xml:space="preserve">) violated s. 7 of the </w:t>
      </w:r>
      <w:r w:rsidRPr="000E3A43">
        <w:rPr>
          <w:rFonts w:cs="Times New Roman"/>
          <w:i/>
        </w:rPr>
        <w:t>Charter</w:t>
      </w:r>
      <w:r w:rsidRPr="000E3A43">
        <w:rPr>
          <w:rFonts w:cs="Times New Roman"/>
        </w:rPr>
        <w:t>.  In each case, the military judge held that this provision was constitutional.</w:t>
      </w:r>
    </w:p>
    <w:p w:rsidR="006977A9" w:rsidRPr="000E3A43" w:rsidRDefault="006977A9" w:rsidP="009B303A">
      <w:pPr>
        <w:pStyle w:val="ParaNoNdepar-AltN"/>
        <w:widowControl w:val="0"/>
        <w:rPr>
          <w:rFonts w:cs="Times New Roman"/>
        </w:rPr>
      </w:pPr>
      <w:r w:rsidRPr="000E3A43">
        <w:rPr>
          <w:rFonts w:cs="Times New Roman"/>
        </w:rPr>
        <w:t xml:space="preserve">Second Lieutenant </w:t>
      </w:r>
      <w:proofErr w:type="spellStart"/>
      <w:r w:rsidRPr="000E3A43">
        <w:rPr>
          <w:rFonts w:cs="Times New Roman"/>
        </w:rPr>
        <w:t>Moriarity</w:t>
      </w:r>
      <w:proofErr w:type="spellEnd"/>
      <w:r w:rsidRPr="000E3A43">
        <w:rPr>
          <w:rFonts w:cs="Times New Roman"/>
        </w:rPr>
        <w:t xml:space="preserve"> and Private Hannah appealed unsuccessfully to the CMAC</w:t>
      </w:r>
      <w:r w:rsidR="002626A4">
        <w:rPr>
          <w:rFonts w:cs="Times New Roman"/>
        </w:rPr>
        <w:t>: 2014 CMAC 1, 455 N.R. 59 (“</w:t>
      </w:r>
      <w:proofErr w:type="spellStart"/>
      <w:r w:rsidR="002626A4" w:rsidRPr="002626A4">
        <w:rPr>
          <w:rFonts w:cs="Times New Roman"/>
          <w:i/>
        </w:rPr>
        <w:t>Moriarity</w:t>
      </w:r>
      <w:proofErr w:type="spellEnd"/>
      <w:r w:rsidR="002626A4">
        <w:rPr>
          <w:rFonts w:cs="Times New Roman"/>
        </w:rPr>
        <w:t>”)</w:t>
      </w:r>
      <w:r w:rsidRPr="000E3A43">
        <w:rPr>
          <w:rFonts w:cs="Times New Roman"/>
        </w:rPr>
        <w:t xml:space="preserve">.  </w:t>
      </w:r>
      <w:r>
        <w:rPr>
          <w:rFonts w:cs="Times New Roman"/>
        </w:rPr>
        <w:t>On behalf of the c</w:t>
      </w:r>
      <w:r w:rsidRPr="000E3A43">
        <w:rPr>
          <w:rFonts w:cs="Times New Roman"/>
        </w:rPr>
        <w:t xml:space="preserve">ourt, Blanchard C.J. </w:t>
      </w:r>
      <w:r>
        <w:rPr>
          <w:rFonts w:cs="Times New Roman"/>
        </w:rPr>
        <w:t>held that</w:t>
      </w:r>
      <w:r w:rsidRPr="000E3A43">
        <w:rPr>
          <w:rFonts w:cs="Times New Roman"/>
        </w:rPr>
        <w:t xml:space="preserve"> s.</w:t>
      </w:r>
      <w:r>
        <w:rPr>
          <w:rFonts w:cs="Times New Roman"/>
        </w:rPr>
        <w:t xml:space="preserve"> </w:t>
      </w:r>
      <w:r w:rsidRPr="000E3A43">
        <w:rPr>
          <w:rFonts w:cs="Times New Roman"/>
        </w:rPr>
        <w:t>130(1</w:t>
      </w:r>
      <w:proofErr w:type="gramStart"/>
      <w:r w:rsidRPr="000E3A43">
        <w:rPr>
          <w:rFonts w:cs="Times New Roman"/>
        </w:rPr>
        <w:t>)(</w:t>
      </w:r>
      <w:proofErr w:type="gramEnd"/>
      <w:r w:rsidRPr="000E3A43">
        <w:rPr>
          <w:rFonts w:cs="Times New Roman"/>
          <w:i/>
        </w:rPr>
        <w:t>a</w:t>
      </w:r>
      <w:r w:rsidRPr="000E3A43">
        <w:rPr>
          <w:rFonts w:cs="Times New Roman"/>
        </w:rPr>
        <w:t>) engages the liberty interest.  In his view the purpose of s. 130(1)(</w:t>
      </w:r>
      <w:r w:rsidRPr="000E3A43">
        <w:rPr>
          <w:rFonts w:cs="Times New Roman"/>
          <w:i/>
        </w:rPr>
        <w:t>a</w:t>
      </w:r>
      <w:r w:rsidRPr="000E3A43">
        <w:rPr>
          <w:rFonts w:cs="Times New Roman"/>
        </w:rPr>
        <w:t xml:space="preserve">) and of the </w:t>
      </w:r>
      <w:r w:rsidRPr="00FD7525">
        <w:rPr>
          <w:rFonts w:cs="Times New Roman"/>
        </w:rPr>
        <w:t>CSD</w:t>
      </w:r>
      <w:r w:rsidRPr="000E3A43">
        <w:rPr>
          <w:rFonts w:cs="Times New Roman"/>
        </w:rPr>
        <w:t xml:space="preserve"> as a whole is to allow the military justice system to deal with matters that pertain directly to discipline, effici</w:t>
      </w:r>
      <w:r>
        <w:rPr>
          <w:rFonts w:cs="Times New Roman"/>
        </w:rPr>
        <w:t xml:space="preserve">ency and morale of the military. </w:t>
      </w:r>
      <w:r w:rsidRPr="000E3A43">
        <w:rPr>
          <w:rFonts w:cs="Times New Roman"/>
        </w:rPr>
        <w:t>When read in isolation, the scope of s. 130(1</w:t>
      </w:r>
      <w:proofErr w:type="gramStart"/>
      <w:r w:rsidRPr="000E3A43">
        <w:rPr>
          <w:rFonts w:cs="Times New Roman"/>
        </w:rPr>
        <w:t>)(</w:t>
      </w:r>
      <w:proofErr w:type="gramEnd"/>
      <w:r w:rsidRPr="000E3A43">
        <w:rPr>
          <w:rFonts w:cs="Times New Roman"/>
          <w:i/>
        </w:rPr>
        <w:t>a</w:t>
      </w:r>
      <w:r w:rsidRPr="000E3A43">
        <w:rPr>
          <w:rFonts w:cs="Times New Roman"/>
        </w:rPr>
        <w:t>), in his view, appears to be very broad and could potentially violate s. 7 by including offence</w:t>
      </w:r>
      <w:r>
        <w:rPr>
          <w:rFonts w:cs="Times New Roman"/>
        </w:rPr>
        <w:t xml:space="preserve">s that fall outside its purpose. </w:t>
      </w:r>
      <w:r w:rsidRPr="000E3A43">
        <w:rPr>
          <w:rFonts w:cs="Times New Roman"/>
        </w:rPr>
        <w:t>However, in his view, s. 130(1)(</w:t>
      </w:r>
      <w:r w:rsidRPr="000E3A43">
        <w:rPr>
          <w:rFonts w:cs="Times New Roman"/>
          <w:i/>
        </w:rPr>
        <w:t>a</w:t>
      </w:r>
      <w:r w:rsidRPr="000E3A43">
        <w:rPr>
          <w:rFonts w:cs="Times New Roman"/>
        </w:rPr>
        <w:t>) has to be interpreted as being limited by a military nexus requirement to ensure that military courts do not have authority over public offences la</w:t>
      </w:r>
      <w:r>
        <w:rPr>
          <w:rFonts w:cs="Times New Roman"/>
        </w:rPr>
        <w:t xml:space="preserve">cking clear military connection.  </w:t>
      </w:r>
      <w:r w:rsidRPr="000E3A43">
        <w:rPr>
          <w:rFonts w:cs="Times New Roman"/>
        </w:rPr>
        <w:t>It followed that, properly interpreted as requiring a military nexus, s. 130(1</w:t>
      </w:r>
      <w:proofErr w:type="gramStart"/>
      <w:r w:rsidRPr="000E3A43">
        <w:rPr>
          <w:rFonts w:cs="Times New Roman"/>
        </w:rPr>
        <w:t>)(</w:t>
      </w:r>
      <w:proofErr w:type="gramEnd"/>
      <w:r w:rsidRPr="000E3A43">
        <w:rPr>
          <w:rFonts w:cs="Times New Roman"/>
          <w:i/>
        </w:rPr>
        <w:t>a</w:t>
      </w:r>
      <w:r w:rsidRPr="000E3A43">
        <w:rPr>
          <w:rFonts w:cs="Times New Roman"/>
        </w:rPr>
        <w:t>) is not overbroad.</w:t>
      </w:r>
    </w:p>
    <w:p w:rsidR="006977A9" w:rsidRPr="000E3A43" w:rsidRDefault="006977A9" w:rsidP="009B303A">
      <w:pPr>
        <w:pStyle w:val="ParaNoNdepar-AltN"/>
        <w:widowControl w:val="0"/>
        <w:rPr>
          <w:rFonts w:cs="Times New Roman"/>
        </w:rPr>
      </w:pPr>
      <w:r w:rsidRPr="000E3A43">
        <w:rPr>
          <w:rFonts w:cs="Times New Roman"/>
        </w:rPr>
        <w:t xml:space="preserve">Private </w:t>
      </w:r>
      <w:proofErr w:type="spellStart"/>
      <w:r w:rsidRPr="000E3A43">
        <w:rPr>
          <w:rFonts w:cs="Times New Roman"/>
        </w:rPr>
        <w:t>Vezina</w:t>
      </w:r>
      <w:proofErr w:type="spellEnd"/>
      <w:r w:rsidRPr="000E3A43">
        <w:rPr>
          <w:rFonts w:cs="Times New Roman"/>
        </w:rPr>
        <w:t xml:space="preserve"> also raised t</w:t>
      </w:r>
      <w:r>
        <w:rPr>
          <w:rFonts w:cs="Times New Roman"/>
        </w:rPr>
        <w:t xml:space="preserve">he s. </w:t>
      </w:r>
      <w:r w:rsidRPr="000E3A43">
        <w:rPr>
          <w:rFonts w:cs="Times New Roman"/>
        </w:rPr>
        <w:t xml:space="preserve">7 overbreadth argument before the CMAC but the argument was dismissed relying on the decision in </w:t>
      </w:r>
      <w:proofErr w:type="spellStart"/>
      <w:r w:rsidRPr="000E3A43">
        <w:rPr>
          <w:rFonts w:cs="Times New Roman"/>
          <w:i/>
        </w:rPr>
        <w:t>Moriarity</w:t>
      </w:r>
      <w:proofErr w:type="spellEnd"/>
      <w:r w:rsidR="002626A4">
        <w:rPr>
          <w:rFonts w:cs="Times New Roman"/>
        </w:rPr>
        <w:t>: 2014 CMAC 3, 461 N.R. 286</w:t>
      </w:r>
      <w:r w:rsidRPr="000E3A43">
        <w:rPr>
          <w:rFonts w:cs="Times New Roman"/>
          <w:i/>
        </w:rPr>
        <w:t>.</w:t>
      </w:r>
    </w:p>
    <w:p w:rsidR="006977A9" w:rsidRPr="000E3A43" w:rsidRDefault="006977A9" w:rsidP="009B303A">
      <w:pPr>
        <w:pStyle w:val="ParaNoNdepar-AltN"/>
        <w:widowControl w:val="0"/>
        <w:rPr>
          <w:rFonts w:cs="Times New Roman"/>
        </w:rPr>
      </w:pPr>
      <w:r w:rsidRPr="000E3A43">
        <w:rPr>
          <w:rFonts w:cs="Times New Roman"/>
        </w:rPr>
        <w:t>On appeal to the CMAC, S</w:t>
      </w:r>
      <w:r w:rsidR="002626A4">
        <w:rPr>
          <w:rFonts w:cs="Times New Roman"/>
        </w:rPr>
        <w:t>ergeant</w:t>
      </w:r>
      <w:r w:rsidRPr="000E3A43">
        <w:rPr>
          <w:rFonts w:cs="Times New Roman"/>
        </w:rPr>
        <w:t xml:space="preserve"> Arsenault also argued that s. 130(1</w:t>
      </w:r>
      <w:proofErr w:type="gramStart"/>
      <w:r w:rsidRPr="000E3A43">
        <w:rPr>
          <w:rFonts w:cs="Times New Roman"/>
        </w:rPr>
        <w:t>)(</w:t>
      </w:r>
      <w:proofErr w:type="gramEnd"/>
      <w:r w:rsidRPr="000E3A43">
        <w:rPr>
          <w:rFonts w:cs="Times New Roman"/>
          <w:i/>
        </w:rPr>
        <w:t>a</w:t>
      </w:r>
      <w:r w:rsidRPr="000E3A43">
        <w:rPr>
          <w:rFonts w:cs="Times New Roman"/>
        </w:rPr>
        <w:t>) violates s. 7.  In addition, he raised a similar argument with respect to s. 117(</w:t>
      </w:r>
      <w:r w:rsidRPr="000E3A43">
        <w:rPr>
          <w:rFonts w:cs="Times New Roman"/>
          <w:i/>
        </w:rPr>
        <w:t>f</w:t>
      </w:r>
      <w:r w:rsidRPr="000E3A43">
        <w:rPr>
          <w:rFonts w:cs="Times New Roman"/>
        </w:rPr>
        <w:t xml:space="preserve">) of the </w:t>
      </w:r>
      <w:r w:rsidRPr="000E3A43">
        <w:rPr>
          <w:rFonts w:cs="Times New Roman"/>
          <w:i/>
        </w:rPr>
        <w:t>NDA</w:t>
      </w:r>
      <w:r w:rsidRPr="000E3A43">
        <w:rPr>
          <w:rFonts w:cs="Times New Roman"/>
        </w:rPr>
        <w:t xml:space="preserve">.  The CMAC unanimously rejected the s. 7 argument holding that </w:t>
      </w:r>
      <w:proofErr w:type="spellStart"/>
      <w:r w:rsidRPr="000E3A43">
        <w:rPr>
          <w:rFonts w:cs="Times New Roman"/>
          <w:i/>
        </w:rPr>
        <w:t>Moriarity</w:t>
      </w:r>
      <w:proofErr w:type="spellEnd"/>
      <w:r w:rsidRPr="000E3A43">
        <w:rPr>
          <w:rFonts w:cs="Times New Roman"/>
        </w:rPr>
        <w:t xml:space="preserve"> was binding precedent with respect to </w:t>
      </w:r>
      <w:r>
        <w:rPr>
          <w:rFonts w:cs="Times New Roman"/>
        </w:rPr>
        <w:t>s. 130(1)(</w:t>
      </w:r>
      <w:r w:rsidRPr="00DE0B0F">
        <w:rPr>
          <w:rFonts w:cs="Times New Roman"/>
          <w:i/>
        </w:rPr>
        <w:t>a</w:t>
      </w:r>
      <w:r>
        <w:rPr>
          <w:rFonts w:cs="Times New Roman"/>
        </w:rPr>
        <w:t>) and that the challenge to s.</w:t>
      </w:r>
      <w:r w:rsidR="002A091D">
        <w:rPr>
          <w:rFonts w:cs="Times New Roman"/>
        </w:rPr>
        <w:t xml:space="preserve"> </w:t>
      </w:r>
      <w:r>
        <w:rPr>
          <w:rFonts w:cs="Times New Roman"/>
        </w:rPr>
        <w:t>117(</w:t>
      </w:r>
      <w:r w:rsidRPr="00DE0B0F">
        <w:rPr>
          <w:rFonts w:cs="Times New Roman"/>
          <w:i/>
        </w:rPr>
        <w:t>f</w:t>
      </w:r>
      <w:r>
        <w:rPr>
          <w:rFonts w:cs="Times New Roman"/>
        </w:rPr>
        <w:t>) was moot: 2014 CMAC 8, 466 N.R. 2.</w:t>
      </w:r>
    </w:p>
    <w:p w:rsidR="006977A9" w:rsidRPr="000E3A43" w:rsidRDefault="006977A9" w:rsidP="009B303A">
      <w:pPr>
        <w:pStyle w:val="ParaNoNdepar-AltN"/>
        <w:widowControl w:val="0"/>
        <w:rPr>
          <w:rFonts w:cs="Times New Roman"/>
        </w:rPr>
      </w:pPr>
      <w:r w:rsidRPr="000E3A43">
        <w:rPr>
          <w:rFonts w:cs="Times New Roman"/>
        </w:rPr>
        <w:lastRenderedPageBreak/>
        <w:t xml:space="preserve">The four appellants now appeal to this Court raising the issue of whether </w:t>
      </w:r>
      <w:r>
        <w:rPr>
          <w:rFonts w:cs="Times New Roman"/>
        </w:rPr>
        <w:t>s</w:t>
      </w:r>
      <w:r w:rsidRPr="000E3A43">
        <w:rPr>
          <w:rFonts w:cs="Times New Roman"/>
        </w:rPr>
        <w:t>s. 130(1)(</w:t>
      </w:r>
      <w:r w:rsidRPr="000E3A43">
        <w:rPr>
          <w:rFonts w:cs="Times New Roman"/>
          <w:i/>
        </w:rPr>
        <w:t>a</w:t>
      </w:r>
      <w:r w:rsidRPr="000E3A43">
        <w:rPr>
          <w:rFonts w:cs="Times New Roman"/>
        </w:rPr>
        <w:t>) and 117(</w:t>
      </w:r>
      <w:r w:rsidRPr="000E3A43">
        <w:rPr>
          <w:rFonts w:cs="Times New Roman"/>
          <w:i/>
        </w:rPr>
        <w:t>f</w:t>
      </w:r>
      <w:r w:rsidRPr="000E3A43">
        <w:rPr>
          <w:rFonts w:cs="Times New Roman"/>
        </w:rPr>
        <w:t xml:space="preserve">) of the </w:t>
      </w:r>
      <w:r w:rsidRPr="000E3A43">
        <w:rPr>
          <w:rFonts w:cs="Times New Roman"/>
          <w:i/>
        </w:rPr>
        <w:t>NDA</w:t>
      </w:r>
      <w:r w:rsidRPr="000E3A43">
        <w:rPr>
          <w:rFonts w:cs="Times New Roman"/>
        </w:rPr>
        <w:t xml:space="preserve"> infringe s. 7 of the </w:t>
      </w:r>
      <w:r w:rsidRPr="000E3A43">
        <w:rPr>
          <w:rFonts w:cs="Times New Roman"/>
          <w:i/>
        </w:rPr>
        <w:t>Charter</w:t>
      </w:r>
      <w:r w:rsidRPr="000E3A43">
        <w:rPr>
          <w:rFonts w:cs="Times New Roman"/>
        </w:rPr>
        <w:t xml:space="preserve"> because they create service offences that do not directly pertain to military discipline, efficiency and morale, and thus are overbroad.</w:t>
      </w:r>
    </w:p>
    <w:p w:rsidR="006977A9" w:rsidRPr="000E3A43" w:rsidRDefault="006977A9" w:rsidP="009B303A">
      <w:pPr>
        <w:pStyle w:val="Title1LevelTitre1Niveau-AltL"/>
        <w:widowControl w:val="0"/>
        <w:rPr>
          <w:rFonts w:cs="Times New Roman"/>
        </w:rPr>
      </w:pPr>
      <w:r w:rsidRPr="000E3A43">
        <w:rPr>
          <w:rFonts w:cs="Times New Roman"/>
        </w:rPr>
        <w:t>Analysis</w:t>
      </w:r>
    </w:p>
    <w:p w:rsidR="006977A9" w:rsidRPr="000E3A43" w:rsidRDefault="006977A9" w:rsidP="009B303A">
      <w:pPr>
        <w:pStyle w:val="Title2LevelTitre2Niveau"/>
        <w:widowControl w:val="0"/>
        <w:rPr>
          <w:rFonts w:cs="Times New Roman"/>
        </w:rPr>
      </w:pPr>
      <w:r w:rsidRPr="000E3A43">
        <w:rPr>
          <w:rFonts w:cs="Times New Roman"/>
        </w:rPr>
        <w:t>Introduction</w:t>
      </w:r>
    </w:p>
    <w:p w:rsidR="006977A9" w:rsidRPr="000E3A43" w:rsidRDefault="006977A9" w:rsidP="009B303A">
      <w:pPr>
        <w:pStyle w:val="ParaNoNdepar-AltN"/>
        <w:widowControl w:val="0"/>
        <w:tabs>
          <w:tab w:val="clear" w:pos="1152"/>
          <w:tab w:val="left" w:pos="1166"/>
        </w:tabs>
        <w:rPr>
          <w:rFonts w:cs="Times New Roman"/>
        </w:rPr>
      </w:pPr>
      <w:bookmarkStart w:id="1" w:name="OLE_LINK1"/>
      <w:bookmarkStart w:id="2" w:name="OLE_LINK2"/>
      <w:r w:rsidRPr="000E3A43">
        <w:rPr>
          <w:rFonts w:cs="Times New Roman"/>
        </w:rPr>
        <w:t xml:space="preserve">The appellants’ </w:t>
      </w:r>
      <w:r w:rsidRPr="000E3A43">
        <w:rPr>
          <w:rFonts w:cs="Times New Roman"/>
          <w:i/>
        </w:rPr>
        <w:t xml:space="preserve">Charter </w:t>
      </w:r>
      <w:r w:rsidRPr="000E3A43">
        <w:rPr>
          <w:rFonts w:cs="Times New Roman"/>
        </w:rPr>
        <w:t>challenge is based solely on their contention that ss. 130(1</w:t>
      </w:r>
      <w:proofErr w:type="gramStart"/>
      <w:r w:rsidRPr="000E3A43">
        <w:rPr>
          <w:rFonts w:cs="Times New Roman"/>
        </w:rPr>
        <w:t>)(</w:t>
      </w:r>
      <w:proofErr w:type="gramEnd"/>
      <w:r w:rsidRPr="000E3A43">
        <w:rPr>
          <w:rFonts w:cs="Times New Roman"/>
          <w:i/>
        </w:rPr>
        <w:t>a</w:t>
      </w:r>
      <w:r w:rsidRPr="000E3A43">
        <w:rPr>
          <w:rFonts w:cs="Times New Roman"/>
        </w:rPr>
        <w:t>) and 117(</w:t>
      </w:r>
      <w:r w:rsidRPr="000E3A43">
        <w:rPr>
          <w:rFonts w:cs="Times New Roman"/>
          <w:i/>
        </w:rPr>
        <w:t>f</w:t>
      </w:r>
      <w:r w:rsidRPr="000E3A43">
        <w:rPr>
          <w:rFonts w:cs="Times New Roman"/>
        </w:rPr>
        <w:t xml:space="preserve">) of the </w:t>
      </w:r>
      <w:r w:rsidRPr="000E3A43">
        <w:rPr>
          <w:rFonts w:cs="Times New Roman"/>
          <w:i/>
        </w:rPr>
        <w:t>NDA</w:t>
      </w:r>
      <w:r w:rsidRPr="000E3A43">
        <w:rPr>
          <w:rFonts w:cs="Times New Roman"/>
        </w:rPr>
        <w:t xml:space="preserve"> restrain liberty in a manner that is overbroad and therefore violate s. 7 of the </w:t>
      </w:r>
      <w:r w:rsidRPr="000E3A43">
        <w:rPr>
          <w:rFonts w:cs="Times New Roman"/>
          <w:i/>
        </w:rPr>
        <w:t>Charter</w:t>
      </w:r>
      <w:r w:rsidRPr="000E3A43">
        <w:rPr>
          <w:rFonts w:cs="Times New Roman"/>
        </w:rPr>
        <w:t>. To succeed in this challenge, they must show, first</w:t>
      </w:r>
      <w:r>
        <w:rPr>
          <w:rFonts w:cs="Times New Roman"/>
        </w:rPr>
        <w:t>,</w:t>
      </w:r>
      <w:r w:rsidRPr="000E3A43">
        <w:rPr>
          <w:rFonts w:cs="Times New Roman"/>
        </w:rPr>
        <w:t xml:space="preserve"> that the provisions engage the liberty interest of those subject to them and, second, that they put liberty at risk in a way that is not connected to their purpose.</w:t>
      </w:r>
    </w:p>
    <w:p w:rsidR="006977A9" w:rsidRPr="000E3A43" w:rsidRDefault="006977A9" w:rsidP="009B303A">
      <w:pPr>
        <w:pStyle w:val="Title2LevelTitre2Niveau"/>
        <w:widowControl w:val="0"/>
        <w:rPr>
          <w:rFonts w:cs="Times New Roman"/>
        </w:rPr>
      </w:pPr>
      <w:r w:rsidRPr="000E3A43">
        <w:rPr>
          <w:rFonts w:cs="Times New Roman"/>
        </w:rPr>
        <w:t xml:space="preserve">The </w:t>
      </w:r>
      <w:r>
        <w:rPr>
          <w:rFonts w:cs="Times New Roman"/>
        </w:rPr>
        <w:t>L</w:t>
      </w:r>
      <w:r w:rsidRPr="000E3A43">
        <w:rPr>
          <w:rFonts w:cs="Times New Roman"/>
        </w:rPr>
        <w:t xml:space="preserve">iberty </w:t>
      </w:r>
      <w:r>
        <w:rPr>
          <w:rFonts w:cs="Times New Roman"/>
        </w:rPr>
        <w:t>I</w:t>
      </w:r>
      <w:r w:rsidRPr="000E3A43">
        <w:rPr>
          <w:rFonts w:cs="Times New Roman"/>
        </w:rPr>
        <w:t xml:space="preserve">nterest </w:t>
      </w:r>
      <w:r>
        <w:rPr>
          <w:rFonts w:cs="Times New Roman"/>
        </w:rPr>
        <w:t>I</w:t>
      </w:r>
      <w:r w:rsidRPr="000E3A43">
        <w:rPr>
          <w:rFonts w:cs="Times New Roman"/>
        </w:rPr>
        <w:t xml:space="preserve">s </w:t>
      </w:r>
      <w:r>
        <w:rPr>
          <w:rFonts w:cs="Times New Roman"/>
        </w:rPr>
        <w:t>E</w:t>
      </w:r>
      <w:r w:rsidRPr="000E3A43">
        <w:rPr>
          <w:rFonts w:cs="Times New Roman"/>
        </w:rPr>
        <w:t xml:space="preserve">ngaged </w:t>
      </w:r>
      <w:r>
        <w:rPr>
          <w:rFonts w:cs="Times New Roman"/>
        </w:rPr>
        <w:t>by t</w:t>
      </w:r>
      <w:r w:rsidRPr="000E3A43">
        <w:rPr>
          <w:rFonts w:cs="Times New Roman"/>
        </w:rPr>
        <w:t xml:space="preserve">he </w:t>
      </w:r>
      <w:r>
        <w:rPr>
          <w:rFonts w:cs="Times New Roman"/>
        </w:rPr>
        <w:t>R</w:t>
      </w:r>
      <w:r w:rsidRPr="000E3A43">
        <w:rPr>
          <w:rFonts w:cs="Times New Roman"/>
        </w:rPr>
        <w:t xml:space="preserve">isk of </w:t>
      </w:r>
      <w:r>
        <w:rPr>
          <w:rFonts w:cs="Times New Roman"/>
        </w:rPr>
        <w:t>P</w:t>
      </w:r>
      <w:r w:rsidRPr="000E3A43">
        <w:rPr>
          <w:rFonts w:cs="Times New Roman"/>
        </w:rPr>
        <w:t>unishment</w:t>
      </w:r>
    </w:p>
    <w:p w:rsidR="006977A9" w:rsidRPr="000E3A43" w:rsidRDefault="006977A9" w:rsidP="009B303A">
      <w:pPr>
        <w:pStyle w:val="ParaNoNdepar-AltN"/>
        <w:widowControl w:val="0"/>
        <w:rPr>
          <w:rFonts w:cs="Times New Roman"/>
        </w:rPr>
      </w:pPr>
      <w:r w:rsidRPr="000E3A43">
        <w:rPr>
          <w:rFonts w:cs="Times New Roman"/>
        </w:rPr>
        <w:t>There is no dispute that s. 117(</w:t>
      </w:r>
      <w:r w:rsidRPr="000E3A43">
        <w:rPr>
          <w:rFonts w:cs="Times New Roman"/>
          <w:i/>
        </w:rPr>
        <w:t>f</w:t>
      </w:r>
      <w:r w:rsidRPr="000E3A43">
        <w:rPr>
          <w:rFonts w:cs="Times New Roman"/>
        </w:rPr>
        <w:t>) engages the liberty interest: it creates a service offence punishable by imprisonment. Although the respondent submitted that s. 130(1</w:t>
      </w:r>
      <w:proofErr w:type="gramStart"/>
      <w:r w:rsidRPr="000E3A43">
        <w:rPr>
          <w:rFonts w:cs="Times New Roman"/>
        </w:rPr>
        <w:t>)(</w:t>
      </w:r>
      <w:proofErr w:type="gramEnd"/>
      <w:r w:rsidRPr="000E3A43">
        <w:rPr>
          <w:rFonts w:cs="Times New Roman"/>
          <w:i/>
        </w:rPr>
        <w:t>a</w:t>
      </w:r>
      <w:r w:rsidRPr="000E3A43">
        <w:rPr>
          <w:rFonts w:cs="Times New Roman"/>
        </w:rPr>
        <w:t>) does not engage the liberty interest, I respectfully disagree.  I accept that s. 130(1</w:t>
      </w:r>
      <w:proofErr w:type="gramStart"/>
      <w:r w:rsidRPr="000E3A43">
        <w:rPr>
          <w:rFonts w:cs="Times New Roman"/>
        </w:rPr>
        <w:t>)(</w:t>
      </w:r>
      <w:proofErr w:type="gramEnd"/>
      <w:r w:rsidRPr="000E3A43">
        <w:rPr>
          <w:rFonts w:cs="Times New Roman"/>
          <w:i/>
        </w:rPr>
        <w:t>a</w:t>
      </w:r>
      <w:r w:rsidRPr="000E3A43">
        <w:rPr>
          <w:rFonts w:cs="Times New Roman"/>
        </w:rPr>
        <w:t>) incorporates offences by reference and, by doing so, does not change the essential elements of the underlying federal offences.  However, in my view, the fact that s. 130(1</w:t>
      </w:r>
      <w:proofErr w:type="gramStart"/>
      <w:r w:rsidRPr="000E3A43">
        <w:rPr>
          <w:rFonts w:cs="Times New Roman"/>
        </w:rPr>
        <w:t>)(</w:t>
      </w:r>
      <w:proofErr w:type="gramEnd"/>
      <w:r w:rsidRPr="000E3A43">
        <w:rPr>
          <w:rFonts w:cs="Times New Roman"/>
          <w:i/>
        </w:rPr>
        <w:t>a</w:t>
      </w:r>
      <w:r w:rsidRPr="000E3A43">
        <w:rPr>
          <w:rFonts w:cs="Times New Roman"/>
        </w:rPr>
        <w:t xml:space="preserve">) </w:t>
      </w:r>
      <w:r>
        <w:rPr>
          <w:rFonts w:cs="Times New Roman"/>
        </w:rPr>
        <w:t>forms part of</w:t>
      </w:r>
      <w:r w:rsidRPr="000E3A43">
        <w:rPr>
          <w:rFonts w:cs="Times New Roman"/>
        </w:rPr>
        <w:t xml:space="preserve"> a scheme through which a person subject to the </w:t>
      </w:r>
      <w:r w:rsidRPr="00FD7525">
        <w:rPr>
          <w:rFonts w:cs="Times New Roman"/>
        </w:rPr>
        <w:t>CSD</w:t>
      </w:r>
      <w:r w:rsidRPr="000E3A43">
        <w:rPr>
          <w:rFonts w:cs="Times New Roman"/>
        </w:rPr>
        <w:t xml:space="preserve"> can be deprived of his or her liberty is sufficient to engage the liberty interest.  Section 130(1)(</w:t>
      </w:r>
      <w:r w:rsidRPr="000E3A43">
        <w:rPr>
          <w:rFonts w:cs="Times New Roman"/>
          <w:i/>
        </w:rPr>
        <w:t>a</w:t>
      </w:r>
      <w:r w:rsidRPr="000E3A43">
        <w:rPr>
          <w:rFonts w:cs="Times New Roman"/>
        </w:rPr>
        <w:t xml:space="preserve">) provides that a person found guilty of an offence under that section will be </w:t>
      </w:r>
      <w:r w:rsidRPr="000E3A43">
        <w:rPr>
          <w:rFonts w:cs="Times New Roman"/>
        </w:rPr>
        <w:lastRenderedPageBreak/>
        <w:t xml:space="preserve">punished pursuant to s. 130(2), which allows in some cases for a penalty of imprisonment.  </w:t>
      </w:r>
    </w:p>
    <w:p w:rsidR="006977A9" w:rsidRPr="000E3A43" w:rsidRDefault="006977A9" w:rsidP="009B303A">
      <w:pPr>
        <w:pStyle w:val="ParaNoNdepar-AltN"/>
        <w:widowControl w:val="0"/>
        <w:rPr>
          <w:rFonts w:cs="Times New Roman"/>
        </w:rPr>
      </w:pPr>
      <w:r w:rsidRPr="000E3A43">
        <w:rPr>
          <w:rFonts w:cs="Times New Roman"/>
        </w:rPr>
        <w:t>I underline that the appellants claim that their liberty interest is engaged solely on the basis that the service offences created by s</w:t>
      </w:r>
      <w:r>
        <w:rPr>
          <w:rFonts w:cs="Times New Roman"/>
        </w:rPr>
        <w:t>s</w:t>
      </w:r>
      <w:r w:rsidRPr="000E3A43">
        <w:rPr>
          <w:rFonts w:cs="Times New Roman"/>
        </w:rPr>
        <w:t>. 130(1</w:t>
      </w:r>
      <w:proofErr w:type="gramStart"/>
      <w:r w:rsidRPr="000E3A43">
        <w:rPr>
          <w:rFonts w:cs="Times New Roman"/>
        </w:rPr>
        <w:t>)(</w:t>
      </w:r>
      <w:proofErr w:type="gramEnd"/>
      <w:r w:rsidRPr="000E3A43">
        <w:rPr>
          <w:rFonts w:cs="Times New Roman"/>
          <w:i/>
        </w:rPr>
        <w:t>a</w:t>
      </w:r>
      <w:r w:rsidRPr="000E3A43">
        <w:rPr>
          <w:rFonts w:cs="Times New Roman"/>
        </w:rPr>
        <w:t>) and 117(</w:t>
      </w:r>
      <w:r w:rsidRPr="000E3A43">
        <w:rPr>
          <w:rFonts w:cs="Times New Roman"/>
          <w:i/>
        </w:rPr>
        <w:t>f</w:t>
      </w:r>
      <w:r w:rsidRPr="000E3A43">
        <w:rPr>
          <w:rFonts w:cs="Times New Roman"/>
        </w:rPr>
        <w:t xml:space="preserve">) carry the risk of imprisonment. They do not contend that these provisions engage their liberty interests in any other way. </w:t>
      </w:r>
    </w:p>
    <w:p w:rsidR="006977A9" w:rsidRPr="000E3A43" w:rsidRDefault="006977A9" w:rsidP="009B303A">
      <w:pPr>
        <w:pStyle w:val="ParaNoNdepar-AltN"/>
        <w:widowControl w:val="0"/>
        <w:rPr>
          <w:rFonts w:cs="Times New Roman"/>
        </w:rPr>
      </w:pPr>
      <w:r w:rsidRPr="000E3A43">
        <w:rPr>
          <w:rFonts w:cs="Times New Roman"/>
        </w:rPr>
        <w:t>I conclude that both ss. 130(1</w:t>
      </w:r>
      <w:proofErr w:type="gramStart"/>
      <w:r w:rsidRPr="000E3A43">
        <w:rPr>
          <w:rFonts w:cs="Times New Roman"/>
        </w:rPr>
        <w:t>)(</w:t>
      </w:r>
      <w:proofErr w:type="gramEnd"/>
      <w:r w:rsidRPr="000E3A43">
        <w:rPr>
          <w:rFonts w:cs="Times New Roman"/>
          <w:i/>
        </w:rPr>
        <w:t>a</w:t>
      </w:r>
      <w:r w:rsidRPr="000E3A43">
        <w:rPr>
          <w:rFonts w:cs="Times New Roman"/>
        </w:rPr>
        <w:t>) and 117(</w:t>
      </w:r>
      <w:r w:rsidRPr="000E3A43">
        <w:rPr>
          <w:rFonts w:cs="Times New Roman"/>
          <w:i/>
        </w:rPr>
        <w:t>f</w:t>
      </w:r>
      <w:r w:rsidRPr="000E3A43">
        <w:rPr>
          <w:rFonts w:cs="Times New Roman"/>
        </w:rPr>
        <w:t xml:space="preserve">) engage the liberty interest of individuals subject to the </w:t>
      </w:r>
      <w:r w:rsidRPr="00FD7525">
        <w:rPr>
          <w:rFonts w:cs="Times New Roman"/>
        </w:rPr>
        <w:t>CSD</w:t>
      </w:r>
      <w:r w:rsidRPr="000E3A43">
        <w:rPr>
          <w:rFonts w:cs="Times New Roman"/>
        </w:rPr>
        <w:t xml:space="preserve">.  Therefore, in order for these provisions to comply with s. 7 of the </w:t>
      </w:r>
      <w:r w:rsidRPr="000E3A43">
        <w:rPr>
          <w:rFonts w:cs="Times New Roman"/>
          <w:i/>
        </w:rPr>
        <w:t>Charter</w:t>
      </w:r>
      <w:r w:rsidRPr="000E3A43">
        <w:rPr>
          <w:rFonts w:cs="Times New Roman"/>
        </w:rPr>
        <w:t xml:space="preserve">, this deprivation of liberty must be done in accordance with the principles of fundamental justice. The only principle of fundamental justice relied on by the appellants is the principle against overbroad laws.  </w:t>
      </w:r>
    </w:p>
    <w:p w:rsidR="006977A9" w:rsidRPr="000E3A43" w:rsidRDefault="006977A9" w:rsidP="009B303A">
      <w:pPr>
        <w:pStyle w:val="Title2LevelTitre2Niveau"/>
        <w:widowControl w:val="0"/>
        <w:rPr>
          <w:rFonts w:cs="Times New Roman"/>
        </w:rPr>
      </w:pPr>
      <w:r w:rsidRPr="000E3A43">
        <w:rPr>
          <w:rFonts w:cs="Times New Roman"/>
        </w:rPr>
        <w:t xml:space="preserve">The </w:t>
      </w:r>
      <w:r>
        <w:rPr>
          <w:rFonts w:cs="Times New Roman"/>
        </w:rPr>
        <w:t>P</w:t>
      </w:r>
      <w:r w:rsidRPr="000E3A43">
        <w:rPr>
          <w:rFonts w:cs="Times New Roman"/>
        </w:rPr>
        <w:t xml:space="preserve">rovisions </w:t>
      </w:r>
      <w:r>
        <w:rPr>
          <w:rFonts w:cs="Times New Roman"/>
        </w:rPr>
        <w:t>A</w:t>
      </w:r>
      <w:r w:rsidRPr="000E3A43">
        <w:rPr>
          <w:rFonts w:cs="Times New Roman"/>
        </w:rPr>
        <w:t xml:space="preserve">re </w:t>
      </w:r>
      <w:r>
        <w:rPr>
          <w:rFonts w:cs="Times New Roman"/>
        </w:rPr>
        <w:t>N</w:t>
      </w:r>
      <w:r w:rsidRPr="000E3A43">
        <w:rPr>
          <w:rFonts w:cs="Times New Roman"/>
        </w:rPr>
        <w:t xml:space="preserve">ot </w:t>
      </w:r>
      <w:r>
        <w:rPr>
          <w:rFonts w:cs="Times New Roman"/>
        </w:rPr>
        <w:t>O</w:t>
      </w:r>
      <w:r w:rsidRPr="000E3A43">
        <w:rPr>
          <w:rFonts w:cs="Times New Roman"/>
        </w:rPr>
        <w:t>verbroad</w:t>
      </w:r>
    </w:p>
    <w:p w:rsidR="006977A9" w:rsidRPr="000E3A43" w:rsidRDefault="006977A9" w:rsidP="009B303A">
      <w:pPr>
        <w:pStyle w:val="ParaNoNdepar-AltN"/>
        <w:widowControl w:val="0"/>
        <w:rPr>
          <w:rFonts w:cs="Times New Roman"/>
        </w:rPr>
      </w:pPr>
      <w:r w:rsidRPr="000E3A43">
        <w:rPr>
          <w:rFonts w:cs="Times New Roman"/>
        </w:rPr>
        <w:t>The fatal flaw in the appellants’ position is that they describe the purpose of the provisions too narrowly and, as a result, erroneously conclude that there is no rational connection between the purpose of the</w:t>
      </w:r>
      <w:r>
        <w:rPr>
          <w:rFonts w:cs="Times New Roman"/>
        </w:rPr>
        <w:t>se</w:t>
      </w:r>
      <w:r w:rsidRPr="000E3A43">
        <w:rPr>
          <w:rFonts w:cs="Times New Roman"/>
        </w:rPr>
        <w:t xml:space="preserve"> provisions and some of their effects. Properly articulated, the purpose is broad enough to be ra</w:t>
      </w:r>
      <w:r>
        <w:rPr>
          <w:rFonts w:cs="Times New Roman"/>
        </w:rPr>
        <w:t>tionally connected to all of their</w:t>
      </w:r>
      <w:r w:rsidRPr="000E3A43">
        <w:rPr>
          <w:rFonts w:cs="Times New Roman"/>
        </w:rPr>
        <w:t xml:space="preserve"> effects. </w:t>
      </w:r>
    </w:p>
    <w:p w:rsidR="006977A9" w:rsidRPr="000E3A43" w:rsidRDefault="006977A9" w:rsidP="009B303A">
      <w:pPr>
        <w:pStyle w:val="ParaNoNdepar-AltN"/>
        <w:widowControl w:val="0"/>
        <w:rPr>
          <w:rFonts w:cs="Times New Roman"/>
        </w:rPr>
      </w:pPr>
      <w:r w:rsidRPr="000E3A43">
        <w:rPr>
          <w:rFonts w:cs="Times New Roman"/>
        </w:rPr>
        <w:t>The appellants contend that the purpose of both s</w:t>
      </w:r>
      <w:r>
        <w:rPr>
          <w:rFonts w:cs="Times New Roman"/>
        </w:rPr>
        <w:t xml:space="preserve">s. </w:t>
      </w:r>
      <w:r w:rsidRPr="000E3A43">
        <w:rPr>
          <w:rFonts w:cs="Times New Roman"/>
        </w:rPr>
        <w:t>130(1</w:t>
      </w:r>
      <w:proofErr w:type="gramStart"/>
      <w:r w:rsidRPr="000E3A43">
        <w:rPr>
          <w:rFonts w:cs="Times New Roman"/>
        </w:rPr>
        <w:t>)(</w:t>
      </w:r>
      <w:proofErr w:type="gramEnd"/>
      <w:r w:rsidRPr="000E3A43">
        <w:rPr>
          <w:rFonts w:cs="Times New Roman"/>
          <w:i/>
        </w:rPr>
        <w:t>a</w:t>
      </w:r>
      <w:r w:rsidRPr="000E3A43">
        <w:rPr>
          <w:rFonts w:cs="Times New Roman"/>
        </w:rPr>
        <w:t>) and 117(</w:t>
      </w:r>
      <w:r w:rsidRPr="000E3A43">
        <w:rPr>
          <w:rFonts w:cs="Times New Roman"/>
          <w:i/>
        </w:rPr>
        <w:t>f</w:t>
      </w:r>
      <w:r w:rsidRPr="000E3A43">
        <w:rPr>
          <w:rFonts w:cs="Times New Roman"/>
        </w:rPr>
        <w:t xml:space="preserve">) must be understood as being limited to offences that pertain directly to the discipline, efficiency and morale of the military. They submit that the purpose of the offence under </w:t>
      </w:r>
      <w:r w:rsidRPr="000E3A43">
        <w:rPr>
          <w:rFonts w:cs="Times New Roman"/>
        </w:rPr>
        <w:lastRenderedPageBreak/>
        <w:t>s. 130(1)(</w:t>
      </w:r>
      <w:r w:rsidRPr="000E3A43">
        <w:rPr>
          <w:rFonts w:cs="Times New Roman"/>
          <w:i/>
        </w:rPr>
        <w:t>a</w:t>
      </w:r>
      <w:r w:rsidRPr="000E3A43">
        <w:rPr>
          <w:rFonts w:cs="Times New Roman"/>
        </w:rPr>
        <w:t xml:space="preserve">) is “to confer jurisdiction on military tribunals to deal with virtually all acts or omissions committed in Canada, punishable under any Act of Parliament, </w:t>
      </w:r>
      <w:r w:rsidRPr="000E3A43">
        <w:rPr>
          <w:rFonts w:cs="Times New Roman"/>
          <w:u w:val="single"/>
        </w:rPr>
        <w:t>that pertain directly to the discipline, efficiency and morale of the military</w:t>
      </w:r>
      <w:r w:rsidRPr="000E3A43">
        <w:rPr>
          <w:rFonts w:cs="Times New Roman"/>
        </w:rPr>
        <w:t xml:space="preserve">”: </w:t>
      </w:r>
      <w:r>
        <w:rPr>
          <w:rFonts w:cs="Times New Roman"/>
        </w:rPr>
        <w:t>A.F. (</w:t>
      </w:r>
      <w:proofErr w:type="spellStart"/>
      <w:r w:rsidRPr="000E3A43">
        <w:rPr>
          <w:rFonts w:cs="Times New Roman"/>
        </w:rPr>
        <w:t>Moriarity</w:t>
      </w:r>
      <w:proofErr w:type="spellEnd"/>
      <w:r w:rsidR="002626A4">
        <w:rPr>
          <w:rFonts w:cs="Times New Roman"/>
        </w:rPr>
        <w:t xml:space="preserve">, Hannah and </w:t>
      </w:r>
      <w:proofErr w:type="spellStart"/>
      <w:r w:rsidR="002626A4">
        <w:rPr>
          <w:rFonts w:cs="Times New Roman"/>
        </w:rPr>
        <w:t>Vezina</w:t>
      </w:r>
      <w:proofErr w:type="spellEnd"/>
      <w:r>
        <w:rPr>
          <w:rFonts w:cs="Times New Roman"/>
        </w:rPr>
        <w:t>)</w:t>
      </w:r>
      <w:r w:rsidR="002626A4">
        <w:rPr>
          <w:rFonts w:cs="Times New Roman"/>
        </w:rPr>
        <w:t>,</w:t>
      </w:r>
      <w:r>
        <w:rPr>
          <w:rFonts w:cs="Times New Roman"/>
        </w:rPr>
        <w:t xml:space="preserve"> at</w:t>
      </w:r>
      <w:r w:rsidRPr="000E3A43">
        <w:rPr>
          <w:rFonts w:cs="Times New Roman"/>
        </w:rPr>
        <w:t xml:space="preserve"> </w:t>
      </w:r>
      <w:r>
        <w:rPr>
          <w:rFonts w:cs="Times New Roman"/>
        </w:rPr>
        <w:t>p</w:t>
      </w:r>
      <w:r w:rsidRPr="000E3A43">
        <w:rPr>
          <w:rFonts w:cs="Times New Roman"/>
        </w:rPr>
        <w:t xml:space="preserve">ara. </w:t>
      </w:r>
      <w:r w:rsidRPr="0056373F">
        <w:rPr>
          <w:rFonts w:cs="Times New Roman"/>
          <w:lang w:val="en-US"/>
        </w:rPr>
        <w:t xml:space="preserve">33 (emphasis added). </w:t>
      </w:r>
      <w:r>
        <w:rPr>
          <w:rFonts w:cs="Times New Roman"/>
          <w:lang w:val="en-US"/>
        </w:rPr>
        <w:t xml:space="preserve"> </w:t>
      </w:r>
      <w:r w:rsidRPr="00524536">
        <w:rPr>
          <w:rFonts w:cs="Times New Roman"/>
        </w:rPr>
        <w:t>Similarly, the appellant S</w:t>
      </w:r>
      <w:r w:rsidR="002626A4">
        <w:rPr>
          <w:rFonts w:cs="Times New Roman"/>
        </w:rPr>
        <w:t>ergeant</w:t>
      </w:r>
      <w:r w:rsidRPr="00524536">
        <w:rPr>
          <w:rFonts w:cs="Times New Roman"/>
        </w:rPr>
        <w:t xml:space="preserve"> Arsenault submits that the purpose of s. 117(</w:t>
      </w:r>
      <w:r w:rsidRPr="00524536">
        <w:rPr>
          <w:rFonts w:cs="Times New Roman"/>
          <w:i/>
        </w:rPr>
        <w:t>f</w:t>
      </w:r>
      <w:r w:rsidRPr="00524536">
        <w:rPr>
          <w:rFonts w:cs="Times New Roman"/>
        </w:rPr>
        <w:t>) [</w:t>
      </w:r>
      <w:r w:rsidRPr="00524536">
        <w:rPr>
          <w:rFonts w:cs="Times New Roman"/>
          <w:smallCaps/>
        </w:rPr>
        <w:t>translation</w:t>
      </w:r>
      <w:r w:rsidRPr="00524536">
        <w:rPr>
          <w:rFonts w:cs="Times New Roman"/>
        </w:rPr>
        <w:t>] “is</w:t>
      </w:r>
      <w:r w:rsidRPr="00524536">
        <w:rPr>
          <w:rFonts w:eastAsia="Times New Roman" w:cs="Times New Roman"/>
          <w:szCs w:val="24"/>
          <w:lang w:eastAsia="en-CA"/>
        </w:rPr>
        <w:t xml:space="preserve"> </w:t>
      </w:r>
      <w:r w:rsidRPr="00524536">
        <w:rPr>
          <w:rFonts w:cs="Times New Roman"/>
        </w:rPr>
        <w:t xml:space="preserve">to confer jurisdiction on military tribunals over all acts of a fraudulent </w:t>
      </w:r>
      <w:proofErr w:type="gramStart"/>
      <w:r w:rsidRPr="00524536">
        <w:rPr>
          <w:rFonts w:cs="Times New Roman"/>
        </w:rPr>
        <w:t>nature .</w:t>
      </w:r>
      <w:proofErr w:type="gramEnd"/>
      <w:r w:rsidRPr="00524536">
        <w:rPr>
          <w:rFonts w:cs="Times New Roman"/>
        </w:rPr>
        <w:t> . . that pertain directly to the discipline, efficiency an</w:t>
      </w:r>
      <w:r w:rsidR="002626A4">
        <w:rPr>
          <w:rFonts w:cs="Times New Roman"/>
        </w:rPr>
        <w:t>d morale of the military”: A.F.</w:t>
      </w:r>
      <w:r w:rsidRPr="00524536">
        <w:rPr>
          <w:rFonts w:cs="Times New Roman"/>
        </w:rPr>
        <w:t>, at para. 32.</w:t>
      </w:r>
      <w:r w:rsidRPr="00D5615B">
        <w:rPr>
          <w:rFonts w:cs="Times New Roman"/>
          <w:lang w:val="en-US"/>
        </w:rPr>
        <w:t xml:space="preserve">  </w:t>
      </w:r>
      <w:r w:rsidRPr="000E3A43">
        <w:rPr>
          <w:rFonts w:cs="Times New Roman"/>
          <w:lang w:val="en-US"/>
        </w:rPr>
        <w:t xml:space="preserve">The appellants’ position is that these provisions create service offences that apply to persons who are in the </w:t>
      </w:r>
      <w:r>
        <w:rPr>
          <w:rFonts w:cs="Times New Roman"/>
          <w:lang w:val="en-US"/>
        </w:rPr>
        <w:t>a</w:t>
      </w:r>
      <w:r w:rsidRPr="000E3A43">
        <w:rPr>
          <w:rFonts w:cs="Times New Roman"/>
          <w:lang w:val="en-US"/>
        </w:rPr>
        <w:t xml:space="preserve">rmed </w:t>
      </w:r>
      <w:r>
        <w:rPr>
          <w:rFonts w:cs="Times New Roman"/>
          <w:lang w:val="en-US"/>
        </w:rPr>
        <w:t>f</w:t>
      </w:r>
      <w:r w:rsidRPr="000E3A43">
        <w:rPr>
          <w:rFonts w:cs="Times New Roman"/>
          <w:lang w:val="en-US"/>
        </w:rPr>
        <w:t>orce</w:t>
      </w:r>
      <w:r w:rsidRPr="000E3A43">
        <w:rPr>
          <w:rFonts w:cs="Times New Roman"/>
        </w:rPr>
        <w:t xml:space="preserve">s regardless of whether there is any other link between their status as members of the </w:t>
      </w:r>
      <w:r>
        <w:rPr>
          <w:rFonts w:cs="Times New Roman"/>
        </w:rPr>
        <w:t>armed f</w:t>
      </w:r>
      <w:r w:rsidRPr="000E3A43">
        <w:rPr>
          <w:rFonts w:cs="Times New Roman"/>
        </w:rPr>
        <w:t xml:space="preserve">orces and the circumstances of the offence. It follows, in their submission, that some of the effects of these provisions are not rationally connected to that purpose because in some cases there is no “direct link” between the circumstances of the commission of the offence and military discipline, efficiency and morale. </w:t>
      </w:r>
    </w:p>
    <w:p w:rsidR="006977A9" w:rsidRPr="000E3A43" w:rsidRDefault="006977A9" w:rsidP="009B303A">
      <w:pPr>
        <w:pStyle w:val="ParaNoNdepar-AltN"/>
        <w:widowControl w:val="0"/>
        <w:rPr>
          <w:rFonts w:cs="Times New Roman"/>
        </w:rPr>
      </w:pPr>
      <w:r w:rsidRPr="000E3A43">
        <w:rPr>
          <w:rFonts w:cs="Times New Roman"/>
        </w:rPr>
        <w:t xml:space="preserve">The appellants do </w:t>
      </w:r>
      <w:r w:rsidRPr="002F603D">
        <w:rPr>
          <w:rFonts w:cs="Times New Roman"/>
          <w:i/>
        </w:rPr>
        <w:t>not</w:t>
      </w:r>
      <w:r w:rsidRPr="000E3A43">
        <w:rPr>
          <w:rFonts w:cs="Times New Roman"/>
        </w:rPr>
        <w:t xml:space="preserve"> argue that any specific underlying federal offences lack a direct connection with the maintenance of discipline, efficiency and morale in the military.  Rather, they take issue with the lack of distinction between offences committed in military circumstances </w:t>
      </w:r>
      <w:r>
        <w:rPr>
          <w:rFonts w:cs="Times New Roman"/>
        </w:rPr>
        <w:t>—</w:t>
      </w:r>
      <w:r w:rsidRPr="000E3A43">
        <w:rPr>
          <w:rFonts w:cs="Times New Roman"/>
        </w:rPr>
        <w:t xml:space="preserve"> which as they see it are rationally connected to discipline, efficiency and morale </w:t>
      </w:r>
      <w:r>
        <w:rPr>
          <w:rFonts w:cs="Times New Roman"/>
        </w:rPr>
        <w:t>—</w:t>
      </w:r>
      <w:r w:rsidRPr="000E3A43">
        <w:rPr>
          <w:rFonts w:cs="Times New Roman"/>
        </w:rPr>
        <w:t xml:space="preserve"> and offences committed in civil circumstances </w:t>
      </w:r>
      <w:r>
        <w:rPr>
          <w:rFonts w:cs="Times New Roman"/>
        </w:rPr>
        <w:t>—</w:t>
      </w:r>
      <w:r w:rsidRPr="000E3A43">
        <w:rPr>
          <w:rFonts w:cs="Times New Roman"/>
        </w:rPr>
        <w:t xml:space="preserve"> which, they argue, lack such a connection.  As a result, there is no rational connection between the purpose of the law </w:t>
      </w:r>
      <w:r>
        <w:rPr>
          <w:rFonts w:cs="Times New Roman"/>
        </w:rPr>
        <w:t>—</w:t>
      </w:r>
      <w:r w:rsidRPr="000E3A43">
        <w:rPr>
          <w:rFonts w:cs="Times New Roman"/>
        </w:rPr>
        <w:t xml:space="preserve"> maintaining discipline, efficiency and morale of the </w:t>
      </w:r>
      <w:r>
        <w:rPr>
          <w:rFonts w:cs="Times New Roman"/>
        </w:rPr>
        <w:t>a</w:t>
      </w:r>
      <w:r w:rsidRPr="000E3A43">
        <w:rPr>
          <w:rFonts w:cs="Times New Roman"/>
        </w:rPr>
        <w:t xml:space="preserve">rmed </w:t>
      </w:r>
      <w:r>
        <w:rPr>
          <w:rFonts w:cs="Times New Roman"/>
        </w:rPr>
        <w:t>f</w:t>
      </w:r>
      <w:r w:rsidRPr="000E3A43">
        <w:rPr>
          <w:rFonts w:cs="Times New Roman"/>
        </w:rPr>
        <w:t xml:space="preserve">orces </w:t>
      </w:r>
      <w:r>
        <w:rPr>
          <w:rFonts w:cs="Times New Roman"/>
        </w:rPr>
        <w:t>—</w:t>
      </w:r>
      <w:r w:rsidRPr="000E3A43">
        <w:rPr>
          <w:rFonts w:cs="Times New Roman"/>
        </w:rPr>
        <w:t xml:space="preserve"> and some of its effects </w:t>
      </w:r>
      <w:r>
        <w:rPr>
          <w:rFonts w:cs="Times New Roman"/>
        </w:rPr>
        <w:t>—</w:t>
      </w:r>
      <w:r w:rsidRPr="000E3A43">
        <w:rPr>
          <w:rFonts w:cs="Times New Roman"/>
        </w:rPr>
        <w:t xml:space="preserve"> making </w:t>
      </w:r>
      <w:r>
        <w:rPr>
          <w:rFonts w:cs="Times New Roman"/>
        </w:rPr>
        <w:t>a</w:t>
      </w:r>
      <w:r w:rsidRPr="000E3A43">
        <w:rPr>
          <w:rFonts w:cs="Times New Roman"/>
        </w:rPr>
        <w:t xml:space="preserve">rmed </w:t>
      </w:r>
      <w:r>
        <w:rPr>
          <w:rFonts w:cs="Times New Roman"/>
        </w:rPr>
        <w:t>f</w:t>
      </w:r>
      <w:r w:rsidRPr="000E3A43">
        <w:rPr>
          <w:rFonts w:cs="Times New Roman"/>
        </w:rPr>
        <w:t>orces members subject to the military justice system in circumstances in which the offence does not directly implicate the discipline, efficiency and morale of the forces.</w:t>
      </w:r>
      <w:bookmarkEnd w:id="1"/>
      <w:bookmarkEnd w:id="2"/>
      <w:r w:rsidRPr="000E3A43">
        <w:rPr>
          <w:rFonts w:cs="Times New Roman"/>
        </w:rPr>
        <w:t xml:space="preserve"> </w:t>
      </w:r>
    </w:p>
    <w:p w:rsidR="006977A9" w:rsidRPr="000E3A43" w:rsidRDefault="006977A9" w:rsidP="009B303A">
      <w:pPr>
        <w:pStyle w:val="ParaNoNdepar-AltN"/>
        <w:widowControl w:val="0"/>
        <w:rPr>
          <w:rFonts w:cs="Times New Roman"/>
        </w:rPr>
      </w:pPr>
      <w:r w:rsidRPr="000E3A43">
        <w:rPr>
          <w:rFonts w:cs="Times New Roman"/>
        </w:rPr>
        <w:lastRenderedPageBreak/>
        <w:t xml:space="preserve">I will now examine the purpose of </w:t>
      </w:r>
      <w:r>
        <w:rPr>
          <w:rFonts w:cs="Times New Roman"/>
        </w:rPr>
        <w:t xml:space="preserve">the </w:t>
      </w:r>
      <w:r w:rsidRPr="000E3A43">
        <w:rPr>
          <w:rFonts w:cs="Times New Roman"/>
        </w:rPr>
        <w:t>provisions and then consider whether they are rationally connected to their effect</w:t>
      </w:r>
      <w:r>
        <w:rPr>
          <w:rFonts w:cs="Times New Roman"/>
        </w:rPr>
        <w:t>s</w:t>
      </w:r>
      <w:r w:rsidRPr="000E3A43">
        <w:rPr>
          <w:rFonts w:cs="Times New Roman"/>
        </w:rPr>
        <w:t xml:space="preserve">. </w:t>
      </w:r>
    </w:p>
    <w:p w:rsidR="006977A9" w:rsidRPr="000E3A43" w:rsidRDefault="006977A9" w:rsidP="009B303A">
      <w:pPr>
        <w:pStyle w:val="Title3LevelTitre3Niveau"/>
        <w:widowControl w:val="0"/>
        <w:rPr>
          <w:rFonts w:cs="Times New Roman"/>
        </w:rPr>
      </w:pPr>
      <w:r w:rsidRPr="000E3A43">
        <w:rPr>
          <w:rFonts w:cs="Times New Roman"/>
        </w:rPr>
        <w:t>Identifying and Articulating Legislative Purpose</w:t>
      </w:r>
    </w:p>
    <w:p w:rsidR="006977A9" w:rsidRPr="000E3A43" w:rsidRDefault="006977A9" w:rsidP="009B303A">
      <w:pPr>
        <w:pStyle w:val="ParaNoNdepar-AltN"/>
        <w:widowControl w:val="0"/>
        <w:rPr>
          <w:rFonts w:cs="Times New Roman"/>
        </w:rPr>
      </w:pPr>
      <w:r w:rsidRPr="000E3A43">
        <w:rPr>
          <w:rFonts w:cs="Times New Roman"/>
        </w:rPr>
        <w:t xml:space="preserve">That a law must not be overbroad is a principle of fundamental justice. It is one of the minimum requirements for a law that affects a person’s life, liberty or security of the person: </w:t>
      </w:r>
      <w:r w:rsidRPr="000E3A43">
        <w:rPr>
          <w:rFonts w:cs="Times New Roman"/>
          <w:i/>
        </w:rPr>
        <w:t>Canada (A</w:t>
      </w:r>
      <w:r>
        <w:rPr>
          <w:rFonts w:cs="Times New Roman"/>
          <w:i/>
        </w:rPr>
        <w:t xml:space="preserve">ttorney </w:t>
      </w:r>
      <w:r w:rsidRPr="000E3A43">
        <w:rPr>
          <w:rFonts w:cs="Times New Roman"/>
          <w:i/>
        </w:rPr>
        <w:t>G</w:t>
      </w:r>
      <w:r>
        <w:rPr>
          <w:rFonts w:cs="Times New Roman"/>
          <w:i/>
        </w:rPr>
        <w:t>eneral</w:t>
      </w:r>
      <w:r w:rsidRPr="000E3A43">
        <w:rPr>
          <w:rFonts w:cs="Times New Roman"/>
          <w:i/>
        </w:rPr>
        <w:t>) v. Bedford</w:t>
      </w:r>
      <w:r w:rsidRPr="000E3A43">
        <w:rPr>
          <w:rFonts w:cs="Times New Roman"/>
        </w:rPr>
        <w:t>, 2013</w:t>
      </w:r>
      <w:r>
        <w:rPr>
          <w:rFonts w:cs="Times New Roman"/>
        </w:rPr>
        <w:t xml:space="preserve"> SCC </w:t>
      </w:r>
      <w:r w:rsidR="002626A4">
        <w:rPr>
          <w:rFonts w:cs="Times New Roman"/>
        </w:rPr>
        <w:t>72</w:t>
      </w:r>
      <w:r w:rsidRPr="000E3A43">
        <w:rPr>
          <w:rFonts w:cs="Times New Roman"/>
        </w:rPr>
        <w:t xml:space="preserve">, [2013] 3 S.C.R. </w:t>
      </w:r>
      <w:r>
        <w:rPr>
          <w:rFonts w:cs="Times New Roman"/>
        </w:rPr>
        <w:t>1101</w:t>
      </w:r>
      <w:r w:rsidRPr="000E3A43">
        <w:rPr>
          <w:rFonts w:cs="Times New Roman"/>
        </w:rPr>
        <w:t>,</w:t>
      </w:r>
      <w:r w:rsidRPr="000E3A43">
        <w:rPr>
          <w:rFonts w:cs="Times New Roman"/>
          <w:i/>
        </w:rPr>
        <w:t xml:space="preserve"> </w:t>
      </w:r>
      <w:r w:rsidRPr="000E3A43">
        <w:rPr>
          <w:rFonts w:cs="Times New Roman"/>
        </w:rPr>
        <w:t>at para</w:t>
      </w:r>
      <w:r w:rsidR="002626A4">
        <w:rPr>
          <w:rFonts w:cs="Times New Roman"/>
        </w:rPr>
        <w:t>s</w:t>
      </w:r>
      <w:r>
        <w:rPr>
          <w:rFonts w:cs="Times New Roman"/>
        </w:rPr>
        <w:t>.</w:t>
      </w:r>
      <w:r w:rsidRPr="000E3A43">
        <w:rPr>
          <w:rFonts w:cs="Times New Roman"/>
        </w:rPr>
        <w:t xml:space="preserve"> 94</w:t>
      </w:r>
      <w:r>
        <w:rPr>
          <w:rFonts w:cs="Times New Roman"/>
        </w:rPr>
        <w:t xml:space="preserve"> et seq.</w:t>
      </w:r>
      <w:r w:rsidRPr="000E3A43">
        <w:rPr>
          <w:rFonts w:cs="Times New Roman"/>
        </w:rPr>
        <w:t xml:space="preserve"> A law that goes too far and interferes with life, liberty or security of the person in a way that has no connection to its objective is fundamentally flawed: </w:t>
      </w:r>
      <w:r w:rsidRPr="000E3A43">
        <w:rPr>
          <w:rFonts w:cs="Times New Roman"/>
          <w:i/>
        </w:rPr>
        <w:t>Bedford</w:t>
      </w:r>
      <w:r>
        <w:rPr>
          <w:rFonts w:cs="Times New Roman"/>
        </w:rPr>
        <w:t>,</w:t>
      </w:r>
      <w:r w:rsidRPr="000E3A43">
        <w:rPr>
          <w:rFonts w:cs="Times New Roman"/>
        </w:rPr>
        <w:t xml:space="preserve"> at para</w:t>
      </w:r>
      <w:r>
        <w:rPr>
          <w:rFonts w:cs="Times New Roman"/>
        </w:rPr>
        <w:t>.</w:t>
      </w:r>
      <w:r w:rsidRPr="000E3A43">
        <w:rPr>
          <w:rFonts w:cs="Times New Roman"/>
        </w:rPr>
        <w:t xml:space="preserve"> 101. At the outset of an overbreadth analysis, it is critically important to identify the law’s purpose and effects because overbreadth is concerned with whether there is </w:t>
      </w:r>
      <w:proofErr w:type="gramStart"/>
      <w:r w:rsidRPr="000E3A43">
        <w:rPr>
          <w:rFonts w:cs="Times New Roman"/>
        </w:rPr>
        <w:t>a disconnect</w:t>
      </w:r>
      <w:proofErr w:type="gramEnd"/>
      <w:r w:rsidRPr="000E3A43">
        <w:rPr>
          <w:rFonts w:cs="Times New Roman"/>
        </w:rPr>
        <w:t xml:space="preserve"> between the two. The overbreadth analysis thus depends on being able to distinguish between the objective of the law and its effects (resulting from the means by which the law seeks to achieve </w:t>
      </w:r>
      <w:r>
        <w:rPr>
          <w:rFonts w:cs="Times New Roman"/>
        </w:rPr>
        <w:t>the objective</w:t>
      </w:r>
      <w:r w:rsidRPr="000E3A43">
        <w:rPr>
          <w:rFonts w:cs="Times New Roman"/>
        </w:rPr>
        <w:t>). With respect to both purpose and effects, the focus is on the challenged provision, of course understood within the context of the legislative scheme of which it forms a part. (In my reasons, I use the words “objective”, “ends” and “purpose” interchangeably.)</w:t>
      </w:r>
    </w:p>
    <w:p w:rsidR="006977A9" w:rsidRPr="000E3A43" w:rsidRDefault="006977A9" w:rsidP="009B303A">
      <w:pPr>
        <w:pStyle w:val="ParaNoNdepar-AltN"/>
        <w:widowControl w:val="0"/>
        <w:rPr>
          <w:rFonts w:cs="Times New Roman"/>
        </w:rPr>
      </w:pPr>
      <w:r w:rsidRPr="000E3A43">
        <w:rPr>
          <w:rFonts w:cs="Times New Roman"/>
        </w:rPr>
        <w:t xml:space="preserve">The effects of the challenged provision depend on the means adopted by the law and are usually easy to identify, as they are in this case. Virtually all federal offences and all fraudulent acts, when allegedly committed by regular and </w:t>
      </w:r>
      <w:proofErr w:type="gramStart"/>
      <w:r w:rsidRPr="000E3A43">
        <w:rPr>
          <w:rFonts w:cs="Times New Roman"/>
        </w:rPr>
        <w:t>special force</w:t>
      </w:r>
      <w:r w:rsidR="002626A4">
        <w:rPr>
          <w:rFonts w:cs="Times New Roman"/>
        </w:rPr>
        <w:t>s</w:t>
      </w:r>
      <w:proofErr w:type="gramEnd"/>
      <w:r w:rsidRPr="000E3A43">
        <w:rPr>
          <w:rFonts w:cs="Times New Roman"/>
        </w:rPr>
        <w:t xml:space="preserve"> members (and other individuals subject to the </w:t>
      </w:r>
      <w:r w:rsidRPr="00FD7525">
        <w:rPr>
          <w:rFonts w:cs="Times New Roman"/>
        </w:rPr>
        <w:t>CSD</w:t>
      </w:r>
      <w:r w:rsidRPr="000E3A43">
        <w:rPr>
          <w:rFonts w:cs="Times New Roman"/>
        </w:rPr>
        <w:t xml:space="preserve"> under</w:t>
      </w:r>
      <w:r>
        <w:rPr>
          <w:rFonts w:cs="Times New Roman"/>
        </w:rPr>
        <w:t xml:space="preserve"> ss. </w:t>
      </w:r>
      <w:r w:rsidRPr="000E3A43">
        <w:rPr>
          <w:rFonts w:cs="Times New Roman"/>
        </w:rPr>
        <w:t>60 and 61), may be prosecuted as service offences within the military justice system. That, in short, is what the challenged provisions do</w:t>
      </w:r>
      <w:r>
        <w:rPr>
          <w:rFonts w:cs="Times New Roman"/>
        </w:rPr>
        <w:t>;</w:t>
      </w:r>
      <w:r w:rsidRPr="000E3A43">
        <w:rPr>
          <w:rFonts w:cs="Times New Roman"/>
        </w:rPr>
        <w:t xml:space="preserve"> in other words, that is their effect. </w:t>
      </w:r>
    </w:p>
    <w:p w:rsidR="006977A9" w:rsidRPr="000E3A43" w:rsidRDefault="006977A9" w:rsidP="009B303A">
      <w:pPr>
        <w:pStyle w:val="ParaNoNdepar-AltN"/>
        <w:widowControl w:val="0"/>
        <w:rPr>
          <w:rFonts w:cs="Times New Roman"/>
        </w:rPr>
      </w:pPr>
      <w:r w:rsidRPr="000E3A43">
        <w:rPr>
          <w:rFonts w:cs="Times New Roman"/>
        </w:rPr>
        <w:lastRenderedPageBreak/>
        <w:t xml:space="preserve">The objective of the challenged provision may be more difficult to identify and articulate. The objective is identified by an analysis of the provision in its full context. An appropriate statement of the objective is critical to a proper overbreadth analysis. In general, the articulation of the objective should focus on the ends of the legislation rather than on its means, be at an appropriate level of generality and capture the main thrust of the law in precise and succinct terms. </w:t>
      </w:r>
    </w:p>
    <w:p w:rsidR="006977A9" w:rsidRPr="000E3A43" w:rsidRDefault="006977A9" w:rsidP="009B303A">
      <w:pPr>
        <w:pStyle w:val="ParaNoNdepar-AltN"/>
        <w:widowControl w:val="0"/>
        <w:rPr>
          <w:rFonts w:cs="Times New Roman"/>
        </w:rPr>
      </w:pPr>
      <w:r w:rsidRPr="000E3A43">
        <w:rPr>
          <w:rFonts w:cs="Times New Roman"/>
        </w:rPr>
        <w:t xml:space="preserve">The overbreadth analysis turns on the relationship between the objective of the law and the effects flowing from the means which the law adopts to achieve it </w:t>
      </w:r>
      <w:r>
        <w:rPr>
          <w:rFonts w:cs="Times New Roman"/>
        </w:rPr>
        <w:t>—</w:t>
      </w:r>
      <w:r w:rsidRPr="000E3A43">
        <w:rPr>
          <w:rFonts w:cs="Times New Roman"/>
        </w:rPr>
        <w:t xml:space="preserve"> in other words the relationship between the law’s purpose and what it actually does. It follows that the statement of the challenged provision’s purpose should, to the extent possible, be kept separate from the means adopted to achieve it. While of course the means adopted may throw light on the objective, the focus must remain on the objective: see, in a roughly analogous context, </w:t>
      </w:r>
      <w:r w:rsidRPr="000E3A43">
        <w:rPr>
          <w:rFonts w:cs="Times New Roman"/>
          <w:i/>
        </w:rPr>
        <w:t>Ward v. Canada (Attorney General)</w:t>
      </w:r>
      <w:r w:rsidRPr="000E3A43">
        <w:rPr>
          <w:rFonts w:cs="Times New Roman"/>
        </w:rPr>
        <w:t xml:space="preserve">, </w:t>
      </w:r>
      <w:r>
        <w:rPr>
          <w:rFonts w:cs="Times New Roman"/>
        </w:rPr>
        <w:t xml:space="preserve">2002 SCC 17, </w:t>
      </w:r>
      <w:r w:rsidRPr="000E3A43">
        <w:rPr>
          <w:rFonts w:cs="Times New Roman"/>
        </w:rPr>
        <w:t>[2002] 1 S.C.R. 569</w:t>
      </w:r>
      <w:r>
        <w:rPr>
          <w:rFonts w:cs="Times New Roman"/>
        </w:rPr>
        <w:t>,</w:t>
      </w:r>
      <w:r w:rsidRPr="000E3A43">
        <w:rPr>
          <w:rFonts w:cs="Times New Roman"/>
        </w:rPr>
        <w:t xml:space="preserve"> at para</w:t>
      </w:r>
      <w:r>
        <w:rPr>
          <w:rFonts w:cs="Times New Roman"/>
        </w:rPr>
        <w:t>.</w:t>
      </w:r>
      <w:r w:rsidRPr="000E3A43">
        <w:rPr>
          <w:rFonts w:cs="Times New Roman"/>
        </w:rPr>
        <w:t xml:space="preserve"> 25. If undue weight is given to the means in articulating the legislative objective in an overbreadth analysis, there will be nothing left to consider at the rational connection stage of the analysis. </w:t>
      </w:r>
    </w:p>
    <w:p w:rsidR="006977A9" w:rsidRPr="000E3A43" w:rsidRDefault="006977A9" w:rsidP="009B303A">
      <w:pPr>
        <w:pStyle w:val="ParaNoNdepar-AltN"/>
        <w:widowControl w:val="0"/>
        <w:rPr>
          <w:rFonts w:cs="Times New Roman"/>
        </w:rPr>
      </w:pPr>
      <w:r w:rsidRPr="000E3A43">
        <w:rPr>
          <w:rFonts w:cs="Times New Roman"/>
        </w:rPr>
        <w:t>The appropriate level of generality for the articulation of the law’s purpose is also critically important. If the purpose is articulated in too general terms, it will provide no meaningful check on the means employed to achieve it</w:t>
      </w:r>
      <w:r w:rsidR="002A091D">
        <w:rPr>
          <w:rFonts w:cs="Times New Roman"/>
        </w:rPr>
        <w:t>:</w:t>
      </w:r>
      <w:r w:rsidRPr="000E3A43">
        <w:rPr>
          <w:rFonts w:cs="Times New Roman"/>
        </w:rPr>
        <w:t xml:space="preserve"> almost any challenged provision will likely be rationally connected to a very broadly stated purpose </w:t>
      </w:r>
      <w:r w:rsidR="002A091D">
        <w:rPr>
          <w:rFonts w:cs="Times New Roman"/>
        </w:rPr>
        <w:t>(</w:t>
      </w:r>
      <w:r w:rsidRPr="000E3A43">
        <w:rPr>
          <w:rFonts w:cs="Times New Roman"/>
        </w:rPr>
        <w:t>see, e.g.</w:t>
      </w:r>
      <w:r w:rsidR="002626A4">
        <w:rPr>
          <w:rFonts w:cs="Times New Roman"/>
        </w:rPr>
        <w:t>,</w:t>
      </w:r>
      <w:r w:rsidRPr="000E3A43">
        <w:rPr>
          <w:rFonts w:cs="Times New Roman"/>
        </w:rPr>
        <w:t xml:space="preserve"> </w:t>
      </w:r>
      <w:r w:rsidRPr="000E3A43">
        <w:rPr>
          <w:rFonts w:cs="Times New Roman"/>
          <w:i/>
        </w:rPr>
        <w:t>Carter v. Canada (Attorney General)</w:t>
      </w:r>
      <w:r w:rsidRPr="000E3A43">
        <w:rPr>
          <w:rFonts w:cs="Times New Roman"/>
        </w:rPr>
        <w:t>, 2015 SCC 5</w:t>
      </w:r>
      <w:r>
        <w:rPr>
          <w:rFonts w:cs="Times New Roman"/>
        </w:rPr>
        <w:t>, [2015] 1 S.C.R. 331,</w:t>
      </w:r>
      <w:r w:rsidRPr="000E3A43">
        <w:rPr>
          <w:rFonts w:cs="Times New Roman"/>
        </w:rPr>
        <w:t xml:space="preserve"> at para</w:t>
      </w:r>
      <w:r>
        <w:rPr>
          <w:rFonts w:cs="Times New Roman"/>
        </w:rPr>
        <w:t>.</w:t>
      </w:r>
      <w:r w:rsidRPr="000E3A43">
        <w:rPr>
          <w:rFonts w:cs="Times New Roman"/>
        </w:rPr>
        <w:t xml:space="preserve"> 77</w:t>
      </w:r>
      <w:r w:rsidR="002A091D">
        <w:rPr>
          <w:rFonts w:cs="Times New Roman"/>
        </w:rPr>
        <w:t>)</w:t>
      </w:r>
      <w:r w:rsidRPr="000E3A43">
        <w:rPr>
          <w:rFonts w:cs="Times New Roman"/>
        </w:rPr>
        <w:t>. On the other hand, if the identified purpose is articulated in too specific terms,</w:t>
      </w:r>
      <w:r>
        <w:rPr>
          <w:rFonts w:cs="Times New Roman"/>
        </w:rPr>
        <w:t xml:space="preserve"> </w:t>
      </w:r>
      <w:r w:rsidRPr="000E3A43">
        <w:rPr>
          <w:rFonts w:cs="Times New Roman"/>
        </w:rPr>
        <w:t xml:space="preserve">then the distinction between ends and means may be lost and the </w:t>
      </w:r>
      <w:r w:rsidRPr="000E3A43">
        <w:rPr>
          <w:rFonts w:cs="Times New Roman"/>
        </w:rPr>
        <w:lastRenderedPageBreak/>
        <w:t xml:space="preserve">statement of purpose will effectively foreclose any separate inquiry into the connection between them. The appropriate level of generality, therefore, resides between the statement of an “animating social value” </w:t>
      </w:r>
      <w:r>
        <w:rPr>
          <w:rFonts w:cs="Times New Roman"/>
        </w:rPr>
        <w:t>—</w:t>
      </w:r>
      <w:r w:rsidRPr="000E3A43">
        <w:rPr>
          <w:rFonts w:cs="Times New Roman"/>
        </w:rPr>
        <w:t xml:space="preserve"> which is too general </w:t>
      </w:r>
      <w:r>
        <w:rPr>
          <w:rFonts w:cs="Times New Roman"/>
        </w:rPr>
        <w:t>—</w:t>
      </w:r>
      <w:r w:rsidRPr="000E3A43">
        <w:rPr>
          <w:rFonts w:cs="Times New Roman"/>
        </w:rPr>
        <w:t xml:space="preserve"> and a narrow articulation, which can include a virtual repetition of the challenged provision, divorced from its context</w:t>
      </w:r>
      <w:r>
        <w:rPr>
          <w:rFonts w:cs="Times New Roman"/>
        </w:rPr>
        <w:t xml:space="preserve"> </w:t>
      </w:r>
      <w:r w:rsidRPr="000E3A43">
        <w:rPr>
          <w:rFonts w:cs="Times New Roman"/>
        </w:rPr>
        <w:t xml:space="preserve">— which risks being too specific: </w:t>
      </w:r>
      <w:r w:rsidRPr="000E3A43">
        <w:rPr>
          <w:rFonts w:cs="Times New Roman"/>
          <w:i/>
        </w:rPr>
        <w:t>Carter</w:t>
      </w:r>
      <w:r>
        <w:rPr>
          <w:rFonts w:cs="Times New Roman"/>
        </w:rPr>
        <w:t>,</w:t>
      </w:r>
      <w:r w:rsidRPr="000E3A43">
        <w:rPr>
          <w:rFonts w:cs="Times New Roman"/>
        </w:rPr>
        <w:t xml:space="preserve"> at para</w:t>
      </w:r>
      <w:r>
        <w:rPr>
          <w:rFonts w:cs="Times New Roman"/>
        </w:rPr>
        <w:t>.</w:t>
      </w:r>
      <w:r w:rsidRPr="000E3A43">
        <w:rPr>
          <w:rFonts w:cs="Times New Roman"/>
        </w:rPr>
        <w:t xml:space="preserve"> 76.  An unduly broad statement of purpose will almost always lead to a finding that the provision is not overbroad, while an unduly narrow statement of purpose will almost always lead to a finding of overbreadth.</w:t>
      </w:r>
    </w:p>
    <w:p w:rsidR="006977A9" w:rsidRPr="000E3A43" w:rsidRDefault="006977A9" w:rsidP="009B303A">
      <w:pPr>
        <w:pStyle w:val="ParaNoNdepar-AltN"/>
        <w:widowControl w:val="0"/>
        <w:rPr>
          <w:rFonts w:cs="Times New Roman"/>
        </w:rPr>
      </w:pPr>
      <w:r w:rsidRPr="000E3A43">
        <w:rPr>
          <w:rFonts w:cs="Times New Roman"/>
        </w:rPr>
        <w:t>The statement of purpose should generally be both precise and succinct. So, for example, in</w:t>
      </w:r>
      <w:r w:rsidRPr="000E3A43">
        <w:rPr>
          <w:rFonts w:cs="Times New Roman"/>
          <w:i/>
        </w:rPr>
        <w:t xml:space="preserve"> R. v. Heywood</w:t>
      </w:r>
      <w:r w:rsidRPr="000E3A43">
        <w:rPr>
          <w:rFonts w:cs="Times New Roman"/>
        </w:rPr>
        <w:t xml:space="preserve">, [1994] 3 S.C.R. 761, the law’s purpose was to protect children from becoming victims of sexual offences. In </w:t>
      </w:r>
      <w:r w:rsidRPr="000E3A43">
        <w:rPr>
          <w:rFonts w:cs="Times New Roman"/>
          <w:i/>
        </w:rPr>
        <w:t>R. v. Khawaja</w:t>
      </w:r>
      <w:r w:rsidRPr="000E3A43">
        <w:rPr>
          <w:rFonts w:cs="Times New Roman"/>
        </w:rPr>
        <w:t xml:space="preserve">, 2012 SCC 69, [2012] 3 S.C.R. 555, the purpose of the scheme was to prosecute and prevent terrorism. In </w:t>
      </w:r>
      <w:r w:rsidRPr="000E3A43">
        <w:rPr>
          <w:rFonts w:cs="Times New Roman"/>
          <w:i/>
        </w:rPr>
        <w:t>Bedford</w:t>
      </w:r>
      <w:r w:rsidRPr="000E3A43">
        <w:rPr>
          <w:rFonts w:cs="Times New Roman"/>
        </w:rPr>
        <w:t xml:space="preserve">, the purpose of the living on the avails of prostitution offence was to target pimps and the parasitic, exploitative conduct in which they engage. In </w:t>
      </w:r>
      <w:r w:rsidRPr="000E3A43">
        <w:rPr>
          <w:rFonts w:cs="Times New Roman"/>
          <w:i/>
        </w:rPr>
        <w:t>Carter</w:t>
      </w:r>
      <w:r w:rsidRPr="000E3A43">
        <w:rPr>
          <w:rFonts w:cs="Times New Roman"/>
        </w:rPr>
        <w:t>, the objective of the ban on assisted suicide was to prevent vulnerable persons from being induced to commit suicide at a time of weakness. These are all examples of precise and succinct articulations of the law’s objective.</w:t>
      </w:r>
    </w:p>
    <w:p w:rsidR="006977A9" w:rsidRPr="000E3A43" w:rsidRDefault="006977A9" w:rsidP="009B303A">
      <w:pPr>
        <w:pStyle w:val="ParaNoNdepar-AltN"/>
        <w:widowControl w:val="0"/>
        <w:rPr>
          <w:rFonts w:cs="Times New Roman"/>
        </w:rPr>
      </w:pPr>
      <w:r w:rsidRPr="000E3A43">
        <w:rPr>
          <w:rFonts w:cs="Times New Roman"/>
        </w:rPr>
        <w:t xml:space="preserve">The overbreadth analysis does not evaluate the appropriateness of the objective. Rather, it assumes a legislative objective that is appropriate and lawful. I underline this point here because the question of the scope of Parliament’s authority to legislate in relation to “Militia, Military and Naval Service, and Defence” under s. 91(7) of the </w:t>
      </w:r>
      <w:r w:rsidRPr="000E3A43">
        <w:rPr>
          <w:rFonts w:cs="Times New Roman"/>
          <w:i/>
        </w:rPr>
        <w:t>Constitution Act, 1867</w:t>
      </w:r>
      <w:r w:rsidRPr="000E3A43">
        <w:rPr>
          <w:rFonts w:cs="Times New Roman"/>
        </w:rPr>
        <w:t xml:space="preserve"> and the scope of the exemption of military law from the right to a jury trial guaranteed by s. 11(</w:t>
      </w:r>
      <w:r w:rsidRPr="000E3A43">
        <w:rPr>
          <w:rFonts w:cs="Times New Roman"/>
          <w:i/>
        </w:rPr>
        <w:t>f</w:t>
      </w:r>
      <w:r w:rsidRPr="000E3A43">
        <w:rPr>
          <w:rFonts w:cs="Times New Roman"/>
        </w:rPr>
        <w:t xml:space="preserve">) of the </w:t>
      </w:r>
      <w:r w:rsidRPr="000E3A43">
        <w:rPr>
          <w:rFonts w:cs="Times New Roman"/>
          <w:i/>
        </w:rPr>
        <w:t>Charter</w:t>
      </w:r>
      <w:r>
        <w:rPr>
          <w:rFonts w:cs="Times New Roman"/>
        </w:rPr>
        <w:t xml:space="preserve"> are not before us i</w:t>
      </w:r>
      <w:r w:rsidRPr="000E3A43">
        <w:rPr>
          <w:rFonts w:cs="Times New Roman"/>
        </w:rPr>
        <w:t xml:space="preserve">n </w:t>
      </w:r>
      <w:r w:rsidRPr="000E3A43">
        <w:rPr>
          <w:rFonts w:cs="Times New Roman"/>
        </w:rPr>
        <w:lastRenderedPageBreak/>
        <w:t xml:space="preserve">these appeals. We are concerned here with articulating the purpose of two challenged provisions in order to assess the rationality of some of their effects. We are not asked to determine the scope of federal legislative power in relation to military justice or to consider other types of </w:t>
      </w:r>
      <w:r w:rsidRPr="000E3A43">
        <w:rPr>
          <w:rFonts w:cs="Times New Roman"/>
          <w:i/>
        </w:rPr>
        <w:t xml:space="preserve">Charter </w:t>
      </w:r>
      <w:r w:rsidRPr="000E3A43">
        <w:rPr>
          <w:rFonts w:cs="Times New Roman"/>
        </w:rPr>
        <w:t>challenges. We take the legislative objective at face value and as valid and nothing in my reasons should be taken as addressing any of those other matters.</w:t>
      </w:r>
    </w:p>
    <w:p w:rsidR="006977A9" w:rsidRPr="000E3A43" w:rsidRDefault="006977A9" w:rsidP="009B303A">
      <w:pPr>
        <w:pStyle w:val="ParaNoNdepar-AltN"/>
        <w:widowControl w:val="0"/>
        <w:rPr>
          <w:rFonts w:cs="Times New Roman"/>
        </w:rPr>
      </w:pPr>
      <w:r w:rsidRPr="000E3A43">
        <w:rPr>
          <w:rFonts w:cs="Times New Roman"/>
        </w:rPr>
        <w:t xml:space="preserve">Courts have used many sources to determine legislative purpose: see R. Sullivan, </w:t>
      </w:r>
      <w:r w:rsidRPr="000E3A43">
        <w:rPr>
          <w:rFonts w:cs="Times New Roman"/>
          <w:i/>
        </w:rPr>
        <w:t>Sullivan on the Construction of Statutes</w:t>
      </w:r>
      <w:r w:rsidRPr="000E3A43">
        <w:rPr>
          <w:rFonts w:cs="Times New Roman"/>
        </w:rPr>
        <w:t xml:space="preserve"> </w:t>
      </w:r>
      <w:r>
        <w:rPr>
          <w:rFonts w:cs="Times New Roman"/>
        </w:rPr>
        <w:t>(</w:t>
      </w:r>
      <w:r w:rsidRPr="000E3A43">
        <w:rPr>
          <w:rFonts w:cs="Times New Roman"/>
        </w:rPr>
        <w:t>6th ed. 2014</w:t>
      </w:r>
      <w:r>
        <w:rPr>
          <w:rFonts w:cs="Times New Roman"/>
        </w:rPr>
        <w:t>)</w:t>
      </w:r>
      <w:r w:rsidRPr="000E3A43">
        <w:rPr>
          <w:rFonts w:cs="Times New Roman"/>
        </w:rPr>
        <w:t xml:space="preserve">, at </w:t>
      </w:r>
      <w:r>
        <w:rPr>
          <w:rFonts w:cs="Times New Roman"/>
        </w:rPr>
        <w:t>§§9.41</w:t>
      </w:r>
      <w:r w:rsidR="002626A4">
        <w:rPr>
          <w:rFonts w:cs="Times New Roman"/>
        </w:rPr>
        <w:t>-</w:t>
      </w:r>
      <w:r>
        <w:rPr>
          <w:rFonts w:cs="Times New Roman"/>
        </w:rPr>
        <w:t>9.66</w:t>
      </w:r>
      <w:r w:rsidRPr="000E3A43">
        <w:rPr>
          <w:rFonts w:cs="Times New Roman"/>
        </w:rPr>
        <w:t xml:space="preserve">.  In some cases, legislation contains explicit statements of purpose, but there is no such statement here. Courts also look at the text, context and scheme of the legislation in order to infer its purpose.  For instance, in </w:t>
      </w:r>
      <w:r w:rsidRPr="000E3A43">
        <w:rPr>
          <w:rFonts w:cs="Times New Roman"/>
          <w:i/>
        </w:rPr>
        <w:t>Heywood</w:t>
      </w:r>
      <w:r w:rsidRPr="000E3A43">
        <w:rPr>
          <w:rFonts w:cs="Times New Roman"/>
        </w:rPr>
        <w:t>, the Court concluded that the purpose of a vagrancy law that prohibited convicted offenders from loitering in public parks, which was to protect children from becoming victims of sexual offences, was “apparent from the places to which the prohibition of loitering applies</w:t>
      </w:r>
      <w:r>
        <w:rPr>
          <w:rFonts w:cs="Times New Roman"/>
        </w:rPr>
        <w:t>”: p.</w:t>
      </w:r>
      <w:r w:rsidRPr="000E3A43">
        <w:rPr>
          <w:rFonts w:cs="Times New Roman"/>
        </w:rPr>
        <w:t xml:space="preserve"> 786; see also </w:t>
      </w:r>
      <w:r w:rsidRPr="000E3A43">
        <w:rPr>
          <w:rFonts w:cs="Times New Roman"/>
          <w:i/>
        </w:rPr>
        <w:t xml:space="preserve">R. v. </w:t>
      </w:r>
      <w:proofErr w:type="spellStart"/>
      <w:r w:rsidRPr="000E3A43">
        <w:rPr>
          <w:rFonts w:cs="Times New Roman"/>
          <w:i/>
        </w:rPr>
        <w:t>Garofoli</w:t>
      </w:r>
      <w:proofErr w:type="spellEnd"/>
      <w:r w:rsidRPr="000E3A43">
        <w:rPr>
          <w:rFonts w:cs="Times New Roman"/>
        </w:rPr>
        <w:t xml:space="preserve">, [1990] 2 S.C.R. 1421, at </w:t>
      </w:r>
      <w:r>
        <w:rPr>
          <w:rFonts w:cs="Times New Roman"/>
        </w:rPr>
        <w:t xml:space="preserve">pp. </w:t>
      </w:r>
      <w:r w:rsidRPr="000E3A43">
        <w:rPr>
          <w:rFonts w:cs="Times New Roman"/>
        </w:rPr>
        <w:t xml:space="preserve">1470-71.  In addition, courts may also resort to extrinsic evidence such as legislative history and evolution.  But as Prof. Sullivan wisely observes, legislative statements of purpose may be vague and incomplete and inferences of legislative purpose may be subjective and prone to error: </w:t>
      </w:r>
      <w:r>
        <w:rPr>
          <w:rFonts w:cs="Times New Roman"/>
        </w:rPr>
        <w:t>§</w:t>
      </w:r>
      <w:r w:rsidRPr="000E3A43">
        <w:rPr>
          <w:rFonts w:cs="Times New Roman"/>
        </w:rPr>
        <w:t>9.90.</w:t>
      </w:r>
    </w:p>
    <w:p w:rsidR="006977A9" w:rsidRPr="000E3A43" w:rsidRDefault="006977A9" w:rsidP="009B303A">
      <w:pPr>
        <w:pStyle w:val="ParaNoNdepar-AltN"/>
        <w:widowControl w:val="0"/>
        <w:rPr>
          <w:rFonts w:cs="Times New Roman"/>
        </w:rPr>
      </w:pPr>
      <w:r w:rsidRPr="000E3A43">
        <w:rPr>
          <w:rFonts w:cs="Times New Roman"/>
        </w:rPr>
        <w:t xml:space="preserve">All of this underlines </w:t>
      </w:r>
      <w:r>
        <w:rPr>
          <w:rFonts w:cs="Times New Roman"/>
        </w:rPr>
        <w:t>the point</w:t>
      </w:r>
      <w:r w:rsidRPr="000E3A43">
        <w:rPr>
          <w:rFonts w:cs="Times New Roman"/>
        </w:rPr>
        <w:t xml:space="preserve"> that courts should be cautious to articulate the legislative objective in a way that is firmly anchored in the legislative text, considered in its full context, and to avoid statements of purpose that effectively predetermine the outcome of the overbreadth analysis without actually engaging in it. </w:t>
      </w:r>
    </w:p>
    <w:p w:rsidR="006977A9" w:rsidRPr="000E3A43" w:rsidRDefault="006977A9" w:rsidP="009B303A">
      <w:pPr>
        <w:pStyle w:val="ParaNoNdepar-AltN"/>
        <w:widowControl w:val="0"/>
        <w:rPr>
          <w:rFonts w:cs="Times New Roman"/>
        </w:rPr>
      </w:pPr>
      <w:r w:rsidRPr="000E3A43">
        <w:rPr>
          <w:rFonts w:cs="Times New Roman"/>
        </w:rPr>
        <w:lastRenderedPageBreak/>
        <w:t xml:space="preserve">It is common ground that the purpose of the military justice system, of which the challenged provisions form a part, relates to assuring the discipline, efficiency and morale of the </w:t>
      </w:r>
      <w:r>
        <w:rPr>
          <w:rFonts w:cs="Times New Roman"/>
        </w:rPr>
        <w:t>armed f</w:t>
      </w:r>
      <w:r w:rsidRPr="000E3A43">
        <w:rPr>
          <w:rFonts w:cs="Times New Roman"/>
        </w:rPr>
        <w:t xml:space="preserve">orces. The appellants would narrow this purpose while the respondent would broaden it. In my view, they are both in error. </w:t>
      </w:r>
    </w:p>
    <w:p w:rsidR="006977A9" w:rsidRPr="000E3A43" w:rsidRDefault="006977A9" w:rsidP="009B303A">
      <w:pPr>
        <w:pStyle w:val="Title3LevelTitre3Niveau"/>
        <w:widowControl w:val="0"/>
        <w:rPr>
          <w:rFonts w:cs="Times New Roman"/>
        </w:rPr>
      </w:pPr>
      <w:r>
        <w:rPr>
          <w:rFonts w:cs="Times New Roman"/>
        </w:rPr>
        <w:t>The A</w:t>
      </w:r>
      <w:r w:rsidRPr="000E3A43">
        <w:rPr>
          <w:rFonts w:cs="Times New Roman"/>
        </w:rPr>
        <w:t xml:space="preserve">ppellants </w:t>
      </w:r>
      <w:r>
        <w:rPr>
          <w:rFonts w:cs="Times New Roman"/>
        </w:rPr>
        <w:t>A</w:t>
      </w:r>
      <w:r w:rsidRPr="000E3A43">
        <w:rPr>
          <w:rFonts w:cs="Times New Roman"/>
        </w:rPr>
        <w:t xml:space="preserve">rticulate the </w:t>
      </w:r>
      <w:r>
        <w:rPr>
          <w:rFonts w:cs="Times New Roman"/>
        </w:rPr>
        <w:t>P</w:t>
      </w:r>
      <w:r w:rsidRPr="000E3A43">
        <w:rPr>
          <w:rFonts w:cs="Times New Roman"/>
        </w:rPr>
        <w:t xml:space="preserve">urpose </w:t>
      </w:r>
      <w:r>
        <w:rPr>
          <w:rFonts w:cs="Times New Roman"/>
        </w:rPr>
        <w:t>T</w:t>
      </w:r>
      <w:r w:rsidRPr="000E3A43">
        <w:rPr>
          <w:rFonts w:cs="Times New Roman"/>
        </w:rPr>
        <w:t>oo</w:t>
      </w:r>
      <w:r>
        <w:rPr>
          <w:rFonts w:cs="Times New Roman"/>
        </w:rPr>
        <w:t xml:space="preserve"> N</w:t>
      </w:r>
      <w:r w:rsidRPr="000E3A43">
        <w:rPr>
          <w:rFonts w:cs="Times New Roman"/>
        </w:rPr>
        <w:t>arrowly</w:t>
      </w:r>
    </w:p>
    <w:p w:rsidR="006977A9" w:rsidRPr="000E3A43" w:rsidRDefault="006977A9" w:rsidP="009B303A">
      <w:pPr>
        <w:pStyle w:val="ParaNoNdepar-AltN"/>
        <w:widowControl w:val="0"/>
        <w:rPr>
          <w:rFonts w:cs="Times New Roman"/>
        </w:rPr>
      </w:pPr>
      <w:r w:rsidRPr="000E3A43">
        <w:rPr>
          <w:rFonts w:cs="Times New Roman"/>
        </w:rPr>
        <w:t xml:space="preserve">The appellants state the objective of the challenged provisions in a way that is not supported by the legislative text considered in its full context. And, in my respectful view, the CMAC fell into a similar error. </w:t>
      </w:r>
    </w:p>
    <w:p w:rsidR="006977A9" w:rsidRPr="000E3A43" w:rsidRDefault="006977A9" w:rsidP="009B303A">
      <w:pPr>
        <w:pStyle w:val="ParaNoNdepar-AltN"/>
        <w:widowControl w:val="0"/>
        <w:rPr>
          <w:rFonts w:cs="Times New Roman"/>
        </w:rPr>
      </w:pPr>
      <w:r w:rsidRPr="000E3A43">
        <w:rPr>
          <w:rFonts w:cs="Times New Roman"/>
        </w:rPr>
        <w:t xml:space="preserve">The appellants claim that Parliament’s objective in enacting these provisions was to permit the prosecution of offences within the military justice system only when there is a “direct link” </w:t>
      </w:r>
      <w:r>
        <w:rPr>
          <w:rFonts w:cs="Times New Roman"/>
        </w:rPr>
        <w:t>—</w:t>
      </w:r>
      <w:r w:rsidRPr="000E3A43">
        <w:rPr>
          <w:rFonts w:cs="Times New Roman"/>
        </w:rPr>
        <w:t xml:space="preserve"> or as the CMAC put it, a “military nexus” </w:t>
      </w:r>
      <w:r w:rsidR="002626A4">
        <w:rPr>
          <w:rFonts w:cs="Times New Roman"/>
        </w:rPr>
        <w:t>—</w:t>
      </w:r>
      <w:r w:rsidR="002626A4" w:rsidRPr="000E3A43">
        <w:rPr>
          <w:rFonts w:cs="Times New Roman"/>
        </w:rPr>
        <w:t xml:space="preserve"> </w:t>
      </w:r>
      <w:r w:rsidRPr="000E3A43">
        <w:rPr>
          <w:rFonts w:cs="Times New Roman"/>
        </w:rPr>
        <w:t>between the circumstances of the alleged offence and the discipline</w:t>
      </w:r>
      <w:r>
        <w:rPr>
          <w:rFonts w:cs="Times New Roman"/>
        </w:rPr>
        <w:t>,</w:t>
      </w:r>
      <w:r w:rsidRPr="000E3A43">
        <w:rPr>
          <w:rFonts w:cs="Times New Roman"/>
        </w:rPr>
        <w:t xml:space="preserve"> </w:t>
      </w:r>
      <w:r>
        <w:rPr>
          <w:rFonts w:cs="Times New Roman"/>
        </w:rPr>
        <w:t>efficiency or</w:t>
      </w:r>
      <w:r w:rsidRPr="000E3A43">
        <w:rPr>
          <w:rFonts w:cs="Times New Roman"/>
        </w:rPr>
        <w:t xml:space="preserve"> morale of the military. This limited purpose is not borne out by a review of the overall thrust of the legislation. As I explained, the determination of legislative purpose must take into account the entire context of the challenged provisions.  This, in my view, requires careful consideration of the broader context of the system of military justice and the scheme as a whole.  When seen in this light, the “direct link” requirement contended for by the appellants cannot be fairly attributed to Parliament because, as I will explain, it is nowhere apparent in either the challenged provisions or the </w:t>
      </w:r>
      <w:r>
        <w:rPr>
          <w:rFonts w:cs="Times New Roman"/>
        </w:rPr>
        <w:t xml:space="preserve">legislative </w:t>
      </w:r>
      <w:r w:rsidRPr="000E3A43">
        <w:rPr>
          <w:rFonts w:cs="Times New Roman"/>
        </w:rPr>
        <w:t xml:space="preserve">scheme.  </w:t>
      </w:r>
    </w:p>
    <w:p w:rsidR="006977A9" w:rsidRPr="000E3A43" w:rsidRDefault="006977A9" w:rsidP="009B303A">
      <w:pPr>
        <w:pStyle w:val="ParaNoNdepar-AltN"/>
        <w:widowControl w:val="0"/>
        <w:spacing w:before="240"/>
        <w:rPr>
          <w:rFonts w:cs="Times New Roman"/>
        </w:rPr>
      </w:pPr>
      <w:r>
        <w:rPr>
          <w:rFonts w:cs="Times New Roman"/>
        </w:rPr>
        <w:t>An</w:t>
      </w:r>
      <w:r w:rsidRPr="000E3A43">
        <w:rPr>
          <w:rFonts w:cs="Times New Roman"/>
        </w:rPr>
        <w:t xml:space="preserve"> intent to limit the application of these provisions to situations in which </w:t>
      </w:r>
      <w:r w:rsidRPr="000E3A43">
        <w:rPr>
          <w:rFonts w:cs="Times New Roman"/>
        </w:rPr>
        <w:lastRenderedPageBreak/>
        <w:t>there is a “direct link”</w:t>
      </w:r>
      <w:r>
        <w:rPr>
          <w:rFonts w:cs="Times New Roman"/>
        </w:rPr>
        <w:t xml:space="preserve"> between the circumstances of the offence and the military</w:t>
      </w:r>
      <w:r w:rsidRPr="000E3A43">
        <w:rPr>
          <w:rFonts w:cs="Times New Roman"/>
        </w:rPr>
        <w:t xml:space="preserve"> is nowhere apparent in the legislation. It is not supported by a plain reading of the challenged provisions themselves.  Nor </w:t>
      </w:r>
      <w:r>
        <w:rPr>
          <w:rFonts w:cs="Times New Roman"/>
        </w:rPr>
        <w:t>do</w:t>
      </w:r>
      <w:r w:rsidRPr="000E3A43">
        <w:rPr>
          <w:rFonts w:cs="Times New Roman"/>
        </w:rPr>
        <w:t xml:space="preserve"> any other provisions</w:t>
      </w:r>
      <w:r>
        <w:rPr>
          <w:rFonts w:cs="Times New Roman"/>
        </w:rPr>
        <w:t xml:space="preserve"> of the </w:t>
      </w:r>
      <w:r w:rsidRPr="00796F98">
        <w:rPr>
          <w:rFonts w:cs="Times New Roman"/>
          <w:i/>
        </w:rPr>
        <w:t>NDA</w:t>
      </w:r>
      <w:r w:rsidRPr="000E3A43">
        <w:rPr>
          <w:rFonts w:cs="Times New Roman"/>
        </w:rPr>
        <w:t xml:space="preserve"> contain </w:t>
      </w:r>
      <w:r>
        <w:rPr>
          <w:rFonts w:cs="Times New Roman"/>
        </w:rPr>
        <w:t xml:space="preserve">any </w:t>
      </w:r>
      <w:r w:rsidRPr="000E3A43">
        <w:rPr>
          <w:rFonts w:cs="Times New Roman"/>
        </w:rPr>
        <w:t xml:space="preserve">such express limit.  </w:t>
      </w:r>
      <w:r>
        <w:rPr>
          <w:rFonts w:cs="Times New Roman"/>
        </w:rPr>
        <w:t>Sections</w:t>
      </w:r>
      <w:r w:rsidRPr="000E3A43">
        <w:rPr>
          <w:rFonts w:cs="Times New Roman"/>
        </w:rPr>
        <w:t xml:space="preserve"> 60(1)(</w:t>
      </w:r>
      <w:r w:rsidRPr="000E3A43">
        <w:rPr>
          <w:rFonts w:cs="Times New Roman"/>
          <w:i/>
        </w:rPr>
        <w:t>a</w:t>
      </w:r>
      <w:r w:rsidRPr="000E3A43">
        <w:rPr>
          <w:rFonts w:cs="Times New Roman"/>
        </w:rPr>
        <w:t>) and</w:t>
      </w:r>
      <w:r>
        <w:rPr>
          <w:rFonts w:cs="Times New Roman"/>
        </w:rPr>
        <w:t xml:space="preserve"> 60(1)</w:t>
      </w:r>
      <w:r w:rsidRPr="000E3A43">
        <w:rPr>
          <w:rFonts w:cs="Times New Roman"/>
        </w:rPr>
        <w:t>(</w:t>
      </w:r>
      <w:r w:rsidRPr="000E3A43">
        <w:rPr>
          <w:rFonts w:cs="Times New Roman"/>
          <w:i/>
        </w:rPr>
        <w:t>b</w:t>
      </w:r>
      <w:r w:rsidRPr="000E3A43">
        <w:rPr>
          <w:rFonts w:cs="Times New Roman"/>
        </w:rPr>
        <w:t xml:space="preserve">) of the </w:t>
      </w:r>
      <w:r w:rsidRPr="000E3A43">
        <w:rPr>
          <w:rFonts w:cs="Times New Roman"/>
          <w:i/>
        </w:rPr>
        <w:t>NDA</w:t>
      </w:r>
      <w:r w:rsidRPr="000E3A43">
        <w:rPr>
          <w:rFonts w:cs="Times New Roman"/>
        </w:rPr>
        <w:t xml:space="preserve"> make every officer or non-commissioned member of the regular and special forces subject to the </w:t>
      </w:r>
      <w:r w:rsidRPr="00FD7525">
        <w:rPr>
          <w:rFonts w:cs="Times New Roman"/>
        </w:rPr>
        <w:t>CSD</w:t>
      </w:r>
      <w:r w:rsidRPr="000E3A43">
        <w:rPr>
          <w:rFonts w:cs="Times New Roman"/>
        </w:rPr>
        <w:t xml:space="preserve"> </w:t>
      </w:r>
      <w:r w:rsidRPr="00796F98">
        <w:rPr>
          <w:rFonts w:cs="Times New Roman"/>
          <w:i/>
        </w:rPr>
        <w:t>without exception</w:t>
      </w:r>
      <w:r w:rsidRPr="000E3A43">
        <w:rPr>
          <w:rFonts w:cs="Times New Roman"/>
        </w:rPr>
        <w:t xml:space="preserve">.  Neither this provision nor any other </w:t>
      </w:r>
      <w:r w:rsidRPr="000E3A43">
        <w:rPr>
          <w:rFonts w:cs="Times New Roman"/>
          <w:i/>
        </w:rPr>
        <w:t>NDA</w:t>
      </w:r>
      <w:r w:rsidRPr="000E3A43">
        <w:rPr>
          <w:rFonts w:cs="Times New Roman"/>
        </w:rPr>
        <w:t xml:space="preserve"> provision restrict</w:t>
      </w:r>
      <w:r w:rsidR="002626A4">
        <w:rPr>
          <w:rFonts w:cs="Times New Roman"/>
        </w:rPr>
        <w:t>s</w:t>
      </w:r>
      <w:r w:rsidRPr="000E3A43">
        <w:rPr>
          <w:rFonts w:cs="Times New Roman"/>
        </w:rPr>
        <w:t xml:space="preserve"> the circumstances under which these individuals will be subject to the </w:t>
      </w:r>
      <w:r w:rsidRPr="00FD7525">
        <w:rPr>
          <w:rFonts w:cs="Times New Roman"/>
        </w:rPr>
        <w:t>CSD</w:t>
      </w:r>
      <w:r w:rsidRPr="000E3A43">
        <w:rPr>
          <w:rFonts w:cs="Times New Roman"/>
        </w:rPr>
        <w:t xml:space="preserve">.  Had Parliament intended otherwise, it could have provided for a narrower application of the </w:t>
      </w:r>
      <w:r w:rsidRPr="00FD7525">
        <w:rPr>
          <w:rFonts w:cs="Times New Roman"/>
        </w:rPr>
        <w:t>CSD</w:t>
      </w:r>
      <w:r w:rsidRPr="000E3A43">
        <w:rPr>
          <w:rFonts w:cs="Times New Roman"/>
        </w:rPr>
        <w:t xml:space="preserve">.  It has done so with respect to officers and non-commissioned members of the reserve force, as they are subject to the </w:t>
      </w:r>
      <w:r w:rsidRPr="00FD7525">
        <w:rPr>
          <w:rFonts w:cs="Times New Roman"/>
        </w:rPr>
        <w:t>CSD</w:t>
      </w:r>
      <w:r w:rsidRPr="000E3A43">
        <w:rPr>
          <w:rFonts w:cs="Times New Roman"/>
          <w:i/>
        </w:rPr>
        <w:t xml:space="preserve"> </w:t>
      </w:r>
      <w:r w:rsidRPr="000E3A43">
        <w:rPr>
          <w:rFonts w:cs="Times New Roman"/>
        </w:rPr>
        <w:t>only in specific circumstances, such as when they are “undergoing drill or training”</w:t>
      </w:r>
      <w:r>
        <w:rPr>
          <w:rFonts w:cs="Times New Roman"/>
        </w:rPr>
        <w:t xml:space="preserve">, “in uniform”, </w:t>
      </w:r>
      <w:r w:rsidR="002626A4">
        <w:rPr>
          <w:rFonts w:cs="Times New Roman"/>
        </w:rPr>
        <w:t xml:space="preserve">or </w:t>
      </w:r>
      <w:r>
        <w:rPr>
          <w:rFonts w:cs="Times New Roman"/>
        </w:rPr>
        <w:t>“on duty”</w:t>
      </w:r>
      <w:r w:rsidR="002626A4">
        <w:rPr>
          <w:rFonts w:cs="Times New Roman"/>
        </w:rPr>
        <w:t>:</w:t>
      </w:r>
      <w:r w:rsidRPr="000E3A43">
        <w:rPr>
          <w:rFonts w:cs="Times New Roman"/>
        </w:rPr>
        <w:t xml:space="preserve"> s. 60(1)(</w:t>
      </w:r>
      <w:r w:rsidRPr="000E3A43">
        <w:rPr>
          <w:rFonts w:cs="Times New Roman"/>
          <w:i/>
        </w:rPr>
        <w:t>c</w:t>
      </w:r>
      <w:r w:rsidRPr="000E3A43">
        <w:rPr>
          <w:rFonts w:cs="Times New Roman"/>
        </w:rPr>
        <w:t>)(</w:t>
      </w:r>
      <w:proofErr w:type="spellStart"/>
      <w:r w:rsidRPr="000E3A43">
        <w:rPr>
          <w:rFonts w:cs="Times New Roman"/>
        </w:rPr>
        <w:t>i</w:t>
      </w:r>
      <w:proofErr w:type="spellEnd"/>
      <w:r w:rsidRPr="000E3A43">
        <w:rPr>
          <w:rFonts w:cs="Times New Roman"/>
        </w:rPr>
        <w:t xml:space="preserve">) to (x).  It has also provided for other persons to be subject to the </w:t>
      </w:r>
      <w:r w:rsidRPr="00FD7525">
        <w:rPr>
          <w:rFonts w:cs="Times New Roman"/>
        </w:rPr>
        <w:t>CSD</w:t>
      </w:r>
      <w:r w:rsidRPr="000E3A43">
        <w:rPr>
          <w:rFonts w:cs="Times New Roman"/>
        </w:rPr>
        <w:t xml:space="preserve"> in circumstances specified in the legislation: see </w:t>
      </w:r>
      <w:r>
        <w:rPr>
          <w:rFonts w:cs="Times New Roman"/>
        </w:rPr>
        <w:t>s</w:t>
      </w:r>
      <w:r w:rsidRPr="000E3A43">
        <w:rPr>
          <w:rFonts w:cs="Times New Roman"/>
        </w:rPr>
        <w:t>s. 60(1</w:t>
      </w:r>
      <w:proofErr w:type="gramStart"/>
      <w:r w:rsidRPr="000E3A43">
        <w:rPr>
          <w:rFonts w:cs="Times New Roman"/>
        </w:rPr>
        <w:t>)(</w:t>
      </w:r>
      <w:proofErr w:type="gramEnd"/>
      <w:r w:rsidRPr="000E3A43">
        <w:rPr>
          <w:rFonts w:cs="Times New Roman"/>
          <w:i/>
        </w:rPr>
        <w:t>d</w:t>
      </w:r>
      <w:r w:rsidRPr="000E3A43">
        <w:rPr>
          <w:rFonts w:cs="Times New Roman"/>
        </w:rPr>
        <w:t>) to (</w:t>
      </w:r>
      <w:r w:rsidRPr="000E3A43">
        <w:rPr>
          <w:rFonts w:cs="Times New Roman"/>
          <w:i/>
        </w:rPr>
        <w:t>j</w:t>
      </w:r>
      <w:r w:rsidRPr="000E3A43">
        <w:rPr>
          <w:rFonts w:cs="Times New Roman"/>
        </w:rPr>
        <w:t>), 60(2) and 61.</w:t>
      </w:r>
    </w:p>
    <w:p w:rsidR="006977A9" w:rsidRPr="000E3A43" w:rsidRDefault="006977A9" w:rsidP="009B303A">
      <w:pPr>
        <w:pStyle w:val="ParaNoNdepar-AltN"/>
        <w:widowControl w:val="0"/>
        <w:rPr>
          <w:rFonts w:cs="Times New Roman"/>
        </w:rPr>
      </w:pPr>
      <w:r w:rsidRPr="000E3A43">
        <w:rPr>
          <w:rFonts w:cs="Times New Roman"/>
        </w:rPr>
        <w:t xml:space="preserve">We must therefore conclude that Parliament turned its mind to the circumstances in which it is appropriate to subject members of the </w:t>
      </w:r>
      <w:r>
        <w:rPr>
          <w:rFonts w:cs="Times New Roman"/>
        </w:rPr>
        <w:t>armed f</w:t>
      </w:r>
      <w:r w:rsidRPr="000E3A43">
        <w:rPr>
          <w:rFonts w:cs="Times New Roman"/>
        </w:rPr>
        <w:t xml:space="preserve">orces to the military justice system. In the case of regular and special forces, it concluded that it was appropriate to do so in all circumstances, with the exception of the small group of offences which are excluded. A different conclusion was reached with respect to </w:t>
      </w:r>
      <w:r>
        <w:rPr>
          <w:rFonts w:cs="Times New Roman"/>
        </w:rPr>
        <w:t>members of the reserve force</w:t>
      </w:r>
      <w:r w:rsidRPr="000E3A43">
        <w:rPr>
          <w:rFonts w:cs="Times New Roman"/>
        </w:rPr>
        <w:t xml:space="preserve"> and non-military persons.</w:t>
      </w:r>
    </w:p>
    <w:p w:rsidR="006977A9" w:rsidRPr="000E3A43" w:rsidRDefault="006977A9" w:rsidP="009B303A">
      <w:pPr>
        <w:pStyle w:val="ParaNoNdepar-AltN"/>
        <w:widowControl w:val="0"/>
        <w:rPr>
          <w:rFonts w:cs="Times New Roman"/>
        </w:rPr>
      </w:pPr>
      <w:r w:rsidRPr="000E3A43">
        <w:rPr>
          <w:rFonts w:cs="Times New Roman"/>
        </w:rPr>
        <w:t xml:space="preserve">Quite apart from the challenged provisions, there are several </w:t>
      </w:r>
      <w:r w:rsidRPr="00FD7525">
        <w:rPr>
          <w:rFonts w:cs="Times New Roman"/>
        </w:rPr>
        <w:t>CSD</w:t>
      </w:r>
      <w:r w:rsidRPr="000E3A43">
        <w:rPr>
          <w:rFonts w:cs="Times New Roman"/>
          <w:i/>
        </w:rPr>
        <w:t xml:space="preserve"> </w:t>
      </w:r>
      <w:r w:rsidRPr="000E3A43">
        <w:rPr>
          <w:rFonts w:cs="Times New Roman"/>
        </w:rPr>
        <w:t xml:space="preserve">offences that are at odds with the “direct link” requirement. Consider, for example, the </w:t>
      </w:r>
      <w:r w:rsidRPr="00FD7525">
        <w:rPr>
          <w:rFonts w:cs="Times New Roman"/>
        </w:rPr>
        <w:t>CSD</w:t>
      </w:r>
      <w:r w:rsidRPr="000E3A43">
        <w:rPr>
          <w:rFonts w:cs="Times New Roman"/>
        </w:rPr>
        <w:t xml:space="preserve"> offence of “stealing”, which does not take into account whether the offence was committed in military circumstances: s. 114.  In addition, several military offences are </w:t>
      </w:r>
      <w:r w:rsidRPr="000E3A43">
        <w:rPr>
          <w:rFonts w:cs="Times New Roman"/>
        </w:rPr>
        <w:lastRenderedPageBreak/>
        <w:t>grouped under the heading “Disgraceful Conduct”, and target a number of generally wrongful acts</w:t>
      </w:r>
      <w:r w:rsidR="002626A4">
        <w:rPr>
          <w:rFonts w:cs="Times New Roman"/>
        </w:rPr>
        <w:t>: ss. 92 to 98</w:t>
      </w:r>
      <w:r w:rsidRPr="000E3A43">
        <w:rPr>
          <w:rFonts w:cs="Times New Roman"/>
        </w:rPr>
        <w:t xml:space="preserve">.  They include scandalous conduct by officers and drunkenness with no requirement that the offence have any link to the military beyond the military status of the accused.  It does not matter whether the person subject to the </w:t>
      </w:r>
      <w:r w:rsidRPr="00FD7525">
        <w:rPr>
          <w:rFonts w:cs="Times New Roman"/>
        </w:rPr>
        <w:t>CSD</w:t>
      </w:r>
      <w:r w:rsidRPr="000E3A43">
        <w:rPr>
          <w:rFonts w:cs="Times New Roman"/>
        </w:rPr>
        <w:t xml:space="preserve"> is on active service or duty, although the term of imprisonment is shorter if that is not the case. </w:t>
      </w:r>
    </w:p>
    <w:p w:rsidR="006977A9" w:rsidRPr="000E3A43" w:rsidRDefault="006977A9" w:rsidP="009B303A">
      <w:pPr>
        <w:pStyle w:val="ParaNoNdepar-AltN"/>
        <w:widowControl w:val="0"/>
        <w:rPr>
          <w:rFonts w:cs="Times New Roman"/>
        </w:rPr>
      </w:pPr>
      <w:r w:rsidRPr="000E3A43">
        <w:rPr>
          <w:rFonts w:cs="Times New Roman"/>
        </w:rPr>
        <w:t>Viewed in the context of the overall thrust of the scheme, ss</w:t>
      </w:r>
      <w:r>
        <w:rPr>
          <w:rFonts w:cs="Times New Roman"/>
        </w:rPr>
        <w:t>.</w:t>
      </w:r>
      <w:r w:rsidRPr="000E3A43">
        <w:rPr>
          <w:rFonts w:cs="Times New Roman"/>
        </w:rPr>
        <w:t> 130(1</w:t>
      </w:r>
      <w:proofErr w:type="gramStart"/>
      <w:r w:rsidRPr="000E3A43">
        <w:rPr>
          <w:rFonts w:cs="Times New Roman"/>
        </w:rPr>
        <w:t>)(</w:t>
      </w:r>
      <w:proofErr w:type="gramEnd"/>
      <w:r w:rsidRPr="000E3A43">
        <w:rPr>
          <w:rFonts w:cs="Times New Roman"/>
          <w:i/>
        </w:rPr>
        <w:t>a</w:t>
      </w:r>
      <w:r w:rsidRPr="000E3A43">
        <w:rPr>
          <w:rFonts w:cs="Times New Roman"/>
        </w:rPr>
        <w:t>) and 117(</w:t>
      </w:r>
      <w:r w:rsidRPr="000E3A43">
        <w:rPr>
          <w:rFonts w:cs="Times New Roman"/>
          <w:i/>
        </w:rPr>
        <w:t>f</w:t>
      </w:r>
      <w:r w:rsidRPr="000E3A43">
        <w:rPr>
          <w:rFonts w:cs="Times New Roman"/>
        </w:rPr>
        <w:t xml:space="preserve">), while broad, are hardly outliers.  They reflect and are consistent with the overall thrust of the scheme to include offences when committed by an individual subject to the </w:t>
      </w:r>
      <w:r w:rsidRPr="00FD7525">
        <w:rPr>
          <w:rFonts w:cs="Times New Roman"/>
        </w:rPr>
        <w:t>CSD</w:t>
      </w:r>
      <w:r w:rsidRPr="000E3A43">
        <w:rPr>
          <w:rFonts w:cs="Times New Roman"/>
        </w:rPr>
        <w:t xml:space="preserve"> regardless of what other link may or may not exist between the circumstances of the offence and the military. This is inconsistent with the narrower purpose proposed by the appellants. It follows that the appellants’ formulation of legislative purpose not only finds no support in the provisions but is inconsistent with central components of the legislative scheme.</w:t>
      </w:r>
    </w:p>
    <w:p w:rsidR="006977A9" w:rsidRPr="000E3A43" w:rsidRDefault="006977A9" w:rsidP="009B303A">
      <w:pPr>
        <w:pStyle w:val="ParaNoNdepar-AltN"/>
        <w:widowControl w:val="0"/>
        <w:rPr>
          <w:rFonts w:cs="Times New Roman"/>
        </w:rPr>
      </w:pPr>
      <w:r w:rsidRPr="000E3A43">
        <w:rPr>
          <w:rFonts w:cs="Times New Roman"/>
        </w:rPr>
        <w:t xml:space="preserve">The analysis by the CMAC is, with respect, flawed in the same way. </w:t>
      </w:r>
      <w:r>
        <w:rPr>
          <w:rFonts w:cs="Times New Roman"/>
        </w:rPr>
        <w:t>The c</w:t>
      </w:r>
      <w:r w:rsidRPr="000E3A43">
        <w:rPr>
          <w:rFonts w:cs="Times New Roman"/>
        </w:rPr>
        <w:t>ourt first read into the text of the legislation a limitation requiring a military nexus. It did so acknowledging that the scope of s. 130(1</w:t>
      </w:r>
      <w:proofErr w:type="gramStart"/>
      <w:r w:rsidRPr="000E3A43">
        <w:rPr>
          <w:rFonts w:cs="Times New Roman"/>
        </w:rPr>
        <w:t>)(</w:t>
      </w:r>
      <w:proofErr w:type="gramEnd"/>
      <w:r w:rsidRPr="000E3A43">
        <w:rPr>
          <w:rFonts w:cs="Times New Roman"/>
          <w:i/>
        </w:rPr>
        <w:t>a</w:t>
      </w:r>
      <w:r w:rsidRPr="000E3A43">
        <w:rPr>
          <w:rFonts w:cs="Times New Roman"/>
        </w:rPr>
        <w:t xml:space="preserve">) includes virtually every act or omission punishable under any Act of Parliament irrespective of its nature and the circumstances of its commission: </w:t>
      </w:r>
      <w:proofErr w:type="spellStart"/>
      <w:r w:rsidR="002626A4" w:rsidRPr="002626A4">
        <w:rPr>
          <w:rFonts w:cs="Times New Roman"/>
          <w:i/>
        </w:rPr>
        <w:t>Moriarity</w:t>
      </w:r>
      <w:proofErr w:type="spellEnd"/>
      <w:r w:rsidR="002626A4">
        <w:rPr>
          <w:rFonts w:cs="Times New Roman"/>
        </w:rPr>
        <w:t xml:space="preserve">, at </w:t>
      </w:r>
      <w:r w:rsidRPr="000E3A43">
        <w:rPr>
          <w:rFonts w:cs="Times New Roman"/>
        </w:rPr>
        <w:t>para. 41. It also did so without considering the many other aspects of the scheme that are inconsistent with the military nexus limitation.  The result of “reading in” this limitation was to foreclose any meaningful engagement with the question of whether the effects of the challenged provisions were rationally connected to the discipline</w:t>
      </w:r>
      <w:r>
        <w:rPr>
          <w:rFonts w:cs="Times New Roman"/>
        </w:rPr>
        <w:t>,</w:t>
      </w:r>
      <w:r w:rsidRPr="000E3A43">
        <w:rPr>
          <w:rFonts w:cs="Times New Roman"/>
        </w:rPr>
        <w:t xml:space="preserve"> efficiency </w:t>
      </w:r>
      <w:r>
        <w:rPr>
          <w:rFonts w:cs="Times New Roman"/>
        </w:rPr>
        <w:t xml:space="preserve">and morale of the </w:t>
      </w:r>
      <w:r>
        <w:rPr>
          <w:rFonts w:cs="Times New Roman"/>
        </w:rPr>
        <w:lastRenderedPageBreak/>
        <w:t>a</w:t>
      </w:r>
      <w:r w:rsidRPr="000E3A43">
        <w:rPr>
          <w:rFonts w:cs="Times New Roman"/>
        </w:rPr>
        <w:t xml:space="preserve">rmed </w:t>
      </w:r>
      <w:r>
        <w:rPr>
          <w:rFonts w:cs="Times New Roman"/>
        </w:rPr>
        <w:t>f</w:t>
      </w:r>
      <w:r w:rsidRPr="000E3A43">
        <w:rPr>
          <w:rFonts w:cs="Times New Roman"/>
        </w:rPr>
        <w:t>orces.</w:t>
      </w:r>
    </w:p>
    <w:p w:rsidR="006977A9" w:rsidRPr="000E3A43" w:rsidRDefault="006977A9" w:rsidP="009B303A">
      <w:pPr>
        <w:pStyle w:val="ParaNoNdepar-AltN"/>
        <w:widowControl w:val="0"/>
        <w:rPr>
          <w:rFonts w:cs="Times New Roman"/>
        </w:rPr>
      </w:pPr>
      <w:r w:rsidRPr="000E3A43">
        <w:rPr>
          <w:rFonts w:cs="Times New Roman"/>
        </w:rPr>
        <w:t xml:space="preserve">The appellants also rely on a sentence from Lamer C.J. in </w:t>
      </w:r>
      <w:r w:rsidRPr="000E3A43">
        <w:rPr>
          <w:rFonts w:cs="Times New Roman"/>
          <w:i/>
        </w:rPr>
        <w:t xml:space="preserve">R. v. </w:t>
      </w:r>
      <w:proofErr w:type="spellStart"/>
      <w:r w:rsidRPr="000E3A43">
        <w:rPr>
          <w:rFonts w:cs="Times New Roman"/>
          <w:i/>
        </w:rPr>
        <w:t>Généreux</w:t>
      </w:r>
      <w:proofErr w:type="spellEnd"/>
      <w:r w:rsidRPr="000E3A43">
        <w:rPr>
          <w:rFonts w:cs="Times New Roman"/>
        </w:rPr>
        <w:t xml:space="preserve">, [1992] 1 S.C.R. 259, and on legislative history to support their narrower articulation of the provisions’ objective. However, neither submission is persuasive. </w:t>
      </w:r>
    </w:p>
    <w:p w:rsidR="006977A9" w:rsidRPr="000E3A43" w:rsidRDefault="006977A9" w:rsidP="009B303A">
      <w:pPr>
        <w:pStyle w:val="ParaNoNdepar-AltN"/>
        <w:widowControl w:val="0"/>
        <w:rPr>
          <w:rFonts w:cs="Times New Roman"/>
        </w:rPr>
      </w:pPr>
      <w:r w:rsidRPr="000E3A43">
        <w:rPr>
          <w:rFonts w:cs="Times New Roman"/>
        </w:rPr>
        <w:t>The appe</w:t>
      </w:r>
      <w:r>
        <w:rPr>
          <w:rFonts w:cs="Times New Roman"/>
        </w:rPr>
        <w:t xml:space="preserve">llants rely on the statement made by Lamer C.J. </w:t>
      </w:r>
      <w:r w:rsidRPr="000E3A43">
        <w:rPr>
          <w:rFonts w:cs="Times New Roman"/>
        </w:rPr>
        <w:t xml:space="preserve">in </w:t>
      </w:r>
      <w:proofErr w:type="spellStart"/>
      <w:r w:rsidRPr="000E3A43">
        <w:rPr>
          <w:rFonts w:cs="Times New Roman"/>
          <w:i/>
        </w:rPr>
        <w:t>Généreux</w:t>
      </w:r>
      <w:proofErr w:type="spellEnd"/>
      <w:r>
        <w:rPr>
          <w:rFonts w:cs="Times New Roman"/>
        </w:rPr>
        <w:t xml:space="preserve"> (at p.</w:t>
      </w:r>
      <w:r w:rsidRPr="000E3A43">
        <w:rPr>
          <w:rFonts w:cs="Times New Roman"/>
        </w:rPr>
        <w:t xml:space="preserve"> 293</w:t>
      </w:r>
      <w:r>
        <w:rPr>
          <w:rFonts w:cs="Times New Roman"/>
        </w:rPr>
        <w:t>)</w:t>
      </w:r>
      <w:r w:rsidRPr="000E3A43">
        <w:rPr>
          <w:rFonts w:cs="Times New Roman"/>
        </w:rPr>
        <w:t xml:space="preserve"> that </w:t>
      </w:r>
      <w:r>
        <w:rPr>
          <w:rFonts w:cs="Times New Roman"/>
        </w:rPr>
        <w:t>“[</w:t>
      </w:r>
      <w:r w:rsidRPr="000E3A43">
        <w:rPr>
          <w:rFonts w:cs="Times New Roman"/>
        </w:rPr>
        <w:t>t</w:t>
      </w:r>
      <w:r>
        <w:rPr>
          <w:rFonts w:cs="Times New Roman"/>
        </w:rPr>
        <w:t>]</w:t>
      </w:r>
      <w:r w:rsidRPr="000E3A43">
        <w:rPr>
          <w:rFonts w:cs="Times New Roman"/>
        </w:rPr>
        <w:t>he purpose of a separate system of military tribunals is to allow the Armed Forces to deal with matters that pertain directly to the discipline, efficiency and morale of the military.” This statement, however, does not in my opinion settle the purpose of the challenged provisions in this case, for two reasons.</w:t>
      </w:r>
    </w:p>
    <w:p w:rsidR="006977A9" w:rsidRPr="000E3A43" w:rsidRDefault="006977A9" w:rsidP="009B303A">
      <w:pPr>
        <w:pStyle w:val="ParaNoNdepar-AltN"/>
        <w:widowControl w:val="0"/>
        <w:rPr>
          <w:rFonts w:cs="Times New Roman"/>
        </w:rPr>
      </w:pPr>
      <w:r w:rsidRPr="000E3A43">
        <w:rPr>
          <w:rFonts w:cs="Times New Roman"/>
        </w:rPr>
        <w:t xml:space="preserve">First, the use by Lamer C.J. of the words “pertain directly” should not be understood as limiting the scope of the purpose to offences occurring in military circumstances. The facts as reported in the Chief Justice’s judgment in </w:t>
      </w:r>
      <w:proofErr w:type="spellStart"/>
      <w:r w:rsidRPr="000E3A43">
        <w:rPr>
          <w:rFonts w:cs="Times New Roman"/>
          <w:i/>
        </w:rPr>
        <w:t>Généreux</w:t>
      </w:r>
      <w:proofErr w:type="spellEnd"/>
      <w:r w:rsidRPr="000E3A43">
        <w:rPr>
          <w:rFonts w:cs="Times New Roman"/>
        </w:rPr>
        <w:t xml:space="preserve"> show that</w:t>
      </w:r>
      <w:r>
        <w:rPr>
          <w:rFonts w:cs="Times New Roman"/>
        </w:rPr>
        <w:t>,</w:t>
      </w:r>
      <w:r w:rsidRPr="000E3A43">
        <w:rPr>
          <w:rFonts w:cs="Times New Roman"/>
        </w:rPr>
        <w:t xml:space="preserve"> at least arguably, the drug offences charged in that case did not arise in such circumstances. The civilian police found drugs in the soldier’s residence outside the base where he was stationed.  Adopting </w:t>
      </w:r>
      <w:r>
        <w:rPr>
          <w:rFonts w:cs="Times New Roman"/>
        </w:rPr>
        <w:t>Lamer C.J.’s</w:t>
      </w:r>
      <w:r w:rsidRPr="000E3A43">
        <w:rPr>
          <w:rFonts w:cs="Times New Roman"/>
        </w:rPr>
        <w:t xml:space="preserve"> statement of the purpose as definitive would in my respectful view read too much </w:t>
      </w:r>
      <w:r>
        <w:rPr>
          <w:rFonts w:cs="Times New Roman"/>
        </w:rPr>
        <w:t>into his</w:t>
      </w:r>
      <w:r w:rsidRPr="000E3A43">
        <w:rPr>
          <w:rFonts w:cs="Times New Roman"/>
        </w:rPr>
        <w:t xml:space="preserve"> reasons.  Second, this statement must be read in light of another statement of purpose in the same judgment. In considering whether the proceedings were intended to promote public order and welfare within a public sphere of activity, </w:t>
      </w:r>
      <w:r>
        <w:rPr>
          <w:rFonts w:cs="Times New Roman"/>
        </w:rPr>
        <w:t>Lamer C.J.</w:t>
      </w:r>
      <w:r w:rsidRPr="000E3A43">
        <w:rPr>
          <w:rFonts w:cs="Times New Roman"/>
        </w:rPr>
        <w:t xml:space="preserve"> referred to a broader understanding of the purpose of the scheme:</w:t>
      </w:r>
    </w:p>
    <w:p w:rsidR="006977A9" w:rsidRPr="000E3A43" w:rsidRDefault="006977A9" w:rsidP="009B303A">
      <w:pPr>
        <w:pStyle w:val="Citation-AltC"/>
        <w:widowControl w:val="0"/>
      </w:pPr>
      <w:r w:rsidRPr="000E3A43">
        <w:t xml:space="preserve">Although the Code of Service Discipline is primarily concerned with maintaining discipline and integrity in the Canadian Armed Forces, </w:t>
      </w:r>
      <w:r w:rsidRPr="000E3A43">
        <w:rPr>
          <w:u w:val="single"/>
        </w:rPr>
        <w:t xml:space="preserve">it does </w:t>
      </w:r>
      <w:r w:rsidRPr="000E3A43">
        <w:rPr>
          <w:u w:val="single"/>
        </w:rPr>
        <w:lastRenderedPageBreak/>
        <w:t>not serve merely to regulate conduct that undermines such discipline and integrity</w:t>
      </w:r>
      <w:r w:rsidRPr="000E3A43">
        <w:t>. The Code serves a public function as well by punishing specific conduct which threatens public order and welfare. [</w:t>
      </w:r>
      <w:r>
        <w:t>E</w:t>
      </w:r>
      <w:r w:rsidRPr="000E3A43">
        <w:t>mphasis added</w:t>
      </w:r>
      <w:r>
        <w:t>; p. 281.</w:t>
      </w:r>
      <w:r w:rsidRPr="000E3A43">
        <w:t>]</w:t>
      </w:r>
    </w:p>
    <w:p w:rsidR="006977A9" w:rsidRPr="000E3A43" w:rsidRDefault="006977A9" w:rsidP="009B303A">
      <w:pPr>
        <w:pStyle w:val="ParaNoNdepar-AltN"/>
        <w:widowControl w:val="0"/>
        <w:rPr>
          <w:rFonts w:cs="Times New Roman"/>
        </w:rPr>
      </w:pPr>
      <w:r w:rsidRPr="000E3A43">
        <w:rPr>
          <w:rFonts w:cs="Times New Roman"/>
        </w:rPr>
        <w:t>For these reasons, I do not consider the language used by Lamer C.J. as an authoritative pronouncement on the object of the provisions which are challenged here.</w:t>
      </w:r>
    </w:p>
    <w:p w:rsidR="006977A9" w:rsidRPr="000E3A43" w:rsidRDefault="006977A9" w:rsidP="009B303A">
      <w:pPr>
        <w:pStyle w:val="ParaNoNdepar-AltN"/>
        <w:widowControl w:val="0"/>
        <w:rPr>
          <w:rFonts w:cs="Times New Roman"/>
        </w:rPr>
      </w:pPr>
      <w:r w:rsidRPr="000E3A43">
        <w:rPr>
          <w:rFonts w:cs="Times New Roman"/>
        </w:rPr>
        <w:t>The appellants</w:t>
      </w:r>
      <w:r>
        <w:rPr>
          <w:rFonts w:cs="Times New Roman"/>
        </w:rPr>
        <w:t xml:space="preserve"> also</w:t>
      </w:r>
      <w:r w:rsidRPr="000E3A43">
        <w:rPr>
          <w:rFonts w:cs="Times New Roman"/>
        </w:rPr>
        <w:t xml:space="preserve"> rely on certain statements made during legislative debates, as did the CMAC. Respectfully, these go no further than dealing with the relationship between civil</w:t>
      </w:r>
      <w:r w:rsidR="002626A4">
        <w:rPr>
          <w:rFonts w:cs="Times New Roman"/>
        </w:rPr>
        <w:t>ian</w:t>
      </w:r>
      <w:r w:rsidRPr="000E3A43">
        <w:rPr>
          <w:rFonts w:cs="Times New Roman"/>
        </w:rPr>
        <w:t xml:space="preserve"> criminal courts and service tribunals.</w:t>
      </w:r>
    </w:p>
    <w:p w:rsidR="006977A9" w:rsidRPr="000E3A43" w:rsidRDefault="006977A9" w:rsidP="009B303A">
      <w:pPr>
        <w:pStyle w:val="ParaNoNdepar-AltN"/>
        <w:widowControl w:val="0"/>
        <w:rPr>
          <w:rFonts w:cs="Times New Roman"/>
        </w:rPr>
      </w:pPr>
      <w:r w:rsidRPr="000E3A43">
        <w:rPr>
          <w:rFonts w:cs="Times New Roman"/>
        </w:rPr>
        <w:t>I conclude that Parliament’s objective in creating the military justice system was to provide processes that would assure the maintenance of discipline, efficiency and morale of the military. That objective, for the purposes of the overbreadth analysis, should not be understood as being restricted to providing for the prosecution of offences which have a direct link to those values. The challenged provisions are broad laws which have to be understood as furthering the purpose of the system of military justice.  Both s. 130(1</w:t>
      </w:r>
      <w:proofErr w:type="gramStart"/>
      <w:r w:rsidRPr="000E3A43">
        <w:rPr>
          <w:rFonts w:cs="Times New Roman"/>
        </w:rPr>
        <w:t>)(</w:t>
      </w:r>
      <w:proofErr w:type="gramEnd"/>
      <w:r w:rsidRPr="000E3A43">
        <w:rPr>
          <w:rFonts w:cs="Times New Roman"/>
          <w:i/>
        </w:rPr>
        <w:t>a</w:t>
      </w:r>
      <w:r w:rsidRPr="000E3A43">
        <w:rPr>
          <w:rFonts w:cs="Times New Roman"/>
        </w:rPr>
        <w:t>) and s. 117(</w:t>
      </w:r>
      <w:r w:rsidRPr="000E3A43">
        <w:rPr>
          <w:rFonts w:cs="Times New Roman"/>
          <w:i/>
        </w:rPr>
        <w:t>f</w:t>
      </w:r>
      <w:r w:rsidRPr="000E3A43">
        <w:rPr>
          <w:rFonts w:cs="Times New Roman"/>
        </w:rPr>
        <w:t>)’s purpose is to maintain discipline, efficiency and morale in the military.  The real question, as I see it, is whether there is a rational connection between that purpose and the effects of the challenged provisions.</w:t>
      </w:r>
    </w:p>
    <w:p w:rsidR="006977A9" w:rsidRPr="003F529A" w:rsidRDefault="006977A9" w:rsidP="009B303A">
      <w:pPr>
        <w:pStyle w:val="Title3LevelTitre3Niveau"/>
        <w:widowControl w:val="0"/>
      </w:pPr>
      <w:r>
        <w:t>The Respondent’s P</w:t>
      </w:r>
      <w:r w:rsidRPr="003F529A">
        <w:t xml:space="preserve">urpose </w:t>
      </w:r>
      <w:r>
        <w:t>I</w:t>
      </w:r>
      <w:r w:rsidRPr="003F529A">
        <w:t xml:space="preserve">s </w:t>
      </w:r>
      <w:r>
        <w:t>Too B</w:t>
      </w:r>
      <w:r w:rsidRPr="003F529A">
        <w:t>road</w:t>
      </w:r>
    </w:p>
    <w:p w:rsidR="006977A9" w:rsidRPr="000E3A43" w:rsidRDefault="006977A9" w:rsidP="009B303A">
      <w:pPr>
        <w:pStyle w:val="ParaNoNdepar-AltN"/>
        <w:widowControl w:val="0"/>
        <w:rPr>
          <w:rFonts w:cs="Times New Roman"/>
        </w:rPr>
      </w:pPr>
      <w:r w:rsidRPr="000E3A43">
        <w:rPr>
          <w:rFonts w:cs="Times New Roman"/>
        </w:rPr>
        <w:t xml:space="preserve">The respondent agrees that the purpose of the </w:t>
      </w:r>
      <w:r w:rsidRPr="00FD7525">
        <w:rPr>
          <w:rFonts w:cs="Times New Roman"/>
        </w:rPr>
        <w:t>CSD</w:t>
      </w:r>
      <w:r w:rsidRPr="000E3A43">
        <w:rPr>
          <w:rFonts w:cs="Times New Roman"/>
          <w:i/>
        </w:rPr>
        <w:t xml:space="preserve"> </w:t>
      </w:r>
      <w:r w:rsidRPr="000E3A43">
        <w:rPr>
          <w:rFonts w:cs="Times New Roman"/>
        </w:rPr>
        <w:t xml:space="preserve">as a whole is to maintain discipline, efficiency and morale in the military. However, the respondent submits that </w:t>
      </w:r>
      <w:r w:rsidRPr="000E3A43">
        <w:rPr>
          <w:rFonts w:cs="Times New Roman"/>
        </w:rPr>
        <w:lastRenderedPageBreak/>
        <w:t xml:space="preserve">this is not its only purpose. The respondent relies on </w:t>
      </w:r>
      <w:proofErr w:type="spellStart"/>
      <w:r w:rsidRPr="000E3A43">
        <w:rPr>
          <w:rFonts w:cs="Times New Roman"/>
          <w:i/>
        </w:rPr>
        <w:t>Généreux</w:t>
      </w:r>
      <w:proofErr w:type="spellEnd"/>
      <w:r w:rsidRPr="000E3A43">
        <w:rPr>
          <w:rFonts w:cs="Times New Roman"/>
        </w:rPr>
        <w:t xml:space="preserve"> for the proposition that the purpose of the scheme and of the challenged provisions includes a broader public function of punishing specific conduct which threatens public order and welfare. For the reasons already given, </w:t>
      </w:r>
      <w:proofErr w:type="spellStart"/>
      <w:r w:rsidRPr="000E3A43">
        <w:rPr>
          <w:rFonts w:cs="Times New Roman"/>
          <w:i/>
        </w:rPr>
        <w:t>Généreux</w:t>
      </w:r>
      <w:proofErr w:type="spellEnd"/>
      <w:r w:rsidRPr="000E3A43">
        <w:rPr>
          <w:rFonts w:cs="Times New Roman"/>
        </w:rPr>
        <w:t xml:space="preserve"> cannot be taken as settling the purpose of the challenged provisions in the context of this s. 7 overbreadth analysis. Moreover, this statement of purpose includes both the </w:t>
      </w:r>
      <w:r>
        <w:rPr>
          <w:rFonts w:cs="Times New Roman"/>
        </w:rPr>
        <w:t xml:space="preserve">scheme’s </w:t>
      </w:r>
      <w:r w:rsidRPr="000E3A43">
        <w:rPr>
          <w:rFonts w:cs="Times New Roman"/>
        </w:rPr>
        <w:t>objective and its effects in a way that is unhelpful for the purposes of an overbreadth analysis.</w:t>
      </w:r>
    </w:p>
    <w:p w:rsidR="006977A9" w:rsidRPr="000E3A43" w:rsidRDefault="006977A9" w:rsidP="009B303A">
      <w:pPr>
        <w:pStyle w:val="Title3LevelTitre3Niveau"/>
        <w:widowControl w:val="0"/>
        <w:rPr>
          <w:rFonts w:cs="Times New Roman"/>
        </w:rPr>
      </w:pPr>
      <w:r>
        <w:rPr>
          <w:rFonts w:cs="Times New Roman"/>
        </w:rPr>
        <w:t>Conclusion on P</w:t>
      </w:r>
      <w:r w:rsidRPr="000E3A43">
        <w:rPr>
          <w:rFonts w:cs="Times New Roman"/>
        </w:rPr>
        <w:t>urpose</w:t>
      </w:r>
    </w:p>
    <w:p w:rsidR="006977A9" w:rsidRPr="000E3A43" w:rsidRDefault="006977A9" w:rsidP="009B303A">
      <w:pPr>
        <w:pStyle w:val="ParaNoNdepar-AltN"/>
        <w:widowControl w:val="0"/>
        <w:rPr>
          <w:rFonts w:cs="Times New Roman"/>
        </w:rPr>
      </w:pPr>
      <w:r w:rsidRPr="000E3A43">
        <w:rPr>
          <w:rFonts w:cs="Times New Roman"/>
        </w:rPr>
        <w:t>I conclude that the purpose of the challenged provisions is the same as that of the overall system of military justice: to maintain the discipline, efficiency and morale of the military. This statement of purpose is in my opinion firmly anchored in the legislative text understood in its full context, keeps the objective and means distinct and is expressed in succinct terms at an appropriate level of generality.</w:t>
      </w:r>
    </w:p>
    <w:p w:rsidR="006977A9" w:rsidRPr="000E3A43" w:rsidRDefault="006977A9" w:rsidP="009B303A">
      <w:pPr>
        <w:pStyle w:val="Title3LevelTitre3Niveau"/>
        <w:widowControl w:val="0"/>
        <w:rPr>
          <w:rFonts w:cs="Times New Roman"/>
        </w:rPr>
      </w:pPr>
      <w:r w:rsidRPr="000E3A43">
        <w:rPr>
          <w:rFonts w:cs="Times New Roman"/>
        </w:rPr>
        <w:t>The Rational Connection Between the Purpose of the Challenged Provisions and Their Effects</w:t>
      </w:r>
    </w:p>
    <w:p w:rsidR="006977A9" w:rsidRPr="000E3A43" w:rsidRDefault="006977A9" w:rsidP="009B303A">
      <w:pPr>
        <w:pStyle w:val="ParaNoNdepar-AltN"/>
        <w:widowControl w:val="0"/>
        <w:tabs>
          <w:tab w:val="clear" w:pos="1152"/>
          <w:tab w:val="left" w:pos="1166"/>
        </w:tabs>
        <w:rPr>
          <w:rFonts w:cs="Times New Roman"/>
        </w:rPr>
      </w:pPr>
      <w:r w:rsidRPr="000E3A43">
        <w:rPr>
          <w:rFonts w:cs="Times New Roman"/>
        </w:rPr>
        <w:t xml:space="preserve">The question is whether “the law is inherently bad because there is </w:t>
      </w:r>
      <w:r w:rsidRPr="000E3A43">
        <w:rPr>
          <w:rFonts w:cs="Times New Roman"/>
          <w:i/>
        </w:rPr>
        <w:t>no connection</w:t>
      </w:r>
      <w:r w:rsidRPr="000E3A43">
        <w:rPr>
          <w:rFonts w:cs="Times New Roman"/>
        </w:rPr>
        <w:t xml:space="preserve">, in whole or in part, between its effects and its purpose”: </w:t>
      </w:r>
      <w:r w:rsidRPr="000E3A43">
        <w:rPr>
          <w:rFonts w:cs="Times New Roman"/>
          <w:i/>
        </w:rPr>
        <w:t>Bedford</w:t>
      </w:r>
      <w:r w:rsidRPr="000E3A43">
        <w:rPr>
          <w:rFonts w:cs="Times New Roman"/>
        </w:rPr>
        <w:t xml:space="preserve">, at para. 119 (emphasis in original).  As discussed earlier, the challenged provisions make it an offence to engage in conduct prohibited under an underlying federal offence and to engage in fraudulent conduct.  Those offences apply regardless of the circumstances of the commission of the offence and their effect is to subject those who have committed these offences to the jurisdiction of service tribunals.  As I will explain, the </w:t>
      </w:r>
      <w:r w:rsidRPr="000E3A43">
        <w:rPr>
          <w:rFonts w:cs="Times New Roman"/>
        </w:rPr>
        <w:lastRenderedPageBreak/>
        <w:t>appellants have not shown that the fact that these offences apply in instances where the only military connection is the status of the accused is not rationally connected to the purpose of the challenged provisions.</w:t>
      </w:r>
    </w:p>
    <w:p w:rsidR="006977A9" w:rsidRPr="000E3A43" w:rsidRDefault="006977A9" w:rsidP="009B303A">
      <w:pPr>
        <w:pStyle w:val="ParaNoNdepar-AltN"/>
        <w:widowControl w:val="0"/>
        <w:tabs>
          <w:tab w:val="clear" w:pos="1152"/>
          <w:tab w:val="left" w:pos="1166"/>
        </w:tabs>
        <w:rPr>
          <w:rFonts w:cs="Times New Roman"/>
        </w:rPr>
      </w:pPr>
      <w:r w:rsidRPr="00524536">
        <w:rPr>
          <w:rFonts w:cs="Times New Roman"/>
        </w:rPr>
        <w:t>The appellants take a narrow view of the meaning of “discipline, efficiency and morale”.  In their view, it is strictly limited to the [</w:t>
      </w:r>
      <w:r w:rsidRPr="00524536">
        <w:rPr>
          <w:rFonts w:cs="Times New Roman"/>
          <w:smallCaps/>
        </w:rPr>
        <w:t>translation</w:t>
      </w:r>
      <w:r w:rsidRPr="00524536">
        <w:rPr>
          <w:rFonts w:cs="Times New Roman"/>
        </w:rPr>
        <w:t xml:space="preserve">] “operational effectiveness of the </w:t>
      </w:r>
      <w:r w:rsidR="002626A4">
        <w:rPr>
          <w:rFonts w:cs="Times New Roman"/>
        </w:rPr>
        <w:t>[</w:t>
      </w:r>
      <w:r w:rsidRPr="00524536">
        <w:rPr>
          <w:rFonts w:cs="Times New Roman"/>
        </w:rPr>
        <w:t>C</w:t>
      </w:r>
      <w:r w:rsidR="002626A4">
        <w:rPr>
          <w:rFonts w:cs="Times New Roman"/>
        </w:rPr>
        <w:t xml:space="preserve">anadian </w:t>
      </w:r>
      <w:r w:rsidRPr="00524536">
        <w:rPr>
          <w:rFonts w:cs="Times New Roman"/>
        </w:rPr>
        <w:t>A</w:t>
      </w:r>
      <w:r w:rsidR="002626A4">
        <w:rPr>
          <w:rFonts w:cs="Times New Roman"/>
        </w:rPr>
        <w:t xml:space="preserve">rmed </w:t>
      </w:r>
      <w:r w:rsidRPr="00524536">
        <w:rPr>
          <w:rFonts w:cs="Times New Roman"/>
        </w:rPr>
        <w:t>F</w:t>
      </w:r>
      <w:r w:rsidR="002626A4">
        <w:rPr>
          <w:rFonts w:cs="Times New Roman"/>
        </w:rPr>
        <w:t>orces]</w:t>
      </w:r>
      <w:r w:rsidRPr="00524536">
        <w:rPr>
          <w:rFonts w:cs="Times New Roman"/>
        </w:rPr>
        <w:t xml:space="preserve">”: </w:t>
      </w:r>
      <w:r>
        <w:rPr>
          <w:rFonts w:cs="Times New Roman"/>
        </w:rPr>
        <w:t>A.F. (Arsenault), at para. 37.</w:t>
      </w:r>
      <w:r w:rsidRPr="000E3A43">
        <w:rPr>
          <w:rFonts w:cs="Times New Roman"/>
        </w:rPr>
        <w:t xml:space="preserve">  Thus, conduct or circumstances that do not relate di</w:t>
      </w:r>
      <w:r>
        <w:rPr>
          <w:rFonts w:cs="Times New Roman"/>
        </w:rPr>
        <w:t>rectly to the operation of the a</w:t>
      </w:r>
      <w:r w:rsidRPr="000E3A43">
        <w:rPr>
          <w:rFonts w:cs="Times New Roman"/>
        </w:rPr>
        <w:t xml:space="preserve">rmed </w:t>
      </w:r>
      <w:r>
        <w:rPr>
          <w:rFonts w:cs="Times New Roman"/>
        </w:rPr>
        <w:t>f</w:t>
      </w:r>
      <w:r w:rsidRPr="000E3A43">
        <w:rPr>
          <w:rFonts w:cs="Times New Roman"/>
        </w:rPr>
        <w:t>orces would not fall within that purpose.  This would be the case with most offences committed off</w:t>
      </w:r>
      <w:r>
        <w:rPr>
          <w:rFonts w:cs="Times New Roman"/>
        </w:rPr>
        <w:t xml:space="preserve"> </w:t>
      </w:r>
      <w:r w:rsidRPr="000E3A43">
        <w:rPr>
          <w:rFonts w:cs="Times New Roman"/>
        </w:rPr>
        <w:t>duty and outside of military precincts.</w:t>
      </w:r>
    </w:p>
    <w:p w:rsidR="006977A9" w:rsidRPr="000E3A43" w:rsidRDefault="006977A9" w:rsidP="009B303A">
      <w:pPr>
        <w:pStyle w:val="ParaNoNdepar-AltN"/>
        <w:widowControl w:val="0"/>
        <w:rPr>
          <w:rFonts w:cs="Times New Roman"/>
        </w:rPr>
      </w:pPr>
      <w:r w:rsidRPr="000E3A43">
        <w:rPr>
          <w:rFonts w:cs="Times New Roman"/>
        </w:rPr>
        <w:t>The flaw in this position is that it is based on too narrow an understanding of how the effects of the provisions are connected to that purpose. The objective of maintaining “discipline, efficiency and morale” is rationally connected to dealing with criminal actions committed by members of the military even when not occurring in military circumstances. In light of this, the appellants fail to show that ss. 130(1</w:t>
      </w:r>
      <w:proofErr w:type="gramStart"/>
      <w:r w:rsidRPr="000E3A43">
        <w:rPr>
          <w:rFonts w:cs="Times New Roman"/>
        </w:rPr>
        <w:t>)(</w:t>
      </w:r>
      <w:proofErr w:type="gramEnd"/>
      <w:r w:rsidRPr="000E3A43">
        <w:rPr>
          <w:rFonts w:cs="Times New Roman"/>
          <w:i/>
        </w:rPr>
        <w:t>a</w:t>
      </w:r>
      <w:r w:rsidRPr="000E3A43">
        <w:rPr>
          <w:rFonts w:cs="Times New Roman"/>
        </w:rPr>
        <w:t>) and 117(</w:t>
      </w:r>
      <w:r w:rsidRPr="000E3A43">
        <w:rPr>
          <w:rFonts w:cs="Times New Roman"/>
          <w:i/>
        </w:rPr>
        <w:t>f</w:t>
      </w:r>
      <w:r w:rsidRPr="000E3A43">
        <w:rPr>
          <w:rFonts w:cs="Times New Roman"/>
        </w:rPr>
        <w:t>) cover conduct that falls outside of their purpose.</w:t>
      </w:r>
    </w:p>
    <w:p w:rsidR="006977A9" w:rsidRPr="000E3A43" w:rsidRDefault="006977A9" w:rsidP="009B303A">
      <w:pPr>
        <w:pStyle w:val="ParaNoNdepar-AltN"/>
        <w:widowControl w:val="0"/>
        <w:tabs>
          <w:tab w:val="clear" w:pos="1152"/>
          <w:tab w:val="left" w:pos="1166"/>
        </w:tabs>
        <w:rPr>
          <w:rFonts w:cs="Times New Roman"/>
        </w:rPr>
      </w:pPr>
      <w:r w:rsidRPr="000E3A43">
        <w:rPr>
          <w:rFonts w:cs="Times New Roman"/>
        </w:rPr>
        <w:t xml:space="preserve">Criminal or fraudulent conduct, even when committed in circumstances that are not directly related to military duties, may have an impact on the standard of discipline, efficiency and morale.  For instance, the fact that a member of the military has committed an assault in a civil context </w:t>
      </w:r>
      <w:r>
        <w:rPr>
          <w:rFonts w:cs="Times New Roman"/>
        </w:rPr>
        <w:t>—</w:t>
      </w:r>
      <w:r w:rsidRPr="000E3A43">
        <w:rPr>
          <w:rFonts w:cs="Times New Roman"/>
        </w:rPr>
        <w:t xml:space="preserve"> a hypothetical scenario raised by S</w:t>
      </w:r>
      <w:r w:rsidR="002626A4">
        <w:rPr>
          <w:rFonts w:cs="Times New Roman"/>
        </w:rPr>
        <w:t>ergeant</w:t>
      </w:r>
      <w:r w:rsidRPr="000E3A43">
        <w:rPr>
          <w:rFonts w:cs="Times New Roman"/>
        </w:rPr>
        <w:t xml:space="preserve"> Arsenault</w:t>
      </w:r>
      <w:r>
        <w:rPr>
          <w:rFonts w:cs="Times New Roman"/>
        </w:rPr>
        <w:t xml:space="preserve"> — </w:t>
      </w:r>
      <w:r w:rsidRPr="000E3A43">
        <w:rPr>
          <w:rFonts w:cs="Times New Roman"/>
        </w:rPr>
        <w:t xml:space="preserve">may call into question that individual’s capacity to show discipline in a military environment and to respect military authorities.  The fact that the offence has occurred outside a military context does not make it irrational to conclude that the </w:t>
      </w:r>
      <w:r w:rsidRPr="000E3A43">
        <w:rPr>
          <w:rFonts w:cs="Times New Roman"/>
        </w:rPr>
        <w:lastRenderedPageBreak/>
        <w:t>prosecution of the offence is related to the discipline</w:t>
      </w:r>
      <w:r>
        <w:rPr>
          <w:rFonts w:cs="Times New Roman"/>
        </w:rPr>
        <w:t>,</w:t>
      </w:r>
      <w:r w:rsidRPr="000E3A43">
        <w:rPr>
          <w:rFonts w:cs="Times New Roman"/>
        </w:rPr>
        <w:t xml:space="preserve"> efficiency and morale of the military.  </w:t>
      </w:r>
    </w:p>
    <w:p w:rsidR="006977A9" w:rsidRPr="000E3A43" w:rsidRDefault="006977A9" w:rsidP="009B303A">
      <w:pPr>
        <w:pStyle w:val="ParaNoNdepar-AltN"/>
        <w:widowControl w:val="0"/>
        <w:tabs>
          <w:tab w:val="clear" w:pos="1152"/>
          <w:tab w:val="left" w:pos="1166"/>
        </w:tabs>
        <w:rPr>
          <w:rFonts w:cs="Times New Roman"/>
        </w:rPr>
      </w:pPr>
      <w:r w:rsidRPr="000E3A43">
        <w:rPr>
          <w:rFonts w:cs="Times New Roman"/>
        </w:rPr>
        <w:t xml:space="preserve">Consider, </w:t>
      </w:r>
      <w:r>
        <w:rPr>
          <w:rFonts w:cs="Times New Roman"/>
        </w:rPr>
        <w:t xml:space="preserve">as a further </w:t>
      </w:r>
      <w:r w:rsidRPr="000E3A43">
        <w:rPr>
          <w:rFonts w:cs="Times New Roman"/>
        </w:rPr>
        <w:t>example, an officer who has been involved in drug trafficking.  There is a rational connection between the discipline</w:t>
      </w:r>
      <w:r>
        <w:rPr>
          <w:rFonts w:cs="Times New Roman"/>
        </w:rPr>
        <w:t>,</w:t>
      </w:r>
      <w:r w:rsidRPr="000E3A43">
        <w:rPr>
          <w:rFonts w:cs="Times New Roman"/>
        </w:rPr>
        <w:t xml:space="preserve"> efficiency</w:t>
      </w:r>
      <w:r>
        <w:rPr>
          <w:rFonts w:cs="Times New Roman"/>
        </w:rPr>
        <w:t xml:space="preserve"> </w:t>
      </w:r>
      <w:r w:rsidRPr="000E3A43">
        <w:rPr>
          <w:rFonts w:cs="Times New Roman"/>
        </w:rPr>
        <w:t>and morale of the military and military</w:t>
      </w:r>
      <w:r>
        <w:rPr>
          <w:rFonts w:cs="Times New Roman"/>
        </w:rPr>
        <w:t xml:space="preserve"> </w:t>
      </w:r>
      <w:r w:rsidRPr="000E3A43">
        <w:rPr>
          <w:rFonts w:cs="Times New Roman"/>
        </w:rPr>
        <w:t xml:space="preserve">prosecution for this conduct. There is, at the very least, a risk that loss of respect by subordinates and peers will flow from that </w:t>
      </w:r>
      <w:r>
        <w:rPr>
          <w:rFonts w:cs="Times New Roman"/>
        </w:rPr>
        <w:t xml:space="preserve">criminal </w:t>
      </w:r>
      <w:r w:rsidRPr="000E3A43">
        <w:rPr>
          <w:rFonts w:cs="Times New Roman"/>
        </w:rPr>
        <w:t xml:space="preserve">activity even if it did not occur in a military context.  Similarly, a member of the military who has engaged in fraudulent conduct is less likely to be trusted by his or her peers.  Again, this risk provides a rational connection between the military prosecution for that conduct and the discipline, efficiency and morale of the military.  </w:t>
      </w:r>
    </w:p>
    <w:p w:rsidR="006977A9" w:rsidRPr="000E3A43" w:rsidRDefault="006977A9" w:rsidP="009B303A">
      <w:pPr>
        <w:pStyle w:val="ParaNoNdepar-AltN"/>
        <w:widowControl w:val="0"/>
        <w:tabs>
          <w:tab w:val="clear" w:pos="1152"/>
          <w:tab w:val="left" w:pos="1166"/>
        </w:tabs>
        <w:rPr>
          <w:rFonts w:cs="Times New Roman"/>
        </w:rPr>
      </w:pPr>
      <w:r w:rsidRPr="000E3A43">
        <w:rPr>
          <w:rFonts w:cs="Times New Roman"/>
        </w:rPr>
        <w:t xml:space="preserve">These examples support a broad understanding of the situations in which criminal conduct by members of the military is at least rationally connected to maintaining the discipline, efficiency and morale of the </w:t>
      </w:r>
      <w:r>
        <w:rPr>
          <w:rFonts w:cs="Times New Roman"/>
        </w:rPr>
        <w:t>a</w:t>
      </w:r>
      <w:r w:rsidRPr="000E3A43">
        <w:rPr>
          <w:rFonts w:cs="Times New Roman"/>
        </w:rPr>
        <w:t xml:space="preserve">rmed </w:t>
      </w:r>
      <w:r>
        <w:rPr>
          <w:rFonts w:cs="Times New Roman"/>
        </w:rPr>
        <w:t>f</w:t>
      </w:r>
      <w:r w:rsidRPr="000E3A43">
        <w:rPr>
          <w:rFonts w:cs="Times New Roman"/>
        </w:rPr>
        <w:t>orces: the behaviour of members of the military relates to discipline, efficiency and morale even when they are not on duty, in uniform, or on a military base.  As the respondent puts it:</w:t>
      </w:r>
    </w:p>
    <w:p w:rsidR="006977A9" w:rsidRPr="000E3A43" w:rsidRDefault="006977A9" w:rsidP="009B303A">
      <w:pPr>
        <w:pStyle w:val="Citation-AltC"/>
        <w:widowControl w:val="0"/>
      </w:pPr>
      <w:r w:rsidRPr="000E3A43">
        <w:t>Discipline is a multi-</w:t>
      </w:r>
      <w:r>
        <w:t>faceted trait, as complex in its</w:t>
      </w:r>
      <w:r w:rsidRPr="000E3A43">
        <w:t xml:space="preserve"> nature as it is essential to the conduct of military operations.  At its heart, discipline on the part of individual members of the </w:t>
      </w:r>
      <w:r>
        <w:t>[</w:t>
      </w:r>
      <w:r w:rsidRPr="000E3A43">
        <w:t>C</w:t>
      </w:r>
      <w:r>
        <w:t xml:space="preserve">anadian </w:t>
      </w:r>
      <w:r w:rsidRPr="000E3A43">
        <w:t>A</w:t>
      </w:r>
      <w:r>
        <w:t xml:space="preserve">rmed </w:t>
      </w:r>
      <w:r w:rsidRPr="000E3A43">
        <w:t>F</w:t>
      </w:r>
      <w:r>
        <w:t>orces]</w:t>
      </w:r>
      <w:r w:rsidRPr="000E3A43">
        <w:t xml:space="preserve"> involves an instilled pattern of obedience, willingness to put other interests before one’s own, and respect for and compliance with lawful authority.</w:t>
      </w:r>
    </w:p>
    <w:p w:rsidR="006977A9" w:rsidRPr="000E3A43" w:rsidRDefault="006977A9" w:rsidP="009B303A">
      <w:pPr>
        <w:pStyle w:val="Citation-AltC"/>
        <w:widowControl w:val="0"/>
      </w:pPr>
    </w:p>
    <w:p w:rsidR="006977A9" w:rsidRPr="000E3A43" w:rsidRDefault="006977A9" w:rsidP="00A66B53">
      <w:pPr>
        <w:pStyle w:val="Citation-AltC"/>
        <w:widowControl w:val="0"/>
        <w:ind w:left="0"/>
      </w:pPr>
      <w:r>
        <w:t>(</w:t>
      </w:r>
      <w:r w:rsidRPr="000E3A43">
        <w:t>R.F. (</w:t>
      </w:r>
      <w:proofErr w:type="spellStart"/>
      <w:r>
        <w:t>Moriarity</w:t>
      </w:r>
      <w:proofErr w:type="spellEnd"/>
      <w:r w:rsidR="002626A4">
        <w:t xml:space="preserve">, Hannah and </w:t>
      </w:r>
      <w:proofErr w:type="spellStart"/>
      <w:r w:rsidR="002626A4">
        <w:t>Vezina</w:t>
      </w:r>
      <w:proofErr w:type="spellEnd"/>
      <w:r>
        <w:t>), at para. 67)</w:t>
      </w:r>
    </w:p>
    <w:p w:rsidR="006977A9" w:rsidRPr="000E3A43" w:rsidRDefault="006977A9" w:rsidP="009B303A">
      <w:pPr>
        <w:pStyle w:val="ParaNoNdepar-AltN"/>
        <w:widowControl w:val="0"/>
        <w:rPr>
          <w:rFonts w:cs="Times New Roman"/>
        </w:rPr>
      </w:pPr>
      <w:r w:rsidRPr="000E3A43">
        <w:rPr>
          <w:rFonts w:cs="Times New Roman"/>
        </w:rPr>
        <w:t xml:space="preserve">A “military nexus” case from the 1980s supports this broader understanding of the connection between criminal offences committed by members of </w:t>
      </w:r>
      <w:r w:rsidRPr="000E3A43">
        <w:rPr>
          <w:rFonts w:cs="Times New Roman"/>
        </w:rPr>
        <w:lastRenderedPageBreak/>
        <w:t xml:space="preserve">the </w:t>
      </w:r>
      <w:r>
        <w:rPr>
          <w:rFonts w:cs="Times New Roman"/>
        </w:rPr>
        <w:t>a</w:t>
      </w:r>
      <w:r w:rsidRPr="000E3A43">
        <w:rPr>
          <w:rFonts w:cs="Times New Roman"/>
        </w:rPr>
        <w:t xml:space="preserve">rmed </w:t>
      </w:r>
      <w:r>
        <w:rPr>
          <w:rFonts w:cs="Times New Roman"/>
        </w:rPr>
        <w:t>f</w:t>
      </w:r>
      <w:r w:rsidRPr="000E3A43">
        <w:rPr>
          <w:rFonts w:cs="Times New Roman"/>
        </w:rPr>
        <w:t xml:space="preserve">orces and military discipline. In </w:t>
      </w:r>
      <w:proofErr w:type="spellStart"/>
      <w:r w:rsidRPr="000E3A43">
        <w:rPr>
          <w:rFonts w:cs="Times New Roman"/>
          <w:i/>
        </w:rPr>
        <w:t>Ionson</w:t>
      </w:r>
      <w:proofErr w:type="spellEnd"/>
      <w:r w:rsidRPr="000E3A43">
        <w:rPr>
          <w:rFonts w:cs="Times New Roman"/>
          <w:i/>
        </w:rPr>
        <w:t xml:space="preserve"> v. The Queen</w:t>
      </w:r>
      <w:r w:rsidRPr="000E3A43">
        <w:rPr>
          <w:rFonts w:cs="Times New Roman"/>
        </w:rPr>
        <w:t xml:space="preserve"> (1987), 4 C</w:t>
      </w:r>
      <w:r>
        <w:rPr>
          <w:rFonts w:cs="Times New Roman"/>
        </w:rPr>
        <w:t>.</w:t>
      </w:r>
      <w:r w:rsidRPr="000E3A43">
        <w:rPr>
          <w:rFonts w:cs="Times New Roman"/>
        </w:rPr>
        <w:t>M</w:t>
      </w:r>
      <w:r>
        <w:rPr>
          <w:rFonts w:cs="Times New Roman"/>
        </w:rPr>
        <w:t>.</w:t>
      </w:r>
      <w:r w:rsidRPr="000E3A43">
        <w:rPr>
          <w:rFonts w:cs="Times New Roman"/>
        </w:rPr>
        <w:t>A</w:t>
      </w:r>
      <w:r>
        <w:rPr>
          <w:rFonts w:cs="Times New Roman"/>
        </w:rPr>
        <w:t>.</w:t>
      </w:r>
      <w:r w:rsidRPr="000E3A43">
        <w:rPr>
          <w:rFonts w:cs="Times New Roman"/>
        </w:rPr>
        <w:t>R</w:t>
      </w:r>
      <w:r>
        <w:rPr>
          <w:rFonts w:cs="Times New Roman"/>
        </w:rPr>
        <w:t>.</w:t>
      </w:r>
      <w:r w:rsidRPr="000E3A43">
        <w:rPr>
          <w:rFonts w:cs="Times New Roman"/>
        </w:rPr>
        <w:t xml:space="preserve"> 433</w:t>
      </w:r>
      <w:r>
        <w:rPr>
          <w:rFonts w:cs="Times New Roman"/>
        </w:rPr>
        <w:t>,</w:t>
      </w:r>
      <w:r w:rsidRPr="000E3A43">
        <w:rPr>
          <w:rFonts w:cs="Times New Roman"/>
        </w:rPr>
        <w:t xml:space="preserve"> aff’d [1989] 2 S.C.R. 1073, </w:t>
      </w:r>
      <w:r>
        <w:rPr>
          <w:rFonts w:cs="Times New Roman"/>
        </w:rPr>
        <w:t xml:space="preserve">the accused, </w:t>
      </w:r>
      <w:r w:rsidRPr="000E3A43">
        <w:rPr>
          <w:rFonts w:cs="Times New Roman"/>
        </w:rPr>
        <w:t xml:space="preserve">a member of the regular </w:t>
      </w:r>
      <w:r>
        <w:rPr>
          <w:rFonts w:cs="Times New Roman"/>
        </w:rPr>
        <w:t>a</w:t>
      </w:r>
      <w:r w:rsidRPr="000E3A43">
        <w:rPr>
          <w:rFonts w:cs="Times New Roman"/>
        </w:rPr>
        <w:t xml:space="preserve">rmed </w:t>
      </w:r>
      <w:r>
        <w:rPr>
          <w:rFonts w:cs="Times New Roman"/>
        </w:rPr>
        <w:t>f</w:t>
      </w:r>
      <w:r w:rsidRPr="000E3A43">
        <w:rPr>
          <w:rFonts w:cs="Times New Roman"/>
        </w:rPr>
        <w:t>orces</w:t>
      </w:r>
      <w:r>
        <w:rPr>
          <w:rFonts w:cs="Times New Roman"/>
        </w:rPr>
        <w:t>,</w:t>
      </w:r>
      <w:r w:rsidRPr="000E3A43">
        <w:rPr>
          <w:rFonts w:cs="Times New Roman"/>
        </w:rPr>
        <w:t xml:space="preserve"> was a steward posted to HMCS</w:t>
      </w:r>
      <w:r w:rsidRPr="003F529A">
        <w:rPr>
          <w:rFonts w:cs="Times New Roman"/>
          <w:i/>
        </w:rPr>
        <w:t xml:space="preserve"> Fundy</w:t>
      </w:r>
      <w:r w:rsidRPr="000E3A43">
        <w:rPr>
          <w:rFonts w:cs="Times New Roman"/>
        </w:rPr>
        <w:t xml:space="preserve"> in Esquimalt, British Columbia. While off duty and off his ship and the base, he was found by civilian police to be in possession of cocaine. At the time, he was driving a civilian vehicle (his own), was dressed in civilian clothes and there was no connection with other military members. He was convicted of possession of a narcotic by a Standing Court Martial. He raised a plea in bar of trial that there was not a sufficient military nexus to give jurisdiction</w:t>
      </w:r>
      <w:r>
        <w:rPr>
          <w:rFonts w:cs="Times New Roman"/>
        </w:rPr>
        <w:t xml:space="preserve"> to the Standing Court Martial.  </w:t>
      </w:r>
      <w:r w:rsidRPr="000E3A43">
        <w:rPr>
          <w:rFonts w:cs="Times New Roman"/>
        </w:rPr>
        <w:t>The President denied his plea in bar of trial, finding that there was a very real military nexus.  That conclusion was affirmed by the CMAC</w:t>
      </w:r>
      <w:r>
        <w:rPr>
          <w:rFonts w:cs="Times New Roman"/>
        </w:rPr>
        <w:t xml:space="preserve"> (at p. 438)</w:t>
      </w:r>
      <w:r w:rsidRPr="000E3A43">
        <w:rPr>
          <w:rFonts w:cs="Times New Roman"/>
        </w:rPr>
        <w:t>, quoting with approval these words: “</w:t>
      </w:r>
      <w:r>
        <w:rPr>
          <w:rFonts w:cs="Times New Roman"/>
        </w:rPr>
        <w:t>[T</w:t>
      </w:r>
      <w:r w:rsidRPr="000E3A43">
        <w:rPr>
          <w:rFonts w:cs="Times New Roman"/>
        </w:rPr>
        <w:t>he military authorities’] concern and interest i</w:t>
      </w:r>
      <w:r>
        <w:rPr>
          <w:rFonts w:cs="Times New Roman"/>
        </w:rPr>
        <w:t>n seeing that no member of the f</w:t>
      </w:r>
      <w:r w:rsidRPr="000E3A43">
        <w:rPr>
          <w:rFonts w:cs="Times New Roman"/>
        </w:rPr>
        <w:t>orces uses or distributes drugs and in ultimately eliminating their use, may be</w:t>
      </w:r>
      <w:r>
        <w:rPr>
          <w:rFonts w:cs="Times New Roman"/>
        </w:rPr>
        <w:t xml:space="preserve"> more pressing than</w:t>
      </w:r>
      <w:r w:rsidRPr="000E3A43">
        <w:rPr>
          <w:rFonts w:cs="Times New Roman"/>
        </w:rPr>
        <w:t xml:space="preserve"> that of civilian authorities</w:t>
      </w:r>
      <w:r>
        <w:rPr>
          <w:rFonts w:cs="Times New Roman"/>
        </w:rPr>
        <w:t>” (</w:t>
      </w:r>
      <w:proofErr w:type="spellStart"/>
      <w:r w:rsidRPr="000E3A43">
        <w:rPr>
          <w:rFonts w:cs="Times New Roman"/>
          <w:i/>
        </w:rPr>
        <w:t>MacEachern</w:t>
      </w:r>
      <w:proofErr w:type="spellEnd"/>
      <w:r w:rsidRPr="000E3A43">
        <w:rPr>
          <w:rFonts w:cs="Times New Roman"/>
          <w:i/>
        </w:rPr>
        <w:t xml:space="preserve"> v. The Queen</w:t>
      </w:r>
      <w:r>
        <w:rPr>
          <w:rFonts w:cs="Times New Roman"/>
        </w:rPr>
        <w:t xml:space="preserve"> (1985), 4 C.M.A.R. 447, at p.</w:t>
      </w:r>
      <w:r w:rsidR="002626A4">
        <w:rPr>
          <w:rFonts w:cs="Times New Roman"/>
        </w:rPr>
        <w:t xml:space="preserve"> </w:t>
      </w:r>
      <w:r>
        <w:rPr>
          <w:rFonts w:cs="Times New Roman"/>
        </w:rPr>
        <w:t>453)</w:t>
      </w:r>
      <w:r w:rsidRPr="000E3A43">
        <w:rPr>
          <w:rFonts w:cs="Times New Roman"/>
        </w:rPr>
        <w:t xml:space="preserve">.  This Court affirmed that result. </w:t>
      </w:r>
      <w:proofErr w:type="spellStart"/>
      <w:r w:rsidRPr="000E3A43">
        <w:rPr>
          <w:rFonts w:cs="Times New Roman"/>
          <w:i/>
        </w:rPr>
        <w:t>Ionson</w:t>
      </w:r>
      <w:proofErr w:type="spellEnd"/>
      <w:r w:rsidRPr="000E3A43">
        <w:rPr>
          <w:rFonts w:cs="Times New Roman"/>
          <w:i/>
        </w:rPr>
        <w:t xml:space="preserve"> </w:t>
      </w:r>
      <w:r w:rsidRPr="000E3A43">
        <w:rPr>
          <w:rFonts w:cs="Times New Roman"/>
        </w:rPr>
        <w:t xml:space="preserve">is consistent with a broad understanding of when at least a rational connection will exist between criminal offences committed by a member of the </w:t>
      </w:r>
      <w:r>
        <w:rPr>
          <w:rFonts w:cs="Times New Roman"/>
        </w:rPr>
        <w:t>a</w:t>
      </w:r>
      <w:r w:rsidRPr="000E3A43">
        <w:rPr>
          <w:rFonts w:cs="Times New Roman"/>
        </w:rPr>
        <w:t xml:space="preserve">rmed </w:t>
      </w:r>
      <w:r>
        <w:rPr>
          <w:rFonts w:cs="Times New Roman"/>
        </w:rPr>
        <w:t>f</w:t>
      </w:r>
      <w:r w:rsidRPr="000E3A43">
        <w:rPr>
          <w:rFonts w:cs="Times New Roman"/>
        </w:rPr>
        <w:t>orces and military discipline, efficiency and morale.</w:t>
      </w:r>
    </w:p>
    <w:p w:rsidR="006977A9" w:rsidRPr="000E3A43" w:rsidRDefault="006977A9" w:rsidP="009B303A">
      <w:pPr>
        <w:pStyle w:val="ParaNoNdepar-AltN"/>
        <w:widowControl w:val="0"/>
        <w:tabs>
          <w:tab w:val="clear" w:pos="1152"/>
          <w:tab w:val="left" w:pos="1166"/>
        </w:tabs>
        <w:rPr>
          <w:rFonts w:cs="Times New Roman"/>
        </w:rPr>
      </w:pPr>
      <w:r w:rsidRPr="000E3A43">
        <w:rPr>
          <w:rFonts w:cs="Times New Roman"/>
        </w:rPr>
        <w:t>I conclude that the appellants have failed to show that the prosecution under military law of members of the military engaging in the full range of conduct covered by ss. 130(1</w:t>
      </w:r>
      <w:proofErr w:type="gramStart"/>
      <w:r w:rsidRPr="000E3A43">
        <w:rPr>
          <w:rFonts w:cs="Times New Roman"/>
        </w:rPr>
        <w:t>)(</w:t>
      </w:r>
      <w:proofErr w:type="gramEnd"/>
      <w:r w:rsidRPr="000E3A43">
        <w:rPr>
          <w:rFonts w:cs="Times New Roman"/>
          <w:i/>
        </w:rPr>
        <w:t>a</w:t>
      </w:r>
      <w:r w:rsidRPr="000E3A43">
        <w:rPr>
          <w:rFonts w:cs="Times New Roman"/>
        </w:rPr>
        <w:t>) and 117(</w:t>
      </w:r>
      <w:r w:rsidRPr="000E3A43">
        <w:rPr>
          <w:rFonts w:cs="Times New Roman"/>
          <w:i/>
        </w:rPr>
        <w:t>f</w:t>
      </w:r>
      <w:r w:rsidRPr="000E3A43">
        <w:rPr>
          <w:rFonts w:cs="Times New Roman"/>
        </w:rPr>
        <w:t>) is not rationally connected to the maintenance of discipline, efficiency and morale regardless of the circumstances of the commission of the offence.  The challenged provisions are therefore not overbroad.</w:t>
      </w:r>
    </w:p>
    <w:p w:rsidR="006977A9" w:rsidRPr="000E3A43" w:rsidRDefault="006977A9" w:rsidP="009B303A">
      <w:pPr>
        <w:pStyle w:val="Title2LevelTitre2Niveau"/>
        <w:widowControl w:val="0"/>
        <w:rPr>
          <w:rFonts w:cs="Times New Roman"/>
        </w:rPr>
      </w:pPr>
      <w:r>
        <w:rPr>
          <w:rFonts w:cs="Times New Roman"/>
        </w:rPr>
        <w:t>The Appellants’ Additional Constitutional Arguments R</w:t>
      </w:r>
      <w:r w:rsidRPr="000E3A43">
        <w:rPr>
          <w:rFonts w:cs="Times New Roman"/>
        </w:rPr>
        <w:t xml:space="preserve">aised at the </w:t>
      </w:r>
      <w:r>
        <w:rPr>
          <w:rFonts w:cs="Times New Roman"/>
        </w:rPr>
        <w:t>Section</w:t>
      </w:r>
      <w:r w:rsidRPr="000E3A43">
        <w:rPr>
          <w:rFonts w:cs="Times New Roman"/>
        </w:rPr>
        <w:t xml:space="preserve"> 52 </w:t>
      </w:r>
      <w:r>
        <w:rPr>
          <w:rFonts w:cs="Times New Roman"/>
        </w:rPr>
        <w:lastRenderedPageBreak/>
        <w:t>S</w:t>
      </w:r>
      <w:r w:rsidRPr="000E3A43">
        <w:rPr>
          <w:rFonts w:cs="Times New Roman"/>
        </w:rPr>
        <w:t>tage</w:t>
      </w:r>
    </w:p>
    <w:p w:rsidR="006977A9" w:rsidRPr="000E3A43" w:rsidRDefault="006977A9" w:rsidP="009B303A">
      <w:pPr>
        <w:pStyle w:val="ParaNoNdepar-AltN"/>
        <w:widowControl w:val="0"/>
        <w:rPr>
          <w:rFonts w:cs="Times New Roman"/>
        </w:rPr>
      </w:pPr>
      <w:r w:rsidRPr="000E3A43">
        <w:rPr>
          <w:rFonts w:cs="Times New Roman"/>
        </w:rPr>
        <w:t>As mentioned earlier, the appellants raise other possibl</w:t>
      </w:r>
      <w:r>
        <w:rPr>
          <w:rFonts w:cs="Times New Roman"/>
        </w:rPr>
        <w:t>e constitutional deficiencies regarding</w:t>
      </w:r>
      <w:r w:rsidRPr="000E3A43">
        <w:rPr>
          <w:rFonts w:cs="Times New Roman"/>
        </w:rPr>
        <w:t xml:space="preserve"> ss. 130(1</w:t>
      </w:r>
      <w:proofErr w:type="gramStart"/>
      <w:r w:rsidRPr="000E3A43">
        <w:rPr>
          <w:rFonts w:cs="Times New Roman"/>
        </w:rPr>
        <w:t>)(</w:t>
      </w:r>
      <w:proofErr w:type="gramEnd"/>
      <w:r w:rsidRPr="000E3A43">
        <w:rPr>
          <w:rFonts w:cs="Times New Roman"/>
          <w:i/>
        </w:rPr>
        <w:t>a</w:t>
      </w:r>
      <w:r w:rsidRPr="000E3A43">
        <w:rPr>
          <w:rFonts w:cs="Times New Roman"/>
        </w:rPr>
        <w:t>) and 117(</w:t>
      </w:r>
      <w:r w:rsidRPr="000E3A43">
        <w:rPr>
          <w:rFonts w:cs="Times New Roman"/>
          <w:i/>
        </w:rPr>
        <w:t>f</w:t>
      </w:r>
      <w:r w:rsidRPr="000E3A43">
        <w:rPr>
          <w:rFonts w:cs="Times New Roman"/>
        </w:rPr>
        <w:t xml:space="preserve">) as part of their submissions with respect to remedy under s. 52 of the </w:t>
      </w:r>
      <w:r w:rsidRPr="000E3A43">
        <w:rPr>
          <w:rFonts w:cs="Times New Roman"/>
          <w:i/>
        </w:rPr>
        <w:t>Constitution Act, 1982</w:t>
      </w:r>
      <w:r w:rsidRPr="000E3A43">
        <w:rPr>
          <w:rFonts w:cs="Times New Roman"/>
        </w:rPr>
        <w:t>.  Having found that the challenged provisions are not overbroad and that there is, therefore, no constitutional violation to remedy, I need not consider these points further.</w:t>
      </w:r>
    </w:p>
    <w:p w:rsidR="006977A9" w:rsidRPr="000E3A43" w:rsidRDefault="006977A9" w:rsidP="009B303A">
      <w:pPr>
        <w:pStyle w:val="ParaNoNdepar-AltN"/>
        <w:widowControl w:val="0"/>
        <w:rPr>
          <w:rFonts w:cs="Times New Roman"/>
        </w:rPr>
      </w:pPr>
      <w:r w:rsidRPr="000E3A43">
        <w:rPr>
          <w:rFonts w:cs="Times New Roman"/>
        </w:rPr>
        <w:t>In any event, these additional constitutional arguments should not b</w:t>
      </w:r>
      <w:r w:rsidR="002626A4">
        <w:rPr>
          <w:rFonts w:cs="Times New Roman"/>
        </w:rPr>
        <w:t xml:space="preserve">e raised in </w:t>
      </w:r>
      <w:proofErr w:type="gramStart"/>
      <w:r w:rsidR="002626A4">
        <w:rPr>
          <w:rFonts w:cs="Times New Roman"/>
        </w:rPr>
        <w:t>a</w:t>
      </w:r>
      <w:proofErr w:type="gramEnd"/>
      <w:r w:rsidR="002626A4">
        <w:rPr>
          <w:rFonts w:cs="Times New Roman"/>
        </w:rPr>
        <w:t xml:space="preserve"> s. 52 analysis.  </w:t>
      </w:r>
      <w:r w:rsidRPr="000E3A43">
        <w:rPr>
          <w:rFonts w:cs="Times New Roman"/>
        </w:rPr>
        <w:t xml:space="preserve">The appellants are right to say that, in order to determine the appropriate constitutional remedy, courts must first determine the extent of the law’s unconstitutionality: see </w:t>
      </w:r>
      <w:proofErr w:type="spellStart"/>
      <w:r w:rsidRPr="000E3A43">
        <w:rPr>
          <w:rFonts w:cs="Times New Roman"/>
          <w:i/>
        </w:rPr>
        <w:t>Schachter</w:t>
      </w:r>
      <w:proofErr w:type="spellEnd"/>
      <w:r w:rsidRPr="000E3A43">
        <w:rPr>
          <w:rFonts w:cs="Times New Roman"/>
          <w:i/>
        </w:rPr>
        <w:t xml:space="preserve"> v. Canada</w:t>
      </w:r>
      <w:r w:rsidRPr="000E3A43">
        <w:rPr>
          <w:rFonts w:cs="Times New Roman"/>
        </w:rPr>
        <w:t>, [1992] 2 S.C.R. 679</w:t>
      </w:r>
      <w:r w:rsidR="002626A4">
        <w:rPr>
          <w:rFonts w:cs="Times New Roman"/>
        </w:rPr>
        <w:t>,</w:t>
      </w:r>
      <w:r w:rsidRPr="000E3A43">
        <w:rPr>
          <w:rFonts w:cs="Times New Roman"/>
        </w:rPr>
        <w:t xml:space="preserve"> at </w:t>
      </w:r>
      <w:r>
        <w:rPr>
          <w:rFonts w:cs="Times New Roman"/>
        </w:rPr>
        <w:t xml:space="preserve">p. </w:t>
      </w:r>
      <w:r w:rsidRPr="000E3A43">
        <w:rPr>
          <w:rFonts w:cs="Times New Roman"/>
        </w:rPr>
        <w:t>702.  This flows from the text of s. 52 its</w:t>
      </w:r>
      <w:r>
        <w:rPr>
          <w:rFonts w:cs="Times New Roman"/>
        </w:rPr>
        <w:t>elf, which provides that “</w:t>
      </w:r>
      <w:r w:rsidRPr="000E3A43">
        <w:rPr>
          <w:rFonts w:cs="Times New Roman"/>
        </w:rPr>
        <w:t xml:space="preserve">any law that is inconsistent with the provisions of the Constitution is, </w:t>
      </w:r>
      <w:r w:rsidRPr="00275C9A">
        <w:rPr>
          <w:rFonts w:cs="Times New Roman"/>
          <w:u w:val="single"/>
        </w:rPr>
        <w:t xml:space="preserve">to </w:t>
      </w:r>
      <w:r w:rsidRPr="000E3A43">
        <w:rPr>
          <w:rFonts w:cs="Times New Roman"/>
          <w:u w:val="single"/>
        </w:rPr>
        <w:t>the extent of the inconsistency</w:t>
      </w:r>
      <w:r w:rsidRPr="000E3A43">
        <w:rPr>
          <w:rFonts w:cs="Times New Roman"/>
        </w:rPr>
        <w:t>, of no force or effect”</w:t>
      </w:r>
      <w:r>
        <w:rPr>
          <w:rFonts w:cs="Times New Roman"/>
        </w:rPr>
        <w:t xml:space="preserve">. </w:t>
      </w:r>
      <w:r w:rsidRPr="000E3A43">
        <w:rPr>
          <w:rFonts w:cs="Times New Roman"/>
        </w:rPr>
        <w:t xml:space="preserve"> That being said, this exercise must relate to the finding of constitutional breach that first led to the availability of </w:t>
      </w:r>
      <w:proofErr w:type="gramStart"/>
      <w:r w:rsidRPr="000E3A43">
        <w:rPr>
          <w:rFonts w:cs="Times New Roman"/>
        </w:rPr>
        <w:t>a</w:t>
      </w:r>
      <w:proofErr w:type="gramEnd"/>
      <w:r w:rsidRPr="000E3A43">
        <w:rPr>
          <w:rFonts w:cs="Times New Roman"/>
        </w:rPr>
        <w:t xml:space="preserve"> s. 52 remedy.  In other words, s. 52 cannot be used to bring in new allegations of constitutional deficiencies that are unrelated to the original challenge.</w:t>
      </w:r>
    </w:p>
    <w:p w:rsidR="006977A9" w:rsidRPr="000E3A43" w:rsidRDefault="006977A9" w:rsidP="009B303A">
      <w:pPr>
        <w:pStyle w:val="Title1LevelTitre1Niveau-AltL"/>
        <w:widowControl w:val="0"/>
        <w:rPr>
          <w:rFonts w:cs="Times New Roman"/>
        </w:rPr>
      </w:pPr>
      <w:r w:rsidRPr="000E3A43">
        <w:rPr>
          <w:rFonts w:cs="Times New Roman"/>
        </w:rPr>
        <w:t>Disposition</w:t>
      </w:r>
    </w:p>
    <w:p w:rsidR="006977A9" w:rsidRPr="000E3A43" w:rsidRDefault="006977A9" w:rsidP="009B303A">
      <w:pPr>
        <w:pStyle w:val="ParaNoNdepar-AltN"/>
        <w:widowControl w:val="0"/>
        <w:rPr>
          <w:rFonts w:cs="Times New Roman"/>
        </w:rPr>
      </w:pPr>
      <w:r w:rsidRPr="000E3A43">
        <w:rPr>
          <w:rFonts w:cs="Times New Roman"/>
        </w:rPr>
        <w:t>I would dismiss the appeals and answer the constitutional questions as follows:</w:t>
      </w:r>
    </w:p>
    <w:p w:rsidR="006977A9" w:rsidRPr="000E3A43" w:rsidRDefault="006977A9" w:rsidP="009B303A">
      <w:pPr>
        <w:pStyle w:val="Citation-AltC"/>
        <w:widowControl w:val="0"/>
      </w:pPr>
      <w:r w:rsidRPr="000E3A43">
        <w:t>Does s. 130(1</w:t>
      </w:r>
      <w:proofErr w:type="gramStart"/>
      <w:r w:rsidRPr="000E3A43">
        <w:t>)(</w:t>
      </w:r>
      <w:proofErr w:type="gramEnd"/>
      <w:r w:rsidRPr="000E3A43">
        <w:rPr>
          <w:i/>
        </w:rPr>
        <w:t>a</w:t>
      </w:r>
      <w:r w:rsidRPr="000E3A43">
        <w:t xml:space="preserve">) of the </w:t>
      </w:r>
      <w:r w:rsidRPr="000E3A43">
        <w:rPr>
          <w:i/>
        </w:rPr>
        <w:t>National Defence Act</w:t>
      </w:r>
      <w:r w:rsidRPr="000E3A43">
        <w:t xml:space="preserve">, R.S.C. 1985, c. N-5, infringe s. 7 of the </w:t>
      </w:r>
      <w:r w:rsidRPr="000E3A43">
        <w:rPr>
          <w:i/>
        </w:rPr>
        <w:t>Canadian Charter of Rights and Freedoms</w:t>
      </w:r>
      <w:r w:rsidRPr="000E3A43">
        <w:t>?</w:t>
      </w:r>
    </w:p>
    <w:p w:rsidR="006977A9" w:rsidRPr="000E3A43" w:rsidRDefault="006977A9" w:rsidP="009B303A">
      <w:pPr>
        <w:pStyle w:val="Citation-AltC"/>
        <w:widowControl w:val="0"/>
      </w:pPr>
    </w:p>
    <w:p w:rsidR="006977A9" w:rsidRPr="000E3A43" w:rsidRDefault="006977A9" w:rsidP="00414A38">
      <w:pPr>
        <w:pStyle w:val="Citation-AltC"/>
        <w:widowControl w:val="0"/>
        <w:ind w:left="0"/>
      </w:pPr>
      <w:r w:rsidRPr="000E3A43">
        <w:t>No.</w:t>
      </w:r>
    </w:p>
    <w:p w:rsidR="006977A9" w:rsidRPr="000E3A43" w:rsidRDefault="006977A9" w:rsidP="009B303A">
      <w:pPr>
        <w:pStyle w:val="Citation-AltC"/>
        <w:widowControl w:val="0"/>
      </w:pPr>
    </w:p>
    <w:p w:rsidR="006977A9" w:rsidRPr="000E3A43" w:rsidRDefault="006977A9" w:rsidP="009B303A">
      <w:pPr>
        <w:pStyle w:val="Citation-AltC"/>
        <w:widowControl w:val="0"/>
      </w:pPr>
      <w:r w:rsidRPr="000E3A43">
        <w:t xml:space="preserve">If so, is the infringement a reasonable limit prescribed by law that can be demonstrably justified in a free and democratic society under s. 1 of the </w:t>
      </w:r>
      <w:r w:rsidRPr="000E3A43">
        <w:rPr>
          <w:i/>
        </w:rPr>
        <w:t>Canadian Charter of Rights and Freedoms</w:t>
      </w:r>
      <w:r w:rsidRPr="000E3A43">
        <w:t>?</w:t>
      </w:r>
    </w:p>
    <w:p w:rsidR="006977A9" w:rsidRPr="000E3A43" w:rsidRDefault="006977A9" w:rsidP="009B303A">
      <w:pPr>
        <w:pStyle w:val="Citation-AltC"/>
        <w:widowControl w:val="0"/>
      </w:pPr>
    </w:p>
    <w:p w:rsidR="006977A9" w:rsidRPr="000E3A43" w:rsidRDefault="006977A9" w:rsidP="00414A38">
      <w:pPr>
        <w:pStyle w:val="Citation-AltC"/>
        <w:widowControl w:val="0"/>
        <w:ind w:left="0"/>
      </w:pPr>
      <w:r w:rsidRPr="000E3A43">
        <w:t>It is unnecessary to answer the question.</w:t>
      </w:r>
    </w:p>
    <w:p w:rsidR="006977A9" w:rsidRPr="000E3A43" w:rsidRDefault="006977A9" w:rsidP="009B303A">
      <w:pPr>
        <w:pStyle w:val="Citation-AltC"/>
        <w:widowControl w:val="0"/>
      </w:pPr>
    </w:p>
    <w:p w:rsidR="006977A9" w:rsidRPr="000E3A43" w:rsidRDefault="006977A9" w:rsidP="009B303A">
      <w:pPr>
        <w:pStyle w:val="Citation-AltC"/>
        <w:widowControl w:val="0"/>
      </w:pPr>
      <w:r w:rsidRPr="000E3A43">
        <w:t>Does s. 117(</w:t>
      </w:r>
      <w:r w:rsidRPr="000E3A43">
        <w:rPr>
          <w:i/>
        </w:rPr>
        <w:t>f</w:t>
      </w:r>
      <w:r w:rsidRPr="000E3A43">
        <w:t xml:space="preserve">) of the </w:t>
      </w:r>
      <w:r w:rsidRPr="000E3A43">
        <w:rPr>
          <w:i/>
        </w:rPr>
        <w:t>National Defence Act</w:t>
      </w:r>
      <w:r w:rsidRPr="000E3A43">
        <w:t xml:space="preserve">, R.S.C. 1985, c. N-5, infringe s. 7 of the </w:t>
      </w:r>
      <w:r w:rsidRPr="000E3A43">
        <w:rPr>
          <w:i/>
        </w:rPr>
        <w:t>Canadian Charter of Rights and Freedoms</w:t>
      </w:r>
      <w:r w:rsidRPr="000E3A43">
        <w:t>?</w:t>
      </w:r>
    </w:p>
    <w:p w:rsidR="006977A9" w:rsidRPr="000E3A43" w:rsidRDefault="006977A9" w:rsidP="009B303A">
      <w:pPr>
        <w:pStyle w:val="Citation-AltC"/>
        <w:widowControl w:val="0"/>
      </w:pPr>
    </w:p>
    <w:p w:rsidR="006977A9" w:rsidRPr="000E3A43" w:rsidRDefault="006977A9" w:rsidP="00414A38">
      <w:pPr>
        <w:pStyle w:val="Citation-AltC"/>
        <w:widowControl w:val="0"/>
        <w:ind w:left="0"/>
      </w:pPr>
      <w:r w:rsidRPr="000E3A43">
        <w:t>No.</w:t>
      </w:r>
    </w:p>
    <w:p w:rsidR="006977A9" w:rsidRPr="000E3A43" w:rsidRDefault="006977A9" w:rsidP="009B303A">
      <w:pPr>
        <w:pStyle w:val="Citation-AltC"/>
        <w:widowControl w:val="0"/>
      </w:pPr>
    </w:p>
    <w:p w:rsidR="006977A9" w:rsidRPr="000E3A43" w:rsidRDefault="006977A9" w:rsidP="009B303A">
      <w:pPr>
        <w:pStyle w:val="Citation-AltC"/>
        <w:widowControl w:val="0"/>
      </w:pPr>
      <w:r w:rsidRPr="000E3A43">
        <w:t xml:space="preserve">If so, is the infringement a reasonable limit prescribed by law that can be demonstrably justified in a free and democratic society under s. 1 of the </w:t>
      </w:r>
      <w:r w:rsidRPr="000E3A43">
        <w:rPr>
          <w:i/>
        </w:rPr>
        <w:t>Canadian Charter of Rights and Freedoms</w:t>
      </w:r>
      <w:r w:rsidR="00BC73BE">
        <w:t>?</w:t>
      </w:r>
    </w:p>
    <w:p w:rsidR="006977A9" w:rsidRPr="000E3A43" w:rsidRDefault="006977A9" w:rsidP="009B303A">
      <w:pPr>
        <w:pStyle w:val="Citation-AltC"/>
        <w:widowControl w:val="0"/>
      </w:pPr>
    </w:p>
    <w:p w:rsidR="006977A9" w:rsidRPr="000E3A43" w:rsidRDefault="006977A9" w:rsidP="00414A38">
      <w:pPr>
        <w:pStyle w:val="Citation-AltC"/>
        <w:widowControl w:val="0"/>
        <w:ind w:left="0"/>
      </w:pPr>
      <w:r w:rsidRPr="000E3A43">
        <w:t>It is unnecessary to answer th</w:t>
      </w:r>
      <w:r w:rsidR="00BC73BE">
        <w:t>e question.</w:t>
      </w:r>
    </w:p>
    <w:p w:rsidR="00861C68" w:rsidRPr="00097285" w:rsidRDefault="00861C68" w:rsidP="009B303A">
      <w:pPr>
        <w:pStyle w:val="SCCNormalDoubleSpacing"/>
        <w:widowControl w:val="0"/>
        <w:spacing w:before="480" w:after="480"/>
      </w:pPr>
      <w:r w:rsidRPr="00097285">
        <w:tab/>
      </w:r>
      <w:r w:rsidRPr="00097285">
        <w:rPr>
          <w:i/>
        </w:rPr>
        <w:t>Appeals dismissed.</w:t>
      </w:r>
    </w:p>
    <w:p w:rsidR="00861C68" w:rsidRPr="00097285" w:rsidRDefault="00861C68" w:rsidP="009B303A">
      <w:pPr>
        <w:pStyle w:val="SCCLawFirm"/>
        <w:widowControl w:val="0"/>
        <w:spacing w:before="480" w:after="480"/>
      </w:pPr>
      <w:r w:rsidRPr="00097285">
        <w:tab/>
        <w:t>Solicitor for the appellants: Defence Counsel Services, Gatineau.</w:t>
      </w:r>
    </w:p>
    <w:p w:rsidR="00861C68" w:rsidRPr="00097285" w:rsidRDefault="00861C68" w:rsidP="009B303A">
      <w:pPr>
        <w:pStyle w:val="SCCLawFirm"/>
        <w:widowControl w:val="0"/>
      </w:pPr>
      <w:r w:rsidRPr="00097285">
        <w:tab/>
        <w:t>Solicitor for the respondent: Director of Military Prosecutions, Ottawa.</w:t>
      </w:r>
    </w:p>
    <w:sectPr w:rsidR="00861C68" w:rsidRPr="00097285" w:rsidSect="000648CC">
      <w:headerReference w:type="even" r:id="rId9"/>
      <w:footerReference w:type="even" r:id="rId10"/>
      <w:footerReference w:type="default" r:id="rId11"/>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0C" w:rsidRDefault="00E9300C" w:rsidP="00E9300C">
      <w:r>
        <w:separator/>
      </w:r>
    </w:p>
  </w:endnote>
  <w:endnote w:type="continuationSeparator" w:id="0">
    <w:p w:rsidR="00E9300C" w:rsidRDefault="00E9300C" w:rsidP="00E9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2E" w:rsidRDefault="00857FFE">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2E" w:rsidRDefault="00857FF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0C" w:rsidRDefault="00E9300C" w:rsidP="00E9300C">
      <w:r>
        <w:separator/>
      </w:r>
    </w:p>
  </w:footnote>
  <w:footnote w:type="continuationSeparator" w:id="0">
    <w:p w:rsidR="00E9300C" w:rsidRDefault="00E9300C" w:rsidP="00E93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2E" w:rsidRDefault="00857FFE">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C1053"/>
    <w:multiLevelType w:val="hybridMultilevel"/>
    <w:tmpl w:val="508A21CA"/>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7E5E676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 w:ilvl="2">
      <w:start w:val="1"/>
      <w:numFmt w:val="decimal"/>
      <w:pStyle w:val="Title3LevelTitre3Niveau"/>
      <w:lvlText w:val="(%3)"/>
      <w:lvlJc w:val="left"/>
      <w:pPr>
        <w:tabs>
          <w:tab w:val="num" w:pos="936"/>
        </w:tabs>
        <w:ind w:left="936"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773CB204"/>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3C540A"/>
    <w:multiLevelType w:val="hybridMultilevel"/>
    <w:tmpl w:val="45A09F00"/>
    <w:lvl w:ilvl="0" w:tplc="1F7E74E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68"/>
    <w:rsid w:val="00002440"/>
    <w:rsid w:val="00004E38"/>
    <w:rsid w:val="00007471"/>
    <w:rsid w:val="00007E35"/>
    <w:rsid w:val="0001036F"/>
    <w:rsid w:val="0001150C"/>
    <w:rsid w:val="00014871"/>
    <w:rsid w:val="000201FE"/>
    <w:rsid w:val="00023B94"/>
    <w:rsid w:val="000258CB"/>
    <w:rsid w:val="0002649D"/>
    <w:rsid w:val="0002785E"/>
    <w:rsid w:val="000279AD"/>
    <w:rsid w:val="00030E0E"/>
    <w:rsid w:val="00033B00"/>
    <w:rsid w:val="000353E6"/>
    <w:rsid w:val="00036E84"/>
    <w:rsid w:val="000372F2"/>
    <w:rsid w:val="00037A79"/>
    <w:rsid w:val="000454E1"/>
    <w:rsid w:val="00052BEC"/>
    <w:rsid w:val="00054EBD"/>
    <w:rsid w:val="00055196"/>
    <w:rsid w:val="00055BD8"/>
    <w:rsid w:val="00056079"/>
    <w:rsid w:val="00056436"/>
    <w:rsid w:val="00057F33"/>
    <w:rsid w:val="000652C5"/>
    <w:rsid w:val="0007440B"/>
    <w:rsid w:val="0007620E"/>
    <w:rsid w:val="000767AA"/>
    <w:rsid w:val="0007701E"/>
    <w:rsid w:val="00082AC7"/>
    <w:rsid w:val="00085400"/>
    <w:rsid w:val="0008649A"/>
    <w:rsid w:val="000878EE"/>
    <w:rsid w:val="00087E1B"/>
    <w:rsid w:val="00093BAD"/>
    <w:rsid w:val="00093D6D"/>
    <w:rsid w:val="000968E3"/>
    <w:rsid w:val="00097D3C"/>
    <w:rsid w:val="000A19B7"/>
    <w:rsid w:val="000A3975"/>
    <w:rsid w:val="000A56A6"/>
    <w:rsid w:val="000A5794"/>
    <w:rsid w:val="000B3027"/>
    <w:rsid w:val="000B6CFC"/>
    <w:rsid w:val="000C03C0"/>
    <w:rsid w:val="000C2412"/>
    <w:rsid w:val="000C3C63"/>
    <w:rsid w:val="000D7242"/>
    <w:rsid w:val="000E3971"/>
    <w:rsid w:val="000E4C6A"/>
    <w:rsid w:val="000E5C6B"/>
    <w:rsid w:val="000E79DC"/>
    <w:rsid w:val="000F25E2"/>
    <w:rsid w:val="000F3E85"/>
    <w:rsid w:val="00105031"/>
    <w:rsid w:val="001114B6"/>
    <w:rsid w:val="00111C49"/>
    <w:rsid w:val="00113E45"/>
    <w:rsid w:val="00114EDD"/>
    <w:rsid w:val="0011623B"/>
    <w:rsid w:val="00117559"/>
    <w:rsid w:val="0012062C"/>
    <w:rsid w:val="00120705"/>
    <w:rsid w:val="00121A12"/>
    <w:rsid w:val="001221BA"/>
    <w:rsid w:val="0012734D"/>
    <w:rsid w:val="0013178C"/>
    <w:rsid w:val="001420F8"/>
    <w:rsid w:val="0014415A"/>
    <w:rsid w:val="001462DD"/>
    <w:rsid w:val="001463FB"/>
    <w:rsid w:val="001472BB"/>
    <w:rsid w:val="00147D6E"/>
    <w:rsid w:val="0015135C"/>
    <w:rsid w:val="00161724"/>
    <w:rsid w:val="00162C56"/>
    <w:rsid w:val="00167F3E"/>
    <w:rsid w:val="00173846"/>
    <w:rsid w:val="00177268"/>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6A3B"/>
    <w:rsid w:val="001A7AF6"/>
    <w:rsid w:val="001B6C01"/>
    <w:rsid w:val="001B7F27"/>
    <w:rsid w:val="001C08FA"/>
    <w:rsid w:val="001C5CFC"/>
    <w:rsid w:val="001C718D"/>
    <w:rsid w:val="001D62E8"/>
    <w:rsid w:val="001D6865"/>
    <w:rsid w:val="001D6EC9"/>
    <w:rsid w:val="001E11FC"/>
    <w:rsid w:val="001E4CB6"/>
    <w:rsid w:val="001F0056"/>
    <w:rsid w:val="001F2D95"/>
    <w:rsid w:val="001F380C"/>
    <w:rsid w:val="001F3A5B"/>
    <w:rsid w:val="001F6CE3"/>
    <w:rsid w:val="00202096"/>
    <w:rsid w:val="00202B52"/>
    <w:rsid w:val="002044E5"/>
    <w:rsid w:val="002066D7"/>
    <w:rsid w:val="002143E6"/>
    <w:rsid w:val="00234B6A"/>
    <w:rsid w:val="00234CF4"/>
    <w:rsid w:val="00237B2D"/>
    <w:rsid w:val="00237C20"/>
    <w:rsid w:val="00240E34"/>
    <w:rsid w:val="00246238"/>
    <w:rsid w:val="002478E3"/>
    <w:rsid w:val="002552D5"/>
    <w:rsid w:val="00260D0E"/>
    <w:rsid w:val="002626A4"/>
    <w:rsid w:val="002669CF"/>
    <w:rsid w:val="00273002"/>
    <w:rsid w:val="00273361"/>
    <w:rsid w:val="002761AE"/>
    <w:rsid w:val="002776AB"/>
    <w:rsid w:val="0028197C"/>
    <w:rsid w:val="0028584F"/>
    <w:rsid w:val="00286579"/>
    <w:rsid w:val="002866CC"/>
    <w:rsid w:val="00290756"/>
    <w:rsid w:val="002918F3"/>
    <w:rsid w:val="00294C23"/>
    <w:rsid w:val="0029627F"/>
    <w:rsid w:val="002971E9"/>
    <w:rsid w:val="002A00F0"/>
    <w:rsid w:val="002A091D"/>
    <w:rsid w:val="002A1B5C"/>
    <w:rsid w:val="002B11E4"/>
    <w:rsid w:val="002B1334"/>
    <w:rsid w:val="002B5085"/>
    <w:rsid w:val="002B625A"/>
    <w:rsid w:val="002B7157"/>
    <w:rsid w:val="002B7236"/>
    <w:rsid w:val="002C2668"/>
    <w:rsid w:val="002C5B04"/>
    <w:rsid w:val="002D000F"/>
    <w:rsid w:val="002D2060"/>
    <w:rsid w:val="002D2139"/>
    <w:rsid w:val="002D600B"/>
    <w:rsid w:val="002E2265"/>
    <w:rsid w:val="002E2E13"/>
    <w:rsid w:val="002E5732"/>
    <w:rsid w:val="002F054A"/>
    <w:rsid w:val="002F2A1B"/>
    <w:rsid w:val="002F3C48"/>
    <w:rsid w:val="002F4BA0"/>
    <w:rsid w:val="00300DC5"/>
    <w:rsid w:val="00304AB0"/>
    <w:rsid w:val="003050E8"/>
    <w:rsid w:val="00305F85"/>
    <w:rsid w:val="00306FB1"/>
    <w:rsid w:val="00314536"/>
    <w:rsid w:val="00316363"/>
    <w:rsid w:val="00316B32"/>
    <w:rsid w:val="00321FBB"/>
    <w:rsid w:val="00322858"/>
    <w:rsid w:val="00322BC0"/>
    <w:rsid w:val="00324B41"/>
    <w:rsid w:val="00324C31"/>
    <w:rsid w:val="00326375"/>
    <w:rsid w:val="00326813"/>
    <w:rsid w:val="00327141"/>
    <w:rsid w:val="0033102D"/>
    <w:rsid w:val="0033740D"/>
    <w:rsid w:val="00341DA0"/>
    <w:rsid w:val="00354CF4"/>
    <w:rsid w:val="00356EDB"/>
    <w:rsid w:val="003605C1"/>
    <w:rsid w:val="00360800"/>
    <w:rsid w:val="00363062"/>
    <w:rsid w:val="003646ED"/>
    <w:rsid w:val="0037115D"/>
    <w:rsid w:val="003732F0"/>
    <w:rsid w:val="00376E3B"/>
    <w:rsid w:val="00381B20"/>
    <w:rsid w:val="00382622"/>
    <w:rsid w:val="00382868"/>
    <w:rsid w:val="003908C6"/>
    <w:rsid w:val="00396F4D"/>
    <w:rsid w:val="00397951"/>
    <w:rsid w:val="003A0254"/>
    <w:rsid w:val="003A0CB3"/>
    <w:rsid w:val="003A196D"/>
    <w:rsid w:val="003A1E2E"/>
    <w:rsid w:val="003A2CC9"/>
    <w:rsid w:val="003B0266"/>
    <w:rsid w:val="003B08BB"/>
    <w:rsid w:val="003B282F"/>
    <w:rsid w:val="003B37EA"/>
    <w:rsid w:val="003B72D2"/>
    <w:rsid w:val="003C131C"/>
    <w:rsid w:val="003C2F35"/>
    <w:rsid w:val="003D0CA7"/>
    <w:rsid w:val="003D1F3D"/>
    <w:rsid w:val="003D42FE"/>
    <w:rsid w:val="003D643E"/>
    <w:rsid w:val="003D73AC"/>
    <w:rsid w:val="003E3E9C"/>
    <w:rsid w:val="003E7700"/>
    <w:rsid w:val="003F6C50"/>
    <w:rsid w:val="00400572"/>
    <w:rsid w:val="0040096F"/>
    <w:rsid w:val="004024C0"/>
    <w:rsid w:val="00402AE5"/>
    <w:rsid w:val="00406E0A"/>
    <w:rsid w:val="00407F74"/>
    <w:rsid w:val="00412C03"/>
    <w:rsid w:val="00414A38"/>
    <w:rsid w:val="004231EF"/>
    <w:rsid w:val="00423CD3"/>
    <w:rsid w:val="004256B8"/>
    <w:rsid w:val="00430A78"/>
    <w:rsid w:val="00431595"/>
    <w:rsid w:val="00441FD5"/>
    <w:rsid w:val="004447E6"/>
    <w:rsid w:val="00446968"/>
    <w:rsid w:val="00447432"/>
    <w:rsid w:val="00452276"/>
    <w:rsid w:val="00452C15"/>
    <w:rsid w:val="00452CF3"/>
    <w:rsid w:val="0045449A"/>
    <w:rsid w:val="00460488"/>
    <w:rsid w:val="00461880"/>
    <w:rsid w:val="004639C0"/>
    <w:rsid w:val="00466D9A"/>
    <w:rsid w:val="00474AFE"/>
    <w:rsid w:val="00480EC9"/>
    <w:rsid w:val="004922EE"/>
    <w:rsid w:val="00493B77"/>
    <w:rsid w:val="004A2D1C"/>
    <w:rsid w:val="004B0CFC"/>
    <w:rsid w:val="004C13DC"/>
    <w:rsid w:val="004C2A0C"/>
    <w:rsid w:val="004C3F5D"/>
    <w:rsid w:val="004C438C"/>
    <w:rsid w:val="004C61C8"/>
    <w:rsid w:val="004E01BD"/>
    <w:rsid w:val="004E3ABD"/>
    <w:rsid w:val="004E7190"/>
    <w:rsid w:val="004E7EA3"/>
    <w:rsid w:val="004F0A4A"/>
    <w:rsid w:val="004F70E7"/>
    <w:rsid w:val="00500678"/>
    <w:rsid w:val="00505390"/>
    <w:rsid w:val="00510653"/>
    <w:rsid w:val="0051348F"/>
    <w:rsid w:val="005176FB"/>
    <w:rsid w:val="00527D79"/>
    <w:rsid w:val="00531426"/>
    <w:rsid w:val="0053611F"/>
    <w:rsid w:val="00544D8D"/>
    <w:rsid w:val="00545A2F"/>
    <w:rsid w:val="00546580"/>
    <w:rsid w:val="00552679"/>
    <w:rsid w:val="005575A4"/>
    <w:rsid w:val="00557FAC"/>
    <w:rsid w:val="00560594"/>
    <w:rsid w:val="00572F19"/>
    <w:rsid w:val="005760EC"/>
    <w:rsid w:val="005776E9"/>
    <w:rsid w:val="00580EA6"/>
    <w:rsid w:val="00581364"/>
    <w:rsid w:val="005813EE"/>
    <w:rsid w:val="00585545"/>
    <w:rsid w:val="00586A68"/>
    <w:rsid w:val="0059094C"/>
    <w:rsid w:val="00592758"/>
    <w:rsid w:val="00593AC4"/>
    <w:rsid w:val="00594004"/>
    <w:rsid w:val="00595C12"/>
    <w:rsid w:val="00597161"/>
    <w:rsid w:val="005A1EEF"/>
    <w:rsid w:val="005A48EF"/>
    <w:rsid w:val="005A6045"/>
    <w:rsid w:val="005B1A9A"/>
    <w:rsid w:val="005B4DCE"/>
    <w:rsid w:val="005B6505"/>
    <w:rsid w:val="005B678A"/>
    <w:rsid w:val="005C62BF"/>
    <w:rsid w:val="005C6B01"/>
    <w:rsid w:val="005D147E"/>
    <w:rsid w:val="005D37A6"/>
    <w:rsid w:val="005D59EA"/>
    <w:rsid w:val="005E19EA"/>
    <w:rsid w:val="005E5969"/>
    <w:rsid w:val="005F0E68"/>
    <w:rsid w:val="005F31A0"/>
    <w:rsid w:val="005F39A9"/>
    <w:rsid w:val="005F721C"/>
    <w:rsid w:val="005F7415"/>
    <w:rsid w:val="006005C2"/>
    <w:rsid w:val="00601180"/>
    <w:rsid w:val="00602478"/>
    <w:rsid w:val="00604606"/>
    <w:rsid w:val="0061039D"/>
    <w:rsid w:val="0061084A"/>
    <w:rsid w:val="006144A2"/>
    <w:rsid w:val="0062190E"/>
    <w:rsid w:val="00623BB1"/>
    <w:rsid w:val="006302B5"/>
    <w:rsid w:val="00633127"/>
    <w:rsid w:val="006349C8"/>
    <w:rsid w:val="00634D14"/>
    <w:rsid w:val="006350CA"/>
    <w:rsid w:val="0063762C"/>
    <w:rsid w:val="006414D4"/>
    <w:rsid w:val="00641D05"/>
    <w:rsid w:val="00642551"/>
    <w:rsid w:val="0064272F"/>
    <w:rsid w:val="00650AA0"/>
    <w:rsid w:val="00650F54"/>
    <w:rsid w:val="00654740"/>
    <w:rsid w:val="00663F44"/>
    <w:rsid w:val="00664F83"/>
    <w:rsid w:val="0066700F"/>
    <w:rsid w:val="006678ED"/>
    <w:rsid w:val="00667E99"/>
    <w:rsid w:val="0067569C"/>
    <w:rsid w:val="00677DFD"/>
    <w:rsid w:val="006815EA"/>
    <w:rsid w:val="00686903"/>
    <w:rsid w:val="006902D6"/>
    <w:rsid w:val="00691AEB"/>
    <w:rsid w:val="00692E4D"/>
    <w:rsid w:val="00696186"/>
    <w:rsid w:val="006977A9"/>
    <w:rsid w:val="006A096B"/>
    <w:rsid w:val="006A177D"/>
    <w:rsid w:val="006A2F69"/>
    <w:rsid w:val="006A3EB0"/>
    <w:rsid w:val="006A6EDF"/>
    <w:rsid w:val="006B053A"/>
    <w:rsid w:val="006B74D0"/>
    <w:rsid w:val="006B7942"/>
    <w:rsid w:val="006C3295"/>
    <w:rsid w:val="006C4AE8"/>
    <w:rsid w:val="006C5E80"/>
    <w:rsid w:val="006D25AE"/>
    <w:rsid w:val="006D606B"/>
    <w:rsid w:val="006E0696"/>
    <w:rsid w:val="006F0989"/>
    <w:rsid w:val="006F0FCE"/>
    <w:rsid w:val="006F1D71"/>
    <w:rsid w:val="006F72D0"/>
    <w:rsid w:val="00700423"/>
    <w:rsid w:val="007045E6"/>
    <w:rsid w:val="00713944"/>
    <w:rsid w:val="00714BEA"/>
    <w:rsid w:val="00715FFB"/>
    <w:rsid w:val="0071672C"/>
    <w:rsid w:val="00716D1E"/>
    <w:rsid w:val="00721AA7"/>
    <w:rsid w:val="007244CF"/>
    <w:rsid w:val="007279B0"/>
    <w:rsid w:val="00732040"/>
    <w:rsid w:val="00735714"/>
    <w:rsid w:val="00735919"/>
    <w:rsid w:val="007441A6"/>
    <w:rsid w:val="0074448F"/>
    <w:rsid w:val="0074561C"/>
    <w:rsid w:val="00751B14"/>
    <w:rsid w:val="00753176"/>
    <w:rsid w:val="0075475D"/>
    <w:rsid w:val="00755CB2"/>
    <w:rsid w:val="00772085"/>
    <w:rsid w:val="00773BE5"/>
    <w:rsid w:val="0077675D"/>
    <w:rsid w:val="00780066"/>
    <w:rsid w:val="00780702"/>
    <w:rsid w:val="00781391"/>
    <w:rsid w:val="00787A0C"/>
    <w:rsid w:val="00791E0C"/>
    <w:rsid w:val="0079540D"/>
    <w:rsid w:val="00795BAC"/>
    <w:rsid w:val="007B246B"/>
    <w:rsid w:val="007B404B"/>
    <w:rsid w:val="007C24F6"/>
    <w:rsid w:val="007C3983"/>
    <w:rsid w:val="007C72EE"/>
    <w:rsid w:val="007C78A7"/>
    <w:rsid w:val="007D24C7"/>
    <w:rsid w:val="007D3B2C"/>
    <w:rsid w:val="007D5F32"/>
    <w:rsid w:val="007E3125"/>
    <w:rsid w:val="007F3C15"/>
    <w:rsid w:val="007F529D"/>
    <w:rsid w:val="007F542E"/>
    <w:rsid w:val="007F6011"/>
    <w:rsid w:val="00800EDF"/>
    <w:rsid w:val="008016CB"/>
    <w:rsid w:val="00805D77"/>
    <w:rsid w:val="00806043"/>
    <w:rsid w:val="008100B6"/>
    <w:rsid w:val="008115F2"/>
    <w:rsid w:val="00813BF2"/>
    <w:rsid w:val="0081433B"/>
    <w:rsid w:val="00817092"/>
    <w:rsid w:val="00820FEF"/>
    <w:rsid w:val="0082107B"/>
    <w:rsid w:val="0082499B"/>
    <w:rsid w:val="00827B58"/>
    <w:rsid w:val="008301D4"/>
    <w:rsid w:val="008316C3"/>
    <w:rsid w:val="00831D37"/>
    <w:rsid w:val="0083241B"/>
    <w:rsid w:val="00840CE0"/>
    <w:rsid w:val="008437B1"/>
    <w:rsid w:val="00847574"/>
    <w:rsid w:val="00850E87"/>
    <w:rsid w:val="00852920"/>
    <w:rsid w:val="00855C2F"/>
    <w:rsid w:val="00857FFE"/>
    <w:rsid w:val="00861C68"/>
    <w:rsid w:val="008626F0"/>
    <w:rsid w:val="008637B8"/>
    <w:rsid w:val="00867402"/>
    <w:rsid w:val="0087049B"/>
    <w:rsid w:val="00870BBF"/>
    <w:rsid w:val="00872918"/>
    <w:rsid w:val="00881AAC"/>
    <w:rsid w:val="00887A71"/>
    <w:rsid w:val="00890B41"/>
    <w:rsid w:val="00894054"/>
    <w:rsid w:val="0089670C"/>
    <w:rsid w:val="008A159D"/>
    <w:rsid w:val="008A3125"/>
    <w:rsid w:val="008A42C6"/>
    <w:rsid w:val="008A45E6"/>
    <w:rsid w:val="008B0320"/>
    <w:rsid w:val="008B241A"/>
    <w:rsid w:val="008C1DCB"/>
    <w:rsid w:val="008C70D3"/>
    <w:rsid w:val="008D1065"/>
    <w:rsid w:val="008D1098"/>
    <w:rsid w:val="008D1622"/>
    <w:rsid w:val="008D240F"/>
    <w:rsid w:val="008D2E68"/>
    <w:rsid w:val="008E321E"/>
    <w:rsid w:val="008E3358"/>
    <w:rsid w:val="008E519B"/>
    <w:rsid w:val="008E569E"/>
    <w:rsid w:val="008E7594"/>
    <w:rsid w:val="008F5BA9"/>
    <w:rsid w:val="008F5FF7"/>
    <w:rsid w:val="009113AF"/>
    <w:rsid w:val="00922433"/>
    <w:rsid w:val="00932148"/>
    <w:rsid w:val="00932528"/>
    <w:rsid w:val="009326BD"/>
    <w:rsid w:val="00933450"/>
    <w:rsid w:val="00934B1D"/>
    <w:rsid w:val="00935752"/>
    <w:rsid w:val="00943A9A"/>
    <w:rsid w:val="009451C3"/>
    <w:rsid w:val="00947E60"/>
    <w:rsid w:val="00954BC5"/>
    <w:rsid w:val="009561A3"/>
    <w:rsid w:val="00961322"/>
    <w:rsid w:val="00965B78"/>
    <w:rsid w:val="0096734F"/>
    <w:rsid w:val="009711CA"/>
    <w:rsid w:val="00972C29"/>
    <w:rsid w:val="00974062"/>
    <w:rsid w:val="0097652F"/>
    <w:rsid w:val="00985AB5"/>
    <w:rsid w:val="009902E4"/>
    <w:rsid w:val="00992654"/>
    <w:rsid w:val="00997683"/>
    <w:rsid w:val="00997D63"/>
    <w:rsid w:val="009A622D"/>
    <w:rsid w:val="009A7382"/>
    <w:rsid w:val="009B0A08"/>
    <w:rsid w:val="009B2ACB"/>
    <w:rsid w:val="009B303A"/>
    <w:rsid w:val="009B39AD"/>
    <w:rsid w:val="009B6697"/>
    <w:rsid w:val="009C3D9E"/>
    <w:rsid w:val="009E249A"/>
    <w:rsid w:val="009E34F2"/>
    <w:rsid w:val="009E5D38"/>
    <w:rsid w:val="009E620B"/>
    <w:rsid w:val="009E65F2"/>
    <w:rsid w:val="009E662A"/>
    <w:rsid w:val="009F38D8"/>
    <w:rsid w:val="00A00CE8"/>
    <w:rsid w:val="00A02B19"/>
    <w:rsid w:val="00A06384"/>
    <w:rsid w:val="00A079C4"/>
    <w:rsid w:val="00A104E1"/>
    <w:rsid w:val="00A1458D"/>
    <w:rsid w:val="00A17A17"/>
    <w:rsid w:val="00A17F21"/>
    <w:rsid w:val="00A23C27"/>
    <w:rsid w:val="00A26A8D"/>
    <w:rsid w:val="00A30D95"/>
    <w:rsid w:val="00A3107F"/>
    <w:rsid w:val="00A33001"/>
    <w:rsid w:val="00A43490"/>
    <w:rsid w:val="00A43F86"/>
    <w:rsid w:val="00A456D8"/>
    <w:rsid w:val="00A5485B"/>
    <w:rsid w:val="00A5562C"/>
    <w:rsid w:val="00A6282B"/>
    <w:rsid w:val="00A63EF2"/>
    <w:rsid w:val="00A66B53"/>
    <w:rsid w:val="00A670BC"/>
    <w:rsid w:val="00A71A4E"/>
    <w:rsid w:val="00A806A0"/>
    <w:rsid w:val="00A83A97"/>
    <w:rsid w:val="00A85DA5"/>
    <w:rsid w:val="00A86C8C"/>
    <w:rsid w:val="00A90047"/>
    <w:rsid w:val="00A95750"/>
    <w:rsid w:val="00AB3DF5"/>
    <w:rsid w:val="00AB6108"/>
    <w:rsid w:val="00AC00C7"/>
    <w:rsid w:val="00AC285B"/>
    <w:rsid w:val="00AC2864"/>
    <w:rsid w:val="00AC2F52"/>
    <w:rsid w:val="00AC586C"/>
    <w:rsid w:val="00AD556F"/>
    <w:rsid w:val="00AD6084"/>
    <w:rsid w:val="00AE042B"/>
    <w:rsid w:val="00AF2E55"/>
    <w:rsid w:val="00AF4FB6"/>
    <w:rsid w:val="00AF7687"/>
    <w:rsid w:val="00B15181"/>
    <w:rsid w:val="00B15E24"/>
    <w:rsid w:val="00B15E9B"/>
    <w:rsid w:val="00B16B69"/>
    <w:rsid w:val="00B23990"/>
    <w:rsid w:val="00B26F58"/>
    <w:rsid w:val="00B276D2"/>
    <w:rsid w:val="00B30E61"/>
    <w:rsid w:val="00B31AF0"/>
    <w:rsid w:val="00B32F0E"/>
    <w:rsid w:val="00B3391C"/>
    <w:rsid w:val="00B343B0"/>
    <w:rsid w:val="00B374DD"/>
    <w:rsid w:val="00B422C7"/>
    <w:rsid w:val="00B448E6"/>
    <w:rsid w:val="00B448F5"/>
    <w:rsid w:val="00B46C0D"/>
    <w:rsid w:val="00B50A5A"/>
    <w:rsid w:val="00B5198A"/>
    <w:rsid w:val="00B527E4"/>
    <w:rsid w:val="00B52AB8"/>
    <w:rsid w:val="00B5397D"/>
    <w:rsid w:val="00B541C6"/>
    <w:rsid w:val="00B55B9B"/>
    <w:rsid w:val="00B55EC3"/>
    <w:rsid w:val="00B66CDF"/>
    <w:rsid w:val="00B77160"/>
    <w:rsid w:val="00B8015B"/>
    <w:rsid w:val="00B86448"/>
    <w:rsid w:val="00B93213"/>
    <w:rsid w:val="00B94462"/>
    <w:rsid w:val="00B952A2"/>
    <w:rsid w:val="00B9594B"/>
    <w:rsid w:val="00B96185"/>
    <w:rsid w:val="00BB1C1B"/>
    <w:rsid w:val="00BB3217"/>
    <w:rsid w:val="00BB3909"/>
    <w:rsid w:val="00BC211F"/>
    <w:rsid w:val="00BC4192"/>
    <w:rsid w:val="00BC73BE"/>
    <w:rsid w:val="00BD2E2A"/>
    <w:rsid w:val="00BD39FA"/>
    <w:rsid w:val="00BD4E77"/>
    <w:rsid w:val="00BD71AC"/>
    <w:rsid w:val="00BE0116"/>
    <w:rsid w:val="00BE36D9"/>
    <w:rsid w:val="00BE4986"/>
    <w:rsid w:val="00BE7102"/>
    <w:rsid w:val="00C0207C"/>
    <w:rsid w:val="00C0210B"/>
    <w:rsid w:val="00C0512E"/>
    <w:rsid w:val="00C063B5"/>
    <w:rsid w:val="00C075BA"/>
    <w:rsid w:val="00C12824"/>
    <w:rsid w:val="00C13854"/>
    <w:rsid w:val="00C1527E"/>
    <w:rsid w:val="00C23DA8"/>
    <w:rsid w:val="00C3013A"/>
    <w:rsid w:val="00C303A8"/>
    <w:rsid w:val="00C31E32"/>
    <w:rsid w:val="00C40E04"/>
    <w:rsid w:val="00C415DB"/>
    <w:rsid w:val="00C41F83"/>
    <w:rsid w:val="00C42E20"/>
    <w:rsid w:val="00C4605C"/>
    <w:rsid w:val="00C466E2"/>
    <w:rsid w:val="00C51CF3"/>
    <w:rsid w:val="00C53331"/>
    <w:rsid w:val="00C5442B"/>
    <w:rsid w:val="00C63E1C"/>
    <w:rsid w:val="00C67341"/>
    <w:rsid w:val="00C7091D"/>
    <w:rsid w:val="00C7319A"/>
    <w:rsid w:val="00C75A9E"/>
    <w:rsid w:val="00C8384C"/>
    <w:rsid w:val="00C84CE7"/>
    <w:rsid w:val="00C94539"/>
    <w:rsid w:val="00C97365"/>
    <w:rsid w:val="00C97C85"/>
    <w:rsid w:val="00CA6280"/>
    <w:rsid w:val="00CB04D1"/>
    <w:rsid w:val="00CB4966"/>
    <w:rsid w:val="00CB6A63"/>
    <w:rsid w:val="00CB75CB"/>
    <w:rsid w:val="00CC1A7F"/>
    <w:rsid w:val="00CC3942"/>
    <w:rsid w:val="00CC5353"/>
    <w:rsid w:val="00CC5F30"/>
    <w:rsid w:val="00CD0366"/>
    <w:rsid w:val="00CD5A65"/>
    <w:rsid w:val="00CD6302"/>
    <w:rsid w:val="00CE1496"/>
    <w:rsid w:val="00CE3E1F"/>
    <w:rsid w:val="00CE5E99"/>
    <w:rsid w:val="00CF49C8"/>
    <w:rsid w:val="00CF4AB7"/>
    <w:rsid w:val="00D00A36"/>
    <w:rsid w:val="00D0342C"/>
    <w:rsid w:val="00D034B5"/>
    <w:rsid w:val="00D054C1"/>
    <w:rsid w:val="00D06072"/>
    <w:rsid w:val="00D07D1C"/>
    <w:rsid w:val="00D117B1"/>
    <w:rsid w:val="00D14345"/>
    <w:rsid w:val="00D1499A"/>
    <w:rsid w:val="00D16252"/>
    <w:rsid w:val="00D250C9"/>
    <w:rsid w:val="00D26EA3"/>
    <w:rsid w:val="00D27740"/>
    <w:rsid w:val="00D32A8C"/>
    <w:rsid w:val="00D32F4B"/>
    <w:rsid w:val="00D34208"/>
    <w:rsid w:val="00D43575"/>
    <w:rsid w:val="00D45562"/>
    <w:rsid w:val="00D46852"/>
    <w:rsid w:val="00D50013"/>
    <w:rsid w:val="00D5161C"/>
    <w:rsid w:val="00D51F15"/>
    <w:rsid w:val="00D52940"/>
    <w:rsid w:val="00D5770A"/>
    <w:rsid w:val="00D57C17"/>
    <w:rsid w:val="00D60DFD"/>
    <w:rsid w:val="00D72689"/>
    <w:rsid w:val="00D72E04"/>
    <w:rsid w:val="00D753FD"/>
    <w:rsid w:val="00D815FD"/>
    <w:rsid w:val="00D82799"/>
    <w:rsid w:val="00D9039D"/>
    <w:rsid w:val="00D92D23"/>
    <w:rsid w:val="00D95189"/>
    <w:rsid w:val="00DA0E89"/>
    <w:rsid w:val="00DA1516"/>
    <w:rsid w:val="00DA1AC4"/>
    <w:rsid w:val="00DB179D"/>
    <w:rsid w:val="00DB6180"/>
    <w:rsid w:val="00DB6D69"/>
    <w:rsid w:val="00DC2B1D"/>
    <w:rsid w:val="00DE3349"/>
    <w:rsid w:val="00DE7FAA"/>
    <w:rsid w:val="00DF2964"/>
    <w:rsid w:val="00E01C73"/>
    <w:rsid w:val="00E01D59"/>
    <w:rsid w:val="00E03C24"/>
    <w:rsid w:val="00E06B33"/>
    <w:rsid w:val="00E070DB"/>
    <w:rsid w:val="00E10DC7"/>
    <w:rsid w:val="00E13C3D"/>
    <w:rsid w:val="00E13EC2"/>
    <w:rsid w:val="00E14CD8"/>
    <w:rsid w:val="00E1754E"/>
    <w:rsid w:val="00E2088D"/>
    <w:rsid w:val="00E277F7"/>
    <w:rsid w:val="00E3070A"/>
    <w:rsid w:val="00E318DF"/>
    <w:rsid w:val="00E3413C"/>
    <w:rsid w:val="00E35700"/>
    <w:rsid w:val="00E37BC3"/>
    <w:rsid w:val="00E37D58"/>
    <w:rsid w:val="00E41C0D"/>
    <w:rsid w:val="00E43F98"/>
    <w:rsid w:val="00E450AB"/>
    <w:rsid w:val="00E45C03"/>
    <w:rsid w:val="00E4687A"/>
    <w:rsid w:val="00E505E7"/>
    <w:rsid w:val="00E5369A"/>
    <w:rsid w:val="00E53A94"/>
    <w:rsid w:val="00E54299"/>
    <w:rsid w:val="00E565C3"/>
    <w:rsid w:val="00E57E66"/>
    <w:rsid w:val="00E61C85"/>
    <w:rsid w:val="00E64D9E"/>
    <w:rsid w:val="00E666FC"/>
    <w:rsid w:val="00E70540"/>
    <w:rsid w:val="00E71E29"/>
    <w:rsid w:val="00E7415D"/>
    <w:rsid w:val="00E74781"/>
    <w:rsid w:val="00E8361D"/>
    <w:rsid w:val="00E84783"/>
    <w:rsid w:val="00E85C72"/>
    <w:rsid w:val="00E8668D"/>
    <w:rsid w:val="00E86C26"/>
    <w:rsid w:val="00E86EE7"/>
    <w:rsid w:val="00E92CE0"/>
    <w:rsid w:val="00E9300C"/>
    <w:rsid w:val="00E953B7"/>
    <w:rsid w:val="00E968A9"/>
    <w:rsid w:val="00EA37AB"/>
    <w:rsid w:val="00EA3DEC"/>
    <w:rsid w:val="00EA775F"/>
    <w:rsid w:val="00EB1143"/>
    <w:rsid w:val="00EB1E2E"/>
    <w:rsid w:val="00EB2C8D"/>
    <w:rsid w:val="00EC1D2D"/>
    <w:rsid w:val="00EC1DF3"/>
    <w:rsid w:val="00EC2FF1"/>
    <w:rsid w:val="00EC305D"/>
    <w:rsid w:val="00EC5205"/>
    <w:rsid w:val="00EC5A0B"/>
    <w:rsid w:val="00ED06FC"/>
    <w:rsid w:val="00ED537A"/>
    <w:rsid w:val="00ED5CF2"/>
    <w:rsid w:val="00ED7061"/>
    <w:rsid w:val="00ED7C56"/>
    <w:rsid w:val="00EE3032"/>
    <w:rsid w:val="00EE5A04"/>
    <w:rsid w:val="00EE69CB"/>
    <w:rsid w:val="00EE6DB7"/>
    <w:rsid w:val="00EE7169"/>
    <w:rsid w:val="00EF53E3"/>
    <w:rsid w:val="00EF63D1"/>
    <w:rsid w:val="00EF7C8C"/>
    <w:rsid w:val="00F02A8A"/>
    <w:rsid w:val="00F03095"/>
    <w:rsid w:val="00F07307"/>
    <w:rsid w:val="00F07A0D"/>
    <w:rsid w:val="00F07B9A"/>
    <w:rsid w:val="00F1096D"/>
    <w:rsid w:val="00F2465B"/>
    <w:rsid w:val="00F33618"/>
    <w:rsid w:val="00F34960"/>
    <w:rsid w:val="00F363E7"/>
    <w:rsid w:val="00F41FF2"/>
    <w:rsid w:val="00F426F1"/>
    <w:rsid w:val="00F43822"/>
    <w:rsid w:val="00F4393D"/>
    <w:rsid w:val="00F472A7"/>
    <w:rsid w:val="00F52F08"/>
    <w:rsid w:val="00F545DB"/>
    <w:rsid w:val="00F62F9B"/>
    <w:rsid w:val="00F71D33"/>
    <w:rsid w:val="00F72183"/>
    <w:rsid w:val="00F72A86"/>
    <w:rsid w:val="00F73628"/>
    <w:rsid w:val="00F822ED"/>
    <w:rsid w:val="00F823D0"/>
    <w:rsid w:val="00F83795"/>
    <w:rsid w:val="00F85311"/>
    <w:rsid w:val="00F86B61"/>
    <w:rsid w:val="00F918D9"/>
    <w:rsid w:val="00F91CD4"/>
    <w:rsid w:val="00F93ACF"/>
    <w:rsid w:val="00F94D82"/>
    <w:rsid w:val="00F9763A"/>
    <w:rsid w:val="00FA0E89"/>
    <w:rsid w:val="00FA4DCE"/>
    <w:rsid w:val="00FA6359"/>
    <w:rsid w:val="00FB4BDB"/>
    <w:rsid w:val="00FC502D"/>
    <w:rsid w:val="00FC62F1"/>
    <w:rsid w:val="00FC7CE7"/>
    <w:rsid w:val="00FD0319"/>
    <w:rsid w:val="00FD51DD"/>
    <w:rsid w:val="00FD7C57"/>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38D6A-DDBD-46E2-A635-B167D81C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68"/>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6977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97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861C6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861C68"/>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861C68"/>
    <w:rPr>
      <w:i/>
      <w:iCs/>
      <w:color w:val="000000" w:themeColor="text1"/>
    </w:rPr>
  </w:style>
  <w:style w:type="character" w:customStyle="1" w:styleId="QuoteChar">
    <w:name w:val="Quote Char"/>
    <w:basedOn w:val="DefaultParagraphFont"/>
    <w:link w:val="Quote"/>
    <w:uiPriority w:val="29"/>
    <w:rsid w:val="00861C68"/>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861C68"/>
    <w:pPr>
      <w:tabs>
        <w:tab w:val="center" w:pos="4680"/>
        <w:tab w:val="right" w:pos="9360"/>
      </w:tabs>
    </w:pPr>
  </w:style>
  <w:style w:type="character" w:customStyle="1" w:styleId="HeaderChar">
    <w:name w:val="Header Char"/>
    <w:basedOn w:val="DefaultParagraphFont"/>
    <w:link w:val="Header"/>
    <w:uiPriority w:val="99"/>
    <w:rsid w:val="00861C68"/>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861C68"/>
    <w:pPr>
      <w:spacing w:after="720"/>
    </w:pPr>
    <w:rPr>
      <w:i/>
    </w:rPr>
  </w:style>
  <w:style w:type="character" w:customStyle="1" w:styleId="SCCLsocVersusChar">
    <w:name w:val="SCC.Lsoc.Versus Char"/>
    <w:basedOn w:val="DefaultParagraphFont"/>
    <w:link w:val="SCCLsocVersus"/>
    <w:rsid w:val="00861C68"/>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861C68"/>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861C68"/>
    <w:pPr>
      <w:spacing w:after="720"/>
    </w:pPr>
  </w:style>
  <w:style w:type="character" w:customStyle="1" w:styleId="SCCLsocSubfileSeparatorChar">
    <w:name w:val="SCC.Lsoc.SubfileSeparator Char"/>
    <w:basedOn w:val="DefaultParagraphFont"/>
    <w:link w:val="SCCLsocSubfileSeparator"/>
    <w:rsid w:val="00861C68"/>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861C68"/>
    <w:rPr>
      <w:smallCaps/>
    </w:rPr>
  </w:style>
  <w:style w:type="character" w:customStyle="1" w:styleId="SCCAppellantForRunningHeadChar">
    <w:name w:val="SCC.AppellantForRunningHead Char"/>
    <w:basedOn w:val="DefaultParagraphFont"/>
    <w:link w:val="SCCAppellantForRunningHead"/>
    <w:rsid w:val="00861C68"/>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861C68"/>
    <w:rPr>
      <w:b/>
    </w:rPr>
  </w:style>
  <w:style w:type="character" w:customStyle="1" w:styleId="SCCAppellantForIndexChar">
    <w:name w:val="SCC.AppellantForIndex Char"/>
    <w:basedOn w:val="DefaultParagraphFont"/>
    <w:link w:val="SCCAppellantForIndex"/>
    <w:rsid w:val="00861C68"/>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861C68"/>
    <w:rPr>
      <w:b/>
    </w:rPr>
  </w:style>
  <w:style w:type="character" w:customStyle="1" w:styleId="SCCSystemYearChar">
    <w:name w:val="SCC.SystemYear Char"/>
    <w:basedOn w:val="DefaultParagraphFont"/>
    <w:link w:val="SCCSystemYear"/>
    <w:rsid w:val="00861C68"/>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861C68"/>
    <w:rPr>
      <w:smallCaps/>
    </w:rPr>
  </w:style>
  <w:style w:type="paragraph" w:customStyle="1" w:styleId="SCCCounselName">
    <w:name w:val="SCC.CounselName"/>
    <w:basedOn w:val="SCCNormalDoubleSpacing"/>
    <w:next w:val="SCCNormalDoubleSpacing"/>
    <w:link w:val="SCCCounselNameChar"/>
    <w:rsid w:val="00861C68"/>
    <w:rPr>
      <w:i/>
    </w:rPr>
  </w:style>
  <w:style w:type="character" w:customStyle="1" w:styleId="SCCCounselNameChar">
    <w:name w:val="SCC.CounselName Char"/>
    <w:basedOn w:val="SCCNormalDoubleSpacingChar"/>
    <w:link w:val="SCCCounselName"/>
    <w:rsid w:val="00861C68"/>
    <w:rPr>
      <w:rFonts w:ascii="Times New Roman" w:eastAsia="Times New Roman" w:hAnsi="Times New Roman" w:cs="Times New Roman"/>
      <w:i/>
      <w:sz w:val="24"/>
      <w:szCs w:val="20"/>
      <w:lang w:val="en-CA" w:eastAsia="en-CA"/>
    </w:rPr>
  </w:style>
  <w:style w:type="paragraph" w:customStyle="1" w:styleId="SCCAppellantForCitation">
    <w:name w:val="SCC.AppellantForCitation"/>
    <w:basedOn w:val="Normal"/>
    <w:next w:val="Normal"/>
    <w:link w:val="SCCAppellantForCitationChar"/>
    <w:rsid w:val="00861C68"/>
    <w:rPr>
      <w:i/>
    </w:rPr>
  </w:style>
  <w:style w:type="character" w:customStyle="1" w:styleId="SCCAppellantForCitationChar">
    <w:name w:val="SCC.AppellantForCitation Char"/>
    <w:basedOn w:val="DefaultParagraphFont"/>
    <w:link w:val="SCCAppellantForCitation"/>
    <w:rsid w:val="00861C68"/>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861C68"/>
  </w:style>
  <w:style w:type="character" w:customStyle="1" w:styleId="SCCCounselSeparatorChar">
    <w:name w:val="SCC.CounselSeparator Char"/>
    <w:basedOn w:val="SCCNormalDoubleSpacingChar"/>
    <w:link w:val="SCCCounselSeparator"/>
    <w:rsid w:val="00861C68"/>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861C68"/>
    <w:rPr>
      <w:i/>
    </w:rPr>
  </w:style>
  <w:style w:type="character" w:customStyle="1" w:styleId="SCCLawFirmChar">
    <w:name w:val="SCC.LawFirm Char"/>
    <w:basedOn w:val="SCCNormalDoubleSpacingChar"/>
    <w:link w:val="SCCLawFirm"/>
    <w:rsid w:val="00861C68"/>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861C68"/>
  </w:style>
  <w:style w:type="character" w:customStyle="1" w:styleId="SCCCounselPartyRoleChar">
    <w:name w:val="SCC.CounselPartyRole Char"/>
    <w:basedOn w:val="SCCNormalDoubleSpacingChar"/>
    <w:link w:val="SCCCounselPartyRole"/>
    <w:rsid w:val="00861C68"/>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861C68"/>
    <w:pPr>
      <w:tabs>
        <w:tab w:val="right" w:pos="8222"/>
      </w:tabs>
      <w:spacing w:after="720"/>
    </w:pPr>
    <w:rPr>
      <w:b/>
    </w:rPr>
  </w:style>
  <w:style w:type="character" w:customStyle="1" w:styleId="SCCLsocLastPartyInRoleChar">
    <w:name w:val="SCC.Lsoc.LastPartyInRole Char"/>
    <w:basedOn w:val="DefaultParagraphFont"/>
    <w:link w:val="SCCLsocLastPartyInRole"/>
    <w:rsid w:val="00861C68"/>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6977A9"/>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6977A9"/>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6977A9"/>
    <w:pPr>
      <w:tabs>
        <w:tab w:val="center" w:pos="4680"/>
        <w:tab w:val="right" w:pos="9360"/>
      </w:tabs>
    </w:pPr>
    <w:rPr>
      <w:szCs w:val="24"/>
    </w:rPr>
  </w:style>
  <w:style w:type="character" w:customStyle="1" w:styleId="FooterChar">
    <w:name w:val="Footer Char"/>
    <w:basedOn w:val="DefaultParagraphFont"/>
    <w:link w:val="Footer"/>
    <w:uiPriority w:val="99"/>
    <w:rsid w:val="006977A9"/>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6977A9"/>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6977A9"/>
    <w:pPr>
      <w:spacing w:after="480"/>
    </w:pPr>
    <w:rPr>
      <w:rFonts w:eastAsiaTheme="minorHAnsi" w:cstheme="minorBidi"/>
      <w:szCs w:val="22"/>
      <w:lang w:eastAsia="en-US"/>
    </w:rPr>
  </w:style>
  <w:style w:type="paragraph" w:customStyle="1" w:styleId="SCCCoram">
    <w:name w:val="SCC.Coram"/>
    <w:basedOn w:val="Normal"/>
    <w:next w:val="Normal"/>
    <w:link w:val="SCCCoramChar"/>
    <w:rsid w:val="006977A9"/>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6977A9"/>
    <w:pPr>
      <w:spacing w:after="480"/>
      <w:jc w:val="both"/>
    </w:pPr>
    <w:rPr>
      <w:rFonts w:eastAsiaTheme="minorHAnsi" w:cstheme="minorBidi"/>
      <w:szCs w:val="22"/>
      <w:lang w:eastAsia="en-US"/>
    </w:rPr>
  </w:style>
  <w:style w:type="character" w:customStyle="1" w:styleId="SCCCoramChar">
    <w:name w:val="SCC.Coram Char"/>
    <w:basedOn w:val="DefaultParagraphFont"/>
    <w:link w:val="SCCCoram"/>
    <w:rsid w:val="006977A9"/>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6977A9"/>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6977A9"/>
    <w:rPr>
      <w:rFonts w:ascii="Times New Roman" w:hAnsi="Times New Roman"/>
      <w:sz w:val="24"/>
      <w:lang w:val="en-CA"/>
    </w:rPr>
  </w:style>
  <w:style w:type="character" w:customStyle="1" w:styleId="SCCLsocPartyChar">
    <w:name w:val="SCC.Lsoc.Party Char"/>
    <w:basedOn w:val="DefaultParagraphFont"/>
    <w:link w:val="SCCLsocParty"/>
    <w:rsid w:val="006977A9"/>
    <w:rPr>
      <w:rFonts w:ascii="Times New Roman" w:hAnsi="Times New Roman"/>
      <w:sz w:val="24"/>
      <w:lang w:val="en-CA"/>
    </w:rPr>
  </w:style>
  <w:style w:type="paragraph" w:customStyle="1" w:styleId="SCCBanSummary">
    <w:name w:val="SCC.BanSummary"/>
    <w:basedOn w:val="Normal"/>
    <w:next w:val="Normal"/>
    <w:link w:val="SCCBanSummaryChar"/>
    <w:rsid w:val="006977A9"/>
    <w:pPr>
      <w:jc w:val="right"/>
    </w:pPr>
    <w:rPr>
      <w:rFonts w:eastAsiaTheme="minorEastAsia"/>
      <w:b/>
      <w:szCs w:val="24"/>
    </w:rPr>
  </w:style>
  <w:style w:type="character" w:customStyle="1" w:styleId="SCCBanSummaryChar">
    <w:name w:val="SCC.BanSummary Char"/>
    <w:basedOn w:val="DefaultParagraphFont"/>
    <w:link w:val="SCCBanSummary"/>
    <w:rsid w:val="006977A9"/>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6977A9"/>
    <w:rPr>
      <w:color w:val="808080"/>
    </w:rPr>
  </w:style>
  <w:style w:type="paragraph" w:styleId="BalloonText">
    <w:name w:val="Balloon Text"/>
    <w:basedOn w:val="Normal"/>
    <w:link w:val="BalloonTextChar"/>
    <w:uiPriority w:val="99"/>
    <w:semiHidden/>
    <w:unhideWhenUsed/>
    <w:rsid w:val="006977A9"/>
    <w:rPr>
      <w:rFonts w:ascii="Tahoma" w:hAnsi="Tahoma" w:cs="Tahoma"/>
      <w:sz w:val="16"/>
      <w:szCs w:val="16"/>
    </w:rPr>
  </w:style>
  <w:style w:type="character" w:customStyle="1" w:styleId="BalloonTextChar">
    <w:name w:val="Balloon Text Char"/>
    <w:basedOn w:val="DefaultParagraphFont"/>
    <w:link w:val="BalloonText"/>
    <w:uiPriority w:val="99"/>
    <w:semiHidden/>
    <w:rsid w:val="006977A9"/>
    <w:rPr>
      <w:rFonts w:ascii="Tahoma" w:eastAsia="Times New Roman" w:hAnsi="Tahoma" w:cs="Tahoma"/>
      <w:sz w:val="16"/>
      <w:szCs w:val="16"/>
      <w:lang w:val="en-CA" w:eastAsia="en-CA"/>
    </w:rPr>
  </w:style>
  <w:style w:type="table" w:styleId="TableGrid">
    <w:name w:val="Table Grid"/>
    <w:basedOn w:val="TableNormal"/>
    <w:uiPriority w:val="59"/>
    <w:rsid w:val="006977A9"/>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977A9"/>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6977A9"/>
    <w:pPr>
      <w:spacing w:before="480" w:after="480" w:line="480" w:lineRule="auto"/>
      <w:jc w:val="both"/>
    </w:pPr>
    <w:rPr>
      <w:rFonts w:ascii="Times New Roman" w:hAnsi="Times New Roman"/>
      <w:sz w:val="24"/>
      <w:lang w:val="en-CA"/>
    </w:rPr>
  </w:style>
  <w:style w:type="paragraph" w:customStyle="1" w:styleId="JudgeJuge">
    <w:name w:val="Judge / Juge"/>
    <w:uiPriority w:val="3"/>
    <w:rsid w:val="006977A9"/>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6977A9"/>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6977A9"/>
    <w:pPr>
      <w:numPr>
        <w:numId w:val="7"/>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6977A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6977A9"/>
    <w:pPr>
      <w:numPr>
        <w:ilvl w:val="2"/>
      </w:numPr>
      <w:tabs>
        <w:tab w:val="clear" w:pos="936"/>
        <w:tab w:val="num" w:pos="1152"/>
      </w:tabs>
      <w:ind w:left="1152"/>
    </w:pPr>
  </w:style>
  <w:style w:type="paragraph" w:customStyle="1" w:styleId="Title4LevelTitre4Niveau">
    <w:name w:val="Title 4 Level / Titre 4 Niveau"/>
    <w:basedOn w:val="Title3LevelTitre3Niveau"/>
    <w:next w:val="ParaNoNdepar-AltN"/>
    <w:uiPriority w:val="4"/>
    <w:qFormat/>
    <w:rsid w:val="006977A9"/>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6977A9"/>
    <w:pPr>
      <w:numPr>
        <w:ilvl w:val="4"/>
      </w:numPr>
    </w:pPr>
  </w:style>
  <w:style w:type="paragraph" w:styleId="TOC1">
    <w:name w:val="toc 1"/>
    <w:basedOn w:val="Normal"/>
    <w:next w:val="Normal"/>
    <w:autoRedefine/>
    <w:uiPriority w:val="39"/>
    <w:unhideWhenUsed/>
    <w:rsid w:val="006977A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977A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977A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977A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977A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977A9"/>
    <w:pPr>
      <w:tabs>
        <w:tab w:val="left" w:pos="2160"/>
        <w:tab w:val="right" w:leader="dot" w:pos="8270"/>
      </w:tabs>
      <w:spacing w:after="100"/>
      <w:ind w:left="1800"/>
    </w:pPr>
    <w:rPr>
      <w:noProof/>
    </w:rPr>
  </w:style>
  <w:style w:type="table" w:customStyle="1" w:styleId="TableGrid1">
    <w:name w:val="Table Grid1"/>
    <w:basedOn w:val="TableNormal"/>
    <w:uiPriority w:val="59"/>
    <w:rsid w:val="006977A9"/>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977A9"/>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6977A9"/>
    <w:pPr>
      <w:numPr>
        <w:ilvl w:val="5"/>
      </w:numPr>
    </w:pPr>
    <w:rPr>
      <w:i/>
      <w:u w:val="none"/>
    </w:rPr>
  </w:style>
  <w:style w:type="character" w:styleId="CommentReference">
    <w:name w:val="annotation reference"/>
    <w:basedOn w:val="DefaultParagraphFont"/>
    <w:uiPriority w:val="99"/>
    <w:semiHidden/>
    <w:unhideWhenUsed/>
    <w:rsid w:val="006977A9"/>
    <w:rPr>
      <w:sz w:val="16"/>
      <w:szCs w:val="16"/>
    </w:rPr>
  </w:style>
  <w:style w:type="paragraph" w:styleId="CommentText">
    <w:name w:val="annotation text"/>
    <w:basedOn w:val="Normal"/>
    <w:link w:val="CommentTextChar"/>
    <w:uiPriority w:val="99"/>
    <w:unhideWhenUsed/>
    <w:rsid w:val="006977A9"/>
    <w:rPr>
      <w:sz w:val="20"/>
    </w:rPr>
  </w:style>
  <w:style w:type="character" w:customStyle="1" w:styleId="CommentTextChar">
    <w:name w:val="Comment Text Char"/>
    <w:basedOn w:val="DefaultParagraphFont"/>
    <w:link w:val="CommentText"/>
    <w:uiPriority w:val="99"/>
    <w:rsid w:val="006977A9"/>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6977A9"/>
    <w:rPr>
      <w:b/>
      <w:bCs/>
    </w:rPr>
  </w:style>
  <w:style w:type="character" w:customStyle="1" w:styleId="CommentSubjectChar">
    <w:name w:val="Comment Subject Char"/>
    <w:basedOn w:val="CommentTextChar"/>
    <w:link w:val="CommentSubject"/>
    <w:uiPriority w:val="99"/>
    <w:semiHidden/>
    <w:rsid w:val="006977A9"/>
    <w:rPr>
      <w:rFonts w:ascii="Times New Roman" w:eastAsia="Times New Roman" w:hAnsi="Times New Roman" w:cs="Times New Roman"/>
      <w:b/>
      <w:bCs/>
      <w:sz w:val="20"/>
      <w:szCs w:val="20"/>
      <w:lang w:val="en-CA" w:eastAsia="en-CA"/>
    </w:rPr>
  </w:style>
  <w:style w:type="paragraph" w:styleId="ListParagraph">
    <w:name w:val="List Paragraph"/>
    <w:basedOn w:val="Normal"/>
    <w:uiPriority w:val="34"/>
    <w:qFormat/>
    <w:rsid w:val="006977A9"/>
    <w:pPr>
      <w:spacing w:line="276" w:lineRule="auto"/>
      <w:ind w:left="720"/>
      <w:contextualSpacing/>
    </w:pPr>
    <w:rPr>
      <w:rFonts w:eastAsiaTheme="minorHAnsi" w:cstheme="minorBidi"/>
      <w:szCs w:val="22"/>
      <w:lang w:eastAsia="en-US"/>
    </w:rPr>
  </w:style>
  <w:style w:type="paragraph" w:styleId="Revision">
    <w:name w:val="Revision"/>
    <w:hidden/>
    <w:uiPriority w:val="99"/>
    <w:semiHidden/>
    <w:rsid w:val="006977A9"/>
    <w:pPr>
      <w:spacing w:after="0" w:line="240" w:lineRule="auto"/>
    </w:pPr>
    <w:rPr>
      <w:rFonts w:ascii="Times New Roman" w:eastAsia="Times New Roman" w:hAnsi="Times New Roman" w:cs="Times New Roman"/>
      <w:sz w:val="24"/>
      <w:szCs w:val="24"/>
      <w:lang w:val="en-CA" w:eastAsia="en-CA"/>
    </w:rPr>
  </w:style>
  <w:style w:type="character" w:customStyle="1" w:styleId="SCCLsocPartyRoleChar">
    <w:name w:val="SCC.Lsoc.PartyRole Char"/>
    <w:basedOn w:val="DefaultParagraphFont"/>
    <w:rsid w:val="00AC00C7"/>
    <w:rPr>
      <w:lang w:val="en-CA"/>
    </w:rPr>
  </w:style>
  <w:style w:type="paragraph" w:customStyle="1" w:styleId="SCCLsocPrefix">
    <w:name w:val="SCC.Lsoc.Prefix"/>
    <w:basedOn w:val="Normal"/>
    <w:next w:val="Normal"/>
    <w:link w:val="SCCLsocPrefixChar"/>
    <w:rsid w:val="00AC00C7"/>
    <w:rPr>
      <w:rFonts w:eastAsiaTheme="minorHAnsi" w:cstheme="minorBidi"/>
      <w:b/>
      <w:smallCaps/>
      <w:szCs w:val="24"/>
      <w:lang w:eastAsia="en-US"/>
    </w:rPr>
  </w:style>
  <w:style w:type="character" w:customStyle="1" w:styleId="SCCLsocPrefixChar">
    <w:name w:val="SCC.Lsoc.Prefix Char"/>
    <w:basedOn w:val="DefaultParagraphFont"/>
    <w:link w:val="SCCLsocPrefix"/>
    <w:rsid w:val="00AC00C7"/>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31</Pages>
  <Words>7108</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15</cp:revision>
  <cp:lastPrinted>2016-02-26T15:33:00Z</cp:lastPrinted>
  <dcterms:created xsi:type="dcterms:W3CDTF">2015-11-24T16:09:00Z</dcterms:created>
  <dcterms:modified xsi:type="dcterms:W3CDTF">2016-02-26T15:45:00Z</dcterms:modified>
</cp:coreProperties>
</file>