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4A" w:rsidRDefault="00E70C4A" w:rsidP="00E70C4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8" o:title=""/>
          </v:shape>
          <o:OLEObject Type="Embed" ProgID="Presentations.Drawing.13" ShapeID="_x0000_i1025" DrawAspect="Content" ObjectID="_1548758065" r:id="rId9"/>
        </w:object>
      </w:r>
      <w:r>
        <w:t xml:space="preserve"> </w:t>
      </w:r>
      <w:r>
        <w:ptab w:relativeTo="margin" w:alignment="right" w:leader="none"/>
      </w:r>
    </w:p>
    <w:p w:rsidR="00E70C4A" w:rsidRDefault="00E70C4A" w:rsidP="00E70C4A">
      <w:pPr>
        <w:pStyle w:val="Header"/>
      </w:pPr>
    </w:p>
    <w:p w:rsidR="00E70C4A" w:rsidRPr="006B210C" w:rsidRDefault="00E70C4A" w:rsidP="00E70C4A">
      <w:pPr>
        <w:jc w:val="center"/>
        <w:rPr>
          <w:b/>
        </w:rPr>
      </w:pPr>
      <w:r w:rsidRPr="006B210C">
        <w:rPr>
          <w:b/>
        </w:rPr>
        <w:t>SUPREME COURT OF CANADA</w:t>
      </w:r>
    </w:p>
    <w:p w:rsidR="00E70C4A" w:rsidRDefault="00E70C4A" w:rsidP="00E70C4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E70C4A" w:rsidRPr="006B210C" w:rsidTr="0024360E">
        <w:trPr>
          <w:cantSplit/>
        </w:trPr>
        <w:tc>
          <w:tcPr>
            <w:tcW w:w="5130" w:type="dxa"/>
          </w:tcPr>
          <w:p w:rsidR="00E70C4A" w:rsidRPr="001721A3" w:rsidRDefault="00E70C4A" w:rsidP="0024360E">
            <w:pPr>
              <w:rPr>
                <w:lang w:val="fr-CA"/>
              </w:rPr>
            </w:pPr>
            <w:r w:rsidRPr="001721A3">
              <w:rPr>
                <w:b/>
                <w:smallCaps/>
                <w:lang w:val="fr-CA"/>
              </w:rPr>
              <w:t>Citation:</w:t>
            </w:r>
            <w:r w:rsidRPr="001721A3">
              <w:rPr>
                <w:lang w:val="fr-CA"/>
              </w:rPr>
              <w:t xml:space="preserve"> Ferme Vi-Ber </w:t>
            </w:r>
            <w:proofErr w:type="spellStart"/>
            <w:r w:rsidRPr="001721A3">
              <w:rPr>
                <w:lang w:val="fr-CA"/>
              </w:rPr>
              <w:t>inc.</w:t>
            </w:r>
            <w:proofErr w:type="spellEnd"/>
            <w:r w:rsidRPr="001721A3">
              <w:rPr>
                <w:lang w:val="fr-CA"/>
              </w:rPr>
              <w:t xml:space="preserve"> </w:t>
            </w:r>
            <w:r w:rsidRPr="001721A3">
              <w:rPr>
                <w:i/>
                <w:lang w:val="fr-CA"/>
              </w:rPr>
              <w:t>v.</w:t>
            </w:r>
            <w:r w:rsidRPr="001721A3">
              <w:rPr>
                <w:lang w:val="fr-CA"/>
              </w:rPr>
              <w:t xml:space="preserve"> Financière agricole du Québec, 2016 SCC 34</w:t>
            </w:r>
            <w:r>
              <w:rPr>
                <w:lang w:val="fr-CA"/>
              </w:rPr>
              <w:t>,</w:t>
            </w:r>
            <w:r>
              <w:rPr>
                <w:rFonts w:cs="Times New Roman"/>
                <w:lang w:val="fr-CA"/>
              </w:rPr>
              <w:t xml:space="preserve"> [2016] 1 S.C.R. 1032</w:t>
            </w:r>
          </w:p>
        </w:tc>
        <w:tc>
          <w:tcPr>
            <w:tcW w:w="4446" w:type="dxa"/>
          </w:tcPr>
          <w:p w:rsidR="00E70C4A" w:rsidRPr="006B210C" w:rsidRDefault="00E70C4A" w:rsidP="0024360E">
            <w:r>
              <w:rPr>
                <w:b/>
                <w:smallCaps/>
              </w:rPr>
              <w:t>Appeal heard:</w:t>
            </w:r>
            <w:r w:rsidRPr="006B210C">
              <w:t xml:space="preserve"> </w:t>
            </w:r>
            <w:r>
              <w:t>December 10, 2015</w:t>
            </w:r>
          </w:p>
          <w:p w:rsidR="00E70C4A" w:rsidRDefault="00E70C4A" w:rsidP="0024360E">
            <w:r>
              <w:rPr>
                <w:b/>
                <w:smallCaps/>
              </w:rPr>
              <w:t>Judgment rendered</w:t>
            </w:r>
            <w:r w:rsidRPr="00BB22F6">
              <w:rPr>
                <w:b/>
                <w:smallCaps/>
              </w:rPr>
              <w:t>:</w:t>
            </w:r>
            <w:r w:rsidRPr="00BB22F6">
              <w:t xml:space="preserve"> </w:t>
            </w:r>
            <w:r w:rsidRPr="00471257">
              <w:t>July 29, 2016</w:t>
            </w:r>
          </w:p>
          <w:p w:rsidR="00E70C4A" w:rsidRPr="006B210C" w:rsidRDefault="00E70C4A" w:rsidP="0024360E">
            <w:r w:rsidRPr="006B210C">
              <w:rPr>
                <w:b/>
                <w:smallCaps/>
              </w:rPr>
              <w:t>Docket</w:t>
            </w:r>
            <w:r>
              <w:rPr>
                <w:b/>
                <w:smallCaps/>
              </w:rPr>
              <w:t>:</w:t>
            </w:r>
            <w:r w:rsidRPr="006B210C">
              <w:t xml:space="preserve"> </w:t>
            </w:r>
            <w:r>
              <w:t>36205</w:t>
            </w:r>
          </w:p>
        </w:tc>
      </w:tr>
    </w:tbl>
    <w:p w:rsidR="00E70C4A" w:rsidRPr="006B210C" w:rsidRDefault="00E70C4A" w:rsidP="00E70C4A"/>
    <w:p w:rsidR="00E70C4A" w:rsidRDefault="00E70C4A" w:rsidP="00E70C4A">
      <w:pPr>
        <w:pStyle w:val="SCCLsocPrefix"/>
      </w:pPr>
      <w:r>
        <w:t>Between:</w:t>
      </w:r>
    </w:p>
    <w:p w:rsidR="00E70C4A" w:rsidRPr="00E70C4A" w:rsidRDefault="00E70C4A" w:rsidP="00E70C4A">
      <w:pPr>
        <w:pStyle w:val="SCCLsocParty"/>
        <w:spacing w:after="0"/>
        <w:jc w:val="center"/>
        <w:rPr>
          <w:b/>
        </w:rPr>
      </w:pPr>
      <w:proofErr w:type="spellStart"/>
      <w:r w:rsidRPr="00E70C4A">
        <w:rPr>
          <w:b/>
        </w:rPr>
        <w:t>Ferme</w:t>
      </w:r>
      <w:proofErr w:type="spellEnd"/>
      <w:r w:rsidRPr="00E70C4A">
        <w:rPr>
          <w:b/>
        </w:rPr>
        <w:t xml:space="preserve"> Vi-</w:t>
      </w:r>
      <w:proofErr w:type="spellStart"/>
      <w:r w:rsidRPr="00E70C4A">
        <w:rPr>
          <w:b/>
        </w:rPr>
        <w:t>Ber</w:t>
      </w:r>
      <w:proofErr w:type="spellEnd"/>
      <w:r w:rsidRPr="00E70C4A">
        <w:rPr>
          <w:b/>
        </w:rPr>
        <w:t xml:space="preserve"> </w:t>
      </w:r>
      <w:proofErr w:type="spellStart"/>
      <w:proofErr w:type="gramStart"/>
      <w:r w:rsidRPr="00E70C4A">
        <w:rPr>
          <w:b/>
        </w:rPr>
        <w:t>inc</w:t>
      </w:r>
      <w:proofErr w:type="gramEnd"/>
      <w:r w:rsidRPr="00E70C4A">
        <w:rPr>
          <w:b/>
        </w:rPr>
        <w:t>.</w:t>
      </w:r>
      <w:proofErr w:type="spellEnd"/>
    </w:p>
    <w:p w:rsidR="00E70C4A" w:rsidRDefault="00E70C4A" w:rsidP="00E70C4A">
      <w:pPr>
        <w:jc w:val="center"/>
      </w:pPr>
      <w:r>
        <w:t>Appellant</w:t>
      </w:r>
    </w:p>
    <w:p w:rsidR="00E70C4A" w:rsidRPr="00FB081A" w:rsidRDefault="00E70C4A" w:rsidP="00E70C4A">
      <w:pPr>
        <w:jc w:val="center"/>
      </w:pPr>
    </w:p>
    <w:p w:rsidR="00E70C4A" w:rsidRDefault="00E70C4A" w:rsidP="00E70C4A">
      <w:pPr>
        <w:pStyle w:val="SCCLsocVersus"/>
        <w:spacing w:after="0"/>
        <w:jc w:val="center"/>
      </w:pPr>
      <w:proofErr w:type="gramStart"/>
      <w:r>
        <w:t>and</w:t>
      </w:r>
      <w:proofErr w:type="gramEnd"/>
    </w:p>
    <w:p w:rsidR="00E70C4A" w:rsidRPr="00FB081A" w:rsidRDefault="00E70C4A" w:rsidP="00E70C4A">
      <w:pPr>
        <w:jc w:val="center"/>
      </w:pPr>
    </w:p>
    <w:p w:rsidR="00E70C4A" w:rsidRPr="00E70C4A" w:rsidRDefault="00E70C4A" w:rsidP="00E70C4A">
      <w:pPr>
        <w:pStyle w:val="SCCLsocParty"/>
        <w:spacing w:after="0"/>
        <w:jc w:val="center"/>
        <w:rPr>
          <w:b/>
        </w:rPr>
      </w:pPr>
      <w:r w:rsidRPr="00E70C4A">
        <w:rPr>
          <w:b/>
        </w:rPr>
        <w:t xml:space="preserve">La </w:t>
      </w:r>
      <w:proofErr w:type="spellStart"/>
      <w:r w:rsidRPr="00E70C4A">
        <w:rPr>
          <w:b/>
        </w:rPr>
        <w:t>Financière</w:t>
      </w:r>
      <w:proofErr w:type="spellEnd"/>
      <w:r w:rsidRPr="00E70C4A">
        <w:rPr>
          <w:b/>
        </w:rPr>
        <w:t xml:space="preserve"> </w:t>
      </w:r>
      <w:proofErr w:type="spellStart"/>
      <w:r w:rsidRPr="00E70C4A">
        <w:rPr>
          <w:b/>
        </w:rPr>
        <w:t>agricole</w:t>
      </w:r>
      <w:proofErr w:type="spellEnd"/>
      <w:r w:rsidRPr="00E70C4A">
        <w:rPr>
          <w:b/>
        </w:rPr>
        <w:t xml:space="preserve"> du Québec</w:t>
      </w:r>
    </w:p>
    <w:p w:rsidR="00E70C4A" w:rsidRDefault="00E70C4A" w:rsidP="00E70C4A">
      <w:pPr>
        <w:jc w:val="center"/>
      </w:pPr>
      <w:r>
        <w:t>Respondent</w:t>
      </w:r>
    </w:p>
    <w:p w:rsidR="00E70C4A" w:rsidRPr="00FB081A" w:rsidRDefault="00E70C4A" w:rsidP="00E70C4A">
      <w:pPr>
        <w:jc w:val="center"/>
      </w:pPr>
      <w:bookmarkStart w:id="0" w:name="_GoBack"/>
      <w:bookmarkEnd w:id="0"/>
    </w:p>
    <w:p w:rsidR="00E70C4A" w:rsidRPr="00E70C4A" w:rsidRDefault="00E70C4A" w:rsidP="00E70C4A">
      <w:pPr>
        <w:pStyle w:val="SCCLsocSubfileSeparator"/>
        <w:spacing w:after="0"/>
        <w:rPr>
          <w:b/>
          <w:smallCaps/>
        </w:rPr>
      </w:pPr>
      <w:r w:rsidRPr="00E70C4A">
        <w:rPr>
          <w:b/>
          <w:smallCaps/>
        </w:rPr>
        <w:t>And Between:</w:t>
      </w:r>
    </w:p>
    <w:p w:rsidR="00E70C4A" w:rsidRPr="00FB3BF5" w:rsidRDefault="00E70C4A" w:rsidP="00E70C4A"/>
    <w:p w:rsidR="00E70C4A" w:rsidRPr="00E70C4A" w:rsidRDefault="00E70C4A" w:rsidP="00E70C4A">
      <w:pPr>
        <w:pStyle w:val="SCCLsocParty"/>
        <w:spacing w:after="0"/>
        <w:jc w:val="center"/>
        <w:rPr>
          <w:b/>
        </w:rPr>
      </w:pPr>
      <w:r w:rsidRPr="00E70C4A">
        <w:rPr>
          <w:b/>
          <w:lang w:val="fr-CA"/>
        </w:rPr>
        <w:t>Simon Cloutier et al.</w:t>
      </w:r>
    </w:p>
    <w:p w:rsidR="00E70C4A" w:rsidRPr="00E70C4A" w:rsidRDefault="00E70C4A" w:rsidP="00E70C4A">
      <w:pPr>
        <w:jc w:val="center"/>
        <w:rPr>
          <w:lang w:val="fr-CA"/>
        </w:rPr>
      </w:pPr>
      <w:proofErr w:type="spellStart"/>
      <w:r w:rsidRPr="00E70C4A">
        <w:rPr>
          <w:lang w:val="fr-CA"/>
        </w:rPr>
        <w:t>Appellants</w:t>
      </w:r>
      <w:proofErr w:type="spellEnd"/>
    </w:p>
    <w:p w:rsidR="00E70C4A" w:rsidRPr="00E70C4A" w:rsidRDefault="00E70C4A" w:rsidP="00E70C4A">
      <w:pPr>
        <w:jc w:val="center"/>
        <w:rPr>
          <w:lang w:val="fr-CA"/>
        </w:rPr>
      </w:pPr>
    </w:p>
    <w:p w:rsidR="00E70C4A" w:rsidRPr="00E70C4A" w:rsidRDefault="00E70C4A" w:rsidP="00E70C4A">
      <w:pPr>
        <w:pStyle w:val="SCCLsocVersus"/>
        <w:spacing w:after="0"/>
        <w:jc w:val="center"/>
        <w:rPr>
          <w:lang w:val="fr-CA"/>
        </w:rPr>
      </w:pPr>
      <w:proofErr w:type="gramStart"/>
      <w:r w:rsidRPr="00E70C4A">
        <w:rPr>
          <w:lang w:val="fr-CA"/>
        </w:rPr>
        <w:t>and</w:t>
      </w:r>
      <w:proofErr w:type="gramEnd"/>
    </w:p>
    <w:p w:rsidR="00E70C4A" w:rsidRPr="00E70C4A" w:rsidRDefault="00E70C4A" w:rsidP="00E70C4A">
      <w:pPr>
        <w:jc w:val="center"/>
        <w:rPr>
          <w:lang w:val="fr-CA"/>
        </w:rPr>
      </w:pPr>
    </w:p>
    <w:p w:rsidR="00E70C4A" w:rsidRPr="00E70C4A" w:rsidRDefault="00E70C4A" w:rsidP="00E70C4A">
      <w:pPr>
        <w:pStyle w:val="SCCLsocParty"/>
        <w:spacing w:after="0"/>
        <w:jc w:val="center"/>
        <w:rPr>
          <w:b/>
          <w:lang w:val="fr-CA"/>
        </w:rPr>
      </w:pPr>
      <w:r w:rsidRPr="00E70C4A">
        <w:rPr>
          <w:b/>
          <w:lang w:val="fr-CA"/>
        </w:rPr>
        <w:t>La Financière agricole du Québec</w:t>
      </w:r>
    </w:p>
    <w:p w:rsidR="00E70C4A" w:rsidRDefault="00E70C4A" w:rsidP="00E70C4A">
      <w:pPr>
        <w:jc w:val="center"/>
      </w:pPr>
      <w:r>
        <w:t>Respondent</w:t>
      </w:r>
    </w:p>
    <w:p w:rsidR="00E70C4A" w:rsidRDefault="00E70C4A" w:rsidP="00E70C4A">
      <w:pPr>
        <w:jc w:val="center"/>
      </w:pPr>
    </w:p>
    <w:p w:rsidR="00E70C4A" w:rsidRPr="006B210C" w:rsidRDefault="00E70C4A" w:rsidP="00E70C4A">
      <w:pPr>
        <w:jc w:val="center"/>
        <w:rPr>
          <w:b/>
          <w:smallCaps/>
        </w:rPr>
      </w:pPr>
      <w:r w:rsidRPr="006B210C">
        <w:rPr>
          <w:b/>
          <w:smallCaps/>
        </w:rPr>
        <w:t>Official English Translation</w:t>
      </w:r>
    </w:p>
    <w:p w:rsidR="00E70C4A" w:rsidRPr="006B210C" w:rsidRDefault="00E70C4A" w:rsidP="00E70C4A"/>
    <w:p w:rsidR="00E70C4A" w:rsidRPr="006B210C" w:rsidRDefault="00E70C4A" w:rsidP="00E70C4A">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E70C4A" w:rsidRPr="006B210C" w:rsidRDefault="00E70C4A" w:rsidP="00E70C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70C4A" w:rsidRPr="006B210C" w:rsidTr="0024360E">
        <w:trPr>
          <w:cantSplit/>
        </w:trPr>
        <w:tc>
          <w:tcPr>
            <w:tcW w:w="3618" w:type="dxa"/>
          </w:tcPr>
          <w:p w:rsidR="00E70C4A" w:rsidRDefault="00E70C4A" w:rsidP="0024360E">
            <w:pPr>
              <w:ind w:left="-58"/>
              <w:rPr>
                <w:b/>
                <w:smallCaps/>
              </w:rPr>
            </w:pPr>
            <w:r>
              <w:rPr>
                <w:b/>
                <w:smallCaps/>
              </w:rPr>
              <w:t xml:space="preserve">Joint </w:t>
            </w:r>
            <w:r w:rsidRPr="006B210C">
              <w:rPr>
                <w:b/>
                <w:smallCaps/>
              </w:rPr>
              <w:t>Reasons for Judgment</w:t>
            </w:r>
            <w:r>
              <w:rPr>
                <w:b/>
                <w:smallCaps/>
              </w:rPr>
              <w:t>:</w:t>
            </w:r>
          </w:p>
          <w:p w:rsidR="00E70C4A" w:rsidRDefault="00E70C4A" w:rsidP="0024360E">
            <w:pPr>
              <w:ind w:left="-58"/>
            </w:pPr>
            <w:r>
              <w:t xml:space="preserve">(paras. 1 </w:t>
            </w:r>
            <w:r w:rsidRPr="009567EC">
              <w:t>to 95)</w:t>
            </w:r>
          </w:p>
          <w:p w:rsidR="00E70C4A" w:rsidRDefault="00E70C4A" w:rsidP="0024360E">
            <w:pPr>
              <w:ind w:left="-58"/>
            </w:pPr>
          </w:p>
          <w:p w:rsidR="00E70C4A" w:rsidRPr="00FB081A" w:rsidRDefault="00E70C4A" w:rsidP="0024360E">
            <w:pPr>
              <w:ind w:left="-58"/>
              <w:rPr>
                <w:b/>
                <w:smallCaps/>
              </w:rPr>
            </w:pPr>
            <w:r w:rsidRPr="00B47041">
              <w:rPr>
                <w:b/>
                <w:smallCaps/>
              </w:rPr>
              <w:t xml:space="preserve">Reasons </w:t>
            </w:r>
            <w:r w:rsidRPr="007F1BFD">
              <w:rPr>
                <w:b/>
                <w:smallCaps/>
              </w:rPr>
              <w:t>Dissenting in Part:</w:t>
            </w:r>
          </w:p>
          <w:p w:rsidR="00E70C4A" w:rsidRPr="006B210C" w:rsidRDefault="00E70C4A" w:rsidP="0024360E">
            <w:pPr>
              <w:ind w:left="-58"/>
            </w:pPr>
            <w:r>
              <w:t>(</w:t>
            </w:r>
            <w:r w:rsidRPr="009567EC">
              <w:t>paras. 96 to 136)</w:t>
            </w:r>
          </w:p>
        </w:tc>
        <w:tc>
          <w:tcPr>
            <w:tcW w:w="5958" w:type="dxa"/>
          </w:tcPr>
          <w:p w:rsidR="00E70C4A" w:rsidRDefault="00E70C4A" w:rsidP="0024360E">
            <w:pPr>
              <w:ind w:left="194"/>
            </w:pPr>
            <w:r>
              <w:t xml:space="preserve">Wagner and </w:t>
            </w:r>
            <w:proofErr w:type="spellStart"/>
            <w:r>
              <w:t>Gascon</w:t>
            </w:r>
            <w:proofErr w:type="spellEnd"/>
            <w:r>
              <w:t xml:space="preserve"> JJ. (</w:t>
            </w:r>
            <w:proofErr w:type="spellStart"/>
            <w:r>
              <w:t>McLachlin</w:t>
            </w:r>
            <w:proofErr w:type="spellEnd"/>
            <w:r>
              <w:t xml:space="preserve"> C.J. and </w:t>
            </w:r>
            <w:proofErr w:type="spellStart"/>
            <w:r>
              <w:t>Abella</w:t>
            </w:r>
            <w:proofErr w:type="spellEnd"/>
            <w:r>
              <w:t xml:space="preserve">, Cromwell and </w:t>
            </w:r>
            <w:proofErr w:type="spellStart"/>
            <w:r>
              <w:t>Karakatsanis</w:t>
            </w:r>
            <w:proofErr w:type="spellEnd"/>
            <w:r>
              <w:t xml:space="preserve"> JJ. concurring)</w:t>
            </w:r>
          </w:p>
          <w:p w:rsidR="00E70C4A" w:rsidRDefault="00E70C4A" w:rsidP="0024360E">
            <w:pPr>
              <w:ind w:left="194"/>
            </w:pPr>
          </w:p>
          <w:p w:rsidR="00E70C4A" w:rsidRPr="006B210C" w:rsidRDefault="00E70C4A" w:rsidP="0024360E">
            <w:pPr>
              <w:ind w:left="194"/>
            </w:pPr>
            <w:proofErr w:type="spellStart"/>
            <w:r>
              <w:t>Côté</w:t>
            </w:r>
            <w:proofErr w:type="spellEnd"/>
            <w:r>
              <w:t xml:space="preserve"> J.</w:t>
            </w:r>
          </w:p>
        </w:tc>
      </w:tr>
    </w:tbl>
    <w:p w:rsidR="00E70C4A" w:rsidRDefault="00E70C4A" w:rsidP="00E70C4A"/>
    <w:p w:rsidR="00E70C4A" w:rsidRPr="006B210C" w:rsidRDefault="00E70C4A" w:rsidP="00E70C4A"/>
    <w:p w:rsidR="00E70C4A" w:rsidRPr="006B210C" w:rsidRDefault="00E70C4A" w:rsidP="00E70C4A">
      <w:r>
        <w:rPr>
          <w:noProof/>
        </w:rPr>
        <mc:AlternateContent>
          <mc:Choice Requires="wps">
            <w:drawing>
              <wp:anchor distT="0" distB="0" distL="114300" distR="114300" simplePos="0" relativeHeight="251659264" behindDoc="0" locked="0" layoutInCell="1" allowOverlap="1" wp14:anchorId="51D26007" wp14:editId="0EBAD1C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3300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70C4A" w:rsidRPr="00E70C4A" w:rsidRDefault="00E70C4A" w:rsidP="00000F01">
      <w:pPr>
        <w:widowControl w:val="0"/>
        <w:spacing w:after="720"/>
        <w:jc w:val="both"/>
        <w:rPr>
          <w:rFonts w:cs="Times New Roman"/>
        </w:rPr>
      </w:pPr>
    </w:p>
    <w:p w:rsidR="008322BD" w:rsidRPr="00394B7C" w:rsidRDefault="00394B7C" w:rsidP="00000F01">
      <w:pPr>
        <w:widowControl w:val="0"/>
        <w:spacing w:after="720"/>
        <w:jc w:val="both"/>
        <w:rPr>
          <w:rFonts w:cs="Times New Roman"/>
          <w:lang w:val="fr-CA"/>
        </w:rPr>
      </w:pPr>
      <w:r w:rsidRPr="00394B7C">
        <w:rPr>
          <w:rFonts w:cs="Times New Roman"/>
          <w:lang w:val="fr-CA"/>
        </w:rPr>
        <w:t>Ferme Vi</w:t>
      </w:r>
      <w:r w:rsidRPr="00394B7C">
        <w:rPr>
          <w:rFonts w:cs="Times New Roman"/>
          <w:lang w:val="fr-CA"/>
        </w:rPr>
        <w:noBreakHyphen/>
        <w:t xml:space="preserve">Ber </w:t>
      </w:r>
      <w:proofErr w:type="spellStart"/>
      <w:r w:rsidRPr="00394B7C">
        <w:rPr>
          <w:rFonts w:cs="Times New Roman"/>
          <w:lang w:val="fr-CA"/>
        </w:rPr>
        <w:t>inc.</w:t>
      </w:r>
      <w:proofErr w:type="spellEnd"/>
      <w:r w:rsidRPr="00394B7C">
        <w:rPr>
          <w:rFonts w:cs="Times New Roman"/>
          <w:lang w:val="fr-CA"/>
        </w:rPr>
        <w:t xml:space="preserve"> </w:t>
      </w:r>
      <w:r w:rsidRPr="00394B7C">
        <w:rPr>
          <w:rFonts w:cs="Times New Roman"/>
          <w:i/>
          <w:lang w:val="fr-CA"/>
        </w:rPr>
        <w:t>v.</w:t>
      </w:r>
      <w:r w:rsidRPr="00394B7C">
        <w:rPr>
          <w:rFonts w:cs="Times New Roman"/>
          <w:lang w:val="fr-CA"/>
        </w:rPr>
        <w:t xml:space="preserve"> Financière agricole du Québec</w:t>
      </w:r>
      <w:r>
        <w:rPr>
          <w:rFonts w:cs="Times New Roman"/>
          <w:lang w:val="fr-CA"/>
        </w:rPr>
        <w:t xml:space="preserve">, </w:t>
      </w:r>
      <w:r w:rsidRPr="0003589F">
        <w:rPr>
          <w:rFonts w:cs="Times New Roman"/>
          <w:lang w:val="fr-CA"/>
        </w:rPr>
        <w:t>2016 SCC 34</w:t>
      </w:r>
      <w:r>
        <w:rPr>
          <w:rFonts w:cs="Times New Roman"/>
          <w:lang w:val="fr-CA"/>
        </w:rPr>
        <w:t>, [2016] 1 S.C.R. 1032</w:t>
      </w:r>
    </w:p>
    <w:p w:rsidR="00CB1780" w:rsidRPr="00214DDB" w:rsidRDefault="00624F56" w:rsidP="00000F01">
      <w:pPr>
        <w:pStyle w:val="SCCLsocLastPartyInRole"/>
        <w:widowControl w:val="0"/>
        <w:rPr>
          <w:rFonts w:cs="Times New Roman"/>
          <w:b w:val="0"/>
          <w:lang w:val="fr-CA"/>
        </w:rPr>
      </w:pPr>
      <w:r w:rsidRPr="00214DDB">
        <w:rPr>
          <w:rFonts w:cs="Times New Roman"/>
          <w:lang w:val="fr-CA"/>
        </w:rPr>
        <w:lastRenderedPageBreak/>
        <w:t>Ferme Vi</w:t>
      </w:r>
      <w:r w:rsidR="00DB76A6" w:rsidRPr="00214DDB">
        <w:rPr>
          <w:rFonts w:cs="Times New Roman"/>
          <w:lang w:val="fr-CA"/>
        </w:rPr>
        <w:noBreakHyphen/>
      </w:r>
      <w:r w:rsidRPr="00214DDB">
        <w:rPr>
          <w:rFonts w:cs="Times New Roman"/>
          <w:lang w:val="fr-CA"/>
        </w:rPr>
        <w:t>Ber i</w:t>
      </w:r>
      <w:r w:rsidR="0084390A" w:rsidRPr="00214DDB">
        <w:rPr>
          <w:rFonts w:cs="Times New Roman"/>
          <w:lang w:val="fr-CA"/>
        </w:rPr>
        <w:t>nc.</w:t>
      </w:r>
      <w:r w:rsidR="0084390A" w:rsidRPr="00214DDB">
        <w:rPr>
          <w:rStyle w:val="SCCLsocPartyRole"/>
          <w:rFonts w:cs="Times New Roman"/>
          <w:b w:val="0"/>
          <w:lang w:val="fr-CA"/>
        </w:rPr>
        <w:tab/>
      </w:r>
      <w:proofErr w:type="spellStart"/>
      <w:r w:rsidR="0084390A" w:rsidRPr="00214DDB">
        <w:rPr>
          <w:rStyle w:val="SCCLsocPartyRole"/>
          <w:rFonts w:cs="Times New Roman"/>
          <w:b w:val="0"/>
          <w:lang w:val="fr-CA"/>
        </w:rPr>
        <w:t>Appellant</w:t>
      </w:r>
      <w:proofErr w:type="spellEnd"/>
    </w:p>
    <w:p w:rsidR="00CB1780" w:rsidRPr="00214DDB" w:rsidRDefault="0084390A" w:rsidP="00000F01">
      <w:pPr>
        <w:pStyle w:val="SCCLsocVersus"/>
        <w:widowControl w:val="0"/>
        <w:rPr>
          <w:rFonts w:cs="Times New Roman"/>
          <w:i/>
          <w:lang w:val="fr-CA"/>
        </w:rPr>
      </w:pPr>
      <w:r w:rsidRPr="00214DDB">
        <w:rPr>
          <w:rFonts w:cs="Times New Roman"/>
          <w:i/>
          <w:lang w:val="fr-CA"/>
        </w:rPr>
        <w:t>v.</w:t>
      </w:r>
    </w:p>
    <w:p w:rsidR="00CB1780" w:rsidRPr="00214DDB" w:rsidRDefault="00E3057A" w:rsidP="00000F01">
      <w:pPr>
        <w:pStyle w:val="SCCLsocLastPartyInRole"/>
        <w:widowControl w:val="0"/>
        <w:rPr>
          <w:rFonts w:cs="Times New Roman"/>
          <w:b w:val="0"/>
          <w:lang w:val="fr-CA"/>
        </w:rPr>
      </w:pPr>
      <w:r w:rsidRPr="00214DDB">
        <w:rPr>
          <w:rFonts w:cs="Times New Roman"/>
          <w:lang w:val="fr-CA"/>
        </w:rPr>
        <w:t xml:space="preserve">La </w:t>
      </w:r>
      <w:r w:rsidR="00624F56" w:rsidRPr="00214DDB">
        <w:rPr>
          <w:rFonts w:cs="Times New Roman"/>
          <w:lang w:val="fr-CA"/>
        </w:rPr>
        <w:t>Financière a</w:t>
      </w:r>
      <w:r w:rsidR="0084390A" w:rsidRPr="00214DDB">
        <w:rPr>
          <w:rFonts w:cs="Times New Roman"/>
          <w:lang w:val="fr-CA"/>
        </w:rPr>
        <w:t>gricole du Québec</w:t>
      </w:r>
      <w:r w:rsidR="0084390A" w:rsidRPr="00214DDB">
        <w:rPr>
          <w:rStyle w:val="SCCLsocPartyRole"/>
          <w:rFonts w:cs="Times New Roman"/>
          <w:b w:val="0"/>
          <w:lang w:val="fr-CA"/>
        </w:rPr>
        <w:tab/>
      </w:r>
      <w:proofErr w:type="spellStart"/>
      <w:r w:rsidR="0084390A" w:rsidRPr="00214DDB">
        <w:rPr>
          <w:rStyle w:val="SCCLsocPartyRole"/>
          <w:rFonts w:cs="Times New Roman"/>
          <w:b w:val="0"/>
          <w:lang w:val="fr-CA"/>
        </w:rPr>
        <w:t>Respondent</w:t>
      </w:r>
      <w:proofErr w:type="spellEnd"/>
    </w:p>
    <w:p w:rsidR="00CB1780" w:rsidRPr="00214DDB" w:rsidRDefault="00DB76A6" w:rsidP="00000F01">
      <w:pPr>
        <w:pStyle w:val="SCCLsocSubfileSeparator"/>
        <w:widowControl w:val="0"/>
        <w:rPr>
          <w:rFonts w:cs="Times New Roman"/>
          <w:lang w:val="fr-CA"/>
        </w:rPr>
      </w:pPr>
      <w:r w:rsidRPr="00214DDB">
        <w:rPr>
          <w:rFonts w:cs="Times New Roman"/>
          <w:lang w:val="fr-CA"/>
        </w:rPr>
        <w:noBreakHyphen/>
      </w:r>
      <w:r w:rsidR="0084390A" w:rsidRPr="00214DDB">
        <w:rPr>
          <w:rFonts w:cs="Times New Roman"/>
          <w:lang w:val="fr-CA"/>
        </w:rPr>
        <w:t xml:space="preserve"> </w:t>
      </w:r>
      <w:proofErr w:type="gramStart"/>
      <w:r w:rsidR="0084390A" w:rsidRPr="00214DDB">
        <w:rPr>
          <w:rFonts w:cs="Times New Roman"/>
          <w:lang w:val="fr-CA"/>
        </w:rPr>
        <w:t>and</w:t>
      </w:r>
      <w:proofErr w:type="gramEnd"/>
      <w:r w:rsidR="0084390A" w:rsidRPr="00214DDB">
        <w:rPr>
          <w:rFonts w:cs="Times New Roman"/>
          <w:lang w:val="fr-CA"/>
        </w:rPr>
        <w:t xml:space="preserve"> </w:t>
      </w:r>
      <w:r w:rsidRPr="00214DDB">
        <w:rPr>
          <w:rFonts w:cs="Times New Roman"/>
          <w:lang w:val="fr-CA"/>
        </w:rPr>
        <w:noBreakHyphen/>
      </w:r>
    </w:p>
    <w:p w:rsidR="00CB1780" w:rsidRPr="00214DDB" w:rsidRDefault="0084390A" w:rsidP="00000F01">
      <w:pPr>
        <w:pStyle w:val="SCCLsocLastPartyInRole"/>
        <w:widowControl w:val="0"/>
        <w:jc w:val="both"/>
        <w:rPr>
          <w:rFonts w:cs="Times New Roman"/>
          <w:b w:val="0"/>
          <w:lang w:val="fr-CA"/>
        </w:rPr>
      </w:pPr>
      <w:r w:rsidRPr="00214DDB">
        <w:rPr>
          <w:rFonts w:cs="Times New Roman"/>
          <w:lang w:val="fr-CA"/>
        </w:rPr>
        <w:t xml:space="preserve">Simon Cloutier, Denis </w:t>
      </w:r>
      <w:proofErr w:type="spellStart"/>
      <w:r w:rsidRPr="00214DDB">
        <w:rPr>
          <w:rFonts w:cs="Times New Roman"/>
          <w:lang w:val="fr-CA"/>
        </w:rPr>
        <w:t>Trépanier</w:t>
      </w:r>
      <w:proofErr w:type="spellEnd"/>
      <w:r w:rsidRPr="00214DDB">
        <w:rPr>
          <w:rFonts w:cs="Times New Roman"/>
          <w:lang w:val="fr-CA"/>
        </w:rPr>
        <w:t>, Société coopérative agricole des Bois</w:t>
      </w:r>
      <w:r w:rsidR="00DB76A6" w:rsidRPr="00214DDB">
        <w:rPr>
          <w:rFonts w:cs="Times New Roman"/>
          <w:lang w:val="fr-CA"/>
        </w:rPr>
        <w:noBreakHyphen/>
      </w:r>
      <w:r w:rsidRPr="00214DDB">
        <w:rPr>
          <w:rFonts w:cs="Times New Roman"/>
          <w:lang w:val="fr-CA"/>
        </w:rPr>
        <w:t xml:space="preserve">Francs, Coopérative agricole </w:t>
      </w:r>
      <w:proofErr w:type="spellStart"/>
      <w:r w:rsidRPr="00214DDB">
        <w:rPr>
          <w:rFonts w:cs="Times New Roman"/>
          <w:lang w:val="fr-CA"/>
        </w:rPr>
        <w:t>Covilac</w:t>
      </w:r>
      <w:proofErr w:type="spellEnd"/>
      <w:r w:rsidRPr="00214DDB">
        <w:rPr>
          <w:rFonts w:cs="Times New Roman"/>
          <w:lang w:val="fr-CA"/>
        </w:rPr>
        <w:t xml:space="preserve">, Coop </w:t>
      </w:r>
      <w:proofErr w:type="spellStart"/>
      <w:r w:rsidRPr="00214DDB">
        <w:rPr>
          <w:rFonts w:cs="Times New Roman"/>
          <w:lang w:val="fr-CA"/>
        </w:rPr>
        <w:t>Purdel</w:t>
      </w:r>
      <w:proofErr w:type="spellEnd"/>
      <w:r w:rsidRPr="00214DDB">
        <w:rPr>
          <w:rFonts w:cs="Times New Roman"/>
          <w:lang w:val="fr-CA"/>
        </w:rPr>
        <w:t xml:space="preserve">, Société coopérative agricole La Seigneurie, Coopérative agricole </w:t>
      </w:r>
      <w:proofErr w:type="spellStart"/>
      <w:r w:rsidRPr="00214DDB">
        <w:rPr>
          <w:rFonts w:cs="Times New Roman"/>
          <w:lang w:val="fr-CA"/>
        </w:rPr>
        <w:t>Unicoop</w:t>
      </w:r>
      <w:proofErr w:type="spellEnd"/>
      <w:r w:rsidRPr="00214DDB">
        <w:rPr>
          <w:rFonts w:cs="Times New Roman"/>
          <w:lang w:val="fr-CA"/>
        </w:rPr>
        <w:t>, 9012</w:t>
      </w:r>
      <w:r w:rsidR="00DB76A6" w:rsidRPr="00214DDB">
        <w:rPr>
          <w:rFonts w:cs="Times New Roman"/>
          <w:lang w:val="fr-CA"/>
        </w:rPr>
        <w:noBreakHyphen/>
      </w:r>
      <w:r w:rsidRPr="00214DDB">
        <w:rPr>
          <w:rFonts w:cs="Times New Roman"/>
          <w:lang w:val="fr-CA"/>
        </w:rPr>
        <w:t xml:space="preserve">2151 Québec </w:t>
      </w:r>
      <w:proofErr w:type="spellStart"/>
      <w:r w:rsidRPr="00214DDB">
        <w:rPr>
          <w:rFonts w:cs="Times New Roman"/>
          <w:lang w:val="fr-CA"/>
        </w:rPr>
        <w:t>inc.</w:t>
      </w:r>
      <w:proofErr w:type="spellEnd"/>
      <w:r w:rsidRPr="00214DDB">
        <w:rPr>
          <w:rFonts w:cs="Times New Roman"/>
          <w:lang w:val="fr-CA"/>
        </w:rPr>
        <w:t xml:space="preserve">, </w:t>
      </w:r>
      <w:proofErr w:type="spellStart"/>
      <w:r w:rsidRPr="00214DDB">
        <w:rPr>
          <w:rFonts w:cs="Times New Roman"/>
          <w:lang w:val="fr-CA"/>
        </w:rPr>
        <w:t>Sogéporc</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Gabriel Turgeon inc., Société en commandite </w:t>
      </w:r>
      <w:proofErr w:type="spellStart"/>
      <w:r w:rsidRPr="00214DDB">
        <w:rPr>
          <w:rFonts w:cs="Times New Roman"/>
          <w:lang w:val="fr-CA"/>
        </w:rPr>
        <w:t>Pascoporc</w:t>
      </w:r>
      <w:proofErr w:type="spellEnd"/>
      <w:r w:rsidRPr="00214DDB">
        <w:rPr>
          <w:rFonts w:cs="Times New Roman"/>
          <w:lang w:val="fr-CA"/>
        </w:rPr>
        <w:t xml:space="preserve">, Groupe </w:t>
      </w:r>
      <w:proofErr w:type="spellStart"/>
      <w:r w:rsidRPr="00214DDB">
        <w:rPr>
          <w:rFonts w:cs="Times New Roman"/>
          <w:lang w:val="fr-CA"/>
        </w:rPr>
        <w:t>Dynaco</w:t>
      </w:r>
      <w:proofErr w:type="spellEnd"/>
      <w:r w:rsidRPr="00214DDB">
        <w:rPr>
          <w:rFonts w:cs="Times New Roman"/>
          <w:lang w:val="fr-CA"/>
        </w:rPr>
        <w:t xml:space="preserve">, coopérative agroalimentaire, Coopérative agroalimentaire </w:t>
      </w:r>
      <w:proofErr w:type="spellStart"/>
      <w:r w:rsidRPr="00214DDB">
        <w:rPr>
          <w:rFonts w:cs="Times New Roman"/>
          <w:lang w:val="fr-CA"/>
        </w:rPr>
        <w:t>Comax</w:t>
      </w:r>
      <w:proofErr w:type="spellEnd"/>
      <w:r w:rsidRPr="00214DDB">
        <w:rPr>
          <w:rFonts w:cs="Times New Roman"/>
          <w:lang w:val="fr-CA"/>
        </w:rPr>
        <w:t xml:space="preserve">, R. Rousseau &amp; Fils, S.E.C., Ferme Olympique, S.E.C., Moulées </w:t>
      </w:r>
      <w:proofErr w:type="spellStart"/>
      <w:r w:rsidRPr="00214DDB">
        <w:rPr>
          <w:rFonts w:cs="Times New Roman"/>
          <w:lang w:val="fr-CA"/>
        </w:rPr>
        <w:t>Désy</w:t>
      </w:r>
      <w:proofErr w:type="spellEnd"/>
      <w:r w:rsidRPr="00214DDB">
        <w:rPr>
          <w:rFonts w:cs="Times New Roman"/>
          <w:lang w:val="fr-CA"/>
        </w:rPr>
        <w:t xml:space="preserve">, S.E.C., Inter Agro </w:t>
      </w:r>
      <w:proofErr w:type="spellStart"/>
      <w:r w:rsidRPr="00214DDB">
        <w:rPr>
          <w:rFonts w:cs="Times New Roman"/>
          <w:lang w:val="fr-CA"/>
        </w:rPr>
        <w:t>inc.</w:t>
      </w:r>
      <w:proofErr w:type="spellEnd"/>
      <w:r w:rsidRPr="00214DDB">
        <w:rPr>
          <w:rFonts w:cs="Times New Roman"/>
          <w:lang w:val="fr-CA"/>
        </w:rPr>
        <w:t xml:space="preserve">, </w:t>
      </w:r>
      <w:proofErr w:type="spellStart"/>
      <w:r w:rsidRPr="00214DDB">
        <w:rPr>
          <w:rFonts w:cs="Times New Roman"/>
          <w:lang w:val="fr-CA"/>
        </w:rPr>
        <w:t>Techni</w:t>
      </w:r>
      <w:proofErr w:type="spellEnd"/>
      <w:r w:rsidR="00DB76A6" w:rsidRPr="00214DDB">
        <w:rPr>
          <w:rFonts w:cs="Times New Roman"/>
          <w:lang w:val="fr-CA"/>
        </w:rPr>
        <w:noBreakHyphen/>
      </w:r>
      <w:r w:rsidRPr="00214DDB">
        <w:rPr>
          <w:rFonts w:cs="Times New Roman"/>
          <w:lang w:val="fr-CA"/>
        </w:rPr>
        <w:t xml:space="preserve">porc </w:t>
      </w:r>
      <w:proofErr w:type="spellStart"/>
      <w:r w:rsidRPr="00214DDB">
        <w:rPr>
          <w:rFonts w:cs="Times New Roman"/>
          <w:lang w:val="fr-CA"/>
        </w:rPr>
        <w:t>inc.</w:t>
      </w:r>
      <w:proofErr w:type="spellEnd"/>
      <w:r w:rsidRPr="00214DDB">
        <w:rPr>
          <w:rFonts w:cs="Times New Roman"/>
          <w:lang w:val="fr-CA"/>
        </w:rPr>
        <w:t xml:space="preserve">, Élevage La </w:t>
      </w:r>
      <w:proofErr w:type="spellStart"/>
      <w:r w:rsidRPr="00214DDB">
        <w:rPr>
          <w:rFonts w:cs="Times New Roman"/>
          <w:lang w:val="fr-CA"/>
        </w:rPr>
        <w:t>Bretanne</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9038</w:t>
      </w:r>
      <w:r w:rsidR="00DB76A6" w:rsidRPr="00214DDB">
        <w:rPr>
          <w:rFonts w:cs="Times New Roman"/>
          <w:lang w:val="fr-CA"/>
        </w:rPr>
        <w:noBreakHyphen/>
      </w:r>
      <w:r w:rsidRPr="00214DDB">
        <w:rPr>
          <w:rFonts w:cs="Times New Roman"/>
          <w:lang w:val="fr-CA"/>
        </w:rPr>
        <w:t xml:space="preserve">7747 Québec inc., Ferme </w:t>
      </w:r>
      <w:proofErr w:type="spellStart"/>
      <w:r w:rsidRPr="00214DDB">
        <w:rPr>
          <w:rFonts w:cs="Times New Roman"/>
          <w:lang w:val="fr-CA"/>
        </w:rPr>
        <w:t>Lor</w:t>
      </w:r>
      <w:r w:rsidR="00DB76A6" w:rsidRPr="00214DDB">
        <w:rPr>
          <w:rFonts w:cs="Times New Roman"/>
          <w:lang w:val="fr-CA"/>
        </w:rPr>
        <w:noBreakHyphen/>
      </w:r>
      <w:r w:rsidRPr="00214DDB">
        <w:rPr>
          <w:rFonts w:cs="Times New Roman"/>
          <w:lang w:val="fr-CA"/>
        </w:rPr>
        <w:t>re</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Ginette </w:t>
      </w:r>
      <w:proofErr w:type="spellStart"/>
      <w:r w:rsidRPr="00214DDB">
        <w:rPr>
          <w:rFonts w:cs="Times New Roman"/>
          <w:lang w:val="fr-CA"/>
        </w:rPr>
        <w:t>Marchesseault</w:t>
      </w:r>
      <w:proofErr w:type="spellEnd"/>
      <w:r w:rsidRPr="00214DDB">
        <w:rPr>
          <w:rFonts w:cs="Times New Roman"/>
          <w:lang w:val="fr-CA"/>
        </w:rPr>
        <w:t xml:space="preserve">, Ferme Casimir </w:t>
      </w:r>
      <w:proofErr w:type="spellStart"/>
      <w:r w:rsidRPr="00214DDB">
        <w:rPr>
          <w:rFonts w:cs="Times New Roman"/>
          <w:lang w:val="fr-CA"/>
        </w:rPr>
        <w:t>inc.</w:t>
      </w:r>
      <w:proofErr w:type="spellEnd"/>
      <w:r w:rsidRPr="00214DDB">
        <w:rPr>
          <w:rFonts w:cs="Times New Roman"/>
          <w:lang w:val="fr-CA"/>
        </w:rPr>
        <w:t xml:space="preserve">, C&amp;G Paquette inc., Entreprises B. Paquette inc., Porcheries du </w:t>
      </w:r>
      <w:proofErr w:type="spellStart"/>
      <w:r w:rsidRPr="00214DDB">
        <w:rPr>
          <w:rFonts w:cs="Times New Roman"/>
          <w:lang w:val="fr-CA"/>
        </w:rPr>
        <w:t>Button</w:t>
      </w:r>
      <w:proofErr w:type="spellEnd"/>
      <w:r w:rsidRPr="00214DDB">
        <w:rPr>
          <w:rFonts w:cs="Times New Roman"/>
          <w:lang w:val="fr-CA"/>
        </w:rPr>
        <w:t xml:space="preserve"> </w:t>
      </w:r>
      <w:proofErr w:type="spellStart"/>
      <w:r w:rsidRPr="00214DDB">
        <w:rPr>
          <w:rFonts w:cs="Times New Roman"/>
          <w:lang w:val="fr-CA"/>
        </w:rPr>
        <w:t>ltée</w:t>
      </w:r>
      <w:proofErr w:type="spellEnd"/>
      <w:r w:rsidRPr="00214DDB">
        <w:rPr>
          <w:rFonts w:cs="Times New Roman"/>
          <w:lang w:val="fr-CA"/>
        </w:rPr>
        <w:t>, Élevages du Bas Ste</w:t>
      </w:r>
      <w:r w:rsidR="00DB76A6" w:rsidRPr="00214DDB">
        <w:rPr>
          <w:rFonts w:cs="Times New Roman"/>
          <w:lang w:val="fr-CA"/>
        </w:rPr>
        <w:noBreakHyphen/>
      </w:r>
      <w:r w:rsidRPr="00214DDB">
        <w:rPr>
          <w:rFonts w:cs="Times New Roman"/>
          <w:lang w:val="fr-CA"/>
        </w:rPr>
        <w:t xml:space="preserve">Anne inc., Ferme </w:t>
      </w:r>
      <w:proofErr w:type="spellStart"/>
      <w:r w:rsidRPr="00214DDB">
        <w:rPr>
          <w:rFonts w:cs="Times New Roman"/>
          <w:lang w:val="fr-CA"/>
        </w:rPr>
        <w:t>Suporsonique</w:t>
      </w:r>
      <w:proofErr w:type="spellEnd"/>
      <w:r w:rsidRPr="00214DDB">
        <w:rPr>
          <w:rFonts w:cs="Times New Roman"/>
          <w:lang w:val="fr-CA"/>
        </w:rPr>
        <w:t>, Gène</w:t>
      </w:r>
      <w:r w:rsidR="00DB76A6" w:rsidRPr="00214DDB">
        <w:rPr>
          <w:rFonts w:cs="Times New Roman"/>
          <w:lang w:val="fr-CA"/>
        </w:rPr>
        <w:noBreakHyphen/>
      </w:r>
      <w:r w:rsidRPr="00214DDB">
        <w:rPr>
          <w:rFonts w:cs="Times New Roman"/>
          <w:lang w:val="fr-CA"/>
        </w:rPr>
        <w:t xml:space="preserve">Alliance </w:t>
      </w:r>
      <w:proofErr w:type="spellStart"/>
      <w:r w:rsidRPr="00214DDB">
        <w:rPr>
          <w:rFonts w:cs="Times New Roman"/>
          <w:lang w:val="fr-CA"/>
        </w:rPr>
        <w:t>inc.</w:t>
      </w:r>
      <w:proofErr w:type="spellEnd"/>
      <w:r w:rsidRPr="00214DDB">
        <w:rPr>
          <w:rFonts w:cs="Times New Roman"/>
          <w:lang w:val="fr-CA"/>
        </w:rPr>
        <w:t>, 9076</w:t>
      </w:r>
      <w:r w:rsidR="00DB76A6" w:rsidRPr="00214DDB">
        <w:rPr>
          <w:rFonts w:cs="Times New Roman"/>
          <w:lang w:val="fr-CA"/>
        </w:rPr>
        <w:noBreakHyphen/>
      </w:r>
      <w:r w:rsidRPr="00214DDB">
        <w:rPr>
          <w:rFonts w:cs="Times New Roman"/>
          <w:lang w:val="fr-CA"/>
        </w:rPr>
        <w:t xml:space="preserve">1776 Québec inc., Cultures Excel inc., Francine </w:t>
      </w:r>
      <w:proofErr w:type="spellStart"/>
      <w:r w:rsidRPr="00214DDB">
        <w:rPr>
          <w:rFonts w:cs="Times New Roman"/>
          <w:lang w:val="fr-CA"/>
        </w:rPr>
        <w:t>Sauvageau</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w:t>
      </w:r>
      <w:proofErr w:type="spellStart"/>
      <w:r w:rsidRPr="00214DDB">
        <w:rPr>
          <w:rFonts w:cs="Times New Roman"/>
          <w:lang w:val="fr-CA"/>
        </w:rPr>
        <w:t>Jétizack</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Cultures Quinto inc., Élevages </w:t>
      </w:r>
      <w:proofErr w:type="spellStart"/>
      <w:r w:rsidRPr="00214DDB">
        <w:rPr>
          <w:rFonts w:cs="Times New Roman"/>
          <w:lang w:val="fr-CA"/>
        </w:rPr>
        <w:t>Hébertville</w:t>
      </w:r>
      <w:proofErr w:type="spellEnd"/>
      <w:r w:rsidRPr="00214DDB">
        <w:rPr>
          <w:rFonts w:cs="Times New Roman"/>
          <w:lang w:val="fr-CA"/>
        </w:rPr>
        <w:t xml:space="preserve"> S.E.N.C., Jean</w:t>
      </w:r>
      <w:r w:rsidR="00DB76A6" w:rsidRPr="00214DDB">
        <w:rPr>
          <w:rFonts w:cs="Times New Roman"/>
          <w:lang w:val="fr-CA"/>
        </w:rPr>
        <w:noBreakHyphen/>
      </w:r>
      <w:r w:rsidRPr="00214DDB">
        <w:rPr>
          <w:rFonts w:cs="Times New Roman"/>
          <w:lang w:val="fr-CA"/>
        </w:rPr>
        <w:t xml:space="preserve">Marc Henri inc., Ferme </w:t>
      </w:r>
      <w:proofErr w:type="spellStart"/>
      <w:r w:rsidRPr="00214DDB">
        <w:rPr>
          <w:rFonts w:cs="Times New Roman"/>
          <w:lang w:val="fr-CA"/>
        </w:rPr>
        <w:t>Porcéréale</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w:t>
      </w:r>
      <w:proofErr w:type="spellStart"/>
      <w:r w:rsidRPr="00214DDB">
        <w:rPr>
          <w:rFonts w:cs="Times New Roman"/>
          <w:lang w:val="fr-CA"/>
        </w:rPr>
        <w:t>formerly</w:t>
      </w:r>
      <w:proofErr w:type="spellEnd"/>
      <w:r w:rsidRPr="00214DDB">
        <w:rPr>
          <w:rFonts w:cs="Times New Roman"/>
          <w:lang w:val="fr-CA"/>
        </w:rPr>
        <w:t xml:space="preserve"> </w:t>
      </w:r>
      <w:proofErr w:type="spellStart"/>
      <w:r w:rsidRPr="00214DDB">
        <w:rPr>
          <w:rFonts w:cs="Times New Roman"/>
          <w:lang w:val="fr-CA"/>
        </w:rPr>
        <w:t>known</w:t>
      </w:r>
      <w:proofErr w:type="spellEnd"/>
      <w:r w:rsidRPr="00214DDB">
        <w:rPr>
          <w:rFonts w:cs="Times New Roman"/>
          <w:lang w:val="fr-CA"/>
        </w:rPr>
        <w:t xml:space="preserve"> as Maraîchers de St</w:t>
      </w:r>
      <w:r w:rsidR="00DB76A6" w:rsidRPr="00214DDB">
        <w:rPr>
          <w:rFonts w:cs="Times New Roman"/>
          <w:lang w:val="fr-CA"/>
        </w:rPr>
        <w:noBreakHyphen/>
      </w:r>
      <w:r w:rsidRPr="00214DDB">
        <w:rPr>
          <w:rFonts w:cs="Times New Roman"/>
          <w:lang w:val="fr-CA"/>
        </w:rPr>
        <w:t xml:space="preserve">Gilles (1991) S.E.N.C.), Ferme </w:t>
      </w:r>
      <w:proofErr w:type="spellStart"/>
      <w:r w:rsidRPr="00214DDB">
        <w:rPr>
          <w:rFonts w:cs="Times New Roman"/>
          <w:lang w:val="fr-CA"/>
        </w:rPr>
        <w:t>Gosford</w:t>
      </w:r>
      <w:proofErr w:type="spellEnd"/>
      <w:r w:rsidRPr="00214DDB">
        <w:rPr>
          <w:rFonts w:cs="Times New Roman"/>
          <w:lang w:val="fr-CA"/>
        </w:rPr>
        <w:t xml:space="preserve"> </w:t>
      </w:r>
      <w:proofErr w:type="spellStart"/>
      <w:r w:rsidRPr="00214DDB">
        <w:rPr>
          <w:rFonts w:cs="Times New Roman"/>
          <w:lang w:val="fr-CA"/>
        </w:rPr>
        <w:t>enr</w:t>
      </w:r>
      <w:proofErr w:type="spellEnd"/>
      <w:r w:rsidRPr="00214DDB">
        <w:rPr>
          <w:rFonts w:cs="Times New Roman"/>
          <w:lang w:val="fr-CA"/>
        </w:rPr>
        <w:t xml:space="preserve">. S.E.N.C., Ferme André Breton inc., Ferme S. &amp; M. Ménard inc., Ferme Luc </w:t>
      </w:r>
      <w:proofErr w:type="spellStart"/>
      <w:r w:rsidRPr="00214DDB">
        <w:rPr>
          <w:rFonts w:cs="Times New Roman"/>
          <w:lang w:val="fr-CA"/>
        </w:rPr>
        <w:t>Loranger</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w:t>
      </w:r>
      <w:proofErr w:type="spellStart"/>
      <w:r w:rsidRPr="00214DDB">
        <w:rPr>
          <w:rFonts w:cs="Times New Roman"/>
          <w:lang w:val="fr-CA"/>
        </w:rPr>
        <w:t>Méloporc</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w:t>
      </w:r>
      <w:proofErr w:type="spellStart"/>
      <w:r w:rsidRPr="00214DDB">
        <w:rPr>
          <w:rFonts w:cs="Times New Roman"/>
          <w:lang w:val="fr-CA"/>
        </w:rPr>
        <w:t>Frangis</w:t>
      </w:r>
      <w:proofErr w:type="spellEnd"/>
      <w:r w:rsidRPr="00214DDB">
        <w:rPr>
          <w:rFonts w:cs="Times New Roman"/>
          <w:lang w:val="fr-CA"/>
        </w:rPr>
        <w:t xml:space="preserve"> S.E.N.C., Ferme R.M. Côté &amp; Fils (2000) inc., Ferme Porcine </w:t>
      </w:r>
      <w:proofErr w:type="spellStart"/>
      <w:r w:rsidRPr="00214DDB">
        <w:rPr>
          <w:rFonts w:cs="Times New Roman"/>
          <w:lang w:val="fr-CA"/>
        </w:rPr>
        <w:t>Marnie</w:t>
      </w:r>
      <w:proofErr w:type="spellEnd"/>
      <w:r w:rsidRPr="00214DDB">
        <w:rPr>
          <w:rFonts w:cs="Times New Roman"/>
          <w:lang w:val="fr-CA"/>
        </w:rPr>
        <w:t xml:space="preserve"> S.E.N.C., F. Ménard inc., Élevages Jacques </w:t>
      </w:r>
      <w:proofErr w:type="spellStart"/>
      <w:r w:rsidRPr="00214DDB">
        <w:rPr>
          <w:rFonts w:cs="Times New Roman"/>
          <w:lang w:val="fr-CA"/>
        </w:rPr>
        <w:t>Joyal</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La </w:t>
      </w:r>
      <w:proofErr w:type="spellStart"/>
      <w:r w:rsidRPr="00214DDB">
        <w:rPr>
          <w:rFonts w:cs="Times New Roman"/>
          <w:lang w:val="fr-CA"/>
        </w:rPr>
        <w:t>Ronchonnerie</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w:t>
      </w:r>
      <w:proofErr w:type="spellStart"/>
      <w:r w:rsidRPr="00214DDB">
        <w:rPr>
          <w:rFonts w:cs="Times New Roman"/>
          <w:lang w:val="fr-CA"/>
        </w:rPr>
        <w:t>Mafran</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Coopérative agricole </w:t>
      </w:r>
      <w:proofErr w:type="spellStart"/>
      <w:r w:rsidRPr="00214DDB">
        <w:rPr>
          <w:rFonts w:cs="Times New Roman"/>
          <w:lang w:val="fr-CA"/>
        </w:rPr>
        <w:t>Profid’Or</w:t>
      </w:r>
      <w:proofErr w:type="spellEnd"/>
      <w:r w:rsidRPr="00214DDB">
        <w:rPr>
          <w:rFonts w:cs="Times New Roman"/>
          <w:lang w:val="fr-CA"/>
        </w:rPr>
        <w:t xml:space="preserve">, </w:t>
      </w:r>
      <w:proofErr w:type="spellStart"/>
      <w:r w:rsidRPr="00214DDB">
        <w:rPr>
          <w:rFonts w:cs="Times New Roman"/>
          <w:lang w:val="fr-CA"/>
        </w:rPr>
        <w:t>Isoporc</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Ferme Gervais Gosselin inc., R. Robitaille et Fils inc., Groupe CDLM inc., Ferme Gaudreau inc., 9039</w:t>
      </w:r>
      <w:r w:rsidR="00DB76A6" w:rsidRPr="00214DDB">
        <w:rPr>
          <w:rFonts w:cs="Times New Roman"/>
          <w:lang w:val="fr-CA"/>
        </w:rPr>
        <w:noBreakHyphen/>
      </w:r>
      <w:r w:rsidRPr="00214DDB">
        <w:rPr>
          <w:rFonts w:cs="Times New Roman"/>
          <w:lang w:val="fr-CA"/>
        </w:rPr>
        <w:t>2648 Québec inc., Ferme Denis Robitaille inc., Élevages du Haut</w:t>
      </w:r>
      <w:r w:rsidR="00DB76A6" w:rsidRPr="00214DDB">
        <w:rPr>
          <w:rFonts w:cs="Times New Roman"/>
          <w:lang w:val="fr-CA"/>
        </w:rPr>
        <w:noBreakHyphen/>
      </w:r>
      <w:r w:rsidRPr="00214DDB">
        <w:rPr>
          <w:rFonts w:cs="Times New Roman"/>
          <w:lang w:val="fr-CA"/>
        </w:rPr>
        <w:t xml:space="preserve">Richelieu </w:t>
      </w:r>
      <w:proofErr w:type="spellStart"/>
      <w:r w:rsidRPr="00214DDB">
        <w:rPr>
          <w:rFonts w:cs="Times New Roman"/>
          <w:lang w:val="fr-CA"/>
        </w:rPr>
        <w:t>inc.</w:t>
      </w:r>
      <w:proofErr w:type="spellEnd"/>
      <w:r w:rsidRPr="00214DDB">
        <w:rPr>
          <w:rFonts w:cs="Times New Roman"/>
          <w:lang w:val="fr-CA"/>
        </w:rPr>
        <w:t xml:space="preserve">, </w:t>
      </w:r>
      <w:proofErr w:type="spellStart"/>
      <w:r w:rsidRPr="00214DDB">
        <w:rPr>
          <w:rFonts w:cs="Times New Roman"/>
          <w:lang w:val="fr-CA"/>
        </w:rPr>
        <w:t>Viaporc</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Porc S.B. inc., Ferme G. </w:t>
      </w:r>
      <w:proofErr w:type="spellStart"/>
      <w:r w:rsidRPr="00214DDB">
        <w:rPr>
          <w:rFonts w:cs="Times New Roman"/>
          <w:lang w:val="fr-CA"/>
        </w:rPr>
        <w:t>Rompré</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9084</w:t>
      </w:r>
      <w:r w:rsidR="00DB76A6" w:rsidRPr="00214DDB">
        <w:rPr>
          <w:rFonts w:cs="Times New Roman"/>
          <w:lang w:val="fr-CA"/>
        </w:rPr>
        <w:noBreakHyphen/>
      </w:r>
      <w:r w:rsidRPr="00214DDB">
        <w:rPr>
          <w:rFonts w:cs="Times New Roman"/>
          <w:lang w:val="fr-CA"/>
        </w:rPr>
        <w:t xml:space="preserve">9183 Québec inc., Porcs N&amp;M </w:t>
      </w:r>
      <w:proofErr w:type="spellStart"/>
      <w:r w:rsidRPr="00214DDB">
        <w:rPr>
          <w:rFonts w:cs="Times New Roman"/>
          <w:lang w:val="fr-CA"/>
        </w:rPr>
        <w:t>inc.</w:t>
      </w:r>
      <w:proofErr w:type="spellEnd"/>
      <w:r w:rsidRPr="00214DDB">
        <w:rPr>
          <w:rFonts w:cs="Times New Roman"/>
          <w:lang w:val="fr-CA"/>
        </w:rPr>
        <w:t xml:space="preserve">, Ferme </w:t>
      </w:r>
      <w:proofErr w:type="spellStart"/>
      <w:r w:rsidRPr="00214DDB">
        <w:rPr>
          <w:rFonts w:cs="Times New Roman"/>
          <w:lang w:val="fr-CA"/>
        </w:rPr>
        <w:t>Porclair</w:t>
      </w:r>
      <w:proofErr w:type="spellEnd"/>
      <w:r w:rsidRPr="00214DDB">
        <w:rPr>
          <w:rFonts w:cs="Times New Roman"/>
          <w:lang w:val="fr-CA"/>
        </w:rPr>
        <w:t xml:space="preserve"> S.E.N.C., Ferme R.D.S. </w:t>
      </w:r>
      <w:proofErr w:type="spellStart"/>
      <w:r w:rsidRPr="00214DDB">
        <w:rPr>
          <w:rFonts w:cs="Times New Roman"/>
          <w:lang w:val="fr-CA"/>
        </w:rPr>
        <w:t>inc.</w:t>
      </w:r>
      <w:proofErr w:type="spellEnd"/>
      <w:r w:rsidRPr="00214DDB">
        <w:rPr>
          <w:rFonts w:cs="Times New Roman"/>
          <w:lang w:val="fr-CA"/>
        </w:rPr>
        <w:t xml:space="preserve">, Élevages L.D. </w:t>
      </w:r>
      <w:proofErr w:type="spellStart"/>
      <w:r w:rsidRPr="00214DDB">
        <w:rPr>
          <w:rFonts w:cs="Times New Roman"/>
          <w:lang w:val="fr-CA"/>
        </w:rPr>
        <w:t>ltée</w:t>
      </w:r>
      <w:proofErr w:type="spellEnd"/>
      <w:r w:rsidRPr="00214DDB">
        <w:rPr>
          <w:rFonts w:cs="Times New Roman"/>
          <w:lang w:val="fr-CA"/>
        </w:rPr>
        <w:t>, Porc P.G. S.E.N.C., Ferme M.Y. Turgeon inc., Coopérative agricole de St</w:t>
      </w:r>
      <w:r w:rsidR="00DB76A6" w:rsidRPr="00214DDB">
        <w:rPr>
          <w:rFonts w:cs="Times New Roman"/>
          <w:lang w:val="fr-CA"/>
        </w:rPr>
        <w:noBreakHyphen/>
      </w:r>
      <w:r w:rsidRPr="00214DDB">
        <w:rPr>
          <w:rFonts w:cs="Times New Roman"/>
          <w:lang w:val="fr-CA"/>
        </w:rPr>
        <w:t>Bernard, Élevage Y. Ducharme inc., Production A. Couture (n</w:t>
      </w:r>
      <w:r w:rsidRPr="00214DDB">
        <w:rPr>
          <w:rFonts w:cs="Times New Roman"/>
          <w:vertAlign w:val="superscript"/>
          <w:lang w:val="fr-CA"/>
        </w:rPr>
        <w:t>o</w:t>
      </w:r>
      <w:r w:rsidRPr="00214DDB">
        <w:rPr>
          <w:rFonts w:cs="Times New Roman"/>
          <w:lang w:val="fr-CA"/>
        </w:rPr>
        <w:t xml:space="preserve"> 1) </w:t>
      </w:r>
      <w:proofErr w:type="spellStart"/>
      <w:r w:rsidRPr="00214DDB">
        <w:rPr>
          <w:rFonts w:cs="Times New Roman"/>
          <w:lang w:val="fr-CA"/>
        </w:rPr>
        <w:t>ltée</w:t>
      </w:r>
      <w:proofErr w:type="spellEnd"/>
      <w:r w:rsidRPr="00214DDB">
        <w:rPr>
          <w:rFonts w:cs="Times New Roman"/>
          <w:lang w:val="fr-CA"/>
        </w:rPr>
        <w:t>, Production A. Couture (n</w:t>
      </w:r>
      <w:r w:rsidRPr="00214DDB">
        <w:rPr>
          <w:rFonts w:cs="Times New Roman"/>
          <w:vertAlign w:val="superscript"/>
          <w:lang w:val="fr-CA"/>
        </w:rPr>
        <w:t>o</w:t>
      </w:r>
      <w:r w:rsidRPr="00214DDB">
        <w:rPr>
          <w:rFonts w:cs="Times New Roman"/>
          <w:lang w:val="fr-CA"/>
        </w:rPr>
        <w:t xml:space="preserve"> 2) </w:t>
      </w:r>
      <w:proofErr w:type="spellStart"/>
      <w:r w:rsidRPr="00214DDB">
        <w:rPr>
          <w:rFonts w:cs="Times New Roman"/>
          <w:lang w:val="fr-CA"/>
        </w:rPr>
        <w:t>ltée</w:t>
      </w:r>
      <w:proofErr w:type="spellEnd"/>
      <w:r w:rsidRPr="00214DDB">
        <w:rPr>
          <w:rFonts w:cs="Times New Roman"/>
          <w:lang w:val="fr-CA"/>
        </w:rPr>
        <w:t>, Production A. Couture (n</w:t>
      </w:r>
      <w:r w:rsidRPr="00214DDB">
        <w:rPr>
          <w:rFonts w:cs="Times New Roman"/>
          <w:vertAlign w:val="superscript"/>
          <w:lang w:val="fr-CA"/>
        </w:rPr>
        <w:t>o</w:t>
      </w:r>
      <w:r w:rsidRPr="00214DDB">
        <w:rPr>
          <w:rFonts w:cs="Times New Roman"/>
          <w:lang w:val="fr-CA"/>
        </w:rPr>
        <w:t xml:space="preserve"> 3) </w:t>
      </w:r>
      <w:proofErr w:type="spellStart"/>
      <w:r w:rsidRPr="00214DDB">
        <w:rPr>
          <w:rFonts w:cs="Times New Roman"/>
          <w:lang w:val="fr-CA"/>
        </w:rPr>
        <w:t>ltée</w:t>
      </w:r>
      <w:proofErr w:type="spellEnd"/>
      <w:r w:rsidRPr="00214DDB">
        <w:rPr>
          <w:rFonts w:cs="Times New Roman"/>
          <w:lang w:val="fr-CA"/>
        </w:rPr>
        <w:t>, Production A. Couture (n</w:t>
      </w:r>
      <w:r w:rsidRPr="00214DDB">
        <w:rPr>
          <w:rFonts w:cs="Times New Roman"/>
          <w:vertAlign w:val="superscript"/>
          <w:lang w:val="fr-CA"/>
        </w:rPr>
        <w:t>o</w:t>
      </w:r>
      <w:r w:rsidRPr="00214DDB">
        <w:rPr>
          <w:rFonts w:cs="Times New Roman"/>
          <w:lang w:val="fr-CA"/>
        </w:rPr>
        <w:t xml:space="preserve"> 4) </w:t>
      </w:r>
      <w:proofErr w:type="spellStart"/>
      <w:r w:rsidRPr="00214DDB">
        <w:rPr>
          <w:rFonts w:cs="Times New Roman"/>
          <w:lang w:val="fr-CA"/>
        </w:rPr>
        <w:t>ltée</w:t>
      </w:r>
      <w:proofErr w:type="spellEnd"/>
      <w:r w:rsidRPr="00214DDB">
        <w:rPr>
          <w:rFonts w:cs="Times New Roman"/>
          <w:lang w:val="fr-CA"/>
        </w:rPr>
        <w:t>, Production A. Couture (n</w:t>
      </w:r>
      <w:r w:rsidRPr="00214DDB">
        <w:rPr>
          <w:rFonts w:cs="Times New Roman"/>
          <w:vertAlign w:val="superscript"/>
          <w:lang w:val="fr-CA"/>
        </w:rPr>
        <w:t>o</w:t>
      </w:r>
      <w:r w:rsidRPr="00214DDB">
        <w:rPr>
          <w:rFonts w:cs="Times New Roman"/>
          <w:lang w:val="fr-CA"/>
        </w:rPr>
        <w:t xml:space="preserve"> 5) </w:t>
      </w:r>
      <w:proofErr w:type="spellStart"/>
      <w:r w:rsidRPr="00214DDB">
        <w:rPr>
          <w:rFonts w:cs="Times New Roman"/>
          <w:lang w:val="fr-CA"/>
        </w:rPr>
        <w:t>ltée</w:t>
      </w:r>
      <w:proofErr w:type="spellEnd"/>
      <w:r w:rsidRPr="00214DDB">
        <w:rPr>
          <w:rFonts w:cs="Times New Roman"/>
          <w:lang w:val="fr-CA"/>
        </w:rPr>
        <w:t>, Production A. Couture (n</w:t>
      </w:r>
      <w:r w:rsidRPr="00214DDB">
        <w:rPr>
          <w:rFonts w:cs="Times New Roman"/>
          <w:vertAlign w:val="superscript"/>
          <w:lang w:val="fr-CA"/>
        </w:rPr>
        <w:t>o</w:t>
      </w:r>
      <w:r w:rsidRPr="00214DDB">
        <w:rPr>
          <w:rFonts w:cs="Times New Roman"/>
          <w:lang w:val="fr-CA"/>
        </w:rPr>
        <w:t xml:space="preserve"> 6) </w:t>
      </w:r>
      <w:proofErr w:type="spellStart"/>
      <w:r w:rsidRPr="00214DDB">
        <w:rPr>
          <w:rFonts w:cs="Times New Roman"/>
          <w:lang w:val="fr-CA"/>
        </w:rPr>
        <w:t>ltée</w:t>
      </w:r>
      <w:proofErr w:type="spellEnd"/>
      <w:r w:rsidRPr="00214DDB">
        <w:rPr>
          <w:rFonts w:cs="Times New Roman"/>
          <w:lang w:val="fr-CA"/>
        </w:rPr>
        <w:t xml:space="preserve">, Production René Lait inc., Alfred Couture Limitée, Ferme B.E.L. Porcs </w:t>
      </w:r>
      <w:proofErr w:type="spellStart"/>
      <w:r w:rsidRPr="00214DDB">
        <w:rPr>
          <w:rFonts w:cs="Times New Roman"/>
          <w:lang w:val="fr-CA"/>
        </w:rPr>
        <w:t>ltée</w:t>
      </w:r>
      <w:proofErr w:type="spellEnd"/>
      <w:r w:rsidRPr="00214DDB">
        <w:rPr>
          <w:rFonts w:cs="Times New Roman"/>
          <w:lang w:val="fr-CA"/>
        </w:rPr>
        <w:t xml:space="preserve">, Porcs M.L. </w:t>
      </w:r>
      <w:proofErr w:type="spellStart"/>
      <w:r w:rsidRPr="00214DDB">
        <w:rPr>
          <w:rFonts w:cs="Times New Roman"/>
          <w:lang w:val="fr-CA"/>
        </w:rPr>
        <w:t>inc.</w:t>
      </w:r>
      <w:proofErr w:type="spellEnd"/>
      <w:r w:rsidRPr="00214DDB">
        <w:rPr>
          <w:rFonts w:cs="Times New Roman"/>
          <w:lang w:val="fr-CA"/>
        </w:rPr>
        <w:t>, Ferme Vallières &amp; Gosselin inc., Meunerie St</w:t>
      </w:r>
      <w:r w:rsidR="00DB76A6" w:rsidRPr="00214DDB">
        <w:rPr>
          <w:rFonts w:cs="Times New Roman"/>
          <w:lang w:val="fr-CA"/>
        </w:rPr>
        <w:noBreakHyphen/>
      </w:r>
      <w:proofErr w:type="spellStart"/>
      <w:r w:rsidRPr="00214DDB">
        <w:rPr>
          <w:rFonts w:cs="Times New Roman"/>
          <w:lang w:val="fr-CA"/>
        </w:rPr>
        <w:t>Elzéar</w:t>
      </w:r>
      <w:proofErr w:type="spellEnd"/>
      <w:r w:rsidRPr="00214DDB">
        <w:rPr>
          <w:rFonts w:cs="Times New Roman"/>
          <w:lang w:val="fr-CA"/>
        </w:rPr>
        <w:t xml:space="preserve"> </w:t>
      </w:r>
      <w:proofErr w:type="spellStart"/>
      <w:r w:rsidRPr="00214DDB">
        <w:rPr>
          <w:rFonts w:cs="Times New Roman"/>
          <w:lang w:val="fr-CA"/>
        </w:rPr>
        <w:t>ltée</w:t>
      </w:r>
      <w:proofErr w:type="spellEnd"/>
      <w:r w:rsidRPr="00214DDB">
        <w:rPr>
          <w:rFonts w:cs="Times New Roman"/>
          <w:lang w:val="fr-CA"/>
        </w:rPr>
        <w:t xml:space="preserve">, Élevages </w:t>
      </w:r>
      <w:proofErr w:type="spellStart"/>
      <w:r w:rsidRPr="00214DDB">
        <w:rPr>
          <w:rFonts w:cs="Times New Roman"/>
          <w:lang w:val="fr-CA"/>
        </w:rPr>
        <w:t>Labrecque</w:t>
      </w:r>
      <w:proofErr w:type="spellEnd"/>
      <w:r w:rsidRPr="00214DDB">
        <w:rPr>
          <w:rFonts w:cs="Times New Roman"/>
          <w:lang w:val="fr-CA"/>
        </w:rPr>
        <w:t xml:space="preserve"> inc., Joly</w:t>
      </w:r>
      <w:r w:rsidR="00DB76A6" w:rsidRPr="00214DDB">
        <w:rPr>
          <w:rFonts w:cs="Times New Roman"/>
          <w:lang w:val="fr-CA"/>
        </w:rPr>
        <w:noBreakHyphen/>
      </w:r>
      <w:r w:rsidRPr="00214DDB">
        <w:rPr>
          <w:rFonts w:cs="Times New Roman"/>
          <w:lang w:val="fr-CA"/>
        </w:rPr>
        <w:t>Grains inc., Joly</w:t>
      </w:r>
      <w:r w:rsidR="00DB76A6" w:rsidRPr="00214DDB">
        <w:rPr>
          <w:rFonts w:cs="Times New Roman"/>
          <w:lang w:val="fr-CA"/>
        </w:rPr>
        <w:noBreakHyphen/>
      </w:r>
      <w:r w:rsidRPr="00214DDB">
        <w:rPr>
          <w:rFonts w:cs="Times New Roman"/>
          <w:lang w:val="fr-CA"/>
        </w:rPr>
        <w:t xml:space="preserve">Porcs inc., Site de la Colline inc., Site des Érables inc., Ferme Serge inc., Ferme </w:t>
      </w:r>
      <w:proofErr w:type="spellStart"/>
      <w:r w:rsidRPr="00214DDB">
        <w:rPr>
          <w:rFonts w:cs="Times New Roman"/>
          <w:lang w:val="fr-CA"/>
        </w:rPr>
        <w:t>Jolivoir</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Aliments Breton </w:t>
      </w:r>
      <w:proofErr w:type="spellStart"/>
      <w:r w:rsidRPr="00214DDB">
        <w:rPr>
          <w:rFonts w:cs="Times New Roman"/>
          <w:lang w:val="fr-CA"/>
        </w:rPr>
        <w:t>inc.</w:t>
      </w:r>
      <w:proofErr w:type="spellEnd"/>
      <w:r w:rsidRPr="00214DDB">
        <w:rPr>
          <w:rFonts w:cs="Times New Roman"/>
          <w:lang w:val="fr-CA"/>
        </w:rPr>
        <w:t xml:space="preserve">, Ferme C.B. </w:t>
      </w:r>
      <w:proofErr w:type="spellStart"/>
      <w:r w:rsidRPr="00214DDB">
        <w:rPr>
          <w:rFonts w:cs="Times New Roman"/>
          <w:lang w:val="fr-CA"/>
        </w:rPr>
        <w:t>inc.</w:t>
      </w:r>
      <w:proofErr w:type="spellEnd"/>
      <w:r w:rsidRPr="00214DDB">
        <w:rPr>
          <w:rFonts w:cs="Times New Roman"/>
          <w:lang w:val="fr-CA"/>
        </w:rPr>
        <w:t xml:space="preserve">, </w:t>
      </w:r>
      <w:proofErr w:type="spellStart"/>
      <w:r w:rsidRPr="00214DDB">
        <w:rPr>
          <w:rFonts w:cs="Times New Roman"/>
          <w:lang w:val="fr-CA"/>
        </w:rPr>
        <w:t>Fermili</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w:t>
      </w:r>
      <w:proofErr w:type="spellStart"/>
      <w:r w:rsidRPr="00214DDB">
        <w:rPr>
          <w:rFonts w:cs="Times New Roman"/>
          <w:lang w:val="fr-CA"/>
        </w:rPr>
        <w:t>Luma</w:t>
      </w:r>
      <w:proofErr w:type="spellEnd"/>
      <w:r w:rsidRPr="00214DDB">
        <w:rPr>
          <w:rFonts w:cs="Times New Roman"/>
          <w:lang w:val="fr-CA"/>
        </w:rPr>
        <w:t xml:space="preserve"> </w:t>
      </w:r>
      <w:proofErr w:type="spellStart"/>
      <w:r w:rsidRPr="00214DDB">
        <w:rPr>
          <w:rFonts w:cs="Times New Roman"/>
          <w:lang w:val="fr-CA"/>
        </w:rPr>
        <w:t>G</w:t>
      </w:r>
      <w:r w:rsidR="006C0A2D" w:rsidRPr="00214DDB">
        <w:rPr>
          <w:rFonts w:cs="Times New Roman"/>
          <w:lang w:val="fr-CA"/>
        </w:rPr>
        <w:t>e</w:t>
      </w:r>
      <w:r w:rsidRPr="00214DDB">
        <w:rPr>
          <w:rFonts w:cs="Times New Roman"/>
          <w:lang w:val="fr-CA"/>
        </w:rPr>
        <w:t>n</w:t>
      </w:r>
      <w:r w:rsidR="006C0A2D" w:rsidRPr="00214DDB">
        <w:rPr>
          <w:rFonts w:cs="Times New Roman"/>
          <w:lang w:val="fr-CA"/>
        </w:rPr>
        <w:t>e</w:t>
      </w:r>
      <w:r w:rsidRPr="00214DDB">
        <w:rPr>
          <w:rFonts w:cs="Times New Roman"/>
          <w:lang w:val="fr-CA"/>
        </w:rPr>
        <w:t>ti</w:t>
      </w:r>
      <w:r w:rsidR="006C0A2D" w:rsidRPr="00214DDB">
        <w:rPr>
          <w:rFonts w:cs="Times New Roman"/>
          <w:lang w:val="fr-CA"/>
        </w:rPr>
        <w:t>c</w:t>
      </w:r>
      <w:proofErr w:type="spellEnd"/>
      <w:r w:rsidRPr="00214DDB">
        <w:rPr>
          <w:rFonts w:cs="Times New Roman"/>
          <w:lang w:val="fr-CA"/>
        </w:rPr>
        <w:t xml:space="preserve"> </w:t>
      </w:r>
      <w:r w:rsidR="006C0A2D" w:rsidRPr="00214DDB">
        <w:rPr>
          <w:rFonts w:cs="Times New Roman"/>
          <w:lang w:val="fr-CA"/>
        </w:rPr>
        <w:t>I</w:t>
      </w:r>
      <w:r w:rsidRPr="00214DDB">
        <w:rPr>
          <w:rFonts w:cs="Times New Roman"/>
          <w:lang w:val="fr-CA"/>
        </w:rPr>
        <w:t>nc. (</w:t>
      </w:r>
      <w:proofErr w:type="spellStart"/>
      <w:r w:rsidRPr="00214DDB">
        <w:rPr>
          <w:rFonts w:cs="Times New Roman"/>
          <w:lang w:val="fr-CA"/>
        </w:rPr>
        <w:t>formerly</w:t>
      </w:r>
      <w:proofErr w:type="spellEnd"/>
      <w:r w:rsidRPr="00214DDB">
        <w:rPr>
          <w:rFonts w:cs="Times New Roman"/>
          <w:lang w:val="fr-CA"/>
        </w:rPr>
        <w:t xml:space="preserve"> </w:t>
      </w:r>
      <w:proofErr w:type="spellStart"/>
      <w:r w:rsidRPr="00214DDB">
        <w:rPr>
          <w:rFonts w:cs="Times New Roman"/>
          <w:lang w:val="fr-CA"/>
        </w:rPr>
        <w:t>known</w:t>
      </w:r>
      <w:proofErr w:type="spellEnd"/>
      <w:r w:rsidRPr="00214DDB">
        <w:rPr>
          <w:rFonts w:cs="Times New Roman"/>
          <w:lang w:val="fr-CA"/>
        </w:rPr>
        <w:t xml:space="preserve"> as </w:t>
      </w:r>
      <w:proofErr w:type="spellStart"/>
      <w:r w:rsidRPr="00214DDB">
        <w:rPr>
          <w:rFonts w:cs="Times New Roman"/>
          <w:lang w:val="fr-CA"/>
        </w:rPr>
        <w:t>Génétiporc</w:t>
      </w:r>
      <w:proofErr w:type="spellEnd"/>
      <w:r w:rsidRPr="00214DDB">
        <w:rPr>
          <w:rFonts w:cs="Times New Roman"/>
          <w:lang w:val="fr-CA"/>
        </w:rPr>
        <w:t xml:space="preserve"> inc.), Entreprises Magnum </w:t>
      </w:r>
      <w:proofErr w:type="spellStart"/>
      <w:r w:rsidRPr="00214DDB">
        <w:rPr>
          <w:rFonts w:cs="Times New Roman"/>
          <w:lang w:val="fr-CA"/>
        </w:rPr>
        <w:t>inc.</w:t>
      </w:r>
      <w:proofErr w:type="spellEnd"/>
      <w:r w:rsidRPr="00214DDB">
        <w:rPr>
          <w:rFonts w:cs="Times New Roman"/>
          <w:lang w:val="fr-CA"/>
        </w:rPr>
        <w:t>, Trans</w:t>
      </w:r>
      <w:r w:rsidR="00DB76A6" w:rsidRPr="00214DDB">
        <w:rPr>
          <w:rFonts w:cs="Times New Roman"/>
          <w:lang w:val="fr-CA"/>
        </w:rPr>
        <w:noBreakHyphen/>
      </w:r>
      <w:proofErr w:type="spellStart"/>
      <w:r w:rsidRPr="00214DDB">
        <w:rPr>
          <w:rFonts w:cs="Times New Roman"/>
          <w:lang w:val="fr-CA"/>
        </w:rPr>
        <w:t>Porcité</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Lait</w:t>
      </w:r>
      <w:r w:rsidR="00DB76A6" w:rsidRPr="00214DDB">
        <w:rPr>
          <w:rFonts w:cs="Times New Roman"/>
          <w:lang w:val="fr-CA"/>
        </w:rPr>
        <w:noBreakHyphen/>
      </w:r>
      <w:proofErr w:type="spellStart"/>
      <w:r w:rsidRPr="00214DDB">
        <w:rPr>
          <w:rFonts w:cs="Times New Roman"/>
          <w:lang w:val="fr-CA"/>
        </w:rPr>
        <w:t>Porcité</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C.M. S.E.N.C., Ferme Porc Saint </w:t>
      </w:r>
      <w:r w:rsidRPr="00214DDB">
        <w:rPr>
          <w:rFonts w:cs="Times New Roman"/>
          <w:lang w:val="fr-CA"/>
        </w:rPr>
        <w:lastRenderedPageBreak/>
        <w:t xml:space="preserve">S.E.N.C., Entreprises Rémy </w:t>
      </w:r>
      <w:proofErr w:type="spellStart"/>
      <w:r w:rsidRPr="00214DDB">
        <w:rPr>
          <w:rFonts w:cs="Times New Roman"/>
          <w:lang w:val="fr-CA"/>
        </w:rPr>
        <w:t>Laterreur</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Rémy </w:t>
      </w:r>
      <w:proofErr w:type="spellStart"/>
      <w:r w:rsidRPr="00214DDB">
        <w:rPr>
          <w:rFonts w:cs="Times New Roman"/>
          <w:lang w:val="fr-CA"/>
        </w:rPr>
        <w:t>Laterreur</w:t>
      </w:r>
      <w:proofErr w:type="spellEnd"/>
      <w:r w:rsidRPr="00214DDB">
        <w:rPr>
          <w:rFonts w:cs="Times New Roman"/>
          <w:lang w:val="fr-CA"/>
        </w:rPr>
        <w:t xml:space="preserve">, Élevages Explorateurs </w:t>
      </w:r>
      <w:proofErr w:type="spellStart"/>
      <w:r w:rsidRPr="00214DDB">
        <w:rPr>
          <w:rFonts w:cs="Times New Roman"/>
          <w:lang w:val="fr-CA"/>
        </w:rPr>
        <w:t>inc.</w:t>
      </w:r>
      <w:proofErr w:type="spellEnd"/>
      <w:r w:rsidRPr="00214DDB">
        <w:rPr>
          <w:rFonts w:cs="Times New Roman"/>
          <w:lang w:val="fr-CA"/>
        </w:rPr>
        <w:t xml:space="preserve">, Ferme </w:t>
      </w:r>
      <w:proofErr w:type="spellStart"/>
      <w:r w:rsidRPr="00214DDB">
        <w:rPr>
          <w:rFonts w:cs="Times New Roman"/>
          <w:lang w:val="fr-CA"/>
        </w:rPr>
        <w:t>Palene</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André Hénault S.E.N.C., Germain Lapointe, Ferme </w:t>
      </w:r>
      <w:proofErr w:type="spellStart"/>
      <w:r w:rsidRPr="00214DDB">
        <w:rPr>
          <w:rFonts w:cs="Times New Roman"/>
          <w:lang w:val="fr-CA"/>
        </w:rPr>
        <w:t>Jenlica</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Immeubles Clément Dubois inc., Fermes Roda inc., Fermes Richard inc., Ferme </w:t>
      </w:r>
      <w:proofErr w:type="spellStart"/>
      <w:r w:rsidRPr="00214DDB">
        <w:rPr>
          <w:rFonts w:cs="Times New Roman"/>
          <w:lang w:val="fr-CA"/>
        </w:rPr>
        <w:t>Jocko</w:t>
      </w:r>
      <w:proofErr w:type="spellEnd"/>
      <w:r w:rsidRPr="00214DDB">
        <w:rPr>
          <w:rFonts w:cs="Times New Roman"/>
          <w:lang w:val="fr-CA"/>
        </w:rPr>
        <w:t xml:space="preserve"> S.E.N.C., Ferme D.J. Frappier inc., Entreprises Paul Claessens inc., Ferme H. et M. Potvin S.E.N.C., Ferme Jean</w:t>
      </w:r>
      <w:r w:rsidR="00DB76A6" w:rsidRPr="00214DDB">
        <w:rPr>
          <w:rFonts w:cs="Times New Roman"/>
          <w:lang w:val="fr-CA"/>
        </w:rPr>
        <w:noBreakHyphen/>
      </w:r>
      <w:r w:rsidRPr="00214DDB">
        <w:rPr>
          <w:rFonts w:cs="Times New Roman"/>
          <w:lang w:val="fr-CA"/>
        </w:rPr>
        <w:t xml:space="preserve">Paul Palardy inc., Entreprises Denis Lacoste inc., Chantal D’Amour, Ferme </w:t>
      </w:r>
      <w:proofErr w:type="spellStart"/>
      <w:r w:rsidRPr="00214DDB">
        <w:rPr>
          <w:rFonts w:cs="Times New Roman"/>
          <w:lang w:val="fr-CA"/>
        </w:rPr>
        <w:t>Bonneterre</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D’Anjou &amp; Fils inc., M.B.M. Daigle S.E.N.C., Ferme Réjean Turgeon inc., Ferme </w:t>
      </w:r>
      <w:proofErr w:type="spellStart"/>
      <w:r w:rsidRPr="00214DDB">
        <w:rPr>
          <w:rFonts w:cs="Times New Roman"/>
          <w:lang w:val="fr-CA"/>
        </w:rPr>
        <w:t>Jymdom</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Ferme Jules Côté et Fils inc., Ferme D.M.L. inc., Ranch St</w:t>
      </w:r>
      <w:r w:rsidR="00DB76A6" w:rsidRPr="00214DDB">
        <w:rPr>
          <w:rFonts w:cs="Times New Roman"/>
          <w:lang w:val="fr-CA"/>
        </w:rPr>
        <w:noBreakHyphen/>
      </w:r>
      <w:r w:rsidRPr="00214DDB">
        <w:rPr>
          <w:rFonts w:cs="Times New Roman"/>
          <w:lang w:val="fr-CA"/>
        </w:rPr>
        <w:t xml:space="preserve">Sylvestre inc., John </w:t>
      </w:r>
      <w:proofErr w:type="spellStart"/>
      <w:r w:rsidRPr="00214DDB">
        <w:rPr>
          <w:rFonts w:cs="Times New Roman"/>
          <w:lang w:val="fr-CA"/>
        </w:rPr>
        <w:t>Houley</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w:t>
      </w:r>
      <w:proofErr w:type="spellStart"/>
      <w:r w:rsidRPr="00214DDB">
        <w:rPr>
          <w:rFonts w:cs="Times New Roman"/>
          <w:lang w:val="fr-CA"/>
        </w:rPr>
        <w:t>Belgica</w:t>
      </w:r>
      <w:proofErr w:type="spellEnd"/>
      <w:r w:rsidRPr="00214DDB">
        <w:rPr>
          <w:rFonts w:cs="Times New Roman"/>
          <w:lang w:val="fr-CA"/>
        </w:rPr>
        <w:t xml:space="preserve"> </w:t>
      </w:r>
      <w:proofErr w:type="spellStart"/>
      <w:r w:rsidRPr="00214DDB">
        <w:rPr>
          <w:rFonts w:cs="Times New Roman"/>
          <w:lang w:val="fr-CA"/>
        </w:rPr>
        <w:t>inc.</w:t>
      </w:r>
      <w:proofErr w:type="spellEnd"/>
      <w:r w:rsidRPr="00214DDB">
        <w:rPr>
          <w:rFonts w:cs="Times New Roman"/>
          <w:lang w:val="fr-CA"/>
        </w:rPr>
        <w:t xml:space="preserve">, Ferme </w:t>
      </w:r>
      <w:proofErr w:type="spellStart"/>
      <w:r w:rsidRPr="00214DDB">
        <w:rPr>
          <w:rFonts w:cs="Times New Roman"/>
          <w:lang w:val="fr-CA"/>
        </w:rPr>
        <w:t>Bovipro</w:t>
      </w:r>
      <w:proofErr w:type="spellEnd"/>
      <w:r w:rsidRPr="00214DDB">
        <w:rPr>
          <w:rFonts w:cs="Times New Roman"/>
          <w:lang w:val="fr-CA"/>
        </w:rPr>
        <w:t xml:space="preserve"> S.E.N.C., Jacques Desrosiers, Éric Desrosiers, Ferme B&amp;L Desrosiers S.E.N.C., 9078</w:t>
      </w:r>
      <w:r w:rsidR="00DB76A6" w:rsidRPr="00214DDB">
        <w:rPr>
          <w:rFonts w:cs="Times New Roman"/>
          <w:lang w:val="fr-CA"/>
        </w:rPr>
        <w:noBreakHyphen/>
      </w:r>
      <w:r w:rsidRPr="00214DDB">
        <w:rPr>
          <w:rFonts w:cs="Times New Roman"/>
          <w:lang w:val="fr-CA"/>
        </w:rPr>
        <w:t>1170 Québec inc., Fermes St</w:t>
      </w:r>
      <w:r w:rsidR="00DB76A6" w:rsidRPr="00214DDB">
        <w:rPr>
          <w:rFonts w:cs="Times New Roman"/>
          <w:lang w:val="fr-CA"/>
        </w:rPr>
        <w:noBreakHyphen/>
      </w:r>
      <w:r w:rsidRPr="00214DDB">
        <w:rPr>
          <w:rFonts w:cs="Times New Roman"/>
          <w:lang w:val="fr-CA"/>
        </w:rPr>
        <w:t>Henri, S.E.C., Ferme Ray</w:t>
      </w:r>
      <w:r w:rsidR="00DB76A6" w:rsidRPr="00214DDB">
        <w:rPr>
          <w:rFonts w:cs="Times New Roman"/>
          <w:lang w:val="fr-CA"/>
        </w:rPr>
        <w:noBreakHyphen/>
      </w:r>
      <w:r w:rsidRPr="00214DDB">
        <w:rPr>
          <w:rFonts w:cs="Times New Roman"/>
          <w:lang w:val="fr-CA"/>
        </w:rPr>
        <w:t>Loi, S.E.C., Fermes St</w:t>
      </w:r>
      <w:r w:rsidR="00DB76A6" w:rsidRPr="00214DDB">
        <w:rPr>
          <w:rFonts w:cs="Times New Roman"/>
          <w:lang w:val="fr-CA"/>
        </w:rPr>
        <w:noBreakHyphen/>
      </w:r>
      <w:r w:rsidRPr="00214DDB">
        <w:rPr>
          <w:rFonts w:cs="Times New Roman"/>
          <w:lang w:val="fr-CA"/>
        </w:rPr>
        <w:t>Apollinaire, S.E.C., Élevages St</w:t>
      </w:r>
      <w:r w:rsidR="00DB76A6" w:rsidRPr="00214DDB">
        <w:rPr>
          <w:rFonts w:cs="Times New Roman"/>
          <w:lang w:val="fr-CA"/>
        </w:rPr>
        <w:noBreakHyphen/>
      </w:r>
      <w:r w:rsidRPr="00214DDB">
        <w:rPr>
          <w:rFonts w:cs="Times New Roman"/>
          <w:lang w:val="fr-CA"/>
        </w:rPr>
        <w:t>Félix, S.E.C., Élevages St</w:t>
      </w:r>
      <w:r w:rsidR="00DB76A6" w:rsidRPr="00214DDB">
        <w:rPr>
          <w:rFonts w:cs="Times New Roman"/>
          <w:lang w:val="fr-CA"/>
        </w:rPr>
        <w:noBreakHyphen/>
      </w:r>
      <w:r w:rsidRPr="00214DDB">
        <w:rPr>
          <w:rFonts w:cs="Times New Roman"/>
          <w:lang w:val="fr-CA"/>
        </w:rPr>
        <w:t xml:space="preserve">Patrice, S.E.C. and Ferme </w:t>
      </w:r>
      <w:proofErr w:type="spellStart"/>
      <w:r w:rsidRPr="00214DDB">
        <w:rPr>
          <w:rFonts w:cs="Times New Roman"/>
          <w:lang w:val="fr-CA"/>
        </w:rPr>
        <w:t>Beaumontoise</w:t>
      </w:r>
      <w:proofErr w:type="spellEnd"/>
      <w:r w:rsidRPr="00214DDB">
        <w:rPr>
          <w:rFonts w:cs="Times New Roman"/>
          <w:lang w:val="fr-CA"/>
        </w:rPr>
        <w:t>, S.E.C.</w:t>
      </w:r>
      <w:r w:rsidRPr="00214DDB">
        <w:rPr>
          <w:rStyle w:val="SCCLsocPartyRole"/>
          <w:rFonts w:cs="Times New Roman"/>
          <w:b w:val="0"/>
          <w:lang w:val="fr-CA"/>
        </w:rPr>
        <w:tab/>
      </w:r>
      <w:proofErr w:type="spellStart"/>
      <w:r w:rsidRPr="00214DDB">
        <w:rPr>
          <w:rStyle w:val="SCCLsocPartyRole"/>
          <w:rFonts w:cs="Times New Roman"/>
          <w:b w:val="0"/>
          <w:lang w:val="fr-CA"/>
        </w:rPr>
        <w:t>Appellants</w:t>
      </w:r>
      <w:proofErr w:type="spellEnd"/>
    </w:p>
    <w:p w:rsidR="00CB1780" w:rsidRPr="00214DDB" w:rsidRDefault="0084390A" w:rsidP="00000F01">
      <w:pPr>
        <w:pStyle w:val="SCCLsocVersus"/>
        <w:widowControl w:val="0"/>
        <w:rPr>
          <w:rFonts w:cs="Times New Roman"/>
          <w:i/>
          <w:lang w:val="fr-CA"/>
        </w:rPr>
      </w:pPr>
      <w:r w:rsidRPr="00214DDB">
        <w:rPr>
          <w:rFonts w:cs="Times New Roman"/>
          <w:i/>
          <w:lang w:val="fr-CA"/>
        </w:rPr>
        <w:t>v.</w:t>
      </w:r>
    </w:p>
    <w:p w:rsidR="00CB1780" w:rsidRPr="00214DDB" w:rsidRDefault="00E3057A" w:rsidP="00000F01">
      <w:pPr>
        <w:pStyle w:val="SCCLsocLastPartyInRole"/>
        <w:widowControl w:val="0"/>
        <w:rPr>
          <w:rFonts w:cs="Times New Roman"/>
          <w:b w:val="0"/>
          <w:lang w:val="fr-CA"/>
        </w:rPr>
      </w:pPr>
      <w:r w:rsidRPr="00214DDB">
        <w:rPr>
          <w:rFonts w:cs="Times New Roman"/>
          <w:lang w:val="fr-CA"/>
        </w:rPr>
        <w:t xml:space="preserve">La </w:t>
      </w:r>
      <w:r w:rsidR="00624F56" w:rsidRPr="00214DDB">
        <w:rPr>
          <w:rFonts w:cs="Times New Roman"/>
          <w:lang w:val="fr-CA"/>
        </w:rPr>
        <w:t>Financière a</w:t>
      </w:r>
      <w:r w:rsidR="0084390A" w:rsidRPr="00214DDB">
        <w:rPr>
          <w:rFonts w:cs="Times New Roman"/>
          <w:lang w:val="fr-CA"/>
        </w:rPr>
        <w:t>gricole du Québec</w:t>
      </w:r>
      <w:r w:rsidR="0084390A" w:rsidRPr="00214DDB">
        <w:rPr>
          <w:rStyle w:val="SCCLsocPartyRole"/>
          <w:rFonts w:cs="Times New Roman"/>
          <w:b w:val="0"/>
          <w:lang w:val="fr-CA"/>
        </w:rPr>
        <w:tab/>
      </w:r>
      <w:proofErr w:type="spellStart"/>
      <w:r w:rsidR="0084390A" w:rsidRPr="00214DDB">
        <w:rPr>
          <w:rStyle w:val="SCCLsocPartyRole"/>
          <w:rFonts w:cs="Times New Roman"/>
          <w:b w:val="0"/>
          <w:lang w:val="fr-CA"/>
        </w:rPr>
        <w:t>Respondent</w:t>
      </w:r>
      <w:proofErr w:type="spellEnd"/>
    </w:p>
    <w:p w:rsidR="00426659" w:rsidRPr="00214DDB" w:rsidRDefault="00426659" w:rsidP="00000F01">
      <w:pPr>
        <w:widowControl w:val="0"/>
        <w:spacing w:after="720"/>
        <w:jc w:val="both"/>
        <w:rPr>
          <w:rFonts w:cs="Times New Roman"/>
          <w:b/>
          <w:lang w:val="fr-CA"/>
        </w:rPr>
      </w:pPr>
      <w:proofErr w:type="spellStart"/>
      <w:r w:rsidRPr="00214DDB">
        <w:rPr>
          <w:rFonts w:cs="Times New Roman"/>
          <w:b/>
          <w:lang w:val="fr-CA"/>
        </w:rPr>
        <w:t>Indexed</w:t>
      </w:r>
      <w:proofErr w:type="spellEnd"/>
      <w:r w:rsidRPr="00214DDB">
        <w:rPr>
          <w:rFonts w:cs="Times New Roman"/>
          <w:b/>
          <w:lang w:val="fr-CA"/>
        </w:rPr>
        <w:t xml:space="preserve"> as: </w:t>
      </w:r>
      <w:r w:rsidR="00624F56" w:rsidRPr="00214DDB">
        <w:rPr>
          <w:rFonts w:cs="Times New Roman"/>
          <w:b/>
          <w:lang w:val="fr-CA"/>
        </w:rPr>
        <w:t>Ferme Vi</w:t>
      </w:r>
      <w:r w:rsidR="00DB76A6" w:rsidRPr="00214DDB">
        <w:rPr>
          <w:rFonts w:cs="Times New Roman"/>
          <w:b/>
          <w:lang w:val="fr-CA"/>
        </w:rPr>
        <w:noBreakHyphen/>
      </w:r>
      <w:r w:rsidR="00624F56" w:rsidRPr="00214DDB">
        <w:rPr>
          <w:rFonts w:cs="Times New Roman"/>
          <w:b/>
          <w:lang w:val="fr-CA"/>
        </w:rPr>
        <w:t>Ber i</w:t>
      </w:r>
      <w:r w:rsidR="0021321E" w:rsidRPr="00214DDB">
        <w:rPr>
          <w:rFonts w:cs="Times New Roman"/>
          <w:b/>
          <w:lang w:val="fr-CA"/>
        </w:rPr>
        <w:t>nc.</w:t>
      </w:r>
      <w:r w:rsidRPr="00214DDB">
        <w:rPr>
          <w:rFonts w:cs="Times New Roman"/>
          <w:b/>
          <w:lang w:val="fr-CA"/>
        </w:rPr>
        <w:t xml:space="preserve"> </w:t>
      </w:r>
      <w:r w:rsidRPr="00214DDB">
        <w:rPr>
          <w:rFonts w:cs="Times New Roman"/>
          <w:b/>
          <w:i/>
          <w:lang w:val="fr-CA"/>
        </w:rPr>
        <w:t>v.</w:t>
      </w:r>
      <w:r w:rsidRPr="00214DDB">
        <w:rPr>
          <w:rFonts w:cs="Times New Roman"/>
          <w:b/>
          <w:lang w:val="fr-CA"/>
        </w:rPr>
        <w:t xml:space="preserve"> </w:t>
      </w:r>
      <w:r w:rsidR="00624F56" w:rsidRPr="00214DDB">
        <w:rPr>
          <w:rFonts w:cs="Times New Roman"/>
          <w:b/>
          <w:lang w:val="fr-CA"/>
        </w:rPr>
        <w:t>Financière a</w:t>
      </w:r>
      <w:r w:rsidRPr="00214DDB">
        <w:rPr>
          <w:rFonts w:cs="Times New Roman"/>
          <w:b/>
          <w:lang w:val="fr-CA"/>
        </w:rPr>
        <w:t>gricole du Q</w:t>
      </w:r>
      <w:r w:rsidR="0021321E" w:rsidRPr="00214DDB">
        <w:rPr>
          <w:rFonts w:cs="Times New Roman"/>
          <w:b/>
          <w:lang w:val="fr-CA"/>
        </w:rPr>
        <w:t>uébec</w:t>
      </w:r>
    </w:p>
    <w:p w:rsidR="00426659" w:rsidRPr="0003589F" w:rsidRDefault="00AE4535" w:rsidP="00000F01">
      <w:pPr>
        <w:pStyle w:val="SCCSystemYear"/>
        <w:widowControl w:val="0"/>
        <w:spacing w:after="720"/>
        <w:jc w:val="both"/>
        <w:rPr>
          <w:rFonts w:cs="Times New Roman"/>
          <w:lang w:val="fr-CA"/>
        </w:rPr>
      </w:pPr>
      <w:r w:rsidRPr="0003589F">
        <w:rPr>
          <w:rFonts w:cs="Times New Roman"/>
          <w:lang w:val="fr-CA"/>
        </w:rPr>
        <w:t>201</w:t>
      </w:r>
      <w:r w:rsidR="0021321E" w:rsidRPr="0003589F">
        <w:rPr>
          <w:rFonts w:cs="Times New Roman"/>
          <w:lang w:val="fr-CA"/>
        </w:rPr>
        <w:t>6</w:t>
      </w:r>
      <w:r w:rsidR="003D0399" w:rsidRPr="0003589F">
        <w:rPr>
          <w:rFonts w:cs="Times New Roman"/>
          <w:lang w:val="fr-CA"/>
        </w:rPr>
        <w:t xml:space="preserve"> </w:t>
      </w:r>
      <w:r w:rsidR="00F95A7A" w:rsidRPr="0003589F">
        <w:rPr>
          <w:rFonts w:cs="Times New Roman"/>
          <w:lang w:val="fr-CA"/>
        </w:rPr>
        <w:t>SCC 34</w:t>
      </w:r>
    </w:p>
    <w:p w:rsidR="008322BD" w:rsidRPr="0003589F" w:rsidRDefault="0021321E" w:rsidP="00000F01">
      <w:pPr>
        <w:widowControl w:val="0"/>
        <w:spacing w:after="720"/>
        <w:jc w:val="both"/>
        <w:rPr>
          <w:rFonts w:cs="Times New Roman"/>
          <w:lang w:val="fr-CA"/>
        </w:rPr>
      </w:pPr>
      <w:r w:rsidRPr="0003589F">
        <w:rPr>
          <w:rFonts w:cs="Times New Roman"/>
          <w:lang w:val="fr-CA"/>
        </w:rPr>
        <w:t xml:space="preserve">File No.: </w:t>
      </w:r>
      <w:r w:rsidR="009B57B3" w:rsidRPr="0003589F">
        <w:rPr>
          <w:rFonts w:cs="Times New Roman"/>
          <w:lang w:val="fr-CA"/>
        </w:rPr>
        <w:t>36205.</w:t>
      </w:r>
    </w:p>
    <w:p w:rsidR="008322BD" w:rsidRPr="0003589F" w:rsidRDefault="00EA58A5" w:rsidP="00000F01">
      <w:pPr>
        <w:widowControl w:val="0"/>
        <w:spacing w:after="720"/>
        <w:jc w:val="both"/>
        <w:rPr>
          <w:rFonts w:cs="Times New Roman"/>
          <w:lang w:val="fr-CA"/>
        </w:rPr>
      </w:pPr>
      <w:r w:rsidRPr="0003589F">
        <w:rPr>
          <w:rFonts w:cs="Times New Roman"/>
          <w:lang w:val="fr-CA"/>
        </w:rPr>
        <w:t>2015: </w:t>
      </w:r>
      <w:proofErr w:type="spellStart"/>
      <w:r w:rsidRPr="0003589F">
        <w:rPr>
          <w:rFonts w:cs="Times New Roman"/>
          <w:lang w:val="fr-CA"/>
        </w:rPr>
        <w:t>December</w:t>
      </w:r>
      <w:proofErr w:type="spellEnd"/>
      <w:r w:rsidRPr="0003589F">
        <w:rPr>
          <w:rFonts w:cs="Times New Roman"/>
          <w:lang w:val="fr-CA"/>
        </w:rPr>
        <w:t> </w:t>
      </w:r>
      <w:r w:rsidR="00AE4535" w:rsidRPr="0003589F">
        <w:rPr>
          <w:rFonts w:cs="Times New Roman"/>
          <w:lang w:val="fr-CA"/>
        </w:rPr>
        <w:t>10</w:t>
      </w:r>
      <w:r w:rsidR="009B57B3" w:rsidRPr="0003589F">
        <w:rPr>
          <w:rFonts w:cs="Times New Roman"/>
          <w:lang w:val="fr-CA"/>
        </w:rPr>
        <w:t xml:space="preserve">; </w:t>
      </w:r>
      <w:r w:rsidR="00A53C71" w:rsidRPr="0003589F">
        <w:rPr>
          <w:rFonts w:cs="Times New Roman"/>
          <w:lang w:val="fr-CA"/>
        </w:rPr>
        <w:t>2016</w:t>
      </w:r>
      <w:r w:rsidRPr="0003589F">
        <w:rPr>
          <w:rFonts w:cs="Times New Roman"/>
          <w:lang w:val="fr-CA"/>
        </w:rPr>
        <w:t>: July </w:t>
      </w:r>
      <w:r w:rsidR="00F95A7A" w:rsidRPr="0003589F">
        <w:rPr>
          <w:rFonts w:cs="Times New Roman"/>
          <w:lang w:val="fr-CA"/>
        </w:rPr>
        <w:t>29.</w:t>
      </w:r>
    </w:p>
    <w:p w:rsidR="008322BD" w:rsidRPr="00527DA8" w:rsidRDefault="0021321E" w:rsidP="00000F01">
      <w:pPr>
        <w:widowControl w:val="0"/>
        <w:spacing w:after="720"/>
        <w:jc w:val="both"/>
        <w:rPr>
          <w:rFonts w:cs="Times New Roman"/>
        </w:rPr>
      </w:pPr>
      <w:r w:rsidRPr="00E70C4A">
        <w:rPr>
          <w:rFonts w:cs="Times New Roman"/>
        </w:rPr>
        <w:t xml:space="preserve">Present: </w:t>
      </w:r>
      <w:proofErr w:type="spellStart"/>
      <w:r w:rsidR="009B57B3" w:rsidRPr="00E70C4A">
        <w:rPr>
          <w:rFonts w:cs="Times New Roman"/>
        </w:rPr>
        <w:t>McLachlin</w:t>
      </w:r>
      <w:proofErr w:type="spellEnd"/>
      <w:r w:rsidR="009B57B3" w:rsidRPr="00E70C4A">
        <w:rPr>
          <w:rFonts w:cs="Times New Roman"/>
        </w:rPr>
        <w:t xml:space="preserve"> C.J. and </w:t>
      </w:r>
      <w:proofErr w:type="spellStart"/>
      <w:r w:rsidR="009B57B3" w:rsidRPr="00E70C4A">
        <w:rPr>
          <w:rFonts w:cs="Times New Roman"/>
        </w:rPr>
        <w:t>Abella</w:t>
      </w:r>
      <w:proofErr w:type="spellEnd"/>
      <w:r w:rsidR="009B57B3" w:rsidRPr="00E70C4A">
        <w:rPr>
          <w:rFonts w:cs="Times New Roman"/>
        </w:rPr>
        <w:t xml:space="preserve">, Cromwell, </w:t>
      </w:r>
      <w:proofErr w:type="spellStart"/>
      <w:r w:rsidR="009B57B3" w:rsidRPr="00E70C4A">
        <w:rPr>
          <w:rFonts w:cs="Times New Roman"/>
        </w:rPr>
        <w:t>Karakatsanis</w:t>
      </w:r>
      <w:proofErr w:type="spellEnd"/>
      <w:r w:rsidR="009B57B3" w:rsidRPr="00E70C4A">
        <w:rPr>
          <w:rFonts w:cs="Times New Roman"/>
        </w:rPr>
        <w:t xml:space="preserve">, Wagner, </w:t>
      </w:r>
      <w:proofErr w:type="spellStart"/>
      <w:r w:rsidR="009B57B3" w:rsidRPr="00E70C4A">
        <w:rPr>
          <w:rFonts w:cs="Times New Roman"/>
        </w:rPr>
        <w:t>Gascon</w:t>
      </w:r>
      <w:proofErr w:type="spellEnd"/>
      <w:r w:rsidR="009B57B3" w:rsidRPr="00E70C4A">
        <w:rPr>
          <w:rFonts w:cs="Times New Roman"/>
        </w:rPr>
        <w:t xml:space="preserve"> and </w:t>
      </w:r>
      <w:proofErr w:type="spellStart"/>
      <w:r w:rsidR="009B57B3" w:rsidRPr="00E70C4A">
        <w:rPr>
          <w:rFonts w:cs="Times New Roman"/>
        </w:rPr>
        <w:t>Cô</w:t>
      </w:r>
      <w:r w:rsidR="009B57B3" w:rsidRPr="00527DA8">
        <w:rPr>
          <w:rFonts w:cs="Times New Roman"/>
        </w:rPr>
        <w:t>té</w:t>
      </w:r>
      <w:proofErr w:type="spellEnd"/>
      <w:r w:rsidR="009B57B3" w:rsidRPr="00527DA8">
        <w:rPr>
          <w:rFonts w:cs="Times New Roman"/>
        </w:rPr>
        <w:t> JJ.</w:t>
      </w:r>
    </w:p>
    <w:p w:rsidR="008322BD" w:rsidRPr="00527DA8" w:rsidRDefault="00656313" w:rsidP="00000F01">
      <w:pPr>
        <w:pStyle w:val="SCCLowerCourtNameLowercase"/>
        <w:widowControl w:val="0"/>
        <w:spacing w:after="720" w:line="240" w:lineRule="auto"/>
        <w:rPr>
          <w:rFonts w:cs="Times New Roman"/>
        </w:rPr>
      </w:pPr>
      <w:r w:rsidRPr="00527DA8">
        <w:rPr>
          <w:rFonts w:cs="Times New Roman"/>
        </w:rPr>
        <w:t>o</w:t>
      </w:r>
      <w:r w:rsidR="00170592" w:rsidRPr="00527DA8">
        <w:rPr>
          <w:rFonts w:cs="Times New Roman"/>
        </w:rPr>
        <w:t>n</w:t>
      </w:r>
      <w:r w:rsidR="00224FC0" w:rsidRPr="00527DA8">
        <w:rPr>
          <w:rFonts w:cs="Times New Roman"/>
        </w:rPr>
        <w:t xml:space="preserve"> </w:t>
      </w:r>
      <w:r w:rsidRPr="00527DA8">
        <w:rPr>
          <w:rFonts w:cs="Times New Roman"/>
        </w:rPr>
        <w:t>a</w:t>
      </w:r>
      <w:r w:rsidR="00170592" w:rsidRPr="00527DA8">
        <w:rPr>
          <w:rFonts w:cs="Times New Roman"/>
        </w:rPr>
        <w:t>ppeal</w:t>
      </w:r>
      <w:r w:rsidR="00224FC0" w:rsidRPr="00527DA8">
        <w:rPr>
          <w:rFonts w:cs="Times New Roman"/>
        </w:rPr>
        <w:t xml:space="preserve"> </w:t>
      </w:r>
      <w:r w:rsidR="00170592" w:rsidRPr="00527DA8">
        <w:rPr>
          <w:rFonts w:cs="Times New Roman"/>
        </w:rPr>
        <w:t>from</w:t>
      </w:r>
      <w:r w:rsidR="009567AA" w:rsidRPr="00527DA8">
        <w:rPr>
          <w:rFonts w:cs="Times New Roman"/>
        </w:rPr>
        <w:t xml:space="preserve"> the</w:t>
      </w:r>
      <w:r w:rsidR="00224FC0" w:rsidRPr="00527DA8">
        <w:rPr>
          <w:rFonts w:cs="Times New Roman"/>
        </w:rPr>
        <w:t xml:space="preserve"> </w:t>
      </w:r>
      <w:r w:rsidR="009B57B3" w:rsidRPr="00527DA8">
        <w:rPr>
          <w:rFonts w:cs="Times New Roman"/>
        </w:rPr>
        <w:t>court of appeal f</w:t>
      </w:r>
      <w:r w:rsidR="0021321E" w:rsidRPr="00527DA8">
        <w:rPr>
          <w:rFonts w:cs="Times New Roman"/>
        </w:rPr>
        <w:t>or</w:t>
      </w:r>
      <w:r w:rsidR="009B57B3" w:rsidRPr="00527DA8">
        <w:rPr>
          <w:rFonts w:cs="Times New Roman"/>
        </w:rPr>
        <w:t xml:space="preserve"> </w:t>
      </w:r>
      <w:proofErr w:type="spellStart"/>
      <w:r w:rsidR="009B57B3" w:rsidRPr="00527DA8">
        <w:rPr>
          <w:rFonts w:cs="Times New Roman"/>
        </w:rPr>
        <w:t>quebec</w:t>
      </w:r>
      <w:proofErr w:type="spellEnd"/>
    </w:p>
    <w:p w:rsidR="001158AB" w:rsidRPr="00214DDB" w:rsidRDefault="001158AB" w:rsidP="00000F01">
      <w:pPr>
        <w:pStyle w:val="SCCNormalDoubleSpacing"/>
        <w:widowControl w:val="0"/>
        <w:spacing w:after="720"/>
        <w:rPr>
          <w:rFonts w:cs="Times New Roman"/>
          <w:i/>
        </w:rPr>
      </w:pPr>
      <w:r w:rsidRPr="00527DA8">
        <w:rPr>
          <w:rFonts w:cs="Times New Roman"/>
        </w:rPr>
        <w:lastRenderedPageBreak/>
        <w:tab/>
      </w:r>
      <w:r w:rsidRPr="00EA4C04">
        <w:rPr>
          <w:rFonts w:cs="Times New Roman"/>
          <w:i/>
        </w:rPr>
        <w:t>Agricult</w:t>
      </w:r>
      <w:r w:rsidRPr="00F250E6">
        <w:rPr>
          <w:rFonts w:cs="Times New Roman"/>
          <w:i/>
        </w:rPr>
        <w:t xml:space="preserve">ure — Farm income stabilization — Compensation — Calculation method — Legal framework </w:t>
      </w:r>
      <w:r w:rsidRPr="00214DDB">
        <w:rPr>
          <w:rFonts w:cs="Times New Roman"/>
          <w:i/>
        </w:rPr>
        <w:t xml:space="preserve">applicable to Quebec’s </w:t>
      </w:r>
      <w:proofErr w:type="spellStart"/>
      <w:r w:rsidRPr="00214DDB">
        <w:rPr>
          <w:rFonts w:cs="Times New Roman"/>
          <w:i/>
        </w:rPr>
        <w:t>Programme</w:t>
      </w:r>
      <w:proofErr w:type="spellEnd"/>
      <w:r w:rsidRPr="00214DDB">
        <w:rPr>
          <w:rFonts w:cs="Times New Roman"/>
          <w:i/>
        </w:rPr>
        <w:t xml:space="preserve"> </w:t>
      </w:r>
      <w:proofErr w:type="spellStart"/>
      <w:r w:rsidRPr="00214DDB">
        <w:rPr>
          <w:rFonts w:cs="Times New Roman"/>
          <w:i/>
        </w:rPr>
        <w:t>d’assurance</w:t>
      </w:r>
      <w:proofErr w:type="spellEnd"/>
      <w:r w:rsidRPr="00214DDB">
        <w:rPr>
          <w:rFonts w:cs="Times New Roman"/>
          <w:i/>
        </w:rPr>
        <w:t xml:space="preserve"> </w:t>
      </w:r>
      <w:proofErr w:type="spellStart"/>
      <w:r w:rsidRPr="00214DDB">
        <w:rPr>
          <w:rFonts w:cs="Times New Roman"/>
          <w:i/>
        </w:rPr>
        <w:t>stabilisation</w:t>
      </w:r>
      <w:proofErr w:type="spellEnd"/>
      <w:r w:rsidRPr="00214DDB">
        <w:rPr>
          <w:rFonts w:cs="Times New Roman"/>
          <w:i/>
        </w:rPr>
        <w:t xml:space="preserve"> des </w:t>
      </w:r>
      <w:proofErr w:type="spellStart"/>
      <w:r w:rsidRPr="00214DDB">
        <w:rPr>
          <w:rFonts w:cs="Times New Roman"/>
          <w:i/>
        </w:rPr>
        <w:t>revenus</w:t>
      </w:r>
      <w:proofErr w:type="spellEnd"/>
      <w:r w:rsidRPr="00214DDB">
        <w:rPr>
          <w:rFonts w:cs="Times New Roman"/>
          <w:i/>
        </w:rPr>
        <w:t xml:space="preserve"> </w:t>
      </w:r>
      <w:proofErr w:type="spellStart"/>
      <w:r w:rsidRPr="00214DDB">
        <w:rPr>
          <w:rFonts w:cs="Times New Roman"/>
          <w:i/>
        </w:rPr>
        <w:t>agricoles</w:t>
      </w:r>
      <w:proofErr w:type="spellEnd"/>
      <w:r w:rsidRPr="00214DDB">
        <w:rPr>
          <w:rFonts w:cs="Times New Roman"/>
          <w:i/>
        </w:rPr>
        <w:t xml:space="preserve"> — Participants in program contesting method for calculating compensation payments that was adopted by La </w:t>
      </w:r>
      <w:proofErr w:type="spellStart"/>
      <w:r w:rsidRPr="00214DDB">
        <w:rPr>
          <w:rFonts w:cs="Times New Roman"/>
          <w:i/>
        </w:rPr>
        <w:t>Financière</w:t>
      </w:r>
      <w:proofErr w:type="spellEnd"/>
      <w:r w:rsidRPr="00214DDB">
        <w:rPr>
          <w:rFonts w:cs="Times New Roman"/>
          <w:i/>
        </w:rPr>
        <w:t xml:space="preserve"> </w:t>
      </w:r>
      <w:proofErr w:type="spellStart"/>
      <w:r w:rsidRPr="00214DDB">
        <w:rPr>
          <w:rFonts w:cs="Times New Roman"/>
          <w:i/>
        </w:rPr>
        <w:t>agricole</w:t>
      </w:r>
      <w:proofErr w:type="spellEnd"/>
      <w:r w:rsidRPr="00214DDB">
        <w:rPr>
          <w:rFonts w:cs="Times New Roman"/>
          <w:i/>
        </w:rPr>
        <w:t xml:space="preserve"> du Québec to take federal government grants to farmers into account — Whether program is contract and, if so, whether it is subject to rules applicable to contract of insurance within meaning of Civil Code of Québec — Whether La </w:t>
      </w:r>
      <w:proofErr w:type="spellStart"/>
      <w:r w:rsidRPr="00214DDB">
        <w:rPr>
          <w:rFonts w:cs="Times New Roman"/>
          <w:i/>
        </w:rPr>
        <w:t>Financière</w:t>
      </w:r>
      <w:proofErr w:type="spellEnd"/>
      <w:r w:rsidRPr="00214DDB">
        <w:rPr>
          <w:rFonts w:cs="Times New Roman"/>
          <w:i/>
        </w:rPr>
        <w:t xml:space="preserve">, in determining compensation payable to </w:t>
      </w:r>
      <w:r w:rsidR="00CC4AF3" w:rsidRPr="00214DDB">
        <w:rPr>
          <w:rFonts w:cs="Times New Roman"/>
          <w:i/>
        </w:rPr>
        <w:t>participants</w:t>
      </w:r>
      <w:r w:rsidRPr="00214DDB">
        <w:rPr>
          <w:rFonts w:cs="Times New Roman"/>
          <w:i/>
        </w:rPr>
        <w:t xml:space="preserve"> under program, acted in conformity with its rights and obligations by linking amounts at issue collectively — </w:t>
      </w:r>
      <w:proofErr w:type="spellStart"/>
      <w:r w:rsidRPr="00214DDB">
        <w:rPr>
          <w:rFonts w:cs="Times New Roman"/>
          <w:i/>
        </w:rPr>
        <w:t>Programme</w:t>
      </w:r>
      <w:proofErr w:type="spellEnd"/>
      <w:r w:rsidRPr="00214DDB">
        <w:rPr>
          <w:rFonts w:cs="Times New Roman"/>
          <w:i/>
        </w:rPr>
        <w:t xml:space="preserve"> </w:t>
      </w:r>
      <w:proofErr w:type="spellStart"/>
      <w:r w:rsidRPr="00214DDB">
        <w:rPr>
          <w:rFonts w:cs="Times New Roman"/>
          <w:i/>
        </w:rPr>
        <w:t>d’assurance</w:t>
      </w:r>
      <w:proofErr w:type="spellEnd"/>
      <w:r w:rsidRPr="00214DDB">
        <w:rPr>
          <w:rFonts w:cs="Times New Roman"/>
          <w:i/>
        </w:rPr>
        <w:t xml:space="preserve"> </w:t>
      </w:r>
      <w:proofErr w:type="spellStart"/>
      <w:r w:rsidRPr="00214DDB">
        <w:rPr>
          <w:rFonts w:cs="Times New Roman"/>
          <w:i/>
        </w:rPr>
        <w:t>stabilisation</w:t>
      </w:r>
      <w:proofErr w:type="spellEnd"/>
      <w:r w:rsidRPr="00214DDB">
        <w:rPr>
          <w:rFonts w:cs="Times New Roman"/>
          <w:i/>
        </w:rPr>
        <w:t xml:space="preserve"> des </w:t>
      </w:r>
      <w:proofErr w:type="spellStart"/>
      <w:r w:rsidRPr="00214DDB">
        <w:rPr>
          <w:rFonts w:cs="Times New Roman"/>
          <w:i/>
        </w:rPr>
        <w:t>revenus</w:t>
      </w:r>
      <w:proofErr w:type="spellEnd"/>
      <w:r w:rsidRPr="00214DDB">
        <w:rPr>
          <w:rFonts w:cs="Times New Roman"/>
          <w:i/>
        </w:rPr>
        <w:t xml:space="preserve"> </w:t>
      </w:r>
      <w:proofErr w:type="spellStart"/>
      <w:r w:rsidRPr="00214DDB">
        <w:rPr>
          <w:rFonts w:cs="Times New Roman"/>
          <w:i/>
        </w:rPr>
        <w:t>agrico</w:t>
      </w:r>
      <w:r w:rsidR="00DB76A6" w:rsidRPr="00214DDB">
        <w:rPr>
          <w:rFonts w:cs="Times New Roman"/>
          <w:i/>
        </w:rPr>
        <w:t>les</w:t>
      </w:r>
      <w:proofErr w:type="spellEnd"/>
      <w:r w:rsidR="00DB76A6" w:rsidRPr="00214DDB">
        <w:rPr>
          <w:rFonts w:cs="Times New Roman"/>
          <w:i/>
        </w:rPr>
        <w:t>, 2001, 133 G.O. 1, 1336, s. </w:t>
      </w:r>
      <w:r w:rsidRPr="00214DDB">
        <w:rPr>
          <w:rFonts w:cs="Times New Roman"/>
          <w:i/>
        </w:rPr>
        <w:t>88(3).</w:t>
      </w:r>
    </w:p>
    <w:p w:rsidR="001158AB" w:rsidRPr="00214DDB" w:rsidRDefault="001158AB" w:rsidP="00000F01">
      <w:pPr>
        <w:pStyle w:val="SCCNormalDoubleSpacing"/>
        <w:widowControl w:val="0"/>
        <w:spacing w:after="480"/>
        <w:rPr>
          <w:rFonts w:cs="Times New Roman"/>
        </w:rPr>
      </w:pPr>
      <w:r w:rsidRPr="00214DDB">
        <w:rPr>
          <w:rFonts w:cs="Times New Roman"/>
        </w:rPr>
        <w:tab/>
      </w:r>
      <w:r w:rsidRPr="00214DDB">
        <w:rPr>
          <w:rFonts w:cs="Times New Roman"/>
          <w:lang w:val="fr-CA"/>
        </w:rPr>
        <w:t xml:space="preserve">La Financière agricole du Québec (“La Financière”) </w:t>
      </w:r>
      <w:proofErr w:type="spellStart"/>
      <w:r w:rsidRPr="00214DDB">
        <w:rPr>
          <w:rFonts w:cs="Times New Roman"/>
          <w:lang w:val="fr-CA"/>
        </w:rPr>
        <w:t>is</w:t>
      </w:r>
      <w:proofErr w:type="spellEnd"/>
      <w:r w:rsidRPr="00214DDB">
        <w:rPr>
          <w:rFonts w:cs="Times New Roman"/>
          <w:lang w:val="fr-CA"/>
        </w:rPr>
        <w:t xml:space="preserve"> a </w:t>
      </w:r>
      <w:proofErr w:type="spellStart"/>
      <w:r w:rsidRPr="00214DDB">
        <w:rPr>
          <w:rFonts w:cs="Times New Roman"/>
          <w:lang w:val="fr-CA"/>
        </w:rPr>
        <w:t>legal</w:t>
      </w:r>
      <w:proofErr w:type="spellEnd"/>
      <w:r w:rsidRPr="00214DDB">
        <w:rPr>
          <w:rFonts w:cs="Times New Roman"/>
          <w:lang w:val="fr-CA"/>
        </w:rPr>
        <w:t xml:space="preserve"> </w:t>
      </w:r>
      <w:proofErr w:type="spellStart"/>
      <w:r w:rsidRPr="00214DDB">
        <w:rPr>
          <w:rFonts w:cs="Times New Roman"/>
          <w:lang w:val="fr-CA"/>
        </w:rPr>
        <w:t>person</w:t>
      </w:r>
      <w:proofErr w:type="spellEnd"/>
      <w:r w:rsidRPr="00214DDB">
        <w:rPr>
          <w:rFonts w:cs="Times New Roman"/>
          <w:lang w:val="fr-CA"/>
        </w:rPr>
        <w:t xml:space="preserve"> </w:t>
      </w:r>
      <w:proofErr w:type="spellStart"/>
      <w:r w:rsidRPr="00214DDB">
        <w:rPr>
          <w:rFonts w:cs="Times New Roman"/>
          <w:lang w:val="fr-CA"/>
        </w:rPr>
        <w:t>established</w:t>
      </w:r>
      <w:proofErr w:type="spellEnd"/>
      <w:r w:rsidRPr="00214DDB">
        <w:rPr>
          <w:rFonts w:cs="Times New Roman"/>
          <w:lang w:val="fr-CA"/>
        </w:rPr>
        <w:t xml:space="preserve"> in the public </w:t>
      </w:r>
      <w:proofErr w:type="spellStart"/>
      <w:r w:rsidRPr="00214DDB">
        <w:rPr>
          <w:rFonts w:cs="Times New Roman"/>
          <w:lang w:val="fr-CA"/>
        </w:rPr>
        <w:t>interest</w:t>
      </w:r>
      <w:proofErr w:type="spellEnd"/>
      <w:r w:rsidRPr="00214DDB">
        <w:rPr>
          <w:rFonts w:cs="Times New Roman"/>
          <w:lang w:val="fr-CA"/>
        </w:rPr>
        <w:t xml:space="preserve"> </w:t>
      </w:r>
      <w:proofErr w:type="spellStart"/>
      <w:r w:rsidRPr="00214DDB">
        <w:rPr>
          <w:rFonts w:cs="Times New Roman"/>
          <w:lang w:val="fr-CA"/>
        </w:rPr>
        <w:t>under</w:t>
      </w:r>
      <w:proofErr w:type="spellEnd"/>
      <w:r w:rsidRPr="00214DDB">
        <w:rPr>
          <w:rFonts w:cs="Times New Roman"/>
          <w:lang w:val="fr-CA"/>
        </w:rPr>
        <w:t xml:space="preserve"> the </w:t>
      </w:r>
      <w:proofErr w:type="spellStart"/>
      <w:r w:rsidRPr="00214DDB">
        <w:rPr>
          <w:rFonts w:cs="Times New Roman"/>
          <w:i/>
          <w:lang w:val="fr-CA"/>
        </w:rPr>
        <w:t>Act</w:t>
      </w:r>
      <w:proofErr w:type="spellEnd"/>
      <w:r w:rsidRPr="00214DDB">
        <w:rPr>
          <w:rFonts w:cs="Times New Roman"/>
          <w:i/>
          <w:lang w:val="fr-CA"/>
        </w:rPr>
        <w:t xml:space="preserve"> </w:t>
      </w:r>
      <w:proofErr w:type="spellStart"/>
      <w:r w:rsidRPr="00214DDB">
        <w:rPr>
          <w:rFonts w:cs="Times New Roman"/>
          <w:i/>
          <w:lang w:val="fr-CA"/>
        </w:rPr>
        <w:t>respecting</w:t>
      </w:r>
      <w:proofErr w:type="spellEnd"/>
      <w:r w:rsidRPr="00214DDB">
        <w:rPr>
          <w:rFonts w:cs="Times New Roman"/>
          <w:i/>
          <w:lang w:val="fr-CA"/>
        </w:rPr>
        <w:t xml:space="preserve"> La Financière agricole du Québec</w:t>
      </w:r>
      <w:r w:rsidRPr="00214DDB">
        <w:rPr>
          <w:rFonts w:cs="Times New Roman"/>
          <w:lang w:val="fr-CA"/>
        </w:rPr>
        <w:t xml:space="preserve">. </w:t>
      </w:r>
      <w:r w:rsidRPr="00214DDB">
        <w:rPr>
          <w:rFonts w:cs="Times New Roman"/>
        </w:rPr>
        <w:t>Its mission is to support and encourage the development of the agricultural and agro</w:t>
      </w:r>
      <w:r w:rsidR="00DB76A6" w:rsidRPr="00214DDB">
        <w:rPr>
          <w:rFonts w:cs="Times New Roman"/>
        </w:rPr>
        <w:noBreakHyphen/>
      </w:r>
      <w:r w:rsidRPr="00214DDB">
        <w:rPr>
          <w:rFonts w:cs="Times New Roman"/>
        </w:rPr>
        <w:t xml:space="preserve">food sector within the perspective of sustainable development. For that purpose, it has set up income protection, insurance and farm financing programs. The appellants are Quebec farm producers that participated voluntarily in the </w:t>
      </w:r>
      <w:proofErr w:type="spellStart"/>
      <w:r w:rsidRPr="00214DDB">
        <w:rPr>
          <w:rFonts w:cs="Times New Roman"/>
          <w:i/>
        </w:rPr>
        <w:t>Programme</w:t>
      </w:r>
      <w:proofErr w:type="spellEnd"/>
      <w:r w:rsidRPr="00214DDB">
        <w:rPr>
          <w:rFonts w:cs="Times New Roman"/>
          <w:i/>
        </w:rPr>
        <w:t xml:space="preserve"> </w:t>
      </w:r>
      <w:proofErr w:type="spellStart"/>
      <w:r w:rsidRPr="00214DDB">
        <w:rPr>
          <w:rFonts w:cs="Times New Roman"/>
          <w:i/>
        </w:rPr>
        <w:t>d’assurance</w:t>
      </w:r>
      <w:proofErr w:type="spellEnd"/>
      <w:r w:rsidRPr="00214DDB">
        <w:rPr>
          <w:rFonts w:cs="Times New Roman"/>
          <w:i/>
        </w:rPr>
        <w:t xml:space="preserve"> </w:t>
      </w:r>
      <w:proofErr w:type="spellStart"/>
      <w:r w:rsidRPr="00214DDB">
        <w:rPr>
          <w:rFonts w:cs="Times New Roman"/>
          <w:i/>
        </w:rPr>
        <w:t>stabilisation</w:t>
      </w:r>
      <w:proofErr w:type="spellEnd"/>
      <w:r w:rsidRPr="00214DDB">
        <w:rPr>
          <w:rFonts w:cs="Times New Roman"/>
          <w:i/>
        </w:rPr>
        <w:t xml:space="preserve"> des </w:t>
      </w:r>
      <w:proofErr w:type="spellStart"/>
      <w:r w:rsidRPr="00214DDB">
        <w:rPr>
          <w:rFonts w:cs="Times New Roman"/>
          <w:i/>
        </w:rPr>
        <w:t>revenus</w:t>
      </w:r>
      <w:proofErr w:type="spellEnd"/>
      <w:r w:rsidRPr="00214DDB">
        <w:rPr>
          <w:rFonts w:cs="Times New Roman"/>
          <w:i/>
        </w:rPr>
        <w:t xml:space="preserve"> </w:t>
      </w:r>
      <w:proofErr w:type="spellStart"/>
      <w:r w:rsidRPr="00214DDB">
        <w:rPr>
          <w:rFonts w:cs="Times New Roman"/>
          <w:i/>
        </w:rPr>
        <w:t>agricoles</w:t>
      </w:r>
      <w:proofErr w:type="spellEnd"/>
      <w:r w:rsidRPr="00214DDB">
        <w:rPr>
          <w:rFonts w:cs="Times New Roman"/>
          <w:i/>
        </w:rPr>
        <w:t xml:space="preserve"> </w:t>
      </w:r>
      <w:r w:rsidRPr="00214DDB">
        <w:rPr>
          <w:rFonts w:cs="Times New Roman"/>
        </w:rPr>
        <w:t xml:space="preserve">(“ASRA Program”) administered by La </w:t>
      </w:r>
      <w:proofErr w:type="spellStart"/>
      <w:r w:rsidRPr="00214DDB">
        <w:rPr>
          <w:rFonts w:cs="Times New Roman"/>
        </w:rPr>
        <w:t>Financière</w:t>
      </w:r>
      <w:proofErr w:type="spellEnd"/>
      <w:r w:rsidRPr="00214DDB">
        <w:rPr>
          <w:rFonts w:cs="Times New Roman"/>
        </w:rPr>
        <w:t xml:space="preserve">. The ASRA Program protects participants from having their income drop below a level defined by La </w:t>
      </w:r>
      <w:proofErr w:type="spellStart"/>
      <w:r w:rsidRPr="00214DDB">
        <w:rPr>
          <w:rFonts w:cs="Times New Roman"/>
        </w:rPr>
        <w:t>Financière</w:t>
      </w:r>
      <w:proofErr w:type="spellEnd"/>
      <w:r w:rsidRPr="00214DDB">
        <w:rPr>
          <w:rFonts w:cs="Times New Roman"/>
        </w:rPr>
        <w:t xml:space="preserve"> for 10 agricultural products or classes of products designated as “insurable”. That level is reached where the “net annual income” of an average benchmark farm for an insured product is less than the </w:t>
      </w:r>
      <w:r w:rsidRPr="00214DDB">
        <w:rPr>
          <w:rFonts w:cs="Times New Roman"/>
        </w:rPr>
        <w:lastRenderedPageBreak/>
        <w:t xml:space="preserve">“stabilized net annual income”, which corresponds to a percentage of the average annual regular salary of a skilled worker in Quebec. In short, the purpose of the ASRA Program is to guarantee that an average farm producer never earns less than a predetermined percentage of the average income of a skilled worker. Each producer participating in this voluntary program must pay a fixed contribution per unit of a designated product, agree to participate for a minimum of five years and insure all of their annual production for each designated product. La </w:t>
      </w:r>
      <w:proofErr w:type="spellStart"/>
      <w:r w:rsidRPr="00214DDB">
        <w:rPr>
          <w:rFonts w:cs="Times New Roman"/>
        </w:rPr>
        <w:t>Financière</w:t>
      </w:r>
      <w:proofErr w:type="spellEnd"/>
      <w:r w:rsidRPr="00214DDB">
        <w:rPr>
          <w:rFonts w:cs="Times New Roman"/>
        </w:rPr>
        <w:t xml:space="preserve"> makes a contribution to the program’s fund — the </w:t>
      </w:r>
      <w:proofErr w:type="spellStart"/>
      <w:r w:rsidRPr="00214DDB">
        <w:rPr>
          <w:rFonts w:cs="Times New Roman"/>
        </w:rPr>
        <w:t>Fonds</w:t>
      </w:r>
      <w:proofErr w:type="spellEnd"/>
      <w:r w:rsidRPr="00214DDB">
        <w:rPr>
          <w:rFonts w:cs="Times New Roman"/>
        </w:rPr>
        <w:t xml:space="preserve"> </w:t>
      </w:r>
      <w:proofErr w:type="spellStart"/>
      <w:r w:rsidRPr="00214DDB">
        <w:rPr>
          <w:rFonts w:cs="Times New Roman"/>
        </w:rPr>
        <w:t>d’assurance</w:t>
      </w:r>
      <w:proofErr w:type="spellEnd"/>
      <w:r w:rsidRPr="00214DDB">
        <w:rPr>
          <w:rFonts w:cs="Times New Roman"/>
        </w:rPr>
        <w:t xml:space="preserve"> </w:t>
      </w:r>
      <w:proofErr w:type="spellStart"/>
      <w:r w:rsidRPr="00214DDB">
        <w:rPr>
          <w:rFonts w:cs="Times New Roman"/>
        </w:rPr>
        <w:t>stabilisation</w:t>
      </w:r>
      <w:proofErr w:type="spellEnd"/>
      <w:r w:rsidRPr="00214DDB">
        <w:rPr>
          <w:rFonts w:cs="Times New Roman"/>
        </w:rPr>
        <w:t xml:space="preserve"> des </w:t>
      </w:r>
      <w:proofErr w:type="spellStart"/>
      <w:r w:rsidRPr="00214DDB">
        <w:rPr>
          <w:rFonts w:cs="Times New Roman"/>
        </w:rPr>
        <w:t>revenus</w:t>
      </w:r>
      <w:proofErr w:type="spellEnd"/>
      <w:r w:rsidRPr="00214DDB">
        <w:rPr>
          <w:rFonts w:cs="Times New Roman"/>
        </w:rPr>
        <w:t xml:space="preserve"> </w:t>
      </w:r>
      <w:proofErr w:type="spellStart"/>
      <w:r w:rsidRPr="00214DDB">
        <w:rPr>
          <w:rFonts w:cs="Times New Roman"/>
        </w:rPr>
        <w:t>agricoles</w:t>
      </w:r>
      <w:proofErr w:type="spellEnd"/>
      <w:r w:rsidRPr="00214DDB">
        <w:rPr>
          <w:rFonts w:cs="Times New Roman"/>
        </w:rPr>
        <w:t xml:space="preserve">, of which it is the trustee — equal to twice the contributions paid by each participant. The amounts in the fund are used to finance the payment of compensation to participants. </w:t>
      </w:r>
    </w:p>
    <w:p w:rsidR="001158AB" w:rsidRPr="00214DDB" w:rsidRDefault="001158AB" w:rsidP="00000F01">
      <w:pPr>
        <w:pStyle w:val="SCCNormalDoubleSpacing"/>
        <w:widowControl w:val="0"/>
        <w:spacing w:after="480"/>
        <w:rPr>
          <w:rFonts w:cs="Times New Roman"/>
        </w:rPr>
      </w:pPr>
      <w:r w:rsidRPr="00214DDB">
        <w:rPr>
          <w:rFonts w:cs="Times New Roman"/>
        </w:rPr>
        <w:tab/>
        <w:t xml:space="preserve">The appellants contested certain decisions made by La </w:t>
      </w:r>
      <w:proofErr w:type="spellStart"/>
      <w:r w:rsidRPr="00214DDB">
        <w:rPr>
          <w:rFonts w:cs="Times New Roman"/>
        </w:rPr>
        <w:t>Financière</w:t>
      </w:r>
      <w:proofErr w:type="spellEnd"/>
      <w:r w:rsidRPr="00214DDB">
        <w:rPr>
          <w:rFonts w:cs="Times New Roman"/>
        </w:rPr>
        <w:t xml:space="preserve"> in determining their compensation payments for 2007. Those decisions were related to the calculation method chosen by La </w:t>
      </w:r>
      <w:proofErr w:type="spellStart"/>
      <w:r w:rsidRPr="00214DDB">
        <w:rPr>
          <w:rFonts w:cs="Times New Roman"/>
        </w:rPr>
        <w:t>Financière</w:t>
      </w:r>
      <w:proofErr w:type="spellEnd"/>
      <w:r w:rsidRPr="00214DDB">
        <w:rPr>
          <w:rFonts w:cs="Times New Roman"/>
        </w:rPr>
        <w:t xml:space="preserve">, in determining the compensation payable under the program, to take account of additional income received as farm financial assistance from the federal government. Both the parties and </w:t>
      </w:r>
      <w:r w:rsidR="00C11024">
        <w:rPr>
          <w:rFonts w:cs="Times New Roman"/>
        </w:rPr>
        <w:t xml:space="preserve">the courts below used the word </w:t>
      </w:r>
      <w:r w:rsidRPr="00214DDB">
        <w:rPr>
          <w:rFonts w:cs="Times New Roman"/>
        </w:rPr>
        <w:t xml:space="preserve">“linkage” to characterize the process of taking such income into account, which is provided for in s. 88(3) of the ASRA Program. Amounts so received are linked either “collectively” — on the basis of the amounts the average benchmark farm would have received — or “individually” — on the basis of the amounts each ASRA Program participant actually received from the various governments. La </w:t>
      </w:r>
      <w:proofErr w:type="spellStart"/>
      <w:r w:rsidRPr="00214DDB">
        <w:rPr>
          <w:rFonts w:cs="Times New Roman"/>
        </w:rPr>
        <w:t>Financière</w:t>
      </w:r>
      <w:proofErr w:type="spellEnd"/>
      <w:r w:rsidRPr="00214DDB">
        <w:rPr>
          <w:rFonts w:cs="Times New Roman"/>
        </w:rPr>
        <w:t xml:space="preserve"> deducts the amounts so “linked” from the compensation. The appellants argued that the ASRA </w:t>
      </w:r>
      <w:r w:rsidRPr="00214DDB">
        <w:rPr>
          <w:rFonts w:cs="Times New Roman"/>
        </w:rPr>
        <w:lastRenderedPageBreak/>
        <w:t xml:space="preserve">Program was a contract of insurance and that La </w:t>
      </w:r>
      <w:proofErr w:type="spellStart"/>
      <w:r w:rsidRPr="00214DDB">
        <w:rPr>
          <w:rFonts w:cs="Times New Roman"/>
        </w:rPr>
        <w:t>Financière</w:t>
      </w:r>
      <w:proofErr w:type="spellEnd"/>
      <w:r w:rsidRPr="00214DDB">
        <w:rPr>
          <w:rFonts w:cs="Times New Roman"/>
        </w:rPr>
        <w:t xml:space="preserve"> had, by collectively linking certain amounts received as financial assistance, improperly incorporated additional income into its calculations so as to reduce their compensation under the program in violation of the terms of the contract, which had to be interpreted on the basis of their reasonable expectations as insured persons. </w:t>
      </w:r>
    </w:p>
    <w:p w:rsidR="001158AB" w:rsidRPr="00214DDB" w:rsidRDefault="001158AB" w:rsidP="00000F01">
      <w:pPr>
        <w:pStyle w:val="SCCNormalDoubleSpacing"/>
        <w:widowControl w:val="0"/>
        <w:spacing w:after="480"/>
        <w:rPr>
          <w:rFonts w:cs="Times New Roman"/>
        </w:rPr>
      </w:pPr>
      <w:r w:rsidRPr="00214DDB">
        <w:rPr>
          <w:rFonts w:cs="Times New Roman"/>
        </w:rPr>
        <w:tab/>
        <w:t xml:space="preserve">The appellants applied to the Superior Court, which allowed their action, characterizing the ASRA Program as a contract of insurance and ordering La </w:t>
      </w:r>
      <w:proofErr w:type="spellStart"/>
      <w:r w:rsidRPr="00214DDB">
        <w:rPr>
          <w:rFonts w:cs="Times New Roman"/>
        </w:rPr>
        <w:t>Financière</w:t>
      </w:r>
      <w:proofErr w:type="spellEnd"/>
      <w:r w:rsidRPr="00214DDB">
        <w:rPr>
          <w:rFonts w:cs="Times New Roman"/>
        </w:rPr>
        <w:t xml:space="preserve"> to pay them substantial additional compensation for 2007. The Court of Appeal set aside that judgment, finding that the ASRA Program was not a contract of insurance and that the impugned decisions were reasonable.</w:t>
      </w:r>
    </w:p>
    <w:p w:rsidR="001158AB" w:rsidRPr="00214DDB" w:rsidRDefault="001158AB" w:rsidP="00000F01">
      <w:pPr>
        <w:pStyle w:val="SCCNormalDoubleSpacing"/>
        <w:widowControl w:val="0"/>
        <w:spacing w:after="480"/>
        <w:rPr>
          <w:rFonts w:cs="Times New Roman"/>
        </w:rPr>
      </w:pPr>
      <w:r w:rsidRPr="00214DDB">
        <w:rPr>
          <w:rFonts w:cs="Times New Roman"/>
        </w:rPr>
        <w:tab/>
      </w:r>
      <w:r w:rsidRPr="00214DDB">
        <w:rPr>
          <w:rFonts w:cs="Times New Roman"/>
          <w:i/>
        </w:rPr>
        <w:t>Held</w:t>
      </w:r>
      <w:r w:rsidR="00DB76A6" w:rsidRPr="00214DDB">
        <w:rPr>
          <w:rFonts w:cs="Times New Roman"/>
        </w:rPr>
        <w:t xml:space="preserve"> (Côté </w:t>
      </w:r>
      <w:r w:rsidRPr="00214DDB">
        <w:rPr>
          <w:rFonts w:cs="Times New Roman"/>
        </w:rPr>
        <w:t>J. dissenting in part)</w:t>
      </w:r>
      <w:r w:rsidRPr="00214DDB">
        <w:rPr>
          <w:rFonts w:cs="Times New Roman"/>
          <w:iCs/>
        </w:rPr>
        <w:t>:</w:t>
      </w:r>
      <w:r w:rsidRPr="00214DDB">
        <w:rPr>
          <w:rFonts w:cs="Times New Roman"/>
        </w:rPr>
        <w:t xml:space="preserve"> The appeal should be dismissed.</w:t>
      </w:r>
    </w:p>
    <w:p w:rsidR="001158AB" w:rsidRPr="00214DDB" w:rsidRDefault="001158AB" w:rsidP="00000F01">
      <w:pPr>
        <w:pStyle w:val="SCCNormalDoubleSpacing"/>
        <w:widowControl w:val="0"/>
        <w:spacing w:after="480"/>
        <w:rPr>
          <w:rFonts w:cs="Times New Roman"/>
        </w:rPr>
      </w:pPr>
      <w:r w:rsidRPr="00214DDB">
        <w:rPr>
          <w:rFonts w:cs="Times New Roman"/>
        </w:rPr>
        <w:tab/>
      </w:r>
      <w:r w:rsidRPr="00214DDB">
        <w:rPr>
          <w:rFonts w:cs="Times New Roman"/>
          <w:i/>
        </w:rPr>
        <w:t>Per</w:t>
      </w:r>
      <w:r w:rsidR="00DB76A6" w:rsidRPr="00214DDB">
        <w:rPr>
          <w:rFonts w:cs="Times New Roman"/>
        </w:rPr>
        <w:t xml:space="preserve"> McLachlin </w:t>
      </w:r>
      <w:r w:rsidRPr="00214DDB">
        <w:rPr>
          <w:rFonts w:cs="Times New Roman"/>
        </w:rPr>
        <w:t xml:space="preserve">C.J. and </w:t>
      </w:r>
      <w:proofErr w:type="spellStart"/>
      <w:r w:rsidRPr="00214DDB">
        <w:rPr>
          <w:rFonts w:cs="Times New Roman"/>
        </w:rPr>
        <w:t>Abella</w:t>
      </w:r>
      <w:proofErr w:type="spellEnd"/>
      <w:r w:rsidRPr="00214DDB">
        <w:rPr>
          <w:rFonts w:cs="Times New Roman"/>
        </w:rPr>
        <w:t xml:space="preserve">, Cromwell, </w:t>
      </w:r>
      <w:proofErr w:type="spellStart"/>
      <w:r w:rsidRPr="00214DDB">
        <w:rPr>
          <w:rFonts w:cs="Times New Roman"/>
        </w:rPr>
        <w:t>Karakatsanis</w:t>
      </w:r>
      <w:proofErr w:type="spellEnd"/>
      <w:r w:rsidRPr="00214DDB">
        <w:rPr>
          <w:rFonts w:cs="Times New Roman"/>
        </w:rPr>
        <w:t xml:space="preserve">, </w:t>
      </w:r>
      <w:r w:rsidRPr="00527DA8">
        <w:rPr>
          <w:rFonts w:cs="Times New Roman"/>
        </w:rPr>
        <w:t>Wagner</w:t>
      </w:r>
      <w:r w:rsidRPr="00214DDB">
        <w:rPr>
          <w:rFonts w:cs="Times New Roman"/>
        </w:rPr>
        <w:t xml:space="preserve"> and </w:t>
      </w:r>
      <w:proofErr w:type="spellStart"/>
      <w:r w:rsidRPr="00527DA8">
        <w:rPr>
          <w:rFonts w:cs="Times New Roman"/>
        </w:rPr>
        <w:t>Gascon</w:t>
      </w:r>
      <w:proofErr w:type="spellEnd"/>
      <w:r w:rsidR="00DB76A6" w:rsidRPr="00214DDB">
        <w:rPr>
          <w:rFonts w:cs="Times New Roman"/>
          <w:b/>
        </w:rPr>
        <w:t> </w:t>
      </w:r>
      <w:r w:rsidRPr="00214DDB">
        <w:rPr>
          <w:rFonts w:cs="Times New Roman"/>
        </w:rPr>
        <w:t xml:space="preserve">JJ.: </w:t>
      </w:r>
      <w:r w:rsidRPr="00214DDB">
        <w:rPr>
          <w:rFonts w:cs="Times New Roman"/>
          <w:szCs w:val="24"/>
        </w:rPr>
        <w:t xml:space="preserve">Despite the broad discretion conferred on La </w:t>
      </w:r>
      <w:proofErr w:type="spellStart"/>
      <w:r w:rsidRPr="00214DDB">
        <w:rPr>
          <w:rFonts w:cs="Times New Roman"/>
          <w:szCs w:val="24"/>
        </w:rPr>
        <w:t>Financière</w:t>
      </w:r>
      <w:proofErr w:type="spellEnd"/>
      <w:r w:rsidRPr="00214DDB">
        <w:rPr>
          <w:rFonts w:cs="Times New Roman"/>
          <w:szCs w:val="24"/>
        </w:rPr>
        <w:t xml:space="preserve"> by the </w:t>
      </w:r>
      <w:r w:rsidRPr="00214DDB">
        <w:rPr>
          <w:rFonts w:cs="Times New Roman"/>
          <w:i/>
          <w:szCs w:val="24"/>
        </w:rPr>
        <w:t>Act respecting La </w:t>
      </w:r>
      <w:proofErr w:type="spellStart"/>
      <w:r w:rsidRPr="00214DDB">
        <w:rPr>
          <w:rFonts w:cs="Times New Roman"/>
          <w:i/>
          <w:szCs w:val="24"/>
        </w:rPr>
        <w:t>Financière</w:t>
      </w:r>
      <w:proofErr w:type="spellEnd"/>
      <w:r w:rsidRPr="00214DDB">
        <w:rPr>
          <w:rFonts w:cs="Times New Roman"/>
          <w:i/>
          <w:szCs w:val="24"/>
        </w:rPr>
        <w:t xml:space="preserve"> </w:t>
      </w:r>
      <w:proofErr w:type="spellStart"/>
      <w:r w:rsidRPr="00214DDB">
        <w:rPr>
          <w:rFonts w:cs="Times New Roman"/>
          <w:i/>
          <w:szCs w:val="24"/>
        </w:rPr>
        <w:t>agricole</w:t>
      </w:r>
      <w:proofErr w:type="spellEnd"/>
      <w:r w:rsidRPr="00214DDB">
        <w:rPr>
          <w:rFonts w:cs="Times New Roman"/>
          <w:i/>
          <w:szCs w:val="24"/>
        </w:rPr>
        <w:t xml:space="preserve"> du Québec</w:t>
      </w:r>
      <w:r w:rsidRPr="00214DDB">
        <w:rPr>
          <w:rFonts w:cs="Times New Roman"/>
          <w:szCs w:val="24"/>
        </w:rPr>
        <w:t xml:space="preserve"> and the ASRA Program, the program cannot be considered simply a government program that is governed by public law. As can be seen from a review of its structure and how it func</w:t>
      </w:r>
      <w:r w:rsidR="00DB76A6" w:rsidRPr="00214DDB">
        <w:rPr>
          <w:rFonts w:cs="Times New Roman"/>
          <w:szCs w:val="24"/>
        </w:rPr>
        <w:t xml:space="preserve">tions, it is different from two </w:t>
      </w:r>
      <w:r w:rsidRPr="00214DDB">
        <w:rPr>
          <w:rFonts w:cs="Times New Roman"/>
          <w:szCs w:val="24"/>
        </w:rPr>
        <w:t xml:space="preserve">classic examples of social programs that fall under public law: social </w:t>
      </w:r>
      <w:r w:rsidRPr="00214DDB">
        <w:rPr>
          <w:rFonts w:cs="Times New Roman"/>
        </w:rPr>
        <w:t>insurance</w:t>
      </w:r>
      <w:r w:rsidRPr="00214DDB">
        <w:rPr>
          <w:rFonts w:cs="Times New Roman"/>
          <w:szCs w:val="24"/>
        </w:rPr>
        <w:t xml:space="preserve"> programs and agricultural subsidies. Unlike a social insurance program, it applies to only one sector and is neither universal nor compulsory, and its benefits are not calculated using simple formulas applicable to broad classes of persons and situations. </w:t>
      </w:r>
      <w:r w:rsidRPr="00214DDB">
        <w:rPr>
          <w:rFonts w:cs="Times New Roman"/>
          <w:szCs w:val="24"/>
        </w:rPr>
        <w:lastRenderedPageBreak/>
        <w:t>It includes several contract</w:t>
      </w:r>
      <w:r w:rsidR="00DB76A6" w:rsidRPr="00214DDB">
        <w:rPr>
          <w:rFonts w:cs="Times New Roman"/>
          <w:szCs w:val="24"/>
        </w:rPr>
        <w:noBreakHyphen/>
      </w:r>
      <w:r w:rsidRPr="00214DDB">
        <w:rPr>
          <w:rFonts w:cs="Times New Roman"/>
          <w:szCs w:val="24"/>
        </w:rPr>
        <w:t xml:space="preserve">style clauses for terminating the contract for predetermined reasons, which create acquired rights for the current year. Moreover, La </w:t>
      </w:r>
      <w:proofErr w:type="spellStart"/>
      <w:r w:rsidRPr="00214DDB">
        <w:rPr>
          <w:rFonts w:cs="Times New Roman"/>
          <w:szCs w:val="24"/>
        </w:rPr>
        <w:t>Financière’s</w:t>
      </w:r>
      <w:proofErr w:type="spellEnd"/>
      <w:r w:rsidRPr="00214DDB">
        <w:rPr>
          <w:rFonts w:cs="Times New Roman"/>
          <w:szCs w:val="24"/>
        </w:rPr>
        <w:t xml:space="preserve"> considerable management autonomy is limited by the need to comply with the contractual conditions that bind it and the participants. These characteristics, together with the contributions required from participants, also distinguish the ASRA Program from simple agricultural </w:t>
      </w:r>
      <w:r w:rsidR="00C11024">
        <w:rPr>
          <w:rFonts w:cs="Times New Roman"/>
          <w:szCs w:val="24"/>
        </w:rPr>
        <w:t xml:space="preserve">subsidy programs granted on an </w:t>
      </w:r>
      <w:r w:rsidRPr="00214DDB">
        <w:rPr>
          <w:rFonts w:cs="Times New Roman"/>
          <w:i/>
          <w:szCs w:val="24"/>
        </w:rPr>
        <w:t>ex gratia</w:t>
      </w:r>
      <w:r w:rsidRPr="00214DDB">
        <w:rPr>
          <w:rFonts w:cs="Times New Roman"/>
          <w:szCs w:val="24"/>
        </w:rPr>
        <w:t xml:space="preserve"> basis and without consideration.</w:t>
      </w:r>
    </w:p>
    <w:p w:rsidR="001158AB" w:rsidRPr="00214DDB" w:rsidRDefault="001158AB" w:rsidP="00000F01">
      <w:pPr>
        <w:pStyle w:val="SCCNormalDoubleSpacing"/>
        <w:widowControl w:val="0"/>
        <w:spacing w:after="480"/>
        <w:rPr>
          <w:rFonts w:cs="Times New Roman"/>
        </w:rPr>
      </w:pPr>
      <w:r w:rsidRPr="00214DDB">
        <w:rPr>
          <w:rFonts w:cs="Times New Roman"/>
          <w:szCs w:val="24"/>
        </w:rPr>
        <w:tab/>
        <w:t xml:space="preserve">This program in fact has the characteristics of an administrative contract, that </w:t>
      </w:r>
      <w:r w:rsidRPr="00214DDB">
        <w:rPr>
          <w:rFonts w:cs="Times New Roman"/>
        </w:rPr>
        <w:t>is</w:t>
      </w:r>
      <w:r w:rsidRPr="00214DDB">
        <w:rPr>
          <w:rFonts w:cs="Times New Roman"/>
          <w:szCs w:val="24"/>
        </w:rPr>
        <w:t xml:space="preserve">, a contract to which a public authority is a party, and all the rules needed to guide the actions of the parties can be found in private law. However, administrative contracts are distinguishable from contracts between private parties, since parity between the parties does not always exist. Where the government’s contractual relations are concerned, therefore, the public interest must be considered in interpreting those relations and may weigh in </w:t>
      </w:r>
      <w:proofErr w:type="spellStart"/>
      <w:r w:rsidRPr="00214DDB">
        <w:rPr>
          <w:rFonts w:cs="Times New Roman"/>
          <w:szCs w:val="24"/>
        </w:rPr>
        <w:t>favour</w:t>
      </w:r>
      <w:proofErr w:type="spellEnd"/>
      <w:r w:rsidRPr="00214DDB">
        <w:rPr>
          <w:rFonts w:cs="Times New Roman"/>
          <w:szCs w:val="24"/>
        </w:rPr>
        <w:t xml:space="preserve"> of a broader discretion in implementing the government scheme, especially where that scheme has a social objective. These are not principles of public law, but considerations related to the object of the contract that may influence the interpretation of the scope of the contractual powers of the public authority in question. The government’s discretion nonetheless has its limits</w:t>
      </w:r>
      <w:r w:rsidRPr="00214DDB">
        <w:rPr>
          <w:rFonts w:cs="Times New Roman"/>
        </w:rPr>
        <w:t xml:space="preserve">. </w:t>
      </w:r>
      <w:r w:rsidRPr="00214DDB">
        <w:rPr>
          <w:rFonts w:cs="Times New Roman"/>
          <w:szCs w:val="24"/>
        </w:rPr>
        <w:t xml:space="preserve">In the context of an administrative contract, those limits do not derive from the public law duty of procedural fairness but are instead based on good faith and contractual fairness, which flow, in Quebec law, from the application of arts. 6, 7, 1375 and 1434 of the </w:t>
      </w:r>
      <w:r w:rsidRPr="00214DDB">
        <w:rPr>
          <w:rFonts w:cs="Times New Roman"/>
          <w:i/>
        </w:rPr>
        <w:t>Civil Code of Québec</w:t>
      </w:r>
      <w:r w:rsidRPr="00214DDB">
        <w:rPr>
          <w:rFonts w:cs="Times New Roman"/>
        </w:rPr>
        <w:t xml:space="preserve"> (“</w:t>
      </w:r>
      <w:r w:rsidRPr="00214DDB">
        <w:rPr>
          <w:rFonts w:cs="Times New Roman"/>
          <w:i/>
        </w:rPr>
        <w:t>C.C.Q.</w:t>
      </w:r>
      <w:r w:rsidRPr="00214DDB">
        <w:rPr>
          <w:rFonts w:cs="Times New Roman"/>
        </w:rPr>
        <w:t xml:space="preserve">”). </w:t>
      </w:r>
    </w:p>
    <w:p w:rsidR="001158AB" w:rsidRPr="00214DDB" w:rsidRDefault="001158AB" w:rsidP="00000F01">
      <w:pPr>
        <w:pStyle w:val="SCCNormalDoubleSpacing"/>
        <w:widowControl w:val="0"/>
        <w:spacing w:after="480"/>
        <w:rPr>
          <w:rFonts w:cs="Times New Roman"/>
        </w:rPr>
      </w:pPr>
      <w:r w:rsidRPr="00214DDB">
        <w:rPr>
          <w:rFonts w:cs="Times New Roman"/>
        </w:rPr>
        <w:lastRenderedPageBreak/>
        <w:tab/>
        <w:t xml:space="preserve">Furthermore, the ASRA Program is an innominate administrative contract that does not have the three main characteristics of a contract of insurance set out in </w:t>
      </w:r>
      <w:r w:rsidR="00DB76A6" w:rsidRPr="00214DDB">
        <w:rPr>
          <w:rFonts w:cs="Times New Roman"/>
        </w:rPr>
        <w:t>art. </w:t>
      </w:r>
      <w:r w:rsidRPr="00214DDB">
        <w:rPr>
          <w:rFonts w:cs="Times New Roman"/>
        </w:rPr>
        <w:t xml:space="preserve">2389 </w:t>
      </w:r>
      <w:r w:rsidRPr="00214DDB">
        <w:rPr>
          <w:rFonts w:cs="Times New Roman"/>
          <w:i/>
        </w:rPr>
        <w:t>C.C.Q.</w:t>
      </w:r>
      <w:r w:rsidRPr="00214DDB">
        <w:rPr>
          <w:rFonts w:cs="Times New Roman"/>
        </w:rPr>
        <w:t>, namely (</w:t>
      </w:r>
      <w:proofErr w:type="spellStart"/>
      <w:r w:rsidRPr="00214DDB">
        <w:rPr>
          <w:rFonts w:cs="Times New Roman"/>
        </w:rPr>
        <w:t>i</w:t>
      </w:r>
      <w:proofErr w:type="spellEnd"/>
      <w:r w:rsidRPr="00214DDB">
        <w:rPr>
          <w:rFonts w:cs="Times New Roman"/>
        </w:rPr>
        <w:t xml:space="preserve">) an obligation on the client to pay a premium or assessment; (ii) the occurrence of a risk; and (iii) an obligation on the insurer to make a payment to the client if the insured risk occurs. It cannot therefore be subject to the rule of interpretation based on the reasonable expectations of the insured that applies to a contract of insurance and, in Quebec law, applies solely in its minimum dimension, that is, to resolve any ambiguity in the terms of the contract in </w:t>
      </w:r>
      <w:proofErr w:type="spellStart"/>
      <w:r w:rsidRPr="00214DDB">
        <w:rPr>
          <w:rFonts w:cs="Times New Roman"/>
        </w:rPr>
        <w:t>favour</w:t>
      </w:r>
      <w:proofErr w:type="spellEnd"/>
      <w:r w:rsidRPr="00214DDB">
        <w:rPr>
          <w:rFonts w:cs="Times New Roman"/>
        </w:rPr>
        <w:t xml:space="preserve"> of the insured. </w:t>
      </w:r>
    </w:p>
    <w:p w:rsidR="001158AB" w:rsidRPr="00214DDB" w:rsidRDefault="001158AB" w:rsidP="00000F01">
      <w:pPr>
        <w:pStyle w:val="SCCNormalDoubleSpacing"/>
        <w:widowControl w:val="0"/>
        <w:spacing w:after="480"/>
        <w:rPr>
          <w:rFonts w:cs="Times New Roman"/>
        </w:rPr>
      </w:pPr>
      <w:r w:rsidRPr="00214DDB">
        <w:rPr>
          <w:rFonts w:cs="Times New Roman"/>
        </w:rPr>
        <w:tab/>
        <w:t xml:space="preserve">For the purpose of determining whether it was open to La </w:t>
      </w:r>
      <w:proofErr w:type="spellStart"/>
      <w:r w:rsidRPr="00214DDB">
        <w:rPr>
          <w:rFonts w:cs="Times New Roman"/>
        </w:rPr>
        <w:t>Financière</w:t>
      </w:r>
      <w:proofErr w:type="spellEnd"/>
      <w:r w:rsidRPr="00214DDB">
        <w:rPr>
          <w:rFonts w:cs="Times New Roman"/>
        </w:rPr>
        <w:t xml:space="preserve"> to collectively link the amounts received under the federal assistance programs at issue in this case, it is the rules of contractual interpretation set out in arts. 1425 to 1432 </w:t>
      </w:r>
      <w:r w:rsidRPr="00214DDB">
        <w:rPr>
          <w:rFonts w:cs="Times New Roman"/>
          <w:i/>
        </w:rPr>
        <w:t>C.C.Q.</w:t>
      </w:r>
      <w:r w:rsidRPr="00214DDB">
        <w:rPr>
          <w:rFonts w:cs="Times New Roman"/>
        </w:rPr>
        <w:t xml:space="preserve"> that apply. Section 88(3) of the ASRA Program does not specify how compensation received under government assistance programs is to be linked. It states only that, for this purpose, La </w:t>
      </w:r>
      <w:proofErr w:type="spellStart"/>
      <w:r w:rsidRPr="00214DDB">
        <w:rPr>
          <w:rFonts w:cs="Times New Roman"/>
        </w:rPr>
        <w:t>Financière</w:t>
      </w:r>
      <w:proofErr w:type="spellEnd"/>
      <w:r w:rsidRPr="00214DDB">
        <w:rPr>
          <w:rFonts w:cs="Times New Roman"/>
        </w:rPr>
        <w:t xml:space="preserve"> must consider </w:t>
      </w:r>
      <w:r w:rsidR="00C11024">
        <w:rPr>
          <w:rFonts w:cs="Times New Roman"/>
        </w:rPr>
        <w:t>“</w:t>
      </w:r>
      <w:r w:rsidR="00527DA8">
        <w:rPr>
          <w:rFonts w:cs="Times New Roman"/>
        </w:rPr>
        <w:t>[</w:t>
      </w:r>
      <w:r w:rsidR="00C11024">
        <w:rPr>
          <w:rFonts w:cs="Times New Roman"/>
        </w:rPr>
        <w:t>a</w:t>
      </w:r>
      <w:r w:rsidR="00527DA8">
        <w:rPr>
          <w:rFonts w:cs="Times New Roman"/>
        </w:rPr>
        <w:t>]</w:t>
      </w:r>
      <w:proofErr w:type="spellStart"/>
      <w:r w:rsidRPr="00214DDB">
        <w:rPr>
          <w:rFonts w:cs="Times New Roman"/>
        </w:rPr>
        <w:t>ny</w:t>
      </w:r>
      <w:proofErr w:type="spellEnd"/>
      <w:r w:rsidRPr="00214DDB">
        <w:rPr>
          <w:rFonts w:cs="Times New Roman"/>
        </w:rPr>
        <w:t xml:space="preserve"> amounts to which a participant is entitled” under such programs</w:t>
      </w:r>
      <w:r w:rsidR="00DB76A6" w:rsidRPr="00214DDB">
        <w:rPr>
          <w:rFonts w:cs="Times New Roman"/>
        </w:rPr>
        <w:t>. </w:t>
      </w:r>
      <w:r w:rsidRPr="00214DDB">
        <w:rPr>
          <w:rFonts w:cs="Times New Roman"/>
        </w:rPr>
        <w:t>When properly interpreted in light of the contract as a whole (</w:t>
      </w:r>
      <w:r w:rsidR="00DB76A6" w:rsidRPr="00214DDB">
        <w:rPr>
          <w:rFonts w:cs="Times New Roman"/>
        </w:rPr>
        <w:t>art. </w:t>
      </w:r>
      <w:r w:rsidRPr="00214DDB">
        <w:rPr>
          <w:rFonts w:cs="Times New Roman"/>
        </w:rPr>
        <w:t xml:space="preserve">1427 </w:t>
      </w:r>
      <w:r w:rsidRPr="00214DDB">
        <w:rPr>
          <w:rFonts w:cs="Times New Roman"/>
          <w:i/>
        </w:rPr>
        <w:t>C.C.Q</w:t>
      </w:r>
      <w:r w:rsidRPr="00214DDB">
        <w:rPr>
          <w:rFonts w:cs="Times New Roman"/>
        </w:rPr>
        <w:t xml:space="preserve">.) and La </w:t>
      </w:r>
      <w:proofErr w:type="spellStart"/>
      <w:r w:rsidRPr="00214DDB">
        <w:rPr>
          <w:rFonts w:cs="Times New Roman"/>
        </w:rPr>
        <w:t>Financière’s</w:t>
      </w:r>
      <w:proofErr w:type="spellEnd"/>
      <w:r w:rsidRPr="00214DDB">
        <w:rPr>
          <w:rFonts w:cs="Times New Roman"/>
        </w:rPr>
        <w:t xml:space="preserve"> past practices (</w:t>
      </w:r>
      <w:r w:rsidR="00DB76A6" w:rsidRPr="00214DDB">
        <w:rPr>
          <w:rFonts w:cs="Times New Roman"/>
        </w:rPr>
        <w:t>art. </w:t>
      </w:r>
      <w:r w:rsidRPr="00214DDB">
        <w:rPr>
          <w:rFonts w:cs="Times New Roman"/>
        </w:rPr>
        <w:t xml:space="preserve">1426 </w:t>
      </w:r>
      <w:r w:rsidRPr="00214DDB">
        <w:rPr>
          <w:rFonts w:cs="Times New Roman"/>
          <w:i/>
        </w:rPr>
        <w:t>C.C.Q</w:t>
      </w:r>
      <w:r w:rsidR="00DB76A6" w:rsidRPr="00214DDB">
        <w:rPr>
          <w:rFonts w:cs="Times New Roman"/>
        </w:rPr>
        <w:t>.), s. </w:t>
      </w:r>
      <w:r w:rsidRPr="00214DDB">
        <w:rPr>
          <w:rFonts w:cs="Times New Roman"/>
        </w:rPr>
        <w:t xml:space="preserve">88(3) of the ASRA Program does not require that amounts be linked individually but, on the contrary, gives La </w:t>
      </w:r>
      <w:proofErr w:type="spellStart"/>
      <w:r w:rsidRPr="00214DDB">
        <w:rPr>
          <w:rFonts w:cs="Times New Roman"/>
        </w:rPr>
        <w:t>Financière</w:t>
      </w:r>
      <w:proofErr w:type="spellEnd"/>
      <w:r w:rsidRPr="00214DDB">
        <w:rPr>
          <w:rFonts w:cs="Times New Roman"/>
        </w:rPr>
        <w:t xml:space="preserve"> the discretion to decide what linkage method to employ.</w:t>
      </w:r>
    </w:p>
    <w:p w:rsidR="001158AB" w:rsidRPr="00214DDB" w:rsidRDefault="001158AB" w:rsidP="00000F01">
      <w:pPr>
        <w:pStyle w:val="SCCNormalDoubleSpacing"/>
        <w:widowControl w:val="0"/>
        <w:spacing w:after="480"/>
        <w:rPr>
          <w:rFonts w:cs="Times New Roman"/>
        </w:rPr>
      </w:pPr>
      <w:r w:rsidRPr="00214DDB">
        <w:rPr>
          <w:rFonts w:cs="Times New Roman"/>
        </w:rPr>
        <w:tab/>
        <w:t xml:space="preserve">The general structure of the program and the contract as a whole support the conclusion that collective linkage is normally required. In fact, a reading of s. 88(3) of the ASRA Program in the context of the program as a whole, which is based on the </w:t>
      </w:r>
      <w:r w:rsidRPr="00214DDB">
        <w:rPr>
          <w:rFonts w:cs="Times New Roman"/>
        </w:rPr>
        <w:lastRenderedPageBreak/>
        <w:t xml:space="preserve">collective concept of a benchmark farm, leads to the conclusion that collective linkage must be preferred. Section 88(3) is in Division XI, the title of which refers to the collective concept of “Farm Models”. Moreover, </w:t>
      </w:r>
      <w:r w:rsidR="00DB76A6" w:rsidRPr="00214DDB">
        <w:rPr>
          <w:rFonts w:cs="Times New Roman"/>
        </w:rPr>
        <w:t>ss. </w:t>
      </w:r>
      <w:r w:rsidRPr="00214DDB">
        <w:rPr>
          <w:rFonts w:cs="Times New Roman"/>
        </w:rPr>
        <w:t>86 and 92 of the ASRA Program clearly state that the net annual income used to calculate the compensation, which includes amounts received from government sources, is that of a “specialized benchmark farm for each of the products or classes of products”.</w:t>
      </w:r>
    </w:p>
    <w:p w:rsidR="001158AB" w:rsidRPr="00214DDB" w:rsidRDefault="001158AB" w:rsidP="00000F01">
      <w:pPr>
        <w:pStyle w:val="SCCNormalDoubleSpacing"/>
        <w:widowControl w:val="0"/>
        <w:spacing w:after="480"/>
        <w:rPr>
          <w:rFonts w:cs="Times New Roman"/>
        </w:rPr>
      </w:pPr>
      <w:r w:rsidRPr="00214DDB">
        <w:rPr>
          <w:rFonts w:cs="Times New Roman"/>
        </w:rPr>
        <w:tab/>
        <w:t xml:space="preserve">Although La </w:t>
      </w:r>
      <w:proofErr w:type="spellStart"/>
      <w:r w:rsidRPr="00214DDB">
        <w:rPr>
          <w:rFonts w:cs="Times New Roman"/>
        </w:rPr>
        <w:t>Financière</w:t>
      </w:r>
      <w:proofErr w:type="spellEnd"/>
      <w:r w:rsidRPr="00214DDB">
        <w:rPr>
          <w:rFonts w:cs="Times New Roman"/>
        </w:rPr>
        <w:t xml:space="preserve"> has sometimes linked amounts individually in the past, it appears from the evidence that decisions to do so were usually based on the number of participants that received the amounts in question and not on the fact that government assistance had been paid directly to producers. As a result, neither the contract as a whole nor past practice supports a conclusion that La </w:t>
      </w:r>
      <w:proofErr w:type="spellStart"/>
      <w:r w:rsidRPr="00214DDB">
        <w:rPr>
          <w:rFonts w:cs="Times New Roman"/>
        </w:rPr>
        <w:t>Financière</w:t>
      </w:r>
      <w:proofErr w:type="spellEnd"/>
      <w:r w:rsidRPr="00214DDB">
        <w:rPr>
          <w:rFonts w:cs="Times New Roman"/>
        </w:rPr>
        <w:t xml:space="preserve"> was under a statutory or contractual obligation to link the amounts individually in this case.</w:t>
      </w:r>
    </w:p>
    <w:p w:rsidR="001158AB" w:rsidRPr="00214DDB" w:rsidRDefault="001158AB" w:rsidP="00000F01">
      <w:pPr>
        <w:pStyle w:val="SCCNormalDoubleSpacing"/>
        <w:widowControl w:val="0"/>
        <w:spacing w:after="480"/>
        <w:rPr>
          <w:rFonts w:cs="Times New Roman"/>
        </w:rPr>
      </w:pPr>
      <w:r w:rsidRPr="00214DDB">
        <w:rPr>
          <w:rFonts w:cs="Times New Roman"/>
        </w:rPr>
        <w:tab/>
        <w:t xml:space="preserve">Although La </w:t>
      </w:r>
      <w:proofErr w:type="spellStart"/>
      <w:r w:rsidRPr="00214DDB">
        <w:rPr>
          <w:rFonts w:cs="Times New Roman"/>
        </w:rPr>
        <w:t>Financière</w:t>
      </w:r>
      <w:proofErr w:type="spellEnd"/>
      <w:r w:rsidRPr="00214DDB">
        <w:rPr>
          <w:rFonts w:cs="Times New Roman"/>
        </w:rPr>
        <w:t xml:space="preserve"> had the discretion to link the amounts collectively, it was required to exercise that discretion in accordance with the requirements of good faith and contractual fairne</w:t>
      </w:r>
      <w:r w:rsidR="00DB76A6" w:rsidRPr="00214DDB">
        <w:rPr>
          <w:rFonts w:cs="Times New Roman"/>
        </w:rPr>
        <w:t>ss. </w:t>
      </w:r>
      <w:r w:rsidRPr="00214DDB">
        <w:rPr>
          <w:rFonts w:cs="Times New Roman"/>
        </w:rPr>
        <w:t xml:space="preserve">The decision to link the amounts collectively in this case was made following extensive consultations with representatives of farm producers and after impact simulation studies had shown that most of the program’s participants would benefit from that decision. By linking them collectively, La </w:t>
      </w:r>
      <w:proofErr w:type="spellStart"/>
      <w:r w:rsidRPr="00214DDB">
        <w:rPr>
          <w:rFonts w:cs="Times New Roman"/>
        </w:rPr>
        <w:t>Financière</w:t>
      </w:r>
      <w:proofErr w:type="spellEnd"/>
      <w:r w:rsidRPr="00214DDB">
        <w:rPr>
          <w:rFonts w:cs="Times New Roman"/>
        </w:rPr>
        <w:t xml:space="preserve"> also </w:t>
      </w:r>
      <w:proofErr w:type="spellStart"/>
      <w:r w:rsidRPr="00214DDB">
        <w:rPr>
          <w:rFonts w:cs="Times New Roman"/>
        </w:rPr>
        <w:t>favoured</w:t>
      </w:r>
      <w:proofErr w:type="spellEnd"/>
      <w:r w:rsidRPr="00214DDB">
        <w:rPr>
          <w:rFonts w:cs="Times New Roman"/>
        </w:rPr>
        <w:t xml:space="preserve"> the smallest producers. This situation was consistent with La </w:t>
      </w:r>
      <w:proofErr w:type="spellStart"/>
      <w:r w:rsidRPr="00214DDB">
        <w:rPr>
          <w:rFonts w:cs="Times New Roman"/>
        </w:rPr>
        <w:t>Financière’s</w:t>
      </w:r>
      <w:proofErr w:type="spellEnd"/>
      <w:r w:rsidRPr="00214DDB">
        <w:rPr>
          <w:rFonts w:cs="Times New Roman"/>
        </w:rPr>
        <w:t xml:space="preserve"> mission. Finally, the decision to link the amounts collectively was compatible with the specific features of the federal programs at issue. La </w:t>
      </w:r>
      <w:proofErr w:type="spellStart"/>
      <w:r w:rsidRPr="00214DDB">
        <w:rPr>
          <w:rFonts w:cs="Times New Roman"/>
        </w:rPr>
        <w:t>Financière</w:t>
      </w:r>
      <w:proofErr w:type="spellEnd"/>
      <w:r w:rsidRPr="00214DDB">
        <w:rPr>
          <w:rFonts w:cs="Times New Roman"/>
        </w:rPr>
        <w:t xml:space="preserve"> thus exercised its </w:t>
      </w:r>
      <w:r w:rsidRPr="00214DDB">
        <w:rPr>
          <w:rFonts w:cs="Times New Roman"/>
        </w:rPr>
        <w:lastRenderedPageBreak/>
        <w:t>powers in accordance with the requirements of good faith and contractual fairne</w:t>
      </w:r>
      <w:r w:rsidR="00DB76A6" w:rsidRPr="00214DDB">
        <w:rPr>
          <w:rFonts w:cs="Times New Roman"/>
        </w:rPr>
        <w:t>ss. </w:t>
      </w:r>
      <w:r w:rsidRPr="00214DDB">
        <w:rPr>
          <w:rFonts w:cs="Times New Roman"/>
        </w:rPr>
        <w:t xml:space="preserve">It was open to La </w:t>
      </w:r>
      <w:proofErr w:type="spellStart"/>
      <w:r w:rsidRPr="00214DDB">
        <w:rPr>
          <w:rFonts w:cs="Times New Roman"/>
        </w:rPr>
        <w:t>Financière</w:t>
      </w:r>
      <w:proofErr w:type="spellEnd"/>
      <w:r w:rsidRPr="00214DDB">
        <w:rPr>
          <w:rFonts w:cs="Times New Roman"/>
        </w:rPr>
        <w:t xml:space="preserve"> in fixing the compensation payable to the appellants to choose to link the amounts they had received under the relevant federal financial assistance programs collectively, which means that the appellants are not entitled to the amounts they claim.</w:t>
      </w:r>
    </w:p>
    <w:p w:rsidR="001158AB" w:rsidRPr="00214DDB" w:rsidRDefault="001158AB" w:rsidP="00000F01">
      <w:pPr>
        <w:pStyle w:val="SCCNormalDoubleSpacing"/>
        <w:widowControl w:val="0"/>
        <w:spacing w:after="480"/>
        <w:rPr>
          <w:rFonts w:cs="Times New Roman"/>
        </w:rPr>
      </w:pPr>
      <w:r w:rsidRPr="00214DDB">
        <w:rPr>
          <w:rFonts w:cs="Times New Roman"/>
        </w:rPr>
        <w:tab/>
      </w:r>
      <w:r w:rsidRPr="00214DDB">
        <w:rPr>
          <w:rFonts w:cs="Times New Roman"/>
          <w:i/>
        </w:rPr>
        <w:t>Per</w:t>
      </w:r>
      <w:r w:rsidRPr="00214DDB">
        <w:rPr>
          <w:rFonts w:cs="Times New Roman"/>
        </w:rPr>
        <w:t xml:space="preserve"> </w:t>
      </w:r>
      <w:r w:rsidRPr="00527DA8">
        <w:rPr>
          <w:rFonts w:cs="Times New Roman"/>
        </w:rPr>
        <w:t>Côté</w:t>
      </w:r>
      <w:r w:rsidRPr="00214DDB">
        <w:rPr>
          <w:rFonts w:cs="Times New Roman"/>
        </w:rPr>
        <w:t> J. (dissenting in part): The only determinative issue in this case is one of contractual interpretation. Regardless of whether the contract is characterized as a contract of insurance or as an innominate contract that falls under both public law and private law, the result is the same. It is true that the appellants participated voluntarily in the ASRA Program, but insofar as that program involves a contract of adhesion imposed by La </w:t>
      </w:r>
      <w:proofErr w:type="spellStart"/>
      <w:r w:rsidRPr="00214DDB">
        <w:rPr>
          <w:rFonts w:cs="Times New Roman"/>
        </w:rPr>
        <w:t>Financière</w:t>
      </w:r>
      <w:proofErr w:type="spellEnd"/>
      <w:r w:rsidRPr="00214DDB">
        <w:rPr>
          <w:rFonts w:cs="Times New Roman"/>
        </w:rPr>
        <w:t xml:space="preserve">, that is, a contract that is not negotiated with participants, the characterization makes no difference. If there is any ambiguity, it must be resolved in </w:t>
      </w:r>
      <w:proofErr w:type="spellStart"/>
      <w:r w:rsidRPr="00214DDB">
        <w:rPr>
          <w:rFonts w:cs="Times New Roman"/>
        </w:rPr>
        <w:t>favour</w:t>
      </w:r>
      <w:proofErr w:type="spellEnd"/>
      <w:r w:rsidRPr="00214DDB">
        <w:rPr>
          <w:rFonts w:cs="Times New Roman"/>
        </w:rPr>
        <w:t xml:space="preserve"> of the adhering party in accordance with </w:t>
      </w:r>
      <w:r w:rsidR="00DB76A6" w:rsidRPr="00214DDB">
        <w:rPr>
          <w:rFonts w:cs="Times New Roman"/>
        </w:rPr>
        <w:t>art. </w:t>
      </w:r>
      <w:r w:rsidRPr="00214DDB">
        <w:rPr>
          <w:rFonts w:cs="Times New Roman"/>
        </w:rPr>
        <w:t xml:space="preserve">1432 </w:t>
      </w:r>
      <w:r w:rsidR="00C11024">
        <w:rPr>
          <w:rFonts w:cs="Times New Roman"/>
          <w:i/>
        </w:rPr>
        <w:t>C.C.Q</w:t>
      </w:r>
      <w:r w:rsidRPr="00214DDB">
        <w:rPr>
          <w:rFonts w:cs="Times New Roman"/>
        </w:rPr>
        <w:t xml:space="preserve">. The rule of interpretation of reasonable expectations adds nothing to the existing rules of interpretation. </w:t>
      </w:r>
    </w:p>
    <w:p w:rsidR="001158AB" w:rsidRPr="00214DDB" w:rsidRDefault="001158AB" w:rsidP="00000F01">
      <w:pPr>
        <w:pStyle w:val="SCCNormalDoubleSpacing"/>
        <w:widowControl w:val="0"/>
        <w:spacing w:after="480"/>
        <w:rPr>
          <w:rFonts w:cs="Times New Roman"/>
        </w:rPr>
      </w:pPr>
      <w:r w:rsidRPr="00214DDB">
        <w:rPr>
          <w:rFonts w:cs="Times New Roman"/>
        </w:rPr>
        <w:tab/>
        <w:t>The reason why producers participate in the ASRA Program is simple: they expect to receive the full compensation they are owed in return for paying their contributions. When La </w:t>
      </w:r>
      <w:proofErr w:type="spellStart"/>
      <w:r w:rsidRPr="00214DDB">
        <w:rPr>
          <w:rFonts w:cs="Times New Roman"/>
        </w:rPr>
        <w:t>Financière</w:t>
      </w:r>
      <w:proofErr w:type="spellEnd"/>
      <w:r w:rsidRPr="00214DDB">
        <w:rPr>
          <w:rFonts w:cs="Times New Roman"/>
        </w:rPr>
        <w:t xml:space="preserve"> deprives them of all or part of the compensation to which they are entitled, judicial intervention is warranted. The common intention of the parties, the overall scheme of the ASRA Program and past practices confirm that La </w:t>
      </w:r>
      <w:proofErr w:type="spellStart"/>
      <w:r w:rsidRPr="00214DDB">
        <w:rPr>
          <w:rFonts w:cs="Times New Roman"/>
        </w:rPr>
        <w:t>Financière</w:t>
      </w:r>
      <w:proofErr w:type="spellEnd"/>
      <w:r w:rsidRPr="00214DDB">
        <w:rPr>
          <w:rFonts w:cs="Times New Roman"/>
        </w:rPr>
        <w:t xml:space="preserve"> contravened the program</w:t>
      </w:r>
      <w:r w:rsidRPr="00214DDB">
        <w:rPr>
          <w:rFonts w:cs="Times New Roman"/>
          <w:i/>
        </w:rPr>
        <w:t xml:space="preserve"> </w:t>
      </w:r>
      <w:r w:rsidRPr="00214DDB">
        <w:rPr>
          <w:rFonts w:cs="Times New Roman"/>
        </w:rPr>
        <w:t xml:space="preserve">in deciding to subtract excessively high </w:t>
      </w:r>
      <w:r w:rsidRPr="00214DDB">
        <w:rPr>
          <w:rFonts w:cs="Times New Roman"/>
        </w:rPr>
        <w:lastRenderedPageBreak/>
        <w:t>amounts of notional income from the amounts to which participants were otherwise entitled.</w:t>
      </w:r>
    </w:p>
    <w:p w:rsidR="001158AB" w:rsidRPr="00214DDB" w:rsidRDefault="001158AB" w:rsidP="00000F01">
      <w:pPr>
        <w:pStyle w:val="SCCNormalDoubleSpacing"/>
        <w:widowControl w:val="0"/>
        <w:spacing w:after="480"/>
        <w:rPr>
          <w:rFonts w:cs="Times New Roman"/>
        </w:rPr>
      </w:pPr>
      <w:r w:rsidRPr="00214DDB">
        <w:rPr>
          <w:rFonts w:cs="Times New Roman"/>
        </w:rPr>
        <w:tab/>
        <w:t>It sometimes happens that during the year individual participants receive additional amounts to which they are personally entitled from other government agencies. The program expressly authorizes La </w:t>
      </w:r>
      <w:proofErr w:type="spellStart"/>
      <w:r w:rsidRPr="00214DDB">
        <w:rPr>
          <w:rFonts w:cs="Times New Roman"/>
        </w:rPr>
        <w:t>Financière</w:t>
      </w:r>
      <w:proofErr w:type="spellEnd"/>
      <w:r w:rsidRPr="00214DDB">
        <w:rPr>
          <w:rFonts w:cs="Times New Roman"/>
        </w:rPr>
        <w:t xml:space="preserve"> to take such amounts into account in its calculations to ensure that participants do not receive double compensation for a single lo</w:t>
      </w:r>
      <w:r w:rsidR="00DB76A6" w:rsidRPr="00214DDB">
        <w:rPr>
          <w:rFonts w:cs="Times New Roman"/>
        </w:rPr>
        <w:t>ss. </w:t>
      </w:r>
      <w:r w:rsidRPr="00214DDB">
        <w:rPr>
          <w:rFonts w:cs="Times New Roman"/>
        </w:rPr>
        <w:t>However, although s. 88(3) of the ASRA Program does authorize La </w:t>
      </w:r>
      <w:proofErr w:type="spellStart"/>
      <w:r w:rsidRPr="00214DDB">
        <w:rPr>
          <w:rFonts w:cs="Times New Roman"/>
        </w:rPr>
        <w:t>Financière</w:t>
      </w:r>
      <w:proofErr w:type="spellEnd"/>
      <w:r w:rsidRPr="00214DDB">
        <w:rPr>
          <w:rFonts w:cs="Times New Roman"/>
        </w:rPr>
        <w:t xml:space="preserve"> to ensure that participants do not receive double compensation, it does not permit La </w:t>
      </w:r>
      <w:proofErr w:type="spellStart"/>
      <w:r w:rsidRPr="00214DDB">
        <w:rPr>
          <w:rFonts w:cs="Times New Roman"/>
        </w:rPr>
        <w:t>Financière</w:t>
      </w:r>
      <w:proofErr w:type="spellEnd"/>
      <w:r w:rsidRPr="00214DDB">
        <w:rPr>
          <w:rFonts w:cs="Times New Roman"/>
        </w:rPr>
        <w:t xml:space="preserve"> to attribute notional amounts to some participants in order to overcompensate other participants for policy reasons. </w:t>
      </w:r>
    </w:p>
    <w:p w:rsidR="001158AB" w:rsidRPr="00214DDB" w:rsidRDefault="001158AB" w:rsidP="00000F01">
      <w:pPr>
        <w:pStyle w:val="SCCNormalDoubleSpacing"/>
        <w:widowControl w:val="0"/>
        <w:spacing w:after="480"/>
        <w:rPr>
          <w:rFonts w:cs="Times New Roman"/>
        </w:rPr>
      </w:pPr>
      <w:r w:rsidRPr="00214DDB">
        <w:rPr>
          <w:rFonts w:cs="Times New Roman"/>
        </w:rPr>
        <w:tab/>
        <w:t>In this case, not only did the chosen linkage method not make it possible to avoid double compensation, it also prevented many participants from receiving the full compensation to which they were entitled under the ASRA Program</w:t>
      </w:r>
      <w:r w:rsidR="00DB76A6" w:rsidRPr="00214DDB">
        <w:rPr>
          <w:rFonts w:cs="Times New Roman"/>
        </w:rPr>
        <w:t>. </w:t>
      </w:r>
      <w:r w:rsidRPr="00214DDB">
        <w:rPr>
          <w:rFonts w:cs="Times New Roman"/>
        </w:rPr>
        <w:t>While it is true that La </w:t>
      </w:r>
      <w:proofErr w:type="spellStart"/>
      <w:r w:rsidRPr="00214DDB">
        <w:rPr>
          <w:rFonts w:cs="Times New Roman"/>
        </w:rPr>
        <w:t>Financière’s</w:t>
      </w:r>
      <w:proofErr w:type="spellEnd"/>
      <w:r w:rsidRPr="00214DDB">
        <w:rPr>
          <w:rFonts w:cs="Times New Roman"/>
        </w:rPr>
        <w:t xml:space="preserve"> mission is broad, that mission does not authorize it to subvert the purpose of s. 88(3) by assuming a discretion it does not have. </w:t>
      </w:r>
    </w:p>
    <w:p w:rsidR="001158AB" w:rsidRPr="00214DDB" w:rsidRDefault="001158AB" w:rsidP="00000F01">
      <w:pPr>
        <w:pStyle w:val="SCCNormalDoubleSpacing"/>
        <w:widowControl w:val="0"/>
        <w:spacing w:after="480"/>
        <w:rPr>
          <w:rFonts w:cs="Times New Roman"/>
        </w:rPr>
      </w:pPr>
      <w:r w:rsidRPr="00214DDB">
        <w:rPr>
          <w:rFonts w:cs="Times New Roman"/>
        </w:rPr>
        <w:tab/>
        <w:t>Once the ASRA Program had been adopted, La </w:t>
      </w:r>
      <w:proofErr w:type="spellStart"/>
      <w:r w:rsidRPr="00214DDB">
        <w:rPr>
          <w:rFonts w:cs="Times New Roman"/>
        </w:rPr>
        <w:t>Financière</w:t>
      </w:r>
      <w:proofErr w:type="spellEnd"/>
      <w:r w:rsidRPr="00214DDB">
        <w:rPr>
          <w:rFonts w:cs="Times New Roman"/>
        </w:rPr>
        <w:t xml:space="preserve"> had to comply with the rules of the game it had itself established. In the case of amounts received directly from other granting organizations that can be considered to be annual receipts, s. 88(3) provides that, in calculating annual receipts, La </w:t>
      </w:r>
      <w:proofErr w:type="spellStart"/>
      <w:r w:rsidRPr="00214DDB">
        <w:rPr>
          <w:rFonts w:cs="Times New Roman"/>
        </w:rPr>
        <w:t>Financière</w:t>
      </w:r>
      <w:proofErr w:type="spellEnd"/>
      <w:r w:rsidRPr="00214DDB">
        <w:rPr>
          <w:rFonts w:cs="Times New Roman"/>
        </w:rPr>
        <w:t xml:space="preserve"> must take into account </w:t>
      </w:r>
      <w:r w:rsidR="00C11024">
        <w:rPr>
          <w:rFonts w:cs="Times New Roman"/>
        </w:rPr>
        <w:t>“</w:t>
      </w:r>
      <w:r w:rsidR="00527DA8">
        <w:rPr>
          <w:rFonts w:cs="Times New Roman"/>
        </w:rPr>
        <w:t>[</w:t>
      </w:r>
      <w:r w:rsidR="00C11024">
        <w:rPr>
          <w:rFonts w:cs="Times New Roman"/>
        </w:rPr>
        <w:t>a</w:t>
      </w:r>
      <w:r w:rsidR="00527DA8">
        <w:rPr>
          <w:rFonts w:cs="Times New Roman"/>
        </w:rPr>
        <w:t>]</w:t>
      </w:r>
      <w:proofErr w:type="spellStart"/>
      <w:r w:rsidRPr="00214DDB">
        <w:rPr>
          <w:rFonts w:cs="Times New Roman"/>
        </w:rPr>
        <w:t>ny</w:t>
      </w:r>
      <w:proofErr w:type="spellEnd"/>
      <w:r w:rsidRPr="00214DDB">
        <w:rPr>
          <w:rFonts w:cs="Times New Roman"/>
        </w:rPr>
        <w:t xml:space="preserve"> amounts to which a participant is entitled on the basis of the volume of </w:t>
      </w:r>
      <w:r w:rsidRPr="00214DDB">
        <w:rPr>
          <w:rFonts w:cs="Times New Roman"/>
        </w:rPr>
        <w:lastRenderedPageBreak/>
        <w:t xml:space="preserve">marketed products and secondary products”. La </w:t>
      </w:r>
      <w:proofErr w:type="spellStart"/>
      <w:r w:rsidRPr="00214DDB">
        <w:rPr>
          <w:rFonts w:cs="Times New Roman"/>
        </w:rPr>
        <w:t>Financière</w:t>
      </w:r>
      <w:proofErr w:type="spellEnd"/>
      <w:r w:rsidRPr="00214DDB">
        <w:rPr>
          <w:rFonts w:cs="Times New Roman"/>
        </w:rPr>
        <w:t xml:space="preserve"> may not therefore penalize a participant for amounts to which he or she is not entitled owing to the inherent limits of those other programs. By referring to a “participant”, s. 88(3) requires La </w:t>
      </w:r>
      <w:proofErr w:type="spellStart"/>
      <w:r w:rsidRPr="00214DDB">
        <w:rPr>
          <w:rFonts w:cs="Times New Roman"/>
        </w:rPr>
        <w:t>Financière</w:t>
      </w:r>
      <w:proofErr w:type="spellEnd"/>
      <w:r w:rsidRPr="00214DDB">
        <w:rPr>
          <w:rFonts w:cs="Times New Roman"/>
        </w:rPr>
        <w:t xml:space="preserve"> to take into account the amounts that were actually received. The definition set out in s</w:t>
      </w:r>
      <w:r w:rsidR="00DB76A6" w:rsidRPr="00214DDB">
        <w:rPr>
          <w:rFonts w:cs="Times New Roman"/>
        </w:rPr>
        <w:t>. </w:t>
      </w:r>
      <w:r w:rsidRPr="00214DDB">
        <w:rPr>
          <w:rFonts w:cs="Times New Roman"/>
        </w:rPr>
        <w:t xml:space="preserve">2 refers to an individual participant in the ASRA Program, not to a “benchmark farm”, and the same is true of the definition of “annual receipts”. If La </w:t>
      </w:r>
      <w:proofErr w:type="spellStart"/>
      <w:r w:rsidRPr="00214DDB">
        <w:rPr>
          <w:rFonts w:cs="Times New Roman"/>
        </w:rPr>
        <w:t>Financière</w:t>
      </w:r>
      <w:proofErr w:type="spellEnd"/>
      <w:r w:rsidRPr="00214DDB">
        <w:rPr>
          <w:rFonts w:cs="Times New Roman"/>
        </w:rPr>
        <w:t xml:space="preserve"> disregards the inherent limits of those programs and if the amounts attributed to participants bear no relation to the amounts they actually received, it is in breach of its contractual obligations. </w:t>
      </w:r>
    </w:p>
    <w:p w:rsidR="001158AB" w:rsidRPr="00214DDB" w:rsidRDefault="001158AB" w:rsidP="00000F01">
      <w:pPr>
        <w:pStyle w:val="SCCNormalDoubleSpacing"/>
        <w:widowControl w:val="0"/>
        <w:spacing w:after="480"/>
        <w:rPr>
          <w:rFonts w:cs="Times New Roman"/>
        </w:rPr>
      </w:pPr>
      <w:r w:rsidRPr="00214DDB">
        <w:rPr>
          <w:rFonts w:cs="Times New Roman"/>
        </w:rPr>
        <w:tab/>
        <w:t>The evidence shows that, where amounts have been granted directly to a producer under another program in the past, La </w:t>
      </w:r>
      <w:proofErr w:type="spellStart"/>
      <w:r w:rsidRPr="00214DDB">
        <w:rPr>
          <w:rFonts w:cs="Times New Roman"/>
        </w:rPr>
        <w:t>Financière</w:t>
      </w:r>
      <w:proofErr w:type="spellEnd"/>
      <w:r w:rsidR="007D68F9" w:rsidRPr="00214DDB">
        <w:rPr>
          <w:rFonts w:cs="Times New Roman"/>
        </w:rPr>
        <w:t xml:space="preserve"> </w:t>
      </w:r>
      <w:r w:rsidRPr="00214DDB">
        <w:rPr>
          <w:rFonts w:cs="Times New Roman"/>
        </w:rPr>
        <w:t>has never used a linkage method — whether collective or individual</w:t>
      </w:r>
      <w:r w:rsidR="007D68F9" w:rsidRPr="00214DDB">
        <w:rPr>
          <w:rFonts w:cs="Times New Roman"/>
        </w:rPr>
        <w:t xml:space="preserve"> </w:t>
      </w:r>
      <w:r w:rsidRPr="00214DDB">
        <w:rPr>
          <w:rFonts w:cs="Times New Roman"/>
        </w:rPr>
        <w:t>— that had the effect of negating the compensation to which participants were entitled by attributing amounts that disregarded the inherent limits of those programs. La </w:t>
      </w:r>
      <w:proofErr w:type="spellStart"/>
      <w:r w:rsidRPr="00214DDB">
        <w:rPr>
          <w:rFonts w:cs="Times New Roman"/>
        </w:rPr>
        <w:t>Financière’s</w:t>
      </w:r>
      <w:proofErr w:type="spellEnd"/>
      <w:r w:rsidRPr="00214DDB">
        <w:rPr>
          <w:rFonts w:cs="Times New Roman"/>
        </w:rPr>
        <w:t xml:space="preserve"> choice in the cases at issue is therefore also inconsistent with its past practices.</w:t>
      </w:r>
    </w:p>
    <w:p w:rsidR="001158AB" w:rsidRPr="00214DDB" w:rsidRDefault="001158AB" w:rsidP="00000F01">
      <w:pPr>
        <w:pStyle w:val="SCCNormalDoubleSpacing"/>
        <w:widowControl w:val="0"/>
        <w:spacing w:after="480"/>
        <w:rPr>
          <w:rFonts w:cs="Times New Roman"/>
        </w:rPr>
      </w:pPr>
      <w:r w:rsidRPr="00214DDB">
        <w:rPr>
          <w:rFonts w:cs="Times New Roman"/>
        </w:rPr>
        <w:tab/>
        <w:t xml:space="preserve">What is problematic in this case is that La </w:t>
      </w:r>
      <w:proofErr w:type="spellStart"/>
      <w:r w:rsidRPr="00214DDB">
        <w:rPr>
          <w:rFonts w:cs="Times New Roman"/>
        </w:rPr>
        <w:t>Financière’s</w:t>
      </w:r>
      <w:proofErr w:type="spellEnd"/>
      <w:r w:rsidRPr="00214DDB">
        <w:rPr>
          <w:rFonts w:cs="Times New Roman"/>
        </w:rPr>
        <w:t xml:space="preserve"> action had the effect of overcompensating certain participants to the detriment of the others, that it disregarded the impact of the caps under the federal programs on the insurance coverage of participants and that the amounts it ultimately attributed bore no relation to the amounts that had actually been received, not that it chose a particular linkage method. This was the conclusion reached by the trial judge, and there is no reason to </w:t>
      </w:r>
      <w:r w:rsidRPr="00214DDB">
        <w:rPr>
          <w:rFonts w:cs="Times New Roman"/>
        </w:rPr>
        <w:lastRenderedPageBreak/>
        <w:t>intervene in this regard.</w:t>
      </w:r>
    </w:p>
    <w:p w:rsidR="001158AB" w:rsidRPr="00214DDB" w:rsidRDefault="001158AB" w:rsidP="00000F01">
      <w:pPr>
        <w:pStyle w:val="SCCNormalDoubleSpacing"/>
        <w:widowControl w:val="0"/>
        <w:spacing w:after="480"/>
        <w:rPr>
          <w:rFonts w:cs="Times New Roman"/>
        </w:rPr>
      </w:pPr>
      <w:r w:rsidRPr="00214DDB">
        <w:rPr>
          <w:rFonts w:cs="Times New Roman"/>
        </w:rPr>
        <w:tab/>
      </w:r>
      <w:r w:rsidR="00CC4AF3" w:rsidRPr="00214DDB">
        <w:rPr>
          <w:rFonts w:cs="Times New Roman"/>
        </w:rPr>
        <w:t>The</w:t>
      </w:r>
      <w:r w:rsidRPr="00214DDB">
        <w:rPr>
          <w:rFonts w:cs="Times New Roman"/>
        </w:rPr>
        <w:t xml:space="preserve"> producers’ appeal should be allowed, </w:t>
      </w:r>
      <w:r w:rsidR="00CC4AF3" w:rsidRPr="00214DDB">
        <w:rPr>
          <w:rFonts w:cs="Times New Roman"/>
        </w:rPr>
        <w:t>but</w:t>
      </w:r>
      <w:r w:rsidRPr="00214DDB">
        <w:rPr>
          <w:rFonts w:cs="Times New Roman"/>
        </w:rPr>
        <w:t xml:space="preserve"> the trial judge’s award should be reduced by subtracting from it an amount equal to the contributions the producers would have had to pay in exchange for higher compensation.</w:t>
      </w:r>
    </w:p>
    <w:p w:rsidR="007E1C47" w:rsidRPr="00214DDB" w:rsidRDefault="002E6705" w:rsidP="00000F01">
      <w:pPr>
        <w:pStyle w:val="SCCNormalDoubleSpacing"/>
        <w:widowControl w:val="0"/>
        <w:spacing w:after="720" w:line="240" w:lineRule="auto"/>
        <w:rPr>
          <w:rFonts w:cs="Times New Roman"/>
        </w:rPr>
      </w:pPr>
      <w:r w:rsidRPr="00214DDB">
        <w:rPr>
          <w:rFonts w:cs="Times New Roman"/>
          <w:b/>
        </w:rPr>
        <w:t>Cases Cited</w:t>
      </w:r>
    </w:p>
    <w:p w:rsidR="00A149DF" w:rsidRPr="00214DDB" w:rsidRDefault="008E7AFB" w:rsidP="00000F01">
      <w:pPr>
        <w:pStyle w:val="SCCNormalDoubleSpacing"/>
        <w:widowControl w:val="0"/>
        <w:spacing w:after="720" w:line="240" w:lineRule="auto"/>
        <w:rPr>
          <w:rFonts w:cs="Times New Roman"/>
        </w:rPr>
      </w:pPr>
      <w:r w:rsidRPr="00214DDB">
        <w:rPr>
          <w:rFonts w:cs="Times New Roman"/>
        </w:rPr>
        <w:t xml:space="preserve">By Wagner and </w:t>
      </w:r>
      <w:proofErr w:type="spellStart"/>
      <w:r w:rsidRPr="00214DDB">
        <w:rPr>
          <w:rFonts w:cs="Times New Roman"/>
        </w:rPr>
        <w:t>Gascon</w:t>
      </w:r>
      <w:proofErr w:type="spellEnd"/>
      <w:r w:rsidR="00DB76A6" w:rsidRPr="00214DDB">
        <w:rPr>
          <w:rFonts w:cs="Times New Roman"/>
        </w:rPr>
        <w:t> </w:t>
      </w:r>
      <w:r w:rsidRPr="00214DDB">
        <w:rPr>
          <w:rFonts w:cs="Times New Roman"/>
        </w:rPr>
        <w:t>JJ.</w:t>
      </w:r>
    </w:p>
    <w:p w:rsidR="00A92BC9" w:rsidRPr="00214DDB" w:rsidRDefault="002E6705" w:rsidP="00000F01">
      <w:pPr>
        <w:pStyle w:val="SCCNormalDoubleSpacing"/>
        <w:widowControl w:val="0"/>
        <w:spacing w:after="480"/>
        <w:rPr>
          <w:rFonts w:cs="Times New Roman"/>
        </w:rPr>
      </w:pPr>
      <w:r w:rsidRPr="00214DDB">
        <w:rPr>
          <w:rFonts w:cs="Times New Roman"/>
        </w:rPr>
        <w:tab/>
      </w:r>
      <w:r w:rsidRPr="00214DDB">
        <w:rPr>
          <w:rFonts w:cs="Times New Roman"/>
          <w:b/>
        </w:rPr>
        <w:t>Referred to:</w:t>
      </w:r>
      <w:r w:rsidR="00BD0E9E" w:rsidRPr="00214DDB">
        <w:rPr>
          <w:rFonts w:cs="Times New Roman"/>
        </w:rPr>
        <w:t xml:space="preserve"> </w:t>
      </w:r>
      <w:r w:rsidR="00A92BC9" w:rsidRPr="00214DDB">
        <w:rPr>
          <w:rFonts w:cs="Times New Roman"/>
          <w:i/>
        </w:rPr>
        <w:t xml:space="preserve">Law </w:t>
      </w:r>
      <w:r w:rsidR="00014461" w:rsidRPr="00214DDB">
        <w:rPr>
          <w:rFonts w:cs="Times New Roman"/>
          <w:i/>
        </w:rPr>
        <w:t>v</w:t>
      </w:r>
      <w:r w:rsidR="00A92BC9" w:rsidRPr="00214DDB">
        <w:rPr>
          <w:rFonts w:cs="Times New Roman"/>
          <w:i/>
        </w:rPr>
        <w:t>. Canada (Minist</w:t>
      </w:r>
      <w:r w:rsidR="00014461" w:rsidRPr="00214DDB">
        <w:rPr>
          <w:rFonts w:cs="Times New Roman"/>
          <w:i/>
        </w:rPr>
        <w:t>e</w:t>
      </w:r>
      <w:r w:rsidR="00A92BC9" w:rsidRPr="00214DDB">
        <w:rPr>
          <w:rFonts w:cs="Times New Roman"/>
          <w:i/>
        </w:rPr>
        <w:t>r</w:t>
      </w:r>
      <w:r w:rsidR="00014461" w:rsidRPr="00214DDB">
        <w:rPr>
          <w:rFonts w:cs="Times New Roman"/>
          <w:i/>
        </w:rPr>
        <w:t xml:space="preserve"> of Employment and </w:t>
      </w:r>
      <w:r w:rsidR="00A92BC9" w:rsidRPr="00214DDB">
        <w:rPr>
          <w:rFonts w:cs="Times New Roman"/>
          <w:i/>
        </w:rPr>
        <w:t>Immigration)</w:t>
      </w:r>
      <w:r w:rsidR="00A92BC9" w:rsidRPr="00214DDB">
        <w:rPr>
          <w:rFonts w:cs="Times New Roman"/>
        </w:rPr>
        <w:t xml:space="preserve">, [1999] 1 </w:t>
      </w:r>
      <w:r w:rsidR="00014461" w:rsidRPr="00214DDB">
        <w:rPr>
          <w:rFonts w:cs="Times New Roman"/>
        </w:rPr>
        <w:t>S.C.</w:t>
      </w:r>
      <w:r w:rsidR="00A92BC9" w:rsidRPr="00214DDB">
        <w:rPr>
          <w:rFonts w:cs="Times New Roman"/>
        </w:rPr>
        <w:t xml:space="preserve">R. 497; </w:t>
      </w:r>
      <w:r w:rsidR="00A92BC9" w:rsidRPr="00214DDB">
        <w:rPr>
          <w:rFonts w:cs="Times New Roman"/>
          <w:i/>
        </w:rPr>
        <w:t xml:space="preserve">Peters </w:t>
      </w:r>
      <w:r w:rsidR="00014461" w:rsidRPr="00214DDB">
        <w:rPr>
          <w:rFonts w:cs="Times New Roman"/>
          <w:i/>
        </w:rPr>
        <w:t>v</w:t>
      </w:r>
      <w:r w:rsidR="00A92BC9" w:rsidRPr="00214DDB">
        <w:rPr>
          <w:rFonts w:cs="Times New Roman"/>
          <w:i/>
        </w:rPr>
        <w:t>. Canada (</w:t>
      </w:r>
      <w:r w:rsidR="00014461" w:rsidRPr="00214DDB">
        <w:rPr>
          <w:rFonts w:cs="Times New Roman"/>
          <w:i/>
        </w:rPr>
        <w:t>Attorney General</w:t>
      </w:r>
      <w:r w:rsidR="00A92BC9" w:rsidRPr="00214DDB">
        <w:rPr>
          <w:rFonts w:cs="Times New Roman"/>
          <w:i/>
        </w:rPr>
        <w:t>)</w:t>
      </w:r>
      <w:r w:rsidR="00A92BC9" w:rsidRPr="00214DDB">
        <w:rPr>
          <w:rFonts w:cs="Times New Roman"/>
        </w:rPr>
        <w:t>, 2009 F</w:t>
      </w:r>
      <w:r w:rsidR="00014461" w:rsidRPr="00214DDB">
        <w:rPr>
          <w:rFonts w:cs="Times New Roman"/>
        </w:rPr>
        <w:t>C</w:t>
      </w:r>
      <w:r w:rsidR="00A92BC9" w:rsidRPr="00214DDB">
        <w:rPr>
          <w:rFonts w:cs="Times New Roman"/>
        </w:rPr>
        <w:t xml:space="preserve"> 400; </w:t>
      </w:r>
      <w:r w:rsidR="00A92BC9" w:rsidRPr="00214DDB">
        <w:rPr>
          <w:rFonts w:cs="Times New Roman"/>
          <w:i/>
        </w:rPr>
        <w:t xml:space="preserve">Martin Service Station Ltd. </w:t>
      </w:r>
      <w:r w:rsidR="00014461" w:rsidRPr="00214DDB">
        <w:rPr>
          <w:rFonts w:cs="Times New Roman"/>
          <w:i/>
        </w:rPr>
        <w:t>v</w:t>
      </w:r>
      <w:r w:rsidR="00A92BC9" w:rsidRPr="00214DDB">
        <w:rPr>
          <w:rFonts w:cs="Times New Roman"/>
          <w:i/>
        </w:rPr>
        <w:t>. Minist</w:t>
      </w:r>
      <w:r w:rsidR="00014461" w:rsidRPr="00214DDB">
        <w:rPr>
          <w:rFonts w:cs="Times New Roman"/>
          <w:i/>
        </w:rPr>
        <w:t>e</w:t>
      </w:r>
      <w:r w:rsidR="00A92BC9" w:rsidRPr="00214DDB">
        <w:rPr>
          <w:rFonts w:cs="Times New Roman"/>
          <w:i/>
        </w:rPr>
        <w:t>r</w:t>
      </w:r>
      <w:r w:rsidR="00014461" w:rsidRPr="00214DDB">
        <w:rPr>
          <w:rFonts w:cs="Times New Roman"/>
          <w:i/>
        </w:rPr>
        <w:t xml:space="preserve"> of National</w:t>
      </w:r>
      <w:r w:rsidR="00A92BC9" w:rsidRPr="00214DDB">
        <w:rPr>
          <w:rFonts w:cs="Times New Roman"/>
          <w:i/>
        </w:rPr>
        <w:t xml:space="preserve"> Revenu</w:t>
      </w:r>
      <w:r w:rsidR="00014461" w:rsidRPr="00214DDB">
        <w:rPr>
          <w:rFonts w:cs="Times New Roman"/>
          <w:i/>
        </w:rPr>
        <w:t>e</w:t>
      </w:r>
      <w:r w:rsidR="00A92BC9" w:rsidRPr="00214DDB">
        <w:rPr>
          <w:rFonts w:cs="Times New Roman"/>
        </w:rPr>
        <w:t xml:space="preserve">, [1977] 2 </w:t>
      </w:r>
      <w:r w:rsidR="00014461" w:rsidRPr="00214DDB">
        <w:rPr>
          <w:rFonts w:cs="Times New Roman"/>
        </w:rPr>
        <w:t xml:space="preserve">S.C.R. </w:t>
      </w:r>
      <w:r w:rsidR="00A92BC9" w:rsidRPr="00214DDB">
        <w:rPr>
          <w:rFonts w:cs="Times New Roman"/>
        </w:rPr>
        <w:t xml:space="preserve">996; </w:t>
      </w:r>
      <w:proofErr w:type="spellStart"/>
      <w:r w:rsidR="00A92BC9" w:rsidRPr="00214DDB">
        <w:rPr>
          <w:rFonts w:cs="Times New Roman"/>
          <w:i/>
        </w:rPr>
        <w:t>Confédération</w:t>
      </w:r>
      <w:proofErr w:type="spellEnd"/>
      <w:r w:rsidR="00A92BC9" w:rsidRPr="00214DDB">
        <w:rPr>
          <w:rFonts w:cs="Times New Roman"/>
          <w:i/>
        </w:rPr>
        <w:t xml:space="preserve"> des </w:t>
      </w:r>
      <w:proofErr w:type="spellStart"/>
      <w:r w:rsidR="00A92BC9" w:rsidRPr="00214DDB">
        <w:rPr>
          <w:rFonts w:cs="Times New Roman"/>
          <w:i/>
        </w:rPr>
        <w:t>syndicats</w:t>
      </w:r>
      <w:proofErr w:type="spellEnd"/>
      <w:r w:rsidR="00A92BC9" w:rsidRPr="00214DDB">
        <w:rPr>
          <w:rFonts w:cs="Times New Roman"/>
          <w:i/>
        </w:rPr>
        <w:t xml:space="preserve"> </w:t>
      </w:r>
      <w:proofErr w:type="spellStart"/>
      <w:r w:rsidR="00A92BC9" w:rsidRPr="00214DDB">
        <w:rPr>
          <w:rFonts w:cs="Times New Roman"/>
          <w:i/>
        </w:rPr>
        <w:t>nationaux</w:t>
      </w:r>
      <w:proofErr w:type="spellEnd"/>
      <w:r w:rsidR="00A92BC9" w:rsidRPr="00214DDB">
        <w:rPr>
          <w:rFonts w:cs="Times New Roman"/>
          <w:i/>
        </w:rPr>
        <w:t xml:space="preserve"> </w:t>
      </w:r>
      <w:r w:rsidR="00014461" w:rsidRPr="00214DDB">
        <w:rPr>
          <w:rFonts w:cs="Times New Roman"/>
          <w:i/>
        </w:rPr>
        <w:t>v</w:t>
      </w:r>
      <w:r w:rsidR="00A92BC9" w:rsidRPr="00214DDB">
        <w:rPr>
          <w:rFonts w:cs="Times New Roman"/>
          <w:i/>
        </w:rPr>
        <w:t>. Canada (</w:t>
      </w:r>
      <w:r w:rsidR="00014461" w:rsidRPr="00214DDB">
        <w:rPr>
          <w:rFonts w:cs="Times New Roman"/>
          <w:i/>
        </w:rPr>
        <w:t>Attorney General</w:t>
      </w:r>
      <w:r w:rsidR="00A92BC9" w:rsidRPr="00214DDB">
        <w:rPr>
          <w:rFonts w:cs="Times New Roman"/>
          <w:i/>
        </w:rPr>
        <w:t>)</w:t>
      </w:r>
      <w:r w:rsidR="00A92BC9" w:rsidRPr="00214DDB">
        <w:rPr>
          <w:rFonts w:cs="Times New Roman"/>
        </w:rPr>
        <w:t>, 2008 S</w:t>
      </w:r>
      <w:r w:rsidR="00014461" w:rsidRPr="00214DDB">
        <w:rPr>
          <w:rFonts w:cs="Times New Roman"/>
        </w:rPr>
        <w:t>C</w:t>
      </w:r>
      <w:r w:rsidR="00A92BC9" w:rsidRPr="00214DDB">
        <w:rPr>
          <w:rFonts w:cs="Times New Roman"/>
        </w:rPr>
        <w:t xml:space="preserve">C 68, [2008] 3 </w:t>
      </w:r>
      <w:r w:rsidR="00014461" w:rsidRPr="00214DDB">
        <w:rPr>
          <w:rFonts w:cs="Times New Roman"/>
        </w:rPr>
        <w:t xml:space="preserve">S.C.R. </w:t>
      </w:r>
      <w:r w:rsidR="00A92BC9" w:rsidRPr="00214DDB">
        <w:rPr>
          <w:rFonts w:cs="Times New Roman"/>
        </w:rPr>
        <w:t xml:space="preserve">511; </w:t>
      </w:r>
      <w:proofErr w:type="spellStart"/>
      <w:r w:rsidR="00A92BC9" w:rsidRPr="00214DDB">
        <w:rPr>
          <w:rFonts w:cs="Times New Roman"/>
          <w:i/>
        </w:rPr>
        <w:t>Trépanier</w:t>
      </w:r>
      <w:proofErr w:type="spellEnd"/>
      <w:r w:rsidR="00A92BC9" w:rsidRPr="00214DDB">
        <w:rPr>
          <w:rFonts w:cs="Times New Roman"/>
          <w:i/>
        </w:rPr>
        <w:t xml:space="preserve"> </w:t>
      </w:r>
      <w:r w:rsidR="00014461" w:rsidRPr="00214DDB">
        <w:rPr>
          <w:rFonts w:cs="Times New Roman"/>
          <w:i/>
        </w:rPr>
        <w:t>v</w:t>
      </w:r>
      <w:r w:rsidR="00A92BC9" w:rsidRPr="00214DDB">
        <w:rPr>
          <w:rFonts w:cs="Times New Roman"/>
          <w:i/>
        </w:rPr>
        <w:t xml:space="preserve">. </w:t>
      </w:r>
      <w:proofErr w:type="spellStart"/>
      <w:r w:rsidR="00A92BC9" w:rsidRPr="00214DDB">
        <w:rPr>
          <w:rFonts w:cs="Times New Roman"/>
          <w:i/>
        </w:rPr>
        <w:t>Financière</w:t>
      </w:r>
      <w:proofErr w:type="spellEnd"/>
      <w:r w:rsidR="00A92BC9" w:rsidRPr="00214DDB">
        <w:rPr>
          <w:rFonts w:cs="Times New Roman"/>
          <w:i/>
        </w:rPr>
        <w:t xml:space="preserve"> </w:t>
      </w:r>
      <w:proofErr w:type="spellStart"/>
      <w:r w:rsidR="00A92BC9" w:rsidRPr="00214DDB">
        <w:rPr>
          <w:rFonts w:cs="Times New Roman"/>
          <w:i/>
        </w:rPr>
        <w:t>agricole</w:t>
      </w:r>
      <w:proofErr w:type="spellEnd"/>
      <w:r w:rsidR="00A92BC9" w:rsidRPr="00214DDB">
        <w:rPr>
          <w:rFonts w:cs="Times New Roman"/>
          <w:i/>
        </w:rPr>
        <w:t xml:space="preserve"> du Québec</w:t>
      </w:r>
      <w:r w:rsidR="00A92BC9" w:rsidRPr="00214DDB">
        <w:rPr>
          <w:rFonts w:cs="Times New Roman"/>
        </w:rPr>
        <w:t xml:space="preserve">, 2011 QCCS 1802; </w:t>
      </w:r>
      <w:r w:rsidR="00A92BC9" w:rsidRPr="00214DDB">
        <w:rPr>
          <w:rFonts w:cs="Times New Roman"/>
          <w:i/>
        </w:rPr>
        <w:t xml:space="preserve">Jacobs </w:t>
      </w:r>
      <w:r w:rsidR="00014461" w:rsidRPr="00214DDB">
        <w:rPr>
          <w:rFonts w:cs="Times New Roman"/>
          <w:i/>
        </w:rPr>
        <w:t>v</w:t>
      </w:r>
      <w:r w:rsidR="00A92BC9" w:rsidRPr="00214DDB">
        <w:rPr>
          <w:rFonts w:cs="Times New Roman"/>
          <w:i/>
        </w:rPr>
        <w:t>.</w:t>
      </w:r>
      <w:r w:rsidR="00014461" w:rsidRPr="00214DDB">
        <w:rPr>
          <w:rFonts w:cs="Times New Roman"/>
          <w:i/>
        </w:rPr>
        <w:t xml:space="preserve"> Agricultural Stabilization Board</w:t>
      </w:r>
      <w:r w:rsidR="00A92BC9" w:rsidRPr="00214DDB">
        <w:rPr>
          <w:rFonts w:cs="Times New Roman"/>
        </w:rPr>
        <w:t xml:space="preserve">, [1982] 1 </w:t>
      </w:r>
      <w:r w:rsidR="00014461" w:rsidRPr="00214DDB">
        <w:rPr>
          <w:rFonts w:cs="Times New Roman"/>
        </w:rPr>
        <w:t xml:space="preserve">S.C.R. </w:t>
      </w:r>
      <w:r w:rsidR="00A92BC9" w:rsidRPr="00214DDB">
        <w:rPr>
          <w:rFonts w:cs="Times New Roman"/>
        </w:rPr>
        <w:t xml:space="preserve">125; </w:t>
      </w:r>
      <w:r w:rsidR="00A92BC9" w:rsidRPr="00214DDB">
        <w:rPr>
          <w:rFonts w:cs="Times New Roman"/>
          <w:i/>
        </w:rPr>
        <w:t xml:space="preserve">George A. </w:t>
      </w:r>
      <w:proofErr w:type="spellStart"/>
      <w:r w:rsidR="00A92BC9" w:rsidRPr="00214DDB">
        <w:rPr>
          <w:rFonts w:cs="Times New Roman"/>
          <w:i/>
        </w:rPr>
        <w:t>Demeyere</w:t>
      </w:r>
      <w:proofErr w:type="spellEnd"/>
      <w:r w:rsidR="00A92BC9" w:rsidRPr="00214DDB">
        <w:rPr>
          <w:rFonts w:cs="Times New Roman"/>
          <w:i/>
        </w:rPr>
        <w:t xml:space="preserve"> Tobacco Farms Ltd. </w:t>
      </w:r>
      <w:r w:rsidR="00014461" w:rsidRPr="00214DDB">
        <w:rPr>
          <w:rFonts w:cs="Times New Roman"/>
          <w:i/>
        </w:rPr>
        <w:t>v</w:t>
      </w:r>
      <w:r w:rsidR="00A92BC9" w:rsidRPr="00214DDB">
        <w:rPr>
          <w:rFonts w:cs="Times New Roman"/>
          <w:i/>
        </w:rPr>
        <w:t>. Continental Insurance Co.</w:t>
      </w:r>
      <w:r w:rsidR="00A92BC9" w:rsidRPr="00214DDB">
        <w:rPr>
          <w:rFonts w:cs="Times New Roman"/>
        </w:rPr>
        <w:t xml:space="preserve"> (1984), 46 O.R. (2d) 423; </w:t>
      </w:r>
      <w:r w:rsidR="00A92BC9" w:rsidRPr="00214DDB">
        <w:rPr>
          <w:rFonts w:cs="Times New Roman"/>
          <w:i/>
        </w:rPr>
        <w:t xml:space="preserve">Brissette </w:t>
      </w:r>
      <w:r w:rsidR="00014461" w:rsidRPr="00214DDB">
        <w:rPr>
          <w:rFonts w:cs="Times New Roman"/>
          <w:i/>
        </w:rPr>
        <w:t>v</w:t>
      </w:r>
      <w:r w:rsidR="00A92BC9" w:rsidRPr="00214DDB">
        <w:rPr>
          <w:rFonts w:cs="Times New Roman"/>
          <w:i/>
        </w:rPr>
        <w:t xml:space="preserve">. </w:t>
      </w:r>
      <w:proofErr w:type="spellStart"/>
      <w:r w:rsidR="00A92BC9" w:rsidRPr="00214DDB">
        <w:rPr>
          <w:rFonts w:cs="Times New Roman"/>
          <w:i/>
        </w:rPr>
        <w:t>Financière</w:t>
      </w:r>
      <w:proofErr w:type="spellEnd"/>
      <w:r w:rsidR="00A92BC9" w:rsidRPr="00214DDB">
        <w:rPr>
          <w:rFonts w:cs="Times New Roman"/>
          <w:i/>
        </w:rPr>
        <w:t xml:space="preserve"> </w:t>
      </w:r>
      <w:proofErr w:type="spellStart"/>
      <w:r w:rsidR="00A92BC9" w:rsidRPr="00214DDB">
        <w:rPr>
          <w:rFonts w:cs="Times New Roman"/>
          <w:i/>
        </w:rPr>
        <w:t>agricole</w:t>
      </w:r>
      <w:proofErr w:type="spellEnd"/>
      <w:r w:rsidR="00A92BC9" w:rsidRPr="00214DDB">
        <w:rPr>
          <w:rFonts w:cs="Times New Roman"/>
        </w:rPr>
        <w:t xml:space="preserve">, 2006 QCCS 1620; </w:t>
      </w:r>
      <w:r w:rsidR="00A92BC9" w:rsidRPr="00214DDB">
        <w:rPr>
          <w:rFonts w:cs="Times New Roman"/>
          <w:i/>
        </w:rPr>
        <w:t>Canada (</w:t>
      </w:r>
      <w:r w:rsidR="00014461" w:rsidRPr="00214DDB">
        <w:rPr>
          <w:rFonts w:cs="Times New Roman"/>
          <w:i/>
        </w:rPr>
        <w:t>Attorney General</w:t>
      </w:r>
      <w:r w:rsidR="00A92BC9" w:rsidRPr="00214DDB">
        <w:rPr>
          <w:rFonts w:cs="Times New Roman"/>
          <w:i/>
        </w:rPr>
        <w:t xml:space="preserve">) </w:t>
      </w:r>
      <w:r w:rsidR="00014461" w:rsidRPr="00214DDB">
        <w:rPr>
          <w:rFonts w:cs="Times New Roman"/>
          <w:i/>
        </w:rPr>
        <w:t>v</w:t>
      </w:r>
      <w:r w:rsidR="00A92BC9" w:rsidRPr="00214DDB">
        <w:rPr>
          <w:rFonts w:cs="Times New Roman"/>
          <w:i/>
        </w:rPr>
        <w:t xml:space="preserve">. </w:t>
      </w:r>
      <w:proofErr w:type="spellStart"/>
      <w:r w:rsidR="00A92BC9" w:rsidRPr="00214DDB">
        <w:rPr>
          <w:rFonts w:cs="Times New Roman"/>
          <w:i/>
        </w:rPr>
        <w:t>Mavi</w:t>
      </w:r>
      <w:proofErr w:type="spellEnd"/>
      <w:r w:rsidR="00A92BC9" w:rsidRPr="00214DDB">
        <w:rPr>
          <w:rFonts w:cs="Times New Roman"/>
        </w:rPr>
        <w:t xml:space="preserve">, 2011 </w:t>
      </w:r>
      <w:r w:rsidR="00014461" w:rsidRPr="00214DDB">
        <w:rPr>
          <w:rFonts w:cs="Times New Roman"/>
        </w:rPr>
        <w:t xml:space="preserve">SCC </w:t>
      </w:r>
      <w:r w:rsidR="00A92BC9" w:rsidRPr="00214DDB">
        <w:rPr>
          <w:rFonts w:cs="Times New Roman"/>
        </w:rPr>
        <w:t xml:space="preserve">30, [2011] 2 </w:t>
      </w:r>
      <w:r w:rsidR="00014461" w:rsidRPr="00214DDB">
        <w:rPr>
          <w:rFonts w:cs="Times New Roman"/>
        </w:rPr>
        <w:t xml:space="preserve">S.C.R. </w:t>
      </w:r>
      <w:r w:rsidR="00A92BC9" w:rsidRPr="00214DDB">
        <w:rPr>
          <w:rFonts w:cs="Times New Roman"/>
        </w:rPr>
        <w:t xml:space="preserve">504; </w:t>
      </w:r>
      <w:proofErr w:type="spellStart"/>
      <w:r w:rsidR="00A92BC9" w:rsidRPr="00214DDB">
        <w:rPr>
          <w:rFonts w:cs="Times New Roman"/>
          <w:i/>
        </w:rPr>
        <w:t>Glykis</w:t>
      </w:r>
      <w:proofErr w:type="spellEnd"/>
      <w:r w:rsidR="00A92BC9" w:rsidRPr="00214DDB">
        <w:rPr>
          <w:rFonts w:cs="Times New Roman"/>
          <w:i/>
        </w:rPr>
        <w:t xml:space="preserve"> </w:t>
      </w:r>
      <w:r w:rsidR="00014461" w:rsidRPr="00214DDB">
        <w:rPr>
          <w:rFonts w:cs="Times New Roman"/>
          <w:i/>
        </w:rPr>
        <w:t>v</w:t>
      </w:r>
      <w:r w:rsidR="00A92BC9" w:rsidRPr="00214DDB">
        <w:rPr>
          <w:rFonts w:cs="Times New Roman"/>
          <w:i/>
        </w:rPr>
        <w:t>. Hydro</w:t>
      </w:r>
      <w:r w:rsidR="00DB76A6" w:rsidRPr="00214DDB">
        <w:rPr>
          <w:rFonts w:cs="Times New Roman"/>
          <w:i/>
        </w:rPr>
        <w:noBreakHyphen/>
      </w:r>
      <w:r w:rsidR="00A92BC9" w:rsidRPr="00214DDB">
        <w:rPr>
          <w:rFonts w:cs="Times New Roman"/>
          <w:i/>
        </w:rPr>
        <w:t>Québec</w:t>
      </w:r>
      <w:r w:rsidR="00A92BC9" w:rsidRPr="00214DDB">
        <w:rPr>
          <w:rFonts w:cs="Times New Roman"/>
        </w:rPr>
        <w:t xml:space="preserve">, 2004 </w:t>
      </w:r>
      <w:r w:rsidR="00014461" w:rsidRPr="00214DDB">
        <w:rPr>
          <w:rFonts w:cs="Times New Roman"/>
        </w:rPr>
        <w:t xml:space="preserve">SCC </w:t>
      </w:r>
      <w:r w:rsidR="00A92BC9" w:rsidRPr="00214DDB">
        <w:rPr>
          <w:rFonts w:cs="Times New Roman"/>
        </w:rPr>
        <w:t xml:space="preserve">60, [2004] 3 </w:t>
      </w:r>
      <w:r w:rsidR="00014461" w:rsidRPr="00214DDB">
        <w:rPr>
          <w:rFonts w:cs="Times New Roman"/>
        </w:rPr>
        <w:t xml:space="preserve">S.C.R. </w:t>
      </w:r>
      <w:r w:rsidR="00A92BC9" w:rsidRPr="00214DDB">
        <w:rPr>
          <w:rFonts w:cs="Times New Roman"/>
        </w:rPr>
        <w:t xml:space="preserve">285; </w:t>
      </w:r>
      <w:proofErr w:type="spellStart"/>
      <w:r w:rsidR="00A92BC9" w:rsidRPr="00214DDB">
        <w:rPr>
          <w:rFonts w:cs="Times New Roman"/>
          <w:i/>
        </w:rPr>
        <w:t>Financière</w:t>
      </w:r>
      <w:proofErr w:type="spellEnd"/>
      <w:r w:rsidR="00A92BC9" w:rsidRPr="00214DDB">
        <w:rPr>
          <w:rFonts w:cs="Times New Roman"/>
          <w:i/>
        </w:rPr>
        <w:t xml:space="preserve"> </w:t>
      </w:r>
      <w:proofErr w:type="spellStart"/>
      <w:r w:rsidR="00A92BC9" w:rsidRPr="00214DDB">
        <w:rPr>
          <w:rFonts w:cs="Times New Roman"/>
          <w:i/>
        </w:rPr>
        <w:t>agricole</w:t>
      </w:r>
      <w:proofErr w:type="spellEnd"/>
      <w:r w:rsidR="00A92BC9" w:rsidRPr="00214DDB">
        <w:rPr>
          <w:rFonts w:cs="Times New Roman"/>
          <w:i/>
        </w:rPr>
        <w:t xml:space="preserve"> du Québec </w:t>
      </w:r>
      <w:r w:rsidR="00014461" w:rsidRPr="00214DDB">
        <w:rPr>
          <w:rFonts w:cs="Times New Roman"/>
          <w:i/>
        </w:rPr>
        <w:t>v</w:t>
      </w:r>
      <w:r w:rsidR="00A92BC9" w:rsidRPr="00214DDB">
        <w:rPr>
          <w:rFonts w:cs="Times New Roman"/>
          <w:i/>
        </w:rPr>
        <w:t xml:space="preserve">. </w:t>
      </w:r>
      <w:proofErr w:type="spellStart"/>
      <w:r w:rsidR="00A92BC9" w:rsidRPr="00214DDB">
        <w:rPr>
          <w:rFonts w:cs="Times New Roman"/>
          <w:i/>
        </w:rPr>
        <w:t>Forand</w:t>
      </w:r>
      <w:proofErr w:type="spellEnd"/>
      <w:r w:rsidR="00A92BC9" w:rsidRPr="00214DDB">
        <w:rPr>
          <w:rFonts w:cs="Times New Roman"/>
        </w:rPr>
        <w:t xml:space="preserve">, 2009 QCCQ 10263; </w:t>
      </w:r>
      <w:r w:rsidR="00A92BC9" w:rsidRPr="00214DDB">
        <w:rPr>
          <w:rFonts w:cs="Times New Roman"/>
          <w:i/>
        </w:rPr>
        <w:t xml:space="preserve">Martel Building Ltd. </w:t>
      </w:r>
      <w:r w:rsidR="00014461" w:rsidRPr="00214DDB">
        <w:rPr>
          <w:rFonts w:cs="Times New Roman"/>
          <w:i/>
        </w:rPr>
        <w:t>v</w:t>
      </w:r>
      <w:r w:rsidR="00A92BC9" w:rsidRPr="00214DDB">
        <w:rPr>
          <w:rFonts w:cs="Times New Roman"/>
          <w:i/>
        </w:rPr>
        <w:t>. Canada</w:t>
      </w:r>
      <w:r w:rsidR="00A92BC9" w:rsidRPr="00214DDB">
        <w:rPr>
          <w:rFonts w:cs="Times New Roman"/>
        </w:rPr>
        <w:t xml:space="preserve">, 2000 </w:t>
      </w:r>
      <w:r w:rsidR="00014461" w:rsidRPr="00214DDB">
        <w:rPr>
          <w:rFonts w:cs="Times New Roman"/>
        </w:rPr>
        <w:t xml:space="preserve">SCC </w:t>
      </w:r>
      <w:r w:rsidR="00A92BC9" w:rsidRPr="00214DDB">
        <w:rPr>
          <w:rFonts w:cs="Times New Roman"/>
        </w:rPr>
        <w:t xml:space="preserve">60, [2000] 2 </w:t>
      </w:r>
      <w:r w:rsidR="00014461" w:rsidRPr="00214DDB">
        <w:rPr>
          <w:rFonts w:cs="Times New Roman"/>
        </w:rPr>
        <w:t xml:space="preserve">S.C.R. </w:t>
      </w:r>
      <w:r w:rsidR="00A92BC9" w:rsidRPr="00214DDB">
        <w:rPr>
          <w:rFonts w:cs="Times New Roman"/>
        </w:rPr>
        <w:t xml:space="preserve">860; </w:t>
      </w:r>
      <w:proofErr w:type="spellStart"/>
      <w:r w:rsidR="00CE02E4" w:rsidRPr="00214DDB">
        <w:rPr>
          <w:rFonts w:cs="Times New Roman"/>
          <w:i/>
        </w:rPr>
        <w:t>Colautti</w:t>
      </w:r>
      <w:proofErr w:type="spellEnd"/>
      <w:r w:rsidR="00CE02E4" w:rsidRPr="00214DDB">
        <w:rPr>
          <w:rFonts w:cs="Times New Roman"/>
          <w:i/>
        </w:rPr>
        <w:t xml:space="preserve"> Brothers Marble Tile &amp; Carpet (1985) Inc. v. Windsor (City)</w:t>
      </w:r>
      <w:r w:rsidR="00CE02E4" w:rsidRPr="00214DDB">
        <w:rPr>
          <w:rFonts w:cs="Times New Roman"/>
        </w:rPr>
        <w:t xml:space="preserve"> (1996), 36 M.P.L.R. (2d) 258; </w:t>
      </w:r>
      <w:r w:rsidR="00A92BC9" w:rsidRPr="00214DDB">
        <w:rPr>
          <w:rFonts w:cs="Times New Roman"/>
          <w:i/>
        </w:rPr>
        <w:t xml:space="preserve">Rollo Bay Holdings Ltd. </w:t>
      </w:r>
      <w:r w:rsidR="00014461" w:rsidRPr="00214DDB">
        <w:rPr>
          <w:rFonts w:cs="Times New Roman"/>
          <w:i/>
        </w:rPr>
        <w:t>v</w:t>
      </w:r>
      <w:r w:rsidR="00A92BC9" w:rsidRPr="00214DDB">
        <w:rPr>
          <w:rFonts w:cs="Times New Roman"/>
          <w:i/>
        </w:rPr>
        <w:t>. Prince Edward Island Agricultural Development Cor</w:t>
      </w:r>
      <w:r w:rsidR="00DB76A6" w:rsidRPr="00214DDB">
        <w:rPr>
          <w:rFonts w:cs="Times New Roman"/>
          <w:i/>
        </w:rPr>
        <w:t>p. </w:t>
      </w:r>
      <w:r w:rsidR="00A92BC9" w:rsidRPr="00214DDB">
        <w:rPr>
          <w:rFonts w:cs="Times New Roman"/>
        </w:rPr>
        <w:t xml:space="preserve">(1993), 110 D.L.R. (4th) </w:t>
      </w:r>
      <w:r w:rsidR="00A92BC9" w:rsidRPr="00214DDB">
        <w:rPr>
          <w:rFonts w:cs="Times New Roman"/>
        </w:rPr>
        <w:lastRenderedPageBreak/>
        <w:t xml:space="preserve">132; </w:t>
      </w:r>
      <w:proofErr w:type="spellStart"/>
      <w:r w:rsidR="00A92BC9" w:rsidRPr="00214DDB">
        <w:rPr>
          <w:rFonts w:cs="Times New Roman"/>
          <w:i/>
        </w:rPr>
        <w:t>Financière</w:t>
      </w:r>
      <w:proofErr w:type="spellEnd"/>
      <w:r w:rsidR="00A92BC9" w:rsidRPr="00214DDB">
        <w:rPr>
          <w:rFonts w:cs="Times New Roman"/>
          <w:i/>
        </w:rPr>
        <w:t xml:space="preserve"> </w:t>
      </w:r>
      <w:proofErr w:type="spellStart"/>
      <w:r w:rsidR="00A92BC9" w:rsidRPr="00214DDB">
        <w:rPr>
          <w:rFonts w:cs="Times New Roman"/>
          <w:i/>
        </w:rPr>
        <w:t>agricole</w:t>
      </w:r>
      <w:proofErr w:type="spellEnd"/>
      <w:r w:rsidR="00A92BC9" w:rsidRPr="00214DDB">
        <w:rPr>
          <w:rFonts w:cs="Times New Roman"/>
          <w:i/>
        </w:rPr>
        <w:t xml:space="preserve"> du Québec </w:t>
      </w:r>
      <w:r w:rsidR="00014461" w:rsidRPr="00214DDB">
        <w:rPr>
          <w:rFonts w:cs="Times New Roman"/>
          <w:i/>
        </w:rPr>
        <w:t>v</w:t>
      </w:r>
      <w:r w:rsidR="00A92BC9" w:rsidRPr="00214DDB">
        <w:rPr>
          <w:rFonts w:cs="Times New Roman"/>
          <w:i/>
        </w:rPr>
        <w:t xml:space="preserve">. </w:t>
      </w:r>
      <w:proofErr w:type="spellStart"/>
      <w:r w:rsidR="00A92BC9" w:rsidRPr="00214DDB">
        <w:rPr>
          <w:rFonts w:cs="Times New Roman"/>
          <w:i/>
        </w:rPr>
        <w:t>Coddington</w:t>
      </w:r>
      <w:proofErr w:type="spellEnd"/>
      <w:r w:rsidR="00A92BC9" w:rsidRPr="00214DDB">
        <w:rPr>
          <w:rFonts w:cs="Times New Roman"/>
        </w:rPr>
        <w:t xml:space="preserve">, 2013 QCCQ 6238; </w:t>
      </w:r>
      <w:proofErr w:type="spellStart"/>
      <w:r w:rsidR="00A92BC9" w:rsidRPr="00214DDB">
        <w:rPr>
          <w:rFonts w:cs="Times New Roman"/>
          <w:i/>
        </w:rPr>
        <w:t>Lafortune</w:t>
      </w:r>
      <w:proofErr w:type="spellEnd"/>
      <w:r w:rsidR="00A92BC9" w:rsidRPr="00214DDB">
        <w:rPr>
          <w:rFonts w:cs="Times New Roman"/>
          <w:i/>
        </w:rPr>
        <w:t xml:space="preserve"> </w:t>
      </w:r>
      <w:r w:rsidR="00014461" w:rsidRPr="00214DDB">
        <w:rPr>
          <w:rFonts w:cs="Times New Roman"/>
          <w:i/>
        </w:rPr>
        <w:t>v</w:t>
      </w:r>
      <w:r w:rsidR="00A92BC9" w:rsidRPr="00214DDB">
        <w:rPr>
          <w:rFonts w:cs="Times New Roman"/>
          <w:i/>
        </w:rPr>
        <w:t xml:space="preserve">. </w:t>
      </w:r>
      <w:proofErr w:type="spellStart"/>
      <w:r w:rsidR="00A92BC9" w:rsidRPr="00214DDB">
        <w:rPr>
          <w:rFonts w:cs="Times New Roman"/>
          <w:i/>
        </w:rPr>
        <w:t>Financière</w:t>
      </w:r>
      <w:proofErr w:type="spellEnd"/>
      <w:r w:rsidR="00A92BC9" w:rsidRPr="00214DDB">
        <w:rPr>
          <w:rFonts w:cs="Times New Roman"/>
          <w:i/>
        </w:rPr>
        <w:t xml:space="preserve"> </w:t>
      </w:r>
      <w:proofErr w:type="spellStart"/>
      <w:r w:rsidR="00A92BC9" w:rsidRPr="00214DDB">
        <w:rPr>
          <w:rFonts w:cs="Times New Roman"/>
          <w:i/>
        </w:rPr>
        <w:t>agricole</w:t>
      </w:r>
      <w:proofErr w:type="spellEnd"/>
      <w:r w:rsidR="00A92BC9" w:rsidRPr="00214DDB">
        <w:rPr>
          <w:rFonts w:cs="Times New Roman"/>
          <w:i/>
        </w:rPr>
        <w:t xml:space="preserve"> du Québec</w:t>
      </w:r>
      <w:r w:rsidR="00A92BC9" w:rsidRPr="00214DDB">
        <w:rPr>
          <w:rFonts w:cs="Times New Roman"/>
        </w:rPr>
        <w:t xml:space="preserve">, 2016 </w:t>
      </w:r>
      <w:r w:rsidR="00014461" w:rsidRPr="00214DDB">
        <w:rPr>
          <w:rFonts w:cs="Times New Roman"/>
        </w:rPr>
        <w:t xml:space="preserve">SCC </w:t>
      </w:r>
      <w:r w:rsidR="00F95A7A" w:rsidRPr="00214DDB">
        <w:rPr>
          <w:rFonts w:cs="Times New Roman"/>
        </w:rPr>
        <w:t>35</w:t>
      </w:r>
      <w:r w:rsidR="00D158EF">
        <w:rPr>
          <w:rFonts w:cs="Times New Roman"/>
        </w:rPr>
        <w:t>, [2016] 1</w:t>
      </w:r>
      <w:r w:rsidR="00FC00C6">
        <w:rPr>
          <w:rFonts w:cs="Times New Roman"/>
        </w:rPr>
        <w:t xml:space="preserve"> S.C.R. </w:t>
      </w:r>
      <w:r w:rsidR="00D158EF">
        <w:rPr>
          <w:rFonts w:cs="Times New Roman"/>
        </w:rPr>
        <w:t>1091</w:t>
      </w:r>
      <w:r w:rsidR="00A92BC9" w:rsidRPr="00214DDB">
        <w:rPr>
          <w:rFonts w:cs="Times New Roman"/>
        </w:rPr>
        <w:t xml:space="preserve">; </w:t>
      </w:r>
      <w:r w:rsidR="00A92BC9" w:rsidRPr="00214DDB">
        <w:rPr>
          <w:rFonts w:cs="Times New Roman"/>
          <w:i/>
        </w:rPr>
        <w:t>Brissette</w:t>
      </w:r>
      <w:r w:rsidR="00014461" w:rsidRPr="00214DDB">
        <w:rPr>
          <w:rFonts w:cs="Times New Roman"/>
          <w:i/>
        </w:rPr>
        <w:t xml:space="preserve"> Estate v</w:t>
      </w:r>
      <w:r w:rsidR="00A92BC9" w:rsidRPr="00214DDB">
        <w:rPr>
          <w:rFonts w:cs="Times New Roman"/>
          <w:i/>
        </w:rPr>
        <w:t>. Westbury Life Insurance Co.</w:t>
      </w:r>
      <w:r w:rsidR="00A92BC9" w:rsidRPr="00214DDB">
        <w:rPr>
          <w:rFonts w:cs="Times New Roman"/>
        </w:rPr>
        <w:t xml:space="preserve">, [1992] 3 </w:t>
      </w:r>
      <w:r w:rsidR="00014461" w:rsidRPr="00214DDB">
        <w:rPr>
          <w:rFonts w:cs="Times New Roman"/>
        </w:rPr>
        <w:t xml:space="preserve">S.C.R. </w:t>
      </w:r>
      <w:r w:rsidR="00A92BC9" w:rsidRPr="00214DDB">
        <w:rPr>
          <w:rFonts w:cs="Times New Roman"/>
        </w:rPr>
        <w:t xml:space="preserve">87; </w:t>
      </w:r>
      <w:r w:rsidR="00A92BC9" w:rsidRPr="00214DDB">
        <w:rPr>
          <w:rFonts w:cs="Times New Roman"/>
          <w:i/>
        </w:rPr>
        <w:t xml:space="preserve">Jesuit Fathers of Upper Canada </w:t>
      </w:r>
      <w:r w:rsidR="00014461" w:rsidRPr="00214DDB">
        <w:rPr>
          <w:rFonts w:cs="Times New Roman"/>
          <w:i/>
        </w:rPr>
        <w:t>v</w:t>
      </w:r>
      <w:r w:rsidR="00A92BC9" w:rsidRPr="00214DDB">
        <w:rPr>
          <w:rFonts w:cs="Times New Roman"/>
          <w:i/>
        </w:rPr>
        <w:t xml:space="preserve">. Guardian </w:t>
      </w:r>
      <w:r w:rsidR="00014461" w:rsidRPr="00214DDB">
        <w:rPr>
          <w:rFonts w:cs="Times New Roman"/>
          <w:i/>
        </w:rPr>
        <w:t>Insurance Co. of</w:t>
      </w:r>
      <w:r w:rsidR="00A92BC9" w:rsidRPr="00214DDB">
        <w:rPr>
          <w:rFonts w:cs="Times New Roman"/>
          <w:i/>
        </w:rPr>
        <w:t xml:space="preserve"> Canada</w:t>
      </w:r>
      <w:r w:rsidR="00A92BC9" w:rsidRPr="00214DDB">
        <w:rPr>
          <w:rFonts w:cs="Times New Roman"/>
        </w:rPr>
        <w:t xml:space="preserve">, 2006 </w:t>
      </w:r>
      <w:r w:rsidR="00014461" w:rsidRPr="00214DDB">
        <w:rPr>
          <w:rFonts w:cs="Times New Roman"/>
        </w:rPr>
        <w:t xml:space="preserve">SCC </w:t>
      </w:r>
      <w:r w:rsidR="00A92BC9" w:rsidRPr="00214DDB">
        <w:rPr>
          <w:rFonts w:cs="Times New Roman"/>
        </w:rPr>
        <w:t xml:space="preserve">21, [2006] 1 </w:t>
      </w:r>
      <w:r w:rsidR="00014461" w:rsidRPr="00214DDB">
        <w:rPr>
          <w:rFonts w:cs="Times New Roman"/>
        </w:rPr>
        <w:t xml:space="preserve">S.C.R. </w:t>
      </w:r>
      <w:r w:rsidR="00A92BC9" w:rsidRPr="00214DDB">
        <w:rPr>
          <w:rFonts w:cs="Times New Roman"/>
        </w:rPr>
        <w:t xml:space="preserve">744; </w:t>
      </w:r>
      <w:r w:rsidR="00A92BC9" w:rsidRPr="00214DDB">
        <w:rPr>
          <w:rFonts w:cs="Times New Roman"/>
          <w:i/>
        </w:rPr>
        <w:t xml:space="preserve">Reid Crowther &amp; Partners Ltd. </w:t>
      </w:r>
      <w:r w:rsidR="00014461" w:rsidRPr="00214DDB">
        <w:rPr>
          <w:rFonts w:cs="Times New Roman"/>
          <w:i/>
        </w:rPr>
        <w:t>v</w:t>
      </w:r>
      <w:r w:rsidR="00A92BC9" w:rsidRPr="00214DDB">
        <w:rPr>
          <w:rFonts w:cs="Times New Roman"/>
          <w:i/>
        </w:rPr>
        <w:t>. Simcoe &amp; Erie General Insurance Co.</w:t>
      </w:r>
      <w:r w:rsidR="00A92BC9" w:rsidRPr="00214DDB">
        <w:rPr>
          <w:rFonts w:cs="Times New Roman"/>
        </w:rPr>
        <w:t xml:space="preserve">, [1993] 1 </w:t>
      </w:r>
      <w:r w:rsidR="00014461" w:rsidRPr="00214DDB">
        <w:rPr>
          <w:rFonts w:cs="Times New Roman"/>
        </w:rPr>
        <w:t xml:space="preserve">S.C.R. </w:t>
      </w:r>
      <w:r w:rsidR="00A92BC9" w:rsidRPr="00214DDB">
        <w:rPr>
          <w:rFonts w:cs="Times New Roman"/>
        </w:rPr>
        <w:t xml:space="preserve">252; </w:t>
      </w:r>
      <w:r w:rsidR="00014461" w:rsidRPr="00214DDB">
        <w:rPr>
          <w:rFonts w:cs="Times New Roman"/>
          <w:i/>
        </w:rPr>
        <w:t>N</w:t>
      </w:r>
      <w:r w:rsidR="00A92BC9" w:rsidRPr="00214DDB">
        <w:rPr>
          <w:rFonts w:cs="Times New Roman"/>
          <w:i/>
        </w:rPr>
        <w:t>ational</w:t>
      </w:r>
      <w:r w:rsidR="00014461" w:rsidRPr="00214DDB">
        <w:rPr>
          <w:rFonts w:cs="Times New Roman"/>
          <w:i/>
        </w:rPr>
        <w:t xml:space="preserve"> Bank of Greece</w:t>
      </w:r>
      <w:r w:rsidR="00A92BC9" w:rsidRPr="00214DDB">
        <w:rPr>
          <w:rFonts w:cs="Times New Roman"/>
          <w:i/>
        </w:rPr>
        <w:t xml:space="preserve"> (Canada) </w:t>
      </w:r>
      <w:r w:rsidR="00014461" w:rsidRPr="00214DDB">
        <w:rPr>
          <w:rFonts w:cs="Times New Roman"/>
          <w:i/>
        </w:rPr>
        <w:t>v</w:t>
      </w:r>
      <w:r w:rsidR="00A92BC9" w:rsidRPr="00214DDB">
        <w:rPr>
          <w:rFonts w:cs="Times New Roman"/>
          <w:i/>
        </w:rPr>
        <w:t xml:space="preserve">. </w:t>
      </w:r>
      <w:proofErr w:type="spellStart"/>
      <w:r w:rsidR="00A92BC9" w:rsidRPr="00214DDB">
        <w:rPr>
          <w:rFonts w:cs="Times New Roman"/>
          <w:i/>
        </w:rPr>
        <w:t>Katsikonouris</w:t>
      </w:r>
      <w:proofErr w:type="spellEnd"/>
      <w:r w:rsidR="00A92BC9" w:rsidRPr="00214DDB">
        <w:rPr>
          <w:rFonts w:cs="Times New Roman"/>
        </w:rPr>
        <w:t xml:space="preserve">, [1990] 2 </w:t>
      </w:r>
      <w:r w:rsidR="00014461" w:rsidRPr="00214DDB">
        <w:rPr>
          <w:rFonts w:cs="Times New Roman"/>
        </w:rPr>
        <w:t xml:space="preserve">S.C.R. </w:t>
      </w:r>
      <w:r w:rsidR="00A92BC9" w:rsidRPr="00214DDB">
        <w:rPr>
          <w:rFonts w:cs="Times New Roman"/>
        </w:rPr>
        <w:t xml:space="preserve">1029; </w:t>
      </w:r>
      <w:r w:rsidR="00A92BC9" w:rsidRPr="00214DDB">
        <w:rPr>
          <w:rFonts w:cs="Times New Roman"/>
          <w:i/>
        </w:rPr>
        <w:t xml:space="preserve">Excellence (L’), </w:t>
      </w:r>
      <w:proofErr w:type="spellStart"/>
      <w:r w:rsidR="00A92BC9" w:rsidRPr="00214DDB">
        <w:rPr>
          <w:rFonts w:cs="Times New Roman"/>
          <w:i/>
        </w:rPr>
        <w:t>compagnie</w:t>
      </w:r>
      <w:proofErr w:type="spellEnd"/>
      <w:r w:rsidR="00A92BC9" w:rsidRPr="00214DDB">
        <w:rPr>
          <w:rFonts w:cs="Times New Roman"/>
          <w:i/>
        </w:rPr>
        <w:t xml:space="preserve"> </w:t>
      </w:r>
      <w:proofErr w:type="spellStart"/>
      <w:r w:rsidR="00A92BC9" w:rsidRPr="00214DDB">
        <w:rPr>
          <w:rFonts w:cs="Times New Roman"/>
          <w:i/>
        </w:rPr>
        <w:t>d’assurance</w:t>
      </w:r>
      <w:proofErr w:type="spellEnd"/>
      <w:r w:rsidR="00DB76A6" w:rsidRPr="00214DDB">
        <w:rPr>
          <w:rFonts w:cs="Times New Roman"/>
          <w:i/>
        </w:rPr>
        <w:noBreakHyphen/>
      </w:r>
      <w:r w:rsidR="00A92BC9" w:rsidRPr="00214DDB">
        <w:rPr>
          <w:rFonts w:cs="Times New Roman"/>
          <w:i/>
        </w:rPr>
        <w:t xml:space="preserve">vie </w:t>
      </w:r>
      <w:r w:rsidR="00014461" w:rsidRPr="00214DDB">
        <w:rPr>
          <w:rFonts w:cs="Times New Roman"/>
          <w:i/>
        </w:rPr>
        <w:t>v</w:t>
      </w:r>
      <w:r w:rsidR="00A92BC9" w:rsidRPr="00214DDB">
        <w:rPr>
          <w:rFonts w:cs="Times New Roman"/>
          <w:i/>
        </w:rPr>
        <w:t>. Desjardins</w:t>
      </w:r>
      <w:r w:rsidR="00A92BC9" w:rsidRPr="00214DDB">
        <w:rPr>
          <w:rFonts w:cs="Times New Roman"/>
        </w:rPr>
        <w:t xml:space="preserve">, 2005 QCCA 1035, [2005] R.R.A. 1085; </w:t>
      </w:r>
      <w:r w:rsidR="00A92BC9" w:rsidRPr="00214DDB">
        <w:rPr>
          <w:rFonts w:cs="Times New Roman"/>
          <w:i/>
        </w:rPr>
        <w:t>Affiliated FM Insurance Co</w:t>
      </w:r>
      <w:r w:rsidR="00F61D6F" w:rsidRPr="00214DDB">
        <w:rPr>
          <w:rFonts w:cs="Times New Roman"/>
          <w:i/>
        </w:rPr>
        <w:t>.</w:t>
      </w:r>
      <w:r w:rsidR="00A92BC9" w:rsidRPr="00214DDB">
        <w:rPr>
          <w:rFonts w:cs="Times New Roman"/>
          <w:i/>
        </w:rPr>
        <w:t xml:space="preserve"> </w:t>
      </w:r>
      <w:r w:rsidR="00F61D6F" w:rsidRPr="00214DDB">
        <w:rPr>
          <w:rFonts w:cs="Times New Roman"/>
          <w:i/>
        </w:rPr>
        <w:t>v</w:t>
      </w:r>
      <w:r w:rsidR="00A92BC9" w:rsidRPr="00214DDB">
        <w:rPr>
          <w:rFonts w:cs="Times New Roman"/>
          <w:i/>
        </w:rPr>
        <w:t xml:space="preserve">. </w:t>
      </w:r>
      <w:proofErr w:type="spellStart"/>
      <w:r w:rsidR="00A92BC9" w:rsidRPr="00214DDB">
        <w:rPr>
          <w:rFonts w:cs="Times New Roman"/>
          <w:i/>
        </w:rPr>
        <w:t>Hafner</w:t>
      </w:r>
      <w:proofErr w:type="spellEnd"/>
      <w:r w:rsidR="00A92BC9" w:rsidRPr="00214DDB">
        <w:rPr>
          <w:rFonts w:cs="Times New Roman"/>
          <w:i/>
        </w:rPr>
        <w:t xml:space="preserve"> </w:t>
      </w:r>
      <w:r w:rsidR="00F61D6F" w:rsidRPr="00214DDB">
        <w:rPr>
          <w:rFonts w:cs="Times New Roman"/>
          <w:i/>
        </w:rPr>
        <w:t>I</w:t>
      </w:r>
      <w:r w:rsidR="00A92BC9" w:rsidRPr="00214DDB">
        <w:rPr>
          <w:rFonts w:cs="Times New Roman"/>
          <w:i/>
        </w:rPr>
        <w:t>nc.</w:t>
      </w:r>
      <w:r w:rsidR="00A92BC9" w:rsidRPr="00214DDB">
        <w:rPr>
          <w:rFonts w:cs="Times New Roman"/>
        </w:rPr>
        <w:t xml:space="preserve">, 2006 QCCA 465; </w:t>
      </w:r>
      <w:proofErr w:type="spellStart"/>
      <w:r w:rsidR="007A5253" w:rsidRPr="007A5253">
        <w:rPr>
          <w:rFonts w:cs="Times New Roman"/>
          <w:i/>
        </w:rPr>
        <w:t>Souscripteurs</w:t>
      </w:r>
      <w:proofErr w:type="spellEnd"/>
      <w:r w:rsidR="007A5253" w:rsidRPr="007A5253">
        <w:rPr>
          <w:rFonts w:cs="Times New Roman"/>
          <w:i/>
        </w:rPr>
        <w:t xml:space="preserve"> du </w:t>
      </w:r>
      <w:r w:rsidR="00014461" w:rsidRPr="00214DDB">
        <w:rPr>
          <w:rFonts w:cs="Times New Roman"/>
          <w:i/>
        </w:rPr>
        <w:t xml:space="preserve">Lloyd’s v. Alimentation Denis &amp; Mario Guillemette </w:t>
      </w:r>
      <w:proofErr w:type="spellStart"/>
      <w:r w:rsidR="00014461" w:rsidRPr="00214DDB">
        <w:rPr>
          <w:rFonts w:cs="Times New Roman"/>
          <w:i/>
        </w:rPr>
        <w:t>inc.</w:t>
      </w:r>
      <w:proofErr w:type="spellEnd"/>
      <w:r w:rsidR="00014461" w:rsidRPr="00214DDB">
        <w:rPr>
          <w:rFonts w:cs="Times New Roman"/>
        </w:rPr>
        <w:t xml:space="preserve">, 2012 QCCA 1376; </w:t>
      </w:r>
      <w:r w:rsidR="00A92BC9" w:rsidRPr="00214DDB">
        <w:rPr>
          <w:rFonts w:cs="Times New Roman"/>
          <w:i/>
        </w:rPr>
        <w:t>Consolidated</w:t>
      </w:r>
      <w:r w:rsidR="00DB76A6" w:rsidRPr="00214DDB">
        <w:rPr>
          <w:rFonts w:cs="Times New Roman"/>
          <w:i/>
        </w:rPr>
        <w:noBreakHyphen/>
      </w:r>
      <w:r w:rsidR="00A92BC9" w:rsidRPr="00214DDB">
        <w:rPr>
          <w:rFonts w:cs="Times New Roman"/>
          <w:i/>
        </w:rPr>
        <w:t xml:space="preserve">Bathurst </w:t>
      </w:r>
      <w:r w:rsidR="00014461" w:rsidRPr="00214DDB">
        <w:rPr>
          <w:rFonts w:cs="Times New Roman"/>
          <w:i/>
        </w:rPr>
        <w:t>Export Ltd.</w:t>
      </w:r>
      <w:r w:rsidR="00A92BC9" w:rsidRPr="00214DDB">
        <w:rPr>
          <w:rFonts w:cs="Times New Roman"/>
          <w:i/>
        </w:rPr>
        <w:t xml:space="preserve"> </w:t>
      </w:r>
      <w:r w:rsidR="00014461" w:rsidRPr="00214DDB">
        <w:rPr>
          <w:rFonts w:cs="Times New Roman"/>
          <w:i/>
        </w:rPr>
        <w:t>v</w:t>
      </w:r>
      <w:r w:rsidR="00A92BC9" w:rsidRPr="00214DDB">
        <w:rPr>
          <w:rFonts w:cs="Times New Roman"/>
          <w:i/>
        </w:rPr>
        <w:t>. Mutual Boiler and Machinery Insurance Co.</w:t>
      </w:r>
      <w:r w:rsidR="00A92BC9" w:rsidRPr="00214DDB">
        <w:rPr>
          <w:rFonts w:cs="Times New Roman"/>
        </w:rPr>
        <w:t xml:space="preserve">, [1980] 1 </w:t>
      </w:r>
      <w:r w:rsidR="00014461" w:rsidRPr="00214DDB">
        <w:rPr>
          <w:rFonts w:cs="Times New Roman"/>
        </w:rPr>
        <w:t xml:space="preserve">S.C.R. </w:t>
      </w:r>
      <w:r w:rsidR="00A92BC9" w:rsidRPr="00214DDB">
        <w:rPr>
          <w:rFonts w:cs="Times New Roman"/>
        </w:rPr>
        <w:t xml:space="preserve">888; </w:t>
      </w:r>
      <w:proofErr w:type="spellStart"/>
      <w:r w:rsidR="00A92BC9" w:rsidRPr="00214DDB">
        <w:rPr>
          <w:rFonts w:cs="Times New Roman"/>
          <w:i/>
        </w:rPr>
        <w:t>Industrielle</w:t>
      </w:r>
      <w:proofErr w:type="spellEnd"/>
      <w:r w:rsidR="00A92BC9" w:rsidRPr="00214DDB">
        <w:rPr>
          <w:rFonts w:cs="Times New Roman"/>
          <w:i/>
        </w:rPr>
        <w:t xml:space="preserve">, </w:t>
      </w:r>
      <w:proofErr w:type="spellStart"/>
      <w:r w:rsidR="00A92BC9" w:rsidRPr="00214DDB">
        <w:rPr>
          <w:rFonts w:cs="Times New Roman"/>
          <w:i/>
        </w:rPr>
        <w:t>Compagnie</w:t>
      </w:r>
      <w:proofErr w:type="spellEnd"/>
      <w:r w:rsidR="00A92BC9" w:rsidRPr="00214DDB">
        <w:rPr>
          <w:rFonts w:cs="Times New Roman"/>
          <w:i/>
        </w:rPr>
        <w:t xml:space="preserve"> </w:t>
      </w:r>
      <w:proofErr w:type="spellStart"/>
      <w:r w:rsidR="00A92BC9" w:rsidRPr="00214DDB">
        <w:rPr>
          <w:rFonts w:cs="Times New Roman"/>
          <w:i/>
        </w:rPr>
        <w:t>d’Assurance</w:t>
      </w:r>
      <w:proofErr w:type="spellEnd"/>
      <w:r w:rsidR="00A92BC9" w:rsidRPr="00214DDB">
        <w:rPr>
          <w:rFonts w:cs="Times New Roman"/>
          <w:i/>
        </w:rPr>
        <w:t xml:space="preserve"> su</w:t>
      </w:r>
      <w:r w:rsidR="00CC328F" w:rsidRPr="00214DDB">
        <w:rPr>
          <w:rFonts w:cs="Times New Roman"/>
          <w:i/>
        </w:rPr>
        <w:t>r</w:t>
      </w:r>
      <w:r w:rsidR="00A92BC9" w:rsidRPr="00214DDB">
        <w:rPr>
          <w:rFonts w:cs="Times New Roman"/>
          <w:i/>
        </w:rPr>
        <w:t xml:space="preserve"> la </w:t>
      </w:r>
      <w:r w:rsidR="00D7497A" w:rsidRPr="00214DDB">
        <w:rPr>
          <w:rFonts w:cs="Times New Roman"/>
          <w:i/>
        </w:rPr>
        <w:t>Vie v</w:t>
      </w:r>
      <w:r w:rsidR="00A92BC9" w:rsidRPr="00214DDB">
        <w:rPr>
          <w:rFonts w:cs="Times New Roman"/>
          <w:i/>
        </w:rPr>
        <w:t>. Bolduc</w:t>
      </w:r>
      <w:r w:rsidR="00A92BC9" w:rsidRPr="00214DDB">
        <w:rPr>
          <w:rFonts w:cs="Times New Roman"/>
        </w:rPr>
        <w:t xml:space="preserve">, [1979] 1 </w:t>
      </w:r>
      <w:r w:rsidR="00014461" w:rsidRPr="00214DDB">
        <w:rPr>
          <w:rFonts w:cs="Times New Roman"/>
        </w:rPr>
        <w:t xml:space="preserve">S.C.R. </w:t>
      </w:r>
      <w:r w:rsidR="00A92BC9" w:rsidRPr="00214DDB">
        <w:rPr>
          <w:rFonts w:cs="Times New Roman"/>
        </w:rPr>
        <w:t>481.</w:t>
      </w:r>
    </w:p>
    <w:p w:rsidR="003B215F" w:rsidRPr="00214DDB" w:rsidRDefault="002E6705" w:rsidP="00000F01">
      <w:pPr>
        <w:pStyle w:val="SCCNormalDoubleSpacing"/>
        <w:widowControl w:val="0"/>
        <w:spacing w:after="720" w:line="240" w:lineRule="auto"/>
        <w:rPr>
          <w:rFonts w:cs="Times New Roman"/>
        </w:rPr>
      </w:pPr>
      <w:r w:rsidRPr="00214DDB">
        <w:rPr>
          <w:rFonts w:cs="Times New Roman"/>
          <w:b/>
        </w:rPr>
        <w:t>Statutes and Regulations Cite</w:t>
      </w:r>
      <w:r w:rsidR="00A41805" w:rsidRPr="00214DDB">
        <w:rPr>
          <w:rFonts w:cs="Times New Roman"/>
          <w:b/>
        </w:rPr>
        <w:t>d</w:t>
      </w:r>
    </w:p>
    <w:p w:rsidR="003E3A77" w:rsidRPr="00214DDB" w:rsidRDefault="003E3A77" w:rsidP="00000F01">
      <w:pPr>
        <w:pStyle w:val="SCCNormalDoubleSpacing"/>
        <w:widowControl w:val="0"/>
        <w:spacing w:after="240" w:line="240" w:lineRule="auto"/>
        <w:ind w:left="539" w:hanging="539"/>
        <w:rPr>
          <w:rFonts w:cs="Times New Roman"/>
        </w:rPr>
      </w:pPr>
      <w:r w:rsidRPr="00214DDB">
        <w:rPr>
          <w:rFonts w:cs="Times New Roman"/>
          <w:i/>
        </w:rPr>
        <w:t xml:space="preserve">Act respecting La </w:t>
      </w:r>
      <w:proofErr w:type="spellStart"/>
      <w:r w:rsidRPr="00214DDB">
        <w:rPr>
          <w:rFonts w:cs="Times New Roman"/>
          <w:i/>
        </w:rPr>
        <w:t>Financière</w:t>
      </w:r>
      <w:proofErr w:type="spellEnd"/>
      <w:r w:rsidRPr="00214DDB">
        <w:rPr>
          <w:rFonts w:cs="Times New Roman"/>
          <w:i/>
        </w:rPr>
        <w:t xml:space="preserve"> </w:t>
      </w:r>
      <w:proofErr w:type="spellStart"/>
      <w:r w:rsidRPr="00214DDB">
        <w:rPr>
          <w:rFonts w:cs="Times New Roman"/>
          <w:i/>
        </w:rPr>
        <w:t>agricole</w:t>
      </w:r>
      <w:proofErr w:type="spellEnd"/>
      <w:r w:rsidRPr="00214DDB">
        <w:rPr>
          <w:rFonts w:cs="Times New Roman"/>
          <w:i/>
        </w:rPr>
        <w:t xml:space="preserve"> du Québec</w:t>
      </w:r>
      <w:r w:rsidRPr="00214DDB">
        <w:rPr>
          <w:rFonts w:cs="Times New Roman"/>
        </w:rPr>
        <w:t>, CQLR, c. L</w:t>
      </w:r>
      <w:r w:rsidR="00DB76A6" w:rsidRPr="00214DDB">
        <w:rPr>
          <w:rFonts w:cs="Times New Roman"/>
        </w:rPr>
        <w:noBreakHyphen/>
      </w:r>
      <w:r w:rsidRPr="00214DDB">
        <w:rPr>
          <w:rFonts w:cs="Times New Roman"/>
        </w:rPr>
        <w:t xml:space="preserve">0.1, </w:t>
      </w:r>
      <w:r w:rsidR="00DB76A6" w:rsidRPr="00214DDB">
        <w:rPr>
          <w:rFonts w:cs="Times New Roman"/>
        </w:rPr>
        <w:t>ss. </w:t>
      </w:r>
      <w:r w:rsidRPr="00214DDB">
        <w:rPr>
          <w:rFonts w:cs="Times New Roman"/>
        </w:rPr>
        <w:t>1, 3, 19, 22.</w:t>
      </w:r>
    </w:p>
    <w:p w:rsidR="005F2455" w:rsidRPr="00214DDB" w:rsidRDefault="005F2455" w:rsidP="00000F01">
      <w:pPr>
        <w:pStyle w:val="SCCNormalDoubleSpacing"/>
        <w:widowControl w:val="0"/>
        <w:spacing w:after="240" w:line="240" w:lineRule="auto"/>
        <w:ind w:left="539" w:hanging="539"/>
        <w:rPr>
          <w:rFonts w:cs="Times New Roman"/>
        </w:rPr>
      </w:pPr>
      <w:r w:rsidRPr="00214DDB">
        <w:rPr>
          <w:rFonts w:cs="Times New Roman"/>
          <w:i/>
        </w:rPr>
        <w:t>Agricultural Products Insurance Act, 1996</w:t>
      </w:r>
      <w:r w:rsidRPr="00214DDB">
        <w:rPr>
          <w:rFonts w:cs="Times New Roman"/>
        </w:rPr>
        <w:t>, S.O. 1996, c. 17, s</w:t>
      </w:r>
      <w:r w:rsidR="00DB76A6" w:rsidRPr="00214DDB">
        <w:rPr>
          <w:rFonts w:cs="Times New Roman"/>
        </w:rPr>
        <w:t>ch. </w:t>
      </w:r>
      <w:r w:rsidRPr="00214DDB">
        <w:rPr>
          <w:rFonts w:cs="Times New Roman"/>
        </w:rPr>
        <w:t>C.</w:t>
      </w:r>
    </w:p>
    <w:p w:rsidR="00E30320" w:rsidRPr="00214DDB" w:rsidRDefault="00E30320" w:rsidP="00000F01">
      <w:pPr>
        <w:pStyle w:val="SCCNormalDoubleSpacing"/>
        <w:widowControl w:val="0"/>
        <w:spacing w:after="240" w:line="240" w:lineRule="auto"/>
        <w:ind w:left="539" w:hanging="539"/>
        <w:rPr>
          <w:rFonts w:cs="Times New Roman"/>
        </w:rPr>
      </w:pPr>
      <w:r w:rsidRPr="00214DDB">
        <w:rPr>
          <w:rFonts w:cs="Times New Roman"/>
          <w:i/>
        </w:rPr>
        <w:t>Agricultural Stabilization Act</w:t>
      </w:r>
      <w:r w:rsidRPr="00214DDB">
        <w:rPr>
          <w:rFonts w:cs="Times New Roman"/>
        </w:rPr>
        <w:t>, R.S.C. 1970, c. A</w:t>
      </w:r>
      <w:r w:rsidR="00DB76A6" w:rsidRPr="00214DDB">
        <w:rPr>
          <w:rFonts w:cs="Times New Roman"/>
        </w:rPr>
        <w:noBreakHyphen/>
      </w:r>
      <w:r w:rsidRPr="00214DDB">
        <w:rPr>
          <w:rFonts w:cs="Times New Roman"/>
        </w:rPr>
        <w:t>9.</w:t>
      </w:r>
    </w:p>
    <w:p w:rsidR="00AE4D02" w:rsidRPr="00214DDB" w:rsidRDefault="00AE4D02" w:rsidP="00000F01">
      <w:pPr>
        <w:pStyle w:val="SCCNormalDoubleSpacing"/>
        <w:widowControl w:val="0"/>
        <w:spacing w:after="240" w:line="240" w:lineRule="auto"/>
        <w:ind w:left="539" w:hanging="539"/>
        <w:rPr>
          <w:rFonts w:cs="Times New Roman"/>
        </w:rPr>
      </w:pPr>
      <w:r w:rsidRPr="00214DDB">
        <w:rPr>
          <w:rFonts w:cs="Times New Roman"/>
          <w:i/>
        </w:rPr>
        <w:t>Canada Pension Plan</w:t>
      </w:r>
      <w:r w:rsidRPr="00214DDB">
        <w:rPr>
          <w:rFonts w:cs="Times New Roman"/>
        </w:rPr>
        <w:t>, R.S.C. 1985, c. C</w:t>
      </w:r>
      <w:r w:rsidR="00DB76A6" w:rsidRPr="00214DDB">
        <w:rPr>
          <w:rFonts w:cs="Times New Roman"/>
        </w:rPr>
        <w:noBreakHyphen/>
      </w:r>
      <w:r w:rsidRPr="00214DDB">
        <w:rPr>
          <w:rFonts w:cs="Times New Roman"/>
        </w:rPr>
        <w:t>8.</w:t>
      </w:r>
    </w:p>
    <w:p w:rsidR="005F2455" w:rsidRPr="00214DDB" w:rsidRDefault="005F2455" w:rsidP="00000F01">
      <w:pPr>
        <w:pStyle w:val="SCCNormalDoubleSpacing"/>
        <w:widowControl w:val="0"/>
        <w:spacing w:after="240" w:line="240" w:lineRule="auto"/>
        <w:ind w:left="539" w:hanging="539"/>
        <w:rPr>
          <w:rFonts w:cs="Times New Roman"/>
        </w:rPr>
      </w:pPr>
      <w:r w:rsidRPr="00214DDB">
        <w:rPr>
          <w:rFonts w:cs="Times New Roman"/>
          <w:i/>
        </w:rPr>
        <w:t>Civil Code of Québec</w:t>
      </w:r>
      <w:r w:rsidRPr="00214DDB">
        <w:rPr>
          <w:rFonts w:cs="Times New Roman"/>
        </w:rPr>
        <w:t xml:space="preserve">, arts. 6, 7, 1375, 1425 to 1432, 1426, 1427, </w:t>
      </w:r>
      <w:r w:rsidR="008750EA" w:rsidRPr="00214DDB">
        <w:rPr>
          <w:rFonts w:cs="Times New Roman"/>
        </w:rPr>
        <w:t xml:space="preserve">1434, </w:t>
      </w:r>
      <w:r w:rsidRPr="00214DDB">
        <w:rPr>
          <w:rFonts w:cs="Times New Roman"/>
        </w:rPr>
        <w:t>2389, 2408 to 241</w:t>
      </w:r>
      <w:r w:rsidR="00444015" w:rsidRPr="00214DDB">
        <w:rPr>
          <w:rFonts w:cs="Times New Roman"/>
        </w:rPr>
        <w:t>3</w:t>
      </w:r>
      <w:r w:rsidRPr="00214DDB">
        <w:rPr>
          <w:rFonts w:cs="Times New Roman"/>
        </w:rPr>
        <w:t>, 2466 to 2468, 2470 to 2474.</w:t>
      </w:r>
    </w:p>
    <w:p w:rsidR="00E36897" w:rsidRPr="00214DDB" w:rsidRDefault="00E36897" w:rsidP="00000F01">
      <w:pPr>
        <w:pStyle w:val="SCCNormalDoubleSpacing"/>
        <w:widowControl w:val="0"/>
        <w:spacing w:after="240" w:line="240" w:lineRule="auto"/>
        <w:ind w:left="539" w:hanging="539"/>
        <w:rPr>
          <w:rFonts w:cs="Times New Roman"/>
        </w:rPr>
      </w:pPr>
      <w:r w:rsidRPr="00214DDB">
        <w:rPr>
          <w:rFonts w:cs="Times New Roman"/>
          <w:i/>
        </w:rPr>
        <w:t>Employment Insurance Act</w:t>
      </w:r>
      <w:r w:rsidRPr="00214DDB">
        <w:rPr>
          <w:rFonts w:cs="Times New Roman"/>
        </w:rPr>
        <w:t>, S.C. 1996, c. 23.</w:t>
      </w:r>
    </w:p>
    <w:p w:rsidR="00860AAA" w:rsidRPr="00214DDB" w:rsidRDefault="00860AAA" w:rsidP="00000F01">
      <w:pPr>
        <w:pStyle w:val="SCCNormalDoubleSpacing"/>
        <w:widowControl w:val="0"/>
        <w:spacing w:after="240" w:line="240" w:lineRule="auto"/>
        <w:ind w:left="539" w:hanging="539"/>
        <w:rPr>
          <w:rFonts w:cs="Times New Roman"/>
        </w:rPr>
      </w:pPr>
      <w:r w:rsidRPr="00214DDB">
        <w:rPr>
          <w:rFonts w:cs="Times New Roman"/>
          <w:i/>
        </w:rPr>
        <w:t>Immigration and Refuge</w:t>
      </w:r>
      <w:r w:rsidR="00E30320" w:rsidRPr="00214DDB">
        <w:rPr>
          <w:rFonts w:cs="Times New Roman"/>
          <w:i/>
        </w:rPr>
        <w:t>e Protection Act</w:t>
      </w:r>
      <w:r w:rsidR="00E30320" w:rsidRPr="00214DDB">
        <w:rPr>
          <w:rFonts w:cs="Times New Roman"/>
        </w:rPr>
        <w:t>, S.C. 2001, c. </w:t>
      </w:r>
      <w:r w:rsidRPr="00214DDB">
        <w:rPr>
          <w:rFonts w:cs="Times New Roman"/>
        </w:rPr>
        <w:t>27</w:t>
      </w:r>
      <w:r w:rsidR="00E30320" w:rsidRPr="00214DDB">
        <w:rPr>
          <w:rFonts w:cs="Times New Roman"/>
        </w:rPr>
        <w:t>.</w:t>
      </w:r>
    </w:p>
    <w:p w:rsidR="00E30320" w:rsidRPr="00214DDB" w:rsidRDefault="00E30320" w:rsidP="00000F01">
      <w:pPr>
        <w:pStyle w:val="SCCNormalDoubleSpacing"/>
        <w:widowControl w:val="0"/>
        <w:spacing w:after="240" w:line="240" w:lineRule="auto"/>
        <w:ind w:left="539" w:hanging="539"/>
        <w:rPr>
          <w:rFonts w:cs="Times New Roman"/>
          <w:lang w:val="fr-CA"/>
        </w:rPr>
      </w:pPr>
      <w:r w:rsidRPr="00214DDB">
        <w:rPr>
          <w:rFonts w:cs="Times New Roman"/>
          <w:i/>
          <w:lang w:val="fr-CA"/>
        </w:rPr>
        <w:t>Programme d’assurance récolte</w:t>
      </w:r>
      <w:r w:rsidRPr="00214DDB">
        <w:rPr>
          <w:rFonts w:cs="Times New Roman"/>
          <w:lang w:val="fr-CA"/>
        </w:rPr>
        <w:t xml:space="preserve">, (2002) </w:t>
      </w:r>
      <w:r w:rsidR="00F168C6" w:rsidRPr="00214DDB">
        <w:rPr>
          <w:rFonts w:cs="Times New Roman"/>
          <w:lang w:val="fr-CA"/>
        </w:rPr>
        <w:t>134</w:t>
      </w:r>
      <w:r w:rsidRPr="00214DDB">
        <w:rPr>
          <w:rFonts w:cs="Times New Roman"/>
          <w:lang w:val="fr-CA"/>
        </w:rPr>
        <w:t xml:space="preserve"> G.O. 1, 261, </w:t>
      </w:r>
      <w:proofErr w:type="spellStart"/>
      <w:r w:rsidR="00DB76A6" w:rsidRPr="00214DDB">
        <w:rPr>
          <w:rFonts w:cs="Times New Roman"/>
          <w:lang w:val="fr-CA"/>
        </w:rPr>
        <w:t>ss</w:t>
      </w:r>
      <w:proofErr w:type="spellEnd"/>
      <w:r w:rsidR="00DB76A6" w:rsidRPr="00214DDB">
        <w:rPr>
          <w:rFonts w:cs="Times New Roman"/>
          <w:lang w:val="fr-CA"/>
        </w:rPr>
        <w:t>. </w:t>
      </w:r>
      <w:r w:rsidRPr="00214DDB">
        <w:rPr>
          <w:rFonts w:cs="Times New Roman"/>
          <w:lang w:val="fr-CA"/>
        </w:rPr>
        <w:t xml:space="preserve">10, 15, 27, 35 to 37, 38, </w:t>
      </w:r>
      <w:r w:rsidRPr="00214DDB">
        <w:rPr>
          <w:rFonts w:cs="Times New Roman"/>
          <w:lang w:val="fr-CA"/>
        </w:rPr>
        <w:lastRenderedPageBreak/>
        <w:t>42.</w:t>
      </w:r>
    </w:p>
    <w:p w:rsidR="00860AAA" w:rsidRPr="00214DDB" w:rsidRDefault="00860AAA" w:rsidP="00000F01">
      <w:pPr>
        <w:pStyle w:val="SCCNormalDoubleSpacing"/>
        <w:widowControl w:val="0"/>
        <w:spacing w:after="240" w:line="240" w:lineRule="auto"/>
        <w:ind w:left="539" w:hanging="539"/>
        <w:rPr>
          <w:rFonts w:cs="Times New Roman"/>
        </w:rPr>
      </w:pPr>
      <w:r w:rsidRPr="00214DDB">
        <w:rPr>
          <w:rFonts w:cs="Times New Roman"/>
          <w:i/>
          <w:lang w:val="fr-CA"/>
        </w:rPr>
        <w:t>Programme d’assurance stabilisation des revenus agricoles</w:t>
      </w:r>
      <w:r w:rsidRPr="00214DDB">
        <w:rPr>
          <w:rFonts w:cs="Times New Roman"/>
          <w:lang w:val="fr-CA"/>
        </w:rPr>
        <w:t xml:space="preserve">, (2001) </w:t>
      </w:r>
      <w:r w:rsidR="00F168C6" w:rsidRPr="00214DDB">
        <w:rPr>
          <w:rFonts w:cs="Times New Roman"/>
          <w:lang w:val="fr-CA"/>
        </w:rPr>
        <w:t>133</w:t>
      </w:r>
      <w:r w:rsidRPr="00214DDB">
        <w:rPr>
          <w:rFonts w:cs="Times New Roman"/>
          <w:lang w:val="fr-CA"/>
        </w:rPr>
        <w:t xml:space="preserve"> G.O. 1, 1336, </w:t>
      </w:r>
      <w:proofErr w:type="spellStart"/>
      <w:r w:rsidR="00DB76A6" w:rsidRPr="00214DDB">
        <w:rPr>
          <w:rFonts w:cs="Times New Roman"/>
          <w:lang w:val="fr-CA"/>
        </w:rPr>
        <w:t>ss</w:t>
      </w:r>
      <w:proofErr w:type="spellEnd"/>
      <w:r w:rsidR="00DB76A6" w:rsidRPr="00214DDB">
        <w:rPr>
          <w:rFonts w:cs="Times New Roman"/>
          <w:lang w:val="fr-CA"/>
        </w:rPr>
        <w:t>. </w:t>
      </w:r>
      <w:r w:rsidR="00995468" w:rsidRPr="00214DDB">
        <w:rPr>
          <w:rFonts w:cs="Times New Roman"/>
          <w:lang w:val="fr-CA"/>
        </w:rPr>
        <w:t xml:space="preserve">1, </w:t>
      </w:r>
      <w:r w:rsidRPr="00214DDB">
        <w:rPr>
          <w:rFonts w:cs="Times New Roman"/>
          <w:lang w:val="fr-CA"/>
        </w:rPr>
        <w:t>2</w:t>
      </w:r>
      <w:r w:rsidR="008B1701" w:rsidRPr="00214DDB">
        <w:rPr>
          <w:rFonts w:cs="Times New Roman"/>
          <w:lang w:val="fr-CA"/>
        </w:rPr>
        <w:t xml:space="preserve"> “</w:t>
      </w:r>
      <w:r w:rsidR="008B1701" w:rsidRPr="00214DDB">
        <w:rPr>
          <w:rFonts w:cs="Times New Roman"/>
          <w:i/>
          <w:lang w:val="fr-CA"/>
        </w:rPr>
        <w:t>adhérent</w:t>
      </w:r>
      <w:r w:rsidR="008B1701" w:rsidRPr="00214DDB">
        <w:rPr>
          <w:rFonts w:cs="Times New Roman"/>
          <w:lang w:val="fr-CA"/>
        </w:rPr>
        <w:t>”</w:t>
      </w:r>
      <w:r w:rsidRPr="00214DDB">
        <w:rPr>
          <w:rFonts w:cs="Times New Roman"/>
          <w:lang w:val="fr-CA"/>
        </w:rPr>
        <w:t xml:space="preserve">, </w:t>
      </w:r>
      <w:r w:rsidR="002A0895" w:rsidRPr="00214DDB">
        <w:rPr>
          <w:rFonts w:cs="Times New Roman"/>
          <w:lang w:val="fr-CA"/>
        </w:rPr>
        <w:t>“</w:t>
      </w:r>
      <w:r w:rsidR="002A0895" w:rsidRPr="00214DDB">
        <w:rPr>
          <w:rFonts w:cs="Times New Roman"/>
          <w:i/>
          <w:lang w:val="fr-CA"/>
        </w:rPr>
        <w:t>recettes annuelles</w:t>
      </w:r>
      <w:r w:rsidR="002A0895" w:rsidRPr="00214DDB">
        <w:rPr>
          <w:rFonts w:cs="Times New Roman"/>
          <w:lang w:val="fr-CA"/>
        </w:rPr>
        <w:t xml:space="preserve">”, </w:t>
      </w:r>
      <w:r w:rsidR="008E7AFB" w:rsidRPr="00214DDB">
        <w:rPr>
          <w:rFonts w:cs="Times New Roman"/>
          <w:lang w:val="fr-CA"/>
        </w:rPr>
        <w:t xml:space="preserve">6, </w:t>
      </w:r>
      <w:r w:rsidRPr="00214DDB">
        <w:rPr>
          <w:rFonts w:cs="Times New Roman"/>
          <w:lang w:val="fr-CA"/>
        </w:rPr>
        <w:t>7, 13, 16</w:t>
      </w:r>
      <w:r w:rsidR="00F61485" w:rsidRPr="00214DDB">
        <w:rPr>
          <w:rFonts w:cs="Times New Roman"/>
          <w:lang w:val="fr-CA"/>
        </w:rPr>
        <w:t>(3)</w:t>
      </w:r>
      <w:r w:rsidRPr="00214DDB">
        <w:rPr>
          <w:rFonts w:cs="Times New Roman"/>
          <w:lang w:val="fr-CA"/>
        </w:rPr>
        <w:t>, 18, 19, 21, 22, 78, 80, 86, 87, 88</w:t>
      </w:r>
      <w:r w:rsidR="00CE255E" w:rsidRPr="00214DDB">
        <w:rPr>
          <w:rFonts w:cs="Times New Roman"/>
          <w:lang w:val="fr-CA"/>
        </w:rPr>
        <w:t xml:space="preserve"> [</w:t>
      </w:r>
      <w:proofErr w:type="spellStart"/>
      <w:r w:rsidR="00CE255E" w:rsidRPr="00214DDB">
        <w:rPr>
          <w:rFonts w:cs="Times New Roman"/>
          <w:lang w:val="fr-CA"/>
        </w:rPr>
        <w:t>am</w:t>
      </w:r>
      <w:proofErr w:type="spellEnd"/>
      <w:r w:rsidR="00CE255E" w:rsidRPr="00214DDB">
        <w:rPr>
          <w:rFonts w:cs="Times New Roman"/>
          <w:lang w:val="fr-CA"/>
        </w:rPr>
        <w:t xml:space="preserve">. </w:t>
      </w:r>
      <w:r w:rsidR="00CE255E" w:rsidRPr="00214DDB">
        <w:rPr>
          <w:rFonts w:cs="Times New Roman"/>
        </w:rPr>
        <w:t xml:space="preserve">(2009) </w:t>
      </w:r>
      <w:r w:rsidR="00F168C6" w:rsidRPr="00214DDB">
        <w:rPr>
          <w:rFonts w:cs="Times New Roman"/>
        </w:rPr>
        <w:t>141</w:t>
      </w:r>
      <w:r w:rsidR="00CE255E" w:rsidRPr="00214DDB">
        <w:rPr>
          <w:rFonts w:cs="Times New Roman"/>
        </w:rPr>
        <w:t xml:space="preserve"> G.O. 1, 51, s. 21]</w:t>
      </w:r>
      <w:r w:rsidRPr="00214DDB">
        <w:rPr>
          <w:rFonts w:cs="Times New Roman"/>
        </w:rPr>
        <w:t>, 89, 92, 101, 103.</w:t>
      </w:r>
    </w:p>
    <w:p w:rsidR="007D4195" w:rsidRPr="00214DDB" w:rsidRDefault="007D4195" w:rsidP="00000F01">
      <w:pPr>
        <w:pStyle w:val="SCCNormalDoubleSpacing"/>
        <w:widowControl w:val="0"/>
        <w:spacing w:after="720" w:line="240" w:lineRule="auto"/>
        <w:ind w:left="540" w:hanging="540"/>
        <w:rPr>
          <w:rFonts w:cs="Times New Roman"/>
        </w:rPr>
      </w:pPr>
      <w:r w:rsidRPr="00214DDB">
        <w:rPr>
          <w:rFonts w:cs="Times New Roman"/>
          <w:i/>
        </w:rPr>
        <w:t>Unemployment Insurance Act, 1971</w:t>
      </w:r>
      <w:r w:rsidRPr="00214DDB">
        <w:rPr>
          <w:rFonts w:cs="Times New Roman"/>
        </w:rPr>
        <w:t>, S.C. 1970</w:t>
      </w:r>
      <w:r w:rsidR="00DB76A6" w:rsidRPr="00214DDB">
        <w:rPr>
          <w:rFonts w:cs="Times New Roman"/>
        </w:rPr>
        <w:noBreakHyphen/>
      </w:r>
      <w:r w:rsidRPr="00214DDB">
        <w:rPr>
          <w:rFonts w:cs="Times New Roman"/>
        </w:rPr>
        <w:t>71</w:t>
      </w:r>
      <w:r w:rsidR="00DB76A6" w:rsidRPr="00214DDB">
        <w:rPr>
          <w:rFonts w:cs="Times New Roman"/>
        </w:rPr>
        <w:noBreakHyphen/>
      </w:r>
      <w:r w:rsidRPr="00214DDB">
        <w:rPr>
          <w:rFonts w:cs="Times New Roman"/>
        </w:rPr>
        <w:t>72, c. 48</w:t>
      </w:r>
      <w:r w:rsidR="00E36897" w:rsidRPr="00214DDB">
        <w:rPr>
          <w:rFonts w:cs="Times New Roman"/>
        </w:rPr>
        <w:t xml:space="preserve"> [repl. 1996, c. 23]</w:t>
      </w:r>
      <w:r w:rsidRPr="00214DDB">
        <w:rPr>
          <w:rFonts w:cs="Times New Roman"/>
        </w:rPr>
        <w:t>.</w:t>
      </w:r>
    </w:p>
    <w:p w:rsidR="002E6705" w:rsidRPr="00214DDB" w:rsidRDefault="002E6705" w:rsidP="00000F01">
      <w:pPr>
        <w:pStyle w:val="SCCNormalDoubleSpacing"/>
        <w:widowControl w:val="0"/>
        <w:spacing w:after="720" w:line="240" w:lineRule="auto"/>
        <w:rPr>
          <w:rFonts w:cs="Times New Roman"/>
        </w:rPr>
      </w:pPr>
      <w:r w:rsidRPr="00214DDB">
        <w:rPr>
          <w:rFonts w:cs="Times New Roman"/>
          <w:b/>
        </w:rPr>
        <w:t>Authors Cited</w:t>
      </w:r>
    </w:p>
    <w:p w:rsidR="00340884" w:rsidRPr="00DD5C10" w:rsidRDefault="00340884" w:rsidP="00000F01">
      <w:pPr>
        <w:pStyle w:val="SCCNormalDoubleSpacing"/>
        <w:widowControl w:val="0"/>
        <w:spacing w:after="240" w:line="240" w:lineRule="auto"/>
        <w:ind w:left="539" w:hanging="539"/>
        <w:rPr>
          <w:rFonts w:cs="Times New Roman"/>
        </w:rPr>
      </w:pPr>
      <w:r w:rsidRPr="007A5253">
        <w:rPr>
          <w:rFonts w:cs="Times New Roman"/>
        </w:rPr>
        <w:t>Bergeron, Jean</w:t>
      </w:r>
      <w:r w:rsidR="00DB76A6" w:rsidRPr="007A5253">
        <w:rPr>
          <w:rFonts w:cs="Times New Roman"/>
        </w:rPr>
        <w:noBreakHyphen/>
      </w:r>
      <w:r w:rsidRPr="007A5253">
        <w:rPr>
          <w:rFonts w:cs="Times New Roman"/>
        </w:rPr>
        <w:t xml:space="preserve">Guy. </w:t>
      </w:r>
      <w:r w:rsidRPr="00D0113C">
        <w:rPr>
          <w:rFonts w:cs="Times New Roman"/>
          <w:i/>
          <w:lang w:val="fr-CA"/>
        </w:rPr>
        <w:t>Les contrats d’assurance (terrestre)</w:t>
      </w:r>
      <w:r w:rsidR="00D639F1" w:rsidRPr="00D0113C">
        <w:rPr>
          <w:rFonts w:cs="Times New Roman"/>
          <w:i/>
          <w:lang w:val="fr-CA"/>
        </w:rPr>
        <w:t>: lignes et entre-lignes</w:t>
      </w:r>
      <w:r w:rsidR="00D0113C" w:rsidRPr="00D0113C">
        <w:rPr>
          <w:rFonts w:cs="Times New Roman"/>
          <w:lang w:val="fr-CA"/>
        </w:rPr>
        <w:t xml:space="preserve">, t. </w:t>
      </w:r>
      <w:r w:rsidR="001779A8">
        <w:rPr>
          <w:rFonts w:cs="Times New Roman"/>
          <w:lang w:val="fr-CA"/>
        </w:rPr>
        <w:t>1</w:t>
      </w:r>
      <w:r w:rsidRPr="00D0113C">
        <w:rPr>
          <w:rFonts w:cs="Times New Roman"/>
          <w:lang w:val="fr-CA"/>
        </w:rPr>
        <w:t xml:space="preserve">. </w:t>
      </w:r>
      <w:r w:rsidRPr="00DD5C10">
        <w:rPr>
          <w:rFonts w:cs="Times New Roman"/>
        </w:rPr>
        <w:t>Sherbrooke: SEM Inc., 1989.</w:t>
      </w:r>
    </w:p>
    <w:p w:rsidR="00340884" w:rsidRPr="00214DDB" w:rsidRDefault="00340884" w:rsidP="00000F01">
      <w:pPr>
        <w:pStyle w:val="SCCNormalDoubleSpacing"/>
        <w:widowControl w:val="0"/>
        <w:spacing w:after="240" w:line="240" w:lineRule="auto"/>
        <w:ind w:left="539" w:hanging="539"/>
        <w:rPr>
          <w:rFonts w:cs="Times New Roman"/>
          <w:lang w:val="fr-CA"/>
        </w:rPr>
      </w:pPr>
      <w:proofErr w:type="spellStart"/>
      <w:r w:rsidRPr="00214DDB">
        <w:rPr>
          <w:rFonts w:cs="Times New Roman"/>
        </w:rPr>
        <w:t>Dussault</w:t>
      </w:r>
      <w:proofErr w:type="spellEnd"/>
      <w:r w:rsidRPr="00214DDB">
        <w:rPr>
          <w:rFonts w:cs="Times New Roman"/>
        </w:rPr>
        <w:t>, René,</w:t>
      </w:r>
      <w:r w:rsidR="003A42F5" w:rsidRPr="00214DDB">
        <w:rPr>
          <w:rFonts w:cs="Times New Roman"/>
        </w:rPr>
        <w:t xml:space="preserve"> and</w:t>
      </w:r>
      <w:r w:rsidRPr="00214DDB">
        <w:rPr>
          <w:rFonts w:cs="Times New Roman"/>
        </w:rPr>
        <w:t xml:space="preserve"> Louis </w:t>
      </w:r>
      <w:proofErr w:type="spellStart"/>
      <w:r w:rsidRPr="00214DDB">
        <w:rPr>
          <w:rFonts w:cs="Times New Roman"/>
        </w:rPr>
        <w:t>Borgeat</w:t>
      </w:r>
      <w:proofErr w:type="spellEnd"/>
      <w:r w:rsidRPr="00214DDB">
        <w:rPr>
          <w:rFonts w:cs="Times New Roman"/>
        </w:rPr>
        <w:t xml:space="preserve">. </w:t>
      </w:r>
      <w:r w:rsidR="003A42F5" w:rsidRPr="00214DDB">
        <w:rPr>
          <w:rFonts w:cs="Times New Roman"/>
          <w:i/>
        </w:rPr>
        <w:t>Administrative Law: A Treatise</w:t>
      </w:r>
      <w:r w:rsidRPr="00214DDB">
        <w:rPr>
          <w:rFonts w:cs="Times New Roman"/>
        </w:rPr>
        <w:t xml:space="preserve">, </w:t>
      </w:r>
      <w:r w:rsidR="00063E0E">
        <w:rPr>
          <w:rFonts w:cs="Times New Roman"/>
        </w:rPr>
        <w:t xml:space="preserve">vol. 1, </w:t>
      </w:r>
      <w:r w:rsidRPr="00214DDB">
        <w:rPr>
          <w:rFonts w:cs="Times New Roman"/>
        </w:rPr>
        <w:t>2</w:t>
      </w:r>
      <w:r w:rsidR="003A42F5" w:rsidRPr="00214DDB">
        <w:rPr>
          <w:rFonts w:cs="Times New Roman"/>
        </w:rPr>
        <w:t>nd</w:t>
      </w:r>
      <w:r w:rsidRPr="00214DDB">
        <w:rPr>
          <w:rFonts w:cs="Times New Roman"/>
        </w:rPr>
        <w:t xml:space="preserve"> </w:t>
      </w:r>
      <w:r w:rsidR="003A42F5" w:rsidRPr="00214DDB">
        <w:rPr>
          <w:rFonts w:cs="Times New Roman"/>
        </w:rPr>
        <w:t>e</w:t>
      </w:r>
      <w:r w:rsidRPr="00214DDB">
        <w:rPr>
          <w:rFonts w:cs="Times New Roman"/>
        </w:rPr>
        <w:t>d.</w:t>
      </w:r>
      <w:r w:rsidR="00063E0E">
        <w:rPr>
          <w:rFonts w:cs="Times New Roman"/>
        </w:rPr>
        <w:t xml:space="preserve"> </w:t>
      </w:r>
      <w:r w:rsidR="00063E0E" w:rsidRPr="00DD5C10">
        <w:rPr>
          <w:rFonts w:cs="Times New Roman"/>
          <w:lang w:val="fr-CA"/>
        </w:rPr>
        <w:t>T</w:t>
      </w:r>
      <w:r w:rsidR="003A42F5" w:rsidRPr="00DD5C10">
        <w:rPr>
          <w:rFonts w:cs="Times New Roman"/>
          <w:lang w:val="fr-CA"/>
        </w:rPr>
        <w:t>ranslated by Murray Rankin.</w:t>
      </w:r>
      <w:r w:rsidRPr="00DD5C10">
        <w:rPr>
          <w:rFonts w:cs="Times New Roman"/>
          <w:lang w:val="fr-CA"/>
        </w:rPr>
        <w:t xml:space="preserve"> </w:t>
      </w:r>
      <w:r w:rsidR="003A42F5" w:rsidRPr="00214DDB">
        <w:rPr>
          <w:rFonts w:cs="Times New Roman"/>
          <w:lang w:val="fr-CA"/>
        </w:rPr>
        <w:t>Toronto</w:t>
      </w:r>
      <w:r w:rsidRPr="00214DDB">
        <w:rPr>
          <w:rFonts w:cs="Times New Roman"/>
          <w:lang w:val="fr-CA"/>
        </w:rPr>
        <w:t xml:space="preserve">: </w:t>
      </w:r>
      <w:proofErr w:type="spellStart"/>
      <w:r w:rsidR="003A42F5" w:rsidRPr="00214DDB">
        <w:rPr>
          <w:rFonts w:cs="Times New Roman"/>
          <w:lang w:val="fr-CA"/>
        </w:rPr>
        <w:t>Carswell</w:t>
      </w:r>
      <w:proofErr w:type="spellEnd"/>
      <w:r w:rsidRPr="00214DDB">
        <w:rPr>
          <w:rFonts w:cs="Times New Roman"/>
          <w:lang w:val="fr-CA"/>
        </w:rPr>
        <w:t>, 198</w:t>
      </w:r>
      <w:r w:rsidR="003A42F5" w:rsidRPr="00214DDB">
        <w:rPr>
          <w:rFonts w:cs="Times New Roman"/>
          <w:lang w:val="fr-CA"/>
        </w:rPr>
        <w:t>5</w:t>
      </w:r>
      <w:r w:rsidRPr="00214DDB">
        <w:rPr>
          <w:rFonts w:cs="Times New Roman"/>
          <w:lang w:val="fr-CA"/>
        </w:rPr>
        <w:t>.</w:t>
      </w:r>
    </w:p>
    <w:p w:rsidR="00340884" w:rsidRPr="00214DDB" w:rsidRDefault="00340884" w:rsidP="00000F01">
      <w:pPr>
        <w:pStyle w:val="SCCNormalDoubleSpacing"/>
        <w:widowControl w:val="0"/>
        <w:spacing w:after="240" w:line="240" w:lineRule="auto"/>
        <w:ind w:left="539" w:hanging="539"/>
        <w:rPr>
          <w:rFonts w:cs="Times New Roman"/>
          <w:lang w:val="fr-CA"/>
        </w:rPr>
      </w:pPr>
      <w:r w:rsidRPr="00214DDB">
        <w:rPr>
          <w:rFonts w:cs="Times New Roman"/>
          <w:lang w:val="fr-CA"/>
        </w:rPr>
        <w:t xml:space="preserve">Garant, Patrice, avec la collaboration de Philippe Garant et Jérôme Garant. </w:t>
      </w:r>
      <w:r w:rsidRPr="00214DDB">
        <w:rPr>
          <w:rFonts w:cs="Times New Roman"/>
          <w:i/>
          <w:lang w:val="fr-CA"/>
        </w:rPr>
        <w:t>Droit administratif</w:t>
      </w:r>
      <w:r w:rsidRPr="00214DDB">
        <w:rPr>
          <w:rFonts w:cs="Times New Roman"/>
          <w:lang w:val="fr-CA"/>
        </w:rPr>
        <w:t>, 6</w:t>
      </w:r>
      <w:r w:rsidRPr="00214DDB">
        <w:rPr>
          <w:rFonts w:cs="Times New Roman"/>
          <w:vertAlign w:val="superscript"/>
          <w:lang w:val="fr-CA"/>
        </w:rPr>
        <w:t>e</w:t>
      </w:r>
      <w:r w:rsidRPr="00214DDB">
        <w:rPr>
          <w:rFonts w:cs="Times New Roman"/>
          <w:lang w:val="fr-CA"/>
        </w:rPr>
        <w:t xml:space="preserve"> éd. </w:t>
      </w:r>
      <w:proofErr w:type="spellStart"/>
      <w:r w:rsidRPr="00214DDB">
        <w:rPr>
          <w:rFonts w:cs="Times New Roman"/>
          <w:lang w:val="fr-CA"/>
        </w:rPr>
        <w:t>Cowansville</w:t>
      </w:r>
      <w:proofErr w:type="spellEnd"/>
      <w:r w:rsidRPr="00214DDB">
        <w:rPr>
          <w:rFonts w:cs="Times New Roman"/>
          <w:lang w:val="fr-CA"/>
        </w:rPr>
        <w:t>, Qu</w:t>
      </w:r>
      <w:r w:rsidR="00137F7E">
        <w:rPr>
          <w:rFonts w:cs="Times New Roman"/>
          <w:lang w:val="fr-CA"/>
        </w:rPr>
        <w:t>e</w:t>
      </w:r>
      <w:r w:rsidRPr="00214DDB">
        <w:rPr>
          <w:rFonts w:cs="Times New Roman"/>
          <w:lang w:val="fr-CA"/>
        </w:rPr>
        <w:t>.: Yvon Blais, 2010.</w:t>
      </w:r>
    </w:p>
    <w:p w:rsidR="00340884" w:rsidRPr="00214DDB" w:rsidRDefault="00340884" w:rsidP="00000F01">
      <w:pPr>
        <w:pStyle w:val="SCCNormalDoubleSpacing"/>
        <w:widowControl w:val="0"/>
        <w:spacing w:after="240" w:line="240" w:lineRule="auto"/>
        <w:ind w:left="539" w:hanging="539"/>
        <w:rPr>
          <w:rFonts w:cs="Times New Roman"/>
          <w:lang w:val="fr-CA"/>
        </w:rPr>
      </w:pPr>
      <w:proofErr w:type="spellStart"/>
      <w:r w:rsidRPr="00214DDB">
        <w:rPr>
          <w:rFonts w:cs="Times New Roman"/>
          <w:lang w:val="fr-CA"/>
        </w:rPr>
        <w:t>Issalys</w:t>
      </w:r>
      <w:proofErr w:type="spellEnd"/>
      <w:r w:rsidRPr="00214DDB">
        <w:rPr>
          <w:rFonts w:cs="Times New Roman"/>
          <w:lang w:val="fr-CA"/>
        </w:rPr>
        <w:t xml:space="preserve">, Pierre, et Denis Lemieux. </w:t>
      </w:r>
      <w:r w:rsidRPr="00214DDB">
        <w:rPr>
          <w:rFonts w:cs="Times New Roman"/>
          <w:i/>
          <w:lang w:val="fr-CA"/>
        </w:rPr>
        <w:t xml:space="preserve">L’action gouvernementale: </w:t>
      </w:r>
      <w:proofErr w:type="gramStart"/>
      <w:r w:rsidRPr="00214DDB">
        <w:rPr>
          <w:rFonts w:cs="Times New Roman"/>
          <w:i/>
          <w:lang w:val="fr-CA"/>
        </w:rPr>
        <w:t>Précis de droit des institutions administratives</w:t>
      </w:r>
      <w:r w:rsidRPr="00214DDB">
        <w:rPr>
          <w:rFonts w:cs="Times New Roman"/>
          <w:lang w:val="fr-CA"/>
        </w:rPr>
        <w:t>, 3</w:t>
      </w:r>
      <w:r w:rsidRPr="00214DDB">
        <w:rPr>
          <w:rFonts w:cs="Times New Roman"/>
          <w:vertAlign w:val="superscript"/>
          <w:lang w:val="fr-CA"/>
        </w:rPr>
        <w:t>e</w:t>
      </w:r>
      <w:proofErr w:type="gramEnd"/>
      <w:r w:rsidRPr="00214DDB">
        <w:rPr>
          <w:rFonts w:cs="Times New Roman"/>
          <w:lang w:val="fr-CA"/>
        </w:rPr>
        <w:t xml:space="preserve"> éd. </w:t>
      </w:r>
      <w:proofErr w:type="spellStart"/>
      <w:r w:rsidRPr="00214DDB">
        <w:rPr>
          <w:rFonts w:cs="Times New Roman"/>
          <w:lang w:val="fr-CA"/>
        </w:rPr>
        <w:t>Cowansville</w:t>
      </w:r>
      <w:proofErr w:type="spellEnd"/>
      <w:r w:rsidRPr="00214DDB">
        <w:rPr>
          <w:rFonts w:cs="Times New Roman"/>
          <w:lang w:val="fr-CA"/>
        </w:rPr>
        <w:t>, Qu</w:t>
      </w:r>
      <w:r w:rsidR="00137F7E">
        <w:rPr>
          <w:rFonts w:cs="Times New Roman"/>
          <w:lang w:val="fr-CA"/>
        </w:rPr>
        <w:t>e</w:t>
      </w:r>
      <w:r w:rsidRPr="00214DDB">
        <w:rPr>
          <w:rFonts w:cs="Times New Roman"/>
          <w:lang w:val="fr-CA"/>
        </w:rPr>
        <w:t>.: Yvon Blais, 2009.</w:t>
      </w:r>
    </w:p>
    <w:p w:rsidR="00340884" w:rsidRPr="00214DDB" w:rsidRDefault="00340884" w:rsidP="00000F01">
      <w:pPr>
        <w:pStyle w:val="SCCNormalDoubleSpacing"/>
        <w:widowControl w:val="0"/>
        <w:spacing w:after="240" w:line="240" w:lineRule="auto"/>
        <w:ind w:left="539" w:hanging="539"/>
        <w:rPr>
          <w:rFonts w:cs="Times New Roman"/>
          <w:lang w:val="fr-CA"/>
        </w:rPr>
      </w:pPr>
      <w:proofErr w:type="spellStart"/>
      <w:r w:rsidRPr="00214DDB">
        <w:rPr>
          <w:rFonts w:cs="Times New Roman"/>
          <w:lang w:val="fr-CA"/>
        </w:rPr>
        <w:t>Lluelles</w:t>
      </w:r>
      <w:proofErr w:type="spellEnd"/>
      <w:r w:rsidRPr="00214DDB">
        <w:rPr>
          <w:rFonts w:cs="Times New Roman"/>
          <w:lang w:val="fr-CA"/>
        </w:rPr>
        <w:t xml:space="preserve">, Didier. </w:t>
      </w:r>
      <w:r w:rsidRPr="00214DDB">
        <w:rPr>
          <w:rFonts w:cs="Times New Roman"/>
          <w:i/>
          <w:lang w:val="fr-CA"/>
        </w:rPr>
        <w:t>Précis des assurances terrestres</w:t>
      </w:r>
      <w:r w:rsidRPr="00214DDB">
        <w:rPr>
          <w:rFonts w:cs="Times New Roman"/>
          <w:lang w:val="fr-CA"/>
        </w:rPr>
        <w:t>, 5</w:t>
      </w:r>
      <w:r w:rsidRPr="00214DDB">
        <w:rPr>
          <w:rFonts w:cs="Times New Roman"/>
          <w:vertAlign w:val="superscript"/>
          <w:lang w:val="fr-CA"/>
        </w:rPr>
        <w:t>e</w:t>
      </w:r>
      <w:r w:rsidRPr="00214DDB">
        <w:rPr>
          <w:rFonts w:cs="Times New Roman"/>
          <w:lang w:val="fr-CA"/>
        </w:rPr>
        <w:t xml:space="preserve"> éd. Montréal: Thémis, 2009.</w:t>
      </w:r>
    </w:p>
    <w:p w:rsidR="00340884" w:rsidRPr="00214DDB" w:rsidRDefault="00340884" w:rsidP="00000F01">
      <w:pPr>
        <w:pStyle w:val="SCCNormalDoubleSpacing"/>
        <w:widowControl w:val="0"/>
        <w:spacing w:after="240" w:line="240" w:lineRule="auto"/>
        <w:ind w:left="539" w:hanging="539"/>
        <w:rPr>
          <w:rFonts w:cs="Times New Roman"/>
          <w:lang w:val="fr-CA"/>
        </w:rPr>
      </w:pPr>
      <w:proofErr w:type="spellStart"/>
      <w:r w:rsidRPr="00214DDB">
        <w:rPr>
          <w:rFonts w:cs="Times New Roman"/>
          <w:lang w:val="fr-CA"/>
        </w:rPr>
        <w:t>Lluelles</w:t>
      </w:r>
      <w:proofErr w:type="spellEnd"/>
      <w:r w:rsidRPr="00214DDB">
        <w:rPr>
          <w:rFonts w:cs="Times New Roman"/>
          <w:lang w:val="fr-CA"/>
        </w:rPr>
        <w:t xml:space="preserve">, Didier, et Benoît Moore. </w:t>
      </w:r>
      <w:r w:rsidRPr="00214DDB">
        <w:rPr>
          <w:rFonts w:cs="Times New Roman"/>
          <w:i/>
          <w:lang w:val="fr-CA"/>
        </w:rPr>
        <w:t>Droit des obligations</w:t>
      </w:r>
      <w:r w:rsidRPr="00214DDB">
        <w:rPr>
          <w:rFonts w:cs="Times New Roman"/>
          <w:lang w:val="fr-CA"/>
        </w:rPr>
        <w:t>, 2</w:t>
      </w:r>
      <w:r w:rsidRPr="00214DDB">
        <w:rPr>
          <w:rFonts w:cs="Times New Roman"/>
          <w:vertAlign w:val="superscript"/>
          <w:lang w:val="fr-CA"/>
        </w:rPr>
        <w:t>e</w:t>
      </w:r>
      <w:r w:rsidRPr="00214DDB">
        <w:rPr>
          <w:rFonts w:cs="Times New Roman"/>
          <w:lang w:val="fr-CA"/>
        </w:rPr>
        <w:t xml:space="preserve"> éd. Montréal: Thémis, 2012.</w:t>
      </w:r>
    </w:p>
    <w:p w:rsidR="00340884" w:rsidRPr="00214DDB" w:rsidRDefault="00340884" w:rsidP="00000F01">
      <w:pPr>
        <w:pStyle w:val="SCCNormalDoubleSpacing"/>
        <w:widowControl w:val="0"/>
        <w:spacing w:after="720" w:line="240" w:lineRule="auto"/>
        <w:ind w:left="540" w:hanging="540"/>
        <w:rPr>
          <w:rFonts w:cs="Times New Roman"/>
          <w:lang w:val="fr-CA"/>
        </w:rPr>
      </w:pPr>
      <w:proofErr w:type="spellStart"/>
      <w:r w:rsidRPr="00214DDB">
        <w:rPr>
          <w:rFonts w:cs="Times New Roman"/>
          <w:lang w:val="fr-CA"/>
        </w:rPr>
        <w:t>Thouin</w:t>
      </w:r>
      <w:proofErr w:type="spellEnd"/>
      <w:r w:rsidRPr="00214DDB">
        <w:rPr>
          <w:rFonts w:cs="Times New Roman"/>
          <w:lang w:val="fr-CA"/>
        </w:rPr>
        <w:t>, Marie</w:t>
      </w:r>
      <w:r w:rsidR="00DB76A6" w:rsidRPr="00214DDB">
        <w:rPr>
          <w:rFonts w:cs="Times New Roman"/>
          <w:lang w:val="fr-CA"/>
        </w:rPr>
        <w:noBreakHyphen/>
      </w:r>
      <w:r w:rsidRPr="00214DDB">
        <w:rPr>
          <w:rFonts w:cs="Times New Roman"/>
          <w:lang w:val="fr-CA"/>
        </w:rPr>
        <w:t>Chant</w:t>
      </w:r>
      <w:r w:rsidR="00DB76A6" w:rsidRPr="00214DDB">
        <w:rPr>
          <w:rFonts w:cs="Times New Roman"/>
          <w:lang w:val="fr-CA"/>
        </w:rPr>
        <w:t>al. </w:t>
      </w:r>
      <w:r w:rsidRPr="00214DDB">
        <w:rPr>
          <w:rFonts w:cs="Times New Roman"/>
          <w:lang w:val="fr-CA"/>
        </w:rPr>
        <w:t xml:space="preserve">“La théorie de l’attente raisonnable de l’assuré” (1997), 64 </w:t>
      </w:r>
      <w:r w:rsidRPr="00214DDB">
        <w:rPr>
          <w:rFonts w:cs="Times New Roman"/>
          <w:i/>
          <w:lang w:val="fr-CA"/>
        </w:rPr>
        <w:t>Assurances</w:t>
      </w:r>
      <w:r w:rsidRPr="00214DDB">
        <w:rPr>
          <w:rFonts w:cs="Times New Roman"/>
          <w:lang w:val="fr-CA"/>
        </w:rPr>
        <w:t xml:space="preserve"> 545.</w:t>
      </w:r>
    </w:p>
    <w:p w:rsidR="00656313" w:rsidRPr="00214DDB" w:rsidRDefault="0021321E" w:rsidP="00000F01">
      <w:pPr>
        <w:pStyle w:val="SCCNormalDoubleSpacing"/>
        <w:widowControl w:val="0"/>
        <w:spacing w:after="480"/>
        <w:rPr>
          <w:rFonts w:cs="Times New Roman"/>
        </w:rPr>
      </w:pPr>
      <w:r w:rsidRPr="00214DDB">
        <w:rPr>
          <w:rFonts w:cs="Times New Roman"/>
          <w:lang w:val="fr-CA"/>
        </w:rPr>
        <w:tab/>
      </w:r>
      <w:r w:rsidR="009B57B3" w:rsidRPr="00214DDB">
        <w:rPr>
          <w:rFonts w:cs="Times New Roman"/>
        </w:rPr>
        <w:t xml:space="preserve">APPEAL from a judgment of the </w:t>
      </w:r>
      <w:r w:rsidRPr="00214DDB">
        <w:rPr>
          <w:rFonts w:cs="Times New Roman"/>
        </w:rPr>
        <w:t>Quebec Court of Appeal</w:t>
      </w:r>
      <w:r w:rsidR="003D33E7" w:rsidRPr="00214DDB">
        <w:rPr>
          <w:rFonts w:cs="Times New Roman"/>
        </w:rPr>
        <w:t xml:space="preserve"> (Hilton, Gagnon and Savard JJ.A.), 2014 QCCA 1886, [2014] </w:t>
      </w:r>
      <w:r w:rsidR="001564C6" w:rsidRPr="00214DDB">
        <w:rPr>
          <w:rFonts w:cs="Times New Roman"/>
        </w:rPr>
        <w:t>AZ</w:t>
      </w:r>
      <w:r w:rsidR="00DB76A6" w:rsidRPr="00214DDB">
        <w:rPr>
          <w:rFonts w:cs="Times New Roman"/>
        </w:rPr>
        <w:noBreakHyphen/>
      </w:r>
      <w:r w:rsidR="001564C6" w:rsidRPr="00214DDB">
        <w:rPr>
          <w:rFonts w:cs="Times New Roman"/>
        </w:rPr>
        <w:t>51115390</w:t>
      </w:r>
      <w:r w:rsidR="003D33E7" w:rsidRPr="00214DDB">
        <w:rPr>
          <w:rFonts w:cs="Times New Roman"/>
        </w:rPr>
        <w:t>, [2014] J.Q. n</w:t>
      </w:r>
      <w:r w:rsidR="003D33E7" w:rsidRPr="00214DDB">
        <w:rPr>
          <w:rFonts w:cs="Times New Roman"/>
          <w:vertAlign w:val="superscript"/>
        </w:rPr>
        <w:t>o</w:t>
      </w:r>
      <w:r w:rsidR="005013A8" w:rsidRPr="00214DDB">
        <w:rPr>
          <w:rFonts w:cs="Times New Roman"/>
          <w:vertAlign w:val="superscript"/>
        </w:rPr>
        <w:t> </w:t>
      </w:r>
      <w:r w:rsidR="003D33E7" w:rsidRPr="00214DDB">
        <w:rPr>
          <w:rFonts w:cs="Times New Roman"/>
        </w:rPr>
        <w:t>11218 (QL), setting aside a decision of Monast</w:t>
      </w:r>
      <w:r w:rsidR="005013A8" w:rsidRPr="00214DDB">
        <w:rPr>
          <w:rFonts w:cs="Times New Roman"/>
        </w:rPr>
        <w:t> </w:t>
      </w:r>
      <w:r w:rsidR="003D33E7" w:rsidRPr="00214DDB">
        <w:rPr>
          <w:rFonts w:cs="Times New Roman"/>
        </w:rPr>
        <w:t xml:space="preserve">J., 2012 QCCS 284, [2012] </w:t>
      </w:r>
      <w:r w:rsidR="001564C6" w:rsidRPr="00214DDB">
        <w:rPr>
          <w:rFonts w:cs="Times New Roman"/>
        </w:rPr>
        <w:t>AZ</w:t>
      </w:r>
      <w:r w:rsidR="00DB76A6" w:rsidRPr="00214DDB">
        <w:rPr>
          <w:rFonts w:cs="Times New Roman"/>
        </w:rPr>
        <w:noBreakHyphen/>
      </w:r>
      <w:r w:rsidR="001564C6" w:rsidRPr="00214DDB">
        <w:rPr>
          <w:rFonts w:cs="Times New Roman"/>
        </w:rPr>
        <w:t>50827524</w:t>
      </w:r>
      <w:r w:rsidR="003D33E7" w:rsidRPr="00214DDB">
        <w:rPr>
          <w:rFonts w:cs="Times New Roman"/>
        </w:rPr>
        <w:t>, [2012] J.Q. n</w:t>
      </w:r>
      <w:r w:rsidR="003D33E7" w:rsidRPr="00214DDB">
        <w:rPr>
          <w:rFonts w:cs="Times New Roman"/>
          <w:vertAlign w:val="superscript"/>
        </w:rPr>
        <w:t>o</w:t>
      </w:r>
      <w:r w:rsidR="003D33E7" w:rsidRPr="00214DDB">
        <w:rPr>
          <w:rFonts w:cs="Times New Roman"/>
        </w:rPr>
        <w:t xml:space="preserve"> 701 (QL), 2012 CarswellQue 666 (WL Can.)</w:t>
      </w:r>
      <w:r w:rsidRPr="00214DDB">
        <w:rPr>
          <w:rFonts w:cs="Times New Roman"/>
        </w:rPr>
        <w:t xml:space="preserve">. Appeal </w:t>
      </w:r>
      <w:r w:rsidR="005013A8" w:rsidRPr="00214DDB">
        <w:rPr>
          <w:rFonts w:cs="Times New Roman"/>
        </w:rPr>
        <w:t>dismissed, Côté </w:t>
      </w:r>
      <w:r w:rsidR="00441911" w:rsidRPr="00214DDB">
        <w:rPr>
          <w:rFonts w:cs="Times New Roman"/>
        </w:rPr>
        <w:t>J. dissenting in part</w:t>
      </w:r>
      <w:r w:rsidRPr="00214DDB">
        <w:rPr>
          <w:rFonts w:cs="Times New Roman"/>
        </w:rPr>
        <w:t>.</w:t>
      </w:r>
    </w:p>
    <w:p w:rsidR="00CB1780" w:rsidRPr="00214DDB" w:rsidRDefault="00CC5DD1" w:rsidP="00000F01">
      <w:pPr>
        <w:pStyle w:val="SCCNormalDoubleSpacing"/>
        <w:widowControl w:val="0"/>
        <w:spacing w:after="480"/>
        <w:rPr>
          <w:rFonts w:cs="Times New Roman"/>
        </w:rPr>
      </w:pPr>
      <w:r w:rsidRPr="00214DDB">
        <w:rPr>
          <w:rFonts w:cs="Times New Roman"/>
          <w:i/>
        </w:rPr>
        <w:lastRenderedPageBreak/>
        <w:tab/>
      </w:r>
      <w:r w:rsidR="0084390A" w:rsidRPr="00214DDB">
        <w:rPr>
          <w:rFonts w:cs="Times New Roman"/>
          <w:i/>
        </w:rPr>
        <w:t>Bruno Lepage</w:t>
      </w:r>
      <w:r w:rsidR="0084390A" w:rsidRPr="00214DDB">
        <w:rPr>
          <w:rFonts w:cs="Times New Roman"/>
        </w:rPr>
        <w:t xml:space="preserve">, </w:t>
      </w:r>
      <w:r w:rsidRPr="00214DDB">
        <w:rPr>
          <w:rFonts w:cs="Times New Roman"/>
          <w:i/>
        </w:rPr>
        <w:t xml:space="preserve">Madeleine Lemieux </w:t>
      </w:r>
      <w:r w:rsidRPr="00214DDB">
        <w:rPr>
          <w:rFonts w:cs="Times New Roman"/>
        </w:rPr>
        <w:t>and</w:t>
      </w:r>
      <w:r w:rsidRPr="00214DDB">
        <w:rPr>
          <w:rFonts w:cs="Times New Roman"/>
          <w:i/>
        </w:rPr>
        <w:t xml:space="preserve"> </w:t>
      </w:r>
      <w:r w:rsidR="0084390A" w:rsidRPr="00214DDB">
        <w:rPr>
          <w:rFonts w:cs="Times New Roman"/>
          <w:i/>
        </w:rPr>
        <w:t>Dominique</w:t>
      </w:r>
      <w:r w:rsidR="00DB76A6" w:rsidRPr="00214DDB">
        <w:rPr>
          <w:rFonts w:cs="Times New Roman"/>
          <w:i/>
        </w:rPr>
        <w:noBreakHyphen/>
      </w:r>
      <w:r w:rsidR="0084390A" w:rsidRPr="00214DDB">
        <w:rPr>
          <w:rFonts w:cs="Times New Roman"/>
          <w:i/>
        </w:rPr>
        <w:t>Anne Roy</w:t>
      </w:r>
      <w:r w:rsidR="0084390A" w:rsidRPr="00214DDB">
        <w:rPr>
          <w:rFonts w:cs="Times New Roman"/>
        </w:rPr>
        <w:t>, for the appellant</w:t>
      </w:r>
      <w:r w:rsidRPr="00214DDB">
        <w:rPr>
          <w:rFonts w:cs="Times New Roman"/>
        </w:rPr>
        <w:t>s</w:t>
      </w:r>
      <w:r w:rsidR="0084390A" w:rsidRPr="00214DDB">
        <w:rPr>
          <w:rFonts w:cs="Times New Roman"/>
        </w:rPr>
        <w:t>.</w:t>
      </w:r>
    </w:p>
    <w:p w:rsidR="00CB1780" w:rsidRDefault="00CC5DD1" w:rsidP="00000F01">
      <w:pPr>
        <w:pStyle w:val="SCCNormalDoubleSpacing"/>
        <w:widowControl w:val="0"/>
        <w:spacing w:after="480"/>
        <w:rPr>
          <w:rFonts w:cs="Times New Roman"/>
        </w:rPr>
      </w:pPr>
      <w:r w:rsidRPr="00214DDB">
        <w:rPr>
          <w:rFonts w:cs="Times New Roman"/>
          <w:i/>
        </w:rPr>
        <w:tab/>
        <w:t>Matthieu Brassard</w:t>
      </w:r>
      <w:r w:rsidRPr="00063E0E">
        <w:rPr>
          <w:rFonts w:cs="Times New Roman"/>
        </w:rPr>
        <w:t>,</w:t>
      </w:r>
      <w:r w:rsidRPr="00214DDB">
        <w:rPr>
          <w:rFonts w:cs="Times New Roman"/>
          <w:i/>
        </w:rPr>
        <w:t xml:space="preserve"> </w:t>
      </w:r>
      <w:r w:rsidR="0084390A" w:rsidRPr="00214DDB">
        <w:rPr>
          <w:rFonts w:cs="Times New Roman"/>
          <w:i/>
        </w:rPr>
        <w:t>Jean</w:t>
      </w:r>
      <w:r w:rsidR="00DB76A6" w:rsidRPr="00214DDB">
        <w:rPr>
          <w:rFonts w:cs="Times New Roman"/>
          <w:i/>
        </w:rPr>
        <w:noBreakHyphen/>
      </w:r>
      <w:r w:rsidR="0084390A" w:rsidRPr="00214DDB">
        <w:rPr>
          <w:rFonts w:cs="Times New Roman"/>
          <w:i/>
        </w:rPr>
        <w:t>Pierre Émond</w:t>
      </w:r>
      <w:r w:rsidR="0084390A" w:rsidRPr="00214DDB">
        <w:rPr>
          <w:rFonts w:cs="Times New Roman"/>
        </w:rPr>
        <w:t xml:space="preserve"> </w:t>
      </w:r>
      <w:r w:rsidRPr="00214DDB">
        <w:rPr>
          <w:rFonts w:cs="Times New Roman"/>
        </w:rPr>
        <w:t xml:space="preserve">and </w:t>
      </w:r>
      <w:r w:rsidR="0084390A" w:rsidRPr="00214DDB">
        <w:rPr>
          <w:rFonts w:cs="Times New Roman"/>
          <w:i/>
        </w:rPr>
        <w:t>Valérie Blanchet</w:t>
      </w:r>
      <w:r w:rsidR="0084390A" w:rsidRPr="00214DDB">
        <w:rPr>
          <w:rFonts w:cs="Times New Roman"/>
        </w:rPr>
        <w:t>, for the respondent.</w:t>
      </w:r>
    </w:p>
    <w:p w:rsidR="00036A0A" w:rsidRPr="00214DDB" w:rsidRDefault="00E62B46" w:rsidP="00000F01">
      <w:pPr>
        <w:pStyle w:val="SCCNormalDoubleSpacing"/>
        <w:widowControl w:val="0"/>
        <w:spacing w:after="480"/>
        <w:rPr>
          <w:rFonts w:cs="Times New Roman"/>
        </w:rPr>
      </w:pPr>
      <w:r>
        <w:rPr>
          <w:rFonts w:cs="Times New Roman"/>
        </w:rPr>
        <w:tab/>
        <w:t xml:space="preserve">English version of the judgment of McLachlin C.J. and </w:t>
      </w:r>
      <w:proofErr w:type="spellStart"/>
      <w:r>
        <w:rPr>
          <w:rFonts w:cs="Times New Roman"/>
        </w:rPr>
        <w:t>Abella</w:t>
      </w:r>
      <w:proofErr w:type="spellEnd"/>
      <w:r>
        <w:rPr>
          <w:rFonts w:cs="Times New Roman"/>
        </w:rPr>
        <w:t xml:space="preserve">, Cromwell, </w:t>
      </w:r>
      <w:proofErr w:type="spellStart"/>
      <w:r>
        <w:rPr>
          <w:rFonts w:cs="Times New Roman"/>
        </w:rPr>
        <w:t>Karakatsanis</w:t>
      </w:r>
      <w:proofErr w:type="spellEnd"/>
      <w:r>
        <w:rPr>
          <w:rFonts w:cs="Times New Roman"/>
        </w:rPr>
        <w:t xml:space="preserve">, Wagner and </w:t>
      </w:r>
      <w:proofErr w:type="spellStart"/>
      <w:r>
        <w:rPr>
          <w:rFonts w:cs="Times New Roman"/>
        </w:rPr>
        <w:t>Gascon</w:t>
      </w:r>
      <w:proofErr w:type="spellEnd"/>
      <w:r>
        <w:rPr>
          <w:rFonts w:cs="Times New Roman"/>
        </w:rPr>
        <w:t xml:space="preserve"> JJ. </w:t>
      </w:r>
      <w:proofErr w:type="gramStart"/>
      <w:r>
        <w:rPr>
          <w:rFonts w:cs="Times New Roman"/>
        </w:rPr>
        <w:t>delivered</w:t>
      </w:r>
      <w:proofErr w:type="gramEnd"/>
      <w:r>
        <w:rPr>
          <w:rFonts w:cs="Times New Roman"/>
        </w:rPr>
        <w:t xml:space="preserve"> by</w:t>
      </w:r>
    </w:p>
    <w:p w:rsidR="00466FCD" w:rsidRPr="00001596" w:rsidRDefault="00466FCD" w:rsidP="00000F01">
      <w:pPr>
        <w:pStyle w:val="JudgeJuge"/>
        <w:widowControl w:val="0"/>
        <w:tabs>
          <w:tab w:val="clear" w:pos="1260"/>
          <w:tab w:val="left" w:pos="1170"/>
        </w:tabs>
        <w:spacing w:before="480"/>
      </w:pPr>
      <w:r w:rsidRPr="00001596">
        <w:rPr>
          <w:lang w:val="en-US"/>
        </w:rPr>
        <w:tab/>
      </w:r>
      <w:r w:rsidRPr="00001596">
        <w:t>Wagner and Gascon JJ. —</w:t>
      </w:r>
    </w:p>
    <w:p w:rsidR="00466FCD" w:rsidRPr="00001596" w:rsidRDefault="00466FCD" w:rsidP="00000F01">
      <w:pPr>
        <w:pStyle w:val="Title1LevelTitre1Niveau-AltL"/>
        <w:widowControl w:val="0"/>
        <w:spacing w:after="480"/>
        <w:rPr>
          <w:rFonts w:cs="Times New Roman"/>
        </w:rPr>
      </w:pPr>
      <w:r w:rsidRPr="00001596">
        <w:rPr>
          <w:rFonts w:cs="Times New Roman"/>
        </w:rPr>
        <w:t>Overview</w:t>
      </w:r>
    </w:p>
    <w:p w:rsidR="00466FCD" w:rsidRPr="00001596" w:rsidRDefault="00466FCD" w:rsidP="00000F01">
      <w:pPr>
        <w:pStyle w:val="ParaNoNdepar-AltN"/>
        <w:widowControl w:val="0"/>
        <w:rPr>
          <w:rFonts w:cs="Times New Roman"/>
        </w:rPr>
      </w:pPr>
      <w:r w:rsidRPr="00001596">
        <w:rPr>
          <w:rFonts w:cs="Times New Roman"/>
        </w:rPr>
        <w:t xml:space="preserve">At issue in this appeal is the application of private law to the implementation of certain government financial support programs. More specifically, the Court must identify the rules governing the interpretation of the rights and obligations of the parties to the </w:t>
      </w:r>
      <w:r w:rsidRPr="00001596">
        <w:rPr>
          <w:rFonts w:cs="Times New Roman"/>
          <w:i/>
        </w:rPr>
        <w:t>Programme d’assurance stabilisation des revenus agricoles</w:t>
      </w:r>
      <w:r w:rsidRPr="00001596">
        <w:rPr>
          <w:rFonts w:cs="Times New Roman"/>
        </w:rPr>
        <w:t xml:space="preserve">, (2001) 133 G.O. 1, 1336 (“ASRA Program”), administered by the respondent, La Financière agricole du Québec (“La Financière”). </w:t>
      </w:r>
    </w:p>
    <w:p w:rsidR="00466FCD" w:rsidRPr="00001596" w:rsidRDefault="00466FCD" w:rsidP="00000F01">
      <w:pPr>
        <w:pStyle w:val="ParaNoNdepar-AltN"/>
        <w:widowControl w:val="0"/>
        <w:rPr>
          <w:rFonts w:cs="Times New Roman"/>
        </w:rPr>
      </w:pPr>
      <w:r w:rsidRPr="00001596">
        <w:rPr>
          <w:rFonts w:cs="Times New Roman"/>
        </w:rPr>
        <w:t xml:space="preserve">The appellants are Quebec farm producers that participated voluntarily in the ASRA Program. Under that program, La Financière undertook, in return for contributions from producers, to protect them from the income fluctuations associated with the agricultural market. The appellants contested certain decisions made by </w:t>
      </w:r>
      <w:r w:rsidRPr="00001596">
        <w:rPr>
          <w:rFonts w:cs="Times New Roman"/>
        </w:rPr>
        <w:lastRenderedPageBreak/>
        <w:t xml:space="preserve">La Financière in determining their compensation payments for 2007. Those decisions were related to the calculation method chosen by La Financière, in determining the compensation payable under the program, to take account of additional income received as farm financial assistance from the federal government. The appellants argued that the ASRA Program was a contract of insurance and that La Financière had improperly incorporated that additional income into its calculations so as to reduce their compensation under the program, in violation of the terms of the contract, which had to be interpreted on the basis of their reasonable expectations as insured persons. </w:t>
      </w:r>
    </w:p>
    <w:p w:rsidR="00466FCD" w:rsidRPr="00001596" w:rsidRDefault="00466FCD" w:rsidP="00000F01">
      <w:pPr>
        <w:pStyle w:val="ParaNoNdepar-AltN"/>
        <w:widowControl w:val="0"/>
        <w:rPr>
          <w:rFonts w:cs="Times New Roman"/>
        </w:rPr>
      </w:pPr>
      <w:r w:rsidRPr="00001596">
        <w:rPr>
          <w:rFonts w:cs="Times New Roman"/>
        </w:rPr>
        <w:t>The producers applied to the Superior Court, which allowed their action, characterizing the ASRA Program as a contract of insurance and ordering La Financière to pay them substantial additional compensation for 2007. The Court of Appeal set aside that judgment, finding that the ASRA Program was not a contract of insurance and that the impugned decisions were reasonable.</w:t>
      </w:r>
    </w:p>
    <w:p w:rsidR="00466FCD" w:rsidRPr="00001596" w:rsidRDefault="00466FCD" w:rsidP="00000F01">
      <w:pPr>
        <w:pStyle w:val="ParaNoNdepar-AltN"/>
        <w:widowControl w:val="0"/>
        <w:rPr>
          <w:rFonts w:cs="Times New Roman"/>
        </w:rPr>
      </w:pPr>
      <w:r w:rsidRPr="00001596">
        <w:rPr>
          <w:rFonts w:cs="Times New Roman"/>
        </w:rPr>
        <w:t xml:space="preserve">We would dismiss the appeal. The ASRA Program is not a contract of insurance but simply an innominate contract under the civil law. It cannot be subject to the rule of interpretation based on the reasonable expectations of the insured that applies to a contract of insurance as defined in the </w:t>
      </w:r>
      <w:r w:rsidRPr="00001596">
        <w:rPr>
          <w:rFonts w:cs="Times New Roman"/>
          <w:i/>
        </w:rPr>
        <w:t>Civil Code of Québec</w:t>
      </w:r>
      <w:r w:rsidRPr="00001596">
        <w:rPr>
          <w:rFonts w:cs="Times New Roman"/>
        </w:rPr>
        <w:t xml:space="preserve"> (“</w:t>
      </w:r>
      <w:r w:rsidRPr="00001596">
        <w:rPr>
          <w:rFonts w:cs="Times New Roman"/>
          <w:i/>
        </w:rPr>
        <w:t>C.C.Q.</w:t>
      </w:r>
      <w:r w:rsidRPr="00001596">
        <w:rPr>
          <w:rFonts w:cs="Times New Roman"/>
        </w:rPr>
        <w:t xml:space="preserve">”). While it is true that the contract must be interpreted having regard to the public interest and to La Financière’s social objective, it is nonetheless governed exclusively by private law, not by public law. For the purpose of determining the compensation payable to its participants, the ASRA Program gives La Financière a discretion to </w:t>
      </w:r>
      <w:r w:rsidRPr="00001596">
        <w:rPr>
          <w:rFonts w:cs="Times New Roman"/>
        </w:rPr>
        <w:lastRenderedPageBreak/>
        <w:t xml:space="preserve">determine how to calculate any other income they have received from government sources. La Financière exercised that discretion in accordance with the requirements of good faith and contractual fairness, which means that the appellants are not entitled to the amounts they claim. </w:t>
      </w:r>
    </w:p>
    <w:p w:rsidR="00466FCD" w:rsidRPr="00001596" w:rsidRDefault="00466FCD" w:rsidP="00000F01">
      <w:pPr>
        <w:pStyle w:val="Title1LevelTitre1Niveau-AltL"/>
        <w:widowControl w:val="0"/>
        <w:ind w:left="578" w:hanging="578"/>
        <w:rPr>
          <w:rFonts w:cs="Times New Roman"/>
        </w:rPr>
      </w:pPr>
      <w:r w:rsidRPr="00001596">
        <w:rPr>
          <w:rFonts w:cs="Times New Roman"/>
        </w:rPr>
        <w:t>Background</w:t>
      </w:r>
    </w:p>
    <w:p w:rsidR="00466FCD" w:rsidRPr="00001596" w:rsidRDefault="00466FCD" w:rsidP="00000F01">
      <w:pPr>
        <w:pStyle w:val="ParaNoNdepar-AltN"/>
        <w:widowControl w:val="0"/>
        <w:rPr>
          <w:rFonts w:cs="Times New Roman"/>
        </w:rPr>
      </w:pPr>
      <w:r w:rsidRPr="00001596">
        <w:rPr>
          <w:rFonts w:cs="Times New Roman"/>
        </w:rPr>
        <w:t xml:space="preserve">La Financière is a legal person established in the public interest under the </w:t>
      </w:r>
      <w:r w:rsidRPr="00001596">
        <w:rPr>
          <w:rFonts w:cs="Times New Roman"/>
          <w:i/>
        </w:rPr>
        <w:t>Act respecting La Financière agricole du Québec</w:t>
      </w:r>
      <w:r w:rsidRPr="00001596">
        <w:rPr>
          <w:rFonts w:cs="Times New Roman"/>
        </w:rPr>
        <w:t>, CQLR, c. L</w:t>
      </w:r>
      <w:r w:rsidRPr="00001596">
        <w:rPr>
          <w:rFonts w:cs="Times New Roman"/>
        </w:rPr>
        <w:noBreakHyphen/>
        <w:t>0.1 (“</w:t>
      </w:r>
      <w:r w:rsidRPr="00001596">
        <w:rPr>
          <w:rFonts w:cs="Times New Roman"/>
          <w:i/>
        </w:rPr>
        <w:t>AFAQ</w:t>
      </w:r>
      <w:r w:rsidRPr="00001596">
        <w:rPr>
          <w:rFonts w:cs="Times New Roman"/>
        </w:rPr>
        <w:t>”). Its mission is to “support and encourage the development of the agricultural and agro</w:t>
      </w:r>
      <w:r w:rsidRPr="00001596">
        <w:rPr>
          <w:rFonts w:cs="Times New Roman"/>
        </w:rPr>
        <w:noBreakHyphen/>
        <w:t xml:space="preserve">food sector within the perspective of sustainable development” (s. 3 </w:t>
      </w:r>
      <w:r w:rsidRPr="00001596">
        <w:rPr>
          <w:rFonts w:cs="Times New Roman"/>
          <w:i/>
        </w:rPr>
        <w:t>AFAQ</w:t>
      </w:r>
      <w:r w:rsidRPr="00001596">
        <w:rPr>
          <w:rFonts w:cs="Times New Roman"/>
        </w:rPr>
        <w:t xml:space="preserve">). For that purpose, it has set up income protection, insurance and farm financing programs. </w:t>
      </w:r>
    </w:p>
    <w:p w:rsidR="00466FCD" w:rsidRPr="00001596" w:rsidRDefault="00466FCD" w:rsidP="00000F01">
      <w:pPr>
        <w:pStyle w:val="ParaNoNdepar-AltN"/>
        <w:widowControl w:val="0"/>
        <w:rPr>
          <w:rFonts w:cs="Times New Roman"/>
        </w:rPr>
      </w:pPr>
      <w:r w:rsidRPr="00001596">
        <w:rPr>
          <w:rFonts w:cs="Times New Roman"/>
        </w:rPr>
        <w:t xml:space="preserve">Among other things, La Financière offers a crop insurance service that compensates participants for losses caused, for example, by unfavourable and unpredictable weather conditions. This </w:t>
      </w:r>
      <w:r w:rsidRPr="00001596">
        <w:rPr>
          <w:rFonts w:cs="Times New Roman"/>
          <w:i/>
        </w:rPr>
        <w:t>Programme d’assurance récolte</w:t>
      </w:r>
      <w:r w:rsidRPr="00001596">
        <w:rPr>
          <w:rFonts w:cs="Times New Roman"/>
        </w:rPr>
        <w:t xml:space="preserve">, which is published in the </w:t>
      </w:r>
      <w:r w:rsidRPr="00001596">
        <w:rPr>
          <w:rFonts w:cs="Times New Roman"/>
          <w:i/>
        </w:rPr>
        <w:t>Gazette officielle du Québec</w:t>
      </w:r>
      <w:r w:rsidRPr="00001596">
        <w:rPr>
          <w:rFonts w:cs="Times New Roman"/>
        </w:rPr>
        <w:t xml:space="preserve">, </w:t>
      </w:r>
      <w:r w:rsidRPr="00001596">
        <w:rPr>
          <w:rFonts w:cs="Times New Roman"/>
          <w:szCs w:val="24"/>
        </w:rPr>
        <w:t>(2002) 134 G.O. 1, 261,</w:t>
      </w:r>
      <w:r w:rsidRPr="00001596">
        <w:rPr>
          <w:rFonts w:cs="Times New Roman"/>
        </w:rPr>
        <w:t xml:space="preserve"> has equivalents in several other Canadian provinces. In Ontario, for instance, there is the </w:t>
      </w:r>
      <w:r w:rsidRPr="00001596">
        <w:rPr>
          <w:rFonts w:cs="Times New Roman"/>
          <w:i/>
        </w:rPr>
        <w:t>Agricultural Products Insurance Act, 1996</w:t>
      </w:r>
      <w:r w:rsidRPr="00001596">
        <w:rPr>
          <w:rFonts w:cs="Times New Roman"/>
        </w:rPr>
        <w:t xml:space="preserve">, S.O. 1996, c. 17, sch. C. La Financière also offers the ASRA Program, which provides financial support to producers. This appeal concerns the interpretation of the rights and obligations of the parties to the ASRA Program, which had no equivalent elsewhere in Canada at the time the dispute in this case arose. The 137 appellants are farm producers that participated voluntarily in the program. The </w:t>
      </w:r>
      <w:r w:rsidRPr="00001596">
        <w:rPr>
          <w:rFonts w:cs="Times New Roman"/>
        </w:rPr>
        <w:lastRenderedPageBreak/>
        <w:t xml:space="preserve">ASRA Program is published in the </w:t>
      </w:r>
      <w:r w:rsidRPr="00001596">
        <w:rPr>
          <w:rFonts w:cs="Times New Roman"/>
          <w:i/>
        </w:rPr>
        <w:t>Gazette officielle du Québec</w:t>
      </w:r>
      <w:r w:rsidRPr="00001596">
        <w:rPr>
          <w:rFonts w:cs="Times New Roman"/>
        </w:rPr>
        <w:t xml:space="preserve">. It replaced the </w:t>
      </w:r>
      <w:r w:rsidRPr="00001596">
        <w:rPr>
          <w:rFonts w:cs="Times New Roman"/>
          <w:i/>
        </w:rPr>
        <w:t>Farm Income Stabilization Insurance Scheme</w:t>
      </w:r>
      <w:r w:rsidRPr="00001596">
        <w:rPr>
          <w:rFonts w:cs="Times New Roman"/>
        </w:rPr>
        <w:t xml:space="preserve"> in 2001; the latter had been created in 1975 and was administered first by the Commission administrative des régimes d’assurance</w:t>
      </w:r>
      <w:r w:rsidRPr="00001596">
        <w:rPr>
          <w:rFonts w:cs="Times New Roman"/>
        </w:rPr>
        <w:noBreakHyphen/>
        <w:t xml:space="preserve">stabilisation des revenus agricoles until 1979, and then by the Régie des assurances agricoles du Québec until 2001, the year La Financière was established (s. 1 </w:t>
      </w:r>
      <w:r w:rsidRPr="00001596">
        <w:rPr>
          <w:rFonts w:cs="Times New Roman"/>
          <w:i/>
        </w:rPr>
        <w:t>AFAQ</w:t>
      </w:r>
      <w:r w:rsidRPr="00001596">
        <w:rPr>
          <w:rFonts w:cs="Times New Roman"/>
        </w:rPr>
        <w:t>).</w:t>
      </w:r>
    </w:p>
    <w:p w:rsidR="00466FCD" w:rsidRPr="00001596" w:rsidRDefault="00466FCD" w:rsidP="00000F01">
      <w:pPr>
        <w:pStyle w:val="ParaNoNdepar-AltN"/>
        <w:widowControl w:val="0"/>
        <w:rPr>
          <w:rFonts w:cs="Times New Roman"/>
        </w:rPr>
      </w:pPr>
      <w:r w:rsidRPr="00001596">
        <w:rPr>
          <w:rFonts w:cs="Times New Roman"/>
        </w:rPr>
        <w:t>The ASRA Program protects participants from having their income drop below a level defined by La Financière for 10 agricultural products or classes of products designated as [</w:t>
      </w:r>
      <w:r w:rsidRPr="00001596">
        <w:rPr>
          <w:rFonts w:cs="Times New Roman"/>
          <w:smallCaps/>
        </w:rPr>
        <w:t>translation</w:t>
      </w:r>
      <w:r w:rsidRPr="00001596">
        <w:rPr>
          <w:rFonts w:cs="Times New Roman"/>
        </w:rPr>
        <w:t xml:space="preserve">] “insurable”. That level is reached where the “net annual income” of an average benchmark farm for an insured product is less than the “stabilized net annual income”, which corresponds to a percentage of the average annual regular salary of a skilled worker in Quebec (s. 89 ASRA Program). What this means is that the higher the net annual income of the benchmark farm is, the lower the compensation will be. In essence, the purpose of the program is to guarantee that an average farm producer never earns less than a predetermined percentage of the average income of a skilled worker. </w:t>
      </w:r>
    </w:p>
    <w:p w:rsidR="00466FCD" w:rsidRPr="00001596" w:rsidRDefault="00466FCD" w:rsidP="00000F01">
      <w:pPr>
        <w:pStyle w:val="ParaNoNdepar-AltN"/>
        <w:widowControl w:val="0"/>
        <w:rPr>
          <w:rFonts w:cs="Times New Roman"/>
        </w:rPr>
      </w:pPr>
      <w:r w:rsidRPr="00001596">
        <w:rPr>
          <w:rFonts w:cs="Times New Roman"/>
        </w:rPr>
        <w:t xml:space="preserve">In exchange, each producer participating in this voluntary program must pay a fixed contribution per unit of a designated product (s. 78 ASRA Program). Producers must agree to participate for a minimum of five years (s. 16(3)) and must insure all of their annual production for each designated product (s. 18). La Financière makes a contribution to the program’s fund — the Fonds d’assurance stabilisation des </w:t>
      </w:r>
      <w:r w:rsidRPr="00001596">
        <w:rPr>
          <w:rFonts w:cs="Times New Roman"/>
        </w:rPr>
        <w:lastRenderedPageBreak/>
        <w:t>revenus agricoles, of which it is the trustee (s. 6) — equal to twice the contributions paid by each participant (s. 80). The amounts in the fund are used to finance the payment of compensation to participants (s. 7), and, unless an agreement is entered into or an alternative program is implemented, any surplus or deficit must be apportioned among the participants in proportion to their contributions (s. 13). No amendment made by La Financière to the terms of the ASRA Program, except one relating to the contribution rate, may take effect until the insurance year after the amendment comes into force (s. 21 para. 2).</w:t>
      </w:r>
    </w:p>
    <w:p w:rsidR="00466FCD" w:rsidRPr="00001596" w:rsidRDefault="00466FCD" w:rsidP="00000F01">
      <w:pPr>
        <w:pStyle w:val="ParaNoNdepar-AltN"/>
        <w:widowControl w:val="0"/>
        <w:rPr>
          <w:rFonts w:cs="Times New Roman"/>
        </w:rPr>
      </w:pPr>
      <w:r w:rsidRPr="00001596">
        <w:rPr>
          <w:rFonts w:cs="Times New Roman"/>
        </w:rPr>
        <w:t>The first paragraph of s. 87 of the program provides that [</w:t>
      </w:r>
      <w:r w:rsidRPr="00001596">
        <w:rPr>
          <w:rFonts w:cs="Times New Roman"/>
          <w:smallCaps/>
        </w:rPr>
        <w:t>translation</w:t>
      </w:r>
      <w:r w:rsidRPr="00001596">
        <w:rPr>
          <w:rFonts w:cs="Times New Roman"/>
        </w:rPr>
        <w:t>] “[t]he net annual income [of a benchmark farm] corresponds to the annual receipts minus cash disbursements and depreciation.” The annual receipts of a benchmark farm are described in s. 88 of the ASRA Program. Section 88(3), as it read at the time this dispute arose, read as follows concerning amounts granted by government agencies:</w:t>
      </w:r>
    </w:p>
    <w:p w:rsidR="00466FCD" w:rsidRPr="00001596" w:rsidRDefault="00466FCD" w:rsidP="00000F01">
      <w:pPr>
        <w:pStyle w:val="Citation-AltC"/>
        <w:widowControl w:val="0"/>
        <w:spacing w:before="240" w:after="240"/>
        <w:contextualSpacing w:val="0"/>
        <w:rPr>
          <w:rFonts w:eastAsiaTheme="minorEastAsia"/>
        </w:rPr>
      </w:pPr>
      <w:r w:rsidRPr="00001596">
        <w:rPr>
          <w:rFonts w:eastAsiaTheme="minorEastAsia"/>
        </w:rPr>
        <w:t>[</w:t>
      </w:r>
      <w:r w:rsidRPr="00001596">
        <w:rPr>
          <w:rFonts w:eastAsiaTheme="minorEastAsia"/>
          <w:smallCaps/>
        </w:rPr>
        <w:t>translation</w:t>
      </w:r>
      <w:r w:rsidRPr="00001596">
        <w:rPr>
          <w:rFonts w:eastAsiaTheme="minorEastAsia"/>
        </w:rPr>
        <w:t>]</w:t>
      </w:r>
    </w:p>
    <w:p w:rsidR="00466FCD" w:rsidRPr="00001596" w:rsidRDefault="00466FCD" w:rsidP="00000F01">
      <w:pPr>
        <w:pStyle w:val="Citation-AltC"/>
        <w:widowControl w:val="0"/>
        <w:rPr>
          <w:rFonts w:eastAsiaTheme="minorEastAsia"/>
        </w:rPr>
      </w:pPr>
      <w:r w:rsidRPr="00001596">
        <w:rPr>
          <w:rFonts w:eastAsiaTheme="minorEastAsia"/>
          <w:lang w:val="en-US"/>
        </w:rPr>
        <w:t>3°</w:t>
      </w:r>
      <w:r w:rsidR="009C5DFC">
        <w:rPr>
          <w:rFonts w:eastAsiaTheme="minorEastAsia"/>
          <w:lang w:val="en-US"/>
        </w:rPr>
        <w:tab/>
      </w:r>
      <w:proofErr w:type="gramStart"/>
      <w:r w:rsidRPr="00001596">
        <w:rPr>
          <w:rFonts w:eastAsiaTheme="minorEastAsia"/>
        </w:rPr>
        <w:t>Any</w:t>
      </w:r>
      <w:proofErr w:type="gramEnd"/>
      <w:r w:rsidRPr="00001596">
        <w:rPr>
          <w:rFonts w:eastAsiaTheme="minorEastAsia"/>
        </w:rPr>
        <w:t xml:space="preserve"> amounts to which a participant is entitled on the basis of the volume of marketed products and secondary products and that are granted by government agencies in the form of price compensation for the insurable product or under a government farm business risk management program.</w:t>
      </w:r>
    </w:p>
    <w:p w:rsidR="00466FCD" w:rsidRPr="00001596" w:rsidRDefault="00466FCD" w:rsidP="00000F01">
      <w:pPr>
        <w:pStyle w:val="ParaNoNdepar-AltN"/>
        <w:widowControl w:val="0"/>
        <w:numPr>
          <w:ilvl w:val="0"/>
          <w:numId w:val="0"/>
        </w:numPr>
        <w:tabs>
          <w:tab w:val="left" w:pos="1166"/>
        </w:tabs>
        <w:rPr>
          <w:rFonts w:cs="Times New Roman"/>
        </w:rPr>
      </w:pPr>
      <w:r w:rsidRPr="00001596">
        <w:rPr>
          <w:rFonts w:cs="Times New Roman"/>
        </w:rPr>
        <w:t>Thus, in calculating the annual receipts of the average benchmark farm, La Financière takes account of other income from federal and provincial government contributions under a risk management program or in the form of price compensation for insurable products. The parties use — as did the courts below — the word [</w:t>
      </w:r>
      <w:r w:rsidRPr="00001596">
        <w:rPr>
          <w:rFonts w:cs="Times New Roman"/>
          <w:smallCaps/>
        </w:rPr>
        <w:t>translation</w:t>
      </w:r>
      <w:r w:rsidRPr="00001596">
        <w:rPr>
          <w:rFonts w:cs="Times New Roman"/>
        </w:rPr>
        <w:t xml:space="preserve">] </w:t>
      </w:r>
      <w:r w:rsidRPr="00001596">
        <w:rPr>
          <w:rFonts w:cs="Times New Roman"/>
        </w:rPr>
        <w:lastRenderedPageBreak/>
        <w:t xml:space="preserve">“linkage” to characterize the process of taking such income into account. From the compensation to be paid under the ASRA Program, La Financière therefore deducts the “linked” amounts in order to take account of any other income that might have an effect on the financial needs of the average benchmark farm, which is the reference standard for the program. </w:t>
      </w:r>
    </w:p>
    <w:p w:rsidR="00466FCD" w:rsidRPr="00001596" w:rsidRDefault="00466FCD" w:rsidP="00000F01">
      <w:pPr>
        <w:pStyle w:val="ParaNoNdepar-AltN"/>
        <w:widowControl w:val="0"/>
        <w:rPr>
          <w:rFonts w:cs="Times New Roman"/>
        </w:rPr>
      </w:pPr>
      <w:r w:rsidRPr="00001596">
        <w:rPr>
          <w:rFonts w:cs="Times New Roman"/>
        </w:rPr>
        <w:t>Amounts so received are linked either “collectively” — on the basis of the amounts the average benchmark farm would have received — or “individually” — on the basis of the amounts each ASRA Program participant actually received from the various governments. The higher the linked amounts, the lower the compensation received under the program, since increases in the benchmark farm’s income that result from the linkage process translate directly into a decrease in the compensation paid to each participant under the program. Whether government assistance should be linked collectively or individually is at the heart of the dispute between the appellants and La Financière.</w:t>
      </w:r>
    </w:p>
    <w:p w:rsidR="00466FCD" w:rsidRPr="00001596" w:rsidRDefault="00466FCD" w:rsidP="00000F01">
      <w:pPr>
        <w:pStyle w:val="ParaNoNdepar-AltN"/>
        <w:widowControl w:val="0"/>
        <w:rPr>
          <w:rFonts w:cs="Times New Roman"/>
        </w:rPr>
      </w:pPr>
      <w:r w:rsidRPr="00001596">
        <w:rPr>
          <w:rFonts w:cs="Times New Roman"/>
        </w:rPr>
        <w:t>La Financière often acts as an intermediary in administering federal or provincial grants to Quebec farm producers. For that purpose, it has entered into a number of agreements with the federal government to distribute amounts that the federal government pays directly to producers in other provinces. At times, La Financière also integrates amounts paid by the federal government directly into the ASRA Program’s fund.</w:t>
      </w:r>
    </w:p>
    <w:p w:rsidR="00466FCD" w:rsidRPr="00001596" w:rsidRDefault="00466FCD" w:rsidP="00000F01">
      <w:pPr>
        <w:pStyle w:val="ParaNoNdepar-AltN"/>
        <w:widowControl w:val="0"/>
        <w:rPr>
          <w:rFonts w:cs="Times New Roman"/>
        </w:rPr>
      </w:pPr>
      <w:r w:rsidRPr="00001596">
        <w:rPr>
          <w:rFonts w:cs="Times New Roman"/>
        </w:rPr>
        <w:lastRenderedPageBreak/>
        <w:t xml:space="preserve">In May and July 2007, the federal government announced the payment of grants to Canadian farmers (including ASRA Program participants) under two programs: the Cost of Production Benefit (“COPB”) program and the AgriInvest Kickstart (“Kickstart”) program. Under these two assistance programs, grants were made to producers, who were not required to make contributions. </w:t>
      </w:r>
    </w:p>
    <w:p w:rsidR="00466FCD" w:rsidRPr="00001596" w:rsidRDefault="00466FCD" w:rsidP="00000F01">
      <w:pPr>
        <w:pStyle w:val="ParaNoNdepar-AltN"/>
        <w:widowControl w:val="0"/>
        <w:rPr>
          <w:rFonts w:cs="Times New Roman"/>
        </w:rPr>
      </w:pPr>
      <w:r w:rsidRPr="00001596">
        <w:rPr>
          <w:rFonts w:cs="Times New Roman"/>
        </w:rPr>
        <w:t>Amounts paid under the two programs were calculated as a percentage of each producer’s allowable net sales (“ANS”), although both programs had ANS caps above which producers received nothing. The caps were $450,000 for the COPB program and $3 million for Kickstart. They corresponded to maximum payments per producer of $12,240 for the COPB program and $96,000 for Kickstart. All ASRA Program participants were eligible to receive amounts under those programs, but the largest producers received only the maximum amounts.</w:t>
      </w:r>
    </w:p>
    <w:p w:rsidR="00466FCD" w:rsidRPr="00001596" w:rsidRDefault="00466FCD" w:rsidP="00000F01">
      <w:pPr>
        <w:pStyle w:val="ParaNoNdepar-AltN"/>
        <w:widowControl w:val="0"/>
        <w:rPr>
          <w:rFonts w:cs="Times New Roman"/>
        </w:rPr>
      </w:pPr>
      <w:r w:rsidRPr="00001596">
        <w:rPr>
          <w:rFonts w:cs="Times New Roman"/>
        </w:rPr>
        <w:t xml:space="preserve">In managing the ASRA Program, La Financière decided to link amounts received under the COPB and Kickstart programs collectively. It fixed the compensation for 2007 on the basis of what the benchmark farm would have received under those two programs. The ANS of the hypothetical benchmark farm used to collectively link the amounts were less than the maximum allowed by the federal government. However, in collectively linking the amounts, La Financière calculated the average income the benchmark farm would have earned per unit of designated product and then multiplied this by each participant’s number of units of the designated product. These calculations led La Financière to attribute to some of the largest </w:t>
      </w:r>
      <w:r w:rsidRPr="00001596">
        <w:rPr>
          <w:rFonts w:cs="Times New Roman"/>
        </w:rPr>
        <w:lastRenderedPageBreak/>
        <w:t xml:space="preserve">producers, including the appellants, amounts of federal assistance greater than the amounts they had actually received. As a result, the compensation paid to these producers under the ASRA Program was reduced by more than would have been the case had La Financière linked the amounts individually on the basis of what each of them had actually received. </w:t>
      </w:r>
    </w:p>
    <w:p w:rsidR="00466FCD" w:rsidRPr="00001596" w:rsidRDefault="00466FCD" w:rsidP="00000F01">
      <w:pPr>
        <w:pStyle w:val="ParaNoNdepar-AltN"/>
        <w:widowControl w:val="0"/>
        <w:rPr>
          <w:rFonts w:cs="Times New Roman"/>
        </w:rPr>
      </w:pPr>
      <w:r w:rsidRPr="00001596">
        <w:rPr>
          <w:rFonts w:cs="Times New Roman"/>
        </w:rPr>
        <w:t>The 137 appellants were unhappy about being disadvantaged in this way, and in January 2008 they asked La Financière to review its decision and link the amounts in question individually. Their request was denied on the ground that a review could not be sought for decisions relating to the [</w:t>
      </w:r>
      <w:r w:rsidRPr="00001596">
        <w:rPr>
          <w:rFonts w:cs="Times New Roman"/>
          <w:smallCaps/>
        </w:rPr>
        <w:t>translation</w:t>
      </w:r>
      <w:r w:rsidRPr="00001596">
        <w:rPr>
          <w:rFonts w:cs="Times New Roman"/>
        </w:rPr>
        <w:t xml:space="preserve">] “terms of the programs administered by La Financière”. </w:t>
      </w:r>
    </w:p>
    <w:p w:rsidR="00466FCD" w:rsidRPr="00001596" w:rsidRDefault="00466FCD" w:rsidP="00000F01">
      <w:pPr>
        <w:pStyle w:val="ParaNoNdepar-AltN"/>
        <w:widowControl w:val="0"/>
        <w:rPr>
          <w:rFonts w:cs="Times New Roman"/>
        </w:rPr>
      </w:pPr>
      <w:r w:rsidRPr="00001596">
        <w:rPr>
          <w:rFonts w:cs="Times New Roman"/>
        </w:rPr>
        <w:t>In November 2008, La Financière amended the ASRA Program to specify that amounts received under other financial assistance programs would now be linked collectively [</w:t>
      </w:r>
      <w:r w:rsidRPr="00001596">
        <w:rPr>
          <w:rFonts w:cs="Times New Roman"/>
          <w:smallCaps/>
        </w:rPr>
        <w:t>translation</w:t>
      </w:r>
      <w:r w:rsidRPr="00001596">
        <w:rPr>
          <w:rFonts w:cs="Times New Roman"/>
        </w:rPr>
        <w:t>] “unless La Financière agricole considers it appropriate” to link them individually (s. 88(3) added by (2009) 141 G.O. 1, 51, s. 21).</w:t>
      </w:r>
    </w:p>
    <w:p w:rsidR="00466FCD" w:rsidRPr="00001596" w:rsidRDefault="00466FCD" w:rsidP="00000F01">
      <w:pPr>
        <w:pStyle w:val="ParaNoNdepar-AltN"/>
        <w:widowControl w:val="0"/>
        <w:rPr>
          <w:rFonts w:cs="Times New Roman"/>
        </w:rPr>
      </w:pPr>
      <w:r w:rsidRPr="00001596">
        <w:rPr>
          <w:rFonts w:cs="Times New Roman"/>
        </w:rPr>
        <w:t xml:space="preserve">Following a fruitless exchange of letters with La Financière, the appellants instituted proceedings in the Superior Court in two cases that were ultimately joined for hearing. They argued that the ASRA Program had to be characterized as a contract of insurance within the meaning of the </w:t>
      </w:r>
      <w:r w:rsidRPr="00001596">
        <w:rPr>
          <w:rFonts w:cs="Times New Roman"/>
          <w:i/>
        </w:rPr>
        <w:t>Civil Code of Québec</w:t>
      </w:r>
      <w:r w:rsidRPr="00001596">
        <w:rPr>
          <w:rFonts w:cs="Times New Roman"/>
        </w:rPr>
        <w:t xml:space="preserve">. In their submission, this characterization engaged the principle of interpretation based on the </w:t>
      </w:r>
      <w:r w:rsidR="000E3639" w:rsidRPr="00001596">
        <w:rPr>
          <w:rFonts w:cs="Times New Roman"/>
        </w:rPr>
        <w:t>[</w:t>
      </w:r>
      <w:r w:rsidR="000E3639" w:rsidRPr="00001596">
        <w:rPr>
          <w:rFonts w:cs="Times New Roman"/>
          <w:smallCaps/>
        </w:rPr>
        <w:t>translation</w:t>
      </w:r>
      <w:r w:rsidR="000E3639" w:rsidRPr="00001596">
        <w:rPr>
          <w:rFonts w:cs="Times New Roman"/>
        </w:rPr>
        <w:t xml:space="preserve">] </w:t>
      </w:r>
      <w:r w:rsidRPr="00001596">
        <w:rPr>
          <w:rFonts w:cs="Times New Roman"/>
        </w:rPr>
        <w:t>“reasonable expectations of the insu</w:t>
      </w:r>
      <w:r w:rsidR="00174E44">
        <w:rPr>
          <w:rFonts w:cs="Times New Roman"/>
        </w:rPr>
        <w:t>red”, sometimes also called the</w:t>
      </w:r>
      <w:r w:rsidRPr="00001596">
        <w:rPr>
          <w:rFonts w:cs="Times New Roman"/>
        </w:rPr>
        <w:t xml:space="preserve"> doctrine of </w:t>
      </w:r>
      <w:r w:rsidR="00174E44" w:rsidRPr="00001596">
        <w:rPr>
          <w:rFonts w:cs="Times New Roman"/>
        </w:rPr>
        <w:lastRenderedPageBreak/>
        <w:t>“</w:t>
      </w:r>
      <w:r w:rsidRPr="00001596">
        <w:rPr>
          <w:rFonts w:cs="Times New Roman"/>
        </w:rPr>
        <w:t>legitimate expectations of the insured”, according to which any ambiguity, or even any unambiguous provision of a contract of insurance, must be interpreted in a manner consistent with the expectations of the insured. They submitted that, in light of past practice, it was reasonable for them to expect La Financière to link the amounts paid by the federal government individually. The decision to do so collectively was therefore, in their view, [</w:t>
      </w:r>
      <w:r w:rsidRPr="00001596">
        <w:rPr>
          <w:rFonts w:cs="Times New Roman"/>
          <w:smallCaps/>
        </w:rPr>
        <w:t>translation</w:t>
      </w:r>
      <w:r w:rsidRPr="00001596">
        <w:rPr>
          <w:rFonts w:cs="Times New Roman"/>
        </w:rPr>
        <w:t xml:space="preserve">] “arbitrary, discriminatory and improper” because of its negative effect on the compensation paid to many participants. That decision resulted in the amendment of the contract in the course of an insurance year, which the program did not permit, and deprived the appellants of amounts to which they were entitled. </w:t>
      </w:r>
    </w:p>
    <w:p w:rsidR="00466FCD" w:rsidRPr="00001596" w:rsidRDefault="00466FCD" w:rsidP="00000F01">
      <w:pPr>
        <w:pStyle w:val="ParaNoNdepar-AltN"/>
        <w:widowControl w:val="0"/>
        <w:rPr>
          <w:rFonts w:cs="Times New Roman"/>
        </w:rPr>
      </w:pPr>
      <w:r w:rsidRPr="00001596">
        <w:rPr>
          <w:rFonts w:cs="Times New Roman"/>
        </w:rPr>
        <w:t>In their conclusions, the appellants asked the court to declare that La Financière [</w:t>
      </w:r>
      <w:r w:rsidRPr="00001596">
        <w:rPr>
          <w:rFonts w:cs="Times New Roman"/>
          <w:smallCaps/>
        </w:rPr>
        <w:t>translation</w:t>
      </w:r>
      <w:r w:rsidRPr="00001596">
        <w:rPr>
          <w:rFonts w:cs="Times New Roman"/>
        </w:rPr>
        <w:t xml:space="preserve">] “must, under the ASRA </w:t>
      </w:r>
      <w:r w:rsidR="00137F7E">
        <w:rPr>
          <w:rFonts w:cs="Times New Roman"/>
        </w:rPr>
        <w:t>P</w:t>
      </w:r>
      <w:r w:rsidRPr="00001596">
        <w:rPr>
          <w:rFonts w:cs="Times New Roman"/>
        </w:rPr>
        <w:t>rogram, deduct any amounts to which each participant is entitled under a federal program on an individual basis”. They also asked that the calculation that resulted from linking the COPB and Kickstart amounts be declared to be invalid in respect of all ASRA Program participants (who numbered 16,747 at the time). Each of them claimed the amount it would have received for 2007 had the amounts been linked individually, a total of over $14 million.</w:t>
      </w:r>
    </w:p>
    <w:p w:rsidR="00466FCD" w:rsidRPr="00001596" w:rsidRDefault="00466FCD" w:rsidP="00000F01">
      <w:pPr>
        <w:pStyle w:val="ParaNoNdepar-AltN"/>
        <w:widowControl w:val="0"/>
        <w:rPr>
          <w:rFonts w:cs="Times New Roman"/>
        </w:rPr>
      </w:pPr>
      <w:r w:rsidRPr="00001596">
        <w:rPr>
          <w:rFonts w:cs="Times New Roman"/>
        </w:rPr>
        <w:t xml:space="preserve">La Financière countered that the ASRA Program is not a contract of insurance, adding that the </w:t>
      </w:r>
      <w:r w:rsidRPr="00001596">
        <w:rPr>
          <w:rFonts w:cs="Times New Roman"/>
          <w:i/>
        </w:rPr>
        <w:t>AFAQ</w:t>
      </w:r>
      <w:r w:rsidRPr="00001596">
        <w:rPr>
          <w:rFonts w:cs="Times New Roman"/>
        </w:rPr>
        <w:t xml:space="preserve"> gives it a broad discretion to determine the amount of the assistance granted to producers and to establish the conditions applicable to such assistance, including the method to be employed in linking the amounts it must take </w:t>
      </w:r>
      <w:r w:rsidRPr="00001596">
        <w:rPr>
          <w:rFonts w:cs="Times New Roman"/>
        </w:rPr>
        <w:lastRenderedPageBreak/>
        <w:t>into account in granting compensation. Linking them collectively was in its view consistent with the nature of the ASRA Program, which is based on a benchmark farm and not on data specific to each participant. La Financière also argued that the chosen method had been advantageous to a clear majority of participating producers. It explained that it had in the past linked amounts individually only in cases in which a single group of ASRA Program participants had received amounts to be linked, and that it had done so in such cases to avoid attributing income to all the participants that some of them had not received. La Financière added that it had exercised its power to decide on the method to employ in linking amounts on a case</w:t>
      </w:r>
      <w:r w:rsidRPr="00001596">
        <w:rPr>
          <w:rFonts w:cs="Times New Roman"/>
        </w:rPr>
        <w:noBreakHyphen/>
        <w:t>by</w:t>
      </w:r>
      <w:r w:rsidRPr="00001596">
        <w:rPr>
          <w:rFonts w:cs="Times New Roman"/>
        </w:rPr>
        <w:noBreakHyphen/>
        <w:t>case basis having regard to its mission and to the impact of each contribution on the participants as a whole.</w:t>
      </w:r>
    </w:p>
    <w:p w:rsidR="00466FCD" w:rsidRPr="00001596" w:rsidRDefault="00466FCD" w:rsidP="00000F01">
      <w:pPr>
        <w:pStyle w:val="Title1LevelTitre1Niveau-AltL"/>
        <w:widowControl w:val="0"/>
        <w:ind w:left="578" w:hanging="578"/>
        <w:rPr>
          <w:rFonts w:cs="Times New Roman"/>
        </w:rPr>
      </w:pPr>
      <w:r w:rsidRPr="00001596">
        <w:rPr>
          <w:rFonts w:cs="Times New Roman"/>
        </w:rPr>
        <w:t>Judicial History</w:t>
      </w:r>
    </w:p>
    <w:p w:rsidR="00466FCD" w:rsidRPr="00001596" w:rsidRDefault="00466FCD" w:rsidP="00000F01">
      <w:pPr>
        <w:pStyle w:val="Title2LevelTitre2Niveau"/>
        <w:widowControl w:val="0"/>
        <w:ind w:left="578" w:hanging="578"/>
        <w:rPr>
          <w:rFonts w:cs="Times New Roman"/>
        </w:rPr>
      </w:pPr>
      <w:r w:rsidRPr="00001596">
        <w:rPr>
          <w:rFonts w:cs="Times New Roman"/>
        </w:rPr>
        <w:t>Superior Court, 2012 QCCS 284</w:t>
      </w:r>
    </w:p>
    <w:p w:rsidR="00466FCD" w:rsidRPr="00001596" w:rsidRDefault="00466FCD" w:rsidP="00000F01">
      <w:pPr>
        <w:pStyle w:val="ParaNoNdepar-AltN"/>
        <w:widowControl w:val="0"/>
        <w:rPr>
          <w:rFonts w:cs="Times New Roman"/>
        </w:rPr>
      </w:pPr>
      <w:r w:rsidRPr="00001596">
        <w:rPr>
          <w:rFonts w:cs="Times New Roman"/>
        </w:rPr>
        <w:t xml:space="preserve">The trial judge found that the ASRA Program was a contract of insurance, explaining that La Financière insured a risk in exchange for the payment of a contribution. She noted that La Financière had the power to decide what data would be taken into account in calculating the compensation that was payable, but that any unilateral amendment of the terms of the ASRA Program by La Financière could apply only to the year following the amendment and only after having been published in the </w:t>
      </w:r>
      <w:r w:rsidRPr="00001596">
        <w:rPr>
          <w:rFonts w:cs="Times New Roman"/>
          <w:i/>
        </w:rPr>
        <w:t>Gazette</w:t>
      </w:r>
      <w:r w:rsidRPr="00001596">
        <w:rPr>
          <w:rFonts w:cs="Times New Roman"/>
        </w:rPr>
        <w:t xml:space="preserve"> </w:t>
      </w:r>
      <w:r w:rsidRPr="00001596">
        <w:rPr>
          <w:rFonts w:cs="Times New Roman"/>
          <w:i/>
        </w:rPr>
        <w:t>officielle du Québec</w:t>
      </w:r>
      <w:r w:rsidRPr="00001596">
        <w:rPr>
          <w:rFonts w:cs="Times New Roman"/>
        </w:rPr>
        <w:t xml:space="preserve">. </w:t>
      </w:r>
    </w:p>
    <w:p w:rsidR="00466FCD" w:rsidRPr="00001596" w:rsidRDefault="00466FCD" w:rsidP="00000F01">
      <w:pPr>
        <w:pStyle w:val="ParaNoNdepar-AltN"/>
        <w:widowControl w:val="0"/>
        <w:rPr>
          <w:rFonts w:cs="Times New Roman"/>
        </w:rPr>
      </w:pPr>
      <w:r w:rsidRPr="00001596">
        <w:rPr>
          <w:rFonts w:cs="Times New Roman"/>
        </w:rPr>
        <w:lastRenderedPageBreak/>
        <w:t>The trial judge observed that, before being amended in November 2008, s. 88(3) had referred expressly to [</w:t>
      </w:r>
      <w:r w:rsidRPr="00001596">
        <w:rPr>
          <w:rFonts w:cs="Times New Roman"/>
          <w:smallCaps/>
        </w:rPr>
        <w:t>translation</w:t>
      </w:r>
      <w:r w:rsidRPr="00001596">
        <w:rPr>
          <w:rFonts w:cs="Times New Roman"/>
        </w:rPr>
        <w:t xml:space="preserve">] “amounts to which </w:t>
      </w:r>
      <w:r w:rsidRPr="00001596">
        <w:rPr>
          <w:rFonts w:cs="Times New Roman"/>
          <w:u w:val="single"/>
        </w:rPr>
        <w:t>a participant</w:t>
      </w:r>
      <w:r w:rsidRPr="00001596">
        <w:rPr>
          <w:rFonts w:cs="Times New Roman"/>
        </w:rPr>
        <w:t xml:space="preserve"> is entitled”. There was therefore nothing preventing La Financière from linking the amounts individually in this case. The November 2008 amendments required that La Financière determine the amounts to which a participant was entitled on the basis of the characteristics of the benchmark farm (collective linkage) unless La Financière considered it appropriate to add the amounts actually received to the annual receipts (individual linkage). In the trial judge’s view, that amendment [</w:t>
      </w:r>
      <w:r w:rsidRPr="00001596">
        <w:rPr>
          <w:rFonts w:cs="Times New Roman"/>
          <w:smallCaps/>
        </w:rPr>
        <w:t>translation</w:t>
      </w:r>
      <w:r w:rsidRPr="00001596">
        <w:rPr>
          <w:rFonts w:cs="Times New Roman"/>
        </w:rPr>
        <w:t xml:space="preserve">] “suggests that the intention was to change either the law or the parties’ status” (para. 157 (CanLII)).  </w:t>
      </w:r>
    </w:p>
    <w:p w:rsidR="00466FCD" w:rsidRPr="00001596" w:rsidRDefault="00466FCD" w:rsidP="00000F01">
      <w:pPr>
        <w:pStyle w:val="ParaNoNdepar-AltN"/>
        <w:widowControl w:val="0"/>
        <w:rPr>
          <w:rFonts w:cs="Times New Roman"/>
        </w:rPr>
      </w:pPr>
      <w:r w:rsidRPr="00001596">
        <w:rPr>
          <w:rFonts w:cs="Times New Roman"/>
        </w:rPr>
        <w:t>Further, the trial judge concluded on the basis of the evidence that, in the past, La Financière had collectively linked amounts paid under programs involving [</w:t>
      </w:r>
      <w:r w:rsidRPr="00001596">
        <w:rPr>
          <w:rFonts w:cs="Times New Roman"/>
          <w:smallCaps/>
        </w:rPr>
        <w:t>translation</w:t>
      </w:r>
      <w:r w:rsidRPr="00001596">
        <w:rPr>
          <w:rFonts w:cs="Times New Roman"/>
        </w:rPr>
        <w:t>] “a single contribution paid directly to its insurance fund [that of the ASRA Program]”, but had linked the amounts of “direct payments to producers” individually by subtracting from the compensation payable to each participant any amounts it had received from the federal government (paras. 133</w:t>
      </w:r>
      <w:r w:rsidRPr="00001596">
        <w:rPr>
          <w:rFonts w:cs="Times New Roman"/>
        </w:rPr>
        <w:noBreakHyphen/>
        <w:t xml:space="preserve">34). The financial assistance provided under the two federal programs at issue took the form of direct payments to producers. La Financière’s past practice had therefore created “legitimate expectations among the participants”, which means that La Financière could not in the course of a year decide to change the applicable rules and collectively link amounts paid directly to producers (para. 158). </w:t>
      </w:r>
    </w:p>
    <w:p w:rsidR="00466FCD" w:rsidRPr="00001596" w:rsidRDefault="00466FCD" w:rsidP="00000F01">
      <w:pPr>
        <w:pStyle w:val="ParaNoNdepar-AltN"/>
        <w:widowControl w:val="0"/>
        <w:rPr>
          <w:rFonts w:cs="Times New Roman"/>
        </w:rPr>
      </w:pPr>
      <w:r w:rsidRPr="00001596">
        <w:rPr>
          <w:rFonts w:cs="Times New Roman"/>
        </w:rPr>
        <w:lastRenderedPageBreak/>
        <w:t>The trial judge found that La Financière had a “discretion” to decide what method to employ in linking amounts, but that this discretion had to be exercised [</w:t>
      </w:r>
      <w:r w:rsidRPr="00001596">
        <w:rPr>
          <w:rFonts w:cs="Times New Roman"/>
          <w:smallCaps/>
        </w:rPr>
        <w:t>translation</w:t>
      </w:r>
      <w:r w:rsidRPr="00001596">
        <w:rPr>
          <w:rFonts w:cs="Times New Roman"/>
        </w:rPr>
        <w:t>] “in accordance with the terms of the program . . . and in a reasonable manner”, which was not the case here (paras. 161</w:t>
      </w:r>
      <w:r w:rsidRPr="00001596">
        <w:rPr>
          <w:rFonts w:cs="Times New Roman"/>
        </w:rPr>
        <w:noBreakHyphen/>
        <w:t xml:space="preserve">62). By collectively linking the amounts in issue, La Financière had “indirectly reduced the insurance coverage” to a significant degree (para. 164). The extent of the resulting distortions and the fact that the appellants were accordingly penalized led the trial judge to conclude that La Financière had exercised its discretion unreasonably and had acted in an arbitrary, discriminatory and improper manner. </w:t>
      </w:r>
    </w:p>
    <w:p w:rsidR="00466FCD" w:rsidRPr="00001596" w:rsidRDefault="00466FCD" w:rsidP="00000F01">
      <w:pPr>
        <w:pStyle w:val="ParaNoNdepar-AltN"/>
        <w:widowControl w:val="0"/>
        <w:rPr>
          <w:rFonts w:cs="Times New Roman"/>
        </w:rPr>
      </w:pPr>
      <w:r w:rsidRPr="00001596">
        <w:rPr>
          <w:rFonts w:cs="Times New Roman"/>
        </w:rPr>
        <w:t>The trial judge therefore allowed the action, declared the calculation of the compensation paid for 2007 — but only to the appellants — to be invalid, and ordered La Financière to pay the compensation the appellants would have received had the amounts been linked individually</w:t>
      </w:r>
      <w:r>
        <w:rPr>
          <w:rFonts w:cs="Times New Roman"/>
        </w:rPr>
        <w:t>, with costs</w:t>
      </w:r>
      <w:r w:rsidRPr="00001596">
        <w:rPr>
          <w:rFonts w:cs="Times New Roman"/>
        </w:rPr>
        <w:t>.</w:t>
      </w:r>
    </w:p>
    <w:p w:rsidR="00466FCD" w:rsidRPr="00001596" w:rsidRDefault="00466FCD" w:rsidP="00000F01">
      <w:pPr>
        <w:pStyle w:val="Title2LevelTitre2Niveau"/>
        <w:widowControl w:val="0"/>
        <w:ind w:left="578" w:hanging="578"/>
        <w:rPr>
          <w:rFonts w:cs="Times New Roman"/>
        </w:rPr>
      </w:pPr>
      <w:r w:rsidRPr="00001596">
        <w:rPr>
          <w:rFonts w:cs="Times New Roman"/>
        </w:rPr>
        <w:t xml:space="preserve">Court of Appeal, 2014 QCCA 1886 </w:t>
      </w:r>
    </w:p>
    <w:p w:rsidR="00466FCD" w:rsidRPr="00001596" w:rsidRDefault="00466FCD" w:rsidP="00000F01">
      <w:pPr>
        <w:pStyle w:val="ParaNoNdepar-AltN"/>
        <w:widowControl w:val="0"/>
        <w:rPr>
          <w:rFonts w:cs="Times New Roman"/>
        </w:rPr>
      </w:pPr>
      <w:r w:rsidRPr="00001596">
        <w:rPr>
          <w:rFonts w:cs="Times New Roman"/>
        </w:rPr>
        <w:t xml:space="preserve">Savard J.A., writing for the Court of Appeal, began her analysis by observing that participation in the ASRA Program was voluntary and that the program had all the characteristics of a contract. However, she was of the view that the program was not a contract of insurance within the meaning of art. 2389 </w:t>
      </w:r>
      <w:r w:rsidRPr="00001596">
        <w:rPr>
          <w:rFonts w:cs="Times New Roman"/>
          <w:i/>
        </w:rPr>
        <w:t>C.C.Q.</w:t>
      </w:r>
      <w:r w:rsidRPr="00001596">
        <w:rPr>
          <w:rFonts w:cs="Times New Roman"/>
        </w:rPr>
        <w:t xml:space="preserve"> She noted, </w:t>
      </w:r>
      <w:r w:rsidRPr="00001596">
        <w:rPr>
          <w:rFonts w:cs="Times New Roman"/>
          <w:i/>
        </w:rPr>
        <w:t>inter alia</w:t>
      </w:r>
      <w:r w:rsidRPr="00001596">
        <w:rPr>
          <w:rFonts w:cs="Times New Roman"/>
        </w:rPr>
        <w:t>, that La Financière’s primary activity was not speculating on risk but promoting the agricultural and agri</w:t>
      </w:r>
      <w:r w:rsidRPr="00001596">
        <w:rPr>
          <w:rFonts w:cs="Times New Roman"/>
        </w:rPr>
        <w:noBreakHyphen/>
        <w:t xml:space="preserve">food sector. The economic risk covered by the </w:t>
      </w:r>
      <w:r w:rsidRPr="00001596">
        <w:rPr>
          <w:rFonts w:cs="Times New Roman"/>
        </w:rPr>
        <w:lastRenderedPageBreak/>
        <w:t xml:space="preserve">ASRA Program did not depend on each participant’s financial situation, but was always present and was certain over a long period of time (para. 69 (CanLII)). In Savard J.A.’s view, the ASRA Program was more of an income protection program, as the government provided farm producers with financial support to counter losses that were inherent in their sector. She described the program as a </w:t>
      </w:r>
      <w:r w:rsidRPr="00001596">
        <w:rPr>
          <w:rFonts w:cs="Times New Roman"/>
          <w:i/>
        </w:rPr>
        <w:t>sui generis</w:t>
      </w:r>
      <w:r w:rsidRPr="00001596">
        <w:rPr>
          <w:rFonts w:cs="Times New Roman"/>
        </w:rPr>
        <w:t xml:space="preserve"> administrative contract that had both public law and private law aspects.</w:t>
      </w:r>
    </w:p>
    <w:p w:rsidR="00466FCD" w:rsidRPr="00001596" w:rsidRDefault="00466FCD" w:rsidP="00000F01">
      <w:pPr>
        <w:pStyle w:val="ParaNoNdepar-AltN"/>
        <w:widowControl w:val="0"/>
        <w:rPr>
          <w:rFonts w:cs="Times New Roman"/>
        </w:rPr>
      </w:pPr>
      <w:r w:rsidRPr="00001596">
        <w:rPr>
          <w:rFonts w:cs="Times New Roman"/>
        </w:rPr>
        <w:t>In Savard J.A.’s opinion, s. 88(3) of the ASRA Program did not require La Financière to link amounts individually, but authorized it to take the specific features of each program into account in deciding what calculation method to use. The fact that the words [</w:t>
      </w:r>
      <w:r w:rsidRPr="00001596">
        <w:rPr>
          <w:rFonts w:cs="Times New Roman"/>
          <w:smallCaps/>
        </w:rPr>
        <w:t>translation</w:t>
      </w:r>
      <w:r w:rsidRPr="00001596">
        <w:rPr>
          <w:rFonts w:cs="Times New Roman"/>
        </w:rPr>
        <w:t>] “a participant” had been used in that provision at the relevant time was not conclusive. The purpose of the ASRA Program, which complemented other government assistance programs, meant that La Financière had to be able to determine on a case</w:t>
      </w:r>
      <w:r w:rsidRPr="00001596">
        <w:rPr>
          <w:rFonts w:cs="Times New Roman"/>
        </w:rPr>
        <w:noBreakHyphen/>
        <w:t>by</w:t>
      </w:r>
      <w:r w:rsidRPr="00001596">
        <w:rPr>
          <w:rFonts w:cs="Times New Roman"/>
        </w:rPr>
        <w:noBreakHyphen/>
        <w:t xml:space="preserve">case basis how best to act in the interest of all participants. </w:t>
      </w:r>
    </w:p>
    <w:p w:rsidR="00466FCD" w:rsidRPr="00001596" w:rsidRDefault="00466FCD" w:rsidP="00000F01">
      <w:pPr>
        <w:pStyle w:val="ParaNoNdepar-AltN"/>
        <w:widowControl w:val="0"/>
        <w:rPr>
          <w:rFonts w:cs="Times New Roman"/>
        </w:rPr>
      </w:pPr>
      <w:r w:rsidRPr="00001596">
        <w:rPr>
          <w:rFonts w:cs="Times New Roman"/>
        </w:rPr>
        <w:t xml:space="preserve">Savard J.A. then analyzed the reasonableness of La Financière’s decision. She found that the trial judge had erred in essentially basing her analysis on the impact of the chosen linkage method on the participants who were disadvantaged by it, and in not considering the purpose of the </w:t>
      </w:r>
      <w:r w:rsidRPr="00001596">
        <w:rPr>
          <w:rFonts w:cs="Times New Roman"/>
          <w:i/>
        </w:rPr>
        <w:t>AFAQ</w:t>
      </w:r>
      <w:r w:rsidRPr="00001596">
        <w:rPr>
          <w:rFonts w:cs="Times New Roman"/>
        </w:rPr>
        <w:t xml:space="preserve"> and the interests of all the participants. The decision to link the amounts collectively was not unreasonable. It was based in part on the fact that the federal programs applied both to products that were insured by the ASRA Program and to products that the ASRA Program did not insure. Linking the </w:t>
      </w:r>
      <w:r w:rsidRPr="00001596">
        <w:rPr>
          <w:rFonts w:cs="Times New Roman"/>
        </w:rPr>
        <w:lastRenderedPageBreak/>
        <w:t>amounts collectively made it possible to take only payments related to insured products into account. Another reason why La Financière took a collective approach here was to avoid negating the caps established under the federal assistance programs, which was a factor it could include in its analysis. As well, unlike the programs for which amounts had been linked individually in the past, the two federal programs at issue here involved the payment of amounts to every ASRA Program participant. All these characteristics were taken into account in the decision to link the amounts collectively in the circumstances of this case.</w:t>
      </w:r>
    </w:p>
    <w:p w:rsidR="00466FCD" w:rsidRPr="00001596" w:rsidRDefault="00466FCD" w:rsidP="00000F01">
      <w:pPr>
        <w:pStyle w:val="ParaNoNdepar-AltN"/>
        <w:widowControl w:val="0"/>
        <w:rPr>
          <w:rFonts w:cs="Times New Roman"/>
        </w:rPr>
      </w:pPr>
      <w:r w:rsidRPr="00001596">
        <w:rPr>
          <w:rFonts w:cs="Times New Roman"/>
        </w:rPr>
        <w:t>In light of this conclusion, Savard J.A. did not address La Financière’s argument that the action could not be allowed without declaring the linkage calculation to be invalid in respect of all participants. The court therefore allowed the appeal, without costs in view of the parties’ relationship and the nature of the questions that had been raised.</w:t>
      </w:r>
    </w:p>
    <w:p w:rsidR="00466FCD" w:rsidRPr="00001596" w:rsidRDefault="00466FCD" w:rsidP="00000F01">
      <w:pPr>
        <w:pStyle w:val="Title1LevelTitre1Niveau-AltL"/>
        <w:widowControl w:val="0"/>
        <w:ind w:left="578" w:hanging="578"/>
        <w:rPr>
          <w:rFonts w:cs="Times New Roman"/>
        </w:rPr>
      </w:pPr>
      <w:r w:rsidRPr="00001596">
        <w:rPr>
          <w:rFonts w:cs="Times New Roman"/>
        </w:rPr>
        <w:t>Issue</w:t>
      </w:r>
    </w:p>
    <w:p w:rsidR="00466FCD" w:rsidRPr="00001596" w:rsidRDefault="00466FCD" w:rsidP="00000F01">
      <w:pPr>
        <w:pStyle w:val="ParaNoNdepar-AltN"/>
        <w:widowControl w:val="0"/>
        <w:rPr>
          <w:rFonts w:cs="Times New Roman"/>
        </w:rPr>
      </w:pPr>
      <w:r w:rsidRPr="00001596">
        <w:rPr>
          <w:rFonts w:cs="Times New Roman"/>
        </w:rPr>
        <w:t xml:space="preserve">The central issue in this appeal is whether La Financière, in determining the compensation payable to the appellants under the ASRA Program for 2007, acted in conformity with its rights and obligations by linking the amounts in question collectively. To decide this issue, it will be essential to begin by outlining the legal framework applicable to the ASRA Program and determining whether the program constitutes a contract and, if so, whether it is a contract of insurance within the meaning </w:t>
      </w:r>
      <w:r w:rsidRPr="00001596">
        <w:rPr>
          <w:rFonts w:cs="Times New Roman"/>
        </w:rPr>
        <w:lastRenderedPageBreak/>
        <w:t xml:space="preserve">of the </w:t>
      </w:r>
      <w:r w:rsidRPr="00001596">
        <w:rPr>
          <w:rFonts w:cs="Times New Roman"/>
          <w:i/>
        </w:rPr>
        <w:t>Civil Code of Québec</w:t>
      </w:r>
      <w:r w:rsidRPr="00001596">
        <w:rPr>
          <w:rFonts w:cs="Times New Roman"/>
        </w:rPr>
        <w:t>. We will consider this last subject first. Our analysis in that regard will enable us to define the legal framework applicable to the ASRA Program and identify the nature of the relationship between La Financière and the participants.</w:t>
      </w:r>
    </w:p>
    <w:p w:rsidR="00466FCD" w:rsidRPr="00001596" w:rsidRDefault="00466FCD" w:rsidP="00000F01">
      <w:pPr>
        <w:pStyle w:val="Title1LevelTitre1Niveau-AltL"/>
        <w:widowControl w:val="0"/>
        <w:ind w:left="578" w:hanging="578"/>
        <w:rPr>
          <w:rFonts w:cs="Times New Roman"/>
        </w:rPr>
      </w:pPr>
      <w:r w:rsidRPr="00001596">
        <w:rPr>
          <w:rFonts w:cs="Times New Roman"/>
        </w:rPr>
        <w:t>Analysis</w:t>
      </w:r>
    </w:p>
    <w:p w:rsidR="00466FCD" w:rsidRPr="00001596" w:rsidRDefault="00466FCD" w:rsidP="00000F01">
      <w:pPr>
        <w:pStyle w:val="Title2LevelTitre2Niveau"/>
        <w:widowControl w:val="0"/>
        <w:ind w:left="578" w:hanging="578"/>
        <w:rPr>
          <w:rFonts w:cs="Times New Roman"/>
        </w:rPr>
      </w:pPr>
      <w:r w:rsidRPr="00001596">
        <w:rPr>
          <w:rFonts w:cs="Times New Roman"/>
        </w:rPr>
        <w:t>Is th</w:t>
      </w:r>
      <w:r w:rsidR="006B7C3C">
        <w:rPr>
          <w:rFonts w:cs="Times New Roman"/>
        </w:rPr>
        <w:t>e ASRA Program a Contract and, i</w:t>
      </w:r>
      <w:r w:rsidRPr="00001596">
        <w:rPr>
          <w:rFonts w:cs="Times New Roman"/>
        </w:rPr>
        <w:t>f So, Is It Subject to the Rules Applicable to Contracts of Insurance?</w:t>
      </w:r>
    </w:p>
    <w:p w:rsidR="00466FCD" w:rsidRPr="00001596" w:rsidRDefault="00466FCD" w:rsidP="00000F01">
      <w:pPr>
        <w:pStyle w:val="Title3LevelTitre3Niveau"/>
        <w:widowControl w:val="0"/>
        <w:rPr>
          <w:rFonts w:cs="Times New Roman"/>
        </w:rPr>
      </w:pPr>
      <w:r w:rsidRPr="00001596">
        <w:rPr>
          <w:rFonts w:cs="Times New Roman"/>
        </w:rPr>
        <w:t>Is the ASRA Program a Contract?</w:t>
      </w:r>
    </w:p>
    <w:p w:rsidR="00466FCD" w:rsidRPr="00001596" w:rsidRDefault="00466FCD" w:rsidP="00000F01">
      <w:pPr>
        <w:pStyle w:val="ParaNoNdepar-AltN"/>
        <w:widowControl w:val="0"/>
        <w:rPr>
          <w:rFonts w:cs="Times New Roman"/>
        </w:rPr>
      </w:pPr>
      <w:r w:rsidRPr="00001596">
        <w:rPr>
          <w:rFonts w:cs="Times New Roman"/>
        </w:rPr>
        <w:t>To decide whether the rules of private law or public law apply to the ASRA Program, we must first determine whether the program is a contract.</w:t>
      </w:r>
    </w:p>
    <w:p w:rsidR="00466FCD" w:rsidRPr="00001596" w:rsidRDefault="00466FCD" w:rsidP="00000F01">
      <w:pPr>
        <w:pStyle w:val="ParaNoNdepar-AltN"/>
        <w:widowControl w:val="0"/>
        <w:rPr>
          <w:rFonts w:cs="Times New Roman"/>
        </w:rPr>
      </w:pPr>
      <w:r w:rsidRPr="00001596">
        <w:rPr>
          <w:rFonts w:cs="Times New Roman"/>
        </w:rPr>
        <w:t xml:space="preserve">Despite the broad discretion conferred on La Financière by the legislation and the ASRA Program (s. 19 </w:t>
      </w:r>
      <w:r w:rsidRPr="00001596">
        <w:rPr>
          <w:rFonts w:cs="Times New Roman"/>
          <w:i/>
        </w:rPr>
        <w:t>AFAQ</w:t>
      </w:r>
      <w:r w:rsidRPr="00001596">
        <w:rPr>
          <w:rFonts w:cs="Times New Roman"/>
        </w:rPr>
        <w:t xml:space="preserve"> and s. 87 para. 3 ASRA Program), and even though La Financière finances the compensation paid under the program partly out of public funds (s. 80), the program cannot be considered simply a government program that is governed by public law. The ASRA Program has several features that justify considering it to be a contract. This is clear from a review of its structure and how it functions, which differentiate it from two classic examples of social programs that fall under public law: “social insurance” programs and agricultural subsidies.</w:t>
      </w:r>
    </w:p>
    <w:p w:rsidR="00466FCD" w:rsidRPr="00001596" w:rsidRDefault="00466FCD" w:rsidP="00000F01">
      <w:pPr>
        <w:pStyle w:val="ParaNoNdepar-AltN"/>
        <w:widowControl w:val="0"/>
        <w:rPr>
          <w:rFonts w:cs="Times New Roman"/>
        </w:rPr>
      </w:pPr>
      <w:r w:rsidRPr="00001596">
        <w:rPr>
          <w:rFonts w:cs="Times New Roman"/>
        </w:rPr>
        <w:t>It is true that a government program may include the [</w:t>
      </w:r>
      <w:r w:rsidRPr="00001596">
        <w:rPr>
          <w:rFonts w:cs="Times New Roman"/>
          <w:smallCaps/>
        </w:rPr>
        <w:t>translation</w:t>
      </w:r>
      <w:r w:rsidRPr="00001596">
        <w:rPr>
          <w:rFonts w:cs="Times New Roman"/>
        </w:rPr>
        <w:t xml:space="preserve">] “basic </w:t>
      </w:r>
      <w:r w:rsidRPr="00001596">
        <w:rPr>
          <w:rFonts w:cs="Times New Roman"/>
        </w:rPr>
        <w:lastRenderedPageBreak/>
        <w:t xml:space="preserve">elements of a contract of insurance” but not its “contractual form”, so that it is in reality a “social insurance” program: P. Issalys and D. Lemieux, </w:t>
      </w:r>
      <w:r w:rsidRPr="00001596">
        <w:rPr>
          <w:rFonts w:cs="Times New Roman"/>
          <w:i/>
        </w:rPr>
        <w:t>L’action gouvernementale: Précis de droit des institutions administratives</w:t>
      </w:r>
      <w:r w:rsidRPr="00001596">
        <w:rPr>
          <w:rFonts w:cs="Times New Roman"/>
        </w:rPr>
        <w:t xml:space="preserve"> (3rd ed. 2009), at p. 819; R. Dussault and L. Borgeat, </w:t>
      </w:r>
      <w:r w:rsidRPr="00001596">
        <w:rPr>
          <w:rFonts w:cs="Times New Roman"/>
          <w:i/>
        </w:rPr>
        <w:t>Administrative Law:  A Treatise</w:t>
      </w:r>
      <w:r w:rsidRPr="00001596">
        <w:rPr>
          <w:rFonts w:cs="Times New Roman"/>
        </w:rPr>
        <w:t xml:space="preserve"> (2nd ed. 1985), vol. 1, at pp. 135</w:t>
      </w:r>
      <w:r w:rsidRPr="00001596">
        <w:rPr>
          <w:rFonts w:cs="Times New Roman"/>
        </w:rPr>
        <w:noBreakHyphen/>
        <w:t>36. Professors Issalys and Lemieux define the social insurance program as follows:</w:t>
      </w:r>
    </w:p>
    <w:p w:rsidR="00466FCD" w:rsidRPr="00001596" w:rsidRDefault="00466FCD" w:rsidP="00000F01">
      <w:pPr>
        <w:pStyle w:val="Citation-AltC"/>
        <w:widowControl w:val="0"/>
        <w:ind w:firstLine="274"/>
        <w:rPr>
          <w:rFonts w:eastAsiaTheme="minorEastAsia"/>
        </w:rPr>
      </w:pPr>
      <w:r w:rsidRPr="00001596">
        <w:t>[</w:t>
      </w:r>
      <w:r w:rsidRPr="00001596">
        <w:rPr>
          <w:smallCaps/>
        </w:rPr>
        <w:t>translation</w:t>
      </w:r>
      <w:r w:rsidRPr="00001596">
        <w:t xml:space="preserve">] The early years of modern social security were marked by the creation of social insurance mechanisms. According to this technique, the elements of the legal relationship of insurance, </w:t>
      </w:r>
      <w:r w:rsidRPr="00001596">
        <w:rPr>
          <w:rFonts w:eastAsiaTheme="minorEastAsia"/>
        </w:rPr>
        <w:t xml:space="preserve">as set out in article 2389 of the </w:t>
      </w:r>
      <w:r w:rsidRPr="00001596">
        <w:rPr>
          <w:rFonts w:eastAsiaTheme="minorEastAsia"/>
          <w:i/>
        </w:rPr>
        <w:t>Civil Code of Québec</w:t>
      </w:r>
      <w:r w:rsidRPr="00001596">
        <w:rPr>
          <w:rFonts w:eastAsiaTheme="minorEastAsia"/>
        </w:rPr>
        <w:t>, were adopted, but modified to serve the needs of social policy. It can therefore be defined as a statutory mechanism under which a class of persons subject to the mechanism are required to pay premiums to an insurer vested with public authority in exchange for the payment of benefits under the mechanism to those persons or to other recipients on the occurrence of a specified risk. [p. 818]</w:t>
      </w:r>
    </w:p>
    <w:p w:rsidR="00466FCD" w:rsidRPr="00001596" w:rsidRDefault="00466FCD" w:rsidP="00000F01">
      <w:pPr>
        <w:pStyle w:val="ParaNoNdepar-AltN"/>
        <w:widowControl w:val="0"/>
        <w:rPr>
          <w:rFonts w:cs="Times New Roman"/>
        </w:rPr>
      </w:pPr>
      <w:r w:rsidRPr="00001596">
        <w:rPr>
          <w:rFonts w:cs="Times New Roman"/>
        </w:rPr>
        <w:t xml:space="preserve">It is also well established that a true social insurance program is not contractual in nature. For example, the </w:t>
      </w:r>
      <w:r w:rsidRPr="00001596">
        <w:rPr>
          <w:rFonts w:cs="Times New Roman"/>
          <w:i/>
        </w:rPr>
        <w:t>Canada Pension Plan</w:t>
      </w:r>
      <w:r w:rsidRPr="00001596">
        <w:rPr>
          <w:rFonts w:cs="Times New Roman"/>
        </w:rPr>
        <w:t xml:space="preserve">, </w:t>
      </w:r>
      <w:r w:rsidRPr="00001596">
        <w:rPr>
          <w:rFonts w:cs="Times New Roman"/>
          <w:iCs/>
        </w:rPr>
        <w:t>R.S.C. 1985, c. C</w:t>
      </w:r>
      <w:r w:rsidRPr="00001596">
        <w:rPr>
          <w:rFonts w:cs="Times New Roman"/>
          <w:iCs/>
        </w:rPr>
        <w:noBreakHyphen/>
        <w:t>8</w:t>
      </w:r>
      <w:r w:rsidRPr="00001596">
        <w:rPr>
          <w:rFonts w:cs="Times New Roman"/>
        </w:rPr>
        <w:t xml:space="preserve">, was described by this Court as “compulsory social insurance” in </w:t>
      </w:r>
      <w:r w:rsidRPr="00001596">
        <w:rPr>
          <w:rFonts w:cs="Times New Roman"/>
          <w:i/>
        </w:rPr>
        <w:t>Law v. Canada (Minister of Employment and Immigration)</w:t>
      </w:r>
      <w:r w:rsidRPr="00001596">
        <w:rPr>
          <w:rFonts w:cs="Times New Roman"/>
        </w:rPr>
        <w:t xml:space="preserve">, [1999] 1 S.C.R. 497, at para. 8. That plan is governed by public law in the sense that it is managed by an administrative tribunal and that the recourse available to a dissatisfied person to whom the plan applies is to seek judicial review of the tribunal’s decision: see, for example, </w:t>
      </w:r>
      <w:r w:rsidRPr="00001596">
        <w:rPr>
          <w:rFonts w:cs="Times New Roman"/>
          <w:i/>
        </w:rPr>
        <w:t>Peters v. Canada (Attorney General)</w:t>
      </w:r>
      <w:r w:rsidRPr="00001596">
        <w:rPr>
          <w:rFonts w:cs="Times New Roman"/>
        </w:rPr>
        <w:t xml:space="preserve">, 2009 FC 400. The same is true of the scheme established by the </w:t>
      </w:r>
      <w:r w:rsidRPr="00001596">
        <w:rPr>
          <w:rFonts w:cs="Times New Roman"/>
          <w:i/>
        </w:rPr>
        <w:t>Unemployment Insurance Act, 1971</w:t>
      </w:r>
      <w:r w:rsidRPr="00001596">
        <w:rPr>
          <w:rFonts w:cs="Times New Roman"/>
        </w:rPr>
        <w:t>, S.C. 1970</w:t>
      </w:r>
      <w:r w:rsidRPr="00001596">
        <w:rPr>
          <w:rFonts w:cs="Times New Roman"/>
        </w:rPr>
        <w:noBreakHyphen/>
        <w:t>71</w:t>
      </w:r>
      <w:r w:rsidRPr="00001596">
        <w:rPr>
          <w:rFonts w:cs="Times New Roman"/>
        </w:rPr>
        <w:noBreakHyphen/>
        <w:t xml:space="preserve">72, c. 48 (since replaced by the </w:t>
      </w:r>
      <w:r w:rsidRPr="00001596">
        <w:rPr>
          <w:rFonts w:cs="Times New Roman"/>
          <w:i/>
        </w:rPr>
        <w:t>Employment Insurance Act</w:t>
      </w:r>
      <w:r w:rsidRPr="00001596">
        <w:rPr>
          <w:rFonts w:cs="Times New Roman"/>
        </w:rPr>
        <w:t xml:space="preserve">, S.C. 1996, c. 23), which this Court characterized as “a scheme of compulsory public insurance which was never expected to function on a </w:t>
      </w:r>
      <w:r w:rsidRPr="00001596">
        <w:rPr>
          <w:rFonts w:cs="Times New Roman"/>
        </w:rPr>
        <w:lastRenderedPageBreak/>
        <w:t xml:space="preserve">strict actuarial basis”: </w:t>
      </w:r>
      <w:r w:rsidRPr="00001596">
        <w:rPr>
          <w:rFonts w:cs="Times New Roman"/>
          <w:i/>
        </w:rPr>
        <w:t>Martin Service Station Ltd. v. Minister of National Revenue</w:t>
      </w:r>
      <w:r w:rsidRPr="00001596">
        <w:rPr>
          <w:rFonts w:cs="Times New Roman"/>
        </w:rPr>
        <w:t xml:space="preserve">, [1977] 2 S.C.R. 996, at p. 1005. The Court has also legally characterized the employment insurance premium as a “regulatory charge”, which it defined as “a form of special levy connected with a government program”: </w:t>
      </w:r>
      <w:r w:rsidRPr="00001596">
        <w:rPr>
          <w:rFonts w:cs="Times New Roman"/>
          <w:i/>
        </w:rPr>
        <w:t>Confédération des syndicats nationaux v. Canada (Attorney General)</w:t>
      </w:r>
      <w:r w:rsidRPr="00001596">
        <w:rPr>
          <w:rFonts w:cs="Times New Roman"/>
        </w:rPr>
        <w:t>, 2008 SCC 68, [2008] 3 S.C.R. 511, at paras. 71</w:t>
      </w:r>
      <w:r w:rsidRPr="00001596">
        <w:rPr>
          <w:rFonts w:cs="Times New Roman"/>
        </w:rPr>
        <w:noBreakHyphen/>
        <w:t>72.</w:t>
      </w:r>
    </w:p>
    <w:p w:rsidR="00466FCD" w:rsidRPr="00001596" w:rsidRDefault="00466FCD" w:rsidP="00000F01">
      <w:pPr>
        <w:pStyle w:val="ParaNoNdepar-AltN"/>
        <w:widowControl w:val="0"/>
        <w:rPr>
          <w:rFonts w:cs="Times New Roman"/>
        </w:rPr>
      </w:pPr>
      <w:r w:rsidRPr="00001596">
        <w:rPr>
          <w:rFonts w:cs="Times New Roman"/>
        </w:rPr>
        <w:t>Social insurance programs generally share the following characteristics: they apply to more than one sector, they are universal and compulsory and their benefits are calculated using simple formulas because of [</w:t>
      </w:r>
      <w:r w:rsidRPr="00001596">
        <w:rPr>
          <w:rFonts w:cs="Times New Roman"/>
          <w:smallCaps/>
        </w:rPr>
        <w:t>translation</w:t>
      </w:r>
      <w:r w:rsidRPr="00001596">
        <w:rPr>
          <w:rFonts w:cs="Times New Roman"/>
        </w:rPr>
        <w:t xml:space="preserve">] “the mandatory coverage of broad classes of persons and situations [that] requires that . . . operations be simplified” (Issalys and Lemieux, </w:t>
      </w:r>
      <w:r w:rsidR="001779A8">
        <w:rPr>
          <w:rFonts w:cs="Times New Roman"/>
        </w:rPr>
        <w:t xml:space="preserve">at </w:t>
      </w:r>
      <w:r w:rsidRPr="00001596">
        <w:rPr>
          <w:rFonts w:cs="Times New Roman"/>
        </w:rPr>
        <w:t>p. 819; see also D. </w:t>
      </w:r>
      <w:proofErr w:type="spellStart"/>
      <w:r w:rsidRPr="00001596">
        <w:rPr>
          <w:rFonts w:cs="Times New Roman"/>
        </w:rPr>
        <w:t>Lluelles</w:t>
      </w:r>
      <w:proofErr w:type="spellEnd"/>
      <w:r w:rsidRPr="00001596">
        <w:rPr>
          <w:rFonts w:cs="Times New Roman"/>
        </w:rPr>
        <w:t xml:space="preserve">, </w:t>
      </w:r>
      <w:r w:rsidRPr="00001596">
        <w:rPr>
          <w:rFonts w:cs="Times New Roman"/>
          <w:i/>
        </w:rPr>
        <w:t>Précis des assurances terrestres</w:t>
      </w:r>
      <w:r w:rsidRPr="00001596">
        <w:rPr>
          <w:rFonts w:cs="Times New Roman"/>
        </w:rPr>
        <w:t xml:space="preserve"> (5</w:t>
      </w:r>
      <w:r w:rsidRPr="001779A8">
        <w:rPr>
          <w:rFonts w:cs="Times New Roman"/>
        </w:rPr>
        <w:t>th</w:t>
      </w:r>
      <w:r w:rsidRPr="00001596">
        <w:rPr>
          <w:rFonts w:cs="Times New Roman"/>
        </w:rPr>
        <w:t> ed. 2009), at pp. 9</w:t>
      </w:r>
      <w:r w:rsidRPr="00001596">
        <w:rPr>
          <w:rFonts w:cs="Times New Roman"/>
        </w:rPr>
        <w:noBreakHyphen/>
        <w:t>10; J.</w:t>
      </w:r>
      <w:r w:rsidRPr="00001596">
        <w:rPr>
          <w:rFonts w:cs="Times New Roman"/>
        </w:rPr>
        <w:noBreakHyphen/>
        <w:t xml:space="preserve">G. Bergeron, </w:t>
      </w:r>
      <w:r w:rsidRPr="00001596">
        <w:rPr>
          <w:rFonts w:cs="Times New Roman"/>
          <w:i/>
        </w:rPr>
        <w:t xml:space="preserve">Les </w:t>
      </w:r>
      <w:proofErr w:type="spellStart"/>
      <w:r w:rsidRPr="00001596">
        <w:rPr>
          <w:rFonts w:cs="Times New Roman"/>
          <w:i/>
        </w:rPr>
        <w:t>contrats</w:t>
      </w:r>
      <w:proofErr w:type="spellEnd"/>
      <w:r w:rsidRPr="00001596">
        <w:rPr>
          <w:rFonts w:cs="Times New Roman"/>
          <w:i/>
        </w:rPr>
        <w:t xml:space="preserve"> </w:t>
      </w:r>
      <w:proofErr w:type="spellStart"/>
      <w:r w:rsidRPr="00001596">
        <w:rPr>
          <w:rFonts w:cs="Times New Roman"/>
          <w:i/>
        </w:rPr>
        <w:t>d’assurance</w:t>
      </w:r>
      <w:proofErr w:type="spellEnd"/>
      <w:r w:rsidRPr="00001596">
        <w:rPr>
          <w:rFonts w:cs="Times New Roman"/>
          <w:i/>
        </w:rPr>
        <w:t xml:space="preserve"> (</w:t>
      </w:r>
      <w:proofErr w:type="spellStart"/>
      <w:r w:rsidRPr="00001596">
        <w:rPr>
          <w:rFonts w:cs="Times New Roman"/>
          <w:i/>
        </w:rPr>
        <w:t>terrestre</w:t>
      </w:r>
      <w:proofErr w:type="spellEnd"/>
      <w:r w:rsidRPr="00001596">
        <w:rPr>
          <w:rFonts w:cs="Times New Roman"/>
          <w:i/>
        </w:rPr>
        <w:t>)</w:t>
      </w:r>
      <w:r w:rsidRPr="00001596">
        <w:rPr>
          <w:rFonts w:cs="Times New Roman"/>
        </w:rPr>
        <w:t xml:space="preserve"> (1989), </w:t>
      </w:r>
      <w:r w:rsidR="001779A8">
        <w:rPr>
          <w:rFonts w:cs="Times New Roman"/>
        </w:rPr>
        <w:t xml:space="preserve">t. 1, </w:t>
      </w:r>
      <w:r w:rsidRPr="00001596">
        <w:rPr>
          <w:rFonts w:cs="Times New Roman"/>
        </w:rPr>
        <w:t xml:space="preserve">at p. 52). As well, they almost always include an internal administrative remedy (generally known as a “proceeding for review”) against decisions granting or denying indemnities or benefits: Issalys and Lemieux, at p. 903. </w:t>
      </w:r>
    </w:p>
    <w:p w:rsidR="00466FCD" w:rsidRPr="00001596" w:rsidRDefault="00466FCD" w:rsidP="00000F01">
      <w:pPr>
        <w:pStyle w:val="ParaNoNdepar-AltN"/>
        <w:widowControl w:val="0"/>
        <w:rPr>
          <w:rFonts w:cs="Times New Roman"/>
        </w:rPr>
      </w:pPr>
      <w:r w:rsidRPr="00001596">
        <w:rPr>
          <w:rFonts w:cs="Times New Roman"/>
        </w:rPr>
        <w:t>It is therefore primarily or even exclusively public law that governs both the characterization of social insurance programs and the determination of the appropriate remedy for a dissatisfied person who wishes to contest a decision made in the context of such a program.</w:t>
      </w:r>
    </w:p>
    <w:p w:rsidR="00466FCD" w:rsidRPr="00001596" w:rsidRDefault="00466FCD" w:rsidP="00000F01">
      <w:pPr>
        <w:pStyle w:val="ParaNoNdepar-AltN"/>
        <w:widowControl w:val="0"/>
        <w:rPr>
          <w:rFonts w:cs="Times New Roman"/>
        </w:rPr>
      </w:pPr>
      <w:r w:rsidRPr="00001596">
        <w:rPr>
          <w:rFonts w:cs="Times New Roman"/>
        </w:rPr>
        <w:t xml:space="preserve">The ASRA Program differs from a social insurance program. Unlike most </w:t>
      </w:r>
      <w:r w:rsidRPr="00001596">
        <w:rPr>
          <w:rFonts w:cs="Times New Roman"/>
        </w:rPr>
        <w:lastRenderedPageBreak/>
        <w:t>such programs, it applies to only one sector and is neither universal nor compulsory, and its benefits are not calculated using simple formulas applicable to broad classes of persons and situations. In addition, disputes arising out of the application of the ASRA Program are not submitted to an administrative tribunal for adjudication.</w:t>
      </w:r>
    </w:p>
    <w:p w:rsidR="00466FCD" w:rsidRPr="00001596" w:rsidRDefault="00466FCD" w:rsidP="00000F01">
      <w:pPr>
        <w:pStyle w:val="ParaNoNdepar-AltN"/>
        <w:widowControl w:val="0"/>
        <w:rPr>
          <w:rFonts w:cs="Times New Roman"/>
        </w:rPr>
      </w:pPr>
      <w:r w:rsidRPr="00001596">
        <w:rPr>
          <w:rFonts w:cs="Times New Roman"/>
        </w:rPr>
        <w:t>The ASRA Program also includes several contract</w:t>
      </w:r>
      <w:r w:rsidRPr="00001596">
        <w:rPr>
          <w:rFonts w:cs="Times New Roman"/>
        </w:rPr>
        <w:noBreakHyphen/>
        <w:t>style clauses. Section 19 provides that [</w:t>
      </w:r>
      <w:r w:rsidRPr="00001596">
        <w:rPr>
          <w:rFonts w:cs="Times New Roman"/>
          <w:smallCaps/>
        </w:rPr>
        <w:t>translation</w:t>
      </w:r>
      <w:r w:rsidRPr="00001596">
        <w:rPr>
          <w:rFonts w:cs="Times New Roman"/>
        </w:rPr>
        <w:t xml:space="preserve">] “[f]ailure to meet the conditions for eligibility throughout the participation period shall result in the </w:t>
      </w:r>
      <w:r w:rsidRPr="00001596">
        <w:rPr>
          <w:rFonts w:cs="Times New Roman"/>
          <w:u w:val="single"/>
        </w:rPr>
        <w:t>resolution of the</w:t>
      </w:r>
      <w:r w:rsidRPr="00001596">
        <w:rPr>
          <w:rFonts w:cs="Times New Roman"/>
        </w:rPr>
        <w:t xml:space="preserve"> participant’s</w:t>
      </w:r>
      <w:r w:rsidRPr="00001596">
        <w:rPr>
          <w:rFonts w:cs="Times New Roman"/>
          <w:u w:val="single"/>
        </w:rPr>
        <w:t xml:space="preserve"> contract</w:t>
      </w:r>
      <w:r w:rsidR="00DB72A4">
        <w:rPr>
          <w:rFonts w:cs="Times New Roman"/>
        </w:rPr>
        <w:t xml:space="preserve"> for the current year.”</w:t>
      </w:r>
      <w:r w:rsidRPr="00001596">
        <w:rPr>
          <w:rFonts w:cs="Times New Roman"/>
        </w:rPr>
        <w:t xml:space="preserve"> Section 101 of the program states that participants can also be excluded, in which case they must pay a penalty as provided for in s. 103:</w:t>
      </w:r>
    </w:p>
    <w:p w:rsidR="00466FCD" w:rsidRPr="00001596" w:rsidRDefault="00466FCD" w:rsidP="00000F01">
      <w:pPr>
        <w:pStyle w:val="Citation-AltC"/>
        <w:widowControl w:val="0"/>
        <w:spacing w:before="240" w:after="240"/>
        <w:contextualSpacing w:val="0"/>
      </w:pPr>
      <w:r w:rsidRPr="00001596">
        <w:t>[</w:t>
      </w:r>
      <w:r w:rsidRPr="00001596">
        <w:rPr>
          <w:smallCaps/>
        </w:rPr>
        <w:t>translation</w:t>
      </w:r>
      <w:r w:rsidRPr="00001596">
        <w:t>]</w:t>
      </w:r>
    </w:p>
    <w:p w:rsidR="00466FCD" w:rsidRPr="00001596" w:rsidRDefault="00466FCD" w:rsidP="00000F01">
      <w:pPr>
        <w:pStyle w:val="Citation-AltC"/>
        <w:widowControl w:val="0"/>
        <w:spacing w:before="240" w:after="240"/>
        <w:contextualSpacing w:val="0"/>
        <w:rPr>
          <w:rFonts w:eastAsiaTheme="minorEastAsia"/>
        </w:rPr>
      </w:pPr>
      <w:r w:rsidRPr="00DB72A4">
        <w:rPr>
          <w:rFonts w:eastAsiaTheme="minorEastAsia"/>
          <w:b/>
        </w:rPr>
        <w:t>101.</w:t>
      </w:r>
      <w:r w:rsidRPr="00001596">
        <w:rPr>
          <w:rFonts w:eastAsiaTheme="minorEastAsia"/>
        </w:rPr>
        <w:t> La Financière agricole shall exclude a participant from the Program in respect of an insurable product if the participant:</w:t>
      </w:r>
    </w:p>
    <w:p w:rsidR="00466FCD" w:rsidRPr="00001596" w:rsidRDefault="00DB72A4" w:rsidP="00000F01">
      <w:pPr>
        <w:pStyle w:val="Citation-AltC"/>
        <w:widowControl w:val="0"/>
        <w:spacing w:before="240" w:after="240"/>
        <w:contextualSpacing w:val="0"/>
        <w:rPr>
          <w:rFonts w:eastAsiaTheme="minorEastAsia"/>
        </w:rPr>
      </w:pPr>
      <w:r>
        <w:rPr>
          <w:rFonts w:eastAsiaTheme="minorEastAsia"/>
          <w:lang w:val="en-US"/>
        </w:rPr>
        <w:t>1</w:t>
      </w:r>
      <w:r w:rsidRPr="00001596">
        <w:rPr>
          <w:rFonts w:eastAsiaTheme="minorEastAsia"/>
          <w:lang w:val="en-US"/>
        </w:rPr>
        <w:t>°</w:t>
      </w:r>
      <w:r>
        <w:rPr>
          <w:rFonts w:eastAsiaTheme="minorEastAsia"/>
          <w:lang w:val="en-US"/>
        </w:rPr>
        <w:tab/>
      </w:r>
      <w:r w:rsidR="00466FCD" w:rsidRPr="00001596">
        <w:rPr>
          <w:rFonts w:eastAsiaTheme="minorEastAsia"/>
        </w:rPr>
        <w:t xml:space="preserve">refuses to pay any contribution that is due; </w:t>
      </w:r>
    </w:p>
    <w:p w:rsidR="00466FCD" w:rsidRPr="00001596" w:rsidRDefault="00466FCD" w:rsidP="00000F01">
      <w:pPr>
        <w:pStyle w:val="Citation-AltC"/>
        <w:widowControl w:val="0"/>
        <w:spacing w:before="240" w:after="240"/>
        <w:contextualSpacing w:val="0"/>
        <w:rPr>
          <w:rFonts w:eastAsiaTheme="minorEastAsia"/>
        </w:rPr>
      </w:pPr>
      <w:r w:rsidRPr="00001596">
        <w:rPr>
          <w:rFonts w:eastAsiaTheme="minorEastAsia"/>
          <w:lang w:val="en-US"/>
        </w:rPr>
        <w:t>2°</w:t>
      </w:r>
      <w:r w:rsidR="009C5DFC">
        <w:rPr>
          <w:rFonts w:eastAsiaTheme="minorEastAsia"/>
          <w:lang w:val="en-US"/>
        </w:rPr>
        <w:tab/>
      </w:r>
      <w:r w:rsidRPr="00001596">
        <w:rPr>
          <w:rFonts w:eastAsiaTheme="minorEastAsia"/>
        </w:rPr>
        <w:t>refuses to submit to an inventory, an area measurement or a sampling or count of a stored or marketed crop; or</w:t>
      </w:r>
    </w:p>
    <w:p w:rsidR="00466FCD" w:rsidRPr="00001596" w:rsidRDefault="00466FCD" w:rsidP="00000F01">
      <w:pPr>
        <w:pStyle w:val="Citation-AltC"/>
        <w:widowControl w:val="0"/>
        <w:contextualSpacing w:val="0"/>
        <w:rPr>
          <w:rFonts w:eastAsiaTheme="minorEastAsia"/>
        </w:rPr>
      </w:pPr>
      <w:r>
        <w:rPr>
          <w:rFonts w:eastAsiaTheme="minorEastAsia"/>
          <w:lang w:val="en-US"/>
        </w:rPr>
        <w:t>3°</w:t>
      </w:r>
      <w:r w:rsidR="00DB72A4">
        <w:rPr>
          <w:rFonts w:eastAsiaTheme="minorEastAsia"/>
          <w:lang w:val="en-US"/>
        </w:rPr>
        <w:tab/>
      </w:r>
      <w:r w:rsidRPr="00001596">
        <w:rPr>
          <w:rFonts w:eastAsiaTheme="minorEastAsia"/>
        </w:rPr>
        <w:t>applies for an exclusion in writing.</w:t>
      </w:r>
    </w:p>
    <w:p w:rsidR="00466FCD" w:rsidRPr="00001596" w:rsidRDefault="00466FCD" w:rsidP="00000F01">
      <w:pPr>
        <w:pStyle w:val="ParaNoNdepar-AltN"/>
        <w:widowControl w:val="0"/>
        <w:rPr>
          <w:rFonts w:cs="Times New Roman"/>
        </w:rPr>
      </w:pPr>
      <w:r w:rsidRPr="00001596">
        <w:rPr>
          <w:rFonts w:cs="Times New Roman"/>
        </w:rPr>
        <w:t>Regarding the penalties that result from exclusion, the first paragraph of s. 103 of the ASRA Program provides that, [</w:t>
      </w:r>
      <w:r w:rsidRPr="00001596">
        <w:rPr>
          <w:rFonts w:cs="Times New Roman"/>
          <w:smallCaps/>
        </w:rPr>
        <w:t>translation</w:t>
      </w:r>
      <w:r w:rsidRPr="00001596">
        <w:rPr>
          <w:rFonts w:cs="Times New Roman"/>
        </w:rPr>
        <w:t xml:space="preserve">] “[w]here a farming business has been excluded, La Financière agricole shall keep every amount received as a contribution in respect of the product for which the exclusion has been applied.” The second paragraph of s. 103 adds that “[a] farming business that has been excluded </w:t>
      </w:r>
      <w:r w:rsidRPr="00001596">
        <w:rPr>
          <w:rFonts w:cs="Times New Roman"/>
        </w:rPr>
        <w:lastRenderedPageBreak/>
        <w:t xml:space="preserve">shall pay contract resolution fees corresponding to 25% of the contribution it paid for the last year in which it complied with the insurable minimum.” </w:t>
      </w:r>
    </w:p>
    <w:p w:rsidR="00466FCD" w:rsidRPr="00001596" w:rsidRDefault="00466FCD" w:rsidP="00000F01">
      <w:pPr>
        <w:pStyle w:val="ParaNoNdepar-AltN"/>
        <w:widowControl w:val="0"/>
        <w:rPr>
          <w:rFonts w:cs="Times New Roman"/>
        </w:rPr>
      </w:pPr>
      <w:r w:rsidRPr="00001596">
        <w:rPr>
          <w:rFonts w:cs="Times New Roman"/>
        </w:rPr>
        <w:t>Finally, any amendments to the program that are not related to the contribution rate may not come into force until the year after they are made (s. 21 ASRA Program). Participants can therefore decide to opt out of the program for the following year if amendments proposed by La Financière are not acceptable to them.</w:t>
      </w:r>
    </w:p>
    <w:p w:rsidR="00466FCD" w:rsidRPr="00001596" w:rsidRDefault="00466FCD" w:rsidP="00000F01">
      <w:pPr>
        <w:pStyle w:val="ParaNoNdepar-AltN"/>
        <w:widowControl w:val="0"/>
        <w:rPr>
          <w:rFonts w:cs="Times New Roman"/>
        </w:rPr>
      </w:pPr>
      <w:r w:rsidRPr="00001596">
        <w:rPr>
          <w:rFonts w:cs="Times New Roman"/>
        </w:rPr>
        <w:t xml:space="preserve">These mechanisms for terminating the contract for predetermined reasons, which create acquired rights for the current year, fall under contract law much more than public law. Moreover, Geoffroy J. of the Superior Court reached a similar conclusion in </w:t>
      </w:r>
      <w:r w:rsidRPr="00001596">
        <w:rPr>
          <w:rFonts w:cs="Times New Roman"/>
          <w:i/>
        </w:rPr>
        <w:t>Trépanier v. Financière agricole du Québec</w:t>
      </w:r>
      <w:r w:rsidRPr="00001596">
        <w:rPr>
          <w:rFonts w:cs="Times New Roman"/>
        </w:rPr>
        <w:t>, 2011 QCCS 1802, a case that closely resembled the case at bar. Geoffroy J. commented as follows in analyzing La Financière’s powers under the ASRA Program:</w:t>
      </w:r>
    </w:p>
    <w:p w:rsidR="00466FCD" w:rsidRPr="00001596" w:rsidRDefault="00466FCD" w:rsidP="00000F01">
      <w:pPr>
        <w:pStyle w:val="Citation-AltC"/>
        <w:widowControl w:val="0"/>
        <w:spacing w:after="240"/>
        <w:ind w:firstLine="274"/>
        <w:contextualSpacing w:val="0"/>
        <w:rPr>
          <w:rFonts w:eastAsiaTheme="minorEastAsia"/>
        </w:rPr>
      </w:pPr>
      <w:r w:rsidRPr="00001596">
        <w:rPr>
          <w:rFonts w:eastAsiaTheme="minorEastAsia"/>
        </w:rPr>
        <w:t>[</w:t>
      </w:r>
      <w:r w:rsidRPr="00001596">
        <w:rPr>
          <w:rFonts w:eastAsiaTheme="minorEastAsia"/>
          <w:smallCaps/>
        </w:rPr>
        <w:t>translation</w:t>
      </w:r>
      <w:r w:rsidRPr="00001596">
        <w:rPr>
          <w:rFonts w:eastAsiaTheme="minorEastAsia"/>
        </w:rPr>
        <w:t>] Although La Financière agricole must report to the government on its management (s. 43), it can adapt its programs (ss. 20 and 22) without having to seek any form of prior administrative authorization. One reason for this autonomy is that the government and the Union des producteurs agricoles (UPA) are represented on the agency’s board of directors (s. 6 of the Act).</w:t>
      </w:r>
    </w:p>
    <w:p w:rsidR="00466FCD" w:rsidRPr="00001596" w:rsidRDefault="00466FCD" w:rsidP="00000F01">
      <w:pPr>
        <w:pStyle w:val="Citation-AltC"/>
        <w:widowControl w:val="0"/>
        <w:ind w:firstLine="274"/>
        <w:contextualSpacing w:val="0"/>
        <w:rPr>
          <w:rFonts w:eastAsiaTheme="minorEastAsia"/>
        </w:rPr>
      </w:pPr>
      <w:r w:rsidRPr="00001596">
        <w:rPr>
          <w:rFonts w:eastAsiaTheme="minorEastAsia"/>
        </w:rPr>
        <w:t xml:space="preserve">However, the defendant’s power is not absolute, and its programs must include the terms and conditions needed to ensure sound management of the funds it is responsible for administering. It is essential that the defendant’s clients be made aware of the </w:t>
      </w:r>
      <w:r w:rsidRPr="00001596">
        <w:rPr>
          <w:rFonts w:eastAsiaTheme="minorEastAsia"/>
          <w:u w:val="single"/>
        </w:rPr>
        <w:t>contractual conditions that are binding on them as par</w:t>
      </w:r>
      <w:r w:rsidR="00DB72A4">
        <w:rPr>
          <w:rFonts w:eastAsiaTheme="minorEastAsia"/>
          <w:u w:val="single"/>
        </w:rPr>
        <w:t>ticipants in the [ASRA] [P]</w:t>
      </w:r>
      <w:proofErr w:type="spellStart"/>
      <w:r w:rsidRPr="00001596">
        <w:rPr>
          <w:rFonts w:eastAsiaTheme="minorEastAsia"/>
          <w:u w:val="single"/>
        </w:rPr>
        <w:t>rogram</w:t>
      </w:r>
      <w:proofErr w:type="spellEnd"/>
      <w:r w:rsidRPr="00001596">
        <w:rPr>
          <w:rFonts w:eastAsiaTheme="minorEastAsia"/>
        </w:rPr>
        <w:t>, and that is what was done in this case. [Emphasis added; paras. 59</w:t>
      </w:r>
      <w:r w:rsidRPr="00001596">
        <w:rPr>
          <w:rFonts w:eastAsiaTheme="minorEastAsia"/>
        </w:rPr>
        <w:noBreakHyphen/>
        <w:t>60 (CanLII).]</w:t>
      </w:r>
    </w:p>
    <w:p w:rsidR="00466FCD" w:rsidRPr="00001596" w:rsidRDefault="00466FCD" w:rsidP="00000F01">
      <w:pPr>
        <w:pStyle w:val="ParaNoNdepar-AltN"/>
        <w:widowControl w:val="0"/>
        <w:rPr>
          <w:rFonts w:cs="Times New Roman"/>
        </w:rPr>
      </w:pPr>
      <w:r w:rsidRPr="00001596">
        <w:rPr>
          <w:rFonts w:cs="Times New Roman"/>
        </w:rPr>
        <w:lastRenderedPageBreak/>
        <w:t>In our view, the characteristics of the ASRA Program referred to by Geoffroy J. — in particular La Financière’s considerable management autonomy, limited as it is by the need to comply with the “contractual conditions” that bind La Financière and the participants — support the proposition that this program is by nature a contractual mechanism rather than a social insurance program governed by public law.</w:t>
      </w:r>
    </w:p>
    <w:p w:rsidR="00466FCD" w:rsidRPr="00001596" w:rsidRDefault="00466FCD" w:rsidP="00000F01">
      <w:pPr>
        <w:pStyle w:val="ParaNoNdepar-AltN"/>
        <w:widowControl w:val="0"/>
        <w:rPr>
          <w:rFonts w:cs="Times New Roman"/>
        </w:rPr>
      </w:pPr>
      <w:r w:rsidRPr="00001596">
        <w:rPr>
          <w:rFonts w:cs="Times New Roman"/>
        </w:rPr>
        <w:t xml:space="preserve">These same characteristics also distinguish the ASRA Program from simple agricultural subsidy programs like the one considered by this Court in </w:t>
      </w:r>
      <w:r w:rsidRPr="00001596">
        <w:rPr>
          <w:rFonts w:cs="Times New Roman"/>
          <w:bCs/>
          <w:i/>
        </w:rPr>
        <w:t>Jacobs v. Agricultural Stabilization Board</w:t>
      </w:r>
      <w:r w:rsidRPr="00001596">
        <w:rPr>
          <w:rFonts w:cs="Times New Roman"/>
          <w:bCs/>
        </w:rPr>
        <w:t xml:space="preserve">, [1982] 1 S.C.R. 125. In that case, farm producers contested, </w:t>
      </w:r>
      <w:r w:rsidRPr="00001596">
        <w:rPr>
          <w:rFonts w:cs="Times New Roman"/>
          <w:bCs/>
          <w:i/>
        </w:rPr>
        <w:t>inter alia</w:t>
      </w:r>
      <w:r w:rsidRPr="00001596">
        <w:rPr>
          <w:rFonts w:cs="Times New Roman"/>
          <w:bCs/>
        </w:rPr>
        <w:t xml:space="preserve">, the imposition by the Agricultural Stabilization Board of ceilings on the amounts that could be granted as subsidies under the </w:t>
      </w:r>
      <w:r w:rsidRPr="00001596">
        <w:rPr>
          <w:rFonts w:cs="Times New Roman"/>
          <w:i/>
          <w:iCs/>
        </w:rPr>
        <w:t>Agricultural Stabilization Act</w:t>
      </w:r>
      <w:r w:rsidRPr="00001596">
        <w:rPr>
          <w:rFonts w:cs="Times New Roman"/>
          <w:iCs/>
        </w:rPr>
        <w:t>,</w:t>
      </w:r>
      <w:r w:rsidRPr="00001596">
        <w:rPr>
          <w:rFonts w:cs="Times New Roman"/>
          <w:i/>
          <w:iCs/>
        </w:rPr>
        <w:t xml:space="preserve"> </w:t>
      </w:r>
      <w:r w:rsidRPr="00001596">
        <w:rPr>
          <w:rFonts w:cs="Times New Roman"/>
        </w:rPr>
        <w:t>R.S.C. 1970, c. A</w:t>
      </w:r>
      <w:r w:rsidRPr="00001596">
        <w:rPr>
          <w:rFonts w:cs="Times New Roman"/>
        </w:rPr>
        <w:noBreakHyphen/>
        <w:t>9. Laskin C.J. applied the public law rules of procedural fairness to the Board’s decisions establishing the conditions for granting subsidies, relying in particular on the fact that there “is no entitlement to subsidy until a scheme is propounded by the Governor in Council and until action is taken under the scheme by inviting the presentation of claims for subsidy” (</w:t>
      </w:r>
      <w:r w:rsidRPr="00001596">
        <w:rPr>
          <w:rFonts w:cs="Times New Roman"/>
          <w:i/>
        </w:rPr>
        <w:t>Jacobs</w:t>
      </w:r>
      <w:r w:rsidRPr="00001596">
        <w:rPr>
          <w:rFonts w:cs="Times New Roman"/>
        </w:rPr>
        <w:t>, at p. 137). Laskin C.J. added that subsidies were granted without any requirement of consideration, on an “</w:t>
      </w:r>
      <w:r w:rsidRPr="00001596">
        <w:rPr>
          <w:rFonts w:cs="Times New Roman"/>
          <w:i/>
        </w:rPr>
        <w:t>ex gratia</w:t>
      </w:r>
      <w:r w:rsidRPr="00001596">
        <w:rPr>
          <w:rFonts w:cs="Times New Roman"/>
        </w:rPr>
        <w:t>” basis (p. 138).</w:t>
      </w:r>
    </w:p>
    <w:p w:rsidR="00466FCD" w:rsidRPr="00001596" w:rsidRDefault="00466FCD" w:rsidP="00000F01">
      <w:pPr>
        <w:pStyle w:val="ParaNoNdepar-AltN"/>
        <w:widowControl w:val="0"/>
        <w:rPr>
          <w:rFonts w:cs="Times New Roman"/>
        </w:rPr>
      </w:pPr>
      <w:r w:rsidRPr="00001596">
        <w:rPr>
          <w:rFonts w:cs="Times New Roman"/>
        </w:rPr>
        <w:t>Given the contributions required from participants, the contract resolution clauses and the existence of acquired rights during an insurance year, the ASRA Program clearly differs from one under which an “</w:t>
      </w:r>
      <w:r w:rsidRPr="00001596">
        <w:rPr>
          <w:rFonts w:cs="Times New Roman"/>
          <w:i/>
        </w:rPr>
        <w:t>ex gratia</w:t>
      </w:r>
      <w:r w:rsidRPr="00001596">
        <w:rPr>
          <w:rFonts w:cs="Times New Roman"/>
        </w:rPr>
        <w:t xml:space="preserve">” agricultural subsidy is </w:t>
      </w:r>
      <w:r w:rsidRPr="00001596">
        <w:rPr>
          <w:rFonts w:cs="Times New Roman"/>
        </w:rPr>
        <w:lastRenderedPageBreak/>
        <w:t xml:space="preserve">paid without consideration. Indeed, it was these very characteristics that led the Ontario High Court of Justice to find Ontario’s statutory crop insurance scheme to be a contract (of insurance) and not simply an agricultural support program: </w:t>
      </w:r>
      <w:r w:rsidRPr="00001596">
        <w:rPr>
          <w:rFonts w:cs="Times New Roman"/>
          <w:i/>
        </w:rPr>
        <w:t xml:space="preserve">George A. Demeyere Tobacco Farms Ltd. v. Continental Insurance Co. </w:t>
      </w:r>
      <w:r w:rsidRPr="00001596">
        <w:rPr>
          <w:rFonts w:cs="Times New Roman"/>
        </w:rPr>
        <w:t xml:space="preserve">(1984), 46 O.R. (2d) 423. The crop insurance scheme provided by La Financière is also governed by contract law: </w:t>
      </w:r>
      <w:r w:rsidRPr="00001596">
        <w:rPr>
          <w:rFonts w:cs="Times New Roman"/>
          <w:i/>
        </w:rPr>
        <w:t>Brissette v. Financière agricole</w:t>
      </w:r>
      <w:r w:rsidRPr="00001596">
        <w:rPr>
          <w:rFonts w:cs="Times New Roman"/>
        </w:rPr>
        <w:t xml:space="preserve">, 2006 QCCS 1620. As we will explain below, there are clearly fundamental differences between a crop insurance scheme and the ASRA Program, and these differences support the proposition that the ASRA Program is not a contract of insurance within the meaning of the </w:t>
      </w:r>
      <w:r w:rsidRPr="00001596">
        <w:rPr>
          <w:rFonts w:cs="Times New Roman"/>
          <w:i/>
        </w:rPr>
        <w:t>Civil Code of Québec</w:t>
      </w:r>
      <w:r w:rsidRPr="00001596">
        <w:rPr>
          <w:rFonts w:cs="Times New Roman"/>
        </w:rPr>
        <w:t>. Nevertheless, it would be rather strange if one insurance program offered by La Financière were governed by private law while another were subject to a fundamentally different set of rules, those of public law.</w:t>
      </w:r>
    </w:p>
    <w:p w:rsidR="00466FCD" w:rsidRPr="00001596" w:rsidRDefault="00466FCD" w:rsidP="00000F01">
      <w:pPr>
        <w:pStyle w:val="ParaNoNdepar-AltN"/>
        <w:widowControl w:val="0"/>
        <w:rPr>
          <w:rFonts w:cs="Times New Roman"/>
        </w:rPr>
      </w:pPr>
      <w:r w:rsidRPr="00001596">
        <w:rPr>
          <w:rFonts w:cs="Times New Roman"/>
        </w:rPr>
        <w:t xml:space="preserve">The ASRA Program can also be distinguished from certain other schemes that are subject to public law rules. One example can be seen in </w:t>
      </w:r>
      <w:r w:rsidRPr="00001596">
        <w:rPr>
          <w:rFonts w:cs="Times New Roman"/>
          <w:i/>
        </w:rPr>
        <w:t>Canada (Attorney General) v.</w:t>
      </w:r>
      <w:r w:rsidRPr="00001596">
        <w:rPr>
          <w:rFonts w:cs="Times New Roman"/>
        </w:rPr>
        <w:t xml:space="preserve"> </w:t>
      </w:r>
      <w:r w:rsidRPr="00001596">
        <w:rPr>
          <w:rFonts w:cs="Times New Roman"/>
          <w:i/>
        </w:rPr>
        <w:t>Mavi</w:t>
      </w:r>
      <w:r w:rsidRPr="00001596">
        <w:rPr>
          <w:rFonts w:cs="Times New Roman"/>
        </w:rPr>
        <w:t xml:space="preserve">, 2011 SCC 30, [2011] 2 S.C.R. 504, in which the issue was the legal status of an undertaking made by a person sponsoring a relative for immigration purposes to support the sponsored relative and to reimburse the government for any amount received by the latter as social assistance. In that case, the sponsor’s undertaking was required by statute, and any person wishing to sponsor a relative had to undertake to support the relative (para. 48). This was one reason why this Court found that the undertaking made by sponsors to the government was subject to public law, not to private law (para. 49). In the instant case, in contrast, participation in the </w:t>
      </w:r>
      <w:r w:rsidRPr="00001596">
        <w:rPr>
          <w:rFonts w:cs="Times New Roman"/>
        </w:rPr>
        <w:lastRenderedPageBreak/>
        <w:t xml:space="preserve">ASRA Program is voluntary. As well, in </w:t>
      </w:r>
      <w:r w:rsidRPr="00001596">
        <w:rPr>
          <w:rFonts w:cs="Times New Roman"/>
          <w:i/>
        </w:rPr>
        <w:t>Mavi</w:t>
      </w:r>
      <w:r w:rsidRPr="00001596">
        <w:rPr>
          <w:rFonts w:cs="Times New Roman"/>
        </w:rPr>
        <w:t xml:space="preserve">, the undertaking signed by sponsors was incidental to the public law scheme established by the </w:t>
      </w:r>
      <w:r w:rsidRPr="00001596">
        <w:rPr>
          <w:rFonts w:cs="Times New Roman"/>
          <w:i/>
        </w:rPr>
        <w:t>Immigration and Refugee Protection Act</w:t>
      </w:r>
      <w:r w:rsidRPr="00001596">
        <w:rPr>
          <w:rFonts w:cs="Times New Roman"/>
        </w:rPr>
        <w:t>, S.C. 2001, c. 27, and had no purpose other than enabling relatives to immigrate as members of the family class under that public law scheme. The ASRA Program is not incidental to any statutory public law scheme.</w:t>
      </w:r>
    </w:p>
    <w:p w:rsidR="00466FCD" w:rsidRPr="00001596" w:rsidRDefault="00466FCD" w:rsidP="00000F01">
      <w:pPr>
        <w:pStyle w:val="ParaNoNdepar-AltN"/>
        <w:widowControl w:val="0"/>
        <w:rPr>
          <w:rFonts w:cs="Times New Roman"/>
        </w:rPr>
      </w:pPr>
      <w:r w:rsidRPr="00001596">
        <w:rPr>
          <w:rFonts w:cs="Times New Roman"/>
        </w:rPr>
        <w:t xml:space="preserve">Thus, the ASRA Program is not a public law scheme but a contract. In reaching this conclusion, we wish to be clear that our reasons relate only to the scheme under consideration in this case. The determination of whether a scheme falls primarily under public law or under private law is a contextual exercise from which no extrapolation is possible. In other circumstances, it will, for example, be possible to hold, as in </w:t>
      </w:r>
      <w:r w:rsidRPr="00001596">
        <w:rPr>
          <w:rFonts w:cs="Times New Roman"/>
          <w:i/>
        </w:rPr>
        <w:t>Mavi</w:t>
      </w:r>
      <w:r w:rsidRPr="00001596">
        <w:rPr>
          <w:rFonts w:cs="Times New Roman"/>
        </w:rPr>
        <w:t>, that a contract entered into under a governmental scheme can be subject primarily, or even exclusively, to public law.</w:t>
      </w:r>
    </w:p>
    <w:p w:rsidR="00466FCD" w:rsidRPr="00001596" w:rsidRDefault="00466FCD" w:rsidP="00000F01">
      <w:pPr>
        <w:pStyle w:val="ParaNoNdepar-AltN"/>
        <w:widowControl w:val="0"/>
        <w:rPr>
          <w:rFonts w:cs="Times New Roman"/>
        </w:rPr>
      </w:pPr>
      <w:r w:rsidRPr="00001596">
        <w:rPr>
          <w:rFonts w:cs="Times New Roman"/>
        </w:rPr>
        <w:t>We therefore agree with the Court of Appeal (at para. 71) that the ASRA Program has the characteristics of an [</w:t>
      </w:r>
      <w:r w:rsidRPr="00001596">
        <w:rPr>
          <w:rFonts w:cs="Times New Roman"/>
          <w:smallCaps/>
        </w:rPr>
        <w:t>translation</w:t>
      </w:r>
      <w:r w:rsidRPr="00001596">
        <w:rPr>
          <w:rFonts w:cs="Times New Roman"/>
        </w:rPr>
        <w:t xml:space="preserve">] “administrative contract”, that is, a contract to which a public authority is a party: P. Garant, with P. Garant and J. Garant, </w:t>
      </w:r>
      <w:r w:rsidRPr="00001596">
        <w:rPr>
          <w:rFonts w:cs="Times New Roman"/>
          <w:i/>
        </w:rPr>
        <w:t>Droit administratif</w:t>
      </w:r>
      <w:r w:rsidRPr="00001596">
        <w:rPr>
          <w:rFonts w:cs="Times New Roman"/>
        </w:rPr>
        <w:t xml:space="preserve"> (6th ed. 2010), at p. 349. However, unlike the Court of Appeal, which found that the ASRA Program falls within both areas of law, that is, public law and private law (paras. 54 and 57), we are of the view that the rules that apply to this program are those of private law. Once it has been determined that the ASRA Program is a contract, we fail to see how it could be subject, even in part, to judicial review on the basis of administrative law principles or to other public law principles. All the rules </w:t>
      </w:r>
      <w:r w:rsidRPr="00001596">
        <w:rPr>
          <w:rFonts w:cs="Times New Roman"/>
        </w:rPr>
        <w:lastRenderedPageBreak/>
        <w:t xml:space="preserve">needed to guide the actions of the parties under the ASRA Program can be found in private law. The courts have often applied this principle in the context of commercial relations between the government and a private party, even where the content of the contract is dictated largely by statute or regulation, which is not the case here: see, for example, </w:t>
      </w:r>
      <w:r w:rsidRPr="00001596">
        <w:rPr>
          <w:rFonts w:cs="Times New Roman"/>
          <w:i/>
        </w:rPr>
        <w:t>Glykis v</w:t>
      </w:r>
      <w:r w:rsidRPr="00001596">
        <w:rPr>
          <w:rFonts w:cs="Times New Roman"/>
          <w:i/>
          <w:iCs/>
        </w:rPr>
        <w:t>.</w:t>
      </w:r>
      <w:r w:rsidRPr="00001596">
        <w:rPr>
          <w:rFonts w:cs="Times New Roman"/>
          <w:i/>
        </w:rPr>
        <w:t xml:space="preserve"> Hydro</w:t>
      </w:r>
      <w:r w:rsidRPr="00001596">
        <w:rPr>
          <w:rFonts w:cs="Times New Roman"/>
          <w:i/>
        </w:rPr>
        <w:noBreakHyphen/>
        <w:t>Québec</w:t>
      </w:r>
      <w:r w:rsidRPr="00001596">
        <w:rPr>
          <w:rFonts w:cs="Times New Roman"/>
        </w:rPr>
        <w:t xml:space="preserve">, 2004 SCC 60, [2004] 3 S.C.R. 285, at paras. 18 and 30. In our view, the courts have been right in the past to apply the rules of contract law to the ASRA Program, including those relating to defects of consent and to the scope of the obligations of the program’s participants: see, for example, </w:t>
      </w:r>
      <w:r w:rsidRPr="00001596">
        <w:rPr>
          <w:rFonts w:cs="Times New Roman"/>
          <w:i/>
        </w:rPr>
        <w:t>Financière agricole du Québec v. Forand</w:t>
      </w:r>
      <w:r w:rsidRPr="00001596">
        <w:rPr>
          <w:rFonts w:cs="Times New Roman"/>
        </w:rPr>
        <w:t>, 2009 QCCQ 10263.</w:t>
      </w:r>
    </w:p>
    <w:p w:rsidR="00466FCD" w:rsidRPr="00001596" w:rsidRDefault="00466FCD" w:rsidP="00000F01">
      <w:pPr>
        <w:pStyle w:val="ParaNoNdepar-AltN"/>
        <w:widowControl w:val="0"/>
        <w:rPr>
          <w:rFonts w:cs="Times New Roman"/>
        </w:rPr>
      </w:pPr>
      <w:r w:rsidRPr="00001596">
        <w:rPr>
          <w:rFonts w:cs="Times New Roman"/>
        </w:rPr>
        <w:t xml:space="preserve">This being said, administrative contracts are still distinguishable from contracts between private parties, since parity between the parties does not always exist. As Professor </w:t>
      </w:r>
      <w:proofErr w:type="spellStart"/>
      <w:r w:rsidRPr="00001596">
        <w:rPr>
          <w:rFonts w:cs="Times New Roman"/>
        </w:rPr>
        <w:t>Garant</w:t>
      </w:r>
      <w:proofErr w:type="spellEnd"/>
      <w:r w:rsidRPr="00001596">
        <w:rPr>
          <w:rFonts w:cs="Times New Roman"/>
        </w:rPr>
        <w:t xml:space="preserve"> explains</w:t>
      </w:r>
      <w:r w:rsidR="00137F7E">
        <w:rPr>
          <w:rFonts w:cs="Times New Roman"/>
        </w:rPr>
        <w:t>:</w:t>
      </w:r>
    </w:p>
    <w:p w:rsidR="00466FCD" w:rsidRPr="00001596" w:rsidRDefault="00466FCD" w:rsidP="00000F01">
      <w:pPr>
        <w:pStyle w:val="Citation-AltC"/>
        <w:widowControl w:val="0"/>
        <w:spacing w:before="240" w:after="240"/>
        <w:ind w:firstLine="274"/>
        <w:contextualSpacing w:val="0"/>
        <w:rPr>
          <w:rFonts w:eastAsiaTheme="minorEastAsia"/>
        </w:rPr>
      </w:pPr>
      <w:r w:rsidRPr="00001596">
        <w:rPr>
          <w:rFonts w:eastAsiaTheme="minorEastAsia"/>
        </w:rPr>
        <w:t>[</w:t>
      </w:r>
      <w:r w:rsidRPr="00001596">
        <w:rPr>
          <w:rFonts w:eastAsiaTheme="minorEastAsia"/>
          <w:smallCaps/>
        </w:rPr>
        <w:t>translation</w:t>
      </w:r>
      <w:r w:rsidRPr="00001596">
        <w:rPr>
          <w:rFonts w:eastAsiaTheme="minorEastAsia"/>
        </w:rPr>
        <w:t xml:space="preserve">] In our law, the essential difference between a private sector contract and an administrative contract is not one of basic legal classification. Both types of contract are in fact governed by the rules of the </w:t>
      </w:r>
      <w:r w:rsidRPr="00001596">
        <w:rPr>
          <w:rFonts w:eastAsiaTheme="minorEastAsia"/>
          <w:i/>
        </w:rPr>
        <w:t>Civil Code of Québec</w:t>
      </w:r>
      <w:r w:rsidRPr="00001596">
        <w:rPr>
          <w:rFonts w:eastAsiaTheme="minorEastAsia"/>
        </w:rPr>
        <w:t>. . . . However, what the public interest purpose means for one of them, in contrast with the other, is that it may be subject to rules that depart from the general law, which will vary in light of the requirements of the general interest and may differ from one service to another. It is above all in this sense that an administrative contract involves privileges and constraints in comparison with a private contract; the influence of the public service is always felt; there is never absolute parity between the parties, since one represents the general interest of the community and the other represents a private interest. . . .</w:t>
      </w:r>
    </w:p>
    <w:p w:rsidR="00466FCD" w:rsidRPr="00001596" w:rsidRDefault="00466FCD" w:rsidP="00000F01">
      <w:pPr>
        <w:pStyle w:val="Citation-AltC"/>
        <w:widowControl w:val="0"/>
        <w:spacing w:before="240" w:after="240"/>
        <w:ind w:hanging="32"/>
        <w:contextualSpacing w:val="0"/>
        <w:jc w:val="center"/>
        <w:rPr>
          <w:rFonts w:eastAsiaTheme="minorEastAsia"/>
        </w:rPr>
      </w:pPr>
      <w:r w:rsidRPr="00001596">
        <w:rPr>
          <w:rFonts w:eastAsiaTheme="minorEastAsia"/>
        </w:rPr>
        <w:t>. . .</w:t>
      </w:r>
    </w:p>
    <w:p w:rsidR="00466FCD" w:rsidRPr="00001596" w:rsidRDefault="00466FCD" w:rsidP="00000F01">
      <w:pPr>
        <w:pStyle w:val="Citation-AltC"/>
        <w:widowControl w:val="0"/>
        <w:ind w:firstLine="274"/>
        <w:contextualSpacing w:val="0"/>
        <w:rPr>
          <w:rFonts w:eastAsiaTheme="minorEastAsia"/>
        </w:rPr>
      </w:pPr>
      <w:r w:rsidRPr="00001596">
        <w:rPr>
          <w:rFonts w:eastAsiaTheme="minorEastAsia"/>
        </w:rPr>
        <w:t xml:space="preserve">. . . It is thus clear that the public interest is of great importance in the government’s contracting process. This principle must guide the formation and performance of the contract and also serve as a rule of interpretation. </w:t>
      </w:r>
      <w:r w:rsidRPr="00001596">
        <w:rPr>
          <w:rFonts w:eastAsiaTheme="minorEastAsia"/>
        </w:rPr>
        <w:lastRenderedPageBreak/>
        <w:t>[Footnote omitted; pp. 349</w:t>
      </w:r>
      <w:r w:rsidRPr="00001596">
        <w:rPr>
          <w:rFonts w:eastAsiaTheme="minorEastAsia"/>
        </w:rPr>
        <w:noBreakHyphen/>
        <w:t>51.]</w:t>
      </w:r>
    </w:p>
    <w:p w:rsidR="00466FCD" w:rsidRPr="00001596" w:rsidRDefault="00466FCD" w:rsidP="00000F01">
      <w:pPr>
        <w:pStyle w:val="ParaNoNdepar-AltN"/>
        <w:widowControl w:val="0"/>
        <w:rPr>
          <w:rFonts w:cs="Times New Roman"/>
        </w:rPr>
      </w:pPr>
      <w:r w:rsidRPr="00001596">
        <w:rPr>
          <w:rFonts w:cs="Times New Roman"/>
        </w:rPr>
        <w:t xml:space="preserve">Thus, the government’s contractual relations are governed by a specific set of rules, and the public interest must be considered in interpreting such relations. When interpreting the scope of the government’s powers as a party to a contract in order to determine, for example, whether the language of the contract confers a discretion on the government, the principle of the public interest may weigh in favour of a broader discretion in implementing the scheme. This will be especially true in cases in which the contractual scheme in question has a social objective. These are not principles of public law, but considerations related to the object of the contract that may influence the interpretation of the scope of the contractual powers of the public authority in question. Along the same lines, the Court has recognized in the public tendering context that, although the tender process is in the contractual realm, the government has broad powers that enable it to “include stipulations and restrictions and to reserve privileges to itself”: </w:t>
      </w:r>
      <w:r w:rsidRPr="00001596">
        <w:rPr>
          <w:rFonts w:cs="Times New Roman"/>
          <w:i/>
        </w:rPr>
        <w:t>Martel Building Ltd. v. Canada</w:t>
      </w:r>
      <w:r w:rsidRPr="00001596">
        <w:rPr>
          <w:rFonts w:cs="Times New Roman"/>
        </w:rPr>
        <w:t xml:space="preserve">, 2000 SCC 60, [2000] 2 S.C.R. 860, at para. 89, quoting </w:t>
      </w:r>
      <w:r w:rsidRPr="00001596">
        <w:rPr>
          <w:rFonts w:cs="Times New Roman"/>
          <w:i/>
        </w:rPr>
        <w:t>Colautti Brothers Marble Tile &amp; Carpet (1985) Inc. v. Windsor (City)</w:t>
      </w:r>
      <w:r w:rsidRPr="00001596">
        <w:rPr>
          <w:rFonts w:cs="Times New Roman"/>
        </w:rPr>
        <w:t xml:space="preserve"> (1996), 36 M.P.L.R. (2d) 258 (Ont. Ct. (Gen. Div.)), at para. 6. There are of course distinctions to be made between the ASRA Program and a call for tenders. We will not comment on the role of public law in the regulation of the tendering process. Nevertheless, the contract law principle identified in </w:t>
      </w:r>
      <w:r w:rsidRPr="00001596">
        <w:rPr>
          <w:rFonts w:cs="Times New Roman"/>
          <w:i/>
        </w:rPr>
        <w:t>Martel Building</w:t>
      </w:r>
      <w:r w:rsidRPr="00001596">
        <w:rPr>
          <w:rFonts w:cs="Times New Roman"/>
        </w:rPr>
        <w:t xml:space="preserve"> applies in the case at bar. In interpreting the scope of the powers conferred on La Financière by its contract with ASRA Program participants, the public interest and La Financière’s social purpose are considerations that must be taken into account. </w:t>
      </w:r>
    </w:p>
    <w:p w:rsidR="00466FCD" w:rsidRPr="00001596" w:rsidRDefault="00466FCD" w:rsidP="00000F01">
      <w:pPr>
        <w:pStyle w:val="ParaNoNdepar-AltN"/>
        <w:widowControl w:val="0"/>
        <w:rPr>
          <w:rFonts w:cs="Times New Roman"/>
        </w:rPr>
      </w:pPr>
      <w:r w:rsidRPr="00001596">
        <w:rPr>
          <w:rFonts w:cs="Times New Roman"/>
        </w:rPr>
        <w:lastRenderedPageBreak/>
        <w:t>The government’s discretion nonetheless has its limits. In the context of an administrative contract like the one at issue in this case, those limits do not derive from the public law duty of procedural fairness but are instead based on good faith and contractual fairness, as is explained, once again, by Professor Garant:</w:t>
      </w:r>
    </w:p>
    <w:p w:rsidR="00466FCD" w:rsidRPr="00001596" w:rsidRDefault="00466FCD" w:rsidP="00000F01">
      <w:pPr>
        <w:pStyle w:val="Citation-AltC"/>
        <w:widowControl w:val="0"/>
        <w:ind w:firstLine="274"/>
        <w:rPr>
          <w:rFonts w:eastAsiaTheme="minorEastAsia"/>
        </w:rPr>
      </w:pPr>
      <w:r w:rsidRPr="00001596">
        <w:rPr>
          <w:rFonts w:eastAsiaTheme="minorEastAsia"/>
        </w:rPr>
        <w:t>[</w:t>
      </w:r>
      <w:r w:rsidRPr="00001596">
        <w:rPr>
          <w:rFonts w:eastAsiaTheme="minorEastAsia"/>
          <w:smallCaps/>
        </w:rPr>
        <w:t>translation</w:t>
      </w:r>
      <w:r w:rsidRPr="00001596">
        <w:rPr>
          <w:rFonts w:eastAsiaTheme="minorEastAsia"/>
        </w:rPr>
        <w:t>] . . . awarding or amending a contract is a purely administrative matter that does not require the application of any of the principles of natural justice, procedural fairness and legitimate expectations. The duty of good faith will of course be sanctioned by the courts, as will the government’s duty to treat other contracting parties fairly. But what is in issue here is contractual fairness, not procedural fairness in the public law sense. [Footnote omitted; p. 354.]</w:t>
      </w:r>
    </w:p>
    <w:p w:rsidR="00466FCD" w:rsidRPr="00001596" w:rsidRDefault="00466FCD" w:rsidP="00000F01">
      <w:pPr>
        <w:pStyle w:val="ParaNoNdepar-AltN"/>
        <w:widowControl w:val="0"/>
        <w:tabs>
          <w:tab w:val="clear" w:pos="1152"/>
          <w:tab w:val="left" w:pos="1166"/>
        </w:tabs>
        <w:rPr>
          <w:rFonts w:cs="Times New Roman"/>
        </w:rPr>
      </w:pPr>
      <w:r w:rsidRPr="00001596">
        <w:rPr>
          <w:rFonts w:cs="Times New Roman"/>
        </w:rPr>
        <w:t xml:space="preserve">The Court applied similar principles in the tendering context in </w:t>
      </w:r>
      <w:r w:rsidRPr="00001596">
        <w:rPr>
          <w:rFonts w:cs="Times New Roman"/>
          <w:i/>
        </w:rPr>
        <w:t>Martel Building</w:t>
      </w:r>
      <w:r w:rsidRPr="00001596">
        <w:rPr>
          <w:rFonts w:cs="Times New Roman"/>
        </w:rPr>
        <w:t xml:space="preserve">, explaining that such contracts placed the government under an implied obligation to “treat all bidders fairly and equally” (para. 88). This principle can be readily adapted to the context of this appeal. La Financière must treat the other contracting parties fairly and exercise its discretion in good faith. The source of the contractual obligation to treat ASRA Program participants fairly is the same as in </w:t>
      </w:r>
      <w:r w:rsidRPr="00001596">
        <w:rPr>
          <w:rFonts w:cs="Times New Roman"/>
          <w:i/>
        </w:rPr>
        <w:t>Martel Building</w:t>
      </w:r>
      <w:r w:rsidRPr="00001596">
        <w:rPr>
          <w:rFonts w:cs="Times New Roman"/>
        </w:rPr>
        <w:t xml:space="preserve">, namely “the presumed intentions of the parties” (para. 88). It must be presumed that the parties to the ASRA Program intended to include in it an obligation of contractual fairness, which “is consistent with the goal of protecting and promoting the integrity of the [legal] process [at issue], and benefits all participants” (para. 88). In Quebec law, this amounts to an application of the rule provided for in art. 1434 </w:t>
      </w:r>
      <w:r w:rsidRPr="001719D4">
        <w:rPr>
          <w:rFonts w:cs="Times New Roman"/>
          <w:i/>
        </w:rPr>
        <w:t>C.C.Q.</w:t>
      </w:r>
      <w:r w:rsidRPr="00001596">
        <w:rPr>
          <w:rFonts w:cs="Times New Roman"/>
        </w:rPr>
        <w:t xml:space="preserve"> that “[a] contract validly formed binds the parties who have entered into it not only as to what they have expressed in it but also as to what is incident to it . . . in conformity </w:t>
      </w:r>
      <w:r w:rsidRPr="00001596">
        <w:rPr>
          <w:rFonts w:cs="Times New Roman"/>
        </w:rPr>
        <w:lastRenderedPageBreak/>
        <w:t xml:space="preserve">with . . . equity”. As for the obligation to act in good faith, it flows from arts. 6, 7 and 1375 </w:t>
      </w:r>
      <w:r w:rsidRPr="001719D4">
        <w:rPr>
          <w:rFonts w:cs="Times New Roman"/>
          <w:i/>
        </w:rPr>
        <w:t>C.C.Q.</w:t>
      </w:r>
    </w:p>
    <w:p w:rsidR="00466FCD" w:rsidRPr="00001596" w:rsidRDefault="00466FCD" w:rsidP="00000F01">
      <w:pPr>
        <w:pStyle w:val="ParaNoNdepar-AltN"/>
        <w:widowControl w:val="0"/>
        <w:tabs>
          <w:tab w:val="clear" w:pos="1152"/>
          <w:tab w:val="left" w:pos="1166"/>
        </w:tabs>
        <w:rPr>
          <w:rFonts w:cs="Times New Roman"/>
        </w:rPr>
      </w:pPr>
      <w:r w:rsidRPr="00001596">
        <w:rPr>
          <w:rFonts w:cs="Times New Roman"/>
        </w:rPr>
        <w:t>In sum, like the contract itself, the fairness of the exercise of that discretion must be assessed in light of the public interest and La Financière’s social purpose. Contract law will nonetheless apply to make La Financière accountable for the financial impact of its decisions if they fail to satisfy the requirements of good faith and contractual fairness. This is the legal framework that must guide the analysis of La Financière’s actions in this case. Before analyzing those actions having regard to that contractual legal framework, we must first determine whether the rules specific to the contract of insurance apply to it.</w:t>
      </w:r>
    </w:p>
    <w:p w:rsidR="00466FCD" w:rsidRPr="00001596" w:rsidRDefault="00466FCD" w:rsidP="00000F01">
      <w:pPr>
        <w:pStyle w:val="Title3LevelTitre3Niveau"/>
        <w:widowControl w:val="0"/>
        <w:rPr>
          <w:rFonts w:cs="Times New Roman"/>
        </w:rPr>
      </w:pPr>
      <w:r w:rsidRPr="00001596">
        <w:rPr>
          <w:rFonts w:cs="Times New Roman"/>
        </w:rPr>
        <w:t xml:space="preserve">Is the ASRA Program Subject to the Rules Applicable to the Contract of Insurance? </w:t>
      </w:r>
    </w:p>
    <w:p w:rsidR="00466FCD" w:rsidRPr="00001596" w:rsidRDefault="00466FCD" w:rsidP="00000F01">
      <w:pPr>
        <w:pStyle w:val="ParaNoNdepar-AltN"/>
        <w:widowControl w:val="0"/>
        <w:rPr>
          <w:rFonts w:cs="Times New Roman"/>
        </w:rPr>
      </w:pPr>
      <w:r w:rsidRPr="00001596">
        <w:rPr>
          <w:rFonts w:cs="Times New Roman"/>
        </w:rPr>
        <w:t xml:space="preserve">The appellants argue that the ASRA Program is a contract of insurance within the meaning of art. 2389 </w:t>
      </w:r>
      <w:r w:rsidRPr="00001596">
        <w:rPr>
          <w:rFonts w:cs="Times New Roman"/>
          <w:i/>
        </w:rPr>
        <w:t>C.C.Q.</w:t>
      </w:r>
      <w:r w:rsidRPr="00001596">
        <w:rPr>
          <w:rFonts w:cs="Times New Roman"/>
        </w:rPr>
        <w:t xml:space="preserve"> They submit that farm insurance is based on the principles of mutuality and risk applicable to the contract of insurance and can therefore be distinguished from other financial assistance programs, such as those that involve the granting of subsidies. This means that the rule of interpretation based on the reasonable expectations of the insured must be applied in interpreting s. 88(3) of the ASRA Program.</w:t>
      </w:r>
    </w:p>
    <w:p w:rsidR="00466FCD" w:rsidRPr="00001596" w:rsidRDefault="00466FCD" w:rsidP="00000F01">
      <w:pPr>
        <w:pStyle w:val="ParaNoNdepar-AltN"/>
        <w:widowControl w:val="0"/>
        <w:rPr>
          <w:rFonts w:cs="Times New Roman"/>
        </w:rPr>
      </w:pPr>
      <w:r w:rsidRPr="00001596">
        <w:rPr>
          <w:rFonts w:cs="Times New Roman"/>
        </w:rPr>
        <w:t xml:space="preserve">La Financière counters this position by arguing that what the ASRA </w:t>
      </w:r>
      <w:r w:rsidRPr="00001596">
        <w:rPr>
          <w:rFonts w:cs="Times New Roman"/>
        </w:rPr>
        <w:lastRenderedPageBreak/>
        <w:t xml:space="preserve">Program covers is not a risk, but a contingency, given that there are no uncertain events for participants, but a recurring situation that leads to the application of the program on a regular or even permanent basis for certain products. La Financière also notes that participants cannot receive a personalized indemnity, since the amounts to which they are entitled are calculated not on the basis of losses incurred by their businesses, but on the basis of the model of a benchmark farm. </w:t>
      </w:r>
    </w:p>
    <w:p w:rsidR="00466FCD" w:rsidRPr="00001596" w:rsidRDefault="00466FCD" w:rsidP="00000F01">
      <w:pPr>
        <w:pStyle w:val="ParaNoNdepar-AltN"/>
        <w:widowControl w:val="0"/>
        <w:rPr>
          <w:rFonts w:cs="Times New Roman"/>
        </w:rPr>
      </w:pPr>
      <w:r w:rsidRPr="00001596">
        <w:rPr>
          <w:rFonts w:cs="Times New Roman"/>
        </w:rPr>
        <w:t xml:space="preserve">In this Court, the parties’ arguments on this point focused on a comparison between the ASRA Program and the </w:t>
      </w:r>
      <w:r w:rsidRPr="00001596">
        <w:rPr>
          <w:rFonts w:cs="Times New Roman"/>
          <w:i/>
        </w:rPr>
        <w:t>Programme d’assurance récolte</w:t>
      </w:r>
      <w:r w:rsidRPr="00001596">
        <w:rPr>
          <w:rFonts w:cs="Times New Roman"/>
        </w:rPr>
        <w:t xml:space="preserve"> also offered by La Financière. The </w:t>
      </w:r>
      <w:r w:rsidRPr="00001596">
        <w:rPr>
          <w:rFonts w:cs="Times New Roman"/>
          <w:i/>
        </w:rPr>
        <w:t>Programme d’assurance récolte</w:t>
      </w:r>
      <w:r w:rsidRPr="00001596">
        <w:rPr>
          <w:rFonts w:cs="Times New Roman"/>
        </w:rPr>
        <w:t xml:space="preserve">, like equivalent crop insurance programs in the other provinces, has been treated by the courts as a contract of insurance that is subject to all the rules that apply to such contracts: </w:t>
      </w:r>
      <w:r w:rsidRPr="00001596">
        <w:rPr>
          <w:rFonts w:cs="Times New Roman"/>
          <w:i/>
        </w:rPr>
        <w:t>Brissette</w:t>
      </w:r>
      <w:r w:rsidRPr="00001596">
        <w:rPr>
          <w:rFonts w:cs="Times New Roman"/>
        </w:rPr>
        <w:t xml:space="preserve">; </w:t>
      </w:r>
      <w:r w:rsidRPr="00001596">
        <w:rPr>
          <w:rFonts w:cs="Times New Roman"/>
          <w:i/>
        </w:rPr>
        <w:t>Demeyere</w:t>
      </w:r>
      <w:r w:rsidRPr="00001596">
        <w:rPr>
          <w:rFonts w:cs="Times New Roman"/>
        </w:rPr>
        <w:t xml:space="preserve">; </w:t>
      </w:r>
      <w:r w:rsidRPr="00001596">
        <w:rPr>
          <w:rFonts w:cs="Times New Roman"/>
          <w:i/>
        </w:rPr>
        <w:t xml:space="preserve">Rollo Bay Holdings Ltd. v. Prince Edward Island Agricultural Development Corp. </w:t>
      </w:r>
      <w:r w:rsidRPr="00001596">
        <w:rPr>
          <w:rFonts w:cs="Times New Roman"/>
        </w:rPr>
        <w:t>(1993), 110 D.L.R. (4th) 132 (P.E.I.S.C. (App. Div.)). The respondent argues that the ASRA Program is sufficiently different from a crop insurance program to warrant different legal treatment, whereas the appellants argue that the same rules of interpretation apply to both programs.</w:t>
      </w:r>
    </w:p>
    <w:p w:rsidR="00466FCD" w:rsidRPr="00001596" w:rsidRDefault="00466FCD" w:rsidP="00000F01">
      <w:pPr>
        <w:pStyle w:val="ParaNoNdepar-AltN"/>
        <w:widowControl w:val="0"/>
        <w:rPr>
          <w:rFonts w:cs="Times New Roman"/>
        </w:rPr>
      </w:pPr>
      <w:r w:rsidRPr="00001596">
        <w:rPr>
          <w:rFonts w:cs="Times New Roman"/>
        </w:rPr>
        <w:t xml:space="preserve">In our view, the ASRA Program is not a contract of insurance and cannot be subject to the rules applicable to such contracts. It does not have the three main characteristics of a contract of insurance set out in art. 2389 </w:t>
      </w:r>
      <w:r w:rsidRPr="00001596">
        <w:rPr>
          <w:rFonts w:cs="Times New Roman"/>
          <w:i/>
        </w:rPr>
        <w:t>C.C.Q.</w:t>
      </w:r>
      <w:r w:rsidRPr="00001596">
        <w:rPr>
          <w:rFonts w:cs="Times New Roman"/>
        </w:rPr>
        <w:t xml:space="preserve">, namely (i) an obligation on the client to pay a premium or assessment; (ii) the occurrence of a risk; and (iii) an obligation on the insurer to make a payment to the client if the insured risk </w:t>
      </w:r>
      <w:r w:rsidRPr="00001596">
        <w:rPr>
          <w:rFonts w:cs="Times New Roman"/>
        </w:rPr>
        <w:lastRenderedPageBreak/>
        <w:t>occurs. The reasons for this conclusion are as follows.</w:t>
      </w:r>
    </w:p>
    <w:p w:rsidR="00466FCD" w:rsidRPr="00001596" w:rsidRDefault="00466FCD" w:rsidP="00000F01">
      <w:pPr>
        <w:pStyle w:val="ParaNoNdepar-AltN"/>
        <w:widowControl w:val="0"/>
        <w:rPr>
          <w:rFonts w:cs="Times New Roman"/>
        </w:rPr>
      </w:pPr>
      <w:r w:rsidRPr="00001596">
        <w:rPr>
          <w:rFonts w:cs="Times New Roman"/>
        </w:rPr>
        <w:t xml:space="preserve">First, it is agreed that ASRA Program participants have an obligation to pay a premium or assessment. This is not changed by the fact that the government provides most of the funding for the program through La Financière. That being said, it may happen, where the “risk” (net annual income of the benchmark farm less than the stabilized net annual income) does not occur for a certain period and the amounts paid into the fund are sufficient to ensure its sustainability, that no contributions are made in respect of a designated product. For example, no contribution was required from ASRA Program participants in 2003 in respect of “potatoes”. Moreover, the program provides that any surplus must be redistributed among participants in proportion to their contributions (s. 13). This means that one of the characteristics referred to in art. 2389 </w:t>
      </w:r>
      <w:r w:rsidRPr="00001596">
        <w:rPr>
          <w:rFonts w:cs="Times New Roman"/>
          <w:i/>
        </w:rPr>
        <w:t>C.C.Q.</w:t>
      </w:r>
      <w:r w:rsidRPr="00001596">
        <w:rPr>
          <w:rFonts w:cs="Times New Roman"/>
        </w:rPr>
        <w:t xml:space="preserve"> is lacking here, since, according to the principle of mutuality, the contract of insurance concept presupposes that the client continues to be a debtor in respect of the premium even if the risk does not occur: Lluelles, at p. 25.</w:t>
      </w:r>
    </w:p>
    <w:p w:rsidR="00466FCD" w:rsidRPr="00001596" w:rsidRDefault="00466FCD" w:rsidP="00000F01">
      <w:pPr>
        <w:pStyle w:val="ParaNoNdepar-AltN"/>
        <w:widowControl w:val="0"/>
        <w:rPr>
          <w:rFonts w:cs="Times New Roman"/>
        </w:rPr>
      </w:pPr>
      <w:r w:rsidRPr="00001596">
        <w:rPr>
          <w:rFonts w:cs="Times New Roman"/>
        </w:rPr>
        <w:t xml:space="preserve">Second, the implementation of the ASRA Program does not depend on the occurrence of a risk within the meaning of art. 2389 </w:t>
      </w:r>
      <w:r w:rsidRPr="00001596">
        <w:rPr>
          <w:rFonts w:cs="Times New Roman"/>
          <w:i/>
        </w:rPr>
        <w:t>C.C.Q.</w:t>
      </w:r>
      <w:r w:rsidRPr="00001596">
        <w:rPr>
          <w:rFonts w:cs="Times New Roman"/>
        </w:rPr>
        <w:t xml:space="preserve"> What is described here as a risk is actually based on the net annual income of the benchmark farm, which La Financière calculates itself in exercising its broad discretion. La Financière therefore exerts control over the occurrence of the “risk” when it adjusts and fixes the net annual income on the basis of statistical studies or of [</w:t>
      </w:r>
      <w:r w:rsidRPr="00001596">
        <w:rPr>
          <w:rFonts w:cs="Times New Roman"/>
          <w:smallCaps/>
        </w:rPr>
        <w:t>translation</w:t>
      </w:r>
      <w:r w:rsidRPr="00001596">
        <w:rPr>
          <w:rFonts w:cs="Times New Roman"/>
        </w:rPr>
        <w:t xml:space="preserve">] “other data it deems relevant” (s. 87 para. 3 ASRA Program). In this sense, the occurrence of the </w:t>
      </w:r>
      <w:r w:rsidRPr="00001596">
        <w:rPr>
          <w:rFonts w:cs="Times New Roman"/>
        </w:rPr>
        <w:lastRenderedPageBreak/>
        <w:t>“risk” under the program depends on the will of La Financière. Yet it is well established that the occurrence of the risk under a contract of insurance must be [</w:t>
      </w:r>
      <w:r w:rsidRPr="00001596">
        <w:rPr>
          <w:rFonts w:cs="Times New Roman"/>
          <w:smallCaps/>
        </w:rPr>
        <w:t>translation</w:t>
      </w:r>
      <w:r w:rsidRPr="00001596">
        <w:rPr>
          <w:rFonts w:cs="Times New Roman"/>
        </w:rPr>
        <w:t xml:space="preserve">] “an event that is uncertain and does not depend exclusively on the will of the parties”: </w:t>
      </w:r>
      <w:r w:rsidRPr="00001596">
        <w:rPr>
          <w:rFonts w:cs="Times New Roman"/>
          <w:iCs/>
        </w:rPr>
        <w:t xml:space="preserve">Lluelles, </w:t>
      </w:r>
      <w:r w:rsidRPr="00001596">
        <w:rPr>
          <w:rFonts w:cs="Times New Roman"/>
        </w:rPr>
        <w:t xml:space="preserve">at p. 186. </w:t>
      </w:r>
    </w:p>
    <w:p w:rsidR="00466FCD" w:rsidRPr="00001596" w:rsidRDefault="00466FCD" w:rsidP="00000F01">
      <w:pPr>
        <w:pStyle w:val="ParaNoNdepar-AltN"/>
        <w:widowControl w:val="0"/>
        <w:rPr>
          <w:rFonts w:cs="Times New Roman"/>
        </w:rPr>
      </w:pPr>
      <w:r w:rsidRPr="00001596">
        <w:rPr>
          <w:rFonts w:cs="Times New Roman"/>
        </w:rPr>
        <w:t>Lastly, it is almost certain that the stabilized net annual income will ultimately be higher than the net annual income. The evidence shows that, over a 30</w:t>
      </w:r>
      <w:r w:rsidRPr="00001596">
        <w:rPr>
          <w:rFonts w:cs="Times New Roman"/>
        </w:rPr>
        <w:noBreakHyphen/>
        <w:t>year period — from 1979 to 2009 — La Financière paid compensation every year for certain products, one example being “feeder cattle”. Moreover, s. 92 of the ASRA Program provides that La Financière may make [</w:t>
      </w:r>
      <w:r w:rsidRPr="00001596">
        <w:rPr>
          <w:rFonts w:cs="Times New Roman"/>
          <w:smallCaps/>
        </w:rPr>
        <w:t>translation</w:t>
      </w:r>
      <w:r w:rsidRPr="00001596">
        <w:rPr>
          <w:rFonts w:cs="Times New Roman"/>
        </w:rPr>
        <w:t xml:space="preserve">] “advance payments on the compensation to be paid” on the basis of “forecasts” of the amounts that will be paid in the future. It can be seen from the cases that La Financière avails itself of that power: </w:t>
      </w:r>
      <w:r w:rsidRPr="00001596">
        <w:rPr>
          <w:rFonts w:cs="Times New Roman"/>
          <w:i/>
        </w:rPr>
        <w:t>Forand</w:t>
      </w:r>
      <w:r w:rsidRPr="00001596">
        <w:rPr>
          <w:rFonts w:cs="Times New Roman"/>
        </w:rPr>
        <w:t>, at paras. </w:t>
      </w:r>
      <w:r w:rsidRPr="00EB0078">
        <w:rPr>
          <w:rFonts w:cs="Times New Roman"/>
          <w:lang w:val="fr-CA"/>
        </w:rPr>
        <w:t>12</w:t>
      </w:r>
      <w:r w:rsidRPr="00EB0078">
        <w:rPr>
          <w:rFonts w:cs="Times New Roman"/>
          <w:lang w:val="fr-CA"/>
        </w:rPr>
        <w:noBreakHyphen/>
        <w:t xml:space="preserve">13 (CanLII); </w:t>
      </w:r>
      <w:r w:rsidRPr="00EB0078">
        <w:rPr>
          <w:rFonts w:cs="Times New Roman"/>
          <w:i/>
          <w:lang w:val="fr-CA"/>
        </w:rPr>
        <w:t>Financière agricole du Québec v. Coddington</w:t>
      </w:r>
      <w:r w:rsidRPr="00EB0078">
        <w:rPr>
          <w:rFonts w:cs="Times New Roman"/>
          <w:lang w:val="fr-CA"/>
        </w:rPr>
        <w:t>, 2013 QCCQ 6238, at paras. </w:t>
      </w:r>
      <w:r w:rsidRPr="00001596">
        <w:rPr>
          <w:rFonts w:cs="Times New Roman"/>
        </w:rPr>
        <w:t>5</w:t>
      </w:r>
      <w:r w:rsidRPr="00001596">
        <w:rPr>
          <w:rFonts w:cs="Times New Roman"/>
        </w:rPr>
        <w:noBreakHyphen/>
        <w:t>6 (CanLII). This means that the “risk” is foreseeable not only as regards its occurrence, but also often as regards the time of its occurrence. As Professor Lluelles states, [</w:t>
      </w:r>
      <w:r w:rsidRPr="00001596">
        <w:rPr>
          <w:rFonts w:cs="Times New Roman"/>
          <w:smallCaps/>
        </w:rPr>
        <w:t>translation</w:t>
      </w:r>
      <w:r w:rsidRPr="00001596">
        <w:rPr>
          <w:rFonts w:cs="Times New Roman"/>
        </w:rPr>
        <w:t>] “if the promised payment is based not on the occurrence of a risk but on the occurrence of an event that is certain in terms of its occurrence, its prematurity or its severity, the contract in question is not one of insurance” (p. 25 (footnote omitted)).</w:t>
      </w:r>
    </w:p>
    <w:p w:rsidR="00466FCD" w:rsidRPr="00001596" w:rsidRDefault="00466FCD" w:rsidP="00000F01">
      <w:pPr>
        <w:pStyle w:val="ParaNoNdepar-AltN"/>
        <w:widowControl w:val="0"/>
        <w:rPr>
          <w:rFonts w:cs="Times New Roman"/>
        </w:rPr>
      </w:pPr>
      <w:r w:rsidRPr="00001596">
        <w:rPr>
          <w:rFonts w:cs="Times New Roman"/>
        </w:rPr>
        <w:t xml:space="preserve">Furthermore, several provisions of the </w:t>
      </w:r>
      <w:r w:rsidRPr="00001596">
        <w:rPr>
          <w:rFonts w:cs="Times New Roman"/>
          <w:i/>
        </w:rPr>
        <w:t>Civil Code of Québec</w:t>
      </w:r>
      <w:r w:rsidRPr="00001596">
        <w:rPr>
          <w:rFonts w:cs="Times New Roman"/>
        </w:rPr>
        <w:t xml:space="preserve"> relating to the contract of insurance are foreign to the essential elements of the ASRA Program. For example, there is no question of the insured giving notice of the “loss”, which first </w:t>
      </w:r>
      <w:r w:rsidRPr="00001596">
        <w:rPr>
          <w:rFonts w:cs="Times New Roman"/>
        </w:rPr>
        <w:lastRenderedPageBreak/>
        <w:t xml:space="preserve">becomes known to La Financière when it determines that the stabilized net annual income is higher than the net annual income of the benchmark farm for a covered product. The obligations under arts. 2470 to 2474 </w:t>
      </w:r>
      <w:r w:rsidRPr="00001596">
        <w:rPr>
          <w:rFonts w:cs="Times New Roman"/>
          <w:i/>
        </w:rPr>
        <w:t>C.C.Q.</w:t>
      </w:r>
      <w:r w:rsidRPr="00001596">
        <w:rPr>
          <w:rFonts w:cs="Times New Roman"/>
        </w:rPr>
        <w:t xml:space="preserve"> concerning notice of the “loss” by the insured cannot therefore apply to the ASRA Program. Nor is it possible to speak of a “material change in the risk” caused by the insured within the meaning of arts. 2466 to 2468 </w:t>
      </w:r>
      <w:r w:rsidRPr="00001596">
        <w:rPr>
          <w:rFonts w:cs="Times New Roman"/>
          <w:i/>
        </w:rPr>
        <w:t>C.C.Q.</w:t>
      </w:r>
      <w:r w:rsidRPr="00001596">
        <w:rPr>
          <w:rFonts w:cs="Times New Roman"/>
        </w:rPr>
        <w:t xml:space="preserve"> or of “initial representations” of the insured in t</w:t>
      </w:r>
      <w:r w:rsidR="005B525E">
        <w:rPr>
          <w:rFonts w:cs="Times New Roman"/>
        </w:rPr>
        <w:t>he context of arts. 2408 to 2413</w:t>
      </w:r>
      <w:r w:rsidRPr="00001596">
        <w:rPr>
          <w:rFonts w:cs="Times New Roman"/>
        </w:rPr>
        <w:t xml:space="preserve"> </w:t>
      </w:r>
      <w:r w:rsidRPr="00001596">
        <w:rPr>
          <w:rFonts w:cs="Times New Roman"/>
          <w:i/>
        </w:rPr>
        <w:t>C.C.Q.</w:t>
      </w:r>
      <w:r w:rsidRPr="00001596">
        <w:rPr>
          <w:rFonts w:cs="Times New Roman"/>
        </w:rPr>
        <w:t xml:space="preserve"> These are concepts that are central to the regulation of insurance. </w:t>
      </w:r>
    </w:p>
    <w:p w:rsidR="00466FCD" w:rsidRPr="00001596" w:rsidRDefault="00466FCD" w:rsidP="00000F01">
      <w:pPr>
        <w:pStyle w:val="ParaNoNdepar-AltN"/>
        <w:widowControl w:val="0"/>
        <w:rPr>
          <w:rFonts w:cs="Times New Roman"/>
        </w:rPr>
      </w:pPr>
      <w:r w:rsidRPr="00001596">
        <w:rPr>
          <w:rFonts w:cs="Times New Roman"/>
        </w:rPr>
        <w:t xml:space="preserve">In this regard, the ASRA Program differs from the </w:t>
      </w:r>
      <w:r w:rsidRPr="00001596">
        <w:rPr>
          <w:rFonts w:cs="Times New Roman"/>
          <w:i/>
        </w:rPr>
        <w:t>Programme d’assurance récolte</w:t>
      </w:r>
      <w:r w:rsidRPr="00001596">
        <w:rPr>
          <w:rFonts w:cs="Times New Roman"/>
        </w:rPr>
        <w:t>, which accords very well with several provisions applicable to the contract of insurance. The crop insurance program protects participants from [</w:t>
      </w:r>
      <w:r w:rsidRPr="00001596">
        <w:rPr>
          <w:rFonts w:cs="Times New Roman"/>
          <w:smallCaps/>
        </w:rPr>
        <w:t>translation</w:t>
      </w:r>
      <w:r w:rsidRPr="00001596">
        <w:rPr>
          <w:rFonts w:cs="Times New Roman"/>
        </w:rPr>
        <w:t xml:space="preserve">] “uncontrollable” climatic events (s. 27). Under that program, indemnities are calculated on an individual basis (s. 38), unlike the compensation provided for in the ASRA Program, which is instead calculated on the basis of a hypothetical benchmark farm. The crop insurance program requires the existence of an individual loss of which the insured must give notice in accordance with arts. 2470 to 2474 </w:t>
      </w:r>
      <w:r w:rsidRPr="00001596">
        <w:rPr>
          <w:rFonts w:cs="Times New Roman"/>
          <w:i/>
        </w:rPr>
        <w:t>C.C.Q.</w:t>
      </w:r>
      <w:r w:rsidR="005B525E">
        <w:rPr>
          <w:rFonts w:cs="Times New Roman"/>
        </w:rPr>
        <w:t xml:space="preserve"> (ss. 35 to </w:t>
      </w:r>
      <w:r w:rsidRPr="00001596">
        <w:rPr>
          <w:rFonts w:cs="Times New Roman"/>
        </w:rPr>
        <w:t xml:space="preserve">37). Sections 10 and 15 of the </w:t>
      </w:r>
      <w:r w:rsidRPr="00001596">
        <w:rPr>
          <w:rFonts w:cs="Times New Roman"/>
          <w:i/>
        </w:rPr>
        <w:t>Programme d’assurance récolte</w:t>
      </w:r>
      <w:r w:rsidRPr="00001596">
        <w:rPr>
          <w:rFonts w:cs="Times New Roman"/>
        </w:rPr>
        <w:t xml:space="preserve"> refer to the initial representations of the insured, while s. 42 refers to the concept of a material change in the risk caused by the insured. Whereas the </w:t>
      </w:r>
      <w:r w:rsidRPr="00001596">
        <w:rPr>
          <w:rFonts w:cs="Times New Roman"/>
          <w:i/>
        </w:rPr>
        <w:t>Programme d’assurance récolte</w:t>
      </w:r>
      <w:r w:rsidRPr="00001596">
        <w:rPr>
          <w:rFonts w:cs="Times New Roman"/>
        </w:rPr>
        <w:t xml:space="preserve"> is compatible with arts. 2408 to 2413 and 2466 to 2468 </w:t>
      </w:r>
      <w:r w:rsidRPr="00001596">
        <w:rPr>
          <w:rFonts w:cs="Times New Roman"/>
          <w:i/>
        </w:rPr>
        <w:t>C.C.Q.</w:t>
      </w:r>
      <w:r w:rsidRPr="00001596">
        <w:rPr>
          <w:rFonts w:cs="Times New Roman"/>
        </w:rPr>
        <w:t xml:space="preserve">, the ASRA Program is not. </w:t>
      </w:r>
    </w:p>
    <w:p w:rsidR="00466FCD" w:rsidRPr="00001596" w:rsidRDefault="00466FCD" w:rsidP="00000F01">
      <w:pPr>
        <w:pStyle w:val="ParaNoNdepar-AltN"/>
        <w:widowControl w:val="0"/>
        <w:rPr>
          <w:rFonts w:cs="Times New Roman"/>
        </w:rPr>
      </w:pPr>
      <w:r w:rsidRPr="00001596">
        <w:rPr>
          <w:rFonts w:cs="Times New Roman"/>
        </w:rPr>
        <w:lastRenderedPageBreak/>
        <w:t>It is true that the terminology of contracts of insurance is sometimes used in the ASRA Program. For example, s. 78 refers to an [</w:t>
      </w:r>
      <w:r w:rsidRPr="00001596">
        <w:rPr>
          <w:rFonts w:cs="Times New Roman"/>
          <w:smallCaps/>
        </w:rPr>
        <w:t>translation</w:t>
      </w:r>
      <w:r w:rsidRPr="00001596">
        <w:rPr>
          <w:rFonts w:cs="Times New Roman"/>
        </w:rPr>
        <w:t>] “insurable product”, para. 2 of s. 21 to an “insurance year” and s. 22 to an “insurance certificate”. In our view, the use of that terminology is not conclusive, however. When properly analyzed, the ASRA Program cannot be characterized as a contract of insurance. It is therefore not subject to the rules specific to such contracts.</w:t>
      </w:r>
    </w:p>
    <w:p w:rsidR="00466FCD" w:rsidRPr="00001596" w:rsidRDefault="00466FCD" w:rsidP="00000F01">
      <w:pPr>
        <w:pStyle w:val="ParaNoNdepar-AltN"/>
        <w:widowControl w:val="0"/>
        <w:rPr>
          <w:rFonts w:cs="Times New Roman"/>
        </w:rPr>
      </w:pPr>
      <w:r w:rsidRPr="00001596">
        <w:rPr>
          <w:rFonts w:cs="Times New Roman"/>
        </w:rPr>
        <w:t xml:space="preserve">Since the ASRA Program is not a contract of insurance, it follows that the rule of interpretation based on the reasonable expectations of the insured does not apply. We nonetheless consider it appropriate to clarify the extent to which that rule applies in Quebec law, given that the parties to this appeal and the companion appeal, </w:t>
      </w:r>
      <w:r w:rsidRPr="00001596">
        <w:rPr>
          <w:rFonts w:cs="Times New Roman"/>
          <w:i/>
        </w:rPr>
        <w:t xml:space="preserve">Lafortune v. </w:t>
      </w:r>
      <w:proofErr w:type="spellStart"/>
      <w:r w:rsidRPr="00001596">
        <w:rPr>
          <w:rFonts w:cs="Times New Roman"/>
          <w:i/>
        </w:rPr>
        <w:t>Financière</w:t>
      </w:r>
      <w:proofErr w:type="spellEnd"/>
      <w:r w:rsidRPr="00001596">
        <w:rPr>
          <w:rFonts w:cs="Times New Roman"/>
          <w:i/>
        </w:rPr>
        <w:t xml:space="preserve"> </w:t>
      </w:r>
      <w:proofErr w:type="spellStart"/>
      <w:r w:rsidRPr="00001596">
        <w:rPr>
          <w:rFonts w:cs="Times New Roman"/>
          <w:i/>
        </w:rPr>
        <w:t>agricole</w:t>
      </w:r>
      <w:proofErr w:type="spellEnd"/>
      <w:r w:rsidRPr="00001596">
        <w:rPr>
          <w:rFonts w:cs="Times New Roman"/>
          <w:i/>
        </w:rPr>
        <w:t xml:space="preserve"> du Québec</w:t>
      </w:r>
      <w:r w:rsidRPr="00001596">
        <w:rPr>
          <w:rFonts w:cs="Times New Roman"/>
        </w:rPr>
        <w:t>, 2016 SCC 35,</w:t>
      </w:r>
      <w:r w:rsidRPr="00001596">
        <w:rPr>
          <w:rFonts w:cs="Times New Roman"/>
          <w:i/>
        </w:rPr>
        <w:t xml:space="preserve"> </w:t>
      </w:r>
      <w:r w:rsidR="00744EA8" w:rsidRPr="00744EA8">
        <w:rPr>
          <w:rFonts w:cs="Times New Roman"/>
        </w:rPr>
        <w:t xml:space="preserve">[2016] </w:t>
      </w:r>
      <w:r w:rsidR="00D158EF">
        <w:rPr>
          <w:rFonts w:cs="Times New Roman"/>
        </w:rPr>
        <w:t>1</w:t>
      </w:r>
      <w:r w:rsidR="00744EA8" w:rsidRPr="00744EA8">
        <w:rPr>
          <w:rFonts w:cs="Times New Roman"/>
        </w:rPr>
        <w:t xml:space="preserve"> S.C.R. </w:t>
      </w:r>
      <w:r w:rsidR="00D158EF">
        <w:rPr>
          <w:rFonts w:cs="Times New Roman"/>
        </w:rPr>
        <w:t>1091</w:t>
      </w:r>
      <w:r w:rsidR="00744EA8" w:rsidRPr="00744EA8">
        <w:rPr>
          <w:rFonts w:cs="Times New Roman"/>
        </w:rPr>
        <w:t>,</w:t>
      </w:r>
      <w:r w:rsidR="00744EA8">
        <w:rPr>
          <w:rFonts w:cs="Times New Roman"/>
          <w:i/>
        </w:rPr>
        <w:t xml:space="preserve"> </w:t>
      </w:r>
      <w:r w:rsidRPr="00001596">
        <w:rPr>
          <w:rFonts w:cs="Times New Roman"/>
        </w:rPr>
        <w:t>present different views and refer to a debate about the rule among the commentators and the courts. In both appeals, ASRA Program participants argue that the reasonable expectations rule applies in its [</w:t>
      </w:r>
      <w:r w:rsidRPr="00001596">
        <w:rPr>
          <w:rFonts w:cs="Times New Roman"/>
          <w:smallCaps/>
        </w:rPr>
        <w:t>translation</w:t>
      </w:r>
      <w:r w:rsidRPr="00001596">
        <w:rPr>
          <w:rFonts w:cs="Times New Roman"/>
        </w:rPr>
        <w:t>] “maximum dimension” and that La Financière’s powers are limited by their expectations regardless of whether the contract is ambiguous. La Financière counters that the rule must apply only in its “minimum dimension”, that is, only where there is ambiguity.</w:t>
      </w:r>
    </w:p>
    <w:p w:rsidR="00466FCD" w:rsidRPr="00001596" w:rsidRDefault="00466FCD" w:rsidP="00000F01">
      <w:pPr>
        <w:pStyle w:val="ParaNoNdepar-AltN"/>
        <w:widowControl w:val="0"/>
        <w:rPr>
          <w:rFonts w:cs="Times New Roman"/>
        </w:rPr>
      </w:pPr>
      <w:r w:rsidRPr="00001596">
        <w:rPr>
          <w:rFonts w:cs="Times New Roman"/>
        </w:rPr>
        <w:t xml:space="preserve">The scope of this rule, which originates in U.S. insurance law, was explained by Cory J., dissenting, but not on this point, in </w:t>
      </w:r>
      <w:r w:rsidRPr="00001596">
        <w:rPr>
          <w:rFonts w:cs="Times New Roman"/>
          <w:i/>
        </w:rPr>
        <w:t>Brissette Estate v. Westbury Life Insurance Co.</w:t>
      </w:r>
      <w:r w:rsidRPr="00001596">
        <w:rPr>
          <w:rFonts w:cs="Times New Roman"/>
        </w:rPr>
        <w:t xml:space="preserve">, [1992] 3 S.C.R. 87, at p. 102. He mentioned that this rule of interpretation was applied in the United States in three ways: (1) to resolve any </w:t>
      </w:r>
      <w:r w:rsidRPr="00001596">
        <w:rPr>
          <w:rFonts w:cs="Times New Roman"/>
        </w:rPr>
        <w:lastRenderedPageBreak/>
        <w:t xml:space="preserve">ambiguity in the terms of the contract in favour of the insured in order to satisfy his or her reasonable expectation; (2) to give the insured a right to all the coverage he or she was entitled to expect, unless there was an “unequivocal plain and clear manifestation of the company’s intent to exclude coverage”; or (3) to give the insured such coverage even in cases in which “painstaking study of the policy provisions would have negated those expectations” (p. 103). The first and third of these scenarios correspond, respectively, to what some authors have called the “minimum” and “maximum” dimensions of the doctrine: D. Lluelles and B. Moore, </w:t>
      </w:r>
      <w:r w:rsidRPr="00001596">
        <w:rPr>
          <w:rFonts w:cs="Times New Roman"/>
          <w:i/>
        </w:rPr>
        <w:t>Droit des obligations</w:t>
      </w:r>
      <w:r w:rsidRPr="00001596">
        <w:rPr>
          <w:rFonts w:cs="Times New Roman"/>
        </w:rPr>
        <w:t xml:space="preserve"> (2nd ed. 2012), at pp. 922</w:t>
      </w:r>
      <w:r w:rsidRPr="00001596">
        <w:rPr>
          <w:rFonts w:cs="Times New Roman"/>
        </w:rPr>
        <w:noBreakHyphen/>
        <w:t>23; M.</w:t>
      </w:r>
      <w:r w:rsidRPr="00001596">
        <w:rPr>
          <w:rFonts w:cs="Times New Roman"/>
        </w:rPr>
        <w:noBreakHyphen/>
        <w:t>C. Thouin, “La théorie de l’attente raisonnable de l’assuré” (1997), 64 </w:t>
      </w:r>
      <w:r w:rsidRPr="00001596">
        <w:rPr>
          <w:rFonts w:cs="Times New Roman"/>
          <w:i/>
        </w:rPr>
        <w:t>Assurances</w:t>
      </w:r>
      <w:r w:rsidRPr="00001596">
        <w:rPr>
          <w:rFonts w:cs="Times New Roman"/>
        </w:rPr>
        <w:t xml:space="preserve"> 545, at p. 551. However, none of them allows the meaning of a clear provision to be disregarded in favour of the expectations of the insured, except, in the third case, insofar as the interpretation of the provision requires “painstaking study” to determine its true meaning. </w:t>
      </w:r>
    </w:p>
    <w:p w:rsidR="00466FCD" w:rsidRPr="007A5253" w:rsidRDefault="00466FCD" w:rsidP="00000F01">
      <w:pPr>
        <w:pStyle w:val="ParaNoNdepar-AltN"/>
        <w:widowControl w:val="0"/>
        <w:rPr>
          <w:rFonts w:cs="Times New Roman"/>
          <w:lang w:val="fr-CA"/>
        </w:rPr>
      </w:pPr>
      <w:r w:rsidRPr="00001596">
        <w:rPr>
          <w:rFonts w:cs="Times New Roman"/>
        </w:rPr>
        <w:t xml:space="preserve">The Court has accepted the first formulation (the minimum dimension) of the reasonable expectations rule in a number of cases, holding that, in Canada, the rule applies only in the event of ambiguity: </w:t>
      </w:r>
      <w:r w:rsidRPr="00001596">
        <w:rPr>
          <w:rFonts w:cs="Times New Roman"/>
          <w:i/>
        </w:rPr>
        <w:t>Jesuit Fathers of Upper Canada v. Guardian Insurance Co. of Canada</w:t>
      </w:r>
      <w:r w:rsidRPr="00001596">
        <w:rPr>
          <w:rFonts w:cs="Times New Roman"/>
        </w:rPr>
        <w:t xml:space="preserve">, 2006 SCC 21, [2006] 1 S.C.R. 744, at paras. 27 and 29; </w:t>
      </w:r>
      <w:r w:rsidRPr="00001596">
        <w:rPr>
          <w:rFonts w:cs="Times New Roman"/>
          <w:i/>
        </w:rPr>
        <w:t>Reid Crowther &amp; Partners Ltd. v</w:t>
      </w:r>
      <w:r w:rsidRPr="00001596">
        <w:rPr>
          <w:rFonts w:cs="Times New Roman"/>
          <w:i/>
          <w:iCs/>
        </w:rPr>
        <w:t>.</w:t>
      </w:r>
      <w:r w:rsidRPr="00001596">
        <w:rPr>
          <w:rFonts w:cs="Times New Roman"/>
          <w:i/>
        </w:rPr>
        <w:t xml:space="preserve"> Simcoe &amp; Erie General Insurance Co.</w:t>
      </w:r>
      <w:r w:rsidRPr="00001596">
        <w:rPr>
          <w:rFonts w:cs="Times New Roman"/>
        </w:rPr>
        <w:t xml:space="preserve">, [1993] 1 S.C.R. 252, at p. 269; </w:t>
      </w:r>
      <w:r w:rsidRPr="00001596">
        <w:rPr>
          <w:rFonts w:cs="Times New Roman"/>
          <w:i/>
        </w:rPr>
        <w:t>National Bank of Greece (Canada) v. Katsikonouris</w:t>
      </w:r>
      <w:r w:rsidRPr="00001596">
        <w:rPr>
          <w:rFonts w:cs="Times New Roman"/>
        </w:rPr>
        <w:t xml:space="preserve">, [1990] 2 S.C.R. 1029, at p. 1043. The Quebec Court of Appeal has consistently reached the same conclusion: </w:t>
      </w:r>
      <w:r w:rsidRPr="00001596">
        <w:rPr>
          <w:rFonts w:cs="Times New Roman"/>
          <w:i/>
        </w:rPr>
        <w:t>Excellence (L’), compagnie d’assurance</w:t>
      </w:r>
      <w:r w:rsidRPr="00001596">
        <w:rPr>
          <w:rFonts w:cs="Times New Roman"/>
          <w:i/>
        </w:rPr>
        <w:noBreakHyphen/>
        <w:t>vie v. Desjardins</w:t>
      </w:r>
      <w:r w:rsidRPr="00001596">
        <w:rPr>
          <w:rFonts w:cs="Times New Roman"/>
        </w:rPr>
        <w:t xml:space="preserve">, 2005 QCCA 1035, [2005] R.R.A. 1085, at para. 11; </w:t>
      </w:r>
      <w:r w:rsidRPr="00001596">
        <w:rPr>
          <w:rFonts w:cs="Times New Roman"/>
          <w:i/>
        </w:rPr>
        <w:t>Affiliated FM Insurance Co</w:t>
      </w:r>
      <w:r w:rsidR="00137F7E">
        <w:rPr>
          <w:rFonts w:cs="Times New Roman"/>
          <w:i/>
        </w:rPr>
        <w:t>.</w:t>
      </w:r>
      <w:r w:rsidRPr="00001596">
        <w:rPr>
          <w:rFonts w:cs="Times New Roman"/>
          <w:i/>
        </w:rPr>
        <w:t xml:space="preserve"> v. </w:t>
      </w:r>
      <w:r w:rsidRPr="00001596">
        <w:rPr>
          <w:rFonts w:cs="Times New Roman"/>
          <w:i/>
        </w:rPr>
        <w:lastRenderedPageBreak/>
        <w:t>Hafner Inc.</w:t>
      </w:r>
      <w:r w:rsidRPr="00001596">
        <w:rPr>
          <w:rFonts w:cs="Times New Roman"/>
        </w:rPr>
        <w:t>, 2006 QCCA 465, at para. </w:t>
      </w:r>
      <w:r w:rsidRPr="007A5253">
        <w:rPr>
          <w:rFonts w:cs="Times New Roman"/>
          <w:lang w:val="fr-CA"/>
        </w:rPr>
        <w:t>47</w:t>
      </w:r>
      <w:r w:rsidR="0009548E" w:rsidRPr="007A5253">
        <w:rPr>
          <w:rFonts w:cs="Times New Roman"/>
          <w:lang w:val="fr-CA"/>
        </w:rPr>
        <w:t xml:space="preserve"> (CanLII)</w:t>
      </w:r>
      <w:r w:rsidRPr="007A5253">
        <w:rPr>
          <w:rFonts w:cs="Times New Roman"/>
          <w:lang w:val="fr-CA"/>
        </w:rPr>
        <w:t xml:space="preserve">; </w:t>
      </w:r>
      <w:r w:rsidR="007A5253" w:rsidRPr="007A5253">
        <w:rPr>
          <w:rFonts w:cs="Times New Roman"/>
          <w:i/>
          <w:lang w:val="fr-CA"/>
        </w:rPr>
        <w:t>Souscripteurs du</w:t>
      </w:r>
      <w:r w:rsidR="007A5253" w:rsidRPr="007A5253">
        <w:rPr>
          <w:rFonts w:cs="Times New Roman"/>
          <w:lang w:val="fr-CA"/>
        </w:rPr>
        <w:t xml:space="preserve"> </w:t>
      </w:r>
      <w:r w:rsidRPr="007A5253">
        <w:rPr>
          <w:rFonts w:cs="Times New Roman"/>
          <w:i/>
          <w:lang w:val="fr-CA"/>
        </w:rPr>
        <w:t>Lloyd’s v. Alimentation Denis &amp; Mario Guillemette inc.</w:t>
      </w:r>
      <w:r w:rsidRPr="007A5253">
        <w:rPr>
          <w:rFonts w:cs="Times New Roman"/>
          <w:lang w:val="fr-CA"/>
        </w:rPr>
        <w:t>, 2012 QCCA 1376, at para. 38 (CanLII).</w:t>
      </w:r>
    </w:p>
    <w:p w:rsidR="00466FCD" w:rsidRPr="00001596" w:rsidRDefault="00466FCD" w:rsidP="00000F01">
      <w:pPr>
        <w:pStyle w:val="ParaNoNdepar-AltN"/>
        <w:widowControl w:val="0"/>
        <w:rPr>
          <w:rFonts w:cs="Times New Roman"/>
        </w:rPr>
      </w:pPr>
      <w:r w:rsidRPr="00001596">
        <w:rPr>
          <w:rFonts w:cs="Times New Roman"/>
        </w:rPr>
        <w:t xml:space="preserve">We are of the view that in Quebec law, the reasonable expectations rule must apply solely in its minimum dimension, that is, only where there is ambiguity. The </w:t>
      </w:r>
      <w:r w:rsidRPr="00001596">
        <w:rPr>
          <w:rFonts w:cs="Times New Roman"/>
          <w:i/>
        </w:rPr>
        <w:t>Civil Code of Québec</w:t>
      </w:r>
      <w:r w:rsidRPr="00001596">
        <w:rPr>
          <w:rFonts w:cs="Times New Roman"/>
        </w:rPr>
        <w:t xml:space="preserve"> contains a series of rules for resolving difficulties in the interpretation of contracts. The reasonable expectations rule can certainly be added to those rules of interpretation for contracts of insurance, but only for the interpretation of an ambiguous clause and for the purpose of identifying the common intention of the parties (art. 1425 </w:t>
      </w:r>
      <w:r w:rsidRPr="00001596">
        <w:rPr>
          <w:rFonts w:cs="Times New Roman"/>
          <w:i/>
        </w:rPr>
        <w:t>C.C.Q.</w:t>
      </w:r>
      <w:r w:rsidRPr="00001596">
        <w:rPr>
          <w:rFonts w:cs="Times New Roman"/>
        </w:rPr>
        <w:t xml:space="preserve">).  </w:t>
      </w:r>
    </w:p>
    <w:p w:rsidR="00466FCD" w:rsidRPr="00001596" w:rsidRDefault="00466FCD" w:rsidP="00000F01">
      <w:pPr>
        <w:pStyle w:val="ParaNoNdepar-AltN"/>
        <w:widowControl w:val="0"/>
        <w:rPr>
          <w:rFonts w:cs="Times New Roman"/>
        </w:rPr>
      </w:pPr>
      <w:r w:rsidRPr="00001596">
        <w:rPr>
          <w:rFonts w:cs="Times New Roman"/>
        </w:rPr>
        <w:t xml:space="preserve">This being said, in the case at bar, because the ASRA Program is an innominate administrative contract that does not have the characteristics of a contract of insurance, the rules of contractual interpretation set out in arts. 1425 to 1432 </w:t>
      </w:r>
      <w:r w:rsidRPr="00001596">
        <w:rPr>
          <w:rFonts w:cs="Times New Roman"/>
          <w:i/>
        </w:rPr>
        <w:t>C.C.Q.</w:t>
      </w:r>
      <w:r w:rsidRPr="00001596">
        <w:rPr>
          <w:rFonts w:cs="Times New Roman"/>
        </w:rPr>
        <w:t xml:space="preserve"> must be applied to determine the outcome of the appeal. We must refer to those rules to resolve the central issue, that is, whether it was open to La Financière to collectively link the amounts received under the two federal assistance programs in respect of which the appellants brought their action.</w:t>
      </w:r>
    </w:p>
    <w:p w:rsidR="00466FCD" w:rsidRPr="00001596" w:rsidRDefault="00466FCD" w:rsidP="00000F01">
      <w:pPr>
        <w:pStyle w:val="Title2LevelTitre2Niveau"/>
        <w:widowControl w:val="0"/>
        <w:ind w:left="578" w:hanging="578"/>
        <w:rPr>
          <w:rFonts w:cs="Times New Roman"/>
        </w:rPr>
      </w:pPr>
      <w:r w:rsidRPr="00001596">
        <w:rPr>
          <w:rFonts w:cs="Times New Roman"/>
        </w:rPr>
        <w:t>Was it Open to La Financière to Collectively Link the Amounts Received From the Federal Government Under the COPB and Kickstart Programs?</w:t>
      </w:r>
    </w:p>
    <w:p w:rsidR="00466FCD" w:rsidRPr="00001596" w:rsidRDefault="00466FCD" w:rsidP="00000F01">
      <w:pPr>
        <w:pStyle w:val="Title3LevelTitre3Niveau"/>
        <w:widowControl w:val="0"/>
        <w:rPr>
          <w:rFonts w:cs="Times New Roman"/>
        </w:rPr>
      </w:pPr>
      <w:r w:rsidRPr="00001596">
        <w:rPr>
          <w:rFonts w:cs="Times New Roman"/>
        </w:rPr>
        <w:t>Interpretation of Section 88(3) of the ASRA Program</w:t>
      </w:r>
    </w:p>
    <w:p w:rsidR="00466FCD" w:rsidRPr="00001596" w:rsidRDefault="00466FCD" w:rsidP="00000F01">
      <w:pPr>
        <w:pStyle w:val="ParaNoNdepar-AltN"/>
        <w:widowControl w:val="0"/>
        <w:rPr>
          <w:rFonts w:cs="Times New Roman"/>
        </w:rPr>
      </w:pPr>
      <w:r w:rsidRPr="00001596">
        <w:rPr>
          <w:rFonts w:cs="Times New Roman"/>
        </w:rPr>
        <w:lastRenderedPageBreak/>
        <w:t>Section 88(3) of the ASRA Program does not specify how compensation received under government assistance programs is to be linked. It states only that, for this purpose, La Financière must consider [</w:t>
      </w:r>
      <w:r w:rsidRPr="00001596">
        <w:rPr>
          <w:rFonts w:cs="Times New Roman"/>
          <w:smallCaps/>
        </w:rPr>
        <w:t>translation</w:t>
      </w:r>
      <w:r w:rsidRPr="00001596">
        <w:rPr>
          <w:rFonts w:cs="Times New Roman"/>
        </w:rPr>
        <w:t>] “[a]ny amounts to which a participant is entitled” under such programs.</w:t>
      </w:r>
    </w:p>
    <w:p w:rsidR="00466FCD" w:rsidRPr="00001596" w:rsidRDefault="00466FCD" w:rsidP="00000F01">
      <w:pPr>
        <w:pStyle w:val="ParaNoNdepar-AltN"/>
        <w:widowControl w:val="0"/>
        <w:rPr>
          <w:rFonts w:cs="Times New Roman"/>
        </w:rPr>
      </w:pPr>
      <w:r w:rsidRPr="00001596">
        <w:rPr>
          <w:rFonts w:cs="Times New Roman"/>
        </w:rPr>
        <w:t>The appellants argue that the words “a participant” [</w:t>
      </w:r>
      <w:r w:rsidRPr="00001596">
        <w:rPr>
          <w:rFonts w:cs="Times New Roman"/>
          <w:smallCaps/>
        </w:rPr>
        <w:t>translation</w:t>
      </w:r>
      <w:r w:rsidRPr="00001596">
        <w:rPr>
          <w:rFonts w:cs="Times New Roman"/>
        </w:rPr>
        <w:t>] “refe[r] to each participant considered individually and not . . . to a hypothetical participant on the benchmark farm”</w:t>
      </w:r>
      <w:r w:rsidRPr="00001596">
        <w:rPr>
          <w:rFonts w:cs="Times New Roman"/>
          <w:szCs w:val="24"/>
        </w:rPr>
        <w:t xml:space="preserve"> (A.F., at para. 63). They add that s. 88(3) must be read in conjunction with s. 2 of the ASRA Program, in which “participant”</w:t>
      </w:r>
      <w:r w:rsidR="001A5EE6">
        <w:rPr>
          <w:rFonts w:cs="Times New Roman"/>
          <w:szCs w:val="24"/>
        </w:rPr>
        <w:t xml:space="preserve"> (</w:t>
      </w:r>
      <w:proofErr w:type="spellStart"/>
      <w:r w:rsidR="001A5EE6">
        <w:rPr>
          <w:rFonts w:cs="Times New Roman"/>
          <w:i/>
          <w:szCs w:val="24"/>
        </w:rPr>
        <w:t>adhé</w:t>
      </w:r>
      <w:r w:rsidR="001A5EE6" w:rsidRPr="001A5EE6">
        <w:rPr>
          <w:rFonts w:cs="Times New Roman"/>
          <w:i/>
          <w:szCs w:val="24"/>
        </w:rPr>
        <w:t>rent</w:t>
      </w:r>
      <w:proofErr w:type="spellEnd"/>
      <w:r w:rsidR="001A5EE6">
        <w:rPr>
          <w:rFonts w:cs="Times New Roman"/>
          <w:szCs w:val="24"/>
        </w:rPr>
        <w:t>)</w:t>
      </w:r>
      <w:r w:rsidRPr="00001596">
        <w:rPr>
          <w:rFonts w:cs="Times New Roman"/>
          <w:szCs w:val="24"/>
        </w:rPr>
        <w:t xml:space="preserve"> is defined as </w:t>
      </w:r>
      <w:r w:rsidRPr="00001596">
        <w:rPr>
          <w:rFonts w:cs="Times New Roman"/>
        </w:rPr>
        <w:t>[</w:t>
      </w:r>
      <w:r w:rsidRPr="00001596">
        <w:rPr>
          <w:rFonts w:cs="Times New Roman"/>
          <w:smallCaps/>
        </w:rPr>
        <w:t>translation</w:t>
      </w:r>
      <w:r w:rsidRPr="00001596">
        <w:rPr>
          <w:rFonts w:cs="Times New Roman"/>
        </w:rPr>
        <w:t>] “a</w:t>
      </w:r>
      <w:r w:rsidRPr="00001596">
        <w:rPr>
          <w:rFonts w:cs="Times New Roman"/>
          <w:szCs w:val="24"/>
        </w:rPr>
        <w:t xml:space="preserve"> farming business . . . that participates in the Program”. In the appellants’ opinion, s. 88(3) therefore requires individual linkage. Our colleague agrees with them. In her view, the wording of s. 88(3) means that La Financière cannot take account of amounts to which the participant is not entitled.</w:t>
      </w:r>
    </w:p>
    <w:p w:rsidR="00466FCD" w:rsidRPr="00001596" w:rsidRDefault="00466FCD" w:rsidP="00000F01">
      <w:pPr>
        <w:pStyle w:val="ParaNoNdepar-AltN"/>
        <w:widowControl w:val="0"/>
        <w:rPr>
          <w:rFonts w:cs="Times New Roman"/>
        </w:rPr>
      </w:pPr>
      <w:r w:rsidRPr="00001596">
        <w:rPr>
          <w:rFonts w:cs="Times New Roman"/>
          <w:szCs w:val="24"/>
        </w:rPr>
        <w:t>La Financière replies that s. 88(3) must be interpreted in light of the program as a whole, which is based on the average benchmark farm, and that collective linkage should therefore be the rule.</w:t>
      </w:r>
    </w:p>
    <w:p w:rsidR="00466FCD" w:rsidRPr="00001596" w:rsidRDefault="00466FCD" w:rsidP="00000F01">
      <w:pPr>
        <w:pStyle w:val="ParaNoNdepar-AltN"/>
        <w:widowControl w:val="0"/>
        <w:rPr>
          <w:rFonts w:cs="Times New Roman"/>
        </w:rPr>
      </w:pPr>
      <w:r w:rsidRPr="00001596">
        <w:rPr>
          <w:rFonts w:cs="Times New Roman"/>
        </w:rPr>
        <w:t>To begin, we cannot agree with the appellants’ main argument that the words [</w:t>
      </w:r>
      <w:r w:rsidRPr="00001596">
        <w:rPr>
          <w:rFonts w:cs="Times New Roman"/>
          <w:smallCaps/>
        </w:rPr>
        <w:t>translation</w:t>
      </w:r>
      <w:r w:rsidRPr="00001596">
        <w:rPr>
          <w:rFonts w:cs="Times New Roman"/>
        </w:rPr>
        <w:t xml:space="preserve">] “amounts to which a participant is entitled” mean that La Financière must always link the amounts individually. It is common ground that La Financière has used both collective and individual linkage in the past. In reality, as will be seen below, individual linkage has been the exception rather than the rule. Each </w:t>
      </w:r>
      <w:r w:rsidRPr="00001596">
        <w:rPr>
          <w:rFonts w:cs="Times New Roman"/>
        </w:rPr>
        <w:lastRenderedPageBreak/>
        <w:t xml:space="preserve">time La Financière has linked amounts collectively, it has inevitably penalized participants for amounts to which they were not entitled, as it has in such cases attributed to all participants amounts that were calculated on the basis of what the benchmark farm would have received. An interpretation requiring that amounts be linked individually in every case would conflict with that past practice and would as a result call into question most of the decisions made by La Financière over the past 15 years. It would also put s. 88(3) in conflict with the whole of the ASRA Program, which is based on the collective concept of a benchmark farm. In our opinion, s. 88(3) cannot be interpreted so literally. </w:t>
      </w:r>
    </w:p>
    <w:p w:rsidR="00466FCD" w:rsidRPr="00001596" w:rsidRDefault="00466FCD" w:rsidP="00000F01">
      <w:pPr>
        <w:pStyle w:val="ParaNoNdepar-AltN"/>
        <w:widowControl w:val="0"/>
        <w:rPr>
          <w:rFonts w:cs="Times New Roman"/>
        </w:rPr>
      </w:pPr>
      <w:r w:rsidRPr="00001596">
        <w:rPr>
          <w:rFonts w:cs="Times New Roman"/>
        </w:rPr>
        <w:t>Nor, from this point of view, is the concept of double compensation to which our colleague refers (at paras. 115</w:t>
      </w:r>
      <w:r w:rsidRPr="00001596">
        <w:rPr>
          <w:rFonts w:cs="Times New Roman"/>
        </w:rPr>
        <w:noBreakHyphen/>
        <w:t>21) a conclusive interpretive guide for the resolution of this appeal. If the purpose of s. 88(3) of the ASRA Program were to avoid double compensation solely from the perspective of each participant, amounts would have to be linked individually in every case, as the linked amounts would always have to be identical to what each participant received. The evidence shows that this is quite simply not the case. The fact that La Financière has most often linked amounts collectively shows that its purpose has not been to avoid double compensation solely from the perspective of each participant considered individually. The purpose of s. 88(3) is also to account for other income that could have an impact on the financial needs of the average benchmark farm. That is one purpose that La Financière has pursued, as it was free to do.</w:t>
      </w:r>
    </w:p>
    <w:p w:rsidR="00466FCD" w:rsidRPr="00001596" w:rsidRDefault="00466FCD" w:rsidP="00000F01">
      <w:pPr>
        <w:pStyle w:val="ParaNoNdepar-AltN"/>
        <w:widowControl w:val="0"/>
        <w:rPr>
          <w:rFonts w:cs="Times New Roman"/>
        </w:rPr>
      </w:pPr>
      <w:r w:rsidRPr="00001596">
        <w:rPr>
          <w:rFonts w:cs="Times New Roman"/>
        </w:rPr>
        <w:lastRenderedPageBreak/>
        <w:t xml:space="preserve">In our opinion, to determine what meaning should be attributed to this provision of the ASRA Program, it is instead necessary to consider the rules of interpretation set out in the </w:t>
      </w:r>
      <w:r w:rsidRPr="00001596">
        <w:rPr>
          <w:rFonts w:cs="Times New Roman"/>
          <w:i/>
        </w:rPr>
        <w:t>Civil Code of Québec</w:t>
      </w:r>
      <w:r w:rsidRPr="00001596">
        <w:rPr>
          <w:rFonts w:cs="Times New Roman"/>
        </w:rPr>
        <w:t>. The application of those rules leads to the conclusion that the contract does not require that amounts be linked individually in cases such as this one but, on the contrary, gives La Financière the discretion to decide what linkage method to employ.</w:t>
      </w:r>
    </w:p>
    <w:p w:rsidR="00466FCD" w:rsidRPr="00001596" w:rsidRDefault="00466FCD" w:rsidP="00000F01">
      <w:pPr>
        <w:pStyle w:val="ParaNoNdepar-AltN"/>
        <w:widowControl w:val="0"/>
        <w:rPr>
          <w:rFonts w:cs="Times New Roman"/>
        </w:rPr>
      </w:pPr>
      <w:r w:rsidRPr="00001596">
        <w:rPr>
          <w:rFonts w:cs="Times New Roman"/>
        </w:rPr>
        <w:t xml:space="preserve">Two rules of interpretation are particularly relevant to the identification of the common intention of the parties to the ASRA Program. One of them, set out in art. 1427 </w:t>
      </w:r>
      <w:r w:rsidRPr="00001596">
        <w:rPr>
          <w:rFonts w:cs="Times New Roman"/>
          <w:i/>
        </w:rPr>
        <w:t>C.C.Q.</w:t>
      </w:r>
      <w:r w:rsidRPr="00001596">
        <w:rPr>
          <w:rFonts w:cs="Times New Roman"/>
        </w:rPr>
        <w:t xml:space="preserve">, is that each clause of a contract must be interpreted in light of the others so that each is given the meaning that flows from the contract as a whole. To interpret s. 88(3) literally would be to disregard this first rule. The other rule, in art. 1426 </w:t>
      </w:r>
      <w:r w:rsidRPr="00001596">
        <w:rPr>
          <w:rFonts w:cs="Times New Roman"/>
          <w:i/>
        </w:rPr>
        <w:t>C.C.Q.</w:t>
      </w:r>
      <w:r w:rsidRPr="00001596">
        <w:rPr>
          <w:rFonts w:cs="Times New Roman"/>
        </w:rPr>
        <w:t>, is that, when a court interprets a contract, the interpretation which has already been given to it by the parties or which it may have received, and usage in such matters, are all to be taken into account. Favouring individual linkage would be contrary to this second rule.</w:t>
      </w:r>
    </w:p>
    <w:p w:rsidR="00466FCD" w:rsidRPr="00001596" w:rsidRDefault="00466FCD" w:rsidP="00000F01">
      <w:pPr>
        <w:pStyle w:val="ParaNoNdepar-AltN"/>
        <w:widowControl w:val="0"/>
        <w:rPr>
          <w:rFonts w:cs="Times New Roman"/>
        </w:rPr>
      </w:pPr>
      <w:r w:rsidRPr="00001596">
        <w:rPr>
          <w:rFonts w:cs="Times New Roman"/>
        </w:rPr>
        <w:t>Although a reading of s. 88(3) of the ASRA Program in the context of the program as a whole does not eliminate the possibility of linking amounts individually, it does lead to the conclusion that collective linkage must be preferred, as Savard J.A. rightly observed (para. 83). Section 88(3) is in Division XI, entitled [</w:t>
      </w:r>
      <w:r w:rsidRPr="00001596">
        <w:rPr>
          <w:rFonts w:cs="Times New Roman"/>
          <w:smallCaps/>
        </w:rPr>
        <w:t>translation</w:t>
      </w:r>
      <w:r w:rsidRPr="00001596">
        <w:rPr>
          <w:rFonts w:cs="Times New Roman"/>
        </w:rPr>
        <w:t xml:space="preserve">] “Farm Models”, which is a collective concept. Moreover, ss. 86 and 92 of the ASRA Program clearly state that the net annual income used to calculate the compensation, </w:t>
      </w:r>
      <w:r w:rsidRPr="00001596">
        <w:rPr>
          <w:rFonts w:cs="Times New Roman"/>
        </w:rPr>
        <w:lastRenderedPageBreak/>
        <w:t>which includes amounts received from government sources, is that of a “specialized benchmark farm for each of the products or classes of products”.</w:t>
      </w:r>
    </w:p>
    <w:p w:rsidR="00466FCD" w:rsidRPr="00001596" w:rsidRDefault="00466FCD" w:rsidP="00000F01">
      <w:pPr>
        <w:pStyle w:val="ParaNoNdepar-AltN"/>
        <w:widowControl w:val="0"/>
        <w:rPr>
          <w:rFonts w:cs="Times New Roman"/>
        </w:rPr>
      </w:pPr>
      <w:r w:rsidRPr="00001596">
        <w:rPr>
          <w:rFonts w:cs="Times New Roman"/>
        </w:rPr>
        <w:t>The general structure of the program and the contract as a whole thus support the conclusion that collective linkage is normally required. However, given that La Financière has sometimes linked amounts individually in the past, it will be helpful to consider that past practice in order to determine its scope and any influence it has had in terms of usage. This analysis reveals the limits placed on individual linkage by La Financière.</w:t>
      </w:r>
    </w:p>
    <w:p w:rsidR="00466FCD" w:rsidRPr="00001596" w:rsidRDefault="00466FCD" w:rsidP="00000F01">
      <w:pPr>
        <w:pStyle w:val="ParaNoNdepar-AltN"/>
        <w:widowControl w:val="0"/>
        <w:rPr>
          <w:rFonts w:cs="Times New Roman"/>
        </w:rPr>
      </w:pPr>
      <w:r w:rsidRPr="00001596">
        <w:rPr>
          <w:rFonts w:cs="Times New Roman"/>
        </w:rPr>
        <w:t>On this point, the trial judge found that La Financière had in the past linked amounts individually where, as in this case, government assistance had been paid directly to producers. She found that La Financière had linked compensation collectively only where a government agency had paid a single sum to La Financière’s ASRA Program fund (paras. 133</w:t>
      </w:r>
      <w:r w:rsidRPr="00001596">
        <w:rPr>
          <w:rFonts w:cs="Times New Roman"/>
        </w:rPr>
        <w:noBreakHyphen/>
        <w:t xml:space="preserve">34). While it is true that the trial judge was relying on these facts to justify her application of the rule based on the reasonable expectations of the insured, which we are excluding here, past practice remains relevant to the interpretation of the content of the contract because of art. 1426 </w:t>
      </w:r>
      <w:r w:rsidRPr="00001596">
        <w:rPr>
          <w:rFonts w:cs="Times New Roman"/>
          <w:i/>
        </w:rPr>
        <w:t>C.C.Q.</w:t>
      </w:r>
      <w:r w:rsidRPr="00001596">
        <w:rPr>
          <w:rFonts w:cs="Times New Roman"/>
        </w:rPr>
        <w:t xml:space="preserve"> </w:t>
      </w:r>
    </w:p>
    <w:p w:rsidR="00466FCD" w:rsidRPr="00001596" w:rsidRDefault="00466FCD" w:rsidP="00000F01">
      <w:pPr>
        <w:pStyle w:val="ParaNoNdepar-AltN"/>
        <w:widowControl w:val="0"/>
        <w:rPr>
          <w:rFonts w:cs="Times New Roman"/>
        </w:rPr>
      </w:pPr>
      <w:r w:rsidRPr="00001596">
        <w:rPr>
          <w:rFonts w:cs="Times New Roman"/>
        </w:rPr>
        <w:t xml:space="preserve">With respect, we find that the trial judge made a palpable and overriding error in concluding that in light of past practice, there was a clear correlation between direct payments and individual linkage. The evidence does not establish that amounts paid directly to producers have always been linked individually. Furthermore, the </w:t>
      </w:r>
      <w:r w:rsidRPr="00001596">
        <w:rPr>
          <w:rFonts w:cs="Times New Roman"/>
        </w:rPr>
        <w:lastRenderedPageBreak/>
        <w:t xml:space="preserve">evidence shows that several other considerations have affected the choice of linkage method in the past, the most important being the number of ASRA Program participants that received the amounts to be linked. </w:t>
      </w:r>
    </w:p>
    <w:p w:rsidR="00466FCD" w:rsidRPr="00001596" w:rsidRDefault="00466FCD" w:rsidP="00000F01">
      <w:pPr>
        <w:pStyle w:val="ParaNoNdepar-AltN"/>
        <w:widowControl w:val="0"/>
        <w:rPr>
          <w:rFonts w:cs="Times New Roman"/>
        </w:rPr>
      </w:pPr>
      <w:r w:rsidRPr="00001596">
        <w:rPr>
          <w:rFonts w:cs="Times New Roman"/>
        </w:rPr>
        <w:t>In support of her conclusion that amounts had been linked individually [</w:t>
      </w:r>
      <w:r w:rsidRPr="00001596">
        <w:rPr>
          <w:rFonts w:cs="Times New Roman"/>
          <w:smallCaps/>
        </w:rPr>
        <w:t>translation</w:t>
      </w:r>
      <w:r w:rsidRPr="00001596">
        <w:rPr>
          <w:rFonts w:cs="Times New Roman"/>
        </w:rPr>
        <w:t>] “in the case of direct payments to producers”, the trial judge listed five programs with the acronyms TISP, FIPP, BSE</w:t>
      </w:r>
      <w:r w:rsidRPr="00001596">
        <w:rPr>
          <w:rFonts w:cs="Times New Roman"/>
        </w:rPr>
        <w:noBreakHyphen/>
        <w:t>7, GOPP and CAIS (para. 134). She referred in this regard to a table prepared by La Financière that showed the past programs and the linkage method used for each of them. It can be seen from the table that FIPP and BSE</w:t>
      </w:r>
      <w:r w:rsidRPr="00001596">
        <w:rPr>
          <w:rFonts w:cs="Times New Roman"/>
        </w:rPr>
        <w:noBreakHyphen/>
        <w:t>7 were a single program, which means that there have only been four programs in the past in respect of which amounts were linked individually. The table also indicates that, for two of those four programs (TISP/BSE</w:t>
      </w:r>
      <w:r w:rsidRPr="00001596">
        <w:rPr>
          <w:rFonts w:cs="Times New Roman"/>
        </w:rPr>
        <w:noBreakHyphen/>
        <w:t>4 and FIPP/BSE</w:t>
      </w:r>
      <w:r w:rsidRPr="00001596">
        <w:rPr>
          <w:rFonts w:cs="Times New Roman"/>
        </w:rPr>
        <w:noBreakHyphen/>
        <w:t xml:space="preserve">7), the linkage of amounts was mixed: collective for some products and individual for others. This was confirmed by the testimony of two representatives of La Financière, André Houle and Alain Pouliot. Finally, these two representatives also testified that amounts paid under the CSRA, a provincial program shown in the table prepared by La Financière, which were linked collectively, had been paid in the form of direct payments to producers in accounts opened for individual participants. </w:t>
      </w:r>
    </w:p>
    <w:p w:rsidR="00466FCD" w:rsidRPr="00001596" w:rsidRDefault="00466FCD" w:rsidP="00000F01">
      <w:pPr>
        <w:pStyle w:val="ParaNoNdepar-AltN"/>
        <w:widowControl w:val="0"/>
        <w:rPr>
          <w:rFonts w:cs="Times New Roman"/>
        </w:rPr>
      </w:pPr>
      <w:r w:rsidRPr="00001596">
        <w:rPr>
          <w:rFonts w:cs="Times New Roman"/>
        </w:rPr>
        <w:t xml:space="preserve">This evidence shows that there was no systematic correlation between direct payments to producers and individual linkage. La Financière has already had recourse to collective linkage for several amounts that had been granted directly to producers. It is clear that this has sometimes had the effect of attributing to certain </w:t>
      </w:r>
      <w:r w:rsidRPr="00001596">
        <w:rPr>
          <w:rFonts w:cs="Times New Roman"/>
        </w:rPr>
        <w:lastRenderedPageBreak/>
        <w:t>producers income that they had not received.</w:t>
      </w:r>
    </w:p>
    <w:p w:rsidR="00466FCD" w:rsidRPr="00001596" w:rsidRDefault="00466FCD" w:rsidP="00000F01">
      <w:pPr>
        <w:pStyle w:val="ParaNoNdepar-AltN"/>
        <w:widowControl w:val="0"/>
        <w:rPr>
          <w:rFonts w:cs="Times New Roman"/>
        </w:rPr>
      </w:pPr>
      <w:r w:rsidRPr="00001596">
        <w:rPr>
          <w:rFonts w:cs="Times New Roman"/>
        </w:rPr>
        <w:t>La Financière adds that there are other considerations that explain decisions made in the past to link amounts individually. The main one is that amounts from programs that benefited a small number of participants were linked individually. The evidence thus shows that it was on this basis that La Financière individually linked amounts received under GOPP and CAIS, the only two programs for which amounts were linked on a strictly individual basis. The evidence also shows that the number of participants that received money was a decisive factor in the choice of individual linkage for certain products in the case of TISP/BSE</w:t>
      </w:r>
      <w:r w:rsidRPr="00001596">
        <w:rPr>
          <w:rFonts w:cs="Times New Roman"/>
        </w:rPr>
        <w:noBreakHyphen/>
        <w:t>4 and FIPP/BSE</w:t>
      </w:r>
      <w:r w:rsidRPr="00001596">
        <w:rPr>
          <w:rFonts w:cs="Times New Roman"/>
        </w:rPr>
        <w:noBreakHyphen/>
        <w:t>7. This was at the very least the case for “Lambs” under FIPP/BSE</w:t>
      </w:r>
      <w:r w:rsidRPr="00001596">
        <w:rPr>
          <w:rFonts w:cs="Times New Roman"/>
        </w:rPr>
        <w:noBreakHyphen/>
        <w:t xml:space="preserve">7. Mr. Houle’s testimony suggests that it was also the case more generally under those two programs. </w:t>
      </w:r>
    </w:p>
    <w:p w:rsidR="00466FCD" w:rsidRPr="00001596" w:rsidRDefault="00466FCD" w:rsidP="00000F01">
      <w:pPr>
        <w:pStyle w:val="ParaNoNdepar-AltN"/>
        <w:widowControl w:val="0"/>
        <w:rPr>
          <w:rFonts w:cs="Times New Roman"/>
        </w:rPr>
      </w:pPr>
      <w:r w:rsidRPr="00001596">
        <w:rPr>
          <w:rFonts w:cs="Times New Roman"/>
        </w:rPr>
        <w:t xml:space="preserve">It thus appears that the decision to link amounts individually was usually based on the number of participants that received the amounts in question. If by chance only a few participants received a particular government benefit, it would have been unfair to link the amounts collectively, as notional income amounts would have been attributed to many participants who had in fact received nothing at all. In such cases, it was a matter not of there being a difference between the notional amounts and amounts that had actually been received, but of income being attributed where none had even been received. </w:t>
      </w:r>
    </w:p>
    <w:p w:rsidR="00466FCD" w:rsidRPr="00001596" w:rsidRDefault="00466FCD" w:rsidP="00000F01">
      <w:pPr>
        <w:pStyle w:val="ParaNoNdepar-AltN"/>
        <w:widowControl w:val="0"/>
        <w:rPr>
          <w:rFonts w:cs="Times New Roman"/>
        </w:rPr>
      </w:pPr>
      <w:r w:rsidRPr="00001596">
        <w:rPr>
          <w:rFonts w:cs="Times New Roman"/>
        </w:rPr>
        <w:t xml:space="preserve">The evidence therefore establishes that there has never been any correlation </w:t>
      </w:r>
      <w:r w:rsidRPr="00001596">
        <w:rPr>
          <w:rFonts w:cs="Times New Roman"/>
        </w:rPr>
        <w:lastRenderedPageBreak/>
        <w:t>in the past between direct payments to producers and individual linkage. It follows that past practice has not been consistent enough to support a conclusion that individual linkage was the appropriate method in this case.</w:t>
      </w:r>
    </w:p>
    <w:p w:rsidR="00466FCD" w:rsidRPr="00001596" w:rsidRDefault="00466FCD" w:rsidP="00000F01">
      <w:pPr>
        <w:pStyle w:val="ParaNoNdepar-AltN"/>
        <w:widowControl w:val="0"/>
        <w:rPr>
          <w:rFonts w:cs="Times New Roman"/>
        </w:rPr>
      </w:pPr>
      <w:r w:rsidRPr="00001596">
        <w:rPr>
          <w:rFonts w:cs="Times New Roman"/>
        </w:rPr>
        <w:t xml:space="preserve">We are therefore of the view that La Financière was under no statutory or contractual obligation to link the amounts individually in this case. Under s. 88(3), La Financière had a discretion in respect of the choice of linkage method. Neither the contract as a whole nor past practice supports a conclusion that one or the other of the two linkage methods had to be employed. In the absence of a provision circumscribing La Financière’s powers, s. 88(3), as it read at the relevant time, must be found to have given La Financière the choice of linking the amounts collectively or individually having regard to what was fair in the circumstances and to La Financière’s mission. In s. 88(3), La Financière has retained the broad discretion it has under ss. 19 and 22 </w:t>
      </w:r>
      <w:r w:rsidRPr="00001596">
        <w:rPr>
          <w:rFonts w:cs="Times New Roman"/>
          <w:i/>
        </w:rPr>
        <w:t>AFAQ</w:t>
      </w:r>
      <w:r w:rsidRPr="00001596">
        <w:rPr>
          <w:rFonts w:cs="Times New Roman"/>
        </w:rPr>
        <w:t>. The amendments made to s. 88(3) in November 2008 are not conclusive in this regard. The clarification made in those amendments, to the effect that La Financière will link amounts collectively unless it deems it appropriate to choose another method, corresponds precisely to the proper interpretation of the previous version of s. 88(3), which simply read [</w:t>
      </w:r>
      <w:r w:rsidRPr="00001596">
        <w:rPr>
          <w:rFonts w:cs="Times New Roman"/>
          <w:smallCaps/>
        </w:rPr>
        <w:t>translation</w:t>
      </w:r>
      <w:r w:rsidRPr="00001596">
        <w:rPr>
          <w:rFonts w:cs="Times New Roman"/>
        </w:rPr>
        <w:t xml:space="preserve">] “amounts to which a participant is entitled”. The amendments did not change the terms of the contract; they simply confirmed the meaning of the former version. </w:t>
      </w:r>
    </w:p>
    <w:p w:rsidR="00466FCD" w:rsidRPr="00001596" w:rsidRDefault="00466FCD" w:rsidP="00000F01">
      <w:pPr>
        <w:pStyle w:val="ParaNoNdepar-AltN"/>
        <w:widowControl w:val="0"/>
        <w:rPr>
          <w:rFonts w:cs="Times New Roman"/>
        </w:rPr>
      </w:pPr>
      <w:r w:rsidRPr="00001596">
        <w:rPr>
          <w:rFonts w:cs="Times New Roman"/>
        </w:rPr>
        <w:t xml:space="preserve">Given this conclusion, there is no need to apply the </w:t>
      </w:r>
      <w:r w:rsidRPr="00001596">
        <w:rPr>
          <w:rFonts w:cs="Times New Roman"/>
          <w:i/>
        </w:rPr>
        <w:t>contra proferentem</w:t>
      </w:r>
      <w:r w:rsidRPr="00001596">
        <w:rPr>
          <w:rFonts w:cs="Times New Roman"/>
        </w:rPr>
        <w:t xml:space="preserve"> rule of interpretation, which requires that any difficulties in interpreting a contract of </w:t>
      </w:r>
      <w:r w:rsidRPr="00001596">
        <w:rPr>
          <w:rFonts w:cs="Times New Roman"/>
        </w:rPr>
        <w:lastRenderedPageBreak/>
        <w:t xml:space="preserve">adhesion be resolved in favour of the adhering party (art. 1432 </w:t>
      </w:r>
      <w:r w:rsidRPr="00001596">
        <w:rPr>
          <w:rFonts w:cs="Times New Roman"/>
          <w:i/>
        </w:rPr>
        <w:t>C.C.Q.</w:t>
      </w:r>
      <w:r w:rsidRPr="00001596">
        <w:rPr>
          <w:rFonts w:cs="Times New Roman"/>
        </w:rPr>
        <w:t xml:space="preserve">). That rule is an interpretive mechanism of last resort. In </w:t>
      </w:r>
      <w:r w:rsidRPr="00001596">
        <w:rPr>
          <w:rFonts w:cs="Times New Roman"/>
          <w:bCs/>
          <w:i/>
        </w:rPr>
        <w:t>Consolidated</w:t>
      </w:r>
      <w:r w:rsidRPr="00001596">
        <w:rPr>
          <w:rFonts w:cs="Times New Roman"/>
          <w:bCs/>
          <w:i/>
        </w:rPr>
        <w:noBreakHyphen/>
        <w:t>Bathurst Export Ltd. v. Mutual Boiler and Machinery Insurance Co.</w:t>
      </w:r>
      <w:r w:rsidRPr="00001596">
        <w:rPr>
          <w:rFonts w:cs="Times New Roman"/>
          <w:bCs/>
        </w:rPr>
        <w:t xml:space="preserve">, [1980] 1 S.C.R. 888, at </w:t>
      </w:r>
      <w:r w:rsidRPr="00001596">
        <w:rPr>
          <w:rFonts w:cs="Times New Roman"/>
        </w:rPr>
        <w:t>pp. 899</w:t>
      </w:r>
      <w:r w:rsidRPr="00001596">
        <w:rPr>
          <w:rFonts w:cs="Times New Roman"/>
        </w:rPr>
        <w:noBreakHyphen/>
        <w:t xml:space="preserve">900, the Court confirmed that, in Quebec law, the other rules of contractual interpretation (like the rule that each clause of a contract is interpreted in light of the others so that each is given the meaning derived from the act as a whole) take precedence over that of </w:t>
      </w:r>
      <w:r w:rsidRPr="00001596">
        <w:rPr>
          <w:rFonts w:cs="Times New Roman"/>
          <w:i/>
        </w:rPr>
        <w:t>contra proferentem</w:t>
      </w:r>
      <w:r w:rsidRPr="00001596">
        <w:rPr>
          <w:rFonts w:cs="Times New Roman"/>
        </w:rPr>
        <w:t xml:space="preserve"> (see also </w:t>
      </w:r>
      <w:r w:rsidRPr="00001596">
        <w:rPr>
          <w:rFonts w:cs="Times New Roman"/>
          <w:bCs/>
          <w:i/>
        </w:rPr>
        <w:t>Industrielle, Compagnie d’Assurance sur la Vie v. Bolduc</w:t>
      </w:r>
      <w:r w:rsidRPr="00001596">
        <w:rPr>
          <w:rFonts w:cs="Times New Roman"/>
          <w:bCs/>
        </w:rPr>
        <w:t>, [1979] 1 S.C.R. 481, at p. 493)</w:t>
      </w:r>
      <w:r w:rsidRPr="00001596">
        <w:rPr>
          <w:rFonts w:cs="Times New Roman"/>
        </w:rPr>
        <w:t xml:space="preserve">. </w:t>
      </w:r>
    </w:p>
    <w:p w:rsidR="00466FCD" w:rsidRPr="00001596" w:rsidRDefault="00466FCD" w:rsidP="00000F01">
      <w:pPr>
        <w:pStyle w:val="ParaNoNdepar-AltN"/>
        <w:widowControl w:val="0"/>
        <w:rPr>
          <w:rFonts w:cs="Times New Roman"/>
        </w:rPr>
      </w:pPr>
      <w:r w:rsidRPr="00001596">
        <w:rPr>
          <w:rFonts w:cs="Times New Roman"/>
        </w:rPr>
        <w:t xml:space="preserve">Moreover, the </w:t>
      </w:r>
      <w:r w:rsidRPr="00001596">
        <w:rPr>
          <w:rFonts w:cs="Times New Roman"/>
          <w:i/>
        </w:rPr>
        <w:t xml:space="preserve">contra proferentem </w:t>
      </w:r>
      <w:r w:rsidRPr="00001596">
        <w:rPr>
          <w:rFonts w:cs="Times New Roman"/>
        </w:rPr>
        <w:t xml:space="preserve">rule would be difficult to apply in the instant case, given that the ASRA Program covers 16,747 participants, only some of whom, like the 137 appellants, were allegedly disadvantaged by La Financière’s decision to link the amounts collectively. It would therefore be quite incongruous to seek to interpret the contract in favour of the adhering party given that the many participants in the program have widely varying and sometimes also conflicting interests. </w:t>
      </w:r>
    </w:p>
    <w:p w:rsidR="00466FCD" w:rsidRPr="00001596" w:rsidRDefault="00466FCD" w:rsidP="00000F01">
      <w:pPr>
        <w:pStyle w:val="Title3LevelTitre3Niveau"/>
        <w:widowControl w:val="0"/>
        <w:rPr>
          <w:rFonts w:cs="Times New Roman"/>
        </w:rPr>
      </w:pPr>
      <w:r w:rsidRPr="00001596">
        <w:rPr>
          <w:rFonts w:cs="Times New Roman"/>
        </w:rPr>
        <w:t>La Financière’s Exercise of Its Discretion</w:t>
      </w:r>
    </w:p>
    <w:p w:rsidR="00466FCD" w:rsidRPr="00001596" w:rsidRDefault="00466FCD" w:rsidP="00000F01">
      <w:pPr>
        <w:pStyle w:val="ParaNoNdepar-AltN"/>
        <w:widowControl w:val="0"/>
        <w:rPr>
          <w:rFonts w:cs="Times New Roman"/>
        </w:rPr>
      </w:pPr>
      <w:r w:rsidRPr="00001596">
        <w:rPr>
          <w:rFonts w:cs="Times New Roman"/>
        </w:rPr>
        <w:t>That being said, although La Financière had the discretion to link the amounts collectively, it was required to exercise that discretion in accordance with the requirements of good faith and contractual fairness. In our view, the Court of Appeal was right to conclude that La Financière did so here.</w:t>
      </w:r>
    </w:p>
    <w:p w:rsidR="00466FCD" w:rsidRPr="00001596" w:rsidRDefault="00466FCD" w:rsidP="00000F01">
      <w:pPr>
        <w:pStyle w:val="ParaNoNdepar-AltN"/>
        <w:widowControl w:val="0"/>
        <w:rPr>
          <w:rFonts w:cs="Times New Roman"/>
        </w:rPr>
      </w:pPr>
      <w:r w:rsidRPr="00001596">
        <w:rPr>
          <w:rFonts w:cs="Times New Roman"/>
        </w:rPr>
        <w:lastRenderedPageBreak/>
        <w:t xml:space="preserve">The decision to link the amounts collectively was made following extensive consultations with representatives of farm producers. Thus, on June 6, 2007, representatives of La Financière met with members of the </w:t>
      </w:r>
      <w:r>
        <w:rPr>
          <w:rFonts w:cs="Times New Roman"/>
        </w:rPr>
        <w:t>T</w:t>
      </w:r>
      <w:r w:rsidRPr="00001596">
        <w:rPr>
          <w:rFonts w:cs="Times New Roman"/>
        </w:rPr>
        <w:t xml:space="preserve">able </w:t>
      </w:r>
      <w:r>
        <w:rPr>
          <w:rFonts w:cs="Times New Roman"/>
        </w:rPr>
        <w:t xml:space="preserve">sur la sécurité du revenu </w:t>
      </w:r>
      <w:r w:rsidRPr="00001596">
        <w:rPr>
          <w:rFonts w:cs="Times New Roman"/>
        </w:rPr>
        <w:t xml:space="preserve">of the Union des producteurs agricoles (“UPA”) to discuss the COPB and Kickstart programs and the appropriate linkage method. We note that </w:t>
      </w:r>
      <w:r>
        <w:rPr>
          <w:rFonts w:cs="Times New Roman"/>
        </w:rPr>
        <w:t>the T</w:t>
      </w:r>
      <w:r w:rsidRPr="00001596">
        <w:rPr>
          <w:rFonts w:cs="Times New Roman"/>
        </w:rPr>
        <w:t xml:space="preserve">able </w:t>
      </w:r>
      <w:r>
        <w:rPr>
          <w:rFonts w:cs="Times New Roman"/>
        </w:rPr>
        <w:t>sur la sécurité du revenu</w:t>
      </w:r>
      <w:r w:rsidRPr="00001596">
        <w:rPr>
          <w:rFonts w:cs="Times New Roman"/>
        </w:rPr>
        <w:t xml:space="preserve">, an internal UPA committee made up of all presidents of specialized federations whose products are covered by the ASRA Program and of several other presidents of specialized and regional federations, is the body that La Financière generally approaches in order to hold discussions with representatives of farm producers. At the end of that meeting on June 6, 2007, everyone was in agreement that amounts received under the COPB and Kickstart programs would be linked collectively on the basis of the characteristics of the specialized benchmark farm. La Financière’s board of directors, which was chaired by the UPA’s president and </w:t>
      </w:r>
      <w:r w:rsidR="00137F7E">
        <w:rPr>
          <w:rFonts w:cs="Times New Roman"/>
        </w:rPr>
        <w:t>5</w:t>
      </w:r>
      <w:r w:rsidRPr="00001596">
        <w:rPr>
          <w:rFonts w:cs="Times New Roman"/>
        </w:rPr>
        <w:t xml:space="preserve"> of the </w:t>
      </w:r>
      <w:r w:rsidR="00137F7E">
        <w:rPr>
          <w:rFonts w:cs="Times New Roman"/>
        </w:rPr>
        <w:t>11</w:t>
      </w:r>
      <w:r w:rsidRPr="00001596">
        <w:rPr>
          <w:rFonts w:cs="Times New Roman"/>
        </w:rPr>
        <w:t xml:space="preserve"> members of which represented that organization, subsequently approved that decision to link the amounts collectively. </w:t>
      </w:r>
    </w:p>
    <w:p w:rsidR="00466FCD" w:rsidRPr="00001596" w:rsidRDefault="00466FCD" w:rsidP="00000F01">
      <w:pPr>
        <w:pStyle w:val="ParaNoNdepar-AltN"/>
        <w:widowControl w:val="0"/>
        <w:rPr>
          <w:rFonts w:cs="Times New Roman"/>
        </w:rPr>
      </w:pPr>
      <w:r w:rsidRPr="00001596">
        <w:rPr>
          <w:rFonts w:cs="Times New Roman"/>
        </w:rPr>
        <w:t>Furthermore, La Financière had conducted impact simulation studies that showed that most of the program’s participants would benefit from its decision to link the amounts collectively. It did not save money in linking them collectively. According to the evidence in the record, linking the amounts collectively cost some $1,620,472 more in this case than linking them individually would have done.</w:t>
      </w:r>
    </w:p>
    <w:p w:rsidR="00466FCD" w:rsidRPr="00001596" w:rsidRDefault="00466FCD" w:rsidP="00000F01">
      <w:pPr>
        <w:pStyle w:val="ParaNoNdepar-AltN"/>
        <w:widowControl w:val="0"/>
        <w:rPr>
          <w:rFonts w:cs="Times New Roman"/>
        </w:rPr>
      </w:pPr>
      <w:r w:rsidRPr="00001596">
        <w:rPr>
          <w:rFonts w:cs="Times New Roman"/>
        </w:rPr>
        <w:t xml:space="preserve">The evidence also shows that, in the past, individual linkage has been </w:t>
      </w:r>
      <w:r w:rsidRPr="00001596">
        <w:rPr>
          <w:rFonts w:cs="Times New Roman"/>
        </w:rPr>
        <w:lastRenderedPageBreak/>
        <w:t>chosen when a small number of ASRA Program participants received the amounts to be linked. In this case, however, this factor favoured collective linkage, given that all ASRA Program participants were eligible to receive amounts under the two federal programs, COPB and Kickstart. </w:t>
      </w:r>
    </w:p>
    <w:p w:rsidR="00466FCD" w:rsidRPr="00001596" w:rsidRDefault="00466FCD" w:rsidP="00000F01">
      <w:pPr>
        <w:pStyle w:val="ParaNoNdepar-AltN"/>
        <w:widowControl w:val="0"/>
        <w:rPr>
          <w:rFonts w:cs="Times New Roman"/>
        </w:rPr>
      </w:pPr>
      <w:r w:rsidRPr="00001596">
        <w:rPr>
          <w:rFonts w:cs="Times New Roman"/>
        </w:rPr>
        <w:t>In addition, the evidence shows that another consideration played a major role in La Financière’s decision. In this case, unlike with the vast majority of past programs, benefits under the COPB and Kickstart programs were calculated on the basis of overall sales, which included sales of products that were not covered by the ASRA Program. By linking those amounts collectively, La Financière could therefore break down the amounts received by the benchmark farm by product and exclude any amounts allocated for products that were not covered by the ASRA Program. It thus avoided penalizing all the participants in that it did not take into account income generated by products that were not covered but were still part of their agricultural operations. Less compensation received under the ASRA Program was deducted if only income from the 10 designated products or classes of products was taken into account. The evidence shows that such an exercise would have been impossible had the amounts been linked individually, because La Financière did not have detailed information about each participant’s products for which amounts had been granted under the COPB and Kickstart programs, whereas that information was available in respect of the benchmark farm.</w:t>
      </w:r>
    </w:p>
    <w:p w:rsidR="00466FCD" w:rsidRPr="00001596" w:rsidRDefault="00466FCD" w:rsidP="00000F01">
      <w:pPr>
        <w:pStyle w:val="ParaNoNdepar-AltN"/>
        <w:widowControl w:val="0"/>
        <w:rPr>
          <w:rFonts w:cs="Times New Roman"/>
        </w:rPr>
      </w:pPr>
      <w:r w:rsidRPr="00001596">
        <w:rPr>
          <w:rFonts w:cs="Times New Roman"/>
        </w:rPr>
        <w:t xml:space="preserve">La Financière’s choice to link the amounts collectively was quite </w:t>
      </w:r>
      <w:r w:rsidRPr="00001596">
        <w:rPr>
          <w:rFonts w:cs="Times New Roman"/>
        </w:rPr>
        <w:lastRenderedPageBreak/>
        <w:t>compatible with the nature of the ASRA Program, which is structured around the concept of the average benchmark farm. By linking them collectively, La Financière favoured the smallest producers, whose allowable net sales were, like those of the benchmark farm, below the caps imposed under the two federal programs. This situation was consistent with La Financière’s mission, namely to “support and encourage the development of the agricultural and agro</w:t>
      </w:r>
      <w:r w:rsidRPr="00001596">
        <w:rPr>
          <w:rFonts w:cs="Times New Roman"/>
        </w:rPr>
        <w:noBreakHyphen/>
        <w:t xml:space="preserve">food sector within the perspective of sustainable development” (s. 3 </w:t>
      </w:r>
      <w:r w:rsidRPr="00001596">
        <w:rPr>
          <w:rFonts w:cs="Times New Roman"/>
          <w:i/>
        </w:rPr>
        <w:t>AFAQ</w:t>
      </w:r>
      <w:r w:rsidRPr="00001596">
        <w:rPr>
          <w:rFonts w:cs="Times New Roman"/>
        </w:rPr>
        <w:t>).</w:t>
      </w:r>
    </w:p>
    <w:p w:rsidR="00466FCD" w:rsidRPr="00001596" w:rsidRDefault="00466FCD" w:rsidP="00000F01">
      <w:pPr>
        <w:pStyle w:val="ParaNoNdepar-AltN"/>
        <w:widowControl w:val="0"/>
        <w:rPr>
          <w:rFonts w:cs="Times New Roman"/>
        </w:rPr>
      </w:pPr>
      <w:r w:rsidRPr="00001596">
        <w:rPr>
          <w:rFonts w:cs="Times New Roman"/>
        </w:rPr>
        <w:t>It is true that La Financière’s decision to link the amounts collectively had an adverse effect on the appellants, as the trial judge observed with supporting figures (paras. 68</w:t>
      </w:r>
      <w:r w:rsidRPr="00001596">
        <w:rPr>
          <w:rFonts w:cs="Times New Roman"/>
        </w:rPr>
        <w:noBreakHyphen/>
        <w:t>80). For example, the appellant Ferme Vi</w:t>
      </w:r>
      <w:r w:rsidRPr="00001596">
        <w:rPr>
          <w:rFonts w:cs="Times New Roman"/>
        </w:rPr>
        <w:noBreakHyphen/>
        <w:t>Ber inc. received $12,240 and $51,391.30 from the federal government under the COPB and Kickstart programs. Because the amounts were linked collectively, the company was attributed income of $47,363.34 and $96,300.65, respectively, under those two programs. As with the other 136 appellants, these were substantial differences as a result of which Ferme Vi</w:t>
      </w:r>
      <w:r w:rsidRPr="00001596">
        <w:rPr>
          <w:rFonts w:cs="Times New Roman"/>
        </w:rPr>
        <w:noBreakHyphen/>
        <w:t xml:space="preserve">Ber inc. received less compensation than it would have received had the amounts been linked individually. However, this is not enough to support a finding that the decision to link the amounts collectively was unfair or that La Financière did not act in good faith. The ASRA Program is an ongoing program. Producers that are disadvantaged today could very well be advantaged by other decisions in the future. For example, the appellants could be advantaged by a situation in which amounts are linked individually, such as the one alleged to be unfair in </w:t>
      </w:r>
      <w:r w:rsidRPr="00001596">
        <w:rPr>
          <w:rFonts w:cs="Times New Roman"/>
          <w:i/>
        </w:rPr>
        <w:t>Trépanier</w:t>
      </w:r>
      <w:r w:rsidRPr="00001596">
        <w:rPr>
          <w:rFonts w:cs="Times New Roman"/>
        </w:rPr>
        <w:t>, which Geoffroy J. of the Superior Court refused t</w:t>
      </w:r>
      <w:r w:rsidR="009C5DFC">
        <w:rPr>
          <w:rFonts w:cs="Times New Roman"/>
        </w:rPr>
        <w:t>o find to be invalid (paras. 65-</w:t>
      </w:r>
      <w:r w:rsidRPr="00001596">
        <w:rPr>
          <w:rFonts w:cs="Times New Roman"/>
        </w:rPr>
        <w:t>66).</w:t>
      </w:r>
    </w:p>
    <w:p w:rsidR="00466FCD" w:rsidRPr="00001596" w:rsidRDefault="00466FCD" w:rsidP="00000F01">
      <w:pPr>
        <w:pStyle w:val="ParaNoNdepar-AltN"/>
        <w:widowControl w:val="0"/>
        <w:rPr>
          <w:rFonts w:cs="Times New Roman"/>
        </w:rPr>
      </w:pPr>
      <w:r w:rsidRPr="00001596">
        <w:rPr>
          <w:rFonts w:cs="Times New Roman"/>
        </w:rPr>
        <w:lastRenderedPageBreak/>
        <w:t>La Financière acted in good faith and took the necessary steps to weigh the impact on participants of the decision to link the amounts collectively in order to ensure that the decision was fair. It is clear that the specific features of each program and the impact on all the participants help determine which linkage method is appropriate. That impact is dependent on a host of variables, including year</w:t>
      </w:r>
      <w:r w:rsidRPr="00001596">
        <w:rPr>
          <w:rFonts w:cs="Times New Roman"/>
        </w:rPr>
        <w:noBreakHyphen/>
        <w:t>to</w:t>
      </w:r>
      <w:r w:rsidRPr="00001596">
        <w:rPr>
          <w:rFonts w:cs="Times New Roman"/>
        </w:rPr>
        <w:noBreakHyphen/>
        <w:t>year fluctuations in allowable net sales, the timing of the establishment of a farming business, an outbreak of disease at a particular time and the production sector that is involved. In the case at bar, La Financière also states that it reduced the contribution rate of hog and piglet producers to minimize the impact of the chosen linkage method for that sector. Indeed, it asked the trial judge to consider this in any award of damages (trial judge’s reasons, at paras. 105</w:t>
      </w:r>
      <w:r w:rsidRPr="00001596">
        <w:rPr>
          <w:rFonts w:cs="Times New Roman"/>
        </w:rPr>
        <w:noBreakHyphen/>
        <w:t>6). This clearly shows why, where there is a reasonable explanation for the choice that was made and where there is no evidence of bad faith in the entity’s actions, the courts should avoid interfering too hastily in such complex matters.</w:t>
      </w:r>
    </w:p>
    <w:p w:rsidR="00466FCD" w:rsidRPr="00001596" w:rsidRDefault="00466FCD" w:rsidP="00000F01">
      <w:pPr>
        <w:pStyle w:val="ParaNoNdepar-AltN"/>
        <w:widowControl w:val="0"/>
        <w:rPr>
          <w:rFonts w:cs="Times New Roman"/>
        </w:rPr>
      </w:pPr>
      <w:r w:rsidRPr="00001596">
        <w:rPr>
          <w:rFonts w:cs="Times New Roman"/>
        </w:rPr>
        <w:t xml:space="preserve">We conclude that La Financière exercised its contractual powers in accordance with the requirements of good faith and contractual fairness. That being so, it was open to La Financière in fixing the compensation payable to the appellants to choose to link the amounts they had received under the two federal financial assistance programs collectively. </w:t>
      </w:r>
    </w:p>
    <w:p w:rsidR="00466FCD" w:rsidRPr="00001596" w:rsidRDefault="00466FCD" w:rsidP="00000F01">
      <w:pPr>
        <w:pStyle w:val="Title1LevelTitre1Niveau-AltL"/>
        <w:widowControl w:val="0"/>
        <w:ind w:left="578" w:hanging="578"/>
        <w:rPr>
          <w:rFonts w:cs="Times New Roman"/>
        </w:rPr>
      </w:pPr>
      <w:r w:rsidRPr="00001596">
        <w:rPr>
          <w:rFonts w:cs="Times New Roman"/>
        </w:rPr>
        <w:t>Disposition</w:t>
      </w:r>
    </w:p>
    <w:p w:rsidR="00466FCD" w:rsidRDefault="00466FCD" w:rsidP="00000F01">
      <w:pPr>
        <w:pStyle w:val="ParaNoNdepar-AltN"/>
        <w:widowControl w:val="0"/>
        <w:rPr>
          <w:rFonts w:cs="Times New Roman"/>
        </w:rPr>
      </w:pPr>
      <w:r w:rsidRPr="00001596">
        <w:rPr>
          <w:rFonts w:cs="Times New Roman"/>
        </w:rPr>
        <w:t xml:space="preserve">We would therefore dismiss the appeal. Like the Court of Appeal, we </w:t>
      </w:r>
      <w:r w:rsidRPr="00001596">
        <w:rPr>
          <w:rFonts w:cs="Times New Roman"/>
        </w:rPr>
        <w:lastRenderedPageBreak/>
        <w:t>would not award costs in light of the relationship between the parties.</w:t>
      </w:r>
    </w:p>
    <w:p w:rsidR="00036A0A" w:rsidRPr="00001596" w:rsidRDefault="002E5A68" w:rsidP="00000F01">
      <w:pPr>
        <w:pStyle w:val="ParaNoNdepar-AltN"/>
        <w:widowControl w:val="0"/>
        <w:numPr>
          <w:ilvl w:val="0"/>
          <w:numId w:val="0"/>
        </w:numPr>
        <w:tabs>
          <w:tab w:val="left" w:pos="1260"/>
        </w:tabs>
        <w:ind w:left="1260" w:hanging="1260"/>
        <w:rPr>
          <w:rFonts w:cs="Times New Roman"/>
        </w:rPr>
      </w:pPr>
      <w:r>
        <w:rPr>
          <w:rFonts w:cs="Times New Roman"/>
        </w:rPr>
        <w:tab/>
        <w:t>English version of the reasons delivered by</w:t>
      </w:r>
    </w:p>
    <w:p w:rsidR="00EB0078" w:rsidRPr="0012065E" w:rsidRDefault="002E5A68" w:rsidP="00000F01">
      <w:pPr>
        <w:pStyle w:val="ParaNoNdepar-AltN"/>
        <w:widowControl w:val="0"/>
        <w:rPr>
          <w:rFonts w:cs="Times New Roman"/>
          <w:lang w:val="en-US"/>
        </w:rPr>
      </w:pPr>
      <w:proofErr w:type="spellStart"/>
      <w:r w:rsidRPr="002E5A68">
        <w:rPr>
          <w:smallCaps/>
        </w:rPr>
        <w:t>Côté</w:t>
      </w:r>
      <w:proofErr w:type="spellEnd"/>
      <w:r w:rsidRPr="002E5A68">
        <w:rPr>
          <w:smallCaps/>
        </w:rPr>
        <w:t xml:space="preserve"> J.</w:t>
      </w:r>
      <w:r w:rsidRPr="0012065E">
        <w:t xml:space="preserve"> </w:t>
      </w:r>
      <w:r w:rsidR="0096496F">
        <w:t xml:space="preserve">(dissenting in part) </w:t>
      </w:r>
      <w:r w:rsidRPr="0012065E">
        <w:t xml:space="preserve">— </w:t>
      </w:r>
      <w:r w:rsidR="00EB0078" w:rsidRPr="0012065E">
        <w:rPr>
          <w:rFonts w:cs="Times New Roman"/>
          <w:lang w:val="en-US"/>
        </w:rPr>
        <w:t xml:space="preserve">Although I agree with my colleagues on the nature of the </w:t>
      </w:r>
      <w:proofErr w:type="spellStart"/>
      <w:r w:rsidR="00EB0078" w:rsidRPr="0012065E">
        <w:rPr>
          <w:rFonts w:cs="Times New Roman"/>
          <w:i/>
          <w:lang w:val="en-US"/>
        </w:rPr>
        <w:t>Programme</w:t>
      </w:r>
      <w:proofErr w:type="spellEnd"/>
      <w:r w:rsidR="00EB0078" w:rsidRPr="0012065E">
        <w:rPr>
          <w:rFonts w:cs="Times New Roman"/>
          <w:i/>
          <w:lang w:val="en-US"/>
        </w:rPr>
        <w:t xml:space="preserve"> </w:t>
      </w:r>
      <w:proofErr w:type="spellStart"/>
      <w:r w:rsidR="00EB0078" w:rsidRPr="0012065E">
        <w:rPr>
          <w:rFonts w:cs="Times New Roman"/>
          <w:i/>
          <w:lang w:val="en-US"/>
        </w:rPr>
        <w:t>d’assurance</w:t>
      </w:r>
      <w:proofErr w:type="spellEnd"/>
      <w:r w:rsidR="00EB0078" w:rsidRPr="0012065E">
        <w:rPr>
          <w:rFonts w:cs="Times New Roman"/>
          <w:i/>
          <w:lang w:val="en-US"/>
        </w:rPr>
        <w:t xml:space="preserve"> </w:t>
      </w:r>
      <w:proofErr w:type="spellStart"/>
      <w:r w:rsidR="00EB0078" w:rsidRPr="0012065E">
        <w:rPr>
          <w:rFonts w:cs="Times New Roman"/>
          <w:i/>
          <w:lang w:val="en-US"/>
        </w:rPr>
        <w:t>stabilisation</w:t>
      </w:r>
      <w:proofErr w:type="spellEnd"/>
      <w:r w:rsidR="00EB0078" w:rsidRPr="0012065E">
        <w:rPr>
          <w:rFonts w:cs="Times New Roman"/>
          <w:i/>
          <w:lang w:val="en-US"/>
        </w:rPr>
        <w:t xml:space="preserve"> des </w:t>
      </w:r>
      <w:proofErr w:type="spellStart"/>
      <w:r w:rsidR="00EB0078" w:rsidRPr="0012065E">
        <w:rPr>
          <w:rFonts w:cs="Times New Roman"/>
          <w:i/>
          <w:lang w:val="en-US"/>
        </w:rPr>
        <w:t>revenus</w:t>
      </w:r>
      <w:proofErr w:type="spellEnd"/>
      <w:r w:rsidR="00EB0078" w:rsidRPr="0012065E">
        <w:rPr>
          <w:rFonts w:cs="Times New Roman"/>
          <w:i/>
          <w:lang w:val="en-US"/>
        </w:rPr>
        <w:t xml:space="preserve"> </w:t>
      </w:r>
      <w:proofErr w:type="spellStart"/>
      <w:r w:rsidR="00EB0078" w:rsidRPr="0012065E">
        <w:rPr>
          <w:rFonts w:cs="Times New Roman"/>
          <w:i/>
          <w:lang w:val="en-US"/>
        </w:rPr>
        <w:t>agricoles</w:t>
      </w:r>
      <w:proofErr w:type="spellEnd"/>
      <w:r w:rsidR="00EB0078" w:rsidRPr="0012065E">
        <w:rPr>
          <w:rFonts w:cs="Times New Roman"/>
          <w:lang w:val="en-US"/>
        </w:rPr>
        <w:t>, (2001) 133 G.O. 1, 1336 (“ASRA Program”), and also agree that it is not necessary to apply public law principles to decide the case, I am of the view that the only determinative issue in this case is one of contractual interpretation.</w:t>
      </w:r>
      <w:r w:rsidR="00EB0078" w:rsidRPr="0012065E">
        <w:rPr>
          <w:rFonts w:cs="Times New Roman"/>
          <w:b/>
          <w:lang w:val="en-US"/>
        </w:rPr>
        <w:t xml:space="preserve"> </w:t>
      </w:r>
    </w:p>
    <w:p w:rsidR="00EB0078" w:rsidRPr="0012065E" w:rsidRDefault="00EB0078" w:rsidP="00000F01">
      <w:pPr>
        <w:pStyle w:val="ParaNoNdepar-AltN"/>
        <w:widowControl w:val="0"/>
        <w:rPr>
          <w:rFonts w:cs="Times New Roman"/>
        </w:rPr>
      </w:pPr>
      <w:r w:rsidRPr="00D54C5E">
        <w:rPr>
          <w:rFonts w:cs="Times New Roman"/>
          <w:lang w:val="en-US"/>
        </w:rPr>
        <w:t>The reas</w:t>
      </w:r>
      <w:r w:rsidRPr="0012065E">
        <w:rPr>
          <w:rFonts w:cs="Times New Roman"/>
        </w:rPr>
        <w:t xml:space="preserve">on why producers participate in the ASRA Program is simple: they expect no more and no less than to receive the full compensation they are owed in return for paying their contributions. When La Financière agricole du Québec (“La Financière”) deprives them of all or part of the compensation to which they are entitled, </w:t>
      </w:r>
      <w:r w:rsidRPr="0012065E">
        <w:rPr>
          <w:rFonts w:cs="Times New Roman"/>
          <w:i/>
        </w:rPr>
        <w:t>contrary to the express provisions of the contract it has itself imposed on them</w:t>
      </w:r>
      <w:r w:rsidRPr="0012065E">
        <w:rPr>
          <w:rFonts w:cs="Times New Roman"/>
        </w:rPr>
        <w:t xml:space="preserve">, judicial intervention is warranted. </w:t>
      </w:r>
    </w:p>
    <w:p w:rsidR="00EB0078" w:rsidRPr="0012065E" w:rsidRDefault="00EB0078" w:rsidP="00000F01">
      <w:pPr>
        <w:pStyle w:val="ParaNoNdepar-AltN"/>
        <w:widowControl w:val="0"/>
        <w:rPr>
          <w:rFonts w:cs="Times New Roman"/>
        </w:rPr>
      </w:pPr>
      <w:r w:rsidRPr="0012065E">
        <w:rPr>
          <w:rFonts w:cs="Times New Roman"/>
        </w:rPr>
        <w:t>The common intention of the parties, the overall scheme of the ASRA Program and past practices confirm that La Financière contravened the program</w:t>
      </w:r>
      <w:r w:rsidRPr="0012065E">
        <w:rPr>
          <w:rFonts w:cs="Times New Roman"/>
          <w:i/>
        </w:rPr>
        <w:t xml:space="preserve"> </w:t>
      </w:r>
      <w:r w:rsidRPr="0012065E">
        <w:rPr>
          <w:rFonts w:cs="Times New Roman"/>
        </w:rPr>
        <w:t xml:space="preserve">in deciding to subtract excessively high amounts of notional income from the amounts to which participants were otherwise entitled. It did this not to ensure that participants did not receive double compensation for a single loss, but to redistribute the amounts that were received. The amounts attributed to participants bore no relation to the amounts </w:t>
      </w:r>
      <w:r w:rsidRPr="0012065E">
        <w:rPr>
          <w:rFonts w:cs="Times New Roman"/>
        </w:rPr>
        <w:lastRenderedPageBreak/>
        <w:t>to which they were entitled under federal programs. La Financière itself admits it knew that, in employing the calculation method it did, it was disregarding the caps specified in those programs.</w:t>
      </w:r>
    </w:p>
    <w:p w:rsidR="00EB0078" w:rsidRPr="0012065E" w:rsidRDefault="00EB0078" w:rsidP="00000F01">
      <w:pPr>
        <w:pStyle w:val="ParaNoNdepar-AltN"/>
        <w:widowControl w:val="0"/>
        <w:rPr>
          <w:rFonts w:cs="Times New Roman"/>
        </w:rPr>
      </w:pPr>
      <w:r w:rsidRPr="0012065E">
        <w:rPr>
          <w:rFonts w:cs="Times New Roman"/>
        </w:rPr>
        <w:t xml:space="preserve">Regardless of whether the contract is characterized as a contract of insurance or as an innominate contract that falls under both public law and private law, the result is the same. It is true that the appellants participated voluntarily in the ASRA Program, but insofar as that program involves a contract of adhesion imposed by La Financière, that is, a contract that is not negotiated with participants, I find that the characterization makes no difference. If there is any ambiguity, it must be resolved in favour of the adhering party in accordance with art. 1432 of the </w:t>
      </w:r>
      <w:r w:rsidRPr="0012065E">
        <w:rPr>
          <w:rFonts w:cs="Times New Roman"/>
          <w:i/>
        </w:rPr>
        <w:t>Civil Code of Québec</w:t>
      </w:r>
      <w:r w:rsidRPr="0012065E">
        <w:rPr>
          <w:rFonts w:cs="Times New Roman"/>
        </w:rPr>
        <w:t xml:space="preserve"> (“</w:t>
      </w:r>
      <w:r w:rsidRPr="0012065E">
        <w:rPr>
          <w:rFonts w:cs="Times New Roman"/>
          <w:i/>
        </w:rPr>
        <w:t>C.C.Q.</w:t>
      </w:r>
      <w:r w:rsidRPr="0012065E">
        <w:rPr>
          <w:rFonts w:cs="Times New Roman"/>
        </w:rPr>
        <w:t>”). The rule of interpretation of reasonable expectations adds nothing to the existing rules of interpretation.</w:t>
      </w:r>
    </w:p>
    <w:p w:rsidR="00EB0078" w:rsidRPr="0012065E" w:rsidRDefault="00EB0078" w:rsidP="00000F01">
      <w:pPr>
        <w:pStyle w:val="ParaNoNdepar-AltN"/>
        <w:widowControl w:val="0"/>
        <w:rPr>
          <w:rFonts w:cs="Times New Roman"/>
        </w:rPr>
      </w:pPr>
      <w:r w:rsidRPr="0012065E">
        <w:rPr>
          <w:rFonts w:cs="Times New Roman"/>
        </w:rPr>
        <w:t>In my opinion, the appeal should therefore be allowed, but only in part. </w:t>
      </w:r>
    </w:p>
    <w:p w:rsidR="00EB0078" w:rsidRPr="00623FAA" w:rsidRDefault="00EB0078" w:rsidP="00000F01">
      <w:pPr>
        <w:pStyle w:val="Title1LevelTitre1Niveau-AltL"/>
        <w:widowControl w:val="0"/>
        <w:numPr>
          <w:ilvl w:val="0"/>
          <w:numId w:val="40"/>
        </w:numPr>
        <w:rPr>
          <w:rFonts w:cs="Times New Roman"/>
        </w:rPr>
      </w:pPr>
      <w:r w:rsidRPr="00623FAA">
        <w:rPr>
          <w:rFonts w:cs="Times New Roman"/>
        </w:rPr>
        <w:t>Background</w:t>
      </w:r>
    </w:p>
    <w:p w:rsidR="00EB0078" w:rsidRPr="0012065E" w:rsidRDefault="00EB0078" w:rsidP="00000F01">
      <w:pPr>
        <w:pStyle w:val="ParaNoNdepar-AltN"/>
        <w:widowControl w:val="0"/>
        <w:rPr>
          <w:rFonts w:cs="Times New Roman"/>
        </w:rPr>
      </w:pPr>
      <w:r w:rsidRPr="0012065E">
        <w:rPr>
          <w:rFonts w:cs="Times New Roman"/>
        </w:rPr>
        <w:t xml:space="preserve">The appellants are all participants in the ASRA Program administered by La Financière. The purpose of the program is to guarantee them a positive net annual income for certain products (s. 1). When the market price of a covered product is lower than production costs, a participant is entitled to compensation from the Fonds d’assurance stabilisation des revenus agricoles (“Fund”). Participants pay a third of the </w:t>
      </w:r>
      <w:r w:rsidRPr="0012065E">
        <w:rPr>
          <w:rFonts w:cs="Times New Roman"/>
        </w:rPr>
        <w:lastRenderedPageBreak/>
        <w:t>total contributions to the Fund, and La Financière pays two thirds (s. 80). The amount of a participant’s contribution may be reviewed annually (s. 6).</w:t>
      </w:r>
    </w:p>
    <w:p w:rsidR="00EB0078" w:rsidRPr="0012065E" w:rsidRDefault="00EB0078" w:rsidP="00000F01">
      <w:pPr>
        <w:pStyle w:val="ParaNoNdepar-AltN"/>
        <w:widowControl w:val="0"/>
        <w:tabs>
          <w:tab w:val="clear" w:pos="1152"/>
          <w:tab w:val="left" w:pos="1166"/>
        </w:tabs>
        <w:rPr>
          <w:rFonts w:cs="Times New Roman"/>
        </w:rPr>
      </w:pPr>
      <w:r w:rsidRPr="0012065E">
        <w:rPr>
          <w:rFonts w:cs="Times New Roman"/>
        </w:rPr>
        <w:t>The compensation to which a participant is entitled is determined on the basis of the participant’s volume of insurable products. It does not depend on the participant’s particular financial situation but is instead based on the performance of a [</w:t>
      </w:r>
      <w:r w:rsidRPr="0012065E">
        <w:rPr>
          <w:rFonts w:cs="Times New Roman"/>
          <w:smallCaps/>
        </w:rPr>
        <w:t>translation</w:t>
      </w:r>
      <w:r w:rsidRPr="0012065E">
        <w:rPr>
          <w:rFonts w:cs="Times New Roman"/>
        </w:rPr>
        <w:t>] “specialized benchmark farm” for each of the products. It corresponds to the difference between the benchmark farm’s net annual income and stabilized annual income multiplied by the participant’s volume of insurable products, that is, the number of units of products marketed by the participant:</w:t>
      </w:r>
    </w:p>
    <w:p w:rsidR="00EB0078" w:rsidRPr="0012065E" w:rsidRDefault="00EB0078" w:rsidP="00000F01">
      <w:pPr>
        <w:pStyle w:val="Citation-AltC"/>
        <w:widowControl w:val="0"/>
        <w:tabs>
          <w:tab w:val="left" w:pos="1800"/>
        </w:tabs>
        <w:spacing w:after="240"/>
        <w:contextualSpacing w:val="0"/>
      </w:pPr>
      <w:r w:rsidRPr="0012065E">
        <w:tab/>
        <w:t>[</w:t>
      </w:r>
      <w:r w:rsidRPr="0012065E">
        <w:rPr>
          <w:smallCaps/>
        </w:rPr>
        <w:t>translation</w:t>
      </w:r>
      <w:r w:rsidRPr="0012065E">
        <w:t xml:space="preserve">] The </w:t>
      </w:r>
      <w:r w:rsidRPr="0012065E">
        <w:rPr>
          <w:u w:val="single"/>
        </w:rPr>
        <w:t>net annual income</w:t>
      </w:r>
      <w:r w:rsidRPr="0012065E">
        <w:t xml:space="preserve"> essentially corresponds to the earnings of the specialized benchmark farm, a description of which in relation to each insurable product is set out in Table 4 of section 86. The net annual income is determined by La Financière agricole on the basis of an economic study of a specialized benchmark farm for each product (or secondary product) covered by the Asra Program (s. 87). For each unit of an insurable product, it corresponds to annual receipts minus cash disbursements and depreciation, which are determined as specified in the Asra Program (ss. 86</w:t>
      </w:r>
      <w:r w:rsidR="00137F7E">
        <w:t xml:space="preserve"> to </w:t>
      </w:r>
      <w:r w:rsidRPr="0012065E">
        <w:t xml:space="preserve">88 and 91). </w:t>
      </w:r>
    </w:p>
    <w:p w:rsidR="00EB0078" w:rsidRPr="0012065E" w:rsidRDefault="00EB0078" w:rsidP="00000F01">
      <w:pPr>
        <w:pStyle w:val="Citation-AltC"/>
        <w:widowControl w:val="0"/>
        <w:spacing w:after="240"/>
        <w:contextualSpacing w:val="0"/>
        <w:jc w:val="center"/>
      </w:pPr>
      <w:r w:rsidRPr="0012065E">
        <w:t>. . .</w:t>
      </w:r>
    </w:p>
    <w:p w:rsidR="00EB0078" w:rsidRPr="0012065E" w:rsidRDefault="00EB0078" w:rsidP="00000F01">
      <w:pPr>
        <w:pStyle w:val="Citation-AltC"/>
        <w:widowControl w:val="0"/>
        <w:tabs>
          <w:tab w:val="left" w:pos="1800"/>
        </w:tabs>
        <w:spacing w:before="240" w:after="240"/>
        <w:contextualSpacing w:val="0"/>
      </w:pPr>
      <w:r w:rsidRPr="0012065E">
        <w:tab/>
        <w:t xml:space="preserve">The </w:t>
      </w:r>
      <w:r w:rsidRPr="0012065E">
        <w:rPr>
          <w:u w:val="single"/>
        </w:rPr>
        <w:t>stabilized net annual income</w:t>
      </w:r>
      <w:r w:rsidRPr="0012065E">
        <w:t xml:space="preserve"> is also determined for each unit of a product covered by the Asra Program after consultation with the representatives of farming businesses (ss. 2 and 89). Technically, it is calculated as a percentage (ranging between 70% and 90%, depending on the product) of the “average annual regular salary of a skilled worker” (or a portion of that salary ranging between 0.38 and 1.35), which was fixed at $42,461 in 2000 (and indexed thereafter). [Emphasis in original; footnote omitted.]</w:t>
      </w:r>
    </w:p>
    <w:p w:rsidR="00EB0078" w:rsidRPr="0012065E" w:rsidRDefault="00EB0078" w:rsidP="00000F01">
      <w:pPr>
        <w:pStyle w:val="Citation-AltC"/>
        <w:widowControl w:val="0"/>
        <w:tabs>
          <w:tab w:val="left" w:pos="1800"/>
        </w:tabs>
        <w:ind w:left="0"/>
        <w:contextualSpacing w:val="0"/>
      </w:pPr>
      <w:r w:rsidRPr="0012065E">
        <w:t>(Court of Appeal’s reasons, 2014 QCCA 1886, at paras. 24</w:t>
      </w:r>
      <w:r w:rsidRPr="0012065E">
        <w:noBreakHyphen/>
        <w:t xml:space="preserve">26 (CanLII)) </w:t>
      </w:r>
    </w:p>
    <w:p w:rsidR="00EB0078" w:rsidRPr="0012065E" w:rsidRDefault="00EB0078" w:rsidP="00000F01">
      <w:pPr>
        <w:pStyle w:val="ParaNoNdepar-AltN"/>
        <w:widowControl w:val="0"/>
        <w:rPr>
          <w:rFonts w:cs="Times New Roman"/>
        </w:rPr>
      </w:pPr>
      <w:r w:rsidRPr="0012065E">
        <w:rPr>
          <w:rFonts w:cs="Times New Roman"/>
        </w:rPr>
        <w:lastRenderedPageBreak/>
        <w:t>It sometimes happens that during the year, as in this case, additional amounts from other government agencies are paid to individual participants, as opposed to a situation where a global amount is paid to La Financière. These are amounts to which participants are personally entitled. The ASRA Program expressly authorizes La Financière to take such amounts into account in its calculations to ensure that participants do not receive double compensation for a single loss (s. 88). The problem here is whether La Financière can, in performing its calculations, totally disregard the amounts that were actually received or whether it can consider notional amounts where the amounts were granted to participants individually.</w:t>
      </w:r>
    </w:p>
    <w:p w:rsidR="00EB0078" w:rsidRPr="0012065E" w:rsidRDefault="00EB0078" w:rsidP="00000F01">
      <w:pPr>
        <w:pStyle w:val="ParaNoNdepar-AltN"/>
        <w:widowControl w:val="0"/>
        <w:rPr>
          <w:rFonts w:cs="Times New Roman"/>
        </w:rPr>
      </w:pPr>
      <w:r w:rsidRPr="0012065E">
        <w:rPr>
          <w:rFonts w:cs="Times New Roman"/>
        </w:rPr>
        <w:t>In 2007, the federal government established two programs to provide assistance to Canadian farming businesses: the Cost of Production Benefit (“COPB”) program and the AgriInvest Kickstart (“Kickstart”) program. At issue in this case is the linkage between those programs and the ASRA Program. Under the programs in question, amounts were paid directly to producers and were allocated to each producer individually, although La Financière was responsible for administering them in Quebec. Each program imposed a cap on allowable net sales (“ANS”) above which participants could not be compensated. The maximum amounts of ANS were set at $450,000 ($12,240 per producer) for the COPB program and $3 million ($96,000 per producer) for the Kickstart program.</w:t>
      </w:r>
    </w:p>
    <w:p w:rsidR="00EB0078" w:rsidRPr="0012065E" w:rsidRDefault="00EB0078" w:rsidP="00000F01">
      <w:pPr>
        <w:pStyle w:val="ParaNoNdepar-AltN"/>
        <w:widowControl w:val="0"/>
        <w:rPr>
          <w:rFonts w:cs="Times New Roman"/>
        </w:rPr>
      </w:pPr>
      <w:r w:rsidRPr="0012065E">
        <w:rPr>
          <w:rFonts w:cs="Times New Roman"/>
        </w:rPr>
        <w:t xml:space="preserve">La Financière decided to take this direct federal assistance into account by considering the amounts the benchmark farm would theoretically have received for </w:t>
      </w:r>
      <w:r w:rsidRPr="0012065E">
        <w:rPr>
          <w:rFonts w:cs="Times New Roman"/>
        </w:rPr>
        <w:lastRenderedPageBreak/>
        <w:t xml:space="preserve">each product. It dealt with those amounts as if they constituted a global sum that had been paid to it and that it could redistribute as it saw fit. The federal assistance was taken into account in calculating the benchmark farm’s stabilized income in light of the characteristics of that farm, including its ANS. The resulting figure was then multiplied, for each participant, by the number of units of insurable product. </w:t>
      </w:r>
    </w:p>
    <w:p w:rsidR="00EB0078" w:rsidRPr="0012065E" w:rsidRDefault="00EB0078" w:rsidP="00000F01">
      <w:pPr>
        <w:pStyle w:val="ParaNoNdepar-AltN"/>
        <w:widowControl w:val="0"/>
        <w:rPr>
          <w:rFonts w:cs="Times New Roman"/>
        </w:rPr>
      </w:pPr>
      <w:r w:rsidRPr="0012065E">
        <w:rPr>
          <w:rFonts w:cs="Times New Roman"/>
        </w:rPr>
        <w:t>The parties characterized this approach as [</w:t>
      </w:r>
      <w:r w:rsidRPr="0012065E">
        <w:rPr>
          <w:rFonts w:cs="Times New Roman"/>
          <w:smallCaps/>
        </w:rPr>
        <w:t>translation</w:t>
      </w:r>
      <w:r w:rsidRPr="0012065E">
        <w:rPr>
          <w:rFonts w:cs="Times New Roman"/>
        </w:rPr>
        <w:t>] “collective linkage”. Under it, the caps imposed by these programs on the insurance coverage of ASRA Program participants were completely disregarded. The evidence shows that the effect of this “linkage” method was to subtract from the compensation otherwise owed to many participants amounts higher than what they had actually received in federal benefits.</w:t>
      </w:r>
    </w:p>
    <w:p w:rsidR="00EB0078" w:rsidRPr="0012065E" w:rsidRDefault="00EB0078" w:rsidP="00000F01">
      <w:pPr>
        <w:pStyle w:val="ParaNoNdepar-AltN"/>
        <w:widowControl w:val="0"/>
        <w:rPr>
          <w:rFonts w:cs="Times New Roman"/>
        </w:rPr>
      </w:pPr>
      <w:r w:rsidRPr="0012065E">
        <w:rPr>
          <w:rFonts w:cs="Times New Roman"/>
        </w:rPr>
        <w:t>In some cases, there was a huge difference between the amounts participants actually received and the amounts that were attributed to them. For example, Ferme Vi</w:t>
      </w:r>
      <w:r w:rsidRPr="0012065E">
        <w:rPr>
          <w:rFonts w:cs="Times New Roman"/>
        </w:rPr>
        <w:noBreakHyphen/>
        <w:t>Ber received a COPB benefit of $12,240 but had $47,363.34 subtracted from the compensation owed to it under the ASRA Program. In the case of Alfred Couture Limitée, there was an even greater difference between the amount it actually received and the COPB amount that was attributed to it. Even though its assistance under the COPB</w:t>
      </w:r>
      <w:r w:rsidRPr="0012065E">
        <w:rPr>
          <w:rFonts w:cs="Times New Roman"/>
          <w:i/>
        </w:rPr>
        <w:t xml:space="preserve"> </w:t>
      </w:r>
      <w:r w:rsidRPr="0012065E">
        <w:rPr>
          <w:rFonts w:cs="Times New Roman"/>
        </w:rPr>
        <w:t>program was capped at $12,240, La Financière attributed $94,170.38 to it. Similar differences could be seen in relation to the Kickstart program. Thus, Ferme Vi</w:t>
      </w:r>
      <w:r w:rsidRPr="0012065E">
        <w:rPr>
          <w:rFonts w:cs="Times New Roman"/>
        </w:rPr>
        <w:noBreakHyphen/>
        <w:t>Ber received a Kickstart benefit of $51,391.30 in its AgriInvest accoun</w:t>
      </w:r>
      <w:r w:rsidR="00BA269B">
        <w:rPr>
          <w:rFonts w:cs="Times New Roman"/>
        </w:rPr>
        <w:t>t, but La </w:t>
      </w:r>
      <w:proofErr w:type="spellStart"/>
      <w:r w:rsidR="00BA269B">
        <w:rPr>
          <w:rFonts w:cs="Times New Roman"/>
        </w:rPr>
        <w:t>Financière</w:t>
      </w:r>
      <w:proofErr w:type="spellEnd"/>
      <w:r w:rsidR="00BA269B">
        <w:rPr>
          <w:rFonts w:cs="Times New Roman"/>
        </w:rPr>
        <w:t xml:space="preserve"> attributed </w:t>
      </w:r>
      <w:r w:rsidRPr="0012065E">
        <w:rPr>
          <w:rFonts w:cs="Times New Roman"/>
        </w:rPr>
        <w:t>$96</w:t>
      </w:r>
      <w:r w:rsidR="00BA269B">
        <w:rPr>
          <w:rFonts w:cs="Times New Roman"/>
        </w:rPr>
        <w:t xml:space="preserve">,300.65 </w:t>
      </w:r>
      <w:r w:rsidRPr="0012065E">
        <w:rPr>
          <w:rFonts w:cs="Times New Roman"/>
        </w:rPr>
        <w:t xml:space="preserve">to it. The amount </w:t>
      </w:r>
      <w:r w:rsidRPr="0012065E">
        <w:rPr>
          <w:rFonts w:cs="Times New Roman"/>
        </w:rPr>
        <w:lastRenderedPageBreak/>
        <w:t>attributed to Inter Agro inc., $800,146.49, was completely out of proportion to the $96,000.00 it received: trial judge’s reasons, 2012 QCCS 284, at paras. 70 and 78 (CanLII).</w:t>
      </w:r>
    </w:p>
    <w:p w:rsidR="00EB0078" w:rsidRPr="0012065E" w:rsidRDefault="00EB0078" w:rsidP="00000F01">
      <w:pPr>
        <w:pStyle w:val="ParaNoNdepar-AltN"/>
        <w:widowControl w:val="0"/>
        <w:rPr>
          <w:rFonts w:cs="Times New Roman"/>
        </w:rPr>
      </w:pPr>
      <w:r w:rsidRPr="0012065E">
        <w:rPr>
          <w:rFonts w:cs="Times New Roman"/>
        </w:rPr>
        <w:t xml:space="preserve">The appellants contest the linkage method applied by La Financière and the resulting reduction in their compensation. They argue that La Financière not only disregarded s. 88(3) of the ASRA Program, but also diverted it from its purpose, which is simply to avoid double compensation, not to deprive them of compensation they are otherwise owed. </w:t>
      </w:r>
    </w:p>
    <w:p w:rsidR="00EB0078" w:rsidRPr="0012065E" w:rsidRDefault="00EB0078" w:rsidP="00000F01">
      <w:pPr>
        <w:pStyle w:val="ParaNoNdepar-AltN"/>
        <w:widowControl w:val="0"/>
        <w:rPr>
          <w:rFonts w:cs="Times New Roman"/>
        </w:rPr>
      </w:pPr>
      <w:r w:rsidRPr="0012065E">
        <w:rPr>
          <w:rFonts w:cs="Times New Roman"/>
        </w:rPr>
        <w:t>In my view, the appellants are right.</w:t>
      </w:r>
    </w:p>
    <w:p w:rsidR="00EB0078" w:rsidRPr="0012065E" w:rsidRDefault="00EB0078" w:rsidP="00000F01">
      <w:pPr>
        <w:pStyle w:val="Title1LevelTitre1Niveau-AltL"/>
        <w:widowControl w:val="0"/>
        <w:rPr>
          <w:rFonts w:cs="Times New Roman"/>
        </w:rPr>
      </w:pPr>
      <w:r w:rsidRPr="0012065E">
        <w:rPr>
          <w:rFonts w:cs="Times New Roman"/>
        </w:rPr>
        <w:t>Analysis</w:t>
      </w:r>
    </w:p>
    <w:p w:rsidR="00EB0078" w:rsidRPr="0012065E" w:rsidRDefault="00EB0078" w:rsidP="00000F01">
      <w:pPr>
        <w:pStyle w:val="ParaNoNdepar-AltN"/>
        <w:widowControl w:val="0"/>
        <w:rPr>
          <w:rFonts w:cs="Times New Roman"/>
        </w:rPr>
      </w:pPr>
      <w:r w:rsidRPr="0012065E">
        <w:rPr>
          <w:rFonts w:cs="Times New Roman"/>
        </w:rPr>
        <w:t xml:space="preserve">Over time, the federal government has multiplied its initiatives designed, </w:t>
      </w:r>
      <w:r w:rsidRPr="0012065E">
        <w:rPr>
          <w:rFonts w:cs="Times New Roman"/>
          <w:i/>
        </w:rPr>
        <w:t>inter alia</w:t>
      </w:r>
      <w:r w:rsidRPr="0012065E">
        <w:rPr>
          <w:rFonts w:cs="Times New Roman"/>
        </w:rPr>
        <w:t>, to better respond to the realities of the agricultural sector. Each of these initiatives has its own characteristics and could result in double compensation if it is not properly taken into account, which is why s. 88(3) of the ASRA Program was adopted:</w:t>
      </w:r>
    </w:p>
    <w:p w:rsidR="00EB0078" w:rsidRPr="0012065E" w:rsidRDefault="00EB0078" w:rsidP="00000F01">
      <w:pPr>
        <w:pStyle w:val="Citation-AltC"/>
        <w:widowControl w:val="0"/>
        <w:tabs>
          <w:tab w:val="left" w:pos="1800"/>
        </w:tabs>
        <w:spacing w:after="240"/>
        <w:contextualSpacing w:val="0"/>
      </w:pPr>
      <w:r w:rsidRPr="0012065E">
        <w:t>[</w:t>
      </w:r>
      <w:r w:rsidRPr="0012065E">
        <w:rPr>
          <w:smallCaps/>
        </w:rPr>
        <w:t>translation</w:t>
      </w:r>
      <w:r w:rsidRPr="0012065E">
        <w:t>]</w:t>
      </w:r>
    </w:p>
    <w:p w:rsidR="00EB0078" w:rsidRPr="0012065E" w:rsidRDefault="00EB0078" w:rsidP="00000F01">
      <w:pPr>
        <w:pStyle w:val="Citation-AltC"/>
        <w:widowControl w:val="0"/>
        <w:tabs>
          <w:tab w:val="left" w:pos="1800"/>
        </w:tabs>
        <w:spacing w:after="240"/>
        <w:contextualSpacing w:val="0"/>
      </w:pPr>
      <w:r w:rsidRPr="0012065E">
        <w:rPr>
          <w:b/>
        </w:rPr>
        <w:t>88.</w:t>
      </w:r>
      <w:r w:rsidRPr="0012065E">
        <w:tab/>
        <w:t>The following items shall be taken into account in calculating annual receipts:</w:t>
      </w:r>
    </w:p>
    <w:p w:rsidR="00EB0078" w:rsidRPr="0012065E" w:rsidRDefault="00EB0078" w:rsidP="00000F01">
      <w:pPr>
        <w:pStyle w:val="Citation-AltC"/>
        <w:widowControl w:val="0"/>
        <w:tabs>
          <w:tab w:val="left" w:pos="1800"/>
        </w:tabs>
        <w:spacing w:after="240"/>
        <w:contextualSpacing w:val="0"/>
        <w:jc w:val="center"/>
      </w:pPr>
      <w:r w:rsidRPr="0012065E">
        <w:t>. . .</w:t>
      </w:r>
    </w:p>
    <w:p w:rsidR="00EB0078" w:rsidRPr="0012065E" w:rsidRDefault="00EB0078" w:rsidP="00000F01">
      <w:pPr>
        <w:pStyle w:val="Citation-AltC"/>
        <w:widowControl w:val="0"/>
        <w:tabs>
          <w:tab w:val="left" w:pos="1800"/>
        </w:tabs>
        <w:contextualSpacing w:val="0"/>
      </w:pPr>
      <w:r w:rsidRPr="0012065E">
        <w:rPr>
          <w:lang w:val="en-US"/>
        </w:rPr>
        <w:lastRenderedPageBreak/>
        <w:t>3°</w:t>
      </w:r>
      <w:r w:rsidRPr="0012065E">
        <w:rPr>
          <w:lang w:val="en-US"/>
        </w:rPr>
        <w:tab/>
      </w:r>
      <w:r w:rsidRPr="0012065E">
        <w:rPr>
          <w:u w:val="single"/>
        </w:rPr>
        <w:t>Any amounts to which a participant is entitled</w:t>
      </w:r>
      <w:r w:rsidRPr="0012065E">
        <w:t xml:space="preserve"> on the basis of the volume of marketed products and secondary products and that are granted by government agencies in the form of price compensation for the insurable product or under a government farm business risk management program.</w:t>
      </w:r>
    </w:p>
    <w:p w:rsidR="00EB0078" w:rsidRPr="0012065E" w:rsidRDefault="00EB0078" w:rsidP="00000F01">
      <w:pPr>
        <w:pStyle w:val="ParaNoNdepar-AltN"/>
        <w:widowControl w:val="0"/>
        <w:rPr>
          <w:rFonts w:cs="Times New Roman"/>
          <w:i/>
        </w:rPr>
      </w:pPr>
      <w:r w:rsidRPr="0012065E">
        <w:rPr>
          <w:rFonts w:cs="Times New Roman"/>
        </w:rPr>
        <w:t xml:space="preserve">I agree that La Financière must, in administering the ASRA Program, be able to adjust its stabilization insurance initiatives on the basis of the various measures that are adopted by other government agencies on an </w:t>
      </w:r>
      <w:r w:rsidRPr="0012065E">
        <w:rPr>
          <w:rFonts w:cs="Times New Roman"/>
          <w:i/>
        </w:rPr>
        <w:t>ad hoc</w:t>
      </w:r>
      <w:r w:rsidRPr="0012065E">
        <w:rPr>
          <w:rFonts w:cs="Times New Roman"/>
        </w:rPr>
        <w:t xml:space="preserve"> or recurring basis. However, it must do so in accordance with the provisions of the ASRA Program, including s. 88(3).</w:t>
      </w:r>
    </w:p>
    <w:p w:rsidR="00EB0078" w:rsidRPr="0012065E" w:rsidRDefault="00EB0078" w:rsidP="00000F01">
      <w:pPr>
        <w:pStyle w:val="ParaNoNdepar-AltN"/>
        <w:widowControl w:val="0"/>
        <w:rPr>
          <w:rFonts w:cs="Times New Roman"/>
        </w:rPr>
      </w:pPr>
      <w:r w:rsidRPr="0012065E">
        <w:rPr>
          <w:rFonts w:cs="Times New Roman"/>
        </w:rPr>
        <w:t>As La Financière itself admits, there are limits on its ability to adjust to the initiatives of other granting organizations and to take into account the amounts to which participants are entitled under other programs. Once the ASRA Program had been adopted, La Financière had to comply with the rules of the game it had itself established. Although the limits are not numerous, they do exist. It goes without saying that La Financière must in all circumstances treat the participants fairly and act in good faith, but it must also comply with the ASRA Program’s express provisions.</w:t>
      </w:r>
    </w:p>
    <w:p w:rsidR="00EB0078" w:rsidRPr="0012065E" w:rsidRDefault="00EB0078" w:rsidP="00000F01">
      <w:pPr>
        <w:pStyle w:val="ParaNoNdepar-AltN"/>
        <w:widowControl w:val="0"/>
        <w:rPr>
          <w:rFonts w:cs="Times New Roman"/>
        </w:rPr>
      </w:pPr>
      <w:r w:rsidRPr="0012065E">
        <w:rPr>
          <w:rFonts w:cs="Times New Roman"/>
        </w:rPr>
        <w:t>In the case of amounts received directly from other granting organizations that can be considered to be annual receipts, La Financière’s discretion is expressly limited. Section 88(3) of the ASRA Program provides that, in calculating annual receipts, La Financière must take into account [</w:t>
      </w:r>
      <w:r w:rsidRPr="0012065E">
        <w:rPr>
          <w:rFonts w:cs="Times New Roman"/>
          <w:smallCaps/>
        </w:rPr>
        <w:t>translation</w:t>
      </w:r>
      <w:r w:rsidRPr="0012065E">
        <w:rPr>
          <w:rFonts w:cs="Times New Roman"/>
        </w:rPr>
        <w:t xml:space="preserve">] “[a]ny amounts to which </w:t>
      </w:r>
      <w:r w:rsidRPr="0012065E">
        <w:rPr>
          <w:rFonts w:cs="Times New Roman"/>
          <w:u w:val="single"/>
        </w:rPr>
        <w:t>a participant is entitled</w:t>
      </w:r>
      <w:r w:rsidRPr="0012065E">
        <w:rPr>
          <w:rFonts w:cs="Times New Roman"/>
        </w:rPr>
        <w:t xml:space="preserve"> on the basis of the volume of marketed products and secondary </w:t>
      </w:r>
      <w:r w:rsidRPr="0012065E">
        <w:rPr>
          <w:rFonts w:cs="Times New Roman"/>
        </w:rPr>
        <w:lastRenderedPageBreak/>
        <w:t>products”.</w:t>
      </w:r>
    </w:p>
    <w:p w:rsidR="00EB0078" w:rsidRPr="0012065E" w:rsidRDefault="00EB0078" w:rsidP="00000F01">
      <w:pPr>
        <w:pStyle w:val="ParaNoNdepar-AltN"/>
        <w:widowControl w:val="0"/>
        <w:rPr>
          <w:rFonts w:cs="Times New Roman"/>
        </w:rPr>
      </w:pPr>
      <w:r w:rsidRPr="0012065E">
        <w:rPr>
          <w:rFonts w:cs="Times New Roman"/>
        </w:rPr>
        <w:t>In this case, La Financière’s conduct is problematic from two points of view: the purpose of s. 88(3) and its wording.</w:t>
      </w:r>
    </w:p>
    <w:p w:rsidR="00EB0078" w:rsidRPr="0012065E" w:rsidRDefault="00EB0078" w:rsidP="00000F01">
      <w:pPr>
        <w:pStyle w:val="Title2LevelTitre2Niveau"/>
        <w:widowControl w:val="0"/>
        <w:rPr>
          <w:rFonts w:cs="Times New Roman"/>
        </w:rPr>
      </w:pPr>
      <w:r w:rsidRPr="0012065E">
        <w:rPr>
          <w:rFonts w:cs="Times New Roman"/>
        </w:rPr>
        <w:t>Purpose of Section 88(3): To Avoid Double Compensation</w:t>
      </w:r>
    </w:p>
    <w:p w:rsidR="00EB0078" w:rsidRPr="0012065E" w:rsidRDefault="00EB0078" w:rsidP="00000F01">
      <w:pPr>
        <w:pStyle w:val="ParaNoNdepar-AltN"/>
        <w:widowControl w:val="0"/>
        <w:rPr>
          <w:rFonts w:cs="Times New Roman"/>
        </w:rPr>
      </w:pPr>
      <w:r w:rsidRPr="0012065E">
        <w:rPr>
          <w:rFonts w:cs="Times New Roman"/>
        </w:rPr>
        <w:t>In its factum and at the hearing in this Court, La Financière acknowledged that the purpose of s. 88(3) is to avoid double compensation for a single loss. Its representatives also acknowledged this in their testimony. When, as in this case, the federal government grants and pays a specific amount directly to a participant, the linkage must be based on that amount.</w:t>
      </w:r>
    </w:p>
    <w:p w:rsidR="00EB0078" w:rsidRPr="0012065E" w:rsidRDefault="00EB0078" w:rsidP="00000F01">
      <w:pPr>
        <w:pStyle w:val="ParaNoNdepar-AltN"/>
        <w:widowControl w:val="0"/>
        <w:rPr>
          <w:rFonts w:cs="Times New Roman"/>
        </w:rPr>
      </w:pPr>
      <w:r w:rsidRPr="0012065E">
        <w:rPr>
          <w:rFonts w:cs="Times New Roman"/>
        </w:rPr>
        <w:t xml:space="preserve">By applying s. 88(3) to attribute excessively high notional amounts to some participants, La Financière diverted that provision from its purpose. La Financière used s. 88(3) not to avoid double compensation but to arbitrarily reduce the compensation to which many participants would otherwise have been entitled under the ASRA Program. </w:t>
      </w:r>
    </w:p>
    <w:p w:rsidR="00EB0078" w:rsidRPr="0012065E" w:rsidRDefault="00EB0078" w:rsidP="00000F01">
      <w:pPr>
        <w:pStyle w:val="ParaNoNdepar-AltN"/>
        <w:widowControl w:val="0"/>
        <w:rPr>
          <w:rFonts w:cs="Times New Roman"/>
        </w:rPr>
      </w:pPr>
      <w:r w:rsidRPr="0012065E">
        <w:rPr>
          <w:rFonts w:cs="Times New Roman"/>
        </w:rPr>
        <w:t xml:space="preserve">Although s. 88(3) authorizes La Financière to ensure that participants do not receive double compensation, it does not permit La Financière to attribute notional amounts to some participants </w:t>
      </w:r>
      <w:r w:rsidRPr="0012065E">
        <w:rPr>
          <w:rFonts w:cs="Times New Roman"/>
          <w:i/>
        </w:rPr>
        <w:t>in order to overcompensate other participants for policy reasons</w:t>
      </w:r>
      <w:r w:rsidRPr="0012065E">
        <w:rPr>
          <w:rFonts w:cs="Times New Roman"/>
        </w:rPr>
        <w:t xml:space="preserve">. In other words, La Financière deprived some participants of the compensation </w:t>
      </w:r>
      <w:r w:rsidRPr="0012065E">
        <w:rPr>
          <w:rFonts w:cs="Times New Roman"/>
        </w:rPr>
        <w:lastRenderedPageBreak/>
        <w:t xml:space="preserve">they were owed </w:t>
      </w:r>
      <w:r w:rsidRPr="0012065E">
        <w:rPr>
          <w:rFonts w:cs="Times New Roman"/>
          <w:i/>
        </w:rPr>
        <w:t>in order to add to the compensation paid to others</w:t>
      </w:r>
      <w:r w:rsidRPr="0012065E">
        <w:rPr>
          <w:rFonts w:cs="Times New Roman"/>
        </w:rPr>
        <w:t>. Thus, not only did the chosen linkage method not make it possible to avoid double compensation, it also prevented many participants from receiving the full compensation to which they were entitled under the ASRA Program. That full compensation is the very reason why participants choose to participate in that program.</w:t>
      </w:r>
    </w:p>
    <w:p w:rsidR="00EB0078" w:rsidRPr="0012065E" w:rsidRDefault="00EB0078" w:rsidP="00000F01">
      <w:pPr>
        <w:pStyle w:val="ParaNoNdepar-AltN"/>
        <w:widowControl w:val="0"/>
        <w:rPr>
          <w:rFonts w:cs="Times New Roman"/>
        </w:rPr>
      </w:pPr>
      <w:r w:rsidRPr="0012065E">
        <w:rPr>
          <w:rFonts w:cs="Times New Roman"/>
        </w:rPr>
        <w:t>That decision is particularly troubling for participants, who, since they are unable to negotiate the terms of the ASRA Program, must be able to rely on the program’s provisions to determine whether it is in their interest to participate. While it is true that La Financière’s mission is broad, that mission does not authorize it to subvert the purpose of the ASRA Program by assuming a discretion it does not have. La Financière’s mission does not authorize it to penalize its participants for participating in other programs.</w:t>
      </w:r>
    </w:p>
    <w:p w:rsidR="00EB0078" w:rsidRPr="0012065E" w:rsidRDefault="00EB0078" w:rsidP="00000F01">
      <w:pPr>
        <w:pStyle w:val="ParaNoNdepar-AltN"/>
        <w:widowControl w:val="0"/>
        <w:rPr>
          <w:rFonts w:cs="Times New Roman"/>
        </w:rPr>
      </w:pPr>
      <w:r w:rsidRPr="0012065E">
        <w:rPr>
          <w:rFonts w:cs="Times New Roman"/>
        </w:rPr>
        <w:t>To maintain, as my colleagues do, that the only purpose of s. 88(3) is “to account for other income that could have an impact on the financial needs of the average benchmark farm” (para. 71) amounts to giving La Financière an absolute discretion that the words of s. 88(3) do not authorize. This line of reasoning implies that La Financière can disregard the inherent limits of federal programs in order to redistribute amounts, even notional ones.</w:t>
      </w:r>
    </w:p>
    <w:p w:rsidR="00EB0078" w:rsidRPr="0012065E" w:rsidRDefault="00EB0078" w:rsidP="00000F01">
      <w:pPr>
        <w:pStyle w:val="ParaNoNdepar-AltN"/>
        <w:widowControl w:val="0"/>
        <w:rPr>
          <w:rFonts w:cs="Times New Roman"/>
        </w:rPr>
      </w:pPr>
      <w:r w:rsidRPr="00EB0078">
        <w:rPr>
          <w:rFonts w:cs="Times New Roman"/>
          <w:lang w:val="fr-CA"/>
        </w:rPr>
        <w:t>La Financière admits, at para. </w:t>
      </w:r>
      <w:r w:rsidRPr="0012065E">
        <w:rPr>
          <w:rFonts w:cs="Times New Roman"/>
        </w:rPr>
        <w:t xml:space="preserve">14 of its factum, that the purpose of s. 88(3) is to avoid double compensation in respect of the amounts to which farming businesses </w:t>
      </w:r>
      <w:r w:rsidRPr="0012065E">
        <w:rPr>
          <w:rFonts w:cs="Times New Roman"/>
        </w:rPr>
        <w:lastRenderedPageBreak/>
        <w:t>that participate in the ASRA Program are entitled:</w:t>
      </w:r>
    </w:p>
    <w:p w:rsidR="00EB0078" w:rsidRPr="0012065E" w:rsidRDefault="00EB0078" w:rsidP="00000F01">
      <w:pPr>
        <w:pStyle w:val="Citation-AltC"/>
        <w:widowControl w:val="0"/>
        <w:ind w:firstLine="274"/>
      </w:pPr>
      <w:r w:rsidRPr="0012065E">
        <w:t>[</w:t>
      </w:r>
      <w:r w:rsidRPr="0012065E">
        <w:rPr>
          <w:smallCaps/>
        </w:rPr>
        <w:t>translation</w:t>
      </w:r>
      <w:r w:rsidRPr="0012065E">
        <w:t xml:space="preserve">] Given that </w:t>
      </w:r>
      <w:r w:rsidRPr="0012065E">
        <w:rPr>
          <w:u w:val="single"/>
        </w:rPr>
        <w:t>farming businesses that participate in ASRA</w:t>
      </w:r>
      <w:r w:rsidRPr="0012065E">
        <w:t xml:space="preserve"> can also benefit from federal farm income support programs, </w:t>
      </w:r>
      <w:r w:rsidRPr="0012065E">
        <w:rPr>
          <w:u w:val="single"/>
        </w:rPr>
        <w:t>the Respondent is required to take amounts to which a participant would be entitled under those programs into account in order to avoid double compensation</w:t>
      </w:r>
      <w:r w:rsidRPr="0012065E">
        <w:t>. This follows from s. 88, s. 86 second para. and the definition of “annual receipts” set out in s. 2 of ASRA, which are quoted above. [Emphasis added.]</w:t>
      </w:r>
    </w:p>
    <w:p w:rsidR="00EB0078" w:rsidRPr="0012065E" w:rsidRDefault="00EB0078" w:rsidP="00000F01">
      <w:pPr>
        <w:pStyle w:val="ParaNoNdepar-AltN"/>
        <w:widowControl w:val="0"/>
        <w:rPr>
          <w:rFonts w:cs="Times New Roman"/>
        </w:rPr>
      </w:pPr>
      <w:r w:rsidRPr="0012065E">
        <w:rPr>
          <w:rFonts w:cs="Times New Roman"/>
        </w:rPr>
        <w:t>The proposition that the double compensation to which the parties refer is not the double compensation of an individual participant also contradicts the trial judge’s conclusion concerning the purpose of s. 88(3): paras. 21, 54 and 98. My colleagues identify no palpable or overriding error in this regard.</w:t>
      </w:r>
    </w:p>
    <w:p w:rsidR="00EB0078" w:rsidRPr="0012065E" w:rsidRDefault="00EB0078" w:rsidP="00000F01">
      <w:pPr>
        <w:pStyle w:val="Title2LevelTitre2Niveau"/>
        <w:widowControl w:val="0"/>
        <w:rPr>
          <w:rFonts w:cs="Times New Roman"/>
        </w:rPr>
      </w:pPr>
      <w:r w:rsidRPr="0012065E">
        <w:rPr>
          <w:rFonts w:cs="Times New Roman"/>
        </w:rPr>
        <w:t>Stipulations of the Contract</w:t>
      </w:r>
    </w:p>
    <w:p w:rsidR="00EB0078" w:rsidRPr="0012065E" w:rsidRDefault="00EB0078" w:rsidP="00000F01">
      <w:pPr>
        <w:pStyle w:val="ParaNoNdepar-AltN"/>
        <w:widowControl w:val="0"/>
        <w:rPr>
          <w:rFonts w:cs="Times New Roman"/>
        </w:rPr>
      </w:pPr>
      <w:r w:rsidRPr="0012065E">
        <w:rPr>
          <w:rFonts w:cs="Times New Roman"/>
        </w:rPr>
        <w:t>It is true that the ASRA Program is primarily collective in nature, since its goal is to pay compensation for decreases in the income of insured businesses that is based on receipts and expenses calculated using a benchmark farm model. In other words, it does not necessarily cover each participant’s individual losses. It is also true that La Financière has some discretion as regards the data it can take into account for the general purposes of its calculations. Section 87 provides that La Financière can adjust and fix the [</w:t>
      </w:r>
      <w:r w:rsidRPr="0012065E">
        <w:rPr>
          <w:rFonts w:cs="Times New Roman"/>
          <w:smallCaps/>
        </w:rPr>
        <w:t>translation</w:t>
      </w:r>
      <w:r w:rsidRPr="0012065E">
        <w:rPr>
          <w:rFonts w:cs="Times New Roman"/>
        </w:rPr>
        <w:t xml:space="preserve">] “net annual income on the basis of statistical studies or of any other data it deems relevant”. However, that section does not authorize it to disregard the provisions of the ASRA Program, including the specific provision on how </w:t>
      </w:r>
      <w:r w:rsidRPr="0012065E">
        <w:rPr>
          <w:rFonts w:cs="Times New Roman"/>
        </w:rPr>
        <w:lastRenderedPageBreak/>
        <w:t>amounts received from other government agencies are to be taken into account.</w:t>
      </w:r>
    </w:p>
    <w:p w:rsidR="00EB0078" w:rsidRPr="0012065E" w:rsidRDefault="00EB0078" w:rsidP="00000F01">
      <w:pPr>
        <w:pStyle w:val="ParaNoNdepar-AltN"/>
        <w:widowControl w:val="0"/>
        <w:rPr>
          <w:rFonts w:cs="Times New Roman"/>
        </w:rPr>
      </w:pPr>
      <w:r w:rsidRPr="0012065E">
        <w:rPr>
          <w:rFonts w:cs="Times New Roman"/>
        </w:rPr>
        <w:t>Section 88(3) gives La Financière the power to take into account [</w:t>
      </w:r>
      <w:r w:rsidRPr="0012065E">
        <w:rPr>
          <w:rFonts w:cs="Times New Roman"/>
          <w:smallCaps/>
        </w:rPr>
        <w:t>translation</w:t>
      </w:r>
      <w:r w:rsidRPr="0012065E">
        <w:rPr>
          <w:rFonts w:cs="Times New Roman"/>
        </w:rPr>
        <w:t xml:space="preserve">] “amounts to which a participant </w:t>
      </w:r>
      <w:r w:rsidRPr="0012065E">
        <w:rPr>
          <w:rFonts w:cs="Times New Roman"/>
          <w:u w:val="single"/>
        </w:rPr>
        <w:t>is entitled</w:t>
      </w:r>
      <w:r w:rsidRPr="0012065E">
        <w:rPr>
          <w:rFonts w:cs="Times New Roman"/>
        </w:rPr>
        <w:t>” under a program of another granting organization. This means that La Financière cannot be penalized by a participant’s decision not to participate in such a program. On the other hand, La Financière may not penalize a participant for amounts to which he or she is not entitled owing to the inherent limits of those other programs. For example, it cannot take into account amounts to which a participant is not entitled owing to caps imposed by such programs. Whatever linkage method is chosen, La Financière must take the characteristics of the programs into account when amounts are granted under them to its participants on an individual basis. If it disregards the inherent limits of those programs and if the amounts attributed to participants bear no relation to the amounts they actually received, it is in breach of its contractual obligations.</w:t>
      </w:r>
    </w:p>
    <w:p w:rsidR="00EB0078" w:rsidRPr="0012065E" w:rsidRDefault="00EB0078" w:rsidP="00000F01">
      <w:pPr>
        <w:pStyle w:val="ParaNoNdepar-AltN"/>
        <w:widowControl w:val="0"/>
        <w:rPr>
          <w:rFonts w:cs="Times New Roman"/>
        </w:rPr>
      </w:pPr>
      <w:r w:rsidRPr="0012065E">
        <w:rPr>
          <w:rFonts w:cs="Times New Roman"/>
        </w:rPr>
        <w:t xml:space="preserve">In the past, as to the Canadian Agricultural Income Stabilization program (“CAIS program”), the only other program that imposed caps, La Financière linked amounts individually. Section 88(4), which deals with the consideration of amounts obtained under the CAIS program, also refers to amounts to which a participant is </w:t>
      </w:r>
      <w:r w:rsidRPr="0012065E">
        <w:rPr>
          <w:rFonts w:cs="Times New Roman"/>
          <w:i/>
        </w:rPr>
        <w:t>entitled</w:t>
      </w:r>
      <w:r w:rsidRPr="0012065E">
        <w:rPr>
          <w:rFonts w:cs="Times New Roman"/>
        </w:rPr>
        <w:t>:</w:t>
      </w:r>
    </w:p>
    <w:p w:rsidR="00EB0078" w:rsidRPr="0012065E" w:rsidRDefault="00EB0078" w:rsidP="00000F01">
      <w:pPr>
        <w:pStyle w:val="Citation-AltC"/>
        <w:widowControl w:val="0"/>
        <w:tabs>
          <w:tab w:val="left" w:pos="1800"/>
        </w:tabs>
        <w:spacing w:before="240" w:after="240"/>
        <w:contextualSpacing w:val="0"/>
      </w:pPr>
      <w:r w:rsidRPr="0012065E">
        <w:t>[</w:t>
      </w:r>
      <w:r w:rsidRPr="0012065E">
        <w:rPr>
          <w:smallCaps/>
        </w:rPr>
        <w:t>translation</w:t>
      </w:r>
      <w:r w:rsidRPr="0012065E">
        <w:t>]</w:t>
      </w:r>
    </w:p>
    <w:p w:rsidR="00EB0078" w:rsidRPr="0012065E" w:rsidRDefault="00EB0078" w:rsidP="00000F01">
      <w:pPr>
        <w:pStyle w:val="Citation-AltC"/>
        <w:widowControl w:val="0"/>
        <w:tabs>
          <w:tab w:val="left" w:pos="1800"/>
        </w:tabs>
        <w:spacing w:before="240" w:after="240"/>
        <w:contextualSpacing w:val="0"/>
      </w:pPr>
      <w:r w:rsidRPr="0012065E">
        <w:rPr>
          <w:b/>
        </w:rPr>
        <w:t>88.</w:t>
      </w:r>
      <w:r w:rsidRPr="0012065E">
        <w:tab/>
        <w:t>The following items shall be taken into account in calculating annual receipts:</w:t>
      </w:r>
    </w:p>
    <w:p w:rsidR="00EB0078" w:rsidRPr="0012065E" w:rsidRDefault="00EB0078" w:rsidP="00000F01">
      <w:pPr>
        <w:pStyle w:val="Citation-AltC"/>
        <w:widowControl w:val="0"/>
        <w:tabs>
          <w:tab w:val="left" w:pos="1800"/>
        </w:tabs>
        <w:spacing w:before="240" w:after="240"/>
        <w:contextualSpacing w:val="0"/>
        <w:jc w:val="center"/>
      </w:pPr>
      <w:r w:rsidRPr="0012065E">
        <w:lastRenderedPageBreak/>
        <w:t>. . .</w:t>
      </w:r>
    </w:p>
    <w:p w:rsidR="00EB0078" w:rsidRPr="0012065E" w:rsidRDefault="00EB0078" w:rsidP="00000F01">
      <w:pPr>
        <w:pStyle w:val="Citation-AltC"/>
        <w:widowControl w:val="0"/>
        <w:tabs>
          <w:tab w:val="left" w:pos="1800"/>
        </w:tabs>
        <w:spacing w:before="240" w:after="240"/>
        <w:contextualSpacing w:val="0"/>
      </w:pPr>
      <w:r w:rsidRPr="0012065E">
        <w:rPr>
          <w:lang w:val="en-US"/>
        </w:rPr>
        <w:t>4°</w:t>
      </w:r>
      <w:r w:rsidRPr="0012065E">
        <w:rPr>
          <w:lang w:val="en-US"/>
        </w:rPr>
        <w:tab/>
      </w:r>
      <w:r w:rsidRPr="0012065E">
        <w:t>An amount that represents the amount to which the participant is entitled, for the insurance year or part of the insurance year, on the basis of deemed participation at a coverage level of 100% in the Canadian Agricultural Income Stabilization (CAIS) program divided by two thirds.</w:t>
      </w:r>
    </w:p>
    <w:p w:rsidR="00EB0078" w:rsidRPr="0012065E" w:rsidRDefault="00EB0078" w:rsidP="00000F01">
      <w:pPr>
        <w:pStyle w:val="Citation-AltC"/>
        <w:widowControl w:val="0"/>
        <w:spacing w:before="240" w:after="240"/>
        <w:contextualSpacing w:val="0"/>
      </w:pPr>
      <w:r w:rsidRPr="0012065E">
        <w:t>However, the amount to which the participant is entitled for the purposes of this calculation may not exceed two thirds of the difference between the participant’s production margin and the participant’s CAIS program reference margin.</w:t>
      </w:r>
    </w:p>
    <w:p w:rsidR="00EB0078" w:rsidRPr="0012065E" w:rsidRDefault="00EB0078" w:rsidP="00000F01">
      <w:pPr>
        <w:pStyle w:val="ParaNoNdepar-AltN"/>
        <w:widowControl w:val="0"/>
        <w:rPr>
          <w:rFonts w:cs="Times New Roman"/>
        </w:rPr>
      </w:pPr>
      <w:r w:rsidRPr="0012065E">
        <w:rPr>
          <w:rFonts w:cs="Times New Roman"/>
        </w:rPr>
        <w:t>More importantly, by referring to a “participant”, s. 88(3) requires La Financière to take into account the amounts that were actually received. The term “participant”</w:t>
      </w:r>
      <w:r w:rsidR="00CB6EFC">
        <w:rPr>
          <w:rFonts w:cs="Times New Roman"/>
        </w:rPr>
        <w:t xml:space="preserve"> (</w:t>
      </w:r>
      <w:proofErr w:type="spellStart"/>
      <w:r w:rsidR="00CB6EFC">
        <w:rPr>
          <w:rFonts w:cs="Times New Roman"/>
          <w:i/>
        </w:rPr>
        <w:t>adhé</w:t>
      </w:r>
      <w:r w:rsidR="00CB6EFC" w:rsidRPr="00CB6EFC">
        <w:rPr>
          <w:rFonts w:cs="Times New Roman"/>
          <w:i/>
        </w:rPr>
        <w:t>rent</w:t>
      </w:r>
      <w:proofErr w:type="spellEnd"/>
      <w:r w:rsidR="00CB6EFC">
        <w:rPr>
          <w:rFonts w:cs="Times New Roman"/>
        </w:rPr>
        <w:t>)</w:t>
      </w:r>
      <w:r w:rsidRPr="0012065E">
        <w:rPr>
          <w:rFonts w:cs="Times New Roman"/>
        </w:rPr>
        <w:t xml:space="preserve"> is defined in s. 2 of the ASRA Program as [</w:t>
      </w:r>
      <w:r w:rsidRPr="0012065E">
        <w:rPr>
          <w:rFonts w:cs="Times New Roman"/>
          <w:smallCaps/>
        </w:rPr>
        <w:t>translation</w:t>
      </w:r>
      <w:r w:rsidRPr="0012065E">
        <w:rPr>
          <w:rFonts w:cs="Times New Roman"/>
        </w:rPr>
        <w:t xml:space="preserve">] “a farming business, or any group of farming businesses that is recognized as eligible by the Program, </w:t>
      </w:r>
      <w:r w:rsidR="00ED0655">
        <w:rPr>
          <w:rFonts w:cs="Times New Roman"/>
        </w:rPr>
        <w:t>that</w:t>
      </w:r>
      <w:r w:rsidRPr="0012065E">
        <w:rPr>
          <w:rFonts w:cs="Times New Roman"/>
        </w:rPr>
        <w:t xml:space="preserve"> participates in the Program”. This definition refers to an individual participant in the ASRA Program, not to a “benchmark farm”, just as the definition of “annual receipts”</w:t>
      </w:r>
      <w:r w:rsidR="00ED0655">
        <w:rPr>
          <w:rFonts w:cs="Times New Roman"/>
        </w:rPr>
        <w:t xml:space="preserve"> (</w:t>
      </w:r>
      <w:proofErr w:type="spellStart"/>
      <w:r w:rsidR="00ED0655" w:rsidRPr="00ED0655">
        <w:rPr>
          <w:rFonts w:cs="Times New Roman"/>
          <w:i/>
        </w:rPr>
        <w:t>recettes</w:t>
      </w:r>
      <w:proofErr w:type="spellEnd"/>
      <w:r w:rsidR="00ED0655" w:rsidRPr="00ED0655">
        <w:rPr>
          <w:rFonts w:cs="Times New Roman"/>
          <w:i/>
        </w:rPr>
        <w:t xml:space="preserve"> </w:t>
      </w:r>
      <w:proofErr w:type="spellStart"/>
      <w:r w:rsidR="00ED0655" w:rsidRPr="00ED0655">
        <w:rPr>
          <w:rFonts w:cs="Times New Roman"/>
          <w:i/>
        </w:rPr>
        <w:t>annuelles</w:t>
      </w:r>
      <w:proofErr w:type="spellEnd"/>
      <w:r w:rsidR="00ED0655">
        <w:rPr>
          <w:rFonts w:cs="Times New Roman"/>
        </w:rPr>
        <w:t>)</w:t>
      </w:r>
      <w:r w:rsidRPr="0012065E">
        <w:rPr>
          <w:rFonts w:cs="Times New Roman"/>
        </w:rPr>
        <w:t>, also in s. 2, refers to [</w:t>
      </w:r>
      <w:r w:rsidRPr="0012065E">
        <w:rPr>
          <w:rFonts w:cs="Times New Roman"/>
          <w:smallCaps/>
        </w:rPr>
        <w:t>translation</w:t>
      </w:r>
      <w:r w:rsidRPr="0012065E">
        <w:rPr>
          <w:rFonts w:cs="Times New Roman"/>
        </w:rPr>
        <w:t xml:space="preserve">] “compensation, subsidies or grants </w:t>
      </w:r>
      <w:r w:rsidRPr="0012065E">
        <w:rPr>
          <w:rFonts w:cs="Times New Roman"/>
          <w:u w:val="single"/>
        </w:rPr>
        <w:t>obtained</w:t>
      </w:r>
      <w:r w:rsidRPr="0012065E">
        <w:rPr>
          <w:rFonts w:cs="Times New Roman"/>
        </w:rPr>
        <w:t xml:space="preserve"> during the year from government agencies”, not to notionally attributed amounts that bear no relation to the amounts paid directly to the participant.</w:t>
      </w:r>
    </w:p>
    <w:p w:rsidR="00EB0078" w:rsidRPr="0012065E" w:rsidRDefault="00EB0078" w:rsidP="00000F01">
      <w:pPr>
        <w:pStyle w:val="ParaNoNdepar-AltN"/>
        <w:widowControl w:val="0"/>
        <w:rPr>
          <w:rFonts w:cs="Times New Roman"/>
        </w:rPr>
      </w:pPr>
      <w:r w:rsidRPr="0012065E">
        <w:rPr>
          <w:rFonts w:cs="Times New Roman"/>
        </w:rPr>
        <w:t xml:space="preserve">In this case, La Financière did not take the impact of the caps under the COPB and Kickstart programs into account, because the benchmark farm’s ANS were lower than those caps. If it had taken those caps into account, the difference between the amounts that were actually received and the attributed amounts would have been considerably smaller. Instead, it subtracted amounts in respect of some producers that represented up to 700.95 percent (Inter Agro inc.) of the amounts to which they were </w:t>
      </w:r>
      <w:r w:rsidRPr="0012065E">
        <w:rPr>
          <w:rFonts w:cs="Times New Roman"/>
        </w:rPr>
        <w:lastRenderedPageBreak/>
        <w:t xml:space="preserve">otherwise entitled under the ASRA Program. La Financière disregarded the amounts that had actually been received. </w:t>
      </w:r>
    </w:p>
    <w:p w:rsidR="00EB0078" w:rsidRPr="0012065E" w:rsidRDefault="00EB0078" w:rsidP="00000F01">
      <w:pPr>
        <w:pStyle w:val="ParaNoNdepar-AltN"/>
        <w:widowControl w:val="0"/>
        <w:rPr>
          <w:rFonts w:cs="Times New Roman"/>
        </w:rPr>
      </w:pPr>
      <w:r w:rsidRPr="0012065E">
        <w:rPr>
          <w:rFonts w:cs="Times New Roman"/>
        </w:rPr>
        <w:t>The evidence also shows that, where amounts have been granted directly to a producer under another program in the past, La Financière has never used a linkage method — whether collective or individual — that had the effect of negating the compensation to which participants were entitled by attributing amounts that disregarded the inherent limits of those programs. La Financière’s choice in the appellants’ cases is therefore also inconsistent with its past practices.</w:t>
      </w:r>
    </w:p>
    <w:p w:rsidR="00EB0078" w:rsidRPr="0012065E" w:rsidRDefault="00EB0078" w:rsidP="00000F01">
      <w:pPr>
        <w:pStyle w:val="ParaNoNdepar-AltN"/>
        <w:widowControl w:val="0"/>
        <w:rPr>
          <w:rFonts w:cs="Times New Roman"/>
        </w:rPr>
      </w:pPr>
      <w:r w:rsidRPr="0012065E">
        <w:rPr>
          <w:rFonts w:cs="Times New Roman"/>
        </w:rPr>
        <w:t>This was the conclusion reached by the trial judge, and I see no reason to intervene in this regard:</w:t>
      </w:r>
    </w:p>
    <w:p w:rsidR="00EB0078" w:rsidRPr="0012065E" w:rsidRDefault="00EB0078" w:rsidP="00000F01">
      <w:pPr>
        <w:pStyle w:val="Citation-AltC"/>
        <w:widowControl w:val="0"/>
        <w:tabs>
          <w:tab w:val="left" w:pos="1800"/>
        </w:tabs>
        <w:spacing w:before="240" w:after="240"/>
        <w:contextualSpacing w:val="0"/>
      </w:pPr>
      <w:r w:rsidRPr="0012065E">
        <w:tab/>
        <w:t>[</w:t>
      </w:r>
      <w:r w:rsidRPr="0012065E">
        <w:rPr>
          <w:smallCaps/>
        </w:rPr>
        <w:t>translation</w:t>
      </w:r>
      <w:r w:rsidRPr="0012065E">
        <w:t xml:space="preserve">] </w:t>
      </w:r>
      <w:r w:rsidRPr="0012065E">
        <w:rPr>
          <w:u w:val="single"/>
        </w:rPr>
        <w:t>La Financière agricole argues that it has a discretion to decide what method to use in linking amounts. It is right. However, its discretion must be exercised in accordance with the terms of the program (or the conditions of the contract) and in a reasonable manner.</w:t>
      </w:r>
    </w:p>
    <w:p w:rsidR="00EB0078" w:rsidRPr="0012065E" w:rsidRDefault="00EB0078" w:rsidP="00000F01">
      <w:pPr>
        <w:pStyle w:val="Citation-AltC"/>
        <w:widowControl w:val="0"/>
        <w:tabs>
          <w:tab w:val="left" w:pos="1800"/>
        </w:tabs>
        <w:spacing w:before="240" w:after="240"/>
        <w:contextualSpacing w:val="0"/>
      </w:pPr>
      <w:r w:rsidRPr="0012065E">
        <w:tab/>
        <w:t>In this case, the linkage method chosen by La Financière agricole was not reasonable, because it was not consistent with the terms of the program that was in force in 2007 and because it was not fair.</w:t>
      </w:r>
    </w:p>
    <w:p w:rsidR="00EB0078" w:rsidRPr="0012065E" w:rsidRDefault="00EB0078" w:rsidP="00000F01">
      <w:pPr>
        <w:pStyle w:val="Citation-AltC"/>
        <w:widowControl w:val="0"/>
        <w:spacing w:before="240" w:after="240"/>
        <w:contextualSpacing w:val="0"/>
        <w:jc w:val="center"/>
      </w:pPr>
      <w:r w:rsidRPr="0012065E">
        <w:t>. . .</w:t>
      </w:r>
    </w:p>
    <w:p w:rsidR="00EB0078" w:rsidRPr="0012065E" w:rsidRDefault="00EB0078" w:rsidP="00000F01">
      <w:pPr>
        <w:pStyle w:val="Citation-AltC"/>
        <w:widowControl w:val="0"/>
        <w:tabs>
          <w:tab w:val="left" w:pos="1800"/>
        </w:tabs>
        <w:spacing w:before="240" w:after="240"/>
        <w:contextualSpacing w:val="0"/>
      </w:pPr>
      <w:r w:rsidRPr="0012065E">
        <w:tab/>
      </w:r>
      <w:r w:rsidRPr="0012065E">
        <w:rPr>
          <w:u w:val="single"/>
        </w:rPr>
        <w:t>By using the benchmark farm model to collectively link the assistance provided by the federal government under the COPB and AgriInvest Kickstart programs, La Financière agricole transposed the effect of the cap on ANS to the insurable volume and thereby indirectly reduced the insurance coverage. Producers whose ANS exceeded $450,000 under COPB and $3 million under AgriInvest Kickstart were penalized, as their compensation was significantly reduced.</w:t>
      </w:r>
    </w:p>
    <w:p w:rsidR="00EB0078" w:rsidRPr="0012065E" w:rsidRDefault="00EB0078" w:rsidP="00000F01">
      <w:pPr>
        <w:pStyle w:val="Citation-AltC"/>
        <w:widowControl w:val="0"/>
        <w:tabs>
          <w:tab w:val="left" w:pos="1800"/>
        </w:tabs>
        <w:spacing w:before="240" w:after="240"/>
        <w:contextualSpacing w:val="0"/>
      </w:pPr>
      <w:r w:rsidRPr="0012065E">
        <w:tab/>
        <w:t xml:space="preserve">La Financière agricole also attributed to participants that had </w:t>
      </w:r>
      <w:r w:rsidRPr="0012065E">
        <w:lastRenderedPageBreak/>
        <w:t>received Kickstart benefits under the AgriInvest program the value of the contributions they would have had to pay to obtain the equivalent of those grants in ASRA compensation even though no contributions were required from them under the federal program.</w:t>
      </w:r>
    </w:p>
    <w:p w:rsidR="00EB0078" w:rsidRPr="0012065E" w:rsidRDefault="00EB0078" w:rsidP="00000F01">
      <w:pPr>
        <w:pStyle w:val="Citation-AltC"/>
        <w:widowControl w:val="0"/>
        <w:tabs>
          <w:tab w:val="left" w:pos="1800"/>
        </w:tabs>
        <w:spacing w:before="240" w:after="240"/>
        <w:contextualSpacing w:val="0"/>
      </w:pPr>
      <w:r w:rsidRPr="0012065E">
        <w:tab/>
        <w:t xml:space="preserve">The </w:t>
      </w:r>
      <w:r w:rsidR="006E14E1">
        <w:t>c</w:t>
      </w:r>
      <w:r w:rsidRPr="0012065E">
        <w:t>ourt is of the opinion that La Financière agricole did not exercise its discretion reasonably when it decided to link the amounts collectively. It should have linked them individually, because the collective approach created distortions that were too great and that unfairly penalized many participants.</w:t>
      </w:r>
    </w:p>
    <w:p w:rsidR="00EB0078" w:rsidRPr="0012065E" w:rsidRDefault="00EB0078" w:rsidP="00000F01">
      <w:pPr>
        <w:pStyle w:val="Citation-AltC"/>
        <w:widowControl w:val="0"/>
        <w:tabs>
          <w:tab w:val="left" w:pos="1800"/>
        </w:tabs>
        <w:spacing w:before="240" w:after="240"/>
        <w:contextualSpacing w:val="0"/>
      </w:pPr>
      <w:r w:rsidRPr="0012065E">
        <w:tab/>
      </w:r>
      <w:r w:rsidRPr="0012065E">
        <w:rPr>
          <w:u w:val="single"/>
        </w:rPr>
        <w:t>Those distortions were foreseeable. The representatives of La Financière agricole who testified before the court admitted that the decision to link the amounts collectively was one of policy and that La Financière agricole had made the choice to favour certain producers to the detriment of others. In doing so, it breached its contractual and statutory obligations to the plaintiffs. It acted arbitrarily.</w:t>
      </w:r>
    </w:p>
    <w:p w:rsidR="00EB0078" w:rsidRPr="0012065E" w:rsidRDefault="00EB0078" w:rsidP="00000F01">
      <w:pPr>
        <w:pStyle w:val="Citation-AltC"/>
        <w:widowControl w:val="0"/>
        <w:tabs>
          <w:tab w:val="left" w:pos="1800"/>
        </w:tabs>
        <w:spacing w:before="240" w:after="240"/>
        <w:contextualSpacing w:val="0"/>
      </w:pPr>
      <w:r w:rsidRPr="0012065E">
        <w:tab/>
      </w:r>
      <w:r w:rsidRPr="0012065E">
        <w:rPr>
          <w:u w:val="single"/>
        </w:rPr>
        <w:t>Some producers benefited from having the amounts linked collectively, as the reduction in their compensation was lower than the amounts they had received, but for others, the reduction was greater than the amounts they had received.</w:t>
      </w:r>
    </w:p>
    <w:p w:rsidR="00EB0078" w:rsidRPr="0012065E" w:rsidRDefault="00EB0078" w:rsidP="00000F01">
      <w:pPr>
        <w:pStyle w:val="Citation-AltC"/>
        <w:widowControl w:val="0"/>
        <w:tabs>
          <w:tab w:val="left" w:pos="1800"/>
        </w:tabs>
        <w:spacing w:before="240" w:after="240"/>
        <w:contextualSpacing w:val="0"/>
      </w:pPr>
      <w:r w:rsidRPr="0012065E">
        <w:tab/>
      </w:r>
      <w:r w:rsidRPr="0012065E">
        <w:rPr>
          <w:u w:val="single"/>
        </w:rPr>
        <w:t>In the former case, participants benefited from double compensation, while in the latter, the participants were not fully compensated for the insured loss despite the terms of the contract.</w:t>
      </w:r>
    </w:p>
    <w:p w:rsidR="00EB0078" w:rsidRPr="0012065E" w:rsidRDefault="00EB0078" w:rsidP="00000F01">
      <w:pPr>
        <w:pStyle w:val="Citation-AltC"/>
        <w:widowControl w:val="0"/>
        <w:tabs>
          <w:tab w:val="left" w:pos="1800"/>
        </w:tabs>
        <w:spacing w:before="240"/>
        <w:contextualSpacing w:val="0"/>
      </w:pPr>
      <w:r w:rsidRPr="0012065E">
        <w:tab/>
        <w:t xml:space="preserve">When all is said and done, the linkage method chosen by La Financière agricole had the effect of creating two classes of participants, which is discriminatory. </w:t>
      </w:r>
      <w:r w:rsidRPr="0012065E">
        <w:rPr>
          <w:u w:val="single"/>
        </w:rPr>
        <w:t>Moreover, in many cases, it did not contribute to avoiding double compensation, while in others, it prevented participants from receiving the compensation provided for in the contract, which is improper.</w:t>
      </w:r>
      <w:r w:rsidRPr="0012065E">
        <w:t xml:space="preserve"> [Emphasis added; paras. 161</w:t>
      </w:r>
      <w:r w:rsidRPr="0012065E">
        <w:noBreakHyphen/>
        <w:t>70.]</w:t>
      </w:r>
    </w:p>
    <w:p w:rsidR="00EB0078" w:rsidRPr="0012065E" w:rsidRDefault="00EB0078" w:rsidP="00000F01">
      <w:pPr>
        <w:pStyle w:val="ParaNoNdepar-AltN"/>
        <w:widowControl w:val="0"/>
        <w:rPr>
          <w:rFonts w:cs="Times New Roman"/>
        </w:rPr>
      </w:pPr>
      <w:r w:rsidRPr="0012065E">
        <w:rPr>
          <w:rFonts w:cs="Times New Roman"/>
        </w:rPr>
        <w:t xml:space="preserve">What is problematic in this case is that La Financière’s action had the effect of overcompensating certain participants to the detriment of the others, that it disregarded the impact of the caps under the federal programs on the insurance coverage of participants and that the amounts it ultimately attributed bore no relation to the amounts that had actually been received, not that it chose a particular linkage </w:t>
      </w:r>
      <w:r w:rsidRPr="0012065E">
        <w:rPr>
          <w:rFonts w:cs="Times New Roman"/>
        </w:rPr>
        <w:lastRenderedPageBreak/>
        <w:t>method.</w:t>
      </w:r>
    </w:p>
    <w:p w:rsidR="00EB0078" w:rsidRPr="0012065E" w:rsidRDefault="00EB0078" w:rsidP="00000F01">
      <w:pPr>
        <w:pStyle w:val="ParaNoNdepar-AltN"/>
        <w:widowControl w:val="0"/>
        <w:rPr>
          <w:rFonts w:cs="Times New Roman"/>
        </w:rPr>
      </w:pPr>
      <w:r w:rsidRPr="0012065E">
        <w:rPr>
          <w:rFonts w:cs="Times New Roman"/>
        </w:rPr>
        <w:t>Finally, the federal programs in question in this case can be distinguished from most such programs that have existed in the past, given that they involve amounts granted directly to producers and not a global amount. My intention is therefore to call into question not, as my colleagues suggest, most of the decisions made by La Financière over the past 15 years, but only the decision it made in this case.</w:t>
      </w:r>
    </w:p>
    <w:p w:rsidR="00EB0078" w:rsidRPr="0012065E" w:rsidRDefault="00EB0078" w:rsidP="00000F01">
      <w:pPr>
        <w:pStyle w:val="ParaNoNdepar-AltN"/>
        <w:widowControl w:val="0"/>
        <w:rPr>
          <w:rFonts w:cs="Times New Roman"/>
        </w:rPr>
      </w:pPr>
      <w:r w:rsidRPr="0012065E">
        <w:rPr>
          <w:rFonts w:cs="Times New Roman"/>
        </w:rPr>
        <w:t>Before concluding, I should say a few words about the amendment La Financière made to s. 88(3) in November 2008, namely the addition of the following paragraph ((2009) 141 G.O. 1, 51, s. 21):</w:t>
      </w:r>
    </w:p>
    <w:p w:rsidR="00EB0078" w:rsidRPr="0012065E" w:rsidRDefault="00EB0078" w:rsidP="00000F01">
      <w:pPr>
        <w:pStyle w:val="Citation-AltC"/>
        <w:widowControl w:val="0"/>
        <w:rPr>
          <w:i/>
        </w:rPr>
      </w:pPr>
      <w:r w:rsidRPr="0012065E">
        <w:t>[</w:t>
      </w:r>
      <w:r w:rsidRPr="0012065E">
        <w:rPr>
          <w:smallCaps/>
        </w:rPr>
        <w:t>translation</w:t>
      </w:r>
      <w:r w:rsidRPr="0012065E">
        <w:t>] Those amounts shall be determined on the basis of the characteristics of the benchmark farm described in Table 4 unless La Financière agricole considers it appropriate to add the amounts actually received by each participant to the annual receipts, having regard to the specific terms of payment for each government initiative.</w:t>
      </w:r>
      <w:r w:rsidRPr="0012065E">
        <w:rPr>
          <w:i/>
        </w:rPr>
        <w:t xml:space="preserve"> </w:t>
      </w:r>
    </w:p>
    <w:p w:rsidR="00EB0078" w:rsidRPr="0012065E" w:rsidRDefault="00EB0078" w:rsidP="00000F01">
      <w:pPr>
        <w:pStyle w:val="ParaNoNdepar-AltN"/>
        <w:widowControl w:val="0"/>
        <w:rPr>
          <w:rFonts w:cs="Times New Roman"/>
        </w:rPr>
      </w:pPr>
      <w:r w:rsidRPr="0012065E">
        <w:rPr>
          <w:rFonts w:cs="Times New Roman"/>
        </w:rPr>
        <w:t xml:space="preserve">According to the rules of interpretation, it must be presumed that that amendment served a useful purpose and gave La Financière a discretion it did not previously have: art. 1425 </w:t>
      </w:r>
      <w:r w:rsidRPr="0012065E">
        <w:rPr>
          <w:rFonts w:cs="Times New Roman"/>
          <w:i/>
        </w:rPr>
        <w:t>C.C.Q.</w:t>
      </w:r>
      <w:r w:rsidRPr="0012065E">
        <w:rPr>
          <w:rFonts w:cs="Times New Roman"/>
        </w:rPr>
        <w:t xml:space="preserve"> If, however, as La Financière argues, the amendment was made simply to clarify the meaning of s. 88(3), this would confirm that there was an ambiguity. Any ambiguity that may have existed before the amendment was made must be resolved in favour of the adhering party, since this is a contract of adhesion: art. 1432 </w:t>
      </w:r>
      <w:r w:rsidRPr="0012065E">
        <w:rPr>
          <w:rFonts w:cs="Times New Roman"/>
          <w:i/>
        </w:rPr>
        <w:t>C.C.Q.</w:t>
      </w:r>
    </w:p>
    <w:p w:rsidR="00EB0078" w:rsidRPr="0012065E" w:rsidRDefault="00EB0078" w:rsidP="00000F01">
      <w:pPr>
        <w:pStyle w:val="ParaNoNdepar-AltN"/>
        <w:widowControl w:val="0"/>
        <w:rPr>
          <w:rFonts w:cs="Times New Roman"/>
        </w:rPr>
      </w:pPr>
      <w:r w:rsidRPr="0012065E">
        <w:rPr>
          <w:rFonts w:cs="Times New Roman"/>
        </w:rPr>
        <w:lastRenderedPageBreak/>
        <w:t>Although it is true that the ASRA Program has 16,747 participants and that the interests of the participants may vary, they all expect to receive the fair compensation they are owed. As well, it would not be reasonable for all of them to expect to be favoured to the detriment of the others. In this case, to interpret the contract in favour of the “adhering party” simply means to interpret it such that La Financière cannot use notional amounts to deprive a participant of all or part of the compensation to which it is entitled.</w:t>
      </w:r>
    </w:p>
    <w:p w:rsidR="00EB0078" w:rsidRPr="0012065E" w:rsidRDefault="00EB0078" w:rsidP="00000F01">
      <w:pPr>
        <w:pStyle w:val="Title1LevelTitre1Niveau-AltL"/>
        <w:widowControl w:val="0"/>
        <w:rPr>
          <w:rFonts w:cs="Times New Roman"/>
        </w:rPr>
      </w:pPr>
      <w:r w:rsidRPr="0012065E">
        <w:rPr>
          <w:rFonts w:cs="Times New Roman"/>
        </w:rPr>
        <w:t>Conclusion</w:t>
      </w:r>
    </w:p>
    <w:p w:rsidR="00EB0078" w:rsidRPr="0012065E" w:rsidRDefault="00EB0078" w:rsidP="00000F01">
      <w:pPr>
        <w:pStyle w:val="ParaNoNdepar-AltN"/>
        <w:widowControl w:val="0"/>
        <w:rPr>
          <w:rFonts w:cs="Times New Roman"/>
        </w:rPr>
      </w:pPr>
      <w:r w:rsidRPr="0012065E">
        <w:rPr>
          <w:rFonts w:cs="Times New Roman"/>
        </w:rPr>
        <w:t>For these reasons, I would therefore allow the appeal in part. </w:t>
      </w:r>
    </w:p>
    <w:p w:rsidR="00EB0078" w:rsidRPr="0012065E" w:rsidRDefault="00EB0078" w:rsidP="00000F01">
      <w:pPr>
        <w:pStyle w:val="ParaNoNdepar-AltN"/>
        <w:widowControl w:val="0"/>
        <w:rPr>
          <w:rFonts w:cs="Times New Roman"/>
        </w:rPr>
      </w:pPr>
      <w:r w:rsidRPr="0012065E">
        <w:rPr>
          <w:rFonts w:cs="Times New Roman"/>
        </w:rPr>
        <w:t xml:space="preserve">In my view, the trial judge’s award should be reduced by subtracting from it, as suggested by La Financière, an amount equal to the contributions the appellants would have had to pay in exchange for higher compensation. </w:t>
      </w:r>
    </w:p>
    <w:p w:rsidR="00EB0078" w:rsidRPr="0012065E" w:rsidRDefault="00EB0078" w:rsidP="00000F01">
      <w:pPr>
        <w:pStyle w:val="ParaNoNdepar-AltN"/>
        <w:widowControl w:val="0"/>
        <w:rPr>
          <w:rFonts w:cs="Times New Roman"/>
        </w:rPr>
      </w:pPr>
      <w:r w:rsidRPr="0012065E">
        <w:rPr>
          <w:rFonts w:cs="Times New Roman"/>
        </w:rPr>
        <w:t xml:space="preserve">It would indeed be unfair for the compensation to be increased without taking into account the amount of the related contributions the participants would ordinarily have been required to pay had it not been for La Financière’s decision. The evidence adduced on this point is </w:t>
      </w:r>
      <w:proofErr w:type="spellStart"/>
      <w:r w:rsidRPr="0012065E">
        <w:rPr>
          <w:rFonts w:cs="Times New Roman"/>
        </w:rPr>
        <w:t>uncontradicted</w:t>
      </w:r>
      <w:proofErr w:type="spellEnd"/>
      <w:r w:rsidRPr="0012065E">
        <w:rPr>
          <w:rFonts w:cs="Times New Roman"/>
        </w:rPr>
        <w:t xml:space="preserve">, and it indicates that, if the amounts had been linked individually, the appellants would, once the additional contributions were subtracted, have been entitled to $7,489,323.59, not $14,901,559.55. </w:t>
      </w:r>
    </w:p>
    <w:p w:rsidR="009B57B3" w:rsidRPr="00214DDB" w:rsidRDefault="009B57B3" w:rsidP="00000F01">
      <w:pPr>
        <w:pStyle w:val="SCCNormalDoubleSpacing"/>
        <w:widowControl w:val="0"/>
        <w:spacing w:after="480"/>
        <w:rPr>
          <w:rFonts w:cs="Times New Roman"/>
        </w:rPr>
      </w:pPr>
      <w:r w:rsidRPr="00466FCD">
        <w:rPr>
          <w:rFonts w:cs="Times New Roman"/>
        </w:rPr>
        <w:lastRenderedPageBreak/>
        <w:tab/>
      </w:r>
      <w:r w:rsidR="00656313" w:rsidRPr="00214DDB">
        <w:rPr>
          <w:rFonts w:cs="Times New Roman"/>
          <w:i/>
        </w:rPr>
        <w:t>Appeal</w:t>
      </w:r>
      <w:r w:rsidR="00D50838" w:rsidRPr="00214DDB">
        <w:rPr>
          <w:rFonts w:cs="Times New Roman"/>
          <w:i/>
        </w:rPr>
        <w:t xml:space="preserve"> </w:t>
      </w:r>
      <w:r w:rsidR="00441911" w:rsidRPr="00214DDB">
        <w:rPr>
          <w:rFonts w:cs="Times New Roman"/>
          <w:i/>
        </w:rPr>
        <w:t xml:space="preserve">dismissed, </w:t>
      </w:r>
      <w:r w:rsidR="005013A8" w:rsidRPr="00214DDB">
        <w:rPr>
          <w:rFonts w:cs="Times New Roman"/>
          <w:smallCaps/>
        </w:rPr>
        <w:t>Côté </w:t>
      </w:r>
      <w:r w:rsidR="00441911" w:rsidRPr="00214DDB">
        <w:rPr>
          <w:rFonts w:cs="Times New Roman"/>
          <w:smallCaps/>
        </w:rPr>
        <w:t>J.</w:t>
      </w:r>
      <w:r w:rsidR="00441911" w:rsidRPr="00214DDB">
        <w:rPr>
          <w:rFonts w:cs="Times New Roman"/>
          <w:i/>
        </w:rPr>
        <w:t xml:space="preserve"> dissenting in part</w:t>
      </w:r>
      <w:r w:rsidR="00D50838" w:rsidRPr="00214DDB">
        <w:rPr>
          <w:rFonts w:cs="Times New Roman"/>
          <w:i/>
        </w:rPr>
        <w:t>.</w:t>
      </w:r>
    </w:p>
    <w:p w:rsidR="00D50838" w:rsidRPr="00214DDB" w:rsidRDefault="00D50838" w:rsidP="00000F01">
      <w:pPr>
        <w:pStyle w:val="SCCLawFirm"/>
        <w:widowControl w:val="0"/>
        <w:spacing w:after="480"/>
        <w:rPr>
          <w:rFonts w:cs="Times New Roman"/>
          <w:lang w:val="fr-CA"/>
        </w:rPr>
      </w:pPr>
      <w:r w:rsidRPr="00214DDB">
        <w:rPr>
          <w:rFonts w:cs="Times New Roman"/>
        </w:rPr>
        <w:tab/>
      </w:r>
      <w:r w:rsidRPr="00214DDB">
        <w:rPr>
          <w:rFonts w:cs="Times New Roman"/>
          <w:lang w:val="fr-CA"/>
        </w:rPr>
        <w:t xml:space="preserve">Solicitors for the </w:t>
      </w:r>
      <w:proofErr w:type="spellStart"/>
      <w:r w:rsidRPr="00214DDB">
        <w:rPr>
          <w:rFonts w:cs="Times New Roman"/>
          <w:lang w:val="fr-CA"/>
        </w:rPr>
        <w:t>appellants</w:t>
      </w:r>
      <w:proofErr w:type="spellEnd"/>
      <w:r w:rsidR="00EA58A5" w:rsidRPr="00214DDB">
        <w:rPr>
          <w:rFonts w:cs="Times New Roman"/>
          <w:lang w:val="fr-CA"/>
        </w:rPr>
        <w:t>: </w:t>
      </w:r>
      <w:r w:rsidR="00A748A2" w:rsidRPr="00214DDB">
        <w:rPr>
          <w:rFonts w:cs="Times New Roman"/>
          <w:lang w:val="fr-CA"/>
        </w:rPr>
        <w:t xml:space="preserve">Beauvais </w:t>
      </w:r>
      <w:proofErr w:type="spellStart"/>
      <w:r w:rsidR="00A748A2" w:rsidRPr="00214DDB">
        <w:rPr>
          <w:rFonts w:cs="Times New Roman"/>
          <w:lang w:val="fr-CA"/>
        </w:rPr>
        <w:t>Truchon</w:t>
      </w:r>
      <w:proofErr w:type="spellEnd"/>
      <w:r w:rsidR="00A748A2" w:rsidRPr="00214DDB">
        <w:rPr>
          <w:rFonts w:cs="Times New Roman"/>
          <w:lang w:val="fr-CA"/>
        </w:rPr>
        <w:t xml:space="preserve">, Québec; Paradis, Lemieux, Francis, Bedford, </w:t>
      </w:r>
      <w:proofErr w:type="spellStart"/>
      <w:r w:rsidR="00A748A2" w:rsidRPr="00214DDB">
        <w:rPr>
          <w:rFonts w:cs="Times New Roman"/>
          <w:lang w:val="fr-CA"/>
        </w:rPr>
        <w:t>Quebec</w:t>
      </w:r>
      <w:proofErr w:type="spellEnd"/>
      <w:r w:rsidRPr="00214DDB">
        <w:rPr>
          <w:rFonts w:cs="Times New Roman"/>
          <w:lang w:val="fr-CA"/>
        </w:rPr>
        <w:t>.</w:t>
      </w:r>
    </w:p>
    <w:p w:rsidR="00D50838" w:rsidRDefault="00D50838" w:rsidP="00000F01">
      <w:pPr>
        <w:pStyle w:val="SCCLawFirm"/>
        <w:widowControl w:val="0"/>
        <w:rPr>
          <w:rFonts w:cs="Times New Roman"/>
          <w:lang w:val="fr-CA"/>
        </w:rPr>
      </w:pPr>
      <w:r w:rsidRPr="00214DDB">
        <w:rPr>
          <w:rFonts w:cs="Times New Roman"/>
          <w:lang w:val="fr-CA"/>
        </w:rPr>
        <w:tab/>
        <w:t xml:space="preserve">Solicitor for the </w:t>
      </w:r>
      <w:proofErr w:type="spellStart"/>
      <w:r w:rsidRPr="00214DDB">
        <w:rPr>
          <w:rFonts w:cs="Times New Roman"/>
          <w:lang w:val="fr-CA"/>
        </w:rPr>
        <w:t>respondent</w:t>
      </w:r>
      <w:proofErr w:type="spellEnd"/>
      <w:r w:rsidR="00EA58A5" w:rsidRPr="00214DDB">
        <w:rPr>
          <w:rFonts w:cs="Times New Roman"/>
          <w:lang w:val="fr-CA"/>
        </w:rPr>
        <w:t>: </w:t>
      </w:r>
      <w:r w:rsidR="00E3057A" w:rsidRPr="00214DDB">
        <w:rPr>
          <w:rFonts w:cs="Times New Roman"/>
          <w:lang w:val="fr-CA"/>
        </w:rPr>
        <w:t xml:space="preserve">La </w:t>
      </w:r>
      <w:r w:rsidRPr="00214DDB">
        <w:rPr>
          <w:rFonts w:cs="Times New Roman"/>
          <w:lang w:val="fr-CA"/>
        </w:rPr>
        <w:t>Financière agricole du Québec, Lévis.</w:t>
      </w:r>
    </w:p>
    <w:p w:rsidR="00645692" w:rsidRPr="00645692" w:rsidRDefault="00645692" w:rsidP="00645692">
      <w:pPr>
        <w:pStyle w:val="SCCNormalDoubleSpacing"/>
        <w:rPr>
          <w:lang w:val="fr-CA"/>
        </w:rPr>
      </w:pPr>
    </w:p>
    <w:sectPr w:rsidR="00645692" w:rsidRPr="00645692" w:rsidSect="00441911">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pPr>
      <w:pStyle w:val="Header"/>
      <w:jc w:val="center"/>
    </w:pPr>
    <w:r>
      <w:t>-</w:t>
    </w:r>
    <w:r w:rsidR="00A5521C">
      <w:t xml:space="preserve"> </w:t>
    </w:r>
    <w:sdt>
      <w:sdtPr>
        <w:id w:val="4489865"/>
        <w:docPartObj>
          <w:docPartGallery w:val="Page Numbers (Top of Page)"/>
          <w:docPartUnique/>
        </w:docPartObj>
      </w:sdtPr>
      <w:sdtEndPr/>
      <w:sdtContent>
        <w:r w:rsidR="00AE4535">
          <w:fldChar w:fldCharType="begin"/>
        </w:r>
        <w:r w:rsidR="00AE4535">
          <w:instrText xml:space="preserve"> PAGE   \* MERGEFORMAT </w:instrText>
        </w:r>
        <w:r w:rsidR="00AE4535">
          <w:fldChar w:fldCharType="separate"/>
        </w:r>
        <w:r w:rsidR="00E70C4A">
          <w:rPr>
            <w:noProof/>
          </w:rPr>
          <w:t>2</w:t>
        </w:r>
        <w:r w:rsidR="00AE4535">
          <w:rPr>
            <w:noProof/>
          </w:rPr>
          <w:fldChar w:fldCharType="end"/>
        </w:r>
        <w:r w:rsidR="00A5521C">
          <w:t xml:space="preserve"> </w:t>
        </w:r>
        <w:r>
          <w:t>-</w:t>
        </w:r>
      </w:sdtContent>
    </w:sdt>
  </w:p>
  <w:p w:rsidR="00684EEA" w:rsidRDefault="0068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EEE0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6A0A"/>
    <w:multiLevelType w:val="multilevel"/>
    <w:tmpl w:val="9DB2509E"/>
    <w:lvl w:ilvl="0">
      <w:start w:val="1"/>
      <w:numFmt w:val="bullet"/>
      <w:lvlText w:val=""/>
      <w:lvlJc w:val="left"/>
      <w:pPr>
        <w:tabs>
          <w:tab w:val="num" w:pos="576"/>
        </w:tabs>
        <w:ind w:left="576" w:hanging="576"/>
      </w:pPr>
      <w:rPr>
        <w:rFonts w:ascii="Symbol" w:hAnsi="Symbol"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022448A1"/>
    <w:multiLevelType w:val="hybridMultilevel"/>
    <w:tmpl w:val="E5ACBDD2"/>
    <w:lvl w:ilvl="0" w:tplc="2FDE9C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105B74"/>
    <w:multiLevelType w:val="hybridMultilevel"/>
    <w:tmpl w:val="AC584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BC33AA"/>
    <w:multiLevelType w:val="hybridMultilevel"/>
    <w:tmpl w:val="661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E33BE"/>
    <w:multiLevelType w:val="hybridMultilevel"/>
    <w:tmpl w:val="559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B630DA"/>
    <w:multiLevelType w:val="hybridMultilevel"/>
    <w:tmpl w:val="FA38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50977"/>
    <w:multiLevelType w:val="hybridMultilevel"/>
    <w:tmpl w:val="5744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D30F6"/>
    <w:multiLevelType w:val="hybridMultilevel"/>
    <w:tmpl w:val="0AEC4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615665"/>
    <w:multiLevelType w:val="hybridMultilevel"/>
    <w:tmpl w:val="8924B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991923"/>
    <w:multiLevelType w:val="hybridMultilevel"/>
    <w:tmpl w:val="78605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7B4067"/>
    <w:multiLevelType w:val="hybridMultilevel"/>
    <w:tmpl w:val="CA3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C7DAA"/>
    <w:multiLevelType w:val="hybridMultilevel"/>
    <w:tmpl w:val="83D4BAA6"/>
    <w:lvl w:ilvl="0" w:tplc="DBF6F7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3B0443"/>
    <w:multiLevelType w:val="hybridMultilevel"/>
    <w:tmpl w:val="0B4E2468"/>
    <w:lvl w:ilvl="0" w:tplc="5AB43524">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283EE8"/>
    <w:multiLevelType w:val="multilevel"/>
    <w:tmpl w:val="1A8CCE9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245269"/>
    <w:multiLevelType w:val="hybridMultilevel"/>
    <w:tmpl w:val="B85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915C0B"/>
    <w:multiLevelType w:val="hybridMultilevel"/>
    <w:tmpl w:val="A8B49F36"/>
    <w:lvl w:ilvl="0" w:tplc="CABE7CA0">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4" w15:restartNumberingAfterBreak="0">
    <w:nsid w:val="76B01F91"/>
    <w:multiLevelType w:val="hybridMultilevel"/>
    <w:tmpl w:val="690A2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D55A78"/>
    <w:multiLevelType w:val="hybridMultilevel"/>
    <w:tmpl w:val="136EC9F8"/>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F322F"/>
    <w:multiLevelType w:val="hybridMultilevel"/>
    <w:tmpl w:val="FF74A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3"/>
  </w:num>
  <w:num w:numId="4">
    <w:abstractNumId w:val="27"/>
  </w:num>
  <w:num w:numId="5">
    <w:abstractNumId w:val="28"/>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22"/>
  </w:num>
  <w:num w:numId="19">
    <w:abstractNumId w:val="24"/>
  </w:num>
  <w:num w:numId="20">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9"/>
  </w:num>
  <w:num w:numId="22">
    <w:abstractNumId w:val="36"/>
  </w:num>
  <w:num w:numId="23">
    <w:abstractNumId w:val="21"/>
  </w:num>
  <w:num w:numId="24">
    <w:abstractNumId w:val="12"/>
  </w:num>
  <w:num w:numId="25">
    <w:abstractNumId w:val="20"/>
  </w:num>
  <w:num w:numId="26">
    <w:abstractNumId w:val="34"/>
  </w:num>
  <w:num w:numId="27">
    <w:abstractNumId w:val="17"/>
  </w:num>
  <w:num w:numId="28">
    <w:abstractNumId w:val="15"/>
  </w:num>
  <w:num w:numId="29">
    <w:abstractNumId w:val="11"/>
  </w:num>
  <w:num w:numId="30">
    <w:abstractNumId w:val="26"/>
  </w:num>
  <w:num w:numId="31">
    <w:abstractNumId w:val="23"/>
  </w:num>
  <w:num w:numId="32">
    <w:abstractNumId w:val="29"/>
  </w:num>
  <w:num w:numId="33">
    <w:abstractNumId w:val="33"/>
  </w:num>
  <w:num w:numId="34">
    <w:abstractNumId w:val="18"/>
  </w:num>
  <w:num w:numId="35">
    <w:abstractNumId w:val="35"/>
  </w:num>
  <w:num w:numId="36">
    <w:abstractNumId w:val="10"/>
  </w:num>
  <w:num w:numId="37">
    <w:abstractNumId w:val="31"/>
  </w:num>
  <w:num w:numId="38">
    <w:abstractNumId w:val="30"/>
    <w:lvlOverride w:ilvl="0">
      <w:startOverride w:val="6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0F01"/>
    <w:rsid w:val="00014461"/>
    <w:rsid w:val="00025198"/>
    <w:rsid w:val="0003589F"/>
    <w:rsid w:val="00036A0A"/>
    <w:rsid w:val="00056662"/>
    <w:rsid w:val="000578A3"/>
    <w:rsid w:val="00063E0E"/>
    <w:rsid w:val="000648CC"/>
    <w:rsid w:val="0009548E"/>
    <w:rsid w:val="000A089A"/>
    <w:rsid w:val="000C59B8"/>
    <w:rsid w:val="000C6AF0"/>
    <w:rsid w:val="000E3639"/>
    <w:rsid w:val="00104F33"/>
    <w:rsid w:val="00111DE2"/>
    <w:rsid w:val="001158AB"/>
    <w:rsid w:val="00116B38"/>
    <w:rsid w:val="001319B7"/>
    <w:rsid w:val="00135406"/>
    <w:rsid w:val="00135972"/>
    <w:rsid w:val="00137F7E"/>
    <w:rsid w:val="001426A9"/>
    <w:rsid w:val="00154D7C"/>
    <w:rsid w:val="001564C6"/>
    <w:rsid w:val="001570B0"/>
    <w:rsid w:val="0015752C"/>
    <w:rsid w:val="00157737"/>
    <w:rsid w:val="00165277"/>
    <w:rsid w:val="00170592"/>
    <w:rsid w:val="00174E44"/>
    <w:rsid w:val="001779A8"/>
    <w:rsid w:val="00186351"/>
    <w:rsid w:val="00195D83"/>
    <w:rsid w:val="001A00C1"/>
    <w:rsid w:val="001A4553"/>
    <w:rsid w:val="001A5EE6"/>
    <w:rsid w:val="001B33E0"/>
    <w:rsid w:val="001B4573"/>
    <w:rsid w:val="001C779F"/>
    <w:rsid w:val="001D2AC1"/>
    <w:rsid w:val="001D4E88"/>
    <w:rsid w:val="001F6750"/>
    <w:rsid w:val="00201D39"/>
    <w:rsid w:val="0021007B"/>
    <w:rsid w:val="0021321E"/>
    <w:rsid w:val="00214DDB"/>
    <w:rsid w:val="00220FC2"/>
    <w:rsid w:val="002222F4"/>
    <w:rsid w:val="00224FC0"/>
    <w:rsid w:val="00225EA4"/>
    <w:rsid w:val="00226EAF"/>
    <w:rsid w:val="00231F3A"/>
    <w:rsid w:val="00234199"/>
    <w:rsid w:val="002406EE"/>
    <w:rsid w:val="00243EC8"/>
    <w:rsid w:val="00270D93"/>
    <w:rsid w:val="002745CC"/>
    <w:rsid w:val="002A0895"/>
    <w:rsid w:val="002B5CBC"/>
    <w:rsid w:val="002B7924"/>
    <w:rsid w:val="002D28C3"/>
    <w:rsid w:val="002D39A4"/>
    <w:rsid w:val="002E5A68"/>
    <w:rsid w:val="002E6705"/>
    <w:rsid w:val="00301D08"/>
    <w:rsid w:val="0030329A"/>
    <w:rsid w:val="0031086F"/>
    <w:rsid w:val="0031414C"/>
    <w:rsid w:val="00314E01"/>
    <w:rsid w:val="0032089D"/>
    <w:rsid w:val="003310DE"/>
    <w:rsid w:val="003323B0"/>
    <w:rsid w:val="00340884"/>
    <w:rsid w:val="0035169A"/>
    <w:rsid w:val="0035259D"/>
    <w:rsid w:val="00364B18"/>
    <w:rsid w:val="00394B7C"/>
    <w:rsid w:val="003A125D"/>
    <w:rsid w:val="003A42F5"/>
    <w:rsid w:val="003A4C70"/>
    <w:rsid w:val="003A778A"/>
    <w:rsid w:val="003B215F"/>
    <w:rsid w:val="003C799C"/>
    <w:rsid w:val="003D0399"/>
    <w:rsid w:val="003D33E7"/>
    <w:rsid w:val="003D7C7E"/>
    <w:rsid w:val="003E1C71"/>
    <w:rsid w:val="003E3A77"/>
    <w:rsid w:val="003F327B"/>
    <w:rsid w:val="00406166"/>
    <w:rsid w:val="0040704B"/>
    <w:rsid w:val="00410A55"/>
    <w:rsid w:val="00411300"/>
    <w:rsid w:val="00415417"/>
    <w:rsid w:val="00426659"/>
    <w:rsid w:val="00441911"/>
    <w:rsid w:val="00444015"/>
    <w:rsid w:val="00450352"/>
    <w:rsid w:val="00454BDB"/>
    <w:rsid w:val="00464800"/>
    <w:rsid w:val="00465132"/>
    <w:rsid w:val="00466FCD"/>
    <w:rsid w:val="004708F7"/>
    <w:rsid w:val="00480C90"/>
    <w:rsid w:val="0048396F"/>
    <w:rsid w:val="00493C18"/>
    <w:rsid w:val="004A2436"/>
    <w:rsid w:val="004A600C"/>
    <w:rsid w:val="004A6118"/>
    <w:rsid w:val="004C478D"/>
    <w:rsid w:val="004D6F08"/>
    <w:rsid w:val="004E2C26"/>
    <w:rsid w:val="004F36FF"/>
    <w:rsid w:val="005013A8"/>
    <w:rsid w:val="005125A8"/>
    <w:rsid w:val="00521AE8"/>
    <w:rsid w:val="005253AC"/>
    <w:rsid w:val="00527180"/>
    <w:rsid w:val="00527DA8"/>
    <w:rsid w:val="0054201E"/>
    <w:rsid w:val="00555291"/>
    <w:rsid w:val="00561277"/>
    <w:rsid w:val="00566AD1"/>
    <w:rsid w:val="00583EDE"/>
    <w:rsid w:val="005928BC"/>
    <w:rsid w:val="005A6079"/>
    <w:rsid w:val="005B525E"/>
    <w:rsid w:val="005B73B9"/>
    <w:rsid w:val="005E4698"/>
    <w:rsid w:val="005F2455"/>
    <w:rsid w:val="00601F67"/>
    <w:rsid w:val="00610539"/>
    <w:rsid w:val="00613969"/>
    <w:rsid w:val="00623FAA"/>
    <w:rsid w:val="00624F56"/>
    <w:rsid w:val="00625C35"/>
    <w:rsid w:val="00645692"/>
    <w:rsid w:val="00656313"/>
    <w:rsid w:val="006565F4"/>
    <w:rsid w:val="00684EEA"/>
    <w:rsid w:val="0069689B"/>
    <w:rsid w:val="006A1551"/>
    <w:rsid w:val="006B5FF5"/>
    <w:rsid w:val="006B7C3C"/>
    <w:rsid w:val="006C0A2D"/>
    <w:rsid w:val="006E14E1"/>
    <w:rsid w:val="006F30AF"/>
    <w:rsid w:val="00701759"/>
    <w:rsid w:val="00705C15"/>
    <w:rsid w:val="0071600E"/>
    <w:rsid w:val="007208D1"/>
    <w:rsid w:val="00744EA8"/>
    <w:rsid w:val="00747288"/>
    <w:rsid w:val="00747DD3"/>
    <w:rsid w:val="007549C8"/>
    <w:rsid w:val="00754A0B"/>
    <w:rsid w:val="00762466"/>
    <w:rsid w:val="00766D14"/>
    <w:rsid w:val="00767A0F"/>
    <w:rsid w:val="007A05F6"/>
    <w:rsid w:val="007A5253"/>
    <w:rsid w:val="007B6F4A"/>
    <w:rsid w:val="007D4195"/>
    <w:rsid w:val="007D68F9"/>
    <w:rsid w:val="007E1C47"/>
    <w:rsid w:val="007E337A"/>
    <w:rsid w:val="007E5C70"/>
    <w:rsid w:val="007F2FF5"/>
    <w:rsid w:val="007F3F08"/>
    <w:rsid w:val="00804CC6"/>
    <w:rsid w:val="00816C88"/>
    <w:rsid w:val="00817190"/>
    <w:rsid w:val="00820EE5"/>
    <w:rsid w:val="008260E2"/>
    <w:rsid w:val="008322BD"/>
    <w:rsid w:val="00833E0A"/>
    <w:rsid w:val="00834F73"/>
    <w:rsid w:val="0084390A"/>
    <w:rsid w:val="00860AAA"/>
    <w:rsid w:val="00864CF8"/>
    <w:rsid w:val="00872819"/>
    <w:rsid w:val="00874914"/>
    <w:rsid w:val="008750EA"/>
    <w:rsid w:val="00891422"/>
    <w:rsid w:val="00892E1A"/>
    <w:rsid w:val="008A3F29"/>
    <w:rsid w:val="008B1701"/>
    <w:rsid w:val="008B660A"/>
    <w:rsid w:val="008C01DA"/>
    <w:rsid w:val="008E7AFB"/>
    <w:rsid w:val="008F78E9"/>
    <w:rsid w:val="00911989"/>
    <w:rsid w:val="009179F9"/>
    <w:rsid w:val="00933E5E"/>
    <w:rsid w:val="00935218"/>
    <w:rsid w:val="009403F3"/>
    <w:rsid w:val="009555B7"/>
    <w:rsid w:val="009567AA"/>
    <w:rsid w:val="0096496F"/>
    <w:rsid w:val="00967374"/>
    <w:rsid w:val="00995468"/>
    <w:rsid w:val="009A0686"/>
    <w:rsid w:val="009A343A"/>
    <w:rsid w:val="009B2F23"/>
    <w:rsid w:val="009B57B3"/>
    <w:rsid w:val="009C5B92"/>
    <w:rsid w:val="009C5DFC"/>
    <w:rsid w:val="009D2920"/>
    <w:rsid w:val="009D5AEB"/>
    <w:rsid w:val="009F0E33"/>
    <w:rsid w:val="00A030CE"/>
    <w:rsid w:val="00A149DF"/>
    <w:rsid w:val="00A1755C"/>
    <w:rsid w:val="00A21B90"/>
    <w:rsid w:val="00A36C33"/>
    <w:rsid w:val="00A41805"/>
    <w:rsid w:val="00A42DCD"/>
    <w:rsid w:val="00A52AFB"/>
    <w:rsid w:val="00A52BF8"/>
    <w:rsid w:val="00A53C71"/>
    <w:rsid w:val="00A548CB"/>
    <w:rsid w:val="00A5521C"/>
    <w:rsid w:val="00A643E7"/>
    <w:rsid w:val="00A73C38"/>
    <w:rsid w:val="00A748A2"/>
    <w:rsid w:val="00A92BC9"/>
    <w:rsid w:val="00AB670D"/>
    <w:rsid w:val="00AE4535"/>
    <w:rsid w:val="00AE4D02"/>
    <w:rsid w:val="00AF03C5"/>
    <w:rsid w:val="00B000D8"/>
    <w:rsid w:val="00B00F75"/>
    <w:rsid w:val="00B145B6"/>
    <w:rsid w:val="00B279EB"/>
    <w:rsid w:val="00B50C81"/>
    <w:rsid w:val="00B557F8"/>
    <w:rsid w:val="00B815FC"/>
    <w:rsid w:val="00B93FBC"/>
    <w:rsid w:val="00BA269B"/>
    <w:rsid w:val="00BA7DA0"/>
    <w:rsid w:val="00BB2EE4"/>
    <w:rsid w:val="00BC144F"/>
    <w:rsid w:val="00BC2108"/>
    <w:rsid w:val="00BD0E9E"/>
    <w:rsid w:val="00BD1BEC"/>
    <w:rsid w:val="00BD32FF"/>
    <w:rsid w:val="00C02092"/>
    <w:rsid w:val="00C11024"/>
    <w:rsid w:val="00C24D91"/>
    <w:rsid w:val="00C53F14"/>
    <w:rsid w:val="00C54355"/>
    <w:rsid w:val="00C600CF"/>
    <w:rsid w:val="00C6084F"/>
    <w:rsid w:val="00C62A66"/>
    <w:rsid w:val="00C71458"/>
    <w:rsid w:val="00C72AE6"/>
    <w:rsid w:val="00C76AA0"/>
    <w:rsid w:val="00C77613"/>
    <w:rsid w:val="00C828E7"/>
    <w:rsid w:val="00C86719"/>
    <w:rsid w:val="00C921DD"/>
    <w:rsid w:val="00CA6391"/>
    <w:rsid w:val="00CB1780"/>
    <w:rsid w:val="00CB6EFC"/>
    <w:rsid w:val="00CC328F"/>
    <w:rsid w:val="00CC34BD"/>
    <w:rsid w:val="00CC4AF3"/>
    <w:rsid w:val="00CC5DD1"/>
    <w:rsid w:val="00CD1A0E"/>
    <w:rsid w:val="00CD2A8E"/>
    <w:rsid w:val="00CE02E4"/>
    <w:rsid w:val="00CE161A"/>
    <w:rsid w:val="00CE255E"/>
    <w:rsid w:val="00CE3171"/>
    <w:rsid w:val="00CF1601"/>
    <w:rsid w:val="00D0113C"/>
    <w:rsid w:val="00D0172F"/>
    <w:rsid w:val="00D068A7"/>
    <w:rsid w:val="00D158EF"/>
    <w:rsid w:val="00D17476"/>
    <w:rsid w:val="00D32086"/>
    <w:rsid w:val="00D37A3F"/>
    <w:rsid w:val="00D4431D"/>
    <w:rsid w:val="00D4667A"/>
    <w:rsid w:val="00D50838"/>
    <w:rsid w:val="00D639F1"/>
    <w:rsid w:val="00D63A1C"/>
    <w:rsid w:val="00D6633D"/>
    <w:rsid w:val="00D7497A"/>
    <w:rsid w:val="00D7516F"/>
    <w:rsid w:val="00D83D64"/>
    <w:rsid w:val="00D8579F"/>
    <w:rsid w:val="00D95F8E"/>
    <w:rsid w:val="00DA0590"/>
    <w:rsid w:val="00DB72A4"/>
    <w:rsid w:val="00DB76A6"/>
    <w:rsid w:val="00DB7BEA"/>
    <w:rsid w:val="00DC02EE"/>
    <w:rsid w:val="00DC1536"/>
    <w:rsid w:val="00DC1739"/>
    <w:rsid w:val="00DC1788"/>
    <w:rsid w:val="00DD5C10"/>
    <w:rsid w:val="00DE319C"/>
    <w:rsid w:val="00DF0CA8"/>
    <w:rsid w:val="00DF1049"/>
    <w:rsid w:val="00DF161A"/>
    <w:rsid w:val="00DF2B48"/>
    <w:rsid w:val="00DF49A7"/>
    <w:rsid w:val="00E07EE2"/>
    <w:rsid w:val="00E07FD1"/>
    <w:rsid w:val="00E1741D"/>
    <w:rsid w:val="00E176D8"/>
    <w:rsid w:val="00E24573"/>
    <w:rsid w:val="00E25E1E"/>
    <w:rsid w:val="00E27EE7"/>
    <w:rsid w:val="00E30320"/>
    <w:rsid w:val="00E3057A"/>
    <w:rsid w:val="00E35404"/>
    <w:rsid w:val="00E36897"/>
    <w:rsid w:val="00E45109"/>
    <w:rsid w:val="00E47B7A"/>
    <w:rsid w:val="00E56A44"/>
    <w:rsid w:val="00E60269"/>
    <w:rsid w:val="00E62B46"/>
    <w:rsid w:val="00E70C4A"/>
    <w:rsid w:val="00E77932"/>
    <w:rsid w:val="00E97830"/>
    <w:rsid w:val="00E97A00"/>
    <w:rsid w:val="00EA4C04"/>
    <w:rsid w:val="00EA58A5"/>
    <w:rsid w:val="00EB0078"/>
    <w:rsid w:val="00ED0655"/>
    <w:rsid w:val="00EE01C0"/>
    <w:rsid w:val="00EE643C"/>
    <w:rsid w:val="00EF0683"/>
    <w:rsid w:val="00EF69D2"/>
    <w:rsid w:val="00EF766E"/>
    <w:rsid w:val="00F0070C"/>
    <w:rsid w:val="00F00EB7"/>
    <w:rsid w:val="00F168C6"/>
    <w:rsid w:val="00F250E6"/>
    <w:rsid w:val="00F36AB6"/>
    <w:rsid w:val="00F37A09"/>
    <w:rsid w:val="00F409CE"/>
    <w:rsid w:val="00F4379D"/>
    <w:rsid w:val="00F50D2D"/>
    <w:rsid w:val="00F56C8B"/>
    <w:rsid w:val="00F61485"/>
    <w:rsid w:val="00F61D6F"/>
    <w:rsid w:val="00F66810"/>
    <w:rsid w:val="00F846D9"/>
    <w:rsid w:val="00F84DF4"/>
    <w:rsid w:val="00F85C97"/>
    <w:rsid w:val="00F95A7A"/>
    <w:rsid w:val="00FB37D2"/>
    <w:rsid w:val="00FC00C6"/>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DB76A6"/>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DB7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76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76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76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76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76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76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76A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B76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76A6"/>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DB76A6"/>
    <w:rPr>
      <w:b/>
      <w:bCs/>
    </w:rPr>
  </w:style>
  <w:style w:type="character" w:styleId="PlaceholderText">
    <w:name w:val="Placeholder Text"/>
    <w:basedOn w:val="DefaultParagraphFont"/>
    <w:uiPriority w:val="99"/>
    <w:semiHidden/>
    <w:rsid w:val="00DB76A6"/>
    <w:rPr>
      <w:color w:val="808080"/>
    </w:rPr>
  </w:style>
  <w:style w:type="paragraph" w:styleId="BalloonText">
    <w:name w:val="Balloon Text"/>
    <w:basedOn w:val="Normal"/>
    <w:link w:val="BalloonTextChar"/>
    <w:uiPriority w:val="99"/>
    <w:semiHidden/>
    <w:unhideWhenUsed/>
    <w:rsid w:val="00DB76A6"/>
    <w:rPr>
      <w:rFonts w:cs="Tahoma"/>
      <w:sz w:val="28"/>
      <w:szCs w:val="16"/>
    </w:rPr>
  </w:style>
  <w:style w:type="character" w:customStyle="1" w:styleId="BalloonTextChar">
    <w:name w:val="Balloon Text Char"/>
    <w:basedOn w:val="DefaultParagraphFont"/>
    <w:link w:val="BalloonText"/>
    <w:uiPriority w:val="99"/>
    <w:semiHidden/>
    <w:rsid w:val="00DB76A6"/>
    <w:rPr>
      <w:rFonts w:eastAsiaTheme="minorHAnsi" w:cs="Tahoma"/>
      <w:sz w:val="28"/>
      <w:szCs w:val="16"/>
      <w:lang w:val="en-US" w:eastAsia="en-US" w:bidi="en-US"/>
    </w:rPr>
  </w:style>
  <w:style w:type="paragraph" w:styleId="Header">
    <w:name w:val="header"/>
    <w:basedOn w:val="Normal"/>
    <w:link w:val="HeaderChar"/>
    <w:uiPriority w:val="99"/>
    <w:unhideWhenUsed/>
    <w:rsid w:val="00DB76A6"/>
    <w:pPr>
      <w:tabs>
        <w:tab w:val="center" w:pos="4680"/>
        <w:tab w:val="right" w:pos="9360"/>
      </w:tabs>
    </w:pPr>
  </w:style>
  <w:style w:type="character" w:customStyle="1" w:styleId="HeaderChar">
    <w:name w:val="Header Char"/>
    <w:basedOn w:val="DefaultParagraphFont"/>
    <w:link w:val="Header"/>
    <w:uiPriority w:val="99"/>
    <w:rsid w:val="00DB76A6"/>
    <w:rPr>
      <w:rFonts w:eastAsiaTheme="minorHAnsi" w:cstheme="minorBidi"/>
      <w:sz w:val="24"/>
      <w:szCs w:val="22"/>
      <w:lang w:val="en-US" w:eastAsia="en-US" w:bidi="en-US"/>
    </w:rPr>
  </w:style>
  <w:style w:type="paragraph" w:styleId="Footer">
    <w:name w:val="footer"/>
    <w:basedOn w:val="Normal"/>
    <w:link w:val="FooterChar"/>
    <w:uiPriority w:val="99"/>
    <w:unhideWhenUsed/>
    <w:rsid w:val="00DB76A6"/>
    <w:pPr>
      <w:tabs>
        <w:tab w:val="center" w:pos="4680"/>
        <w:tab w:val="right" w:pos="9360"/>
      </w:tabs>
    </w:pPr>
  </w:style>
  <w:style w:type="character" w:customStyle="1" w:styleId="FooterChar">
    <w:name w:val="Footer Char"/>
    <w:basedOn w:val="DefaultParagraphFont"/>
    <w:link w:val="Footer"/>
    <w:uiPriority w:val="99"/>
    <w:rsid w:val="00DB76A6"/>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DB76A6"/>
    <w:pPr>
      <w:spacing w:after="480"/>
      <w:jc w:val="both"/>
    </w:pPr>
  </w:style>
  <w:style w:type="character" w:customStyle="1" w:styleId="SCCLsocPartyChar">
    <w:name w:val="SCC.Lsoc.Party Char"/>
    <w:basedOn w:val="DefaultParagraphFont"/>
    <w:link w:val="SCCLsocParty"/>
    <w:rsid w:val="00DB76A6"/>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DB76A6"/>
    <w:pPr>
      <w:spacing w:after="480"/>
    </w:pPr>
  </w:style>
  <w:style w:type="character" w:customStyle="1" w:styleId="SCCLsocVersusChar">
    <w:name w:val="SCC.Lsoc.Versus Char"/>
    <w:basedOn w:val="DefaultParagraphFont"/>
    <w:link w:val="SCCLsocVersus"/>
    <w:rsid w:val="00DB76A6"/>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DB76A6"/>
    <w:pPr>
      <w:spacing w:after="480"/>
    </w:pPr>
  </w:style>
  <w:style w:type="character" w:customStyle="1" w:styleId="SCCLsocSubfileSeparatorChar">
    <w:name w:val="SCC.Lsoc.SubfileSeparator Char"/>
    <w:basedOn w:val="DefaultParagraphFont"/>
    <w:link w:val="SCCLsocSubfileSeparator"/>
    <w:rsid w:val="00DB76A6"/>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DB76A6"/>
    <w:pPr>
      <w:spacing w:after="480"/>
    </w:pPr>
  </w:style>
  <w:style w:type="character" w:customStyle="1" w:styleId="SCCLsocOtherPartySeparatorChar">
    <w:name w:val="SCC.Lsoc.OtherPartySeparator Char"/>
    <w:basedOn w:val="DefaultParagraphFont"/>
    <w:link w:val="SCCLsocOtherPartySeparator"/>
    <w:rsid w:val="00DB76A6"/>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DB76A6"/>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DB76A6"/>
    <w:pPr>
      <w:jc w:val="right"/>
    </w:pPr>
    <w:rPr>
      <w:rFonts w:eastAsiaTheme="minorEastAsia"/>
      <w:b/>
      <w:szCs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character" w:customStyle="1" w:styleId="Heading3Char">
    <w:name w:val="Heading 3 Char"/>
    <w:basedOn w:val="DefaultParagraphFont"/>
    <w:link w:val="Heading3"/>
    <w:uiPriority w:val="9"/>
    <w:semiHidden/>
    <w:rsid w:val="00DB76A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B76A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B76A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B76A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B76A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B76A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B76A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B76A6"/>
    <w:pPr>
      <w:spacing w:after="480"/>
    </w:pPr>
  </w:style>
  <w:style w:type="character" w:customStyle="1" w:styleId="SCCLsocOtherPartyRoleSeparatorChar">
    <w:name w:val="SCC.Lsoc.OtherPartyRoleSeparator Char"/>
    <w:basedOn w:val="DefaultParagraphFont"/>
    <w:link w:val="SCCLsocOtherPartyRoleSeparator"/>
    <w:rsid w:val="00DB76A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B76A6"/>
    <w:rPr>
      <w:rFonts w:eastAsiaTheme="minorEastAsia" w:cstheme="minorBidi"/>
      <w:b/>
      <w:sz w:val="24"/>
      <w:szCs w:val="24"/>
      <w:lang w:val="en-US" w:eastAsia="en-US" w:bidi="en-US"/>
    </w:rPr>
  </w:style>
  <w:style w:type="table" w:styleId="TableGrid">
    <w:name w:val="Table Grid"/>
    <w:basedOn w:val="TableNormal"/>
    <w:uiPriority w:val="59"/>
    <w:rsid w:val="00DB76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DB76A6"/>
    <w:pPr>
      <w:tabs>
        <w:tab w:val="left" w:pos="1260"/>
      </w:tabs>
      <w:spacing w:after="480" w:line="480" w:lineRule="auto"/>
    </w:pPr>
    <w:rPr>
      <w:smallCaps/>
      <w:sz w:val="24"/>
    </w:rPr>
  </w:style>
  <w:style w:type="paragraph" w:customStyle="1" w:styleId="Citation-AltC">
    <w:name w:val="Citation - Alt C"/>
    <w:uiPriority w:val="2"/>
    <w:qFormat/>
    <w:rsid w:val="00DB76A6"/>
    <w:pPr>
      <w:spacing w:after="720"/>
      <w:ind w:left="1166"/>
      <w:contextualSpacing/>
      <w:jc w:val="both"/>
    </w:pPr>
    <w:rPr>
      <w:sz w:val="24"/>
    </w:rPr>
  </w:style>
  <w:style w:type="character" w:styleId="CommentReference">
    <w:name w:val="annotation reference"/>
    <w:basedOn w:val="DefaultParagraphFont"/>
    <w:uiPriority w:val="99"/>
    <w:semiHidden/>
    <w:unhideWhenUsed/>
    <w:rsid w:val="00DB76A6"/>
    <w:rPr>
      <w:sz w:val="16"/>
      <w:szCs w:val="16"/>
    </w:rPr>
  </w:style>
  <w:style w:type="paragraph" w:styleId="CommentText">
    <w:name w:val="annotation text"/>
    <w:basedOn w:val="Normal"/>
    <w:link w:val="CommentTextChar"/>
    <w:uiPriority w:val="99"/>
    <w:semiHidden/>
    <w:unhideWhenUsed/>
    <w:rsid w:val="00DB76A6"/>
    <w:rPr>
      <w:sz w:val="20"/>
    </w:rPr>
  </w:style>
  <w:style w:type="character" w:customStyle="1" w:styleId="CommentTextChar">
    <w:name w:val="Comment Text Char"/>
    <w:basedOn w:val="DefaultParagraphFont"/>
    <w:link w:val="CommentText"/>
    <w:uiPriority w:val="99"/>
    <w:semiHidden/>
    <w:rsid w:val="00DB76A6"/>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B76A6"/>
    <w:rPr>
      <w:b/>
      <w:bCs/>
    </w:rPr>
  </w:style>
  <w:style w:type="character" w:customStyle="1" w:styleId="CommentSubjectChar">
    <w:name w:val="Comment Subject Char"/>
    <w:basedOn w:val="CommentTextChar"/>
    <w:link w:val="CommentSubject"/>
    <w:uiPriority w:val="99"/>
    <w:semiHidden/>
    <w:rsid w:val="00DB76A6"/>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DB76A6"/>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DB76A6"/>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DB76A6"/>
    <w:rPr>
      <w:smallCaps/>
      <w:sz w:val="24"/>
    </w:rPr>
  </w:style>
  <w:style w:type="paragraph" w:customStyle="1" w:styleId="Title1LevelTitre1Niveau-AltL">
    <w:name w:val="Title 1 Level / Titre 1 Niveau - Alt L"/>
    <w:next w:val="ParaNoNdepar-AltN"/>
    <w:uiPriority w:val="4"/>
    <w:qFormat/>
    <w:rsid w:val="00DB76A6"/>
    <w:pPr>
      <w:numPr>
        <w:numId w:val="20"/>
      </w:numPr>
      <w:spacing w:before="480" w:after="720"/>
      <w:jc w:val="both"/>
    </w:pPr>
    <w:rPr>
      <w:rFonts w:eastAsiaTheme="minorHAnsi" w:cstheme="minorBidi"/>
      <w:sz w:val="24"/>
      <w:szCs w:val="22"/>
      <w:u w:val="single"/>
      <w:lang w:eastAsia="en-US"/>
    </w:rPr>
  </w:style>
  <w:style w:type="paragraph" w:styleId="NoSpacing">
    <w:name w:val="No Spacing"/>
    <w:uiPriority w:val="1"/>
    <w:rsid w:val="00DB76A6"/>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B76A6"/>
    <w:pPr>
      <w:outlineLvl w:val="9"/>
    </w:pPr>
  </w:style>
  <w:style w:type="paragraph" w:styleId="Caption">
    <w:name w:val="caption"/>
    <w:basedOn w:val="Normal"/>
    <w:next w:val="Normal"/>
    <w:uiPriority w:val="35"/>
    <w:semiHidden/>
    <w:unhideWhenUsed/>
    <w:qFormat/>
    <w:rsid w:val="00DB76A6"/>
    <w:rPr>
      <w:b/>
      <w:bCs/>
      <w:color w:val="4F81BD" w:themeColor="accent1"/>
      <w:sz w:val="18"/>
      <w:szCs w:val="18"/>
    </w:rPr>
  </w:style>
  <w:style w:type="paragraph" w:styleId="Title">
    <w:name w:val="Title"/>
    <w:basedOn w:val="Normal"/>
    <w:next w:val="Normal"/>
    <w:link w:val="TitleChar"/>
    <w:uiPriority w:val="10"/>
    <w:rsid w:val="00DB76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6A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B76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B76A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B76A6"/>
    <w:rPr>
      <w:i/>
      <w:iCs/>
    </w:rPr>
  </w:style>
  <w:style w:type="paragraph" w:styleId="ListParagraph">
    <w:name w:val="List Paragraph"/>
    <w:basedOn w:val="Normal"/>
    <w:uiPriority w:val="34"/>
    <w:qFormat/>
    <w:rsid w:val="00DB76A6"/>
    <w:pPr>
      <w:ind w:left="720"/>
      <w:contextualSpacing/>
    </w:pPr>
  </w:style>
  <w:style w:type="paragraph" w:styleId="IntenseQuote">
    <w:name w:val="Intense Quote"/>
    <w:basedOn w:val="Normal"/>
    <w:next w:val="Normal"/>
    <w:link w:val="IntenseQuoteChar"/>
    <w:uiPriority w:val="30"/>
    <w:rsid w:val="00DB76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76A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B76A6"/>
    <w:rPr>
      <w:i/>
      <w:iCs/>
      <w:color w:val="808080" w:themeColor="text1" w:themeTint="7F"/>
    </w:rPr>
  </w:style>
  <w:style w:type="character" w:styleId="IntenseEmphasis">
    <w:name w:val="Intense Emphasis"/>
    <w:basedOn w:val="DefaultParagraphFont"/>
    <w:uiPriority w:val="21"/>
    <w:rsid w:val="00DB76A6"/>
    <w:rPr>
      <w:b/>
      <w:bCs/>
      <w:i/>
      <w:iCs/>
      <w:color w:val="4F81BD" w:themeColor="accent1"/>
    </w:rPr>
  </w:style>
  <w:style w:type="character" w:styleId="SubtleReference">
    <w:name w:val="Subtle Reference"/>
    <w:basedOn w:val="DefaultParagraphFont"/>
    <w:uiPriority w:val="31"/>
    <w:rsid w:val="00DB76A6"/>
    <w:rPr>
      <w:smallCaps/>
      <w:color w:val="C0504D" w:themeColor="accent2"/>
      <w:u w:val="single"/>
    </w:rPr>
  </w:style>
  <w:style w:type="character" w:styleId="IntenseReference">
    <w:name w:val="Intense Reference"/>
    <w:basedOn w:val="DefaultParagraphFont"/>
    <w:uiPriority w:val="32"/>
    <w:rsid w:val="00DB76A6"/>
    <w:rPr>
      <w:b/>
      <w:bCs/>
      <w:smallCaps/>
      <w:color w:val="C0504D" w:themeColor="accent2"/>
      <w:spacing w:val="5"/>
      <w:u w:val="single"/>
    </w:rPr>
  </w:style>
  <w:style w:type="character" w:styleId="BookTitle">
    <w:name w:val="Book Title"/>
    <w:basedOn w:val="DefaultParagraphFont"/>
    <w:uiPriority w:val="33"/>
    <w:rsid w:val="00DB76A6"/>
    <w:rPr>
      <w:b/>
      <w:bCs/>
      <w:smallCaps/>
      <w:spacing w:val="5"/>
    </w:rPr>
  </w:style>
  <w:style w:type="paragraph" w:styleId="Revision">
    <w:name w:val="Revision"/>
    <w:hidden/>
    <w:uiPriority w:val="99"/>
    <w:semiHidden/>
    <w:rsid w:val="00DB76A6"/>
    <w:rPr>
      <w:rFonts w:eastAsiaTheme="minorHAnsi" w:cstheme="minorBidi"/>
      <w:sz w:val="24"/>
      <w:szCs w:val="22"/>
      <w:lang w:val="en-US" w:eastAsia="en-US" w:bidi="en-US"/>
    </w:rPr>
  </w:style>
  <w:style w:type="character" w:styleId="Hyperlink">
    <w:name w:val="Hyperlink"/>
    <w:basedOn w:val="DefaultParagraphFont"/>
    <w:uiPriority w:val="99"/>
    <w:unhideWhenUsed/>
    <w:rsid w:val="00DB76A6"/>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DB76A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B76A6"/>
    <w:pPr>
      <w:numPr>
        <w:ilvl w:val="2"/>
      </w:numPr>
    </w:pPr>
  </w:style>
  <w:style w:type="paragraph" w:customStyle="1" w:styleId="Title4LevelTitre4Niveau">
    <w:name w:val="Title 4 Level / Titre 4 Niveau"/>
    <w:basedOn w:val="Title3LevelTitre3Niveau"/>
    <w:next w:val="ParaNoNdepar-AltN"/>
    <w:uiPriority w:val="4"/>
    <w:qFormat/>
    <w:rsid w:val="00DB76A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B76A6"/>
    <w:pPr>
      <w:numPr>
        <w:ilvl w:val="4"/>
      </w:numPr>
    </w:pPr>
  </w:style>
  <w:style w:type="paragraph" w:customStyle="1" w:styleId="TitleTitre-AltT">
    <w:name w:val="Title / Titre - Alt T"/>
    <w:next w:val="ParaNoNdepar-AltN"/>
    <w:uiPriority w:val="3"/>
    <w:qFormat/>
    <w:rsid w:val="00DB76A6"/>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B76A6"/>
    <w:pPr>
      <w:numPr>
        <w:ilvl w:val="5"/>
      </w:numPr>
    </w:pPr>
    <w:rPr>
      <w:i/>
      <w:u w:val="none"/>
    </w:rPr>
  </w:style>
  <w:style w:type="paragraph" w:styleId="FootnoteText">
    <w:name w:val="footnote text"/>
    <w:basedOn w:val="Normal"/>
    <w:link w:val="FootnoteTextChar"/>
    <w:uiPriority w:val="99"/>
    <w:unhideWhenUsed/>
    <w:rsid w:val="00DB76A6"/>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DB76A6"/>
  </w:style>
  <w:style w:type="paragraph" w:customStyle="1" w:styleId="SCCCoram">
    <w:name w:val="SCC.Coram"/>
    <w:basedOn w:val="Normal"/>
    <w:next w:val="Normal"/>
    <w:link w:val="SCCCoramChar"/>
    <w:rsid w:val="0003589F"/>
    <w:pPr>
      <w:pBdr>
        <w:bottom w:val="single" w:sz="4" w:space="1" w:color="auto"/>
      </w:pBdr>
    </w:pPr>
    <w:rPr>
      <w:lang w:val="fr-CA" w:bidi="ar-SA"/>
    </w:rPr>
  </w:style>
  <w:style w:type="character" w:customStyle="1" w:styleId="SCCCoramChar">
    <w:name w:val="SCC.Coram Char"/>
    <w:basedOn w:val="DefaultParagraphFont"/>
    <w:link w:val="SCCCoram"/>
    <w:rsid w:val="0003589F"/>
    <w:rPr>
      <w:rFonts w:eastAsiaTheme="minorHAnsi" w:cstheme="minorBidi"/>
      <w:sz w:val="24"/>
      <w:szCs w:val="22"/>
      <w:lang w:val="fr-CA" w:eastAsia="en-US"/>
    </w:rPr>
  </w:style>
  <w:style w:type="character" w:styleId="FootnoteReference">
    <w:name w:val="footnote reference"/>
    <w:basedOn w:val="DefaultParagraphFont"/>
    <w:uiPriority w:val="99"/>
    <w:semiHidden/>
    <w:unhideWhenUsed/>
    <w:rsid w:val="0003589F"/>
    <w:rPr>
      <w:vertAlign w:val="superscript"/>
    </w:rPr>
  </w:style>
  <w:style w:type="character" w:customStyle="1" w:styleId="Italic">
    <w:name w:val="Italic"/>
    <w:basedOn w:val="DefaultParagraphFont"/>
    <w:uiPriority w:val="1"/>
    <w:rsid w:val="0003589F"/>
    <w:rPr>
      <w:i/>
    </w:rPr>
  </w:style>
  <w:style w:type="character" w:customStyle="1" w:styleId="reflex3-alt">
    <w:name w:val="reflex3-alt"/>
    <w:basedOn w:val="DefaultParagraphFont"/>
    <w:rsid w:val="0003589F"/>
  </w:style>
  <w:style w:type="character" w:customStyle="1" w:styleId="reflex3-block">
    <w:name w:val="reflex3-block"/>
    <w:basedOn w:val="DefaultParagraphFont"/>
    <w:rsid w:val="0003589F"/>
  </w:style>
  <w:style w:type="paragraph" w:styleId="ListNumber2">
    <w:name w:val="List Number 2"/>
    <w:basedOn w:val="Normal"/>
    <w:uiPriority w:val="99"/>
    <w:unhideWhenUsed/>
    <w:rsid w:val="0003589F"/>
    <w:pPr>
      <w:tabs>
        <w:tab w:val="num" w:pos="720"/>
      </w:tabs>
      <w:spacing w:before="240" w:after="240"/>
      <w:ind w:left="720" w:hanging="360"/>
      <w:jc w:val="both"/>
    </w:pPr>
    <w:rPr>
      <w:rFonts w:eastAsia="Times New Roman" w:cs="Times New Roman"/>
      <w:i/>
      <w:szCs w:val="24"/>
      <w:lang w:val="en-CA" w:eastAsia="en-CA"/>
    </w:rPr>
  </w:style>
  <w:style w:type="paragraph" w:styleId="Quote">
    <w:name w:val="Quote"/>
    <w:basedOn w:val="Normal"/>
    <w:next w:val="Normal"/>
    <w:link w:val="QuoteChar"/>
    <w:uiPriority w:val="29"/>
    <w:rsid w:val="0003589F"/>
    <w:rPr>
      <w:i/>
      <w:iCs/>
      <w:color w:val="000000" w:themeColor="text1"/>
    </w:rPr>
  </w:style>
  <w:style w:type="character" w:customStyle="1" w:styleId="QuoteChar">
    <w:name w:val="Quote Char"/>
    <w:basedOn w:val="DefaultParagraphFont"/>
    <w:link w:val="Quote"/>
    <w:uiPriority w:val="29"/>
    <w:rsid w:val="0003589F"/>
    <w:rPr>
      <w:rFonts w:eastAsiaTheme="minorHAnsi" w:cstheme="minorBidi"/>
      <w:i/>
      <w:iCs/>
      <w:color w:val="000000" w:themeColor="text1"/>
      <w:sz w:val="24"/>
      <w:szCs w:val="22"/>
      <w:lang w:val="en-US" w:eastAsia="en-US" w:bidi="en-US"/>
    </w:rPr>
  </w:style>
  <w:style w:type="character" w:customStyle="1" w:styleId="sccappellantforindexchar1">
    <w:name w:val="sccappellantforindexchar1"/>
    <w:basedOn w:val="DefaultParagraphFont"/>
    <w:rsid w:val="0003589F"/>
    <w:rPr>
      <w:b/>
      <w:bCs/>
    </w:rPr>
  </w:style>
  <w:style w:type="paragraph" w:customStyle="1" w:styleId="11">
    <w:name w:val="11"/>
    <w:basedOn w:val="Normal"/>
    <w:rsid w:val="0003589F"/>
    <w:pPr>
      <w:autoSpaceDE w:val="0"/>
      <w:autoSpaceDN w:val="0"/>
      <w:ind w:hanging="720"/>
    </w:pPr>
    <w:rPr>
      <w:rFonts w:eastAsia="Times New Roman" w:cs="Times New Roman"/>
      <w:szCs w:val="24"/>
      <w:lang w:bidi="ar-SA"/>
    </w:rPr>
  </w:style>
  <w:style w:type="character" w:customStyle="1" w:styleId="nowrap">
    <w:name w:val="nowrap"/>
    <w:basedOn w:val="DefaultParagraphFont"/>
    <w:rsid w:val="0003589F"/>
  </w:style>
  <w:style w:type="character" w:customStyle="1" w:styleId="texte-courant1">
    <w:name w:val="texte-courant1"/>
    <w:basedOn w:val="DefaultParagraphFont"/>
    <w:rsid w:val="0003589F"/>
  </w:style>
  <w:style w:type="paragraph" w:customStyle="1" w:styleId="paragraphe2">
    <w:name w:val="paragraphe2"/>
    <w:basedOn w:val="Normal"/>
    <w:rsid w:val="00EB0078"/>
    <w:pPr>
      <w:spacing w:before="120" w:after="120"/>
      <w:jc w:val="both"/>
    </w:pPr>
    <w:rPr>
      <w:rFonts w:ascii="Arial" w:eastAsia="Times New Roman" w:hAnsi="Arial" w:cs="Arial"/>
      <w:szCs w:val="24"/>
      <w:lang w:val="fr-CA" w:eastAsia="fr-CA" w:bidi="ar-SA"/>
    </w:rPr>
  </w:style>
  <w:style w:type="character" w:customStyle="1" w:styleId="SCCLsocPartyRoleChar">
    <w:name w:val="SCC.Lsoc.PartyRole Char"/>
    <w:basedOn w:val="DefaultParagraphFont"/>
    <w:rsid w:val="00E70C4A"/>
    <w:rPr>
      <w:lang w:val="en-CA"/>
    </w:rPr>
  </w:style>
  <w:style w:type="paragraph" w:customStyle="1" w:styleId="SCCLsocPrefix">
    <w:name w:val="SCC.Lsoc.Prefix"/>
    <w:basedOn w:val="Normal"/>
    <w:next w:val="Normal"/>
    <w:link w:val="SCCLsocPrefixChar"/>
    <w:rsid w:val="00E70C4A"/>
    <w:rPr>
      <w:b/>
      <w:smallCaps/>
      <w:szCs w:val="24"/>
      <w:lang w:val="en-CA" w:bidi="ar-SA"/>
    </w:rPr>
  </w:style>
  <w:style w:type="character" w:customStyle="1" w:styleId="SCCLsocPrefixChar">
    <w:name w:val="SCC.Lsoc.Prefix Char"/>
    <w:basedOn w:val="DefaultParagraphFont"/>
    <w:link w:val="SCCLsocPrefix"/>
    <w:rsid w:val="00E70C4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5156-50D2-47C0-B5F8-10CEA1BA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19664</Words>
  <Characters>102425</Characters>
  <Application>Microsoft Office Word</Application>
  <DocSecurity>0</DocSecurity>
  <Lines>853</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2016-08-02T18:47:00Z</dcterms:created>
  <dcterms:modified xsi:type="dcterms:W3CDTF">2017-02-16T18:48:00Z</dcterms:modified>
</cp:coreProperties>
</file>