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75" w:rsidRDefault="003B7C75" w:rsidP="003B7C75">
      <w:pPr>
        <w:pStyle w:val="Header"/>
      </w:pPr>
      <w:r>
        <w:ptab w:relativeTo="margin" w:alignment="center" w:leader="none"/>
      </w:r>
      <w:r>
        <w:t xml:space="preserve"> </w:t>
      </w:r>
      <w:r>
        <w:rPr>
          <w:rFonts w:eastAsiaTheme="minorHAnsi" w:cstheme="minorBidi"/>
          <w:szCs w:val="24"/>
          <w:lang w:eastAsia="en-US"/>
        </w:rPr>
        <w:object w:dxaOrig="1224"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5pt;height:65.05pt" o:ole="">
            <v:imagedata r:id="rId8" o:title=""/>
          </v:shape>
          <o:OLEObject Type="Embed" ProgID="Presentations.Drawing.17" ShapeID="_x0000_i1025" DrawAspect="Content" ObjectID="_1581498000" r:id="rId9"/>
        </w:object>
      </w:r>
      <w:r>
        <w:t xml:space="preserve"> </w:t>
      </w:r>
      <w:r>
        <w:ptab w:relativeTo="margin" w:alignment="right" w:leader="none"/>
      </w:r>
      <w:r>
        <w:t xml:space="preserve"> </w:t>
      </w:r>
    </w:p>
    <w:p w:rsidR="003B7C75" w:rsidRDefault="003B7C75" w:rsidP="003B7C75">
      <w:pPr>
        <w:pStyle w:val="Header"/>
      </w:pPr>
    </w:p>
    <w:p w:rsidR="003B7C75" w:rsidRDefault="003B7C75" w:rsidP="003B7C75">
      <w:pPr>
        <w:jc w:val="center"/>
        <w:rPr>
          <w:b/>
        </w:rPr>
      </w:pPr>
      <w:r>
        <w:rPr>
          <w:b/>
        </w:rPr>
        <w:t>SUPREME COURT OF CANADA</w:t>
      </w:r>
    </w:p>
    <w:p w:rsidR="003B7C75" w:rsidRDefault="003B7C75" w:rsidP="003B7C75"/>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3B7C75" w:rsidTr="003B7C75">
        <w:trPr>
          <w:cantSplit/>
        </w:trPr>
        <w:tc>
          <w:tcPr>
            <w:tcW w:w="5670" w:type="dxa"/>
            <w:hideMark/>
          </w:tcPr>
          <w:p w:rsidR="003B7C75" w:rsidRDefault="003B7C75">
            <w:pPr>
              <w:rPr>
                <w:lang w:val="fr-CA"/>
              </w:rPr>
            </w:pPr>
            <w:r>
              <w:rPr>
                <w:b/>
                <w:smallCaps/>
                <w:lang w:val="fr-CA"/>
              </w:rPr>
              <w:t>Citation:</w:t>
            </w:r>
            <w:r>
              <w:rPr>
                <w:lang w:val="fr-CA"/>
              </w:rPr>
              <w:t xml:space="preserve"> </w:t>
            </w:r>
            <w:proofErr w:type="spellStart"/>
            <w:r w:rsidRPr="003B7C75">
              <w:rPr>
                <w:rStyle w:val="SCCAppellantForIndexChar"/>
                <w:rFonts w:eastAsiaTheme="minorHAnsi"/>
                <w:b w:val="0"/>
                <w:lang w:val="fr-CA"/>
              </w:rPr>
              <w:t>Ostiguy</w:t>
            </w:r>
            <w:proofErr w:type="spellEnd"/>
            <w:r w:rsidRPr="003B7C75">
              <w:rPr>
                <w:lang w:val="fr-CA"/>
              </w:rPr>
              <w:t xml:space="preserve"> </w:t>
            </w:r>
            <w:r w:rsidRPr="003B7C75">
              <w:rPr>
                <w:i/>
                <w:lang w:val="fr-CA"/>
              </w:rPr>
              <w:t>v.</w:t>
            </w:r>
            <w:r w:rsidRPr="003B7C75">
              <w:rPr>
                <w:b/>
                <w:lang w:val="fr-CA"/>
              </w:rPr>
              <w:t xml:space="preserve"> </w:t>
            </w:r>
            <w:r w:rsidRPr="003B7C75">
              <w:rPr>
                <w:rStyle w:val="SCCRespondentForIndexChar"/>
                <w:rFonts w:eastAsiaTheme="minorHAnsi"/>
                <w:b w:val="0"/>
                <w:lang w:val="fr-CA"/>
              </w:rPr>
              <w:t>Allie, 2017 SCC 22</w:t>
            </w:r>
            <w:r>
              <w:rPr>
                <w:rStyle w:val="SCCRespondentForIndexChar"/>
                <w:rFonts w:eastAsiaTheme="minorHAnsi"/>
                <w:b w:val="0"/>
                <w:lang w:val="fr-CA"/>
              </w:rPr>
              <w:t>, [2017] 1 S.C.R. 402</w:t>
            </w:r>
          </w:p>
        </w:tc>
        <w:tc>
          <w:tcPr>
            <w:tcW w:w="3906" w:type="dxa"/>
            <w:hideMark/>
          </w:tcPr>
          <w:p w:rsidR="003B7C75" w:rsidRDefault="003B7C75">
            <w:r>
              <w:rPr>
                <w:b/>
                <w:smallCaps/>
              </w:rPr>
              <w:t>Appeal Heard:</w:t>
            </w:r>
            <w:r>
              <w:t xml:space="preserve"> October 7, 2016</w:t>
            </w:r>
          </w:p>
          <w:p w:rsidR="003B7C75" w:rsidRDefault="003B7C75">
            <w:r>
              <w:rPr>
                <w:b/>
                <w:smallCaps/>
              </w:rPr>
              <w:t>Judgment Rendered:</w:t>
            </w:r>
            <w:r>
              <w:t xml:space="preserve"> April 6, 2017</w:t>
            </w:r>
          </w:p>
          <w:p w:rsidR="003B7C75" w:rsidRDefault="003B7C75">
            <w:r>
              <w:rPr>
                <w:b/>
                <w:smallCaps/>
              </w:rPr>
              <w:t>Docket:</w:t>
            </w:r>
            <w:r>
              <w:t xml:space="preserve"> 36694</w:t>
            </w:r>
          </w:p>
        </w:tc>
      </w:tr>
    </w:tbl>
    <w:p w:rsidR="003B7C75" w:rsidRDefault="003B7C75" w:rsidP="003B7C75">
      <w:pPr>
        <w:rPr>
          <w:rFonts w:cstheme="minorBidi"/>
          <w:lang w:eastAsia="en-US"/>
        </w:rPr>
      </w:pPr>
    </w:p>
    <w:p w:rsidR="003B7C75" w:rsidRPr="00AB65CB" w:rsidRDefault="003B7C75" w:rsidP="003B7C75">
      <w:pPr>
        <w:pStyle w:val="SCCLsocPrefix"/>
        <w:rPr>
          <w:sz w:val="24"/>
          <w:szCs w:val="24"/>
        </w:rPr>
      </w:pPr>
      <w:r w:rsidRPr="00AB65CB">
        <w:rPr>
          <w:sz w:val="24"/>
          <w:szCs w:val="24"/>
        </w:rPr>
        <w:t>Between:</w:t>
      </w:r>
    </w:p>
    <w:p w:rsidR="006E0DB1" w:rsidRDefault="003B7C75" w:rsidP="003B7C75">
      <w:pPr>
        <w:pStyle w:val="SCCLsocParty"/>
        <w:jc w:val="center"/>
      </w:pPr>
      <w:r>
        <w:t xml:space="preserve">Alain </w:t>
      </w:r>
      <w:proofErr w:type="spellStart"/>
      <w:r>
        <w:t>Ostiguy</w:t>
      </w:r>
      <w:proofErr w:type="spellEnd"/>
      <w:r>
        <w:t xml:space="preserve"> and </w:t>
      </w:r>
    </w:p>
    <w:p w:rsidR="003B7C75" w:rsidRDefault="003B7C75" w:rsidP="003B7C75">
      <w:pPr>
        <w:pStyle w:val="SCCLsocParty"/>
        <w:jc w:val="center"/>
      </w:pPr>
      <w:proofErr w:type="spellStart"/>
      <w:r>
        <w:t>Valérie</w:t>
      </w:r>
      <w:proofErr w:type="spellEnd"/>
      <w:r>
        <w:t xml:space="preserve"> Savard</w:t>
      </w:r>
    </w:p>
    <w:p w:rsidR="003B7C75" w:rsidRDefault="003B7C75" w:rsidP="003B7C75">
      <w:pPr>
        <w:jc w:val="center"/>
      </w:pPr>
      <w:r>
        <w:t>Appellants</w:t>
      </w:r>
    </w:p>
    <w:p w:rsidR="003B7C75" w:rsidRDefault="003B7C75" w:rsidP="003B7C75">
      <w:pPr>
        <w:jc w:val="center"/>
      </w:pPr>
    </w:p>
    <w:p w:rsidR="003B7C75" w:rsidRPr="003B7C75" w:rsidRDefault="003B7C75" w:rsidP="003B7C75">
      <w:pPr>
        <w:pStyle w:val="SCCLsocVersus"/>
        <w:spacing w:after="0"/>
        <w:jc w:val="center"/>
        <w:rPr>
          <w:i w:val="0"/>
        </w:rPr>
      </w:pPr>
      <w:proofErr w:type="gramStart"/>
      <w:r w:rsidRPr="003B7C75">
        <w:rPr>
          <w:i w:val="0"/>
        </w:rPr>
        <w:t>and</w:t>
      </w:r>
      <w:proofErr w:type="gramEnd"/>
    </w:p>
    <w:p w:rsidR="003B7C75" w:rsidRDefault="003B7C75" w:rsidP="003B7C75">
      <w:pPr>
        <w:jc w:val="center"/>
      </w:pPr>
    </w:p>
    <w:p w:rsidR="003B7C75" w:rsidRDefault="003B7C75" w:rsidP="003B7C75">
      <w:pPr>
        <w:pStyle w:val="SCCLsocParty"/>
        <w:jc w:val="center"/>
      </w:pPr>
      <w:r>
        <w:t>Hélène Allie</w:t>
      </w:r>
    </w:p>
    <w:p w:rsidR="003B7C75" w:rsidRDefault="003B7C75" w:rsidP="003B7C75">
      <w:pPr>
        <w:jc w:val="center"/>
      </w:pPr>
      <w:r>
        <w:t>Respondent</w:t>
      </w:r>
    </w:p>
    <w:p w:rsidR="003B7C75" w:rsidRDefault="003B7C75" w:rsidP="003B7C75"/>
    <w:p w:rsidR="006E0DB1" w:rsidRPr="006E0DB1" w:rsidRDefault="006E0DB1" w:rsidP="00633F02">
      <w:pPr>
        <w:jc w:val="center"/>
      </w:pPr>
      <w:r>
        <w:rPr>
          <w:b/>
          <w:smallCaps/>
        </w:rPr>
        <w:t xml:space="preserve">Official English Translation: </w:t>
      </w:r>
      <w:r w:rsidRPr="006E0DB1">
        <w:t>Reasons</w:t>
      </w:r>
      <w:r>
        <w:t xml:space="preserve"> of </w:t>
      </w:r>
      <w:proofErr w:type="spellStart"/>
      <w:r>
        <w:t>Gascon</w:t>
      </w:r>
      <w:proofErr w:type="spellEnd"/>
      <w:r>
        <w:t xml:space="preserve"> J.</w:t>
      </w:r>
    </w:p>
    <w:p w:rsidR="003B7C75" w:rsidRDefault="003B7C75" w:rsidP="003B7C75"/>
    <w:p w:rsidR="003B7C75" w:rsidRDefault="003B7C75" w:rsidP="003B7C75">
      <w:r>
        <w:rPr>
          <w:b/>
          <w:smallCaps/>
        </w:rPr>
        <w:t>Coram:</w:t>
      </w:r>
      <w:r>
        <w:t xml:space="preserve"> </w:t>
      </w:r>
      <w:proofErr w:type="spellStart"/>
      <w:r>
        <w:t>McLachlin</w:t>
      </w:r>
      <w:proofErr w:type="spellEnd"/>
      <w:r>
        <w:t xml:space="preserve"> C.J. and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w:t>
      </w:r>
    </w:p>
    <w:p w:rsidR="00792519" w:rsidRDefault="00792519" w:rsidP="003B7C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B7C75" w:rsidRPr="003B7C75" w:rsidTr="003B7C75">
        <w:trPr>
          <w:cantSplit/>
        </w:trPr>
        <w:tc>
          <w:tcPr>
            <w:tcW w:w="3618" w:type="dxa"/>
            <w:hideMark/>
          </w:tcPr>
          <w:p w:rsidR="003B7C75" w:rsidRDefault="003B7C75">
            <w:pPr>
              <w:rPr>
                <w:b/>
                <w:smallCaps/>
              </w:rPr>
            </w:pPr>
            <w:r>
              <w:rPr>
                <w:b/>
                <w:smallCaps/>
              </w:rPr>
              <w:t>Reasons for Judgment:</w:t>
            </w:r>
          </w:p>
          <w:p w:rsidR="003B7C75" w:rsidRDefault="003B7C75">
            <w:r>
              <w:t>(paras. 1 to 96)</w:t>
            </w:r>
          </w:p>
        </w:tc>
        <w:tc>
          <w:tcPr>
            <w:tcW w:w="5958" w:type="dxa"/>
            <w:hideMark/>
          </w:tcPr>
          <w:p w:rsidR="003B7C75" w:rsidRDefault="003B7C75">
            <w:proofErr w:type="spellStart"/>
            <w:r>
              <w:t>Gascon</w:t>
            </w:r>
            <w:proofErr w:type="spellEnd"/>
            <w:r>
              <w:t xml:space="preserve"> J. (</w:t>
            </w:r>
            <w:proofErr w:type="spellStart"/>
            <w:r>
              <w:t>McLachlin</w:t>
            </w:r>
            <w:proofErr w:type="spellEnd"/>
            <w:r>
              <w:t xml:space="preserve"> C.J. and </w:t>
            </w:r>
            <w:proofErr w:type="spellStart"/>
            <w:r>
              <w:t>Moldaver</w:t>
            </w:r>
            <w:proofErr w:type="spellEnd"/>
            <w:r>
              <w:t xml:space="preserve">, </w:t>
            </w:r>
            <w:proofErr w:type="spellStart"/>
            <w:r>
              <w:t>Karakatsanis</w:t>
            </w:r>
            <w:proofErr w:type="spellEnd"/>
            <w:r>
              <w:t>, Wagner and Brown JJ. concurring)</w:t>
            </w:r>
          </w:p>
        </w:tc>
      </w:tr>
    </w:tbl>
    <w:p w:rsidR="003B7C75" w:rsidRDefault="003B7C75" w:rsidP="003B7C75">
      <w:pPr>
        <w:rPr>
          <w:rFonts w:cstheme="minorBidi"/>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B7C75" w:rsidTr="003B7C75">
        <w:trPr>
          <w:cantSplit/>
        </w:trPr>
        <w:tc>
          <w:tcPr>
            <w:tcW w:w="3618" w:type="dxa"/>
            <w:hideMark/>
          </w:tcPr>
          <w:p w:rsidR="003B7C75" w:rsidRDefault="003B7C75">
            <w:pPr>
              <w:rPr>
                <w:b/>
                <w:smallCaps/>
              </w:rPr>
            </w:pPr>
            <w:r>
              <w:rPr>
                <w:b/>
                <w:smallCaps/>
              </w:rPr>
              <w:t>Dissenting Reasons:</w:t>
            </w:r>
          </w:p>
          <w:p w:rsidR="003B7C75" w:rsidRDefault="003B7C75">
            <w:r>
              <w:t>(paras. 97 to 164)</w:t>
            </w:r>
          </w:p>
        </w:tc>
        <w:tc>
          <w:tcPr>
            <w:tcW w:w="5958" w:type="dxa"/>
            <w:hideMark/>
          </w:tcPr>
          <w:p w:rsidR="003B7C75" w:rsidRDefault="003B7C75">
            <w:proofErr w:type="spellStart"/>
            <w:r>
              <w:t>Côté</w:t>
            </w:r>
            <w:proofErr w:type="spellEnd"/>
            <w:r>
              <w:t xml:space="preserve"> J.</w:t>
            </w:r>
          </w:p>
        </w:tc>
      </w:tr>
    </w:tbl>
    <w:p w:rsidR="003B7C75" w:rsidRDefault="003B7C75" w:rsidP="003B7C75">
      <w:pPr>
        <w:rPr>
          <w:rFonts w:cstheme="minorBidi"/>
          <w:lang w:eastAsia="en-US"/>
        </w:rPr>
      </w:pPr>
    </w:p>
    <w:p w:rsidR="003B7C75" w:rsidRDefault="003B7C75" w:rsidP="003B7C75">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8D4AA" id="_x0000_t32" coordsize="21600,21600" o:spt="32" o:oned="t" path="m,l21600,21600e" filled="f">
                <v:path arrowok="t" fillok="f" o:connecttype="none"/>
                <o:lock v:ext="edit" shapetype="t"/>
              </v:shapetype>
              <v:shape id="Connecteur droit avec flèch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"/>
            </w:pict>
          </mc:Fallback>
        </mc:AlternateContent>
      </w:r>
    </w:p>
    <w:p w:rsidR="003B7C75" w:rsidRDefault="003B7C75" w:rsidP="00233573">
      <w:pPr>
        <w:widowControl w:val="0"/>
        <w:spacing w:after="720"/>
        <w:jc w:val="both"/>
        <w:rPr>
          <w:rStyle w:val="SCCAppellantForRunningHeadChar"/>
          <w:smallCaps w:val="0"/>
          <w:lang w:val="fr-CA"/>
        </w:rPr>
      </w:pPr>
    </w:p>
    <w:p w:rsidR="008322BD" w:rsidRPr="00435107" w:rsidRDefault="00435107" w:rsidP="00233573">
      <w:pPr>
        <w:widowControl w:val="0"/>
        <w:spacing w:after="720"/>
        <w:jc w:val="both"/>
        <w:rPr>
          <w:smallCaps/>
          <w:lang w:val="fr-CA"/>
        </w:rPr>
      </w:pPr>
      <w:proofErr w:type="spellStart"/>
      <w:r>
        <w:rPr>
          <w:rStyle w:val="SCCAppellantForRunningHeadChar"/>
          <w:smallCaps w:val="0"/>
          <w:lang w:val="fr-CA"/>
        </w:rPr>
        <w:t>O</w:t>
      </w:r>
      <w:r w:rsidR="008F78E9" w:rsidRPr="00435107">
        <w:rPr>
          <w:rStyle w:val="SCCAppellantForRunningHeadChar"/>
          <w:smallCaps w:val="0"/>
          <w:lang w:val="fr-CA"/>
        </w:rPr>
        <w:t>stiguy</w:t>
      </w:r>
      <w:proofErr w:type="spellEnd"/>
      <w:r>
        <w:rPr>
          <w:rStyle w:val="SCCAppellantForRunningHeadChar"/>
          <w:smallCaps w:val="0"/>
          <w:lang w:val="fr-CA"/>
        </w:rPr>
        <w:t xml:space="preserve"> </w:t>
      </w:r>
      <w:r w:rsidRPr="00435107">
        <w:rPr>
          <w:rStyle w:val="SCCAppellantForRunningHeadChar"/>
          <w:i/>
          <w:smallCaps w:val="0"/>
          <w:lang w:val="fr-CA"/>
        </w:rPr>
        <w:t>v.</w:t>
      </w:r>
      <w:r>
        <w:rPr>
          <w:rStyle w:val="SCCAppellantForRunningHeadChar"/>
          <w:smallCaps w:val="0"/>
          <w:lang w:val="fr-CA"/>
        </w:rPr>
        <w:t xml:space="preserve"> Allie, </w:t>
      </w:r>
      <w:r w:rsidRPr="00435107">
        <w:rPr>
          <w:lang w:val="fr-CA"/>
        </w:rPr>
        <w:t>2017 SCC 22</w:t>
      </w:r>
      <w:r>
        <w:rPr>
          <w:lang w:val="fr-CA"/>
        </w:rPr>
        <w:t>, [2017] 1 S.C.R. 402</w:t>
      </w:r>
    </w:p>
    <w:p w:rsidR="00A71866" w:rsidRPr="00C070BC" w:rsidRDefault="00CF6F29" w:rsidP="00233573">
      <w:pPr>
        <w:pStyle w:val="SCCLsocParty"/>
        <w:widowControl w:val="0"/>
        <w:rPr>
          <w:lang w:val="fr-CA"/>
        </w:rPr>
      </w:pPr>
      <w:r w:rsidRPr="00C070BC">
        <w:rPr>
          <w:lang w:val="fr-CA"/>
        </w:rPr>
        <w:t xml:space="preserve">Alain </w:t>
      </w:r>
      <w:proofErr w:type="spellStart"/>
      <w:r w:rsidRPr="00C070BC">
        <w:rPr>
          <w:lang w:val="fr-CA"/>
        </w:rPr>
        <w:t>Ostiguy</w:t>
      </w:r>
      <w:proofErr w:type="spellEnd"/>
      <w:r w:rsidR="000B4105" w:rsidRPr="00C070BC">
        <w:rPr>
          <w:lang w:val="fr-CA"/>
        </w:rPr>
        <w:t xml:space="preserve"> and</w:t>
      </w:r>
      <w:r w:rsidR="002D255B" w:rsidRPr="00C070BC">
        <w:rPr>
          <w:lang w:val="fr-CA"/>
        </w:rPr>
        <w:t xml:space="preserve"> </w:t>
      </w:r>
    </w:p>
    <w:p w:rsidR="00805323" w:rsidRPr="00C070BC" w:rsidRDefault="00CF6F29" w:rsidP="00233573">
      <w:pPr>
        <w:pStyle w:val="SCCLsocParty"/>
        <w:widowControl w:val="0"/>
        <w:spacing w:after="720"/>
        <w:rPr>
          <w:lang w:val="fr-CA"/>
        </w:rPr>
      </w:pPr>
      <w:r w:rsidRPr="00C070BC">
        <w:rPr>
          <w:lang w:val="fr-CA"/>
        </w:rPr>
        <w:t>Valérie Savard</w:t>
      </w:r>
      <w:r w:rsidRPr="00C070BC">
        <w:rPr>
          <w:rStyle w:val="SCCLsocPartyRole"/>
          <w:lang w:val="fr-CA"/>
        </w:rPr>
        <w:tab/>
      </w:r>
      <w:proofErr w:type="spellStart"/>
      <w:r w:rsidRPr="00C070BC">
        <w:rPr>
          <w:rStyle w:val="SCCLsocPartyRole"/>
          <w:lang w:val="fr-CA"/>
        </w:rPr>
        <w:t>Appellants</w:t>
      </w:r>
      <w:proofErr w:type="spellEnd"/>
    </w:p>
    <w:p w:rsidR="00805323" w:rsidRPr="003B7C75" w:rsidRDefault="00CF6F29" w:rsidP="00233573">
      <w:pPr>
        <w:pStyle w:val="SCCLsocVersus"/>
        <w:widowControl w:val="0"/>
        <w:rPr>
          <w:lang w:val="en-US"/>
        </w:rPr>
      </w:pPr>
      <w:proofErr w:type="gramStart"/>
      <w:r w:rsidRPr="003B7C75">
        <w:rPr>
          <w:lang w:val="en-US"/>
        </w:rPr>
        <w:t>v</w:t>
      </w:r>
      <w:proofErr w:type="gramEnd"/>
      <w:r w:rsidRPr="003B7C75">
        <w:rPr>
          <w:lang w:val="en-US"/>
        </w:rPr>
        <w:t>.</w:t>
      </w:r>
    </w:p>
    <w:p w:rsidR="00805323" w:rsidRPr="003B7C75" w:rsidRDefault="00CF6F29" w:rsidP="00233573">
      <w:pPr>
        <w:pStyle w:val="SCCLsocLastPartyInRole"/>
        <w:widowControl w:val="0"/>
        <w:rPr>
          <w:lang w:val="en-US"/>
        </w:rPr>
      </w:pPr>
      <w:r w:rsidRPr="003B7C75">
        <w:rPr>
          <w:lang w:val="en-US"/>
        </w:rPr>
        <w:lastRenderedPageBreak/>
        <w:t>Hélène Allie</w:t>
      </w:r>
      <w:r w:rsidRPr="003B7C75">
        <w:rPr>
          <w:rStyle w:val="SCCLsocPartyRole"/>
          <w:lang w:val="en-US"/>
        </w:rPr>
        <w:tab/>
        <w:t>Respondent</w:t>
      </w:r>
    </w:p>
    <w:p w:rsidR="00426659" w:rsidRPr="003B7C75" w:rsidRDefault="00426659" w:rsidP="00233573">
      <w:pPr>
        <w:widowControl w:val="0"/>
        <w:spacing w:after="720"/>
        <w:jc w:val="both"/>
        <w:rPr>
          <w:b/>
          <w:lang w:val="en-US"/>
        </w:rPr>
      </w:pPr>
      <w:r w:rsidRPr="003B7C75">
        <w:rPr>
          <w:b/>
          <w:lang w:val="en-US"/>
        </w:rPr>
        <w:t xml:space="preserve">Indexed as: </w:t>
      </w:r>
      <w:proofErr w:type="spellStart"/>
      <w:r w:rsidRPr="003B7C75">
        <w:rPr>
          <w:rStyle w:val="SCCAppellantForIndexChar"/>
          <w:lang w:val="en-US"/>
        </w:rPr>
        <w:t>Ostiguy</w:t>
      </w:r>
      <w:proofErr w:type="spellEnd"/>
      <w:r w:rsidRPr="003B7C75">
        <w:rPr>
          <w:b/>
          <w:lang w:val="en-US"/>
        </w:rPr>
        <w:t xml:space="preserve"> </w:t>
      </w:r>
      <w:r w:rsidRPr="003B7C75">
        <w:rPr>
          <w:b/>
          <w:i/>
          <w:lang w:val="en-US"/>
        </w:rPr>
        <w:t>v.</w:t>
      </w:r>
      <w:r w:rsidRPr="003B7C75">
        <w:rPr>
          <w:b/>
          <w:lang w:val="en-US"/>
        </w:rPr>
        <w:t xml:space="preserve"> </w:t>
      </w:r>
      <w:r w:rsidRPr="003B7C75">
        <w:rPr>
          <w:rStyle w:val="SCCRespondentForIndexChar"/>
          <w:lang w:val="en-US"/>
        </w:rPr>
        <w:t>Allie</w:t>
      </w:r>
    </w:p>
    <w:p w:rsidR="00426659" w:rsidRPr="003B7C75" w:rsidRDefault="00AE4535" w:rsidP="00233573">
      <w:pPr>
        <w:pStyle w:val="SCCSystemYear"/>
        <w:widowControl w:val="0"/>
        <w:spacing w:after="720"/>
        <w:jc w:val="both"/>
        <w:rPr>
          <w:lang w:val="en-US"/>
        </w:rPr>
      </w:pPr>
      <w:r w:rsidRPr="003B7C75">
        <w:rPr>
          <w:lang w:val="en-US"/>
        </w:rPr>
        <w:t>201</w:t>
      </w:r>
      <w:r w:rsidR="00B80A45" w:rsidRPr="003B7C75">
        <w:rPr>
          <w:lang w:val="en-US"/>
        </w:rPr>
        <w:t>7</w:t>
      </w:r>
      <w:r w:rsidR="003D0399" w:rsidRPr="003B7C75">
        <w:rPr>
          <w:lang w:val="en-US"/>
        </w:rPr>
        <w:t xml:space="preserve"> </w:t>
      </w:r>
      <w:r w:rsidR="00426659" w:rsidRPr="003B7C75">
        <w:rPr>
          <w:lang w:val="en-US"/>
        </w:rPr>
        <w:t>SCC </w:t>
      </w:r>
      <w:r w:rsidR="00DC3D95" w:rsidRPr="003B7C75">
        <w:rPr>
          <w:lang w:val="en-US"/>
        </w:rPr>
        <w:t>22</w:t>
      </w:r>
    </w:p>
    <w:p w:rsidR="008322BD" w:rsidRPr="00C070BC" w:rsidRDefault="000B4105" w:rsidP="00233573">
      <w:pPr>
        <w:widowControl w:val="0"/>
        <w:spacing w:after="720"/>
        <w:jc w:val="both"/>
      </w:pPr>
      <w:r w:rsidRPr="003B7C75">
        <w:rPr>
          <w:lang w:val="en-US"/>
        </w:rPr>
        <w:t xml:space="preserve">File No.: </w:t>
      </w:r>
      <w:r w:rsidR="009B57B3" w:rsidRPr="003B7C75">
        <w:rPr>
          <w:lang w:val="en-US"/>
        </w:rPr>
        <w:t>36</w:t>
      </w:r>
      <w:r w:rsidR="009B57B3" w:rsidRPr="00C070BC">
        <w:t>694.</w:t>
      </w:r>
    </w:p>
    <w:p w:rsidR="008322BD" w:rsidRPr="00C070BC" w:rsidRDefault="007449CE" w:rsidP="00233573">
      <w:pPr>
        <w:widowControl w:val="0"/>
        <w:spacing w:after="720"/>
        <w:jc w:val="both"/>
      </w:pPr>
      <w:r w:rsidRPr="00C070BC">
        <w:t>2016: </w:t>
      </w:r>
      <w:r w:rsidR="00AE4535" w:rsidRPr="00C070BC">
        <w:t>October</w:t>
      </w:r>
      <w:r w:rsidRPr="00C070BC">
        <w:t> </w:t>
      </w:r>
      <w:r w:rsidR="00AE4535" w:rsidRPr="00C070BC">
        <w:t>7</w:t>
      </w:r>
      <w:r w:rsidR="009B57B3" w:rsidRPr="00C070BC">
        <w:t xml:space="preserve">; </w:t>
      </w:r>
      <w:r w:rsidR="00543DCF" w:rsidRPr="00C070BC">
        <w:t>2017:</w:t>
      </w:r>
      <w:r w:rsidR="00D93C9B" w:rsidRPr="00C070BC">
        <w:t> April </w:t>
      </w:r>
      <w:r w:rsidR="00543DCF" w:rsidRPr="00C070BC">
        <w:t>6</w:t>
      </w:r>
      <w:r w:rsidR="009B57B3" w:rsidRPr="00C070BC">
        <w:t>.</w:t>
      </w:r>
    </w:p>
    <w:p w:rsidR="008322BD" w:rsidRPr="00C070BC" w:rsidRDefault="000B4105" w:rsidP="00233573">
      <w:pPr>
        <w:widowControl w:val="0"/>
        <w:spacing w:after="720"/>
      </w:pPr>
      <w:r w:rsidRPr="00C070BC">
        <w:t xml:space="preserve">Present: </w:t>
      </w:r>
      <w:proofErr w:type="spellStart"/>
      <w:r w:rsidR="009B57B3" w:rsidRPr="00C070BC">
        <w:t>McLachlin</w:t>
      </w:r>
      <w:proofErr w:type="spellEnd"/>
      <w:r w:rsidR="009B57B3" w:rsidRPr="00C070BC">
        <w:t xml:space="preserve"> C.J. and </w:t>
      </w:r>
      <w:proofErr w:type="spellStart"/>
      <w:r w:rsidR="009B57B3" w:rsidRPr="00C070BC">
        <w:t>Moldaver</w:t>
      </w:r>
      <w:proofErr w:type="spellEnd"/>
      <w:r w:rsidR="009B57B3" w:rsidRPr="00C070BC">
        <w:t xml:space="preserve">, </w:t>
      </w:r>
      <w:proofErr w:type="spellStart"/>
      <w:r w:rsidR="009B57B3" w:rsidRPr="00C070BC">
        <w:t>Karakatsanis</w:t>
      </w:r>
      <w:proofErr w:type="spellEnd"/>
      <w:r w:rsidR="009B57B3" w:rsidRPr="00C070BC">
        <w:t xml:space="preserve">, Wagner, </w:t>
      </w:r>
      <w:proofErr w:type="spellStart"/>
      <w:r w:rsidR="009B57B3" w:rsidRPr="00C070BC">
        <w:t>Gascon</w:t>
      </w:r>
      <w:proofErr w:type="spellEnd"/>
      <w:r w:rsidR="009B57B3" w:rsidRPr="00C070BC">
        <w:t xml:space="preserve">, </w:t>
      </w:r>
      <w:proofErr w:type="spellStart"/>
      <w:r w:rsidR="009B57B3" w:rsidRPr="00C070BC">
        <w:t>Côté</w:t>
      </w:r>
      <w:proofErr w:type="spellEnd"/>
      <w:r w:rsidR="009B57B3" w:rsidRPr="00C070BC">
        <w:t xml:space="preserve"> and Brown JJ.</w:t>
      </w:r>
    </w:p>
    <w:p w:rsidR="008322BD" w:rsidRPr="00C070BC" w:rsidRDefault="00656313" w:rsidP="00233573">
      <w:pPr>
        <w:pStyle w:val="SCCLowerCourtNameLowercase"/>
        <w:widowControl w:val="0"/>
        <w:spacing w:after="720" w:line="240" w:lineRule="auto"/>
      </w:pPr>
      <w:r w:rsidRPr="00C070BC">
        <w:t>o</w:t>
      </w:r>
      <w:r w:rsidR="00170592" w:rsidRPr="00C070BC">
        <w:t>n</w:t>
      </w:r>
      <w:r w:rsidR="00224FC0" w:rsidRPr="00C070BC">
        <w:t xml:space="preserve"> </w:t>
      </w:r>
      <w:r w:rsidRPr="00C070BC">
        <w:t>a</w:t>
      </w:r>
      <w:r w:rsidR="00170592" w:rsidRPr="00C070BC">
        <w:t>ppeal</w:t>
      </w:r>
      <w:r w:rsidR="00224FC0" w:rsidRPr="00C070BC">
        <w:t xml:space="preserve"> </w:t>
      </w:r>
      <w:r w:rsidR="00170592" w:rsidRPr="00C070BC">
        <w:t>from</w:t>
      </w:r>
      <w:r w:rsidR="009567AA" w:rsidRPr="00C070BC">
        <w:t xml:space="preserve"> the</w:t>
      </w:r>
      <w:r w:rsidR="00224FC0" w:rsidRPr="00C070BC">
        <w:t xml:space="preserve"> </w:t>
      </w:r>
      <w:r w:rsidR="009B57B3" w:rsidRPr="00C070BC">
        <w:t>court of appeal f</w:t>
      </w:r>
      <w:r w:rsidR="000B4105" w:rsidRPr="00C070BC">
        <w:t>or</w:t>
      </w:r>
      <w:r w:rsidR="009B57B3" w:rsidRPr="00C070BC">
        <w:t xml:space="preserve"> </w:t>
      </w:r>
      <w:proofErr w:type="spellStart"/>
      <w:r w:rsidR="009B57B3" w:rsidRPr="00C070BC">
        <w:t>quebec</w:t>
      </w:r>
      <w:proofErr w:type="spellEnd"/>
    </w:p>
    <w:p w:rsidR="005D6AC1" w:rsidRPr="00C070BC" w:rsidRDefault="005D6AC1" w:rsidP="00233573">
      <w:pPr>
        <w:pStyle w:val="SCCNormalDoubleSpacing"/>
        <w:widowControl w:val="0"/>
        <w:spacing w:before="480" w:after="480"/>
        <w:rPr>
          <w:i/>
          <w:iCs/>
          <w:sz w:val="20"/>
        </w:rPr>
      </w:pPr>
      <w:r w:rsidRPr="00C070BC">
        <w:tab/>
      </w:r>
      <w:r w:rsidRPr="00C070BC">
        <w:rPr>
          <w:i/>
          <w:iCs/>
        </w:rPr>
        <w:t>Prescription — Acquisitive prescription</w:t>
      </w:r>
      <w:r w:rsidR="00BB3C75" w:rsidRPr="00C070BC">
        <w:rPr>
          <w:i/>
          <w:iCs/>
        </w:rPr>
        <w:t xml:space="preserve"> </w:t>
      </w:r>
      <w:r w:rsidRPr="00C070BC">
        <w:rPr>
          <w:i/>
          <w:iCs/>
        </w:rPr>
        <w:t xml:space="preserve">— </w:t>
      </w:r>
      <w:proofErr w:type="spellStart"/>
      <w:r w:rsidRPr="00C070BC">
        <w:rPr>
          <w:i/>
          <w:iCs/>
        </w:rPr>
        <w:t>Immovables</w:t>
      </w:r>
      <w:proofErr w:type="spellEnd"/>
      <w:r w:rsidRPr="00C070BC">
        <w:rPr>
          <w:i/>
          <w:iCs/>
        </w:rPr>
        <w:t xml:space="preserve"> — Publication of rights — Effective possession of parking space on ne</w:t>
      </w:r>
      <w:r w:rsidR="00E914DB" w:rsidRPr="00C070BC">
        <w:rPr>
          <w:i/>
          <w:iCs/>
        </w:rPr>
        <w:t>ighbouring lot for more than 10 </w:t>
      </w:r>
      <w:r w:rsidRPr="00C070BC">
        <w:rPr>
          <w:i/>
          <w:iCs/>
        </w:rPr>
        <w:t>years</w:t>
      </w:r>
      <w:r w:rsidR="00E914DB" w:rsidRPr="00C070BC">
        <w:rPr>
          <w:i/>
          <w:iCs/>
        </w:rPr>
        <w:t xml:space="preserve"> </w:t>
      </w:r>
      <w:r w:rsidRPr="00C070BC">
        <w:rPr>
          <w:i/>
          <w:iCs/>
        </w:rPr>
        <w:t>— Application by new owners for injunction to stop possessor from parking on their property being dismissed by Superior Court and Court of Appeal — Provision of Civil Code stating that person who has possesse</w:t>
      </w:r>
      <w:r w:rsidR="00E914DB" w:rsidRPr="00C070BC">
        <w:rPr>
          <w:i/>
          <w:iCs/>
        </w:rPr>
        <w:t>d immovable as its owner for 10 </w:t>
      </w:r>
      <w:r w:rsidRPr="00C070BC">
        <w:rPr>
          <w:i/>
          <w:iCs/>
        </w:rPr>
        <w:t xml:space="preserve">years “may acquire the ownership of it only upon a judicial application” — Whether right of ownership acquired by prescription that has not been subject of judicial application may be set up against new owner of immovable who has registered title in land register — Respective roles of acquisitive prescription and publication of rights system in Quebec civil law </w:t>
      </w:r>
      <w:r w:rsidRPr="00C070BC">
        <w:rPr>
          <w:i/>
        </w:rPr>
        <w:t xml:space="preserve">— </w:t>
      </w:r>
      <w:r w:rsidRPr="00C070BC">
        <w:rPr>
          <w:i/>
          <w:iCs/>
        </w:rPr>
        <w:t xml:space="preserve">Nature of judgment resulting from application for </w:t>
      </w:r>
      <w:r w:rsidRPr="00C070BC">
        <w:rPr>
          <w:i/>
          <w:iCs/>
        </w:rPr>
        <w:lastRenderedPageBreak/>
        <w:t>judicial recognition of right of ownership acquired by prescription — Civil Code of Québec, arts</w:t>
      </w:r>
      <w:r w:rsidR="00E914DB" w:rsidRPr="00C070BC">
        <w:rPr>
          <w:i/>
          <w:iCs/>
        </w:rPr>
        <w:t>. </w:t>
      </w:r>
      <w:r w:rsidRPr="00C070BC">
        <w:rPr>
          <w:i/>
          <w:iCs/>
        </w:rPr>
        <w:t>922, 2910</w:t>
      </w:r>
      <w:r w:rsidR="005A5FA7">
        <w:rPr>
          <w:i/>
          <w:iCs/>
        </w:rPr>
        <w:t>,</w:t>
      </w:r>
      <w:r w:rsidRPr="00C070BC">
        <w:rPr>
          <w:i/>
          <w:iCs/>
        </w:rPr>
        <w:t xml:space="preserve"> 2918.</w:t>
      </w:r>
    </w:p>
    <w:p w:rsidR="005D6AC1" w:rsidRPr="00C070BC" w:rsidRDefault="005D6AC1" w:rsidP="00233573">
      <w:pPr>
        <w:pStyle w:val="SCCNormalDoubleSpacing"/>
        <w:widowControl w:val="0"/>
        <w:spacing w:before="480" w:after="480"/>
      </w:pPr>
      <w:r w:rsidRPr="00C070BC">
        <w:tab/>
        <w:t>Between 1994 and 2011, A and her family used one or two parking spaces situated on the property of their then neighbour in full view of everyone, and there was no objection to their doing so. Between 2004 and 2011, after 10</w:t>
      </w:r>
      <w:r w:rsidR="004B3C8A" w:rsidRPr="00C070BC">
        <w:noBreakHyphen/>
      </w:r>
      <w:r w:rsidRPr="00C070BC">
        <w:t>year prescription had been acquired, A nevertheless did not bring legal proceedings to have her right recognized. In 2011, O and S purchased this neighbouring lot by act of sale. A few months after taking possession of their property, they applied for an injunction to stop A from parking on it. A replied by arguing that she had acquired the parking spaces by 10</w:t>
      </w:r>
      <w:r w:rsidR="004B3C8A" w:rsidRPr="00C070BC">
        <w:noBreakHyphen/>
      </w:r>
      <w:r w:rsidRPr="00C070BC">
        <w:t>year prescription and that that acquisition took precedence over the title of O and S that was registered in the land register.</w:t>
      </w:r>
    </w:p>
    <w:p w:rsidR="005D6AC1" w:rsidRPr="00C070BC" w:rsidRDefault="005D6AC1" w:rsidP="00233573">
      <w:pPr>
        <w:pStyle w:val="SCCNormalDoubleSpacing"/>
        <w:widowControl w:val="0"/>
        <w:spacing w:before="480" w:after="480"/>
      </w:pPr>
      <w:r w:rsidRPr="00C070BC">
        <w:tab/>
        <w:t xml:space="preserve">The Superior Court agreed with </w:t>
      </w:r>
      <w:proofErr w:type="gramStart"/>
      <w:r w:rsidRPr="00C070BC">
        <w:t>A</w:t>
      </w:r>
      <w:proofErr w:type="gramEnd"/>
      <w:r w:rsidRPr="00C070BC">
        <w:t xml:space="preserve"> in part, holding that the evidence showed that she had acquired by prescription one of the two parking spaces she claimed. In the Court of Appeal, the majority dismissed the appeal, concluding that the legislature had not, in enacting </w:t>
      </w:r>
      <w:r w:rsidR="004B3C8A" w:rsidRPr="00C070BC">
        <w:t>art. </w:t>
      </w:r>
      <w:r w:rsidRPr="00C070BC">
        <w:t xml:space="preserve">2918 of the </w:t>
      </w:r>
      <w:r w:rsidRPr="00C070BC">
        <w:rPr>
          <w:i/>
        </w:rPr>
        <w:t>Civil Code of Québec</w:t>
      </w:r>
      <w:r w:rsidRPr="00C070BC">
        <w:t xml:space="preserve"> (“</w:t>
      </w:r>
      <w:r w:rsidRPr="00C070BC">
        <w:rPr>
          <w:i/>
        </w:rPr>
        <w:t>C.C.Q.</w:t>
      </w:r>
      <w:r w:rsidRPr="00C070BC">
        <w:t xml:space="preserve">”), intended to change the principles that applied to acquisitive prescription at the time of its enactment. They observed that acquisitive prescription makes it possible to prove the existence of a right of ownership, whereas the role of land registration is not that of a guarantee of title. </w:t>
      </w:r>
      <w:proofErr w:type="gramStart"/>
      <w:r w:rsidRPr="00C070BC">
        <w:t>A</w:t>
      </w:r>
      <w:r w:rsidR="00830ED7">
        <w:t>’</w:t>
      </w:r>
      <w:r w:rsidRPr="00C070BC">
        <w:t>s</w:t>
      </w:r>
      <w:proofErr w:type="gramEnd"/>
      <w:r w:rsidRPr="00C070BC">
        <w:t xml:space="preserve"> possession could be set up against an owner whose title was registered in the land register. The dissenting judge, on the other hand, would have allowed the appeal and confirmed the title of O and S. He argued that the right to </w:t>
      </w:r>
      <w:r w:rsidRPr="00C070BC">
        <w:lastRenderedPageBreak/>
        <w:t xml:space="preserve">prescribe acquired by </w:t>
      </w:r>
      <w:proofErr w:type="gramStart"/>
      <w:r w:rsidRPr="00C070BC">
        <w:t>A</w:t>
      </w:r>
      <w:proofErr w:type="gramEnd"/>
      <w:r w:rsidRPr="00C070BC">
        <w:t xml:space="preserve"> in 2004 is distinct from the real right she was seeking, which can be obtained only upon a judicial application under </w:t>
      </w:r>
      <w:r w:rsidR="004B3C8A" w:rsidRPr="00C070BC">
        <w:t>art. </w:t>
      </w:r>
      <w:r w:rsidRPr="00C070BC">
        <w:t xml:space="preserve">2918 </w:t>
      </w:r>
      <w:r w:rsidRPr="00C070BC">
        <w:rPr>
          <w:i/>
        </w:rPr>
        <w:t>C.C.Q.</w:t>
      </w:r>
      <w:r w:rsidRPr="00C070BC">
        <w:t xml:space="preserve"> In his opinion, the judgment resulting from that application is an essential condition for acquiring ownership by prescription. A thus had to obtain such a judgment and publish her right to be able to set it up against O and S.</w:t>
      </w:r>
    </w:p>
    <w:p w:rsidR="005D6AC1" w:rsidRPr="00C070BC" w:rsidRDefault="005D6AC1" w:rsidP="00233573">
      <w:pPr>
        <w:pStyle w:val="SCCNormalDoubleSpacing"/>
        <w:widowControl w:val="0"/>
        <w:spacing w:before="480" w:after="480"/>
      </w:pPr>
      <w:r w:rsidRPr="00C070BC">
        <w:tab/>
      </w:r>
      <w:r w:rsidRPr="00C070BC">
        <w:rPr>
          <w:i/>
        </w:rPr>
        <w:t>Held</w:t>
      </w:r>
      <w:r w:rsidRPr="00C070BC">
        <w:t> (</w:t>
      </w:r>
      <w:proofErr w:type="spellStart"/>
      <w:r w:rsidRPr="00C070BC">
        <w:t>Côté</w:t>
      </w:r>
      <w:proofErr w:type="spellEnd"/>
      <w:r w:rsidR="00E914DB" w:rsidRPr="00C070BC">
        <w:t> </w:t>
      </w:r>
      <w:r w:rsidRPr="00C070BC">
        <w:t>J. dissenting): The appeal should be dismissed.</w:t>
      </w:r>
    </w:p>
    <w:p w:rsidR="005D6AC1" w:rsidRPr="00C070BC" w:rsidRDefault="005D6AC1" w:rsidP="00233573">
      <w:pPr>
        <w:pStyle w:val="SCCNormalDoubleSpacing"/>
        <w:widowControl w:val="0"/>
        <w:spacing w:before="480" w:after="480"/>
      </w:pPr>
      <w:r w:rsidRPr="00C070BC">
        <w:tab/>
      </w:r>
      <w:r w:rsidRPr="00C070BC">
        <w:rPr>
          <w:i/>
          <w:iCs/>
        </w:rPr>
        <w:t>Per</w:t>
      </w:r>
      <w:r w:rsidRPr="00C070BC">
        <w:t xml:space="preserve"> </w:t>
      </w:r>
      <w:proofErr w:type="spellStart"/>
      <w:r w:rsidRPr="00C070BC">
        <w:t>McLachlin</w:t>
      </w:r>
      <w:proofErr w:type="spellEnd"/>
      <w:r w:rsidR="00E914DB" w:rsidRPr="00C070BC">
        <w:t> </w:t>
      </w:r>
      <w:r w:rsidRPr="00C070BC">
        <w:t xml:space="preserve">C.J. and </w:t>
      </w:r>
      <w:proofErr w:type="spellStart"/>
      <w:r w:rsidRPr="00C070BC">
        <w:t>Moldaver</w:t>
      </w:r>
      <w:proofErr w:type="spellEnd"/>
      <w:r w:rsidRPr="00C070BC">
        <w:t xml:space="preserve">, </w:t>
      </w:r>
      <w:proofErr w:type="spellStart"/>
      <w:r w:rsidRPr="00C070BC">
        <w:t>Karakatsanis</w:t>
      </w:r>
      <w:proofErr w:type="spellEnd"/>
      <w:r w:rsidRPr="00C070BC">
        <w:t xml:space="preserve">, </w:t>
      </w:r>
      <w:r w:rsidRPr="00C070BC">
        <w:rPr>
          <w:bCs/>
        </w:rPr>
        <w:t>Wagner</w:t>
      </w:r>
      <w:r w:rsidRPr="00C070BC">
        <w:t xml:space="preserve">, </w:t>
      </w:r>
      <w:proofErr w:type="spellStart"/>
      <w:r w:rsidRPr="005A5FA7">
        <w:t>Gascon</w:t>
      </w:r>
      <w:proofErr w:type="spellEnd"/>
      <w:r w:rsidRPr="00C070BC">
        <w:t xml:space="preserve"> and Brown</w:t>
      </w:r>
      <w:r w:rsidR="00E914DB" w:rsidRPr="00C070BC">
        <w:t> </w:t>
      </w:r>
      <w:r w:rsidRPr="00C070BC">
        <w:t>JJ.: The parties on each side in this case have a legitimate right to assert. O and S acquired their title legally, by act of sale. A</w:t>
      </w:r>
      <w:r w:rsidR="00830ED7">
        <w:t>’</w:t>
      </w:r>
      <w:r w:rsidRPr="00C070BC">
        <w:t>s effective possession of one of the parking spaces on her neighbours</w:t>
      </w:r>
      <w:r w:rsidR="00830ED7">
        <w:t>’</w:t>
      </w:r>
      <w:r w:rsidRPr="00C070BC">
        <w:t xml:space="preserve"> lot is recognized and is just as legitimate. What must be done in order to determine which of the parties should prevail is to define the respective roles of acquisitive prescription and the publication of rights in Quebec civil law, and then to interpret and apply the relevant provisions of the </w:t>
      </w:r>
      <w:r w:rsidRPr="00C070BC">
        <w:rPr>
          <w:i/>
        </w:rPr>
        <w:t>C.C.Q.</w:t>
      </w:r>
      <w:r w:rsidRPr="00C070BC">
        <w:t>, taking into account its overall scheme and its consistency</w:t>
      </w:r>
      <w:r w:rsidR="00830ED7">
        <w:t xml:space="preserve">. </w:t>
      </w:r>
    </w:p>
    <w:p w:rsidR="005D6AC1" w:rsidRPr="00C070BC" w:rsidRDefault="005D6AC1" w:rsidP="00233573">
      <w:pPr>
        <w:pStyle w:val="SCCNormalDoubleSpacing"/>
        <w:widowControl w:val="0"/>
        <w:spacing w:before="480" w:after="480"/>
      </w:pPr>
      <w:r w:rsidRPr="00C070BC">
        <w:tab/>
        <w:t xml:space="preserve">In the </w:t>
      </w:r>
      <w:r w:rsidRPr="00C070BC">
        <w:rPr>
          <w:i/>
        </w:rPr>
        <w:t>C.C.Q.</w:t>
      </w:r>
      <w:r w:rsidRPr="00C070BC">
        <w:t>, acquisitive prescription is recognized as a “means of acquiring a right of ownership, or one of its dismemberments, through the effect of possession” (</w:t>
      </w:r>
      <w:r w:rsidR="004B3C8A" w:rsidRPr="00C070BC">
        <w:t>art. </w:t>
      </w:r>
      <w:r w:rsidRPr="00C070BC">
        <w:t xml:space="preserve">2910 </w:t>
      </w:r>
      <w:r w:rsidRPr="00C070BC">
        <w:rPr>
          <w:i/>
        </w:rPr>
        <w:t>C.C.Q.</w:t>
      </w:r>
      <w:r w:rsidRPr="00C070BC">
        <w:t xml:space="preserve">). The possessor must prove that, </w:t>
      </w:r>
      <w:r w:rsidR="00E914DB" w:rsidRPr="00C070BC">
        <w:t>for at least 10 </w:t>
      </w:r>
      <w:r w:rsidRPr="00C070BC">
        <w:t>years in the case of an immovable, he or she in fact exercised the right in question with the intention of exercising it as the holder of the right. His or her possession must be “peaceful, continuous, public and unequivocal” in order to produce effects (</w:t>
      </w:r>
      <w:r w:rsidR="004B3C8A" w:rsidRPr="00C070BC">
        <w:t>art. </w:t>
      </w:r>
      <w:r w:rsidRPr="00C070BC">
        <w:t xml:space="preserve">922 </w:t>
      </w:r>
      <w:r w:rsidRPr="00C070BC">
        <w:rPr>
          <w:i/>
        </w:rPr>
        <w:t>C.C.Q.</w:t>
      </w:r>
      <w:r w:rsidRPr="00C070BC">
        <w:t xml:space="preserve">). A possessor claiming ownership of an immovable must also obtain a judgment </w:t>
      </w:r>
      <w:r w:rsidRPr="00C070BC">
        <w:lastRenderedPageBreak/>
        <w:t xml:space="preserve">confirming the right so acquired. </w:t>
      </w:r>
    </w:p>
    <w:p w:rsidR="005D6AC1" w:rsidRPr="00C070BC" w:rsidRDefault="005D6AC1" w:rsidP="00233573">
      <w:pPr>
        <w:pStyle w:val="SCCNormalDoubleSpacing"/>
        <w:widowControl w:val="0"/>
        <w:spacing w:before="480" w:after="480"/>
      </w:pPr>
      <w:r w:rsidRPr="00C070BC">
        <w:tab/>
        <w:t xml:space="preserve">As for the role of the publication of rights, it did not change significantly with the enactment of the </w:t>
      </w:r>
      <w:r w:rsidRPr="00C070BC">
        <w:rPr>
          <w:i/>
        </w:rPr>
        <w:t>C.C.Q.</w:t>
      </w:r>
      <w:r w:rsidRPr="00C070BC">
        <w:t xml:space="preserve"> Although the Civil Code Revision Office had initially, in 1977, proposed a substantial modification in procedures and in the consequences of the publication of immoveable rights that was based on the cardinal principle of absolute confidence in titles, the Quebec legislature did not carry the reform through to completion. In fact, it abandoned the reform in 2000, confirming the traditional purely declarative role of publication. This decision to abandon most of the reform of the land register confirms that under the current </w:t>
      </w:r>
      <w:r w:rsidRPr="00C070BC">
        <w:rPr>
          <w:i/>
        </w:rPr>
        <w:t>C.C.Q.</w:t>
      </w:r>
      <w:r w:rsidRPr="00C070BC">
        <w:t xml:space="preserve">, for rights acquired by prescription to be set up against third parties, there is no greater requirement that they be published than was the case under the </w:t>
      </w:r>
      <w:r w:rsidRPr="00C070BC">
        <w:rPr>
          <w:i/>
        </w:rPr>
        <w:t>Civil Code of Lower Canada</w:t>
      </w:r>
      <w:r w:rsidRPr="00C070BC">
        <w:t xml:space="preserve"> (</w:t>
      </w:r>
      <w:r w:rsidR="00F136CB" w:rsidRPr="00C070BC">
        <w:t>“</w:t>
      </w:r>
      <w:r w:rsidRPr="00C070BC">
        <w:rPr>
          <w:i/>
        </w:rPr>
        <w:t>C.C.L.C.</w:t>
      </w:r>
      <w:r w:rsidR="00F136CB" w:rsidRPr="00C070BC">
        <w:t>”</w:t>
      </w:r>
      <w:r w:rsidRPr="00C070BC">
        <w:t xml:space="preserve">). </w:t>
      </w:r>
    </w:p>
    <w:p w:rsidR="005D6AC1" w:rsidRPr="00C070BC" w:rsidRDefault="005D6AC1" w:rsidP="00233573">
      <w:pPr>
        <w:pStyle w:val="SCCNormalDoubleSpacing"/>
        <w:widowControl w:val="0"/>
        <w:spacing w:before="480" w:after="480"/>
      </w:pPr>
      <w:r w:rsidRPr="00C070BC">
        <w:tab/>
        <w:t xml:space="preserve">Thus, it can be seen that the effect of the distinct roles of acquisitive prescription and the publication of rights is that rights validly acquired by prescription apply regardless of the rights registered in the land register. This solution is the one that is most consistent with the general scheme of the </w:t>
      </w:r>
      <w:r w:rsidRPr="00C070BC">
        <w:rPr>
          <w:i/>
        </w:rPr>
        <w:t>C.C.Q.</w:t>
      </w:r>
      <w:r w:rsidRPr="00C070BC">
        <w:t xml:space="preserve"> and with the relevant provisions on prescription, as well as on the publication of rights and on sale.</w:t>
      </w:r>
    </w:p>
    <w:p w:rsidR="005D6AC1" w:rsidRPr="00C070BC" w:rsidRDefault="005D6AC1" w:rsidP="00233573">
      <w:pPr>
        <w:pStyle w:val="SCCNormalDoubleSpacing"/>
        <w:widowControl w:val="0"/>
        <w:spacing w:before="480" w:after="480"/>
      </w:pPr>
      <w:r w:rsidRPr="00C070BC">
        <w:tab/>
        <w:t xml:space="preserve">This solution is consistent with </w:t>
      </w:r>
      <w:r w:rsidR="004B3C8A" w:rsidRPr="00C070BC">
        <w:t>art. </w:t>
      </w:r>
      <w:r w:rsidRPr="00C070BC">
        <w:t xml:space="preserve">2885 </w:t>
      </w:r>
      <w:r w:rsidRPr="00C070BC">
        <w:rPr>
          <w:i/>
        </w:rPr>
        <w:t>C.C.Q.</w:t>
      </w:r>
      <w:r w:rsidRPr="00C070BC">
        <w:t xml:space="preserve">, which requires the publication of a renunciation of acquired prescription with respect to immovable real rights. Given that acquired prescription jeopardizes a right that is registered in the land register, a renunciation thereof must be published to enable third parties to take notice of it. The solution is also consistent with </w:t>
      </w:r>
      <w:r w:rsidR="004B3C8A" w:rsidRPr="00C070BC">
        <w:t>art. </w:t>
      </w:r>
      <w:r w:rsidRPr="00C070BC">
        <w:t xml:space="preserve">2957 </w:t>
      </w:r>
      <w:r w:rsidRPr="00C070BC">
        <w:rPr>
          <w:i/>
        </w:rPr>
        <w:t>C.C.Q.</w:t>
      </w:r>
      <w:r w:rsidRPr="00C070BC">
        <w:t>,</w:t>
      </w:r>
      <w:r w:rsidRPr="00C070BC">
        <w:rPr>
          <w:i/>
        </w:rPr>
        <w:t xml:space="preserve"> </w:t>
      </w:r>
      <w:r w:rsidRPr="00C070BC">
        <w:t xml:space="preserve">which provides that </w:t>
      </w:r>
      <w:r w:rsidRPr="00C070BC">
        <w:lastRenderedPageBreak/>
        <w:t>“[p]</w:t>
      </w:r>
      <w:proofErr w:type="spellStart"/>
      <w:r w:rsidRPr="00C070BC">
        <w:t>ublication</w:t>
      </w:r>
      <w:proofErr w:type="spellEnd"/>
      <w:r w:rsidRPr="00C070BC">
        <w:t xml:space="preserve"> does not interrupt prescription”. It would indeed make no sense to conclude that the publication of rights cannot interrupt prescription while the period is still running, but that it can negate the effects of prescription that has already been acquired</w:t>
      </w:r>
      <w:r w:rsidR="00830ED7">
        <w:t xml:space="preserve">. </w:t>
      </w:r>
    </w:p>
    <w:p w:rsidR="005D6AC1" w:rsidRPr="00C070BC" w:rsidRDefault="004B3C8A" w:rsidP="00233573">
      <w:pPr>
        <w:pStyle w:val="SCCNormalDoubleSpacing"/>
        <w:widowControl w:val="0"/>
        <w:spacing w:before="480" w:after="480"/>
      </w:pPr>
      <w:r w:rsidRPr="00C070BC">
        <w:tab/>
      </w:r>
      <w:r w:rsidR="005D6AC1" w:rsidRPr="00C070BC">
        <w:t xml:space="preserve">This solution is also consistent with the repeal of </w:t>
      </w:r>
      <w:r w:rsidRPr="00C070BC">
        <w:t>art. </w:t>
      </w:r>
      <w:r w:rsidR="005D6AC1" w:rsidRPr="00C070BC">
        <w:t xml:space="preserve">2962 </w:t>
      </w:r>
      <w:r w:rsidR="005D6AC1" w:rsidRPr="00C070BC">
        <w:rPr>
          <w:i/>
        </w:rPr>
        <w:t>C.C.Q.</w:t>
      </w:r>
      <w:r w:rsidR="005D6AC1" w:rsidRPr="00C070BC">
        <w:t xml:space="preserve">, the effect of which was that third parties could no longer rely entirely on entries in the land register. As for the theory of apparent rights, there is nothing to suggest that the legislature intended it to apply more generally in situations other than the ones in which the legislature decided to specifically recognize it. In any event, if it did apply, there would be no reason why appearances of right created artificially by the land register should prevail over the tangible appearances of right that result from effective possession. Finally, this solution is just as consistent with </w:t>
      </w:r>
      <w:r w:rsidRPr="00C070BC">
        <w:t>art. </w:t>
      </w:r>
      <w:r w:rsidR="005D6AC1" w:rsidRPr="00C070BC">
        <w:t xml:space="preserve">1724 </w:t>
      </w:r>
      <w:r w:rsidRPr="00C070BC">
        <w:t>para. </w:t>
      </w:r>
      <w:r w:rsidR="005D6AC1" w:rsidRPr="00C070BC">
        <w:t xml:space="preserve">2 </w:t>
      </w:r>
      <w:r w:rsidR="005D6AC1" w:rsidRPr="00C070BC">
        <w:rPr>
          <w:i/>
        </w:rPr>
        <w:t>C.C.Q.</w:t>
      </w:r>
      <w:r w:rsidR="005D6AC1" w:rsidRPr="00C070BC">
        <w:t>, which preserves the rights of all parties. Under that provision, the seller warrants the buyer “against any encroachment commenced with his knowledge by a third person before the sale”. Thus, although it is true that in this case the acquisitive prescription A has set up against O and S denies them a portion of the right of ownership that the act of sale purported to transfer to them, it is nevertheless possible for them to claim the corresponding loss from their predecessors in title if they can prove that the latter were aware of A</w:t>
      </w:r>
      <w:r w:rsidR="00830ED7">
        <w:t>’</w:t>
      </w:r>
      <w:r w:rsidR="005D6AC1" w:rsidRPr="00C070BC">
        <w:t>s encroachment before the sale and failed to disclose it to them.</w:t>
      </w:r>
    </w:p>
    <w:p w:rsidR="005D6AC1" w:rsidRPr="00C070BC" w:rsidRDefault="005D6AC1" w:rsidP="00233573">
      <w:pPr>
        <w:pStyle w:val="SCCNormalDoubleSpacing"/>
        <w:widowControl w:val="0"/>
        <w:spacing w:before="480" w:after="480"/>
      </w:pPr>
      <w:r w:rsidRPr="00C070BC">
        <w:tab/>
        <w:t xml:space="preserve">As for the advance registration of a judicial application concerning a real right that is provided for in arts. 2966 and 2968 </w:t>
      </w:r>
      <w:r w:rsidRPr="00C070BC">
        <w:rPr>
          <w:i/>
        </w:rPr>
        <w:t>C.C.Q.</w:t>
      </w:r>
      <w:r w:rsidRPr="00C070BC">
        <w:t xml:space="preserve">, it is of no assistance in the case </w:t>
      </w:r>
      <w:r w:rsidRPr="00C070BC">
        <w:lastRenderedPageBreak/>
        <w:t>of acquisitive prescription. The effective possession on which this form of prescription is based is already public and can already be set up against third parties. Since acquisitive prescription has its effects regardless of any rights registered in the land register, there is no need for a possessor to register a judicial application in advance in order to protect his or her rights.</w:t>
      </w:r>
    </w:p>
    <w:p w:rsidR="005D6AC1" w:rsidRPr="00C070BC" w:rsidRDefault="005D6AC1" w:rsidP="00233573">
      <w:pPr>
        <w:pStyle w:val="SCCNormalDoubleSpacing"/>
        <w:widowControl w:val="0"/>
        <w:spacing w:before="480" w:after="480"/>
      </w:pPr>
      <w:r w:rsidRPr="00C070BC">
        <w:tab/>
        <w:t xml:space="preserve">Finally, the nature of the judgment under </w:t>
      </w:r>
      <w:r w:rsidR="004B3C8A" w:rsidRPr="00C070BC">
        <w:t>art. </w:t>
      </w:r>
      <w:r w:rsidRPr="00C070BC">
        <w:t xml:space="preserve">2918 </w:t>
      </w:r>
      <w:r w:rsidRPr="00C070BC">
        <w:rPr>
          <w:i/>
        </w:rPr>
        <w:t xml:space="preserve">C.C.Q. </w:t>
      </w:r>
      <w:r w:rsidRPr="00C070BC">
        <w:t>is not determinative of the issue before the Court. In any event, the sole purpose of that judgment is to recognize pre</w:t>
      </w:r>
      <w:r w:rsidR="004B3C8A" w:rsidRPr="00C070BC">
        <w:noBreakHyphen/>
      </w:r>
      <w:r w:rsidRPr="00C070BC">
        <w:t xml:space="preserve">existing rights resulting from effective possession and the lapse of time; when all is said and done, the legislature merely intended to restore the situation that existed under the </w:t>
      </w:r>
      <w:r w:rsidRPr="00C070BC">
        <w:rPr>
          <w:i/>
        </w:rPr>
        <w:t>C.C.L.C.</w:t>
      </w:r>
      <w:r w:rsidRPr="00C070BC">
        <w:t xml:space="preserve"> in this regard. It is true that when the </w:t>
      </w:r>
      <w:r w:rsidRPr="00C070BC">
        <w:rPr>
          <w:i/>
        </w:rPr>
        <w:t xml:space="preserve">C.C.Q. </w:t>
      </w:r>
      <w:r w:rsidRPr="00C070BC">
        <w:t xml:space="preserve">was enacted in 1991, the legislature seems to have intended that acquiring ownership of an immovable by prescription should be contingent upon obtaining a judgment. However, the role of </w:t>
      </w:r>
      <w:r w:rsidR="004B3C8A" w:rsidRPr="00C070BC">
        <w:t>art. </w:t>
      </w:r>
      <w:r w:rsidRPr="00C070BC">
        <w:t>2918</w:t>
      </w:r>
      <w:r w:rsidRPr="00C070BC">
        <w:rPr>
          <w:i/>
        </w:rPr>
        <w:t xml:space="preserve"> C.C.Q.</w:t>
      </w:r>
      <w:r w:rsidRPr="00C070BC">
        <w:t xml:space="preserve"> was altered when the reform of the publication of rights system was subsequently suspended and abandoned. That article and the relevant provisions of the </w:t>
      </w:r>
      <w:r w:rsidRPr="00C070BC">
        <w:rPr>
          <w:i/>
        </w:rPr>
        <w:t>Code of Civil Procedure</w:t>
      </w:r>
      <w:r w:rsidRPr="00C070BC">
        <w:t xml:space="preserve"> should instead be interpreted in light of the abortive reform and the many changes that resulted from it. This leads to the conclusion that prescription depends on achieving effective possession, not on obtaining a judgment; it is acquisitive prescription that grants the right, not the judgment. In fact, the judgment attests to the existence of a pre</w:t>
      </w:r>
      <w:r w:rsidR="004B3C8A" w:rsidRPr="00C070BC">
        <w:noBreakHyphen/>
      </w:r>
      <w:r w:rsidRPr="00C070BC">
        <w:t xml:space="preserve">existing right; it does not create a new right. In this respect, the requirement in </w:t>
      </w:r>
      <w:r w:rsidR="004B3C8A" w:rsidRPr="00C070BC">
        <w:t>art. </w:t>
      </w:r>
      <w:r w:rsidRPr="00C070BC">
        <w:t xml:space="preserve">2918 </w:t>
      </w:r>
      <w:r w:rsidRPr="00C070BC">
        <w:rPr>
          <w:i/>
        </w:rPr>
        <w:t>C.C.Q.</w:t>
      </w:r>
      <w:r w:rsidRPr="00C070BC">
        <w:t xml:space="preserve"> is more like a procedural condition than a substantive one. All these characteristics suggest a nature that is more declarative than right</w:t>
      </w:r>
      <w:r w:rsidR="004B3C8A" w:rsidRPr="00C070BC">
        <w:noBreakHyphen/>
      </w:r>
      <w:r w:rsidRPr="00C070BC">
        <w:t xml:space="preserve">granting or constitutive. </w:t>
      </w:r>
    </w:p>
    <w:p w:rsidR="001D0C93" w:rsidRPr="00C070BC" w:rsidRDefault="005D6AC1" w:rsidP="00233573">
      <w:pPr>
        <w:pStyle w:val="SCCNormalDoubleSpacing"/>
        <w:widowControl w:val="0"/>
        <w:spacing w:before="480" w:after="480"/>
      </w:pPr>
      <w:r w:rsidRPr="00C070BC">
        <w:lastRenderedPageBreak/>
        <w:tab/>
        <w:t>In the end, the solution adopted in this case does not weaken the land register and introduces no more uncertainty into real estate transactions in Quebec than there already was. Rather, it accounts for the inevitable effect of acquisitive prescription, a key institution of Quebec civil law that has been recognized by the legislature and whose purpose is to ascribe legal consequences to possession that is already peaceful, continuous, public and unequivocal.</w:t>
      </w:r>
    </w:p>
    <w:p w:rsidR="001D0C93" w:rsidRPr="00C070BC" w:rsidRDefault="001D0C93" w:rsidP="00233573">
      <w:pPr>
        <w:pStyle w:val="SCCNormalDoubleSpacing"/>
        <w:widowControl w:val="0"/>
        <w:spacing w:before="480" w:after="480"/>
      </w:pPr>
      <w:r w:rsidRPr="00C070BC">
        <w:rPr>
          <w:b/>
          <w:bCs/>
        </w:rPr>
        <w:tab/>
      </w:r>
      <w:r w:rsidR="00FE4E54" w:rsidRPr="00C070BC">
        <w:rPr>
          <w:bCs/>
          <w:i/>
        </w:rPr>
        <w:t>Per</w:t>
      </w:r>
      <w:r w:rsidR="00FE4E54" w:rsidRPr="00C070BC">
        <w:rPr>
          <w:b/>
          <w:bCs/>
        </w:rPr>
        <w:t xml:space="preserve"> </w:t>
      </w:r>
      <w:proofErr w:type="spellStart"/>
      <w:r w:rsidRPr="005A5FA7">
        <w:rPr>
          <w:bCs/>
        </w:rPr>
        <w:t>Côté</w:t>
      </w:r>
      <w:proofErr w:type="spellEnd"/>
      <w:r w:rsidRPr="00C070BC">
        <w:rPr>
          <w:b/>
        </w:rPr>
        <w:t> </w:t>
      </w:r>
      <w:r w:rsidRPr="00C070BC">
        <w:t xml:space="preserve">J. (dissenting): Under </w:t>
      </w:r>
      <w:r w:rsidR="004B3C8A" w:rsidRPr="00C070BC">
        <w:t>art. </w:t>
      </w:r>
      <w:r w:rsidRPr="00C070BC">
        <w:t xml:space="preserve">2918 of the </w:t>
      </w:r>
      <w:r w:rsidRPr="00C070BC">
        <w:rPr>
          <w:i/>
        </w:rPr>
        <w:t>Civil Code of Québec</w:t>
      </w:r>
      <w:r w:rsidRPr="00C070BC">
        <w:t xml:space="preserve"> (“</w:t>
      </w:r>
      <w:r w:rsidRPr="00C070BC">
        <w:rPr>
          <w:i/>
        </w:rPr>
        <w:t>C.C.Q.</w:t>
      </w:r>
      <w:r w:rsidRPr="00C070BC">
        <w:t xml:space="preserve">”), the acquisition of ownership of an immovable by prescription is conditional on first obtaining a judgment following a judicial application. That judgment is constitutive of the right of ownership and without retroactive effect. Reading down the plain language of </w:t>
      </w:r>
      <w:r w:rsidR="004B3C8A" w:rsidRPr="00C070BC">
        <w:t>art. </w:t>
      </w:r>
      <w:r w:rsidRPr="00C070BC">
        <w:t>2918 so as to render the judgment declaratory and retroac</w:t>
      </w:r>
      <w:r w:rsidR="00F55247" w:rsidRPr="00C070BC">
        <w:t>tive cannot be reconciled with the legislative balance struck</w:t>
      </w:r>
      <w:r w:rsidRPr="00C070BC">
        <w:t xml:space="preserve"> between the right of ownership an</w:t>
      </w:r>
      <w:r w:rsidR="00F55247" w:rsidRPr="00C070BC">
        <w:t>d the operation of prescription</w:t>
      </w:r>
      <w:r w:rsidRPr="00C070BC">
        <w:t xml:space="preserve">. Such a reading is also inconsistent with the property and publication books of the </w:t>
      </w:r>
      <w:r w:rsidRPr="00C070BC">
        <w:rPr>
          <w:i/>
        </w:rPr>
        <w:t>C.C.Q.</w:t>
      </w:r>
      <w:r w:rsidRPr="00C070BC">
        <w:t xml:space="preserve">, and with the rationale behind acquisitive prescription. </w:t>
      </w:r>
    </w:p>
    <w:p w:rsidR="001D0C93" w:rsidRPr="00C070BC" w:rsidRDefault="00F55247" w:rsidP="00233573">
      <w:pPr>
        <w:pStyle w:val="SCCNormalDoubleSpacing"/>
        <w:widowControl w:val="0"/>
        <w:spacing w:before="480" w:after="480"/>
      </w:pPr>
      <w:r w:rsidRPr="00C070BC">
        <w:tab/>
      </w:r>
      <w:r w:rsidR="001D0C93" w:rsidRPr="00C070BC">
        <w:t>The concept of prescription operat</w:t>
      </w:r>
      <w:r w:rsidRPr="00C070BC">
        <w:t>es in tension with real rights,</w:t>
      </w:r>
      <w:r w:rsidR="001D0C93" w:rsidRPr="00C070BC">
        <w:t xml:space="preserve"> including the primordial real right in the </w:t>
      </w:r>
      <w:r w:rsidR="001D0C93" w:rsidRPr="00C070BC">
        <w:rPr>
          <w:i/>
        </w:rPr>
        <w:t>C.C.Q.</w:t>
      </w:r>
      <w:r w:rsidR="001D0C93" w:rsidRPr="00C070BC">
        <w:t>, ownershi</w:t>
      </w:r>
      <w:r w:rsidR="004B3C8A" w:rsidRPr="00C070BC">
        <w:t>p. </w:t>
      </w:r>
      <w:r w:rsidRPr="00C070BC">
        <w:t>Prescription is nonetheless</w:t>
      </w:r>
      <w:r w:rsidR="001D0C93" w:rsidRPr="00C070BC">
        <w:t xml:space="preserve"> grounded in a valid two</w:t>
      </w:r>
      <w:r w:rsidR="004B3C8A" w:rsidRPr="00C070BC">
        <w:noBreakHyphen/>
      </w:r>
      <w:r w:rsidRPr="00C070BC">
        <w:t>fold purpose. First, it</w:t>
      </w:r>
      <w:r w:rsidR="001D0C93" w:rsidRPr="00C070BC">
        <w:t xml:space="preserve"> operates to efficiently quiet title such that a party to a </w:t>
      </w:r>
      <w:proofErr w:type="spellStart"/>
      <w:r w:rsidR="001D0C93" w:rsidRPr="00C070BC">
        <w:t>translatory</w:t>
      </w:r>
      <w:proofErr w:type="spellEnd"/>
      <w:r w:rsidR="001D0C93" w:rsidRPr="00C070BC">
        <w:t xml:space="preserve"> act need not prove the validity of each link in the chain of title. </w:t>
      </w:r>
      <w:r w:rsidRPr="00C070BC">
        <w:t>Second, it</w:t>
      </w:r>
      <w:r w:rsidR="001D0C93" w:rsidRPr="00C070BC">
        <w:t xml:space="preserve"> operates so as to allow a possessor in fact to acquire the right of ownership to the detriment of the true owner, whose o</w:t>
      </w:r>
      <w:r w:rsidRPr="00C070BC">
        <w:t>wn right is extinguished. In both cases,</w:t>
      </w:r>
      <w:r w:rsidR="001D0C93" w:rsidRPr="00C070BC">
        <w:t xml:space="preserve"> the regime </w:t>
      </w:r>
      <w:r w:rsidR="001D0C93" w:rsidRPr="00C070BC">
        <w:lastRenderedPageBreak/>
        <w:t>of prescription has a clear underlying rationale: to promote the efficiency, stability and security of property relations</w:t>
      </w:r>
      <w:r w:rsidRPr="00C070BC">
        <w:t>hips</w:t>
      </w:r>
      <w:r w:rsidR="001D0C93" w:rsidRPr="00C070BC">
        <w:t>.</w:t>
      </w:r>
    </w:p>
    <w:p w:rsidR="001D0C93" w:rsidRPr="00C070BC" w:rsidRDefault="004B3C8A" w:rsidP="00233573">
      <w:pPr>
        <w:pStyle w:val="SCCNormalDoubleSpacing"/>
        <w:widowControl w:val="0"/>
        <w:spacing w:before="480" w:after="480"/>
      </w:pPr>
      <w:r w:rsidRPr="00C070BC">
        <w:tab/>
      </w:r>
      <w:r w:rsidR="001D0C93" w:rsidRPr="00C070BC">
        <w:t xml:space="preserve">In the modern era, this rationale is </w:t>
      </w:r>
      <w:r w:rsidR="00F55247" w:rsidRPr="00C070BC">
        <w:t>only served by recognizing that</w:t>
      </w:r>
      <w:r w:rsidR="001D0C93" w:rsidRPr="00C070BC">
        <w:t xml:space="preserve"> the conditions for acquisitive pr</w:t>
      </w:r>
      <w:r w:rsidR="00F55247" w:rsidRPr="00C070BC">
        <w:t>escription of an immovable did in fact</w:t>
      </w:r>
      <w:r w:rsidR="001D0C93" w:rsidRPr="00C070BC">
        <w:t xml:space="preserve"> change with the introduction of the </w:t>
      </w:r>
      <w:r w:rsidR="001D0C93" w:rsidRPr="00C070BC">
        <w:rPr>
          <w:i/>
        </w:rPr>
        <w:t>C.C.Q</w:t>
      </w:r>
      <w:r w:rsidR="00F55247" w:rsidRPr="00C070BC">
        <w:t xml:space="preserve">. </w:t>
      </w:r>
      <w:r w:rsidR="001D0C93" w:rsidRPr="00C070BC">
        <w:t xml:space="preserve">Previously, under </w:t>
      </w:r>
      <w:r w:rsidRPr="00C070BC">
        <w:t>art. </w:t>
      </w:r>
      <w:r w:rsidR="001D0C93" w:rsidRPr="00C070BC">
        <w:t xml:space="preserve">2242 of the </w:t>
      </w:r>
      <w:r w:rsidR="001D0C93" w:rsidRPr="00C070BC">
        <w:rPr>
          <w:rFonts w:eastAsia="Calibri"/>
          <w:i/>
        </w:rPr>
        <w:t xml:space="preserve">Civil Code of Lower Canada </w:t>
      </w:r>
      <w:r w:rsidR="001D0C93" w:rsidRPr="00C070BC">
        <w:rPr>
          <w:rFonts w:eastAsia="Calibri"/>
        </w:rPr>
        <w:t>(“</w:t>
      </w:r>
      <w:r w:rsidR="001D0C93" w:rsidRPr="00C070BC">
        <w:rPr>
          <w:rFonts w:eastAsia="Calibri"/>
          <w:i/>
        </w:rPr>
        <w:t>C.C.L.C.</w:t>
      </w:r>
      <w:r w:rsidR="001D0C93" w:rsidRPr="00C070BC">
        <w:rPr>
          <w:rFonts w:eastAsia="Calibri"/>
        </w:rPr>
        <w:t>”)</w:t>
      </w:r>
      <w:r w:rsidR="001D0C93" w:rsidRPr="00C070BC">
        <w:t xml:space="preserve">, a possessor in bad faith and without title could acquire an immovable only after possessing it for 30 years. Article 2251 </w:t>
      </w:r>
      <w:r w:rsidR="001D0C93" w:rsidRPr="00C070BC">
        <w:rPr>
          <w:i/>
        </w:rPr>
        <w:t xml:space="preserve">C.C.L.C. </w:t>
      </w:r>
      <w:r w:rsidR="001D0C93" w:rsidRPr="00C070BC">
        <w:t xml:space="preserve">provided for prescriptive acquisition after only 10 years, but only if the possessor in good faith could found his or her possession </w:t>
      </w:r>
      <w:r w:rsidR="00F55247" w:rsidRPr="00C070BC">
        <w:t xml:space="preserve">upon a </w:t>
      </w:r>
      <w:proofErr w:type="spellStart"/>
      <w:r w:rsidR="00F55247" w:rsidRPr="00C070BC">
        <w:t>translatory</w:t>
      </w:r>
      <w:proofErr w:type="spellEnd"/>
      <w:r w:rsidR="00F55247" w:rsidRPr="00C070BC">
        <w:t xml:space="preserve"> title. </w:t>
      </w:r>
      <w:r w:rsidR="001D0C93" w:rsidRPr="00C070BC">
        <w:t xml:space="preserve">Article 2918 </w:t>
      </w:r>
      <w:r w:rsidR="001D0C93" w:rsidRPr="00C070BC">
        <w:rPr>
          <w:i/>
        </w:rPr>
        <w:t>C.C.Q.</w:t>
      </w:r>
      <w:r w:rsidR="00F55247" w:rsidRPr="00C070BC">
        <w:t xml:space="preserve"> replaced these conditions with</w:t>
      </w:r>
      <w:r w:rsidR="001D0C93" w:rsidRPr="00C070BC">
        <w:t xml:space="preserve"> a single possessory period of 10 years, regardless of the good or bad faith of the possessor, or the presence or absence of </w:t>
      </w:r>
      <w:proofErr w:type="spellStart"/>
      <w:r w:rsidR="001D0C93" w:rsidRPr="00C070BC">
        <w:t>translatory</w:t>
      </w:r>
      <w:proofErr w:type="spellEnd"/>
      <w:r w:rsidR="001D0C93" w:rsidRPr="00C070BC">
        <w:t xml:space="preserve"> title. </w:t>
      </w:r>
    </w:p>
    <w:p w:rsidR="001D0C93" w:rsidRPr="00C070BC" w:rsidRDefault="004B3C8A" w:rsidP="00233573">
      <w:pPr>
        <w:pStyle w:val="SCCNormalDoubleSpacing"/>
        <w:widowControl w:val="0"/>
        <w:spacing w:before="480" w:after="480"/>
      </w:pPr>
      <w:r w:rsidRPr="00C070BC">
        <w:tab/>
      </w:r>
      <w:r w:rsidR="001D0C93" w:rsidRPr="00C070BC">
        <w:t xml:space="preserve">In view of these changes </w:t>
      </w:r>
      <w:r w:rsidR="00E914DB" w:rsidRPr="00C070BC">
        <w:t xml:space="preserve">— </w:t>
      </w:r>
      <w:r w:rsidR="001D0C93" w:rsidRPr="00C070BC">
        <w:t xml:space="preserve">and given that a reduction in the prescription period inherently affects the balance between the rights of the possessor and those of the true owner </w:t>
      </w:r>
      <w:r w:rsidR="00E914DB" w:rsidRPr="00C070BC">
        <w:t xml:space="preserve">— </w:t>
      </w:r>
      <w:r w:rsidRPr="00C070BC">
        <w:t>art. </w:t>
      </w:r>
      <w:r w:rsidR="00F55247" w:rsidRPr="00C070BC">
        <w:t>2918 imposes</w:t>
      </w:r>
      <w:r w:rsidR="001D0C93" w:rsidRPr="00C070BC">
        <w:t xml:space="preserve"> a requirement that the possessor may acquire the right of ownership only upo</w:t>
      </w:r>
      <w:r w:rsidR="00F55247" w:rsidRPr="00C070BC">
        <w:t>n a judicial application. This requirement</w:t>
      </w:r>
      <w:r w:rsidR="001D0C93" w:rsidRPr="00C070BC">
        <w:t xml:space="preserve"> has no antecedent in the </w:t>
      </w:r>
      <w:r w:rsidR="001D0C93" w:rsidRPr="00C070BC">
        <w:rPr>
          <w:i/>
        </w:rPr>
        <w:t>C.C.L.C.</w:t>
      </w:r>
      <w:r w:rsidR="00F55247" w:rsidRPr="00C070BC">
        <w:t>, and as a result its meaning</w:t>
      </w:r>
      <w:r w:rsidR="001D0C93" w:rsidRPr="00C070BC">
        <w:t xml:space="preserve"> cannot be defined by reference to practices prevailing under the </w:t>
      </w:r>
      <w:r w:rsidR="001D0C93" w:rsidRPr="00C070BC">
        <w:rPr>
          <w:i/>
        </w:rPr>
        <w:t>C.C.L.C</w:t>
      </w:r>
      <w:r w:rsidR="001D0C93" w:rsidRPr="00C070BC">
        <w:t xml:space="preserve">. </w:t>
      </w:r>
    </w:p>
    <w:p w:rsidR="001D0C93" w:rsidRPr="00C070BC" w:rsidRDefault="004B3C8A" w:rsidP="00233573">
      <w:pPr>
        <w:pStyle w:val="SCCNormalDoubleSpacing"/>
        <w:widowControl w:val="0"/>
        <w:spacing w:before="480" w:after="480"/>
        <w:rPr>
          <w:szCs w:val="24"/>
        </w:rPr>
      </w:pPr>
      <w:r w:rsidRPr="00C070BC">
        <w:tab/>
      </w:r>
      <w:r w:rsidR="001D0C93" w:rsidRPr="00C070BC">
        <w:t>The abandonme</w:t>
      </w:r>
      <w:r w:rsidR="00F55247" w:rsidRPr="00C070BC">
        <w:t xml:space="preserve">nt of the land register reform </w:t>
      </w:r>
      <w:r w:rsidR="001D0C93" w:rsidRPr="00C070BC">
        <w:t xml:space="preserve">did not relieve possessors of </w:t>
      </w:r>
      <w:r w:rsidRPr="00C070BC">
        <w:t>art. </w:t>
      </w:r>
      <w:r w:rsidR="001D0C93" w:rsidRPr="00C070BC">
        <w:t>2918</w:t>
      </w:r>
      <w:r w:rsidR="00830ED7">
        <w:t>’</w:t>
      </w:r>
      <w:r w:rsidR="001D0C93" w:rsidRPr="00C070BC">
        <w:t>s judicial application require</w:t>
      </w:r>
      <w:r w:rsidR="00F55247" w:rsidRPr="00C070BC">
        <w:t>ment. To the contrary,</w:t>
      </w:r>
      <w:r w:rsidR="001D0C93" w:rsidRPr="00C070BC">
        <w:t xml:space="preserve"> a careful reading of the legislative history of </w:t>
      </w:r>
      <w:r w:rsidRPr="00C070BC">
        <w:t>art. </w:t>
      </w:r>
      <w:r w:rsidR="001D0C93" w:rsidRPr="00C070BC">
        <w:t xml:space="preserve">2918 </w:t>
      </w:r>
      <w:r w:rsidR="001D0C93" w:rsidRPr="00C070BC">
        <w:rPr>
          <w:i/>
        </w:rPr>
        <w:t xml:space="preserve">C.C.Q. </w:t>
      </w:r>
      <w:r w:rsidR="00F55247" w:rsidRPr="00C070BC">
        <w:t>and</w:t>
      </w:r>
      <w:r w:rsidR="001D0C93" w:rsidRPr="00C070BC">
        <w:t xml:space="preserve"> s.</w:t>
      </w:r>
      <w:r w:rsidR="00830ED7">
        <w:t> </w:t>
      </w:r>
      <w:r w:rsidR="001D0C93" w:rsidRPr="00C070BC">
        <w:t xml:space="preserve">143 of the </w:t>
      </w:r>
      <w:r w:rsidR="001D0C93" w:rsidRPr="00C070BC">
        <w:rPr>
          <w:i/>
        </w:rPr>
        <w:t>Act respecting the implementation of the reform of the Civil Code</w:t>
      </w:r>
      <w:r w:rsidR="00F55247" w:rsidRPr="00C070BC">
        <w:t xml:space="preserve"> </w:t>
      </w:r>
      <w:r w:rsidR="001D0C93" w:rsidRPr="00C070BC">
        <w:t xml:space="preserve">reveals that the legislature intended the </w:t>
      </w:r>
      <w:r w:rsidR="001D0C93" w:rsidRPr="00C070BC">
        <w:lastRenderedPageBreak/>
        <w:t>judgment on the judicial application to be constitutive of the right of ownership and with</w:t>
      </w:r>
      <w:r w:rsidR="00F55247" w:rsidRPr="00C070BC">
        <w:t xml:space="preserve">out retroactive effect. </w:t>
      </w:r>
      <w:r w:rsidR="001D0C93" w:rsidRPr="00C070BC">
        <w:t>Rather than merely surviving the legislature</w:t>
      </w:r>
      <w:r w:rsidR="00830ED7">
        <w:t>’</w:t>
      </w:r>
      <w:r w:rsidR="001D0C93" w:rsidRPr="00C070BC">
        <w:t>s purge following the abandonment of the reform, the judicial application requirement took on added importance given that the reduction o</w:t>
      </w:r>
      <w:r w:rsidR="00E914DB" w:rsidRPr="00C070BC">
        <w:t>f the prescription period to 10 </w:t>
      </w:r>
      <w:r w:rsidR="001D0C93" w:rsidRPr="00C070BC">
        <w:t>years — which was initially premised on the successful completion of the registe</w:t>
      </w:r>
      <w:r w:rsidR="00F55247" w:rsidRPr="00C070BC">
        <w:t xml:space="preserve">r reform — was maintained. </w:t>
      </w:r>
      <w:r w:rsidR="001D0C93" w:rsidRPr="00C070BC">
        <w:t xml:space="preserve">Under the current </w:t>
      </w:r>
      <w:r w:rsidRPr="00C070BC">
        <w:t>art. </w:t>
      </w:r>
      <w:r w:rsidR="001D0C93" w:rsidRPr="00C070BC">
        <w:t>2918, the lapse of time alone no longer gives the possessor a right of ownership; only a judgment can do that. Holding otherwise conflates possession in fact with the creation or transfer of real rights,</w:t>
      </w:r>
      <w:r w:rsidR="00F55247" w:rsidRPr="00C070BC">
        <w:rPr>
          <w:szCs w:val="24"/>
        </w:rPr>
        <w:t xml:space="preserve"> and</w:t>
      </w:r>
      <w:r w:rsidR="001D0C93" w:rsidRPr="00C070BC">
        <w:rPr>
          <w:szCs w:val="24"/>
        </w:rPr>
        <w:t xml:space="preserve"> fundamentally upsets the legislative balance struck between the rights of the possessor and those of the true owner.</w:t>
      </w:r>
    </w:p>
    <w:p w:rsidR="00EF7E21" w:rsidRDefault="004B3C8A" w:rsidP="00233573">
      <w:pPr>
        <w:pStyle w:val="SCCNormalDoubleSpacing"/>
        <w:widowControl w:val="0"/>
        <w:spacing w:before="480" w:after="480"/>
      </w:pPr>
      <w:r w:rsidRPr="00C070BC">
        <w:rPr>
          <w:szCs w:val="24"/>
        </w:rPr>
        <w:tab/>
      </w:r>
      <w:r w:rsidR="001D0C93" w:rsidRPr="00C070BC">
        <w:rPr>
          <w:szCs w:val="24"/>
        </w:rPr>
        <w:t xml:space="preserve">Giving effect to the plain wording of </w:t>
      </w:r>
      <w:r w:rsidRPr="00C070BC">
        <w:rPr>
          <w:szCs w:val="24"/>
        </w:rPr>
        <w:t>art. </w:t>
      </w:r>
      <w:r w:rsidR="00F55247" w:rsidRPr="00C070BC">
        <w:rPr>
          <w:szCs w:val="24"/>
        </w:rPr>
        <w:t xml:space="preserve">2918 </w:t>
      </w:r>
      <w:r w:rsidR="001D0C93" w:rsidRPr="00C070BC">
        <w:rPr>
          <w:szCs w:val="24"/>
        </w:rPr>
        <w:t xml:space="preserve">is consistent with the </w:t>
      </w:r>
      <w:r w:rsidR="001D0C93" w:rsidRPr="00C070BC">
        <w:rPr>
          <w:i/>
          <w:szCs w:val="24"/>
        </w:rPr>
        <w:t>C.C.Q.</w:t>
      </w:r>
      <w:r w:rsidR="00830ED7">
        <w:rPr>
          <w:szCs w:val="24"/>
        </w:rPr>
        <w:t>’</w:t>
      </w:r>
      <w:r w:rsidR="001D0C93" w:rsidRPr="00C070BC">
        <w:rPr>
          <w:szCs w:val="24"/>
        </w:rPr>
        <w:t xml:space="preserve">s publication regime which, pursuant to </w:t>
      </w:r>
      <w:r w:rsidRPr="00C070BC">
        <w:rPr>
          <w:szCs w:val="24"/>
        </w:rPr>
        <w:t>art. </w:t>
      </w:r>
      <w:r w:rsidR="00F55247" w:rsidRPr="00C070BC">
        <w:rPr>
          <w:szCs w:val="24"/>
        </w:rPr>
        <w:t>2966</w:t>
      </w:r>
      <w:r w:rsidR="005A5FA7">
        <w:rPr>
          <w:szCs w:val="24"/>
        </w:rPr>
        <w:t xml:space="preserve"> para. 1</w:t>
      </w:r>
      <w:r w:rsidR="00FD4276">
        <w:rPr>
          <w:szCs w:val="24"/>
        </w:rPr>
        <w:t>,</w:t>
      </w:r>
      <w:r w:rsidR="000D2E38">
        <w:rPr>
          <w:szCs w:val="24"/>
        </w:rPr>
        <w:t xml:space="preserve"> </w:t>
      </w:r>
      <w:r w:rsidR="001D0C93" w:rsidRPr="00C070BC">
        <w:t>permits a possessor to register the judicial application in advance of obtaining the necessary judgment under art</w:t>
      </w:r>
      <w:r w:rsidR="00F136CB" w:rsidRPr="00C070BC">
        <w:t>.</w:t>
      </w:r>
      <w:r w:rsidR="00830ED7">
        <w:t> </w:t>
      </w:r>
      <w:r w:rsidR="001D0C93" w:rsidRPr="00C070BC">
        <w:t xml:space="preserve">2918. </w:t>
      </w:r>
      <w:proofErr w:type="gramStart"/>
      <w:r w:rsidR="001D0C93" w:rsidRPr="00C070BC">
        <w:t>Under</w:t>
      </w:r>
      <w:proofErr w:type="gramEnd"/>
      <w:r w:rsidR="001D0C93" w:rsidRPr="00C070BC">
        <w:t xml:space="preserve"> </w:t>
      </w:r>
      <w:r w:rsidRPr="00C070BC">
        <w:t>art. </w:t>
      </w:r>
      <w:r w:rsidR="001D0C93" w:rsidRPr="00C070BC">
        <w:t>2968</w:t>
      </w:r>
      <w:r w:rsidR="005A5FA7">
        <w:t xml:space="preserve"> para. 1</w:t>
      </w:r>
      <w:r w:rsidR="001D0C93" w:rsidRPr="00C070BC">
        <w:t xml:space="preserve">, the date of advance registration is then deemed to be the date of publication. The effect of these articles is to encourage a prudent possessor who has complied with the wording of </w:t>
      </w:r>
      <w:r w:rsidRPr="00C070BC">
        <w:t>art. </w:t>
      </w:r>
      <w:r w:rsidR="001D0C93" w:rsidRPr="00C070BC">
        <w:t xml:space="preserve">2918 to register the judicial application in advance. This aligns </w:t>
      </w:r>
      <w:r w:rsidRPr="00C070BC">
        <w:t>art. </w:t>
      </w:r>
      <w:r w:rsidR="001D0C93" w:rsidRPr="00C070BC">
        <w:t xml:space="preserve">2918 with the general publication requirement in </w:t>
      </w:r>
      <w:r w:rsidRPr="00C070BC">
        <w:t>art. </w:t>
      </w:r>
      <w:r w:rsidR="001D0C93" w:rsidRPr="00C070BC">
        <w:t xml:space="preserve">2938 </w:t>
      </w:r>
      <w:r w:rsidR="001D0C93" w:rsidRPr="00C070BC">
        <w:rPr>
          <w:i/>
        </w:rPr>
        <w:t>C.C.Q.</w:t>
      </w:r>
      <w:r w:rsidR="001D0C93" w:rsidRPr="00C070BC">
        <w:t xml:space="preserve"> for the “acquisition, creation, recognition, modification, transmission or extinction” of immovable real rights. It also minimizes the prospect of litigat</w:t>
      </w:r>
      <w:r w:rsidR="00F55247" w:rsidRPr="00C070BC">
        <w:t xml:space="preserve">ion and priority contests, </w:t>
      </w:r>
      <w:r w:rsidR="001D0C93" w:rsidRPr="00C070BC">
        <w:t xml:space="preserve">and promotes the efficiency, stability and security of relationships </w:t>
      </w:r>
      <w:r w:rsidR="00F55247" w:rsidRPr="00C070BC">
        <w:t>between title holder</w:t>
      </w:r>
      <w:r w:rsidR="001D0C93" w:rsidRPr="00C070BC">
        <w:t xml:space="preserve">s by </w:t>
      </w:r>
      <w:r w:rsidR="00F55247" w:rsidRPr="00C070BC">
        <w:t xml:space="preserve">encouraging </w:t>
      </w:r>
      <w:r w:rsidR="001D0C93" w:rsidRPr="00C070BC">
        <w:t xml:space="preserve">publication. Treating the judgment under </w:t>
      </w:r>
      <w:r w:rsidRPr="00C070BC">
        <w:t>art. </w:t>
      </w:r>
      <w:r w:rsidR="001D0C93" w:rsidRPr="00C070BC">
        <w:t>2918 as if it had a declarative a</w:t>
      </w:r>
      <w:r w:rsidR="00F55247" w:rsidRPr="00C070BC">
        <w:t>nd retroactive effect does not.</w:t>
      </w:r>
    </w:p>
    <w:p w:rsidR="001D0C93" w:rsidRPr="00C070BC" w:rsidRDefault="00EF7E21" w:rsidP="00233573">
      <w:pPr>
        <w:pStyle w:val="SCCNormalDoubleSpacing"/>
        <w:widowControl w:val="0"/>
        <w:spacing w:before="480" w:after="480"/>
      </w:pPr>
      <w:r>
        <w:lastRenderedPageBreak/>
        <w:tab/>
      </w:r>
      <w:r w:rsidR="00F55247" w:rsidRPr="00C070BC">
        <w:t>In this case, A</w:t>
      </w:r>
      <w:r w:rsidR="001D0C93" w:rsidRPr="00C070BC">
        <w:t xml:space="preserve"> did </w:t>
      </w:r>
      <w:r w:rsidR="001D0C93" w:rsidRPr="00C070BC">
        <w:rPr>
          <w:szCs w:val="24"/>
        </w:rPr>
        <w:t>not</w:t>
      </w:r>
      <w:r w:rsidR="001D0C93" w:rsidRPr="00C070BC">
        <w:t xml:space="preserve"> make the required judicial application under </w:t>
      </w:r>
      <w:r w:rsidR="004B3C8A" w:rsidRPr="00C070BC">
        <w:t>art. </w:t>
      </w:r>
      <w:r w:rsidR="00F55247" w:rsidRPr="00C070BC">
        <w:t xml:space="preserve">2918 until well after </w:t>
      </w:r>
      <w:r w:rsidR="001D0C93" w:rsidRPr="00C070BC">
        <w:t>O a</w:t>
      </w:r>
      <w:r w:rsidR="00F55247" w:rsidRPr="00C070BC">
        <w:t>nd S</w:t>
      </w:r>
      <w:r w:rsidR="001D0C93" w:rsidRPr="00C070BC">
        <w:t xml:space="preserve"> acquired title to the contested immovable and published th</w:t>
      </w:r>
      <w:r w:rsidR="00F55247" w:rsidRPr="00C070BC">
        <w:t>eir title in the land register. O and S are therefore</w:t>
      </w:r>
      <w:r w:rsidR="001D0C93" w:rsidRPr="00C070BC">
        <w:t xml:space="preserve"> prior in time and </w:t>
      </w:r>
      <w:r w:rsidR="00DA795F" w:rsidRPr="00C070BC">
        <w:t xml:space="preserve">— </w:t>
      </w:r>
      <w:r w:rsidR="001D0C93" w:rsidRPr="00C070BC">
        <w:t xml:space="preserve">as revealed by the register </w:t>
      </w:r>
      <w:r w:rsidR="00DA795F" w:rsidRPr="00C070BC">
        <w:t xml:space="preserve">— </w:t>
      </w:r>
      <w:r w:rsidR="00F55247" w:rsidRPr="00C070BC">
        <w:t>prior in rank. The result is that A</w:t>
      </w:r>
      <w:r w:rsidR="00830ED7">
        <w:t>’</w:t>
      </w:r>
      <w:r w:rsidR="001D0C93" w:rsidRPr="00C070BC">
        <w:t>s poss</w:t>
      </w:r>
      <w:r w:rsidR="00F55247" w:rsidRPr="00C070BC">
        <w:t>ession is not opposable against O and S</w:t>
      </w:r>
      <w:r w:rsidR="00830ED7">
        <w:t>’</w:t>
      </w:r>
      <w:r w:rsidR="00F55247" w:rsidRPr="00C070BC">
        <w:t>s title.</w:t>
      </w:r>
    </w:p>
    <w:p w:rsidR="007E1C47" w:rsidRPr="00C070BC" w:rsidRDefault="002E6705" w:rsidP="00233573">
      <w:pPr>
        <w:pStyle w:val="SCCNormalDoubleSpacing"/>
        <w:widowControl w:val="0"/>
        <w:spacing w:after="720" w:line="240" w:lineRule="auto"/>
      </w:pPr>
      <w:r w:rsidRPr="00C070BC">
        <w:rPr>
          <w:b/>
        </w:rPr>
        <w:t>Cases Cited</w:t>
      </w:r>
    </w:p>
    <w:p w:rsidR="002318FB" w:rsidRPr="00C070BC" w:rsidRDefault="002318FB" w:rsidP="00233573">
      <w:pPr>
        <w:pStyle w:val="SCCNormalDoubleSpacing"/>
        <w:widowControl w:val="0"/>
        <w:spacing w:after="720" w:line="240" w:lineRule="auto"/>
      </w:pPr>
      <w:r w:rsidRPr="00C070BC">
        <w:t xml:space="preserve">By </w:t>
      </w:r>
      <w:proofErr w:type="spellStart"/>
      <w:r w:rsidRPr="00C070BC">
        <w:t>Gascon</w:t>
      </w:r>
      <w:proofErr w:type="spellEnd"/>
      <w:r w:rsidR="007449CE" w:rsidRPr="00C070BC">
        <w:t> </w:t>
      </w:r>
      <w:r w:rsidRPr="00C070BC">
        <w:t>J.</w:t>
      </w:r>
    </w:p>
    <w:p w:rsidR="004E2C26" w:rsidRPr="00C070BC" w:rsidRDefault="002E6705" w:rsidP="00233573">
      <w:pPr>
        <w:pStyle w:val="SCCNormalDoubleSpacing"/>
        <w:widowControl w:val="0"/>
        <w:spacing w:before="480" w:after="480"/>
        <w:rPr>
          <w:lang w:val="fr-CA"/>
        </w:rPr>
      </w:pPr>
      <w:r w:rsidRPr="00C070BC">
        <w:tab/>
      </w:r>
      <w:r w:rsidRPr="00C070BC">
        <w:rPr>
          <w:b/>
        </w:rPr>
        <w:t>Referred to:</w:t>
      </w:r>
      <w:r w:rsidR="00BD0E9E" w:rsidRPr="00C070BC">
        <w:t xml:space="preserve"> </w:t>
      </w:r>
      <w:proofErr w:type="spellStart"/>
      <w:r w:rsidR="00543DCF" w:rsidRPr="00C070BC">
        <w:rPr>
          <w:i/>
        </w:rPr>
        <w:t>Desches</w:t>
      </w:r>
      <w:r w:rsidR="00261D41" w:rsidRPr="00C070BC">
        <w:rPr>
          <w:i/>
        </w:rPr>
        <w:t>nes</w:t>
      </w:r>
      <w:proofErr w:type="spellEnd"/>
      <w:r w:rsidR="00261D41" w:rsidRPr="00C070BC">
        <w:rPr>
          <w:i/>
        </w:rPr>
        <w:t xml:space="preserve"> v. Boucher</w:t>
      </w:r>
      <w:r w:rsidR="00261D41" w:rsidRPr="00C070BC">
        <w:t xml:space="preserve">, [1961] B.R. 771; </w:t>
      </w:r>
      <w:proofErr w:type="spellStart"/>
      <w:r w:rsidR="00261D41" w:rsidRPr="00C070BC">
        <w:rPr>
          <w:i/>
        </w:rPr>
        <w:t>Noiseux</w:t>
      </w:r>
      <w:proofErr w:type="spellEnd"/>
      <w:r w:rsidR="00261D41" w:rsidRPr="00C070BC">
        <w:rPr>
          <w:i/>
        </w:rPr>
        <w:t xml:space="preserve"> v.</w:t>
      </w:r>
      <w:r w:rsidR="009E219E" w:rsidRPr="00C070BC">
        <w:rPr>
          <w:i/>
        </w:rPr>
        <w:t xml:space="preserve"> </w:t>
      </w:r>
      <w:proofErr w:type="spellStart"/>
      <w:r w:rsidR="00261D41" w:rsidRPr="00C070BC">
        <w:rPr>
          <w:i/>
        </w:rPr>
        <w:t>Savio</w:t>
      </w:r>
      <w:proofErr w:type="spellEnd"/>
      <w:r w:rsidR="009E219E" w:rsidRPr="00C070BC">
        <w:t xml:space="preserve"> (1982)</w:t>
      </w:r>
      <w:r w:rsidR="00261D41" w:rsidRPr="00C070BC">
        <w:t xml:space="preserve">, </w:t>
      </w:r>
      <w:r w:rsidR="009E219E" w:rsidRPr="00C070BC">
        <w:t>27 R.P.R. 179</w:t>
      </w:r>
      <w:r w:rsidR="00261D41" w:rsidRPr="00C070BC">
        <w:t xml:space="preserve">; </w:t>
      </w:r>
      <w:proofErr w:type="spellStart"/>
      <w:r w:rsidR="00261D41" w:rsidRPr="00C070BC">
        <w:rPr>
          <w:i/>
        </w:rPr>
        <w:t>Dupuy</w:t>
      </w:r>
      <w:proofErr w:type="spellEnd"/>
      <w:r w:rsidR="00261D41" w:rsidRPr="00C070BC">
        <w:rPr>
          <w:i/>
        </w:rPr>
        <w:t xml:space="preserve"> v. Gauthier</w:t>
      </w:r>
      <w:r w:rsidR="00261D41" w:rsidRPr="00C070BC">
        <w:t>, 2013 QCCA 774</w:t>
      </w:r>
      <w:r w:rsidR="002D212F" w:rsidRPr="00C070BC">
        <w:t>, [2013] R.J.Q. 662</w:t>
      </w:r>
      <w:r w:rsidR="00261D41" w:rsidRPr="00C070BC">
        <w:t xml:space="preserve">; </w:t>
      </w:r>
      <w:r w:rsidR="00261D41" w:rsidRPr="00C070BC">
        <w:rPr>
          <w:i/>
        </w:rPr>
        <w:t>Medeiros v. St</w:t>
      </w:r>
      <w:r w:rsidR="004B3C8A" w:rsidRPr="00C070BC">
        <w:rPr>
          <w:i/>
        </w:rPr>
        <w:noBreakHyphen/>
      </w:r>
      <w:r w:rsidR="00261D41" w:rsidRPr="00C070BC">
        <w:rPr>
          <w:i/>
        </w:rPr>
        <w:t>Louis</w:t>
      </w:r>
      <w:r w:rsidR="00261D41" w:rsidRPr="00C070BC">
        <w:t xml:space="preserve">, </w:t>
      </w:r>
      <w:r w:rsidR="001850C9" w:rsidRPr="00C070BC">
        <w:t>[2002] R.D.I. 352</w:t>
      </w:r>
      <w:r w:rsidR="00261D41" w:rsidRPr="00C070BC">
        <w:t xml:space="preserve">; </w:t>
      </w:r>
      <w:proofErr w:type="spellStart"/>
      <w:r w:rsidR="00261D41" w:rsidRPr="00C070BC">
        <w:rPr>
          <w:i/>
        </w:rPr>
        <w:t>Dupont</w:t>
      </w:r>
      <w:proofErr w:type="spellEnd"/>
      <w:r w:rsidR="00261D41" w:rsidRPr="00C070BC">
        <w:rPr>
          <w:i/>
        </w:rPr>
        <w:t xml:space="preserve"> v. Saint</w:t>
      </w:r>
      <w:r w:rsidR="004B3C8A" w:rsidRPr="00C070BC">
        <w:rPr>
          <w:i/>
        </w:rPr>
        <w:noBreakHyphen/>
      </w:r>
      <w:r w:rsidR="00261D41" w:rsidRPr="00C070BC">
        <w:rPr>
          <w:i/>
        </w:rPr>
        <w:t>Arnaud</w:t>
      </w:r>
      <w:r w:rsidR="00261D41" w:rsidRPr="00C070BC">
        <w:t>, [1</w:t>
      </w:r>
      <w:r w:rsidR="007E29AC" w:rsidRPr="00C070BC">
        <w:t>992] R.D.J. 88</w:t>
      </w:r>
      <w:r w:rsidR="00261D41" w:rsidRPr="00C070BC">
        <w:t xml:space="preserve">; </w:t>
      </w:r>
      <w:r w:rsidR="00524E3C" w:rsidRPr="00C070BC">
        <w:rPr>
          <w:i/>
        </w:rPr>
        <w:t>Montréal (City) v. 2952</w:t>
      </w:r>
      <w:r w:rsidR="004B3C8A" w:rsidRPr="00C070BC">
        <w:rPr>
          <w:i/>
        </w:rPr>
        <w:noBreakHyphen/>
      </w:r>
      <w:r w:rsidR="00524E3C" w:rsidRPr="00C070BC">
        <w:rPr>
          <w:i/>
        </w:rPr>
        <w:t>1366 Québec Inc.</w:t>
      </w:r>
      <w:r w:rsidR="00524E3C" w:rsidRPr="00C070BC">
        <w:t xml:space="preserve">, 2005 SCC 62, [2005] 3 S.C.R. 141; </w:t>
      </w:r>
      <w:r w:rsidR="00261D41" w:rsidRPr="00C070BC">
        <w:rPr>
          <w:i/>
        </w:rPr>
        <w:t xml:space="preserve">Rizzo &amp; Rizzo Shoes Ltd. </w:t>
      </w:r>
      <w:r w:rsidR="00261D41" w:rsidRPr="00C070BC">
        <w:rPr>
          <w:i/>
          <w:lang w:val="fr-CA"/>
        </w:rPr>
        <w:t>(</w:t>
      </w:r>
      <w:proofErr w:type="spellStart"/>
      <w:r w:rsidR="00261D41" w:rsidRPr="00C070BC">
        <w:rPr>
          <w:i/>
          <w:lang w:val="fr-CA"/>
        </w:rPr>
        <w:t>Re</w:t>
      </w:r>
      <w:proofErr w:type="spellEnd"/>
      <w:r w:rsidR="00261D41" w:rsidRPr="00C070BC">
        <w:rPr>
          <w:i/>
          <w:lang w:val="fr-CA"/>
        </w:rPr>
        <w:t>)</w:t>
      </w:r>
      <w:r w:rsidR="00261D41" w:rsidRPr="00C070BC">
        <w:rPr>
          <w:lang w:val="fr-CA"/>
        </w:rPr>
        <w:t xml:space="preserve">, [1998] 1 S.C.R. 27; </w:t>
      </w:r>
      <w:r w:rsidR="00261D41" w:rsidRPr="00C070BC">
        <w:rPr>
          <w:i/>
          <w:lang w:val="fr-CA"/>
        </w:rPr>
        <w:t>Dion v. Ouellet</w:t>
      </w:r>
      <w:r w:rsidR="004B3C8A" w:rsidRPr="00C070BC">
        <w:rPr>
          <w:i/>
          <w:lang w:val="fr-CA"/>
        </w:rPr>
        <w:noBreakHyphen/>
      </w:r>
      <w:proofErr w:type="spellStart"/>
      <w:r w:rsidR="00261D41" w:rsidRPr="00C070BC">
        <w:rPr>
          <w:i/>
          <w:lang w:val="fr-CA"/>
        </w:rPr>
        <w:t>Latulippe</w:t>
      </w:r>
      <w:proofErr w:type="spellEnd"/>
      <w:r w:rsidR="00261D41" w:rsidRPr="00C070BC">
        <w:rPr>
          <w:lang w:val="fr-CA"/>
        </w:rPr>
        <w:t xml:space="preserve">, 2008 QCCA 1812; </w:t>
      </w:r>
      <w:r w:rsidR="00261D41" w:rsidRPr="00C070BC">
        <w:rPr>
          <w:i/>
          <w:lang w:val="fr-CA"/>
        </w:rPr>
        <w:t>Sylviculture et exploitation J</w:t>
      </w:r>
      <w:r w:rsidR="00FB3F58" w:rsidRPr="00C070BC">
        <w:rPr>
          <w:i/>
          <w:lang w:val="fr-CA"/>
        </w:rPr>
        <w:t>.</w:t>
      </w:r>
      <w:r w:rsidR="00261D41" w:rsidRPr="00C070BC">
        <w:rPr>
          <w:i/>
          <w:lang w:val="fr-CA"/>
        </w:rPr>
        <w:t>M</w:t>
      </w:r>
      <w:r w:rsidR="00FB3F58" w:rsidRPr="00C070BC">
        <w:rPr>
          <w:i/>
          <w:lang w:val="fr-CA"/>
        </w:rPr>
        <w:t>.</w:t>
      </w:r>
      <w:r w:rsidR="00261D41" w:rsidRPr="00C070BC">
        <w:rPr>
          <w:i/>
          <w:lang w:val="fr-CA"/>
        </w:rPr>
        <w:t>J</w:t>
      </w:r>
      <w:r w:rsidR="00FB3F58" w:rsidRPr="00C070BC">
        <w:rPr>
          <w:i/>
          <w:lang w:val="fr-CA"/>
        </w:rPr>
        <w:t>.</w:t>
      </w:r>
      <w:r w:rsidR="00261D41" w:rsidRPr="00C070BC">
        <w:rPr>
          <w:i/>
          <w:lang w:val="fr-CA"/>
        </w:rPr>
        <w:t xml:space="preserve"> </w:t>
      </w:r>
      <w:proofErr w:type="spellStart"/>
      <w:r w:rsidR="00261D41" w:rsidRPr="00C070BC">
        <w:rPr>
          <w:i/>
          <w:lang w:val="fr-CA"/>
        </w:rPr>
        <w:t>inc.</w:t>
      </w:r>
      <w:proofErr w:type="spellEnd"/>
      <w:r w:rsidR="00261D41" w:rsidRPr="00C070BC">
        <w:rPr>
          <w:i/>
          <w:lang w:val="fr-CA"/>
        </w:rPr>
        <w:t xml:space="preserve"> v. Mayer Hill</w:t>
      </w:r>
      <w:r w:rsidR="00261D41" w:rsidRPr="00C070BC">
        <w:rPr>
          <w:lang w:val="fr-CA"/>
        </w:rPr>
        <w:t xml:space="preserve">, 2012 QCCA 1377; </w:t>
      </w:r>
      <w:r w:rsidR="00261D41" w:rsidRPr="00C070BC">
        <w:rPr>
          <w:i/>
          <w:lang w:val="fr-CA"/>
        </w:rPr>
        <w:t>De Repentigny v.</w:t>
      </w:r>
      <w:r w:rsidR="00FB3F58" w:rsidRPr="00C070BC">
        <w:rPr>
          <w:i/>
          <w:lang w:val="fr-CA"/>
        </w:rPr>
        <w:t xml:space="preserve"> Fortin (Succession</w:t>
      </w:r>
      <w:r w:rsidR="00261D41" w:rsidRPr="00C070BC">
        <w:rPr>
          <w:i/>
          <w:lang w:val="fr-CA"/>
        </w:rPr>
        <w:t>)</w:t>
      </w:r>
      <w:r w:rsidR="00261D41" w:rsidRPr="00C070BC">
        <w:rPr>
          <w:lang w:val="fr-CA"/>
        </w:rPr>
        <w:t xml:space="preserve">, 2012 QCCS 905; </w:t>
      </w:r>
      <w:r w:rsidR="00321A44" w:rsidRPr="00C070BC">
        <w:rPr>
          <w:i/>
          <w:lang w:val="fr-CA"/>
        </w:rPr>
        <w:t>Breton v. Fortin</w:t>
      </w:r>
      <w:r w:rsidR="00321A44" w:rsidRPr="00C070BC">
        <w:rPr>
          <w:lang w:val="fr-CA"/>
        </w:rPr>
        <w:t xml:space="preserve">, 2016 QCCS 6149; </w:t>
      </w:r>
      <w:r w:rsidR="00261D41" w:rsidRPr="00C070BC">
        <w:rPr>
          <w:i/>
          <w:lang w:val="fr-CA"/>
        </w:rPr>
        <w:t>Gosselin v. Turner</w:t>
      </w:r>
      <w:r w:rsidR="00261D41" w:rsidRPr="00C070BC">
        <w:rPr>
          <w:lang w:val="fr-CA"/>
        </w:rPr>
        <w:t xml:space="preserve">, 2012 QCCS 388; </w:t>
      </w:r>
      <w:r w:rsidR="00261D41" w:rsidRPr="00C070BC">
        <w:rPr>
          <w:i/>
          <w:lang w:val="fr-CA"/>
        </w:rPr>
        <w:t>Caron v. Gauthier</w:t>
      </w:r>
      <w:r w:rsidR="00261D41" w:rsidRPr="00C070BC">
        <w:rPr>
          <w:lang w:val="fr-CA"/>
        </w:rPr>
        <w:t xml:space="preserve">, 2011 QCCS 2898; </w:t>
      </w:r>
      <w:r w:rsidR="00321A44" w:rsidRPr="00C070BC">
        <w:rPr>
          <w:i/>
          <w:lang w:val="fr-CA"/>
        </w:rPr>
        <w:t>Beauséjour v. Centre de ski Le Relais</w:t>
      </w:r>
      <w:r w:rsidR="00321A44" w:rsidRPr="00C070BC">
        <w:rPr>
          <w:lang w:val="fr-CA"/>
        </w:rPr>
        <w:t xml:space="preserve">, 2015 QCCS 127; </w:t>
      </w:r>
      <w:r w:rsidR="00261D41" w:rsidRPr="00C070BC">
        <w:rPr>
          <w:i/>
          <w:lang w:val="fr-CA"/>
        </w:rPr>
        <w:t xml:space="preserve">Cabana v. </w:t>
      </w:r>
      <w:proofErr w:type="spellStart"/>
      <w:r w:rsidR="00261D41" w:rsidRPr="00C070BC">
        <w:rPr>
          <w:i/>
          <w:lang w:val="fr-CA"/>
        </w:rPr>
        <w:t>Valiquette</w:t>
      </w:r>
      <w:proofErr w:type="spellEnd"/>
      <w:r w:rsidR="00261D41" w:rsidRPr="00C070BC">
        <w:rPr>
          <w:lang w:val="fr-CA"/>
        </w:rPr>
        <w:t xml:space="preserve">, 2013 QCCS 4710, </w:t>
      </w:r>
      <w:proofErr w:type="spellStart"/>
      <w:r w:rsidR="003D4946" w:rsidRPr="00C070BC">
        <w:rPr>
          <w:lang w:val="fr-CA"/>
        </w:rPr>
        <w:t>aff</w:t>
      </w:r>
      <w:r w:rsidR="00830ED7">
        <w:rPr>
          <w:lang w:val="fr-CA"/>
        </w:rPr>
        <w:t>’</w:t>
      </w:r>
      <w:r w:rsidR="003D4946" w:rsidRPr="00C070BC">
        <w:rPr>
          <w:lang w:val="fr-CA"/>
        </w:rPr>
        <w:t>d</w:t>
      </w:r>
      <w:proofErr w:type="spellEnd"/>
      <w:r w:rsidR="00261D41" w:rsidRPr="00C070BC">
        <w:rPr>
          <w:lang w:val="fr-CA"/>
        </w:rPr>
        <w:t xml:space="preserve"> 2015 QCCA 1520; </w:t>
      </w:r>
      <w:proofErr w:type="spellStart"/>
      <w:r w:rsidR="00543DCF" w:rsidRPr="00C070BC">
        <w:rPr>
          <w:i/>
          <w:lang w:val="fr-CA"/>
        </w:rPr>
        <w:t>Re</w:t>
      </w:r>
      <w:proofErr w:type="spellEnd"/>
      <w:r w:rsidR="00543DCF" w:rsidRPr="00C070BC">
        <w:rPr>
          <w:i/>
          <w:lang w:val="fr-CA"/>
        </w:rPr>
        <w:t xml:space="preserve"> </w:t>
      </w:r>
      <w:r w:rsidR="00261D41" w:rsidRPr="00C070BC">
        <w:rPr>
          <w:i/>
          <w:lang w:val="fr-CA"/>
        </w:rPr>
        <w:t>Gagné</w:t>
      </w:r>
      <w:r w:rsidR="00D27DC7" w:rsidRPr="00C070BC">
        <w:rPr>
          <w:lang w:val="fr-CA"/>
        </w:rPr>
        <w:t xml:space="preserve">, 2009 QCCS 6064; </w:t>
      </w:r>
      <w:proofErr w:type="spellStart"/>
      <w:r w:rsidR="000375E2" w:rsidRPr="00C070BC">
        <w:rPr>
          <w:i/>
          <w:lang w:val="fr-CA"/>
        </w:rPr>
        <w:t>Re</w:t>
      </w:r>
      <w:proofErr w:type="spellEnd"/>
      <w:r w:rsidR="000375E2" w:rsidRPr="00C070BC">
        <w:rPr>
          <w:i/>
          <w:lang w:val="fr-CA"/>
        </w:rPr>
        <w:t xml:space="preserve"> </w:t>
      </w:r>
      <w:r w:rsidR="00261D41" w:rsidRPr="00C070BC">
        <w:rPr>
          <w:i/>
          <w:lang w:val="fr-CA"/>
        </w:rPr>
        <w:t>Montmagny (Ville)</w:t>
      </w:r>
      <w:r w:rsidR="00261D41" w:rsidRPr="00C070BC">
        <w:rPr>
          <w:lang w:val="fr-CA"/>
        </w:rPr>
        <w:t xml:space="preserve">, 2005 </w:t>
      </w:r>
      <w:proofErr w:type="spellStart"/>
      <w:r w:rsidR="00261D41" w:rsidRPr="00C070BC">
        <w:rPr>
          <w:lang w:val="fr-CA"/>
        </w:rPr>
        <w:t>CanLII</w:t>
      </w:r>
      <w:proofErr w:type="spellEnd"/>
      <w:r w:rsidR="00261D41" w:rsidRPr="00C070BC">
        <w:rPr>
          <w:lang w:val="fr-CA"/>
        </w:rPr>
        <w:t xml:space="preserve"> 11604; </w:t>
      </w:r>
      <w:proofErr w:type="spellStart"/>
      <w:r w:rsidR="00543DCF" w:rsidRPr="00C070BC">
        <w:rPr>
          <w:i/>
          <w:lang w:val="fr-CA"/>
        </w:rPr>
        <w:t>Re</w:t>
      </w:r>
      <w:proofErr w:type="spellEnd"/>
      <w:r w:rsidR="00543DCF" w:rsidRPr="00C070BC">
        <w:rPr>
          <w:i/>
          <w:lang w:val="fr-CA"/>
        </w:rPr>
        <w:t xml:space="preserve"> </w:t>
      </w:r>
      <w:r w:rsidR="00261D41" w:rsidRPr="00C070BC">
        <w:rPr>
          <w:i/>
          <w:lang w:val="fr-CA"/>
        </w:rPr>
        <w:t>Béland</w:t>
      </w:r>
      <w:r w:rsidR="00261D41" w:rsidRPr="00C070BC">
        <w:rPr>
          <w:lang w:val="fr-CA"/>
        </w:rPr>
        <w:t xml:space="preserve">, 2005 </w:t>
      </w:r>
      <w:proofErr w:type="spellStart"/>
      <w:r w:rsidR="00261D41" w:rsidRPr="00C070BC">
        <w:rPr>
          <w:lang w:val="fr-CA"/>
        </w:rPr>
        <w:t>CanLII</w:t>
      </w:r>
      <w:proofErr w:type="spellEnd"/>
      <w:r w:rsidR="00261D41" w:rsidRPr="00C070BC">
        <w:rPr>
          <w:lang w:val="fr-CA"/>
        </w:rPr>
        <w:t xml:space="preserve"> 24349.</w:t>
      </w:r>
    </w:p>
    <w:p w:rsidR="002318FB" w:rsidRPr="00C070BC" w:rsidRDefault="007449CE" w:rsidP="00233573">
      <w:pPr>
        <w:pStyle w:val="SCCNormalDoubleSpacing"/>
        <w:widowControl w:val="0"/>
        <w:spacing w:after="720" w:line="240" w:lineRule="auto"/>
        <w:rPr>
          <w:lang w:val="fr-CA"/>
        </w:rPr>
      </w:pPr>
      <w:r w:rsidRPr="00C070BC">
        <w:rPr>
          <w:lang w:val="fr-CA"/>
        </w:rPr>
        <w:t>By Côté </w:t>
      </w:r>
      <w:r w:rsidR="002318FB" w:rsidRPr="00C070BC">
        <w:rPr>
          <w:lang w:val="fr-CA"/>
        </w:rPr>
        <w:t>J.</w:t>
      </w:r>
      <w:r w:rsidR="00C60BCB" w:rsidRPr="00C070BC">
        <w:rPr>
          <w:lang w:val="fr-CA"/>
        </w:rPr>
        <w:t xml:space="preserve"> (</w:t>
      </w:r>
      <w:proofErr w:type="spellStart"/>
      <w:r w:rsidR="00C60BCB" w:rsidRPr="00C070BC">
        <w:rPr>
          <w:lang w:val="fr-CA"/>
        </w:rPr>
        <w:t>dissenting</w:t>
      </w:r>
      <w:proofErr w:type="spellEnd"/>
      <w:r w:rsidR="00C60BCB" w:rsidRPr="00C070BC">
        <w:rPr>
          <w:lang w:val="fr-CA"/>
        </w:rPr>
        <w:t>)</w:t>
      </w:r>
    </w:p>
    <w:p w:rsidR="002318FB" w:rsidRPr="00C070BC" w:rsidRDefault="002318FB" w:rsidP="00233573">
      <w:pPr>
        <w:pStyle w:val="SCCNormalDoubleSpacing"/>
        <w:widowControl w:val="0"/>
        <w:spacing w:before="480" w:after="480"/>
        <w:rPr>
          <w:lang w:val="fr-CA"/>
        </w:rPr>
      </w:pPr>
      <w:r w:rsidRPr="00C070BC">
        <w:rPr>
          <w:b/>
          <w:lang w:val="fr-CA"/>
        </w:rPr>
        <w:lastRenderedPageBreak/>
        <w:tab/>
      </w:r>
      <w:proofErr w:type="spellStart"/>
      <w:r w:rsidR="00F96B69" w:rsidRPr="00C070BC">
        <w:rPr>
          <w:i/>
          <w:lang w:val="fr-CA"/>
        </w:rPr>
        <w:t>Croisetière</w:t>
      </w:r>
      <w:proofErr w:type="spellEnd"/>
      <w:r w:rsidR="00F96B69" w:rsidRPr="00C070BC">
        <w:rPr>
          <w:i/>
          <w:lang w:val="fr-CA"/>
        </w:rPr>
        <w:t xml:space="preserve"> v</w:t>
      </w:r>
      <w:r w:rsidR="007D23AE" w:rsidRPr="00C070BC">
        <w:rPr>
          <w:i/>
          <w:lang w:val="fr-CA"/>
        </w:rPr>
        <w:t>. Gélinas</w:t>
      </w:r>
      <w:r w:rsidR="007D23AE" w:rsidRPr="00C070BC">
        <w:rPr>
          <w:lang w:val="fr-CA"/>
        </w:rPr>
        <w:t xml:space="preserve">, [1977] C.A. 183; </w:t>
      </w:r>
      <w:proofErr w:type="spellStart"/>
      <w:r w:rsidR="00F96B69" w:rsidRPr="00C070BC">
        <w:rPr>
          <w:i/>
          <w:lang w:val="fr-CA"/>
        </w:rPr>
        <w:t>Rizzo</w:t>
      </w:r>
      <w:proofErr w:type="spellEnd"/>
      <w:r w:rsidR="00F96B69" w:rsidRPr="00C070BC">
        <w:rPr>
          <w:i/>
          <w:lang w:val="fr-CA"/>
        </w:rPr>
        <w:t xml:space="preserve"> &amp; </w:t>
      </w:r>
      <w:proofErr w:type="spellStart"/>
      <w:r w:rsidR="00F96B69" w:rsidRPr="00C070BC">
        <w:rPr>
          <w:i/>
          <w:lang w:val="fr-CA"/>
        </w:rPr>
        <w:t>Rizzo</w:t>
      </w:r>
      <w:proofErr w:type="spellEnd"/>
      <w:r w:rsidR="00F96B69" w:rsidRPr="00C070BC">
        <w:rPr>
          <w:i/>
          <w:lang w:val="fr-CA"/>
        </w:rPr>
        <w:t xml:space="preserve"> </w:t>
      </w:r>
      <w:proofErr w:type="spellStart"/>
      <w:r w:rsidR="00F96B69" w:rsidRPr="00C070BC">
        <w:rPr>
          <w:i/>
          <w:lang w:val="fr-CA"/>
        </w:rPr>
        <w:t>Shoes</w:t>
      </w:r>
      <w:proofErr w:type="spellEnd"/>
      <w:r w:rsidR="00F96B69" w:rsidRPr="00C070BC">
        <w:rPr>
          <w:i/>
          <w:lang w:val="fr-CA"/>
        </w:rPr>
        <w:t xml:space="preserve"> Ltd. (</w:t>
      </w:r>
      <w:proofErr w:type="spellStart"/>
      <w:r w:rsidR="00F96B69" w:rsidRPr="00C070BC">
        <w:rPr>
          <w:i/>
          <w:lang w:val="fr-CA"/>
        </w:rPr>
        <w:t>Re</w:t>
      </w:r>
      <w:proofErr w:type="spellEnd"/>
      <w:r w:rsidR="00F96B69" w:rsidRPr="00C070BC">
        <w:rPr>
          <w:i/>
          <w:lang w:val="fr-CA"/>
        </w:rPr>
        <w:t>)</w:t>
      </w:r>
      <w:r w:rsidR="00F96B69" w:rsidRPr="00C070BC">
        <w:rPr>
          <w:lang w:val="fr-CA"/>
        </w:rPr>
        <w:t xml:space="preserve">, [1998] 1 S.C.R. 27; </w:t>
      </w:r>
      <w:r w:rsidR="00DB2CA3" w:rsidRPr="00C070BC">
        <w:rPr>
          <w:i/>
          <w:lang w:val="fr-CA"/>
        </w:rPr>
        <w:t>Dupuy v. Gauthier</w:t>
      </w:r>
      <w:r w:rsidR="00DB2CA3" w:rsidRPr="00C070BC">
        <w:rPr>
          <w:lang w:val="fr-CA"/>
        </w:rPr>
        <w:t xml:space="preserve">, 2013 QCCA 774, [2013] R.J.Q. 662; </w:t>
      </w:r>
      <w:r w:rsidR="00DB2CA3" w:rsidRPr="00C070BC">
        <w:rPr>
          <w:i/>
          <w:lang w:val="fr-CA"/>
        </w:rPr>
        <w:t>Craig v</w:t>
      </w:r>
      <w:r w:rsidR="0055609E" w:rsidRPr="00C070BC">
        <w:rPr>
          <w:i/>
          <w:lang w:val="fr-CA"/>
        </w:rPr>
        <w:t xml:space="preserve">. Béton </w:t>
      </w:r>
      <w:r w:rsidR="00DB2CA3" w:rsidRPr="00C070BC">
        <w:rPr>
          <w:i/>
          <w:lang w:val="fr-CA"/>
        </w:rPr>
        <w:t xml:space="preserve">Chevalier </w:t>
      </w:r>
      <w:proofErr w:type="spellStart"/>
      <w:r w:rsidR="00DB2CA3" w:rsidRPr="00C070BC">
        <w:rPr>
          <w:i/>
          <w:lang w:val="fr-CA"/>
        </w:rPr>
        <w:t>inc.</w:t>
      </w:r>
      <w:proofErr w:type="spellEnd"/>
      <w:r w:rsidR="00DB2CA3" w:rsidRPr="00C070BC">
        <w:rPr>
          <w:lang w:val="fr-CA"/>
        </w:rPr>
        <w:t>, 2012 QCCS 2888</w:t>
      </w:r>
      <w:r w:rsidR="0055609E" w:rsidRPr="00C070BC">
        <w:rPr>
          <w:lang w:val="fr-CA"/>
        </w:rPr>
        <w:t xml:space="preserve">; </w:t>
      </w:r>
      <w:r w:rsidR="0055609E" w:rsidRPr="00C070BC">
        <w:rPr>
          <w:i/>
          <w:lang w:val="fr-CA"/>
        </w:rPr>
        <w:t>Granby (Ville</w:t>
      </w:r>
      <w:r w:rsidR="0000353B" w:rsidRPr="00C070BC">
        <w:rPr>
          <w:i/>
          <w:lang w:val="fr-CA"/>
        </w:rPr>
        <w:t>) v</w:t>
      </w:r>
      <w:r w:rsidR="0055609E" w:rsidRPr="00C070BC">
        <w:rPr>
          <w:i/>
          <w:lang w:val="fr-CA"/>
        </w:rPr>
        <w:t xml:space="preserve">. Gestion </w:t>
      </w:r>
      <w:proofErr w:type="spellStart"/>
      <w:r w:rsidR="0055609E" w:rsidRPr="00C070BC">
        <w:rPr>
          <w:i/>
          <w:lang w:val="fr-CA"/>
        </w:rPr>
        <w:t>Rainville</w:t>
      </w:r>
      <w:proofErr w:type="spellEnd"/>
      <w:r w:rsidR="0055609E" w:rsidRPr="00C070BC">
        <w:rPr>
          <w:i/>
          <w:lang w:val="fr-CA"/>
        </w:rPr>
        <w:t xml:space="preserve"> </w:t>
      </w:r>
      <w:proofErr w:type="spellStart"/>
      <w:r w:rsidR="0055609E" w:rsidRPr="00C070BC">
        <w:rPr>
          <w:i/>
          <w:lang w:val="fr-CA"/>
        </w:rPr>
        <w:t>ltée</w:t>
      </w:r>
      <w:proofErr w:type="spellEnd"/>
      <w:r w:rsidR="0000353B" w:rsidRPr="00C070BC">
        <w:rPr>
          <w:lang w:val="fr-CA"/>
        </w:rPr>
        <w:t>, 2011 QCCS 4259</w:t>
      </w:r>
      <w:r w:rsidR="0055609E" w:rsidRPr="00C070BC">
        <w:rPr>
          <w:lang w:val="fr-CA"/>
        </w:rPr>
        <w:t xml:space="preserve">; </w:t>
      </w:r>
      <w:proofErr w:type="spellStart"/>
      <w:r w:rsidR="0050519B" w:rsidRPr="00C070BC">
        <w:rPr>
          <w:i/>
          <w:lang w:val="fr-CA"/>
        </w:rPr>
        <w:t>Re</w:t>
      </w:r>
      <w:proofErr w:type="spellEnd"/>
      <w:r w:rsidR="0050519B" w:rsidRPr="00C070BC">
        <w:rPr>
          <w:i/>
          <w:lang w:val="fr-CA"/>
        </w:rPr>
        <w:t xml:space="preserve"> </w:t>
      </w:r>
      <w:r w:rsidR="0000353B" w:rsidRPr="00C070BC">
        <w:rPr>
          <w:i/>
          <w:lang w:val="fr-CA"/>
        </w:rPr>
        <w:t>Gagné</w:t>
      </w:r>
      <w:r w:rsidR="0000353B" w:rsidRPr="00C070BC">
        <w:rPr>
          <w:lang w:val="fr-CA"/>
        </w:rPr>
        <w:t xml:space="preserve">, 2009 QCCS 6064; </w:t>
      </w:r>
      <w:proofErr w:type="spellStart"/>
      <w:r w:rsidR="0000353B" w:rsidRPr="00C070BC">
        <w:rPr>
          <w:i/>
          <w:lang w:val="fr-CA"/>
        </w:rPr>
        <w:t>Re</w:t>
      </w:r>
      <w:proofErr w:type="spellEnd"/>
      <w:r w:rsidR="0000353B" w:rsidRPr="00C070BC">
        <w:rPr>
          <w:i/>
          <w:lang w:val="fr-CA"/>
        </w:rPr>
        <w:t xml:space="preserve"> Montmagny (Ville)</w:t>
      </w:r>
      <w:r w:rsidR="0000353B" w:rsidRPr="00C070BC">
        <w:rPr>
          <w:lang w:val="fr-CA"/>
        </w:rPr>
        <w:t xml:space="preserve">, 2005 </w:t>
      </w:r>
      <w:proofErr w:type="spellStart"/>
      <w:r w:rsidR="0000353B" w:rsidRPr="00C070BC">
        <w:rPr>
          <w:lang w:val="fr-CA"/>
        </w:rPr>
        <w:t>CanLII</w:t>
      </w:r>
      <w:proofErr w:type="spellEnd"/>
      <w:r w:rsidR="0000353B" w:rsidRPr="00C070BC">
        <w:rPr>
          <w:lang w:val="fr-CA"/>
        </w:rPr>
        <w:t xml:space="preserve"> 11604; </w:t>
      </w:r>
      <w:proofErr w:type="spellStart"/>
      <w:r w:rsidR="0050519B" w:rsidRPr="00C070BC">
        <w:rPr>
          <w:i/>
          <w:lang w:val="fr-CA"/>
        </w:rPr>
        <w:t>Re</w:t>
      </w:r>
      <w:proofErr w:type="spellEnd"/>
      <w:r w:rsidR="0050519B" w:rsidRPr="00C070BC">
        <w:rPr>
          <w:i/>
          <w:lang w:val="fr-CA"/>
        </w:rPr>
        <w:t xml:space="preserve"> </w:t>
      </w:r>
      <w:r w:rsidR="0000353B" w:rsidRPr="00C070BC">
        <w:rPr>
          <w:i/>
          <w:lang w:val="fr-CA"/>
        </w:rPr>
        <w:t>Béland</w:t>
      </w:r>
      <w:r w:rsidR="0000353B" w:rsidRPr="00C070BC">
        <w:rPr>
          <w:lang w:val="fr-CA"/>
        </w:rPr>
        <w:t xml:space="preserve">, 2005 </w:t>
      </w:r>
      <w:proofErr w:type="spellStart"/>
      <w:r w:rsidR="0000353B" w:rsidRPr="00C070BC">
        <w:rPr>
          <w:lang w:val="fr-CA"/>
        </w:rPr>
        <w:t>CanLII</w:t>
      </w:r>
      <w:proofErr w:type="spellEnd"/>
      <w:r w:rsidR="0000353B" w:rsidRPr="00C070BC">
        <w:rPr>
          <w:lang w:val="fr-CA"/>
        </w:rPr>
        <w:t xml:space="preserve"> 24349</w:t>
      </w:r>
      <w:r w:rsidR="00202209" w:rsidRPr="00C070BC">
        <w:rPr>
          <w:lang w:val="fr-CA"/>
        </w:rPr>
        <w:t xml:space="preserve">; </w:t>
      </w:r>
      <w:r w:rsidR="00202209" w:rsidRPr="00C070BC">
        <w:rPr>
          <w:i/>
          <w:lang w:val="fr-CA"/>
        </w:rPr>
        <w:t>R. v. 974649 Ontario Inc.</w:t>
      </w:r>
      <w:r w:rsidR="00202209" w:rsidRPr="00C070BC">
        <w:rPr>
          <w:lang w:val="fr-CA"/>
        </w:rPr>
        <w:t>, 2001 SCC 81, [2001] 3 S.C.R. 575</w:t>
      </w:r>
      <w:r w:rsidR="0000353B" w:rsidRPr="00C070BC">
        <w:rPr>
          <w:lang w:val="fr-CA"/>
        </w:rPr>
        <w:t>.</w:t>
      </w:r>
    </w:p>
    <w:p w:rsidR="003B215F" w:rsidRPr="00C070BC" w:rsidRDefault="002E6705" w:rsidP="00233573">
      <w:pPr>
        <w:pStyle w:val="SCCNormalDoubleSpacing"/>
        <w:widowControl w:val="0"/>
        <w:spacing w:after="720" w:line="240" w:lineRule="auto"/>
      </w:pPr>
      <w:r w:rsidRPr="00C070BC">
        <w:rPr>
          <w:b/>
        </w:rPr>
        <w:t>Statutes and Regulations Cite</w:t>
      </w:r>
      <w:r w:rsidR="00A41805" w:rsidRPr="00C070BC">
        <w:rPr>
          <w:b/>
        </w:rPr>
        <w:t>d</w:t>
      </w:r>
    </w:p>
    <w:p w:rsidR="002318FB" w:rsidRPr="00C070BC" w:rsidRDefault="002318FB" w:rsidP="00233573">
      <w:pPr>
        <w:pStyle w:val="SCCNormalDoubleSpacing"/>
        <w:widowControl w:val="0"/>
        <w:spacing w:before="240" w:after="240" w:line="240" w:lineRule="auto"/>
        <w:ind w:left="540" w:hanging="540"/>
      </w:pPr>
      <w:r w:rsidRPr="00C070BC">
        <w:rPr>
          <w:i/>
        </w:rPr>
        <w:t xml:space="preserve">Act </w:t>
      </w:r>
      <w:r w:rsidR="009666EE" w:rsidRPr="00C070BC">
        <w:rPr>
          <w:i/>
        </w:rPr>
        <w:t>respecting the implementation o</w:t>
      </w:r>
      <w:r w:rsidRPr="00C070BC">
        <w:rPr>
          <w:i/>
        </w:rPr>
        <w:t>f the reform of the Civil Code</w:t>
      </w:r>
      <w:r w:rsidRPr="00C070BC">
        <w:t xml:space="preserve">, </w:t>
      </w:r>
      <w:r w:rsidR="004B3C8A" w:rsidRPr="00C070BC">
        <w:t>ss. </w:t>
      </w:r>
      <w:r w:rsidRPr="00C070BC">
        <w:t>143 [</w:t>
      </w:r>
      <w:proofErr w:type="gramStart"/>
      <w:r w:rsidRPr="00C070BC">
        <w:t>am</w:t>
      </w:r>
      <w:proofErr w:type="gramEnd"/>
      <w:r w:rsidRPr="00C070BC">
        <w:t>. 2000, c.</w:t>
      </w:r>
      <w:r w:rsidR="007449CE" w:rsidRPr="00C070BC">
        <w:t> </w:t>
      </w:r>
      <w:r w:rsidRPr="00C070BC">
        <w:t>42, s.</w:t>
      </w:r>
      <w:r w:rsidR="007449CE" w:rsidRPr="00C070BC">
        <w:t> </w:t>
      </w:r>
      <w:r w:rsidRPr="00C070BC">
        <w:t xml:space="preserve">87], 155 </w:t>
      </w:r>
      <w:r w:rsidR="004B3C8A" w:rsidRPr="00C070BC">
        <w:t>para. </w:t>
      </w:r>
      <w:r w:rsidRPr="00C070BC">
        <w:t>1.</w:t>
      </w:r>
    </w:p>
    <w:p w:rsidR="002318FB" w:rsidRPr="00C070BC" w:rsidRDefault="002318FB" w:rsidP="00233573">
      <w:pPr>
        <w:pStyle w:val="SCCNormalDoubleSpacing"/>
        <w:widowControl w:val="0"/>
        <w:spacing w:before="240" w:after="240" w:line="240" w:lineRule="auto"/>
        <w:ind w:left="540" w:hanging="540"/>
      </w:pPr>
      <w:r w:rsidRPr="00C070BC">
        <w:rPr>
          <w:i/>
        </w:rPr>
        <w:t>Act to amend the Act respecting the implementation of the reform of the Civil Code and other legislative provisions as regards security and the publication of rights</w:t>
      </w:r>
      <w:r w:rsidRPr="00C070BC">
        <w:t xml:space="preserve">, S.Q. 1995, </w:t>
      </w:r>
      <w:r w:rsidR="002D255B" w:rsidRPr="00C070BC">
        <w:t>c. </w:t>
      </w:r>
      <w:r w:rsidRPr="00C070BC">
        <w:t>33.</w:t>
      </w:r>
    </w:p>
    <w:p w:rsidR="002318FB" w:rsidRPr="00C070BC" w:rsidRDefault="002318FB" w:rsidP="00233573">
      <w:pPr>
        <w:pStyle w:val="SCCNormalDoubleSpacing"/>
        <w:widowControl w:val="0"/>
        <w:spacing w:before="240" w:after="240" w:line="240" w:lineRule="auto"/>
        <w:ind w:left="540" w:hanging="540"/>
      </w:pPr>
      <w:r w:rsidRPr="00C070BC">
        <w:rPr>
          <w:i/>
        </w:rPr>
        <w:t>Act to amend the Civil Code and other legislative provisions relating to land registration</w:t>
      </w:r>
      <w:r w:rsidRPr="00C070BC">
        <w:t xml:space="preserve">, S.Q. 2000, </w:t>
      </w:r>
      <w:r w:rsidR="002D255B" w:rsidRPr="00C070BC">
        <w:t>c. </w:t>
      </w:r>
      <w:r w:rsidRPr="00C070BC">
        <w:t>42.</w:t>
      </w:r>
    </w:p>
    <w:p w:rsidR="00525F8E" w:rsidRPr="00C070BC" w:rsidRDefault="00982D77" w:rsidP="00233573">
      <w:pPr>
        <w:pStyle w:val="SCCNormalDoubleSpacing"/>
        <w:widowControl w:val="0"/>
        <w:spacing w:before="240" w:after="240" w:line="240" w:lineRule="auto"/>
        <w:ind w:left="540" w:hanging="540"/>
        <w:rPr>
          <w:i/>
        </w:rPr>
      </w:pPr>
      <w:r w:rsidRPr="00C070BC">
        <w:rPr>
          <w:i/>
        </w:rPr>
        <w:t>Charter of human rights and f</w:t>
      </w:r>
      <w:r w:rsidR="00525F8E" w:rsidRPr="00C070BC">
        <w:rPr>
          <w:i/>
        </w:rPr>
        <w:t>reedoms</w:t>
      </w:r>
      <w:r w:rsidR="00525F8E" w:rsidRPr="00C070BC">
        <w:t xml:space="preserve">, CQLR, </w:t>
      </w:r>
      <w:r w:rsidR="002D255B" w:rsidRPr="00C070BC">
        <w:t>c. </w:t>
      </w:r>
      <w:r w:rsidR="00525F8E" w:rsidRPr="00C070BC">
        <w:t>C</w:t>
      </w:r>
      <w:r w:rsidR="004B3C8A" w:rsidRPr="00C070BC">
        <w:noBreakHyphen/>
      </w:r>
      <w:r w:rsidR="00525F8E" w:rsidRPr="00C070BC">
        <w:t xml:space="preserve">12, </w:t>
      </w:r>
      <w:r w:rsidR="004B3C8A" w:rsidRPr="00C070BC">
        <w:t>ss. </w:t>
      </w:r>
      <w:r w:rsidR="00525F8E" w:rsidRPr="00C070BC">
        <w:t>6, 8.</w:t>
      </w:r>
      <w:r w:rsidR="00525F8E" w:rsidRPr="00C070BC">
        <w:rPr>
          <w:i/>
        </w:rPr>
        <w:t xml:space="preserve"> </w:t>
      </w:r>
    </w:p>
    <w:p w:rsidR="002318FB" w:rsidRPr="00C070BC" w:rsidRDefault="002318FB" w:rsidP="00233573">
      <w:pPr>
        <w:pStyle w:val="SCCNormalDoubleSpacing"/>
        <w:widowControl w:val="0"/>
        <w:spacing w:before="240" w:after="240" w:line="240" w:lineRule="auto"/>
        <w:ind w:left="540" w:hanging="540"/>
      </w:pPr>
      <w:r w:rsidRPr="00C070BC">
        <w:rPr>
          <w:i/>
        </w:rPr>
        <w:t>Civil Code of Lower Canada</w:t>
      </w:r>
      <w:r w:rsidRPr="00C070BC">
        <w:t>, art</w:t>
      </w:r>
      <w:r w:rsidR="002D255B" w:rsidRPr="00C070BC">
        <w:t>s. </w:t>
      </w:r>
      <w:r w:rsidR="00525F8E" w:rsidRPr="00C070BC">
        <w:t xml:space="preserve">406, </w:t>
      </w:r>
      <w:r w:rsidR="00F2139D" w:rsidRPr="00C070BC">
        <w:t>1508, 2082, 2089, 2098, 2183</w:t>
      </w:r>
      <w:r w:rsidRPr="00C070BC">
        <w:t>, 2183a, 2206</w:t>
      </w:r>
      <w:r w:rsidR="007D23AE" w:rsidRPr="00C070BC">
        <w:t>, 2242, 2251</w:t>
      </w:r>
      <w:r w:rsidRPr="00C070BC">
        <w:t>.</w:t>
      </w:r>
    </w:p>
    <w:p w:rsidR="002318FB" w:rsidRPr="00C070BC" w:rsidRDefault="002318FB" w:rsidP="00233573">
      <w:pPr>
        <w:pStyle w:val="SCCNormalDoubleSpacing"/>
        <w:widowControl w:val="0"/>
        <w:spacing w:before="240" w:after="240" w:line="240" w:lineRule="auto"/>
        <w:ind w:left="540" w:hanging="540"/>
      </w:pPr>
      <w:r w:rsidRPr="00C070BC">
        <w:rPr>
          <w:i/>
          <w:lang w:val="en-US"/>
        </w:rPr>
        <w:t>Civil Code of Québec</w:t>
      </w:r>
      <w:r w:rsidRPr="00C070BC">
        <w:rPr>
          <w:lang w:val="en-US"/>
        </w:rPr>
        <w:t>, art</w:t>
      </w:r>
      <w:r w:rsidR="002D255B" w:rsidRPr="00C070BC">
        <w:rPr>
          <w:lang w:val="en-US"/>
        </w:rPr>
        <w:t>s. </w:t>
      </w:r>
      <w:r w:rsidRPr="00C070BC">
        <w:rPr>
          <w:lang w:val="en-US"/>
        </w:rPr>
        <w:t xml:space="preserve">331, 627, </w:t>
      </w:r>
      <w:r w:rsidR="0055609E" w:rsidRPr="00C070BC">
        <w:rPr>
          <w:lang w:val="en-US"/>
        </w:rPr>
        <w:t xml:space="preserve">884, </w:t>
      </w:r>
      <w:r w:rsidR="00D219F5" w:rsidRPr="00C070BC">
        <w:rPr>
          <w:lang w:val="en-US"/>
        </w:rPr>
        <w:t xml:space="preserve">912, </w:t>
      </w:r>
      <w:r w:rsidR="007D23AE" w:rsidRPr="00C070BC">
        <w:rPr>
          <w:lang w:val="en-US"/>
        </w:rPr>
        <w:t xml:space="preserve">916, </w:t>
      </w:r>
      <w:r w:rsidRPr="00C070BC">
        <w:rPr>
          <w:lang w:val="en-US"/>
        </w:rPr>
        <w:t xml:space="preserve">921, 922, 928, 930, </w:t>
      </w:r>
      <w:r w:rsidR="00525F8E" w:rsidRPr="00C070BC">
        <w:rPr>
          <w:lang w:val="en-US"/>
        </w:rPr>
        <w:t xml:space="preserve">947, </w:t>
      </w:r>
      <w:r w:rsidR="0055609E" w:rsidRPr="00C070BC">
        <w:rPr>
          <w:lang w:val="en-US"/>
        </w:rPr>
        <w:t xml:space="preserve">1037, </w:t>
      </w:r>
      <w:r w:rsidR="00F2139D" w:rsidRPr="00C070BC">
        <w:rPr>
          <w:lang w:val="en-US"/>
        </w:rPr>
        <w:t>1559, 1643, 1724</w:t>
      </w:r>
      <w:r w:rsidRPr="00C070BC">
        <w:t xml:space="preserve">, 2163, 2847, </w:t>
      </w:r>
      <w:r w:rsidR="007D23AE" w:rsidRPr="00C070BC">
        <w:t xml:space="preserve">2875, </w:t>
      </w:r>
      <w:r w:rsidRPr="00C070BC">
        <w:t xml:space="preserve">2879, 2885, 2910, 2911, 2912, 2917, 2918 [am. 2000, </w:t>
      </w:r>
      <w:r w:rsidR="002D255B" w:rsidRPr="00C070BC">
        <w:t>c. </w:t>
      </w:r>
      <w:r w:rsidRPr="00C070BC">
        <w:t xml:space="preserve">42, </w:t>
      </w:r>
      <w:r w:rsidR="002D255B" w:rsidRPr="00C070BC">
        <w:t>s. </w:t>
      </w:r>
      <w:r w:rsidRPr="00C070BC">
        <w:t>10], 2938, 2941, 2943, 2944 [</w:t>
      </w:r>
      <w:r w:rsidRPr="00C070BC">
        <w:rPr>
          <w:i/>
        </w:rPr>
        <w:t>idem</w:t>
      </w:r>
      <w:r w:rsidRPr="00C070BC">
        <w:t xml:space="preserve">, </w:t>
      </w:r>
      <w:r w:rsidR="002D255B" w:rsidRPr="00C070BC">
        <w:t>s. </w:t>
      </w:r>
      <w:r w:rsidRPr="00C070BC">
        <w:t>15], 2945, 2946, 2957, 2962 [re</w:t>
      </w:r>
      <w:r w:rsidR="004B3C8A" w:rsidRPr="00C070BC">
        <w:t>p. </w:t>
      </w:r>
      <w:r w:rsidRPr="00C070BC">
        <w:rPr>
          <w:i/>
        </w:rPr>
        <w:t>idem</w:t>
      </w:r>
      <w:r w:rsidRPr="00C070BC">
        <w:t xml:space="preserve">, </w:t>
      </w:r>
      <w:r w:rsidR="002D255B" w:rsidRPr="00C070BC">
        <w:t>s. </w:t>
      </w:r>
      <w:r w:rsidRPr="00C070BC">
        <w:t>19]</w:t>
      </w:r>
      <w:r w:rsidR="00EE1D37" w:rsidRPr="00C070BC">
        <w:t>, 2966, 2968, 3026, 3046 to</w:t>
      </w:r>
      <w:r w:rsidRPr="00C070BC">
        <w:t xml:space="preserve"> 3053 [</w:t>
      </w:r>
      <w:r w:rsidRPr="00C070BC">
        <w:rPr>
          <w:i/>
        </w:rPr>
        <w:t>idem</w:t>
      </w:r>
      <w:r w:rsidRPr="00C070BC">
        <w:t xml:space="preserve">, </w:t>
      </w:r>
      <w:r w:rsidR="002D255B" w:rsidRPr="00C070BC">
        <w:t>s. </w:t>
      </w:r>
      <w:r w:rsidRPr="00C070BC">
        <w:t>73], 3075.</w:t>
      </w:r>
    </w:p>
    <w:p w:rsidR="00F136CB" w:rsidRPr="00C070BC" w:rsidRDefault="00F136CB" w:rsidP="00233573">
      <w:pPr>
        <w:pStyle w:val="SCCNormalDoubleSpacing"/>
        <w:widowControl w:val="0"/>
        <w:spacing w:before="240" w:after="240" w:line="240" w:lineRule="auto"/>
        <w:ind w:left="540" w:hanging="540"/>
        <w:rPr>
          <w:i/>
        </w:rPr>
      </w:pPr>
      <w:r w:rsidRPr="00C070BC">
        <w:rPr>
          <w:i/>
        </w:rPr>
        <w:t>Code Napoléon</w:t>
      </w:r>
      <w:r w:rsidRPr="00C070BC">
        <w:t>, art. 544.</w:t>
      </w:r>
    </w:p>
    <w:p w:rsidR="002318FB" w:rsidRPr="00C070BC" w:rsidRDefault="002318FB" w:rsidP="00233573">
      <w:pPr>
        <w:pStyle w:val="SCCNormalDoubleSpacing"/>
        <w:widowControl w:val="0"/>
        <w:spacing w:before="240" w:after="240" w:line="240" w:lineRule="auto"/>
        <w:ind w:left="540" w:hanging="540"/>
      </w:pPr>
      <w:r w:rsidRPr="00C070BC">
        <w:rPr>
          <w:i/>
        </w:rPr>
        <w:t>Code of Civil Procedure</w:t>
      </w:r>
      <w:r w:rsidRPr="00C070BC">
        <w:t xml:space="preserve">, CQLR, </w:t>
      </w:r>
      <w:r w:rsidR="002D255B" w:rsidRPr="00C070BC">
        <w:t>c. </w:t>
      </w:r>
      <w:r w:rsidRPr="00C070BC">
        <w:t>C</w:t>
      </w:r>
      <w:r w:rsidR="004B3C8A" w:rsidRPr="00C070BC">
        <w:noBreakHyphen/>
      </w:r>
      <w:r w:rsidRPr="00C070BC">
        <w:t>25, art</w:t>
      </w:r>
      <w:r w:rsidR="002D255B" w:rsidRPr="00C070BC">
        <w:t>s. </w:t>
      </w:r>
      <w:r w:rsidRPr="00C070BC">
        <w:t>805 [</w:t>
      </w:r>
      <w:proofErr w:type="gramStart"/>
      <w:r w:rsidRPr="00C070BC">
        <w:t>am</w:t>
      </w:r>
      <w:proofErr w:type="gramEnd"/>
      <w:r w:rsidRPr="00C070BC">
        <w:t xml:space="preserve">. 1992, </w:t>
      </w:r>
      <w:r w:rsidR="002D255B" w:rsidRPr="00C070BC">
        <w:t>c. </w:t>
      </w:r>
      <w:r w:rsidRPr="00C070BC">
        <w:t xml:space="preserve">57, </w:t>
      </w:r>
      <w:r w:rsidR="002D255B" w:rsidRPr="00C070BC">
        <w:t>s. </w:t>
      </w:r>
      <w:r w:rsidRPr="00C070BC">
        <w:t>367], 806.</w:t>
      </w:r>
    </w:p>
    <w:p w:rsidR="002318FB" w:rsidRPr="00C070BC" w:rsidRDefault="002318FB" w:rsidP="00233573">
      <w:pPr>
        <w:pStyle w:val="SCCNormalDoubleSpacing"/>
        <w:widowControl w:val="0"/>
        <w:spacing w:before="240" w:after="240" w:line="240" w:lineRule="auto"/>
        <w:ind w:left="540" w:hanging="540"/>
      </w:pPr>
      <w:r w:rsidRPr="00C070BC">
        <w:rPr>
          <w:i/>
        </w:rPr>
        <w:t>Code of Civil Procedure</w:t>
      </w:r>
      <w:r w:rsidRPr="00C070BC">
        <w:t xml:space="preserve">, CQLR, </w:t>
      </w:r>
      <w:r w:rsidR="002D255B" w:rsidRPr="00C070BC">
        <w:t>c. </w:t>
      </w:r>
      <w:r w:rsidRPr="00C070BC">
        <w:t>C</w:t>
      </w:r>
      <w:r w:rsidR="004B3C8A" w:rsidRPr="00C070BC">
        <w:noBreakHyphen/>
      </w:r>
      <w:r w:rsidRPr="00C070BC">
        <w:t xml:space="preserve">25.01, </w:t>
      </w:r>
      <w:r w:rsidR="004B3C8A" w:rsidRPr="00C070BC">
        <w:t>art. </w:t>
      </w:r>
      <w:r w:rsidRPr="00C070BC">
        <w:t>468.</w:t>
      </w:r>
    </w:p>
    <w:p w:rsidR="002318FB" w:rsidRPr="00C070BC" w:rsidRDefault="002318FB" w:rsidP="00233573">
      <w:pPr>
        <w:pStyle w:val="SCCNormalDoubleSpacing"/>
        <w:widowControl w:val="0"/>
        <w:spacing w:before="240" w:after="240" w:line="240" w:lineRule="auto"/>
        <w:ind w:left="540" w:hanging="540"/>
      </w:pPr>
      <w:r w:rsidRPr="00C070BC">
        <w:rPr>
          <w:i/>
        </w:rPr>
        <w:t>Code of Civil Procedure</w:t>
      </w:r>
      <w:r w:rsidRPr="00C070BC">
        <w:t xml:space="preserve">, S.Q. 1965, </w:t>
      </w:r>
      <w:r w:rsidR="002D255B" w:rsidRPr="00C070BC">
        <w:t>c. </w:t>
      </w:r>
      <w:r w:rsidRPr="00C070BC">
        <w:t xml:space="preserve">80, </w:t>
      </w:r>
      <w:r w:rsidR="004B3C8A" w:rsidRPr="00C070BC">
        <w:t>art. </w:t>
      </w:r>
      <w:r w:rsidRPr="00C070BC">
        <w:t>806.</w:t>
      </w:r>
    </w:p>
    <w:p w:rsidR="00525F8E" w:rsidRPr="00C070BC" w:rsidRDefault="00F50660" w:rsidP="00233573">
      <w:pPr>
        <w:pStyle w:val="SCCNormalDoubleSpacing"/>
        <w:widowControl w:val="0"/>
        <w:spacing w:before="240" w:after="240" w:line="240" w:lineRule="auto"/>
        <w:ind w:left="540" w:hanging="540"/>
        <w:rPr>
          <w:lang w:val="fr-CA"/>
        </w:rPr>
      </w:pPr>
      <w:r w:rsidRPr="00C070BC">
        <w:rPr>
          <w:i/>
        </w:rPr>
        <w:t>Declaration of the Rights of Man and of the Citizen</w:t>
      </w:r>
      <w:r w:rsidR="00525F8E" w:rsidRPr="00C070BC">
        <w:rPr>
          <w:i/>
        </w:rPr>
        <w:t xml:space="preserve"> </w:t>
      </w:r>
      <w:r w:rsidR="00525F8E" w:rsidRPr="00C070BC">
        <w:t>(1789), art</w:t>
      </w:r>
      <w:r w:rsidR="002D255B" w:rsidRPr="00C070BC">
        <w:t>s. </w:t>
      </w:r>
      <w:r w:rsidR="00456D0B">
        <w:rPr>
          <w:lang w:val="fr-CA"/>
        </w:rPr>
        <w:t>II, XVII</w:t>
      </w:r>
      <w:r w:rsidR="00525F8E" w:rsidRPr="00C070BC">
        <w:rPr>
          <w:lang w:val="fr-CA"/>
        </w:rPr>
        <w:t xml:space="preserve">. </w:t>
      </w:r>
    </w:p>
    <w:p w:rsidR="002318FB" w:rsidRPr="00C070BC" w:rsidRDefault="002318FB" w:rsidP="00233573">
      <w:pPr>
        <w:pStyle w:val="SCCNormalDoubleSpacing"/>
        <w:widowControl w:val="0"/>
        <w:spacing w:after="720" w:line="240" w:lineRule="auto"/>
        <w:ind w:left="547" w:hanging="547"/>
        <w:rPr>
          <w:lang w:val="fr-CA"/>
        </w:rPr>
      </w:pPr>
      <w:proofErr w:type="spellStart"/>
      <w:r w:rsidRPr="00C070BC">
        <w:rPr>
          <w:i/>
          <w:lang w:val="fr-CA"/>
        </w:rPr>
        <w:lastRenderedPageBreak/>
        <w:t>Interpretation</w:t>
      </w:r>
      <w:proofErr w:type="spellEnd"/>
      <w:r w:rsidRPr="00C070BC">
        <w:rPr>
          <w:i/>
          <w:lang w:val="fr-CA"/>
        </w:rPr>
        <w:t xml:space="preserve"> </w:t>
      </w:r>
      <w:proofErr w:type="spellStart"/>
      <w:r w:rsidRPr="00C070BC">
        <w:rPr>
          <w:i/>
          <w:lang w:val="fr-CA"/>
        </w:rPr>
        <w:t>Act</w:t>
      </w:r>
      <w:proofErr w:type="spellEnd"/>
      <w:r w:rsidRPr="00C070BC">
        <w:rPr>
          <w:lang w:val="fr-CA"/>
        </w:rPr>
        <w:t xml:space="preserve">, CQLR, </w:t>
      </w:r>
      <w:r w:rsidR="002D255B" w:rsidRPr="00C070BC">
        <w:rPr>
          <w:lang w:val="fr-CA"/>
        </w:rPr>
        <w:t>c. </w:t>
      </w:r>
      <w:r w:rsidRPr="00C070BC">
        <w:rPr>
          <w:lang w:val="fr-CA"/>
        </w:rPr>
        <w:t>I</w:t>
      </w:r>
      <w:r w:rsidR="004B3C8A" w:rsidRPr="00C070BC">
        <w:rPr>
          <w:lang w:val="fr-CA"/>
        </w:rPr>
        <w:noBreakHyphen/>
      </w:r>
      <w:r w:rsidRPr="00C070BC">
        <w:rPr>
          <w:lang w:val="fr-CA"/>
        </w:rPr>
        <w:t xml:space="preserve">16, </w:t>
      </w:r>
      <w:proofErr w:type="spellStart"/>
      <w:r w:rsidR="004B3C8A" w:rsidRPr="00C070BC">
        <w:rPr>
          <w:lang w:val="fr-CA"/>
        </w:rPr>
        <w:t>ss</w:t>
      </w:r>
      <w:proofErr w:type="spellEnd"/>
      <w:r w:rsidR="004B3C8A" w:rsidRPr="00C070BC">
        <w:rPr>
          <w:lang w:val="fr-CA"/>
        </w:rPr>
        <w:t>. </w:t>
      </w:r>
      <w:r w:rsidRPr="00C070BC">
        <w:rPr>
          <w:lang w:val="fr-CA"/>
        </w:rPr>
        <w:t>41.1, 50.</w:t>
      </w:r>
    </w:p>
    <w:p w:rsidR="002E6705" w:rsidRPr="00C070BC" w:rsidRDefault="002E6705" w:rsidP="00233573">
      <w:pPr>
        <w:pStyle w:val="SCCNormalDoubleSpacing"/>
        <w:widowControl w:val="0"/>
        <w:spacing w:after="720" w:line="240" w:lineRule="auto"/>
        <w:rPr>
          <w:lang w:val="fr-CA"/>
        </w:rPr>
      </w:pPr>
      <w:proofErr w:type="spellStart"/>
      <w:r w:rsidRPr="00C070BC">
        <w:rPr>
          <w:b/>
          <w:lang w:val="fr-CA"/>
        </w:rPr>
        <w:t>Authors</w:t>
      </w:r>
      <w:proofErr w:type="spellEnd"/>
      <w:r w:rsidRPr="00C070BC">
        <w:rPr>
          <w:b/>
          <w:lang w:val="fr-CA"/>
        </w:rPr>
        <w:t xml:space="preserve"> </w:t>
      </w:r>
      <w:proofErr w:type="spellStart"/>
      <w:r w:rsidRPr="00C070BC">
        <w:rPr>
          <w:b/>
          <w:lang w:val="fr-CA"/>
        </w:rPr>
        <w:t>Cited</w:t>
      </w:r>
      <w:proofErr w:type="spellEnd"/>
    </w:p>
    <w:p w:rsidR="002A7145" w:rsidRPr="00C070BC" w:rsidRDefault="002A7145" w:rsidP="00233573">
      <w:pPr>
        <w:pStyle w:val="SCCNormalDoubleSpacing"/>
        <w:widowControl w:val="0"/>
        <w:spacing w:before="240" w:after="240" w:line="240" w:lineRule="auto"/>
        <w:ind w:left="540" w:hanging="540"/>
        <w:rPr>
          <w:lang w:val="fr-CA"/>
        </w:rPr>
      </w:pPr>
      <w:r w:rsidRPr="00C070BC">
        <w:rPr>
          <w:lang w:val="fr-CA"/>
        </w:rPr>
        <w:t>Baudouin, Jean</w:t>
      </w:r>
      <w:r w:rsidR="004B3C8A" w:rsidRPr="00C070BC">
        <w:rPr>
          <w:lang w:val="fr-CA"/>
        </w:rPr>
        <w:noBreakHyphen/>
      </w:r>
      <w:r w:rsidRPr="00C070BC">
        <w:rPr>
          <w:lang w:val="fr-CA"/>
        </w:rPr>
        <w:t>Louis, et Pierre</w:t>
      </w:r>
      <w:r w:rsidR="004B3C8A" w:rsidRPr="00C070BC">
        <w:rPr>
          <w:lang w:val="fr-CA"/>
        </w:rPr>
        <w:noBreakHyphen/>
      </w:r>
      <w:r w:rsidRPr="00C070BC">
        <w:rPr>
          <w:lang w:val="fr-CA"/>
        </w:rPr>
        <w:t xml:space="preserve">Gabriel </w:t>
      </w:r>
      <w:proofErr w:type="spellStart"/>
      <w:r w:rsidRPr="00C070BC">
        <w:rPr>
          <w:lang w:val="fr-CA"/>
        </w:rPr>
        <w:t>Jobin</w:t>
      </w:r>
      <w:proofErr w:type="spellEnd"/>
      <w:r w:rsidRPr="00C070BC">
        <w:rPr>
          <w:lang w:val="fr-CA"/>
        </w:rPr>
        <w:t xml:space="preserve">. </w:t>
      </w:r>
      <w:r w:rsidRPr="00C070BC">
        <w:rPr>
          <w:i/>
          <w:lang w:val="fr-CA"/>
        </w:rPr>
        <w:t>Les obligations</w:t>
      </w:r>
      <w:r w:rsidRPr="00C070BC">
        <w:rPr>
          <w:lang w:val="fr-CA"/>
        </w:rPr>
        <w:t>, 7</w:t>
      </w:r>
      <w:r w:rsidRPr="00C070BC">
        <w:rPr>
          <w:vertAlign w:val="superscript"/>
          <w:lang w:val="fr-CA"/>
        </w:rPr>
        <w:t>e</w:t>
      </w:r>
      <w:r w:rsidR="00DA795F" w:rsidRPr="00C070BC">
        <w:rPr>
          <w:lang w:val="fr-CA"/>
        </w:rPr>
        <w:t> </w:t>
      </w:r>
      <w:r w:rsidRPr="00C070BC">
        <w:rPr>
          <w:lang w:val="fr-CA"/>
        </w:rPr>
        <w:t>éd., par Pierre</w:t>
      </w:r>
      <w:r w:rsidR="004B3C8A" w:rsidRPr="00C070BC">
        <w:rPr>
          <w:lang w:val="fr-CA"/>
        </w:rPr>
        <w:noBreakHyphen/>
      </w:r>
      <w:r w:rsidRPr="00C070BC">
        <w:rPr>
          <w:lang w:val="fr-CA"/>
        </w:rPr>
        <w:t xml:space="preserve">Gabriel </w:t>
      </w:r>
      <w:proofErr w:type="spellStart"/>
      <w:r w:rsidRPr="00C070BC">
        <w:rPr>
          <w:lang w:val="fr-CA"/>
        </w:rPr>
        <w:t>Jobin</w:t>
      </w:r>
      <w:proofErr w:type="spellEnd"/>
      <w:r w:rsidRPr="00C070BC">
        <w:rPr>
          <w:lang w:val="fr-CA"/>
        </w:rPr>
        <w:t xml:space="preserve"> et Nathalie Vézina. </w:t>
      </w:r>
      <w:proofErr w:type="spellStart"/>
      <w:r w:rsidR="007606DD" w:rsidRPr="00C070BC">
        <w:rPr>
          <w:lang w:val="fr-CA"/>
        </w:rPr>
        <w:t>Cowansville</w:t>
      </w:r>
      <w:proofErr w:type="spellEnd"/>
      <w:r w:rsidR="007606DD" w:rsidRPr="00C070BC">
        <w:rPr>
          <w:lang w:val="fr-CA"/>
        </w:rPr>
        <w:t xml:space="preserve">, </w:t>
      </w:r>
      <w:proofErr w:type="spellStart"/>
      <w:r w:rsidR="007606DD" w:rsidRPr="00C070BC">
        <w:rPr>
          <w:lang w:val="fr-CA"/>
        </w:rPr>
        <w:t>Qué</w:t>
      </w:r>
      <w:proofErr w:type="spellEnd"/>
      <w:r w:rsidRPr="00C070BC">
        <w:rPr>
          <w:lang w:val="fr-CA"/>
        </w:rPr>
        <w:t>.: Yvon Blais, 2013.</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t xml:space="preserve">Bigot de </w:t>
      </w:r>
      <w:proofErr w:type="spellStart"/>
      <w:r w:rsidRPr="00C070BC">
        <w:rPr>
          <w:lang w:val="fr-CA"/>
        </w:rPr>
        <w:t>Préameneu</w:t>
      </w:r>
      <w:proofErr w:type="spellEnd"/>
      <w:r w:rsidRPr="00C070BC">
        <w:rPr>
          <w:lang w:val="fr-CA"/>
        </w:rPr>
        <w:t>, Félix Julien Jean. “Motifs exposés au Corps législa</w:t>
      </w:r>
      <w:r w:rsidR="00DA795F" w:rsidRPr="00C070BC">
        <w:rPr>
          <w:lang w:val="fr-CA"/>
        </w:rPr>
        <w:t>tif sur la loi, titre XX, livre </w:t>
      </w:r>
      <w:r w:rsidRPr="00C070BC">
        <w:rPr>
          <w:lang w:val="fr-CA"/>
        </w:rPr>
        <w:t xml:space="preserve">III du Code civil, relative à la Prescription”, dans </w:t>
      </w:r>
      <w:r w:rsidRPr="00C070BC">
        <w:rPr>
          <w:i/>
          <w:lang w:val="fr-CA"/>
        </w:rPr>
        <w:t>Recueil des lois composant le Code civil</w:t>
      </w:r>
      <w:r w:rsidRPr="00C070BC">
        <w:rPr>
          <w:lang w:val="fr-CA"/>
        </w:rPr>
        <w:t xml:space="preserve">, </w:t>
      </w:r>
      <w:r w:rsidR="004B3C8A" w:rsidRPr="00C070BC">
        <w:rPr>
          <w:lang w:val="fr-CA"/>
        </w:rPr>
        <w:t>vol. </w:t>
      </w:r>
      <w:r w:rsidRPr="00C070BC">
        <w:rPr>
          <w:lang w:val="fr-CA"/>
        </w:rPr>
        <w:t xml:space="preserve">9, Paris: </w:t>
      </w:r>
      <w:proofErr w:type="spellStart"/>
      <w:r w:rsidRPr="00C070BC">
        <w:rPr>
          <w:lang w:val="fr-CA"/>
        </w:rPr>
        <w:t>Rondonneau</w:t>
      </w:r>
      <w:proofErr w:type="spellEnd"/>
      <w:r w:rsidRPr="00C070BC">
        <w:rPr>
          <w:lang w:val="fr-CA"/>
        </w:rPr>
        <w:t>, 1804, 26.</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t>Brochu, François. “Critique d</w:t>
      </w:r>
      <w:r w:rsidR="00830ED7">
        <w:rPr>
          <w:lang w:val="fr-CA"/>
        </w:rPr>
        <w:t>’</w:t>
      </w:r>
      <w:r w:rsidRPr="00C070BC">
        <w:rPr>
          <w:lang w:val="fr-CA"/>
        </w:rPr>
        <w:t xml:space="preserve">une réforme cosmétique en matière de publicité foncière” (2003), 105 </w:t>
      </w:r>
      <w:r w:rsidR="00830ED7">
        <w:rPr>
          <w:i/>
          <w:lang w:val="fr-CA"/>
        </w:rPr>
        <w:t>R. du N. </w:t>
      </w:r>
      <w:r w:rsidRPr="00C070BC">
        <w:rPr>
          <w:lang w:val="fr-CA"/>
        </w:rPr>
        <w:t>761.</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t xml:space="preserve">Brochu, François. “Le mécanisme de fonctionnement de la publicité des droits en vertu du nouveau </w:t>
      </w:r>
      <w:r w:rsidRPr="00C070BC">
        <w:rPr>
          <w:i/>
          <w:lang w:val="fr-CA"/>
        </w:rPr>
        <w:t>Code civil du Québec</w:t>
      </w:r>
      <w:r w:rsidRPr="00C070BC">
        <w:rPr>
          <w:lang w:val="fr-CA"/>
        </w:rPr>
        <w:t xml:space="preserve">, et le rôle des principaux intervenants” (1993), 34 </w:t>
      </w:r>
      <w:r w:rsidRPr="00C070BC">
        <w:rPr>
          <w:i/>
          <w:lang w:val="fr-CA"/>
        </w:rPr>
        <w:t>C. de D.</w:t>
      </w:r>
      <w:r w:rsidRPr="00C070BC">
        <w:rPr>
          <w:lang w:val="fr-CA"/>
        </w:rPr>
        <w:t xml:space="preserve"> 949.</w:t>
      </w:r>
    </w:p>
    <w:p w:rsidR="003E0A2B" w:rsidRPr="00C070BC" w:rsidRDefault="003E0A2B" w:rsidP="00233573">
      <w:pPr>
        <w:pStyle w:val="SCCNormalDoubleSpacing"/>
        <w:widowControl w:val="0"/>
        <w:spacing w:before="240" w:after="240" w:line="240" w:lineRule="auto"/>
        <w:ind w:left="540" w:hanging="540"/>
        <w:rPr>
          <w:lang w:val="fr-CA"/>
        </w:rPr>
      </w:pPr>
      <w:r w:rsidRPr="00C070BC">
        <w:rPr>
          <w:lang w:val="fr-CA"/>
        </w:rPr>
        <w:t>Brochu</w:t>
      </w:r>
      <w:r w:rsidR="00495B13" w:rsidRPr="00C070BC">
        <w:rPr>
          <w:lang w:val="fr-CA"/>
        </w:rPr>
        <w:t>, François.</w:t>
      </w:r>
      <w:r w:rsidRPr="00C070BC">
        <w:rPr>
          <w:lang w:val="fr-CA"/>
        </w:rPr>
        <w:t xml:space="preserve"> </w:t>
      </w:r>
      <w:r w:rsidR="00495B13" w:rsidRPr="00C070BC">
        <w:rPr>
          <w:i/>
          <w:lang w:val="fr-CA"/>
        </w:rPr>
        <w:t>M</w:t>
      </w:r>
      <w:r w:rsidR="00456D0B">
        <w:rPr>
          <w:i/>
          <w:lang w:val="fr-CA"/>
        </w:rPr>
        <w:t>émoire portant sur le P</w:t>
      </w:r>
      <w:r w:rsidRPr="00C070BC">
        <w:rPr>
          <w:i/>
          <w:lang w:val="fr-CA"/>
        </w:rPr>
        <w:t xml:space="preserve">rojet de loi </w:t>
      </w:r>
      <w:r w:rsidR="00495B13" w:rsidRPr="00C070BC">
        <w:rPr>
          <w:i/>
          <w:lang w:val="fr-CA"/>
        </w:rPr>
        <w:t>n</w:t>
      </w:r>
      <w:r w:rsidR="00495B13" w:rsidRPr="00C070BC">
        <w:rPr>
          <w:i/>
          <w:vertAlign w:val="superscript"/>
          <w:lang w:val="fr-CA"/>
        </w:rPr>
        <w:t>o</w:t>
      </w:r>
      <w:r w:rsidR="000D54F5">
        <w:rPr>
          <w:i/>
          <w:lang w:val="fr-CA"/>
        </w:rPr>
        <w:t> </w:t>
      </w:r>
      <w:r w:rsidRPr="00C070BC">
        <w:rPr>
          <w:i/>
          <w:lang w:val="fr-CA"/>
        </w:rPr>
        <w:t>35,</w:t>
      </w:r>
      <w:r w:rsidRPr="00C070BC">
        <w:rPr>
          <w:lang w:val="fr-CA"/>
        </w:rPr>
        <w:t xml:space="preserve"> </w:t>
      </w:r>
      <w:r w:rsidRPr="00C070BC">
        <w:rPr>
          <w:i/>
          <w:lang w:val="fr-CA"/>
        </w:rPr>
        <w:t>Loi modifiant le Code civil en matière d</w:t>
      </w:r>
      <w:r w:rsidR="00830ED7">
        <w:rPr>
          <w:i/>
          <w:lang w:val="fr-CA"/>
        </w:rPr>
        <w:t>’</w:t>
      </w:r>
      <w:r w:rsidRPr="00C070BC">
        <w:rPr>
          <w:i/>
          <w:lang w:val="fr-CA"/>
        </w:rPr>
        <w:t>état civil, de succession</w:t>
      </w:r>
      <w:r w:rsidR="00495B13" w:rsidRPr="00C070BC">
        <w:rPr>
          <w:i/>
          <w:lang w:val="fr-CA"/>
        </w:rPr>
        <w:t>s</w:t>
      </w:r>
      <w:r w:rsidRPr="00C070BC">
        <w:rPr>
          <w:i/>
          <w:lang w:val="fr-CA"/>
        </w:rPr>
        <w:t xml:space="preserve"> et de publicité des droits</w:t>
      </w:r>
      <w:r w:rsidR="00495B13" w:rsidRPr="00C070BC">
        <w:rPr>
          <w:lang w:val="fr-CA"/>
        </w:rPr>
        <w:t>,</w:t>
      </w:r>
      <w:r w:rsidRPr="00C070BC">
        <w:rPr>
          <w:lang w:val="fr-CA"/>
        </w:rPr>
        <w:t xml:space="preserve"> Commission des institutions, </w:t>
      </w:r>
      <w:r w:rsidR="00495B13" w:rsidRPr="00C070BC">
        <w:rPr>
          <w:lang w:val="fr-CA"/>
        </w:rPr>
        <w:t xml:space="preserve">Consultations particulières et auditions publiques, </w:t>
      </w:r>
      <w:r w:rsidRPr="00C070BC">
        <w:rPr>
          <w:lang w:val="fr-CA"/>
        </w:rPr>
        <w:t>23</w:t>
      </w:r>
      <w:r w:rsidR="007449CE" w:rsidRPr="00C070BC">
        <w:rPr>
          <w:lang w:val="fr-CA"/>
        </w:rPr>
        <w:t> </w:t>
      </w:r>
      <w:r w:rsidRPr="00C070BC">
        <w:rPr>
          <w:lang w:val="fr-CA"/>
        </w:rPr>
        <w:t>mai 2013.</w:t>
      </w:r>
      <w:r w:rsidR="00495B13" w:rsidRPr="00C070BC">
        <w:rPr>
          <w:lang w:val="fr-CA"/>
        </w:rPr>
        <w:t xml:space="preserve"> Québec, Collection numérique de la Bibliothèque de</w:t>
      </w:r>
      <w:r w:rsidR="00A71866" w:rsidRPr="00C070BC">
        <w:rPr>
          <w:lang w:val="fr-CA"/>
        </w:rPr>
        <w:t xml:space="preserve"> l</w:t>
      </w:r>
      <w:r w:rsidR="00830ED7">
        <w:rPr>
          <w:lang w:val="fr-CA"/>
        </w:rPr>
        <w:t>’</w:t>
      </w:r>
      <w:r w:rsidR="00A71866" w:rsidRPr="00C070BC">
        <w:rPr>
          <w:lang w:val="fr-CA"/>
        </w:rPr>
        <w:t>Assemblée nationale (online</w:t>
      </w:r>
      <w:r w:rsidR="00495B13" w:rsidRPr="00C070BC">
        <w:rPr>
          <w:lang w:val="fr-CA"/>
        </w:rPr>
        <w:t xml:space="preserve">: </w:t>
      </w:r>
      <w:r w:rsidR="00495B13" w:rsidRPr="008F354C">
        <w:rPr>
          <w:lang w:val="fr-CA"/>
        </w:rPr>
        <w:t>https://www.bibliotheque.assnat.qc.ca/DepotNumerique_v2/AffichageNotice.aspx?idn=78453</w:t>
      </w:r>
      <w:r w:rsidR="00E760FE" w:rsidRPr="00C070BC">
        <w:rPr>
          <w:lang w:val="fr-CA"/>
        </w:rPr>
        <w:t>;</w:t>
      </w:r>
      <w:r w:rsidR="00495B13" w:rsidRPr="00C070BC">
        <w:rPr>
          <w:lang w:val="fr-CA"/>
        </w:rPr>
        <w:t xml:space="preserve"> </w:t>
      </w:r>
      <w:proofErr w:type="spellStart"/>
      <w:r w:rsidR="00495B13" w:rsidRPr="00C070BC">
        <w:rPr>
          <w:lang w:val="fr-CA"/>
        </w:rPr>
        <w:t>archived</w:t>
      </w:r>
      <w:proofErr w:type="spellEnd"/>
      <w:r w:rsidR="00495B13" w:rsidRPr="00C070BC">
        <w:rPr>
          <w:lang w:val="fr-CA"/>
        </w:rPr>
        <w:t xml:space="preserve"> version: </w:t>
      </w:r>
      <w:r w:rsidR="00153C75">
        <w:rPr>
          <w:lang w:val="fr-CA"/>
        </w:rPr>
        <w:fldChar w:fldCharType="begin"/>
      </w:r>
      <w:r w:rsidR="00153C75">
        <w:rPr>
          <w:lang w:val="fr-CA"/>
        </w:rPr>
        <w:instrText xml:space="preserve"> HYPERLINK "</w:instrText>
      </w:r>
      <w:r w:rsidR="00153C75" w:rsidRPr="00FD4276">
        <w:rPr>
          <w:lang w:val="fr-CA"/>
        </w:rPr>
        <w:instrText>http://www.scc-csc.ca/cso-dce/2017SCC-CSC22_fra.pdf</w:instrText>
      </w:r>
      <w:r w:rsidR="00153C75">
        <w:rPr>
          <w:lang w:val="fr-CA"/>
        </w:rPr>
        <w:instrText xml:space="preserve">" </w:instrText>
      </w:r>
      <w:r w:rsidR="00153C75">
        <w:rPr>
          <w:lang w:val="fr-CA"/>
        </w:rPr>
        <w:fldChar w:fldCharType="separate"/>
      </w:r>
      <w:r w:rsidR="00153C75" w:rsidRPr="00ED395E">
        <w:rPr>
          <w:rStyle w:val="Hyperlink"/>
          <w:lang w:val="fr-CA"/>
        </w:rPr>
        <w:t>http://www.scc-csc.ca/cso-dce/2017SCC-CSC22_fra.pdf</w:t>
      </w:r>
      <w:r w:rsidR="00153C75">
        <w:rPr>
          <w:lang w:val="fr-CA"/>
        </w:rPr>
        <w:fldChar w:fldCharType="end"/>
      </w:r>
      <w:bookmarkStart w:id="0" w:name="_GoBack"/>
      <w:bookmarkEnd w:id="0"/>
      <w:r w:rsidR="00495B13" w:rsidRPr="00C070BC">
        <w:rPr>
          <w:lang w:val="fr-CA"/>
        </w:rPr>
        <w:t>).</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t xml:space="preserve">Brochu, François. “Nouvelle posologie pour la prescription acquisitive immobilière” (2003), 105 </w:t>
      </w:r>
      <w:r w:rsidRPr="00C070BC">
        <w:rPr>
          <w:i/>
          <w:lang w:val="fr-CA"/>
        </w:rPr>
        <w:t>R. du N.</w:t>
      </w:r>
      <w:r w:rsidR="00830ED7">
        <w:rPr>
          <w:lang w:val="fr-CA"/>
        </w:rPr>
        <w:t> </w:t>
      </w:r>
      <w:r w:rsidRPr="00C070BC">
        <w:rPr>
          <w:lang w:val="fr-CA"/>
        </w:rPr>
        <w:t>735.</w:t>
      </w:r>
    </w:p>
    <w:p w:rsidR="007D23AE" w:rsidRPr="00C070BC" w:rsidRDefault="00BD48E3" w:rsidP="00233573">
      <w:pPr>
        <w:pStyle w:val="SCCNormalDoubleSpacing"/>
        <w:widowControl w:val="0"/>
        <w:spacing w:before="240" w:after="240" w:line="240" w:lineRule="auto"/>
        <w:ind w:left="540" w:hanging="540"/>
        <w:rPr>
          <w:lang w:val="fr-CA"/>
        </w:rPr>
      </w:pPr>
      <w:r w:rsidRPr="00C070BC">
        <w:rPr>
          <w:lang w:val="fr-CA"/>
        </w:rPr>
        <w:t xml:space="preserve">Brochu, </w:t>
      </w:r>
      <w:r w:rsidR="007D23AE" w:rsidRPr="00C070BC">
        <w:rPr>
          <w:lang w:val="fr-CA"/>
        </w:rPr>
        <w:t>François</w:t>
      </w:r>
      <w:r w:rsidRPr="00C070BC">
        <w:rPr>
          <w:lang w:val="fr-CA"/>
        </w:rPr>
        <w:t>.</w:t>
      </w:r>
      <w:r w:rsidR="007D23AE" w:rsidRPr="00C070BC">
        <w:rPr>
          <w:lang w:val="fr-CA"/>
        </w:rPr>
        <w:t xml:space="preserve"> “P</w:t>
      </w:r>
      <w:r w:rsidRPr="00C070BC">
        <w:rPr>
          <w:lang w:val="fr-CA"/>
        </w:rPr>
        <w:t>rescription acquisitive en 2007</w:t>
      </w:r>
      <w:r w:rsidR="007D23AE" w:rsidRPr="00C070BC">
        <w:rPr>
          <w:lang w:val="fr-CA"/>
        </w:rPr>
        <w:t>” (2008)</w:t>
      </w:r>
      <w:r w:rsidRPr="00C070BC">
        <w:rPr>
          <w:lang w:val="fr-CA"/>
        </w:rPr>
        <w:t>,</w:t>
      </w:r>
      <w:r w:rsidR="007D23AE" w:rsidRPr="00C070BC">
        <w:rPr>
          <w:lang w:val="fr-CA"/>
        </w:rPr>
        <w:t xml:space="preserve"> 110 </w:t>
      </w:r>
      <w:r w:rsidR="007D23AE" w:rsidRPr="00C070BC">
        <w:rPr>
          <w:i/>
          <w:lang w:val="fr-CA"/>
        </w:rPr>
        <w:t>R. du N.</w:t>
      </w:r>
      <w:r w:rsidR="00830ED7">
        <w:rPr>
          <w:lang w:val="fr-CA"/>
        </w:rPr>
        <w:t> </w:t>
      </w:r>
      <w:r w:rsidRPr="00C070BC">
        <w:rPr>
          <w:lang w:val="fr-CA"/>
        </w:rPr>
        <w:t>225</w:t>
      </w:r>
      <w:r w:rsidR="007D23AE" w:rsidRPr="00C070BC">
        <w:rPr>
          <w:lang w:val="fr-CA"/>
        </w:rPr>
        <w:t>.</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t xml:space="preserve">Brochu, François. “Prescription acquisitive et publicité des droits” (2005), 107 </w:t>
      </w:r>
      <w:r w:rsidRPr="00C070BC">
        <w:rPr>
          <w:i/>
          <w:lang w:val="fr-CA"/>
        </w:rPr>
        <w:t>R. du N.</w:t>
      </w:r>
      <w:r w:rsidR="00830ED7">
        <w:rPr>
          <w:lang w:val="fr-CA"/>
        </w:rPr>
        <w:t> </w:t>
      </w:r>
      <w:r w:rsidRPr="00C070BC">
        <w:rPr>
          <w:lang w:val="fr-CA"/>
        </w:rPr>
        <w:t>203.</w:t>
      </w:r>
    </w:p>
    <w:p w:rsidR="00CC0161" w:rsidRPr="00C070BC" w:rsidRDefault="00CC0161" w:rsidP="00233573">
      <w:pPr>
        <w:pStyle w:val="SCCNormalDoubleSpacing"/>
        <w:widowControl w:val="0"/>
        <w:spacing w:before="240" w:after="240" w:line="240" w:lineRule="auto"/>
        <w:ind w:left="540" w:hanging="540"/>
        <w:rPr>
          <w:lang w:val="fr-CA"/>
        </w:rPr>
      </w:pPr>
      <w:r w:rsidRPr="00C070BC">
        <w:rPr>
          <w:lang w:val="fr-CA"/>
        </w:rPr>
        <w:t xml:space="preserve">Brochu, François. “Prescription acquisitive et publicité des droits” (2006), 108 </w:t>
      </w:r>
      <w:r w:rsidRPr="00C070BC">
        <w:rPr>
          <w:i/>
          <w:lang w:val="fr-CA"/>
        </w:rPr>
        <w:t>R. du N.</w:t>
      </w:r>
      <w:r w:rsidR="00830ED7">
        <w:rPr>
          <w:lang w:val="fr-CA"/>
        </w:rPr>
        <w:t> </w:t>
      </w:r>
      <w:r w:rsidRPr="00C070BC">
        <w:rPr>
          <w:lang w:val="fr-CA"/>
        </w:rPr>
        <w:t>197.</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t xml:space="preserve">Brochu, François. “Revue de jurisprudence 2012 en prescription acquisitive et en publicité des droits” (2013), 115 </w:t>
      </w:r>
      <w:r w:rsidRPr="00C070BC">
        <w:rPr>
          <w:i/>
          <w:lang w:val="fr-CA"/>
        </w:rPr>
        <w:t>R. du N.</w:t>
      </w:r>
      <w:r w:rsidR="00830ED7">
        <w:rPr>
          <w:lang w:val="fr-CA"/>
        </w:rPr>
        <w:t> </w:t>
      </w:r>
      <w:r w:rsidRPr="00C070BC">
        <w:rPr>
          <w:lang w:val="fr-CA"/>
        </w:rPr>
        <w:t>205.</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t xml:space="preserve">Cantin </w:t>
      </w:r>
      <w:proofErr w:type="spellStart"/>
      <w:r w:rsidRPr="00C070BC">
        <w:rPr>
          <w:lang w:val="fr-CA"/>
        </w:rPr>
        <w:t>Cumyn</w:t>
      </w:r>
      <w:proofErr w:type="spellEnd"/>
      <w:r w:rsidRPr="00C070BC">
        <w:rPr>
          <w:lang w:val="fr-CA"/>
        </w:rPr>
        <w:t xml:space="preserve">, Madeleine. “Les principaux éléments de la révision des règles de la prescription” (1989), 30 </w:t>
      </w:r>
      <w:r w:rsidRPr="00C070BC">
        <w:rPr>
          <w:i/>
          <w:lang w:val="fr-CA"/>
        </w:rPr>
        <w:t>C. de D.</w:t>
      </w:r>
      <w:r w:rsidR="00830ED7">
        <w:rPr>
          <w:lang w:val="fr-CA"/>
        </w:rPr>
        <w:t> </w:t>
      </w:r>
      <w:r w:rsidRPr="00C070BC">
        <w:rPr>
          <w:lang w:val="fr-CA"/>
        </w:rPr>
        <w:t>611.</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lastRenderedPageBreak/>
        <w:t xml:space="preserve">Carbonnier, Jean. </w:t>
      </w:r>
      <w:r w:rsidRPr="00C070BC">
        <w:rPr>
          <w:i/>
          <w:lang w:val="fr-CA"/>
        </w:rPr>
        <w:t>Droit civil</w:t>
      </w:r>
      <w:r w:rsidRPr="00C070BC">
        <w:rPr>
          <w:lang w:val="fr-CA"/>
        </w:rPr>
        <w:t xml:space="preserve">, </w:t>
      </w:r>
      <w:r w:rsidR="004B3C8A" w:rsidRPr="00C070BC">
        <w:rPr>
          <w:lang w:val="fr-CA"/>
        </w:rPr>
        <w:t>vol. </w:t>
      </w:r>
      <w:r w:rsidRPr="00C070BC">
        <w:rPr>
          <w:lang w:val="fr-CA"/>
        </w:rPr>
        <w:t>I. Paris: Quadrige/PUF, 2004.</w:t>
      </w:r>
    </w:p>
    <w:p w:rsidR="006F0D5E" w:rsidRPr="00C070BC" w:rsidRDefault="003064FB" w:rsidP="00233573">
      <w:pPr>
        <w:pStyle w:val="SCCNormalDoubleSpacing"/>
        <w:widowControl w:val="0"/>
        <w:spacing w:before="240" w:after="240" w:line="240" w:lineRule="auto"/>
        <w:ind w:left="540" w:hanging="540"/>
      </w:pPr>
      <w:r w:rsidRPr="00C070BC">
        <w:rPr>
          <w:lang w:val="fr-CA"/>
        </w:rPr>
        <w:t>Côté, Pierre</w:t>
      </w:r>
      <w:r w:rsidR="004B3C8A" w:rsidRPr="00C070BC">
        <w:rPr>
          <w:lang w:val="fr-CA"/>
        </w:rPr>
        <w:noBreakHyphen/>
      </w:r>
      <w:r w:rsidRPr="00C070BC">
        <w:rPr>
          <w:lang w:val="fr-CA"/>
        </w:rPr>
        <w:t xml:space="preserve">André, in collaboration </w:t>
      </w:r>
      <w:proofErr w:type="spellStart"/>
      <w:r w:rsidRPr="00C070BC">
        <w:rPr>
          <w:lang w:val="fr-CA"/>
        </w:rPr>
        <w:t>with</w:t>
      </w:r>
      <w:proofErr w:type="spellEnd"/>
      <w:r w:rsidRPr="00C070BC">
        <w:rPr>
          <w:lang w:val="fr-CA"/>
        </w:rPr>
        <w:t xml:space="preserve"> Stéphane </w:t>
      </w:r>
      <w:proofErr w:type="spellStart"/>
      <w:r w:rsidRPr="00C070BC">
        <w:rPr>
          <w:lang w:val="fr-CA"/>
        </w:rPr>
        <w:t>Beaulac</w:t>
      </w:r>
      <w:proofErr w:type="spellEnd"/>
      <w:r w:rsidRPr="00C070BC">
        <w:rPr>
          <w:lang w:val="fr-CA"/>
        </w:rPr>
        <w:t xml:space="preserve"> and Mathieu </w:t>
      </w:r>
      <w:proofErr w:type="spellStart"/>
      <w:r w:rsidRPr="00C070BC">
        <w:rPr>
          <w:lang w:val="fr-CA"/>
        </w:rPr>
        <w:t>Devinat</w:t>
      </w:r>
      <w:proofErr w:type="spellEnd"/>
      <w:r w:rsidRPr="00C070BC">
        <w:rPr>
          <w:lang w:val="fr-CA"/>
        </w:rPr>
        <w:t xml:space="preserve">. </w:t>
      </w:r>
      <w:r w:rsidRPr="00C070BC">
        <w:rPr>
          <w:i/>
        </w:rPr>
        <w:t>The Interpretation of Legislation in Canada</w:t>
      </w:r>
      <w:r w:rsidRPr="00C070BC">
        <w:t xml:space="preserve">, 4th ed. Toronto: Carswell, 2011. </w:t>
      </w:r>
    </w:p>
    <w:p w:rsidR="006F0D5E" w:rsidRPr="00C070BC" w:rsidRDefault="006F0D5E" w:rsidP="00233573">
      <w:pPr>
        <w:pStyle w:val="SCCNormalDoubleSpacing"/>
        <w:widowControl w:val="0"/>
        <w:spacing w:before="240" w:after="240" w:line="240" w:lineRule="auto"/>
        <w:ind w:left="540" w:hanging="540"/>
        <w:rPr>
          <w:lang w:val="fr-CA"/>
        </w:rPr>
      </w:pPr>
      <w:proofErr w:type="spellStart"/>
      <w:r w:rsidRPr="00C070BC">
        <w:rPr>
          <w:lang w:val="fr-CA"/>
        </w:rPr>
        <w:t>Deslauriers</w:t>
      </w:r>
      <w:proofErr w:type="spellEnd"/>
      <w:r w:rsidRPr="00C070BC">
        <w:rPr>
          <w:lang w:val="fr-CA"/>
        </w:rPr>
        <w:t xml:space="preserve">, Jacques. </w:t>
      </w:r>
      <w:r w:rsidRPr="00C070BC">
        <w:rPr>
          <w:i/>
          <w:lang w:val="fr-CA"/>
        </w:rPr>
        <w:t>Vente, louage, contrat d</w:t>
      </w:r>
      <w:r w:rsidR="00830ED7">
        <w:rPr>
          <w:i/>
          <w:lang w:val="fr-CA"/>
        </w:rPr>
        <w:t>’</w:t>
      </w:r>
      <w:r w:rsidRPr="00C070BC">
        <w:rPr>
          <w:i/>
          <w:lang w:val="fr-CA"/>
        </w:rPr>
        <w:t>entreprise ou de service</w:t>
      </w:r>
      <w:r w:rsidRPr="00C070BC">
        <w:rPr>
          <w:lang w:val="fr-CA"/>
        </w:rPr>
        <w:t>, 2</w:t>
      </w:r>
      <w:r w:rsidRPr="00C070BC">
        <w:rPr>
          <w:vertAlign w:val="superscript"/>
          <w:lang w:val="fr-CA"/>
        </w:rPr>
        <w:t>e</w:t>
      </w:r>
      <w:r w:rsidR="003064FB" w:rsidRPr="00C070BC">
        <w:rPr>
          <w:lang w:val="fr-CA"/>
        </w:rPr>
        <w:t xml:space="preserve"> éd. Montréal:</w:t>
      </w:r>
      <w:r w:rsidRPr="00C070BC">
        <w:rPr>
          <w:lang w:val="fr-CA"/>
        </w:rPr>
        <w:t xml:space="preserve"> Wilson &amp; Lafleur, 2013.</w:t>
      </w:r>
    </w:p>
    <w:p w:rsidR="0055609E" w:rsidRPr="00C070BC" w:rsidRDefault="0055609E" w:rsidP="00233573">
      <w:pPr>
        <w:pStyle w:val="SCCNormalDoubleSpacing"/>
        <w:widowControl w:val="0"/>
        <w:spacing w:before="240" w:after="240" w:line="240" w:lineRule="auto"/>
        <w:ind w:left="540" w:hanging="540"/>
        <w:rPr>
          <w:lang w:val="fr-CA"/>
        </w:rPr>
      </w:pPr>
      <w:r w:rsidRPr="00C070BC">
        <w:rPr>
          <w:lang w:val="fr-CA"/>
        </w:rPr>
        <w:t>Duma</w:t>
      </w:r>
      <w:r w:rsidR="00C12E66" w:rsidRPr="00C070BC">
        <w:rPr>
          <w:lang w:val="fr-CA"/>
        </w:rPr>
        <w:t>i</w:t>
      </w:r>
      <w:r w:rsidRPr="00C070BC">
        <w:rPr>
          <w:lang w:val="fr-CA"/>
        </w:rPr>
        <w:t>s</w:t>
      </w:r>
      <w:r w:rsidR="003378DA" w:rsidRPr="00C070BC">
        <w:rPr>
          <w:lang w:val="fr-CA"/>
        </w:rPr>
        <w:t>,</w:t>
      </w:r>
      <w:r w:rsidRPr="00C070BC">
        <w:rPr>
          <w:lang w:val="fr-CA"/>
        </w:rPr>
        <w:t xml:space="preserve"> </w:t>
      </w:r>
      <w:r w:rsidR="003378DA" w:rsidRPr="00C070BC">
        <w:rPr>
          <w:lang w:val="fr-CA"/>
        </w:rPr>
        <w:t xml:space="preserve">Daniel. </w:t>
      </w:r>
      <w:r w:rsidR="00C12E66" w:rsidRPr="00C070BC">
        <w:rPr>
          <w:lang w:val="fr-CA"/>
        </w:rPr>
        <w:t>“</w:t>
      </w:r>
      <w:r w:rsidRPr="00C070BC">
        <w:rPr>
          <w:lang w:val="fr-CA"/>
        </w:rPr>
        <w:t>La prescription</w:t>
      </w:r>
      <w:r w:rsidR="00C12E66" w:rsidRPr="00C070BC">
        <w:rPr>
          <w:lang w:val="fr-CA"/>
        </w:rPr>
        <w:t>”</w:t>
      </w:r>
      <w:r w:rsidRPr="00C070BC">
        <w:rPr>
          <w:lang w:val="fr-CA"/>
        </w:rPr>
        <w:t xml:space="preserve">, </w:t>
      </w:r>
      <w:r w:rsidR="003378DA" w:rsidRPr="00C070BC">
        <w:rPr>
          <w:lang w:val="fr-CA"/>
        </w:rPr>
        <w:t>dans Collection de droit</w:t>
      </w:r>
      <w:r w:rsidR="008A599E" w:rsidRPr="00C070BC">
        <w:rPr>
          <w:i/>
          <w:lang w:val="fr-CA"/>
        </w:rPr>
        <w:t xml:space="preserve"> </w:t>
      </w:r>
      <w:r w:rsidR="008A599E" w:rsidRPr="00C070BC">
        <w:rPr>
          <w:lang w:val="fr-CA"/>
        </w:rPr>
        <w:t>de l</w:t>
      </w:r>
      <w:r w:rsidR="00830ED7">
        <w:rPr>
          <w:lang w:val="fr-CA"/>
        </w:rPr>
        <w:t>’</w:t>
      </w:r>
      <w:r w:rsidR="008A599E" w:rsidRPr="00C070BC">
        <w:rPr>
          <w:lang w:val="fr-CA"/>
        </w:rPr>
        <w:t>École du Barreau du Québec</w:t>
      </w:r>
      <w:r w:rsidRPr="00C070BC">
        <w:rPr>
          <w:lang w:val="fr-CA"/>
        </w:rPr>
        <w:t xml:space="preserve">, </w:t>
      </w:r>
      <w:r w:rsidR="004B3C8A" w:rsidRPr="00C070BC">
        <w:rPr>
          <w:lang w:val="fr-CA"/>
        </w:rPr>
        <w:t>vol. </w:t>
      </w:r>
      <w:r w:rsidR="003378DA" w:rsidRPr="00C070BC">
        <w:rPr>
          <w:lang w:val="fr-CA"/>
        </w:rPr>
        <w:t>4</w:t>
      </w:r>
      <w:r w:rsidR="00C12E66" w:rsidRPr="00C070BC">
        <w:rPr>
          <w:lang w:val="fr-CA"/>
        </w:rPr>
        <w:t xml:space="preserve">, </w:t>
      </w:r>
      <w:r w:rsidR="008A599E" w:rsidRPr="00C070BC">
        <w:rPr>
          <w:i/>
          <w:lang w:val="fr-CA"/>
        </w:rPr>
        <w:t>Responsabilité</w:t>
      </w:r>
      <w:r w:rsidRPr="00C070BC">
        <w:rPr>
          <w:lang w:val="fr-CA"/>
        </w:rPr>
        <w:t>.</w:t>
      </w:r>
      <w:r w:rsidR="008A599E" w:rsidRPr="00C070BC">
        <w:rPr>
          <w:lang w:val="fr-CA"/>
        </w:rPr>
        <w:t xml:space="preserve"> Montréal: Yvon Blais, 2016, 219. </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t xml:space="preserve">Gervais, Céline. </w:t>
      </w:r>
      <w:r w:rsidRPr="00C070BC">
        <w:rPr>
          <w:i/>
          <w:lang w:val="fr-CA"/>
        </w:rPr>
        <w:t>La prescription</w:t>
      </w:r>
      <w:r w:rsidR="003064FB" w:rsidRPr="00C070BC">
        <w:rPr>
          <w:lang w:val="fr-CA"/>
        </w:rPr>
        <w:t>.</w:t>
      </w:r>
      <w:r w:rsidRPr="00C070BC">
        <w:rPr>
          <w:lang w:val="fr-CA"/>
        </w:rPr>
        <w:t xml:space="preserve"> </w:t>
      </w:r>
      <w:proofErr w:type="spellStart"/>
      <w:r w:rsidRPr="00C070BC">
        <w:rPr>
          <w:lang w:val="fr-CA"/>
        </w:rPr>
        <w:t>Cowansvi</w:t>
      </w:r>
      <w:r w:rsidR="003064FB" w:rsidRPr="00C070BC">
        <w:rPr>
          <w:lang w:val="fr-CA"/>
        </w:rPr>
        <w:t>lle</w:t>
      </w:r>
      <w:proofErr w:type="spellEnd"/>
      <w:r w:rsidRPr="00C070BC">
        <w:rPr>
          <w:lang w:val="fr-CA"/>
        </w:rPr>
        <w:t xml:space="preserve">, </w:t>
      </w:r>
      <w:proofErr w:type="spellStart"/>
      <w:r w:rsidR="007606DD" w:rsidRPr="00C070BC">
        <w:rPr>
          <w:lang w:val="fr-CA"/>
        </w:rPr>
        <w:t>Qué</w:t>
      </w:r>
      <w:proofErr w:type="spellEnd"/>
      <w:r w:rsidR="003064FB" w:rsidRPr="00C070BC">
        <w:rPr>
          <w:lang w:val="fr-CA"/>
        </w:rPr>
        <w:t>.:</w:t>
      </w:r>
      <w:r w:rsidR="002318FB" w:rsidRPr="00C070BC">
        <w:rPr>
          <w:lang w:val="fr-CA"/>
        </w:rPr>
        <w:t xml:space="preserve"> </w:t>
      </w:r>
      <w:r w:rsidRPr="00C070BC">
        <w:rPr>
          <w:lang w:val="fr-CA"/>
        </w:rPr>
        <w:t>Yvon Blais, 2009.</w:t>
      </w:r>
    </w:p>
    <w:p w:rsidR="006F0D5E" w:rsidRPr="00C070BC" w:rsidRDefault="006F0D5E" w:rsidP="00233573">
      <w:pPr>
        <w:pStyle w:val="SCCNormalDoubleSpacing"/>
        <w:widowControl w:val="0"/>
        <w:spacing w:before="240" w:after="240" w:line="240" w:lineRule="auto"/>
        <w:ind w:left="540" w:hanging="540"/>
        <w:rPr>
          <w:lang w:val="fr-CA"/>
        </w:rPr>
      </w:pPr>
      <w:proofErr w:type="spellStart"/>
      <w:r w:rsidRPr="00C070BC">
        <w:rPr>
          <w:lang w:val="fr-CA"/>
        </w:rPr>
        <w:t>Gidrol</w:t>
      </w:r>
      <w:proofErr w:type="spellEnd"/>
      <w:r w:rsidR="004B3C8A" w:rsidRPr="00C070BC">
        <w:rPr>
          <w:lang w:val="fr-CA"/>
        </w:rPr>
        <w:noBreakHyphen/>
      </w:r>
      <w:r w:rsidRPr="00C070BC">
        <w:rPr>
          <w:lang w:val="fr-CA"/>
        </w:rPr>
        <w:t xml:space="preserve">Mistral, </w:t>
      </w:r>
      <w:r w:rsidR="003064FB" w:rsidRPr="00C070BC">
        <w:rPr>
          <w:lang w:val="fr-CA"/>
        </w:rPr>
        <w:t>Gaële. “</w:t>
      </w:r>
      <w:r w:rsidRPr="00C070BC">
        <w:rPr>
          <w:lang w:val="fr-CA"/>
        </w:rPr>
        <w:t>Publicité des droi</w:t>
      </w:r>
      <w:r w:rsidR="003064FB" w:rsidRPr="00C070BC">
        <w:rPr>
          <w:lang w:val="fr-CA"/>
        </w:rPr>
        <w:t>ts et prescription acquisitive: des liaisons dangereuses?”</w:t>
      </w:r>
      <w:r w:rsidRPr="00C070BC">
        <w:rPr>
          <w:lang w:val="fr-CA"/>
        </w:rPr>
        <w:t xml:space="preserve"> (2016), 46 </w:t>
      </w:r>
      <w:r w:rsidRPr="00C070BC">
        <w:rPr>
          <w:i/>
          <w:lang w:val="fr-CA"/>
        </w:rPr>
        <w:t>R.G.D.</w:t>
      </w:r>
      <w:r w:rsidRPr="00C070BC">
        <w:rPr>
          <w:lang w:val="fr-CA"/>
        </w:rPr>
        <w:t xml:space="preserve"> 303.</w:t>
      </w:r>
    </w:p>
    <w:p w:rsidR="00525F8E" w:rsidRPr="00C070BC" w:rsidRDefault="00525F8E" w:rsidP="00233573">
      <w:pPr>
        <w:pStyle w:val="SCCNormalDoubleSpacing"/>
        <w:widowControl w:val="0"/>
        <w:spacing w:before="240" w:after="240" w:line="240" w:lineRule="auto"/>
        <w:ind w:left="540" w:hanging="540"/>
        <w:rPr>
          <w:lang w:val="fr-CA"/>
        </w:rPr>
      </w:pPr>
      <w:proofErr w:type="spellStart"/>
      <w:r w:rsidRPr="00C070BC">
        <w:rPr>
          <w:lang w:val="fr-CA"/>
        </w:rPr>
        <w:t>Kasirer</w:t>
      </w:r>
      <w:proofErr w:type="spellEnd"/>
      <w:r w:rsidR="00367DBD" w:rsidRPr="00C070BC">
        <w:rPr>
          <w:lang w:val="fr-CA"/>
        </w:rPr>
        <w:t>,</w:t>
      </w:r>
      <w:r w:rsidRPr="00C070BC">
        <w:rPr>
          <w:lang w:val="fr-CA"/>
        </w:rPr>
        <w:t xml:space="preserve"> Nicholas</w:t>
      </w:r>
      <w:r w:rsidR="00367DBD" w:rsidRPr="00C070BC">
        <w:rPr>
          <w:lang w:val="fr-CA"/>
        </w:rPr>
        <w:t>. “</w:t>
      </w:r>
      <w:r w:rsidRPr="00C070BC">
        <w:rPr>
          <w:lang w:val="fr-CA"/>
        </w:rPr>
        <w:t>Portalis</w:t>
      </w:r>
      <w:r w:rsidR="00367DBD" w:rsidRPr="00C070BC">
        <w:rPr>
          <w:lang w:val="fr-CA"/>
        </w:rPr>
        <w:t xml:space="preserve"> </w:t>
      </w:r>
      <w:proofErr w:type="spellStart"/>
      <w:r w:rsidR="00367DBD" w:rsidRPr="00C070BC">
        <w:rPr>
          <w:lang w:val="fr-CA"/>
        </w:rPr>
        <w:t>Now</w:t>
      </w:r>
      <w:proofErr w:type="spellEnd"/>
      <w:r w:rsidR="00367DBD" w:rsidRPr="00C070BC">
        <w:rPr>
          <w:lang w:val="fr-CA"/>
        </w:rPr>
        <w:t>”</w:t>
      </w:r>
      <w:r w:rsidRPr="00C070BC">
        <w:rPr>
          <w:lang w:val="fr-CA"/>
        </w:rPr>
        <w:t xml:space="preserve">, </w:t>
      </w:r>
      <w:r w:rsidR="00367DBD" w:rsidRPr="00C070BC">
        <w:rPr>
          <w:lang w:val="fr-CA"/>
        </w:rPr>
        <w:t xml:space="preserve">dans Nicholas </w:t>
      </w:r>
      <w:proofErr w:type="spellStart"/>
      <w:r w:rsidR="00367DBD" w:rsidRPr="00C070BC">
        <w:rPr>
          <w:lang w:val="fr-CA"/>
        </w:rPr>
        <w:t>Kasirer</w:t>
      </w:r>
      <w:proofErr w:type="spellEnd"/>
      <w:r w:rsidR="00367DBD" w:rsidRPr="00C070BC">
        <w:rPr>
          <w:lang w:val="fr-CA"/>
        </w:rPr>
        <w:t xml:space="preserve">, </w:t>
      </w:r>
      <w:proofErr w:type="spellStart"/>
      <w:proofErr w:type="gramStart"/>
      <w:r w:rsidR="00367DBD" w:rsidRPr="00C070BC">
        <w:rPr>
          <w:lang w:val="fr-CA"/>
        </w:rPr>
        <w:t>dir</w:t>
      </w:r>
      <w:proofErr w:type="spellEnd"/>
      <w:r w:rsidR="00367DBD" w:rsidRPr="00C070BC">
        <w:rPr>
          <w:lang w:val="fr-CA"/>
        </w:rPr>
        <w:t>.,</w:t>
      </w:r>
      <w:proofErr w:type="gramEnd"/>
      <w:r w:rsidR="00367DBD" w:rsidRPr="00C070BC">
        <w:rPr>
          <w:lang w:val="fr-CA"/>
        </w:rPr>
        <w:t xml:space="preserve"> </w:t>
      </w:r>
      <w:r w:rsidRPr="00C070BC">
        <w:rPr>
          <w:i/>
          <w:lang w:val="fr-CA"/>
        </w:rPr>
        <w:t>Le droit civil, avant tout un style?</w:t>
      </w:r>
      <w:r w:rsidR="00367DBD" w:rsidRPr="00C070BC">
        <w:rPr>
          <w:lang w:val="fr-CA"/>
        </w:rPr>
        <w:t xml:space="preserve"> Montréal: Thémis, 2003, 1. </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t xml:space="preserve">Laflamme, Lucie, Marie </w:t>
      </w:r>
      <w:proofErr w:type="spellStart"/>
      <w:r w:rsidRPr="00C070BC">
        <w:rPr>
          <w:lang w:val="fr-CA"/>
        </w:rPr>
        <w:t>Galarneau</w:t>
      </w:r>
      <w:proofErr w:type="spellEnd"/>
      <w:r w:rsidRPr="00C070BC">
        <w:rPr>
          <w:lang w:val="fr-CA"/>
        </w:rPr>
        <w:t xml:space="preserve"> et Pierre </w:t>
      </w:r>
      <w:proofErr w:type="spellStart"/>
      <w:r w:rsidRPr="00C070BC">
        <w:rPr>
          <w:lang w:val="fr-CA"/>
        </w:rPr>
        <w:t>Duchaine</w:t>
      </w:r>
      <w:proofErr w:type="spellEnd"/>
      <w:r w:rsidRPr="00C070BC">
        <w:rPr>
          <w:lang w:val="fr-CA"/>
        </w:rPr>
        <w:t xml:space="preserve">. </w:t>
      </w:r>
      <w:r w:rsidRPr="00C070BC">
        <w:rPr>
          <w:i/>
          <w:lang w:val="fr-CA"/>
        </w:rPr>
        <w:t>L</w:t>
      </w:r>
      <w:r w:rsidR="00830ED7">
        <w:rPr>
          <w:i/>
          <w:lang w:val="fr-CA"/>
        </w:rPr>
        <w:t>’</w:t>
      </w:r>
      <w:r w:rsidRPr="00C070BC">
        <w:rPr>
          <w:i/>
          <w:lang w:val="fr-CA"/>
        </w:rPr>
        <w:t>examen des titres immobiliers</w:t>
      </w:r>
      <w:r w:rsidRPr="00C070BC">
        <w:rPr>
          <w:lang w:val="fr-CA"/>
        </w:rPr>
        <w:t>, 4</w:t>
      </w:r>
      <w:r w:rsidRPr="00C070BC">
        <w:rPr>
          <w:vertAlign w:val="superscript"/>
          <w:lang w:val="fr-CA"/>
        </w:rPr>
        <w:t>e</w:t>
      </w:r>
      <w:r w:rsidRPr="00C070BC">
        <w:rPr>
          <w:lang w:val="fr-CA"/>
        </w:rPr>
        <w:t xml:space="preserve"> éd. </w:t>
      </w:r>
      <w:proofErr w:type="spellStart"/>
      <w:r w:rsidR="003064FB" w:rsidRPr="00C070BC">
        <w:rPr>
          <w:lang w:val="fr-CA"/>
        </w:rPr>
        <w:t>Cowansville</w:t>
      </w:r>
      <w:proofErr w:type="spellEnd"/>
      <w:r w:rsidRPr="00C070BC">
        <w:rPr>
          <w:lang w:val="fr-CA"/>
        </w:rPr>
        <w:t xml:space="preserve">, </w:t>
      </w:r>
      <w:proofErr w:type="spellStart"/>
      <w:r w:rsidR="007606DD" w:rsidRPr="00C070BC">
        <w:rPr>
          <w:lang w:val="fr-CA"/>
        </w:rPr>
        <w:t>Qué</w:t>
      </w:r>
      <w:proofErr w:type="spellEnd"/>
      <w:r w:rsidR="003064FB" w:rsidRPr="00C070BC">
        <w:rPr>
          <w:lang w:val="fr-CA"/>
        </w:rPr>
        <w:t xml:space="preserve">.: </w:t>
      </w:r>
      <w:r w:rsidRPr="00C070BC">
        <w:rPr>
          <w:lang w:val="fr-CA"/>
        </w:rPr>
        <w:t>Yvon Blais, 2014.</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t>Lafond, Pierre</w:t>
      </w:r>
      <w:r w:rsidR="004B3C8A" w:rsidRPr="00C070BC">
        <w:rPr>
          <w:lang w:val="fr-CA"/>
        </w:rPr>
        <w:noBreakHyphen/>
      </w:r>
      <w:r w:rsidRPr="00C070BC">
        <w:rPr>
          <w:lang w:val="fr-CA"/>
        </w:rPr>
        <w:t xml:space="preserve">Claude. </w:t>
      </w:r>
      <w:r w:rsidRPr="00C070BC">
        <w:rPr>
          <w:i/>
          <w:lang w:val="fr-CA"/>
        </w:rPr>
        <w:t>Précis de droit des biens</w:t>
      </w:r>
      <w:r w:rsidRPr="00C070BC">
        <w:rPr>
          <w:lang w:val="fr-CA"/>
        </w:rPr>
        <w:t>, 2</w:t>
      </w:r>
      <w:r w:rsidRPr="00C070BC">
        <w:rPr>
          <w:vertAlign w:val="superscript"/>
          <w:lang w:val="fr-CA"/>
        </w:rPr>
        <w:t>e</w:t>
      </w:r>
      <w:r w:rsidR="003064FB" w:rsidRPr="00C070BC">
        <w:rPr>
          <w:lang w:val="fr-CA"/>
        </w:rPr>
        <w:t xml:space="preserve"> éd. Montréal:</w:t>
      </w:r>
      <w:r w:rsidRPr="00C070BC">
        <w:rPr>
          <w:lang w:val="fr-CA"/>
        </w:rPr>
        <w:t xml:space="preserve"> Thémis, 2007.</w:t>
      </w:r>
    </w:p>
    <w:p w:rsidR="0055609E" w:rsidRPr="00C070BC" w:rsidRDefault="0055609E" w:rsidP="00233573">
      <w:pPr>
        <w:pStyle w:val="SCCNormalDoubleSpacing"/>
        <w:widowControl w:val="0"/>
        <w:spacing w:before="240" w:after="240" w:line="240" w:lineRule="auto"/>
        <w:ind w:left="540" w:hanging="540"/>
        <w:rPr>
          <w:lang w:val="fr-CA"/>
        </w:rPr>
      </w:pPr>
      <w:r w:rsidRPr="00C070BC">
        <w:rPr>
          <w:lang w:val="fr-CA"/>
        </w:rPr>
        <w:t>Lambert</w:t>
      </w:r>
      <w:r w:rsidR="005A7102" w:rsidRPr="00C070BC">
        <w:rPr>
          <w:lang w:val="fr-CA"/>
        </w:rPr>
        <w:t>,</w:t>
      </w:r>
      <w:r w:rsidRPr="00C070BC">
        <w:rPr>
          <w:lang w:val="fr-CA"/>
        </w:rPr>
        <w:t xml:space="preserve"> Édith</w:t>
      </w:r>
      <w:r w:rsidR="005A7102" w:rsidRPr="00C070BC">
        <w:rPr>
          <w:lang w:val="fr-CA"/>
        </w:rPr>
        <w:t xml:space="preserve">. </w:t>
      </w:r>
      <w:r w:rsidR="003378DA" w:rsidRPr="00C070BC">
        <w:rPr>
          <w:i/>
          <w:lang w:val="fr-CA"/>
        </w:rPr>
        <w:t>La prescription (</w:t>
      </w:r>
      <w:r w:rsidR="004B3C8A" w:rsidRPr="00C070BC">
        <w:rPr>
          <w:i/>
          <w:lang w:val="fr-CA"/>
        </w:rPr>
        <w:t>Art. </w:t>
      </w:r>
      <w:r w:rsidRPr="00C070BC">
        <w:rPr>
          <w:i/>
          <w:lang w:val="fr-CA"/>
        </w:rPr>
        <w:t xml:space="preserve">2875 à 2933 </w:t>
      </w:r>
      <w:proofErr w:type="spellStart"/>
      <w:r w:rsidRPr="00C070BC">
        <w:rPr>
          <w:i/>
          <w:lang w:val="fr-CA"/>
        </w:rPr>
        <w:t>C.c.Q</w:t>
      </w:r>
      <w:proofErr w:type="spellEnd"/>
      <w:r w:rsidRPr="00C070BC">
        <w:rPr>
          <w:i/>
          <w:lang w:val="fr-CA"/>
        </w:rPr>
        <w:t>.)</w:t>
      </w:r>
      <w:r w:rsidR="007F3173" w:rsidRPr="00C070BC">
        <w:rPr>
          <w:lang w:val="fr-CA"/>
        </w:rPr>
        <w:t>, coll. Commentaires sur le Code civil du Québec (DCQ).</w:t>
      </w:r>
      <w:r w:rsidRPr="00C070BC">
        <w:rPr>
          <w:lang w:val="fr-CA"/>
        </w:rPr>
        <w:t xml:space="preserve"> </w:t>
      </w:r>
      <w:proofErr w:type="spellStart"/>
      <w:r w:rsidRPr="00C070BC">
        <w:rPr>
          <w:lang w:val="fr-CA"/>
        </w:rPr>
        <w:t>Cowansville</w:t>
      </w:r>
      <w:proofErr w:type="spellEnd"/>
      <w:r w:rsidR="007F3173" w:rsidRPr="00C070BC">
        <w:rPr>
          <w:lang w:val="fr-CA"/>
        </w:rPr>
        <w:t xml:space="preserve">, </w:t>
      </w:r>
      <w:proofErr w:type="spellStart"/>
      <w:r w:rsidR="007606DD" w:rsidRPr="00C070BC">
        <w:rPr>
          <w:lang w:val="fr-CA"/>
        </w:rPr>
        <w:t>Qué</w:t>
      </w:r>
      <w:proofErr w:type="spellEnd"/>
      <w:r w:rsidR="007F3173" w:rsidRPr="00C070BC">
        <w:rPr>
          <w:lang w:val="fr-CA"/>
        </w:rPr>
        <w:t>.:</w:t>
      </w:r>
      <w:r w:rsidRPr="00C070BC">
        <w:rPr>
          <w:lang w:val="fr-CA"/>
        </w:rPr>
        <w:t xml:space="preserve"> Yvon Blais, 2014.</w:t>
      </w:r>
    </w:p>
    <w:p w:rsidR="007D23AE" w:rsidRPr="00C070BC" w:rsidRDefault="007D23AE" w:rsidP="00233573">
      <w:pPr>
        <w:pStyle w:val="SCCNormalDoubleSpacing"/>
        <w:widowControl w:val="0"/>
        <w:spacing w:before="240" w:after="240" w:line="240" w:lineRule="auto"/>
        <w:ind w:left="540" w:hanging="540"/>
        <w:rPr>
          <w:lang w:val="fr-CA"/>
        </w:rPr>
      </w:pPr>
      <w:proofErr w:type="spellStart"/>
      <w:r w:rsidRPr="00C070BC">
        <w:rPr>
          <w:lang w:val="fr-CA"/>
        </w:rPr>
        <w:t>Lametti</w:t>
      </w:r>
      <w:proofErr w:type="spellEnd"/>
      <w:r w:rsidR="00761330" w:rsidRPr="00C070BC">
        <w:rPr>
          <w:lang w:val="fr-CA"/>
        </w:rPr>
        <w:t>,</w:t>
      </w:r>
      <w:r w:rsidRPr="00C070BC">
        <w:rPr>
          <w:lang w:val="fr-CA"/>
        </w:rPr>
        <w:t xml:space="preserve"> David</w:t>
      </w:r>
      <w:r w:rsidR="00761330" w:rsidRPr="00C070BC">
        <w:rPr>
          <w:lang w:val="fr-CA"/>
        </w:rPr>
        <w:t>.</w:t>
      </w:r>
      <w:r w:rsidRPr="00C070BC">
        <w:rPr>
          <w:lang w:val="fr-CA"/>
        </w:rPr>
        <w:t xml:space="preserve"> “Prescription </w:t>
      </w:r>
      <w:r w:rsidRPr="00C070BC">
        <w:rPr>
          <w:i/>
          <w:lang w:val="fr-CA"/>
        </w:rPr>
        <w:t>à la recherche du temps</w:t>
      </w:r>
      <w:r w:rsidRPr="00C070BC">
        <w:rPr>
          <w:lang w:val="fr-CA"/>
        </w:rPr>
        <w:t xml:space="preserve">: In </w:t>
      </w:r>
      <w:proofErr w:type="spellStart"/>
      <w:r w:rsidRPr="00C070BC">
        <w:rPr>
          <w:lang w:val="fr-CA"/>
        </w:rPr>
        <w:t>Search</w:t>
      </w:r>
      <w:proofErr w:type="spellEnd"/>
      <w:r w:rsidRPr="00C070BC">
        <w:rPr>
          <w:lang w:val="fr-CA"/>
        </w:rPr>
        <w:t xml:space="preserve"> of </w:t>
      </w:r>
      <w:proofErr w:type="spellStart"/>
      <w:r w:rsidRPr="00C070BC">
        <w:rPr>
          <w:lang w:val="fr-CA"/>
        </w:rPr>
        <w:t>Past</w:t>
      </w:r>
      <w:proofErr w:type="spellEnd"/>
      <w:r w:rsidRPr="00C070BC">
        <w:rPr>
          <w:lang w:val="fr-CA"/>
        </w:rPr>
        <w:t xml:space="preserve"> Time (or Recognition of </w:t>
      </w:r>
      <w:proofErr w:type="spellStart"/>
      <w:r w:rsidRPr="00C070BC">
        <w:rPr>
          <w:lang w:val="fr-CA"/>
        </w:rPr>
        <w:t>Things</w:t>
      </w:r>
      <w:proofErr w:type="spellEnd"/>
      <w:r w:rsidRPr="00C070BC">
        <w:rPr>
          <w:lang w:val="fr-CA"/>
        </w:rPr>
        <w:t xml:space="preserve"> </w:t>
      </w:r>
      <w:proofErr w:type="spellStart"/>
      <w:r w:rsidRPr="00C070BC">
        <w:rPr>
          <w:lang w:val="fr-CA"/>
        </w:rPr>
        <w:t>Past</w:t>
      </w:r>
      <w:proofErr w:type="spellEnd"/>
      <w:r w:rsidR="00761330" w:rsidRPr="00C070BC">
        <w:rPr>
          <w:lang w:val="fr-CA"/>
        </w:rPr>
        <w:t>)</w:t>
      </w:r>
      <w:r w:rsidRPr="00C070BC">
        <w:rPr>
          <w:lang w:val="fr-CA"/>
        </w:rPr>
        <w:t>”</w:t>
      </w:r>
      <w:r w:rsidR="00761330" w:rsidRPr="00C070BC">
        <w:rPr>
          <w:lang w:val="fr-CA"/>
        </w:rPr>
        <w:t>, dans Marie</w:t>
      </w:r>
      <w:r w:rsidR="004B3C8A" w:rsidRPr="00C070BC">
        <w:rPr>
          <w:lang w:val="fr-CA"/>
        </w:rPr>
        <w:noBreakHyphen/>
      </w:r>
      <w:r w:rsidR="00761330" w:rsidRPr="00C070BC">
        <w:rPr>
          <w:lang w:val="fr-CA"/>
        </w:rPr>
        <w:t xml:space="preserve">France Bureau et Mathieu </w:t>
      </w:r>
      <w:proofErr w:type="spellStart"/>
      <w:r w:rsidR="00761330" w:rsidRPr="00C070BC">
        <w:rPr>
          <w:lang w:val="fr-CA"/>
        </w:rPr>
        <w:t>Devinat</w:t>
      </w:r>
      <w:proofErr w:type="spellEnd"/>
      <w:r w:rsidR="00761330" w:rsidRPr="00C070BC">
        <w:rPr>
          <w:lang w:val="fr-CA"/>
        </w:rPr>
        <w:t xml:space="preserve">, </w:t>
      </w:r>
      <w:proofErr w:type="spellStart"/>
      <w:proofErr w:type="gramStart"/>
      <w:r w:rsidR="00761330" w:rsidRPr="00C070BC">
        <w:rPr>
          <w:lang w:val="fr-CA"/>
        </w:rPr>
        <w:t>dir</w:t>
      </w:r>
      <w:proofErr w:type="spellEnd"/>
      <w:r w:rsidR="00761330" w:rsidRPr="00C070BC">
        <w:rPr>
          <w:lang w:val="fr-CA"/>
        </w:rPr>
        <w:t>.</w:t>
      </w:r>
      <w:r w:rsidRPr="00C070BC">
        <w:rPr>
          <w:lang w:val="fr-CA"/>
        </w:rPr>
        <w:t>,</w:t>
      </w:r>
      <w:proofErr w:type="gramEnd"/>
      <w:r w:rsidRPr="00C070BC">
        <w:rPr>
          <w:lang w:val="fr-CA"/>
        </w:rPr>
        <w:t xml:space="preserve"> </w:t>
      </w:r>
      <w:r w:rsidR="00761330" w:rsidRPr="00C070BC">
        <w:rPr>
          <w:i/>
          <w:lang w:val="fr-CA"/>
        </w:rPr>
        <w:t>Les l</w:t>
      </w:r>
      <w:r w:rsidRPr="00C070BC">
        <w:rPr>
          <w:i/>
          <w:lang w:val="fr-CA"/>
        </w:rPr>
        <w:t>ivres du Code civil du Québec</w:t>
      </w:r>
      <w:r w:rsidR="00761330" w:rsidRPr="00C070BC">
        <w:rPr>
          <w:lang w:val="fr-CA"/>
        </w:rPr>
        <w:t>.</w:t>
      </w:r>
      <w:r w:rsidRPr="00C070BC">
        <w:rPr>
          <w:lang w:val="fr-CA"/>
        </w:rPr>
        <w:t xml:space="preserve"> Sherbrooke</w:t>
      </w:r>
      <w:r w:rsidR="00F136CB" w:rsidRPr="00C070BC">
        <w:rPr>
          <w:lang w:val="fr-CA"/>
        </w:rPr>
        <w:t>:</w:t>
      </w:r>
      <w:r w:rsidRPr="00C070BC">
        <w:rPr>
          <w:lang w:val="fr-CA"/>
        </w:rPr>
        <w:t xml:space="preserve"> </w:t>
      </w:r>
      <w:r w:rsidR="00761330" w:rsidRPr="00C070BC">
        <w:rPr>
          <w:lang w:val="fr-CA"/>
        </w:rPr>
        <w:t>Revue de droit de l</w:t>
      </w:r>
      <w:r w:rsidR="00830ED7">
        <w:rPr>
          <w:lang w:val="fr-CA"/>
        </w:rPr>
        <w:t>’</w:t>
      </w:r>
      <w:r w:rsidR="00761330" w:rsidRPr="00C070BC">
        <w:rPr>
          <w:lang w:val="fr-CA"/>
        </w:rPr>
        <w:t>Université de Sherbrooke</w:t>
      </w:r>
      <w:r w:rsidRPr="00C070BC">
        <w:rPr>
          <w:lang w:val="fr-CA"/>
        </w:rPr>
        <w:t>, 2012</w:t>
      </w:r>
      <w:r w:rsidR="00761330" w:rsidRPr="00C070BC">
        <w:rPr>
          <w:lang w:val="fr-CA"/>
        </w:rPr>
        <w:t>, 267</w:t>
      </w:r>
      <w:r w:rsidR="003E0A2B" w:rsidRPr="00C070BC">
        <w:rPr>
          <w:lang w:val="fr-CA"/>
        </w:rPr>
        <w:t>.</w:t>
      </w:r>
    </w:p>
    <w:p w:rsidR="006F0D5E" w:rsidRPr="00C070BC" w:rsidRDefault="006F0D5E" w:rsidP="00233573">
      <w:pPr>
        <w:pStyle w:val="SCCNormalDoubleSpacing"/>
        <w:widowControl w:val="0"/>
        <w:spacing w:before="240" w:after="240" w:line="240" w:lineRule="auto"/>
        <w:ind w:left="540" w:hanging="540"/>
        <w:rPr>
          <w:lang w:val="fr-CA"/>
        </w:rPr>
      </w:pPr>
      <w:proofErr w:type="spellStart"/>
      <w:r w:rsidRPr="00C070BC">
        <w:rPr>
          <w:lang w:val="fr-CA"/>
        </w:rPr>
        <w:t>Lamontagne</w:t>
      </w:r>
      <w:proofErr w:type="spellEnd"/>
      <w:r w:rsidRPr="00C070BC">
        <w:rPr>
          <w:lang w:val="fr-CA"/>
        </w:rPr>
        <w:t>, Denys</w:t>
      </w:r>
      <w:r w:rsidR="004B3C8A" w:rsidRPr="00C070BC">
        <w:rPr>
          <w:lang w:val="fr-CA"/>
        </w:rPr>
        <w:noBreakHyphen/>
      </w:r>
      <w:r w:rsidRPr="00C070BC">
        <w:rPr>
          <w:lang w:val="fr-CA"/>
        </w:rPr>
        <w:t xml:space="preserve">Claude. </w:t>
      </w:r>
      <w:r w:rsidRPr="00C070BC">
        <w:rPr>
          <w:i/>
          <w:lang w:val="fr-CA"/>
        </w:rPr>
        <w:t>Biens et propriété</w:t>
      </w:r>
      <w:r w:rsidRPr="00C070BC">
        <w:rPr>
          <w:lang w:val="fr-CA"/>
        </w:rPr>
        <w:t>, 7</w:t>
      </w:r>
      <w:r w:rsidRPr="00C070BC">
        <w:rPr>
          <w:vertAlign w:val="superscript"/>
          <w:lang w:val="fr-CA"/>
        </w:rPr>
        <w:t>e</w:t>
      </w:r>
      <w:r w:rsidRPr="00C070BC">
        <w:rPr>
          <w:lang w:val="fr-CA"/>
        </w:rPr>
        <w:t xml:space="preserve"> éd. </w:t>
      </w:r>
      <w:proofErr w:type="spellStart"/>
      <w:r w:rsidR="003064FB" w:rsidRPr="00C070BC">
        <w:rPr>
          <w:lang w:val="fr-CA"/>
        </w:rPr>
        <w:t>Cowansville</w:t>
      </w:r>
      <w:proofErr w:type="spellEnd"/>
      <w:r w:rsidRPr="00C070BC">
        <w:rPr>
          <w:lang w:val="fr-CA"/>
        </w:rPr>
        <w:t xml:space="preserve">, </w:t>
      </w:r>
      <w:proofErr w:type="spellStart"/>
      <w:r w:rsidR="00F136CB" w:rsidRPr="00C070BC">
        <w:rPr>
          <w:lang w:val="fr-CA"/>
        </w:rPr>
        <w:t>Qué</w:t>
      </w:r>
      <w:proofErr w:type="spellEnd"/>
      <w:r w:rsidR="003064FB" w:rsidRPr="00C070BC">
        <w:rPr>
          <w:lang w:val="fr-CA"/>
        </w:rPr>
        <w:t xml:space="preserve">.: </w:t>
      </w:r>
      <w:r w:rsidRPr="00C070BC">
        <w:rPr>
          <w:lang w:val="fr-CA"/>
        </w:rPr>
        <w:t>Yvon Blais, 2013.</w:t>
      </w:r>
    </w:p>
    <w:p w:rsidR="006F0D5E" w:rsidRPr="00C070BC" w:rsidRDefault="006F0D5E" w:rsidP="00233573">
      <w:pPr>
        <w:pStyle w:val="SCCNormalDoubleSpacing"/>
        <w:widowControl w:val="0"/>
        <w:spacing w:before="240" w:after="240" w:line="240" w:lineRule="auto"/>
        <w:ind w:left="540" w:hanging="540"/>
        <w:rPr>
          <w:lang w:val="fr-CA"/>
        </w:rPr>
      </w:pPr>
      <w:proofErr w:type="spellStart"/>
      <w:r w:rsidRPr="00C070BC">
        <w:rPr>
          <w:lang w:val="fr-CA"/>
        </w:rPr>
        <w:t>Lamontagne</w:t>
      </w:r>
      <w:proofErr w:type="spellEnd"/>
      <w:r w:rsidRPr="00C070BC">
        <w:rPr>
          <w:lang w:val="fr-CA"/>
        </w:rPr>
        <w:t>, Denys</w:t>
      </w:r>
      <w:r w:rsidR="004B3C8A" w:rsidRPr="00C070BC">
        <w:rPr>
          <w:lang w:val="fr-CA"/>
        </w:rPr>
        <w:noBreakHyphen/>
      </w:r>
      <w:r w:rsidRPr="00C070BC">
        <w:rPr>
          <w:lang w:val="fr-CA"/>
        </w:rPr>
        <w:t xml:space="preserve">Claude. </w:t>
      </w:r>
      <w:r w:rsidRPr="00C070BC">
        <w:rPr>
          <w:i/>
          <w:lang w:val="fr-CA"/>
        </w:rPr>
        <w:t>Droit de la vente</w:t>
      </w:r>
      <w:r w:rsidRPr="00C070BC">
        <w:rPr>
          <w:lang w:val="fr-CA"/>
        </w:rPr>
        <w:t>, 3</w:t>
      </w:r>
      <w:r w:rsidRPr="00C070BC">
        <w:rPr>
          <w:vertAlign w:val="superscript"/>
          <w:lang w:val="fr-CA"/>
        </w:rPr>
        <w:t>e</w:t>
      </w:r>
      <w:r w:rsidR="003064FB" w:rsidRPr="00C070BC">
        <w:rPr>
          <w:lang w:val="fr-CA"/>
        </w:rPr>
        <w:t xml:space="preserve"> éd. </w:t>
      </w:r>
      <w:proofErr w:type="spellStart"/>
      <w:r w:rsidR="003064FB" w:rsidRPr="00C070BC">
        <w:rPr>
          <w:lang w:val="fr-CA"/>
        </w:rPr>
        <w:t>Cowansville</w:t>
      </w:r>
      <w:proofErr w:type="spellEnd"/>
      <w:r w:rsidRPr="00C070BC">
        <w:rPr>
          <w:lang w:val="fr-CA"/>
        </w:rPr>
        <w:t xml:space="preserve">, </w:t>
      </w:r>
      <w:proofErr w:type="spellStart"/>
      <w:r w:rsidR="00F136CB" w:rsidRPr="00C070BC">
        <w:rPr>
          <w:lang w:val="fr-CA"/>
        </w:rPr>
        <w:t>Qué</w:t>
      </w:r>
      <w:proofErr w:type="spellEnd"/>
      <w:r w:rsidR="003064FB" w:rsidRPr="00C070BC">
        <w:rPr>
          <w:lang w:val="fr-CA"/>
        </w:rPr>
        <w:t xml:space="preserve">.: </w:t>
      </w:r>
      <w:r w:rsidRPr="00C070BC">
        <w:rPr>
          <w:lang w:val="fr-CA"/>
        </w:rPr>
        <w:t>Yvon Blais, 2005.</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t xml:space="preserve">Martineau, Pierre. </w:t>
      </w:r>
      <w:r w:rsidRPr="00C070BC">
        <w:rPr>
          <w:i/>
          <w:lang w:val="fr-CA"/>
        </w:rPr>
        <w:t>La Prescription</w:t>
      </w:r>
      <w:r w:rsidR="003064FB" w:rsidRPr="00C070BC">
        <w:rPr>
          <w:lang w:val="fr-CA"/>
        </w:rPr>
        <w:t>. Montréal:</w:t>
      </w:r>
      <w:r w:rsidRPr="00C070BC">
        <w:rPr>
          <w:lang w:val="fr-CA"/>
        </w:rPr>
        <w:t xml:space="preserve"> Presses de l</w:t>
      </w:r>
      <w:r w:rsidR="00830ED7">
        <w:rPr>
          <w:lang w:val="fr-CA"/>
        </w:rPr>
        <w:t>’</w:t>
      </w:r>
      <w:r w:rsidRPr="00C070BC">
        <w:rPr>
          <w:lang w:val="fr-CA"/>
        </w:rPr>
        <w:t>Université de Montréal, 1977.</w:t>
      </w:r>
    </w:p>
    <w:p w:rsidR="006F0D5E" w:rsidRPr="00C070BC" w:rsidRDefault="006F0D5E" w:rsidP="00233573">
      <w:pPr>
        <w:pStyle w:val="SCCNormalDoubleSpacing"/>
        <w:widowControl w:val="0"/>
        <w:spacing w:before="240" w:after="240" w:line="240" w:lineRule="auto"/>
        <w:ind w:left="540" w:hanging="540"/>
        <w:rPr>
          <w:lang w:val="fr-CA"/>
        </w:rPr>
      </w:pPr>
      <w:proofErr w:type="spellStart"/>
      <w:r w:rsidRPr="00C070BC">
        <w:rPr>
          <w:lang w:val="fr-CA"/>
        </w:rPr>
        <w:t>Mayrand</w:t>
      </w:r>
      <w:proofErr w:type="spellEnd"/>
      <w:r w:rsidRPr="00C070BC">
        <w:rPr>
          <w:lang w:val="fr-CA"/>
        </w:rPr>
        <w:t>, Albert</w:t>
      </w:r>
      <w:r w:rsidR="003064FB" w:rsidRPr="00C070BC">
        <w:rPr>
          <w:lang w:val="fr-CA"/>
        </w:rPr>
        <w:t>. “</w:t>
      </w:r>
      <w:r w:rsidRPr="00C070BC">
        <w:rPr>
          <w:lang w:val="fr-CA"/>
        </w:rPr>
        <w:t>Bonne foi et pr</w:t>
      </w:r>
      <w:r w:rsidR="003064FB" w:rsidRPr="00C070BC">
        <w:rPr>
          <w:lang w:val="fr-CA"/>
        </w:rPr>
        <w:t>escription par tiers acquéreur”</w:t>
      </w:r>
      <w:r w:rsidRPr="00C070BC">
        <w:rPr>
          <w:lang w:val="fr-CA"/>
        </w:rPr>
        <w:t xml:space="preserve"> (1942), 2 </w:t>
      </w:r>
      <w:r w:rsidRPr="00C070BC">
        <w:rPr>
          <w:i/>
          <w:lang w:val="fr-CA"/>
        </w:rPr>
        <w:t>R. du B.</w:t>
      </w:r>
      <w:r w:rsidRPr="00C070BC">
        <w:rPr>
          <w:lang w:val="fr-CA"/>
        </w:rPr>
        <w:t xml:space="preserve"> 9.</w:t>
      </w:r>
    </w:p>
    <w:p w:rsidR="007D23AE" w:rsidRPr="00C070BC" w:rsidRDefault="003E0A2B" w:rsidP="00233573">
      <w:pPr>
        <w:pStyle w:val="SCCNormalDoubleSpacing"/>
        <w:widowControl w:val="0"/>
        <w:spacing w:before="240" w:after="240" w:line="240" w:lineRule="auto"/>
        <w:ind w:left="540" w:hanging="540"/>
        <w:rPr>
          <w:lang w:val="fr-CA"/>
        </w:rPr>
      </w:pPr>
      <w:r w:rsidRPr="00C070BC">
        <w:rPr>
          <w:lang w:val="fr-CA"/>
        </w:rPr>
        <w:t>Mazeaud</w:t>
      </w:r>
      <w:r w:rsidR="0068738B" w:rsidRPr="00C070BC">
        <w:rPr>
          <w:lang w:val="fr-CA"/>
        </w:rPr>
        <w:t>,</w:t>
      </w:r>
      <w:r w:rsidRPr="00C070BC">
        <w:rPr>
          <w:lang w:val="fr-CA"/>
        </w:rPr>
        <w:t xml:space="preserve"> </w:t>
      </w:r>
      <w:r w:rsidR="007D23AE" w:rsidRPr="00C070BC">
        <w:rPr>
          <w:lang w:val="fr-CA"/>
        </w:rPr>
        <w:t>Henri</w:t>
      </w:r>
      <w:r w:rsidR="00923D45" w:rsidRPr="00C070BC">
        <w:rPr>
          <w:lang w:val="fr-CA"/>
        </w:rPr>
        <w:t xml:space="preserve">, </w:t>
      </w:r>
      <w:r w:rsidR="0068738B" w:rsidRPr="00C070BC">
        <w:rPr>
          <w:lang w:val="fr-CA"/>
        </w:rPr>
        <w:t>Léon</w:t>
      </w:r>
      <w:r w:rsidR="00923D45" w:rsidRPr="00C070BC">
        <w:rPr>
          <w:lang w:val="fr-CA"/>
        </w:rPr>
        <w:t xml:space="preserve"> et</w:t>
      </w:r>
      <w:r w:rsidR="0068738B" w:rsidRPr="00C070BC">
        <w:rPr>
          <w:lang w:val="fr-CA"/>
        </w:rPr>
        <w:t xml:space="preserve"> Jean</w:t>
      </w:r>
      <w:r w:rsidR="00456D0B">
        <w:rPr>
          <w:lang w:val="fr-CA"/>
        </w:rPr>
        <w:t xml:space="preserve">, et François </w:t>
      </w:r>
      <w:proofErr w:type="spellStart"/>
      <w:r w:rsidR="00456D0B">
        <w:rPr>
          <w:lang w:val="fr-CA"/>
        </w:rPr>
        <w:t>Chabas</w:t>
      </w:r>
      <w:proofErr w:type="spellEnd"/>
      <w:r w:rsidR="00456D0B">
        <w:rPr>
          <w:lang w:val="fr-CA"/>
        </w:rPr>
        <w:t>.</w:t>
      </w:r>
      <w:r w:rsidR="0068738B" w:rsidRPr="00C070BC">
        <w:rPr>
          <w:lang w:val="fr-CA"/>
        </w:rPr>
        <w:t xml:space="preserve"> </w:t>
      </w:r>
      <w:r w:rsidR="007D23AE" w:rsidRPr="00C070BC">
        <w:rPr>
          <w:i/>
          <w:lang w:val="fr-CA"/>
        </w:rPr>
        <w:t>Leçons de droit civil</w:t>
      </w:r>
      <w:r w:rsidR="00E06914" w:rsidRPr="00C070BC">
        <w:rPr>
          <w:lang w:val="fr-CA"/>
        </w:rPr>
        <w:t xml:space="preserve">, t. II, </w:t>
      </w:r>
      <w:r w:rsidR="004B3C8A" w:rsidRPr="00C070BC">
        <w:rPr>
          <w:lang w:val="fr-CA"/>
        </w:rPr>
        <w:t>vol. </w:t>
      </w:r>
      <w:r w:rsidR="00E06914" w:rsidRPr="00C070BC">
        <w:rPr>
          <w:lang w:val="fr-CA"/>
        </w:rPr>
        <w:t>II</w:t>
      </w:r>
      <w:r w:rsidR="007D23AE" w:rsidRPr="00C070BC">
        <w:rPr>
          <w:lang w:val="fr-CA"/>
        </w:rPr>
        <w:t xml:space="preserve">, </w:t>
      </w:r>
      <w:r w:rsidR="0068738B" w:rsidRPr="00C070BC">
        <w:rPr>
          <w:i/>
          <w:lang w:val="fr-CA"/>
        </w:rPr>
        <w:t xml:space="preserve">Biens: Droit de propriété </w:t>
      </w:r>
      <w:r w:rsidR="001072C5" w:rsidRPr="00C070BC">
        <w:rPr>
          <w:i/>
          <w:lang w:val="fr-CA"/>
        </w:rPr>
        <w:t>et ses démembrements</w:t>
      </w:r>
      <w:r w:rsidR="001072C5" w:rsidRPr="00C070BC">
        <w:rPr>
          <w:lang w:val="fr-CA"/>
        </w:rPr>
        <w:t xml:space="preserve">, </w:t>
      </w:r>
      <w:r w:rsidR="007D23AE" w:rsidRPr="00C070BC">
        <w:rPr>
          <w:lang w:val="fr-CA"/>
        </w:rPr>
        <w:t>8</w:t>
      </w:r>
      <w:r w:rsidR="007D23AE" w:rsidRPr="00C070BC">
        <w:rPr>
          <w:vertAlign w:val="superscript"/>
          <w:lang w:val="fr-CA"/>
        </w:rPr>
        <w:t>e</w:t>
      </w:r>
      <w:r w:rsidR="001072C5" w:rsidRPr="00C070BC">
        <w:rPr>
          <w:lang w:val="fr-CA"/>
        </w:rPr>
        <w:t xml:space="preserve"> éd.</w:t>
      </w:r>
      <w:r w:rsidR="007D23AE" w:rsidRPr="00C070BC">
        <w:rPr>
          <w:lang w:val="fr-CA"/>
        </w:rPr>
        <w:t xml:space="preserve"> </w:t>
      </w:r>
      <w:r w:rsidR="001072C5" w:rsidRPr="00C070BC">
        <w:rPr>
          <w:lang w:val="fr-CA"/>
        </w:rPr>
        <w:t xml:space="preserve">par François </w:t>
      </w:r>
      <w:proofErr w:type="spellStart"/>
      <w:r w:rsidR="001072C5" w:rsidRPr="00C070BC">
        <w:rPr>
          <w:lang w:val="fr-CA"/>
        </w:rPr>
        <w:t>Chabas</w:t>
      </w:r>
      <w:proofErr w:type="spellEnd"/>
      <w:r w:rsidR="00923D45" w:rsidRPr="00C070BC">
        <w:rPr>
          <w:lang w:val="fr-CA"/>
        </w:rPr>
        <w:t>. Paris:</w:t>
      </w:r>
      <w:r w:rsidR="007D23AE" w:rsidRPr="00C070BC">
        <w:rPr>
          <w:lang w:val="fr-CA"/>
        </w:rPr>
        <w:t xml:space="preserve"> Montchrestien, 1994.</w:t>
      </w:r>
    </w:p>
    <w:p w:rsidR="0055609E" w:rsidRPr="00C070BC" w:rsidRDefault="0055609E" w:rsidP="00233573">
      <w:pPr>
        <w:pStyle w:val="SCCNormalDoubleSpacing"/>
        <w:widowControl w:val="0"/>
        <w:spacing w:before="240" w:after="240" w:line="240" w:lineRule="auto"/>
        <w:ind w:left="540" w:hanging="540"/>
        <w:rPr>
          <w:lang w:val="fr-CA"/>
        </w:rPr>
      </w:pPr>
      <w:proofErr w:type="spellStart"/>
      <w:r w:rsidRPr="00C070BC">
        <w:rPr>
          <w:lang w:val="fr-CA"/>
        </w:rPr>
        <w:t>McCann</w:t>
      </w:r>
      <w:proofErr w:type="spellEnd"/>
      <w:r w:rsidR="00E06914" w:rsidRPr="00C070BC">
        <w:rPr>
          <w:lang w:val="fr-CA"/>
        </w:rPr>
        <w:t>, Julie. “Commentaire</w:t>
      </w:r>
      <w:r w:rsidRPr="00C070BC">
        <w:rPr>
          <w:lang w:val="fr-CA"/>
        </w:rPr>
        <w:t xml:space="preserve"> sur la décision </w:t>
      </w:r>
      <w:r w:rsidRPr="00C070BC">
        <w:rPr>
          <w:i/>
          <w:lang w:val="fr-CA"/>
        </w:rPr>
        <w:t>De Repentigny c. Fortin (Succession de)</w:t>
      </w:r>
      <w:r w:rsidRPr="00C070BC">
        <w:rPr>
          <w:lang w:val="fr-CA"/>
        </w:rPr>
        <w:t xml:space="preserve"> </w:t>
      </w:r>
      <w:r w:rsidR="00E06914" w:rsidRPr="00C070BC">
        <w:rPr>
          <w:lang w:val="fr-CA"/>
        </w:rPr>
        <w:lastRenderedPageBreak/>
        <w:t>—</w:t>
      </w:r>
      <w:r w:rsidRPr="00C070BC">
        <w:rPr>
          <w:lang w:val="fr-CA"/>
        </w:rPr>
        <w:t xml:space="preserve"> L</w:t>
      </w:r>
      <w:r w:rsidR="00830ED7">
        <w:rPr>
          <w:lang w:val="fr-CA"/>
        </w:rPr>
        <w:t>’</w:t>
      </w:r>
      <w:r w:rsidRPr="00C070BC">
        <w:rPr>
          <w:lang w:val="fr-CA"/>
        </w:rPr>
        <w:t>acquisition de la propr</w:t>
      </w:r>
      <w:r w:rsidR="00E06914" w:rsidRPr="00C070BC">
        <w:rPr>
          <w:lang w:val="fr-CA"/>
        </w:rPr>
        <w:t>iété par prescription décennale</w:t>
      </w:r>
      <w:r w:rsidRPr="00C070BC">
        <w:rPr>
          <w:lang w:val="fr-CA"/>
        </w:rPr>
        <w:t xml:space="preserve">: effet déclaratif, attributif, rétroactif?”, </w:t>
      </w:r>
      <w:r w:rsidRPr="00C070BC">
        <w:rPr>
          <w:i/>
          <w:lang w:val="fr-CA"/>
        </w:rPr>
        <w:t>Repères</w:t>
      </w:r>
      <w:r w:rsidRPr="00C070BC">
        <w:rPr>
          <w:lang w:val="fr-CA"/>
        </w:rPr>
        <w:t xml:space="preserve">, </w:t>
      </w:r>
      <w:r w:rsidR="00E06914" w:rsidRPr="00C070BC">
        <w:rPr>
          <w:lang w:val="fr-CA"/>
        </w:rPr>
        <w:t>février</w:t>
      </w:r>
      <w:r w:rsidRPr="00C070BC">
        <w:rPr>
          <w:lang w:val="fr-CA"/>
        </w:rPr>
        <w:t xml:space="preserve"> 2013</w:t>
      </w:r>
      <w:r w:rsidR="00E06914" w:rsidRPr="00C070BC">
        <w:rPr>
          <w:lang w:val="fr-CA"/>
        </w:rPr>
        <w:t xml:space="preserve"> (</w:t>
      </w:r>
      <w:proofErr w:type="spellStart"/>
      <w:r w:rsidR="001B45F7" w:rsidRPr="00C070BC">
        <w:rPr>
          <w:lang w:val="fr-CA"/>
        </w:rPr>
        <w:t>available</w:t>
      </w:r>
      <w:proofErr w:type="spellEnd"/>
      <w:r w:rsidR="001B45F7" w:rsidRPr="00C070BC">
        <w:rPr>
          <w:lang w:val="fr-CA"/>
        </w:rPr>
        <w:t xml:space="preserve"> online in</w:t>
      </w:r>
      <w:r w:rsidR="00E06914" w:rsidRPr="00C070BC">
        <w:rPr>
          <w:lang w:val="fr-CA"/>
        </w:rPr>
        <w:t xml:space="preserve"> La référence</w:t>
      </w:r>
      <w:r w:rsidR="00F136CB" w:rsidRPr="00C070BC">
        <w:rPr>
          <w:lang w:val="fr-CA"/>
        </w:rPr>
        <w:t>)</w:t>
      </w:r>
      <w:r w:rsidRPr="00C070BC">
        <w:rPr>
          <w:lang w:val="fr-CA"/>
        </w:rPr>
        <w:t>.</w:t>
      </w:r>
    </w:p>
    <w:p w:rsidR="006F0D5E" w:rsidRPr="00C070BC" w:rsidRDefault="006F0D5E" w:rsidP="00233573">
      <w:pPr>
        <w:pStyle w:val="SCCNormalDoubleSpacing"/>
        <w:widowControl w:val="0"/>
        <w:spacing w:before="240" w:after="240" w:line="240" w:lineRule="auto"/>
        <w:ind w:left="540" w:hanging="540"/>
        <w:rPr>
          <w:lang w:val="fr-CA"/>
        </w:rPr>
      </w:pPr>
      <w:proofErr w:type="spellStart"/>
      <w:r w:rsidRPr="00C070BC">
        <w:rPr>
          <w:lang w:val="fr-CA"/>
        </w:rPr>
        <w:t>Mignault</w:t>
      </w:r>
      <w:proofErr w:type="spellEnd"/>
      <w:r w:rsidRPr="00C070BC">
        <w:rPr>
          <w:lang w:val="fr-CA"/>
        </w:rPr>
        <w:t>, P.</w:t>
      </w:r>
      <w:r w:rsidR="004B3C8A" w:rsidRPr="00C070BC">
        <w:rPr>
          <w:lang w:val="fr-CA"/>
        </w:rPr>
        <w:noBreakHyphen/>
      </w:r>
      <w:r w:rsidRPr="00C070BC">
        <w:rPr>
          <w:lang w:val="fr-CA"/>
        </w:rPr>
        <w:t xml:space="preserve">B. </w:t>
      </w:r>
      <w:r w:rsidRPr="00C070BC">
        <w:rPr>
          <w:i/>
          <w:lang w:val="fr-CA"/>
        </w:rPr>
        <w:t>Le droit civil canadien</w:t>
      </w:r>
      <w:r w:rsidR="000D54F5">
        <w:rPr>
          <w:lang w:val="fr-CA"/>
        </w:rPr>
        <w:t>, t. </w:t>
      </w:r>
      <w:r w:rsidRPr="00C070BC">
        <w:rPr>
          <w:lang w:val="fr-CA"/>
        </w:rPr>
        <w:t>9</w:t>
      </w:r>
      <w:r w:rsidR="003064FB" w:rsidRPr="00C070BC">
        <w:rPr>
          <w:lang w:val="fr-CA"/>
        </w:rPr>
        <w:t>. Montréal:</w:t>
      </w:r>
      <w:r w:rsidRPr="00C070BC">
        <w:rPr>
          <w:lang w:val="fr-CA"/>
        </w:rPr>
        <w:t xml:space="preserve"> Wilson &amp; Lafleur, 1916.</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t xml:space="preserve">Normand, Sylvio. </w:t>
      </w:r>
      <w:r w:rsidRPr="00C070BC">
        <w:rPr>
          <w:i/>
          <w:lang w:val="fr-CA"/>
        </w:rPr>
        <w:t>Introduction au droit des biens</w:t>
      </w:r>
      <w:r w:rsidRPr="00C070BC">
        <w:rPr>
          <w:lang w:val="fr-CA"/>
        </w:rPr>
        <w:t>, 2</w:t>
      </w:r>
      <w:r w:rsidRPr="00C070BC">
        <w:rPr>
          <w:vertAlign w:val="superscript"/>
          <w:lang w:val="fr-CA"/>
        </w:rPr>
        <w:t>e</w:t>
      </w:r>
      <w:r w:rsidRPr="00C070BC">
        <w:rPr>
          <w:lang w:val="fr-CA"/>
        </w:rPr>
        <w:t xml:space="preserve"> éd. </w:t>
      </w:r>
      <w:r w:rsidR="003064FB" w:rsidRPr="00C070BC">
        <w:rPr>
          <w:lang w:val="fr-CA"/>
        </w:rPr>
        <w:t>Montréal:</w:t>
      </w:r>
      <w:r w:rsidRPr="00C070BC">
        <w:rPr>
          <w:lang w:val="fr-CA"/>
        </w:rPr>
        <w:t xml:space="preserve"> Wilson &amp; Lafleur, 2014.</w:t>
      </w:r>
    </w:p>
    <w:p w:rsidR="006F0D5E" w:rsidRPr="00C070BC" w:rsidRDefault="006F0D5E" w:rsidP="00233573">
      <w:pPr>
        <w:pStyle w:val="SCCNormalDoubleSpacing"/>
        <w:widowControl w:val="0"/>
        <w:spacing w:before="240" w:after="240" w:line="240" w:lineRule="auto"/>
        <w:ind w:left="540" w:hanging="540"/>
        <w:rPr>
          <w:lang w:val="fr-CA"/>
        </w:rPr>
      </w:pPr>
      <w:r w:rsidRPr="00C070BC">
        <w:rPr>
          <w:lang w:val="fr-CA"/>
        </w:rPr>
        <w:t xml:space="preserve">Pineau, Jean. </w:t>
      </w:r>
      <w:r w:rsidR="003064FB" w:rsidRPr="00C070BC">
        <w:rPr>
          <w:lang w:val="fr-CA"/>
        </w:rPr>
        <w:t>“</w:t>
      </w:r>
      <w:r w:rsidRPr="00C070BC">
        <w:rPr>
          <w:lang w:val="fr-CA"/>
        </w:rPr>
        <w:t>Le nouveau Code civil et</w:t>
      </w:r>
      <w:r w:rsidR="003064FB" w:rsidRPr="00C070BC">
        <w:rPr>
          <w:lang w:val="fr-CA"/>
        </w:rPr>
        <w:t xml:space="preserve"> les intentions du législateur”</w:t>
      </w:r>
      <w:r w:rsidRPr="00C070BC">
        <w:rPr>
          <w:lang w:val="fr-CA"/>
        </w:rPr>
        <w:t xml:space="preserve">, dans Benoît Moore, </w:t>
      </w:r>
      <w:proofErr w:type="spellStart"/>
      <w:proofErr w:type="gramStart"/>
      <w:r w:rsidRPr="00C070BC">
        <w:rPr>
          <w:lang w:val="fr-CA"/>
        </w:rPr>
        <w:t>dir</w:t>
      </w:r>
      <w:proofErr w:type="spellEnd"/>
      <w:r w:rsidRPr="00C070BC">
        <w:rPr>
          <w:lang w:val="fr-CA"/>
        </w:rPr>
        <w:t>.,</w:t>
      </w:r>
      <w:proofErr w:type="gramEnd"/>
      <w:r w:rsidRPr="00C070BC">
        <w:rPr>
          <w:lang w:val="fr-CA"/>
        </w:rPr>
        <w:t xml:space="preserve"> </w:t>
      </w:r>
      <w:r w:rsidRPr="00C070BC">
        <w:rPr>
          <w:i/>
          <w:lang w:val="fr-CA"/>
        </w:rPr>
        <w:t>Mélanges Jean Pineau</w:t>
      </w:r>
      <w:r w:rsidR="003064FB" w:rsidRPr="00C070BC">
        <w:rPr>
          <w:lang w:val="fr-CA"/>
        </w:rPr>
        <w:t>. Montréal:</w:t>
      </w:r>
      <w:r w:rsidRPr="00C070BC">
        <w:rPr>
          <w:lang w:val="fr-CA"/>
        </w:rPr>
        <w:t xml:space="preserve"> Thémis, 2003, 3.</w:t>
      </w:r>
    </w:p>
    <w:p w:rsidR="006F0D5E" w:rsidRPr="00C070BC" w:rsidRDefault="006F0D5E" w:rsidP="00233573">
      <w:pPr>
        <w:pStyle w:val="SCCNormalDoubleSpacing"/>
        <w:widowControl w:val="0"/>
        <w:spacing w:before="240" w:after="240" w:line="240" w:lineRule="auto"/>
        <w:ind w:left="540" w:hanging="540"/>
        <w:rPr>
          <w:lang w:val="fr-CA"/>
        </w:rPr>
      </w:pPr>
      <w:proofErr w:type="spellStart"/>
      <w:r w:rsidRPr="00C070BC">
        <w:rPr>
          <w:lang w:val="fr-CA"/>
        </w:rPr>
        <w:t>Pratte</w:t>
      </w:r>
      <w:proofErr w:type="spellEnd"/>
      <w:r w:rsidRPr="00C070BC">
        <w:rPr>
          <w:lang w:val="fr-CA"/>
        </w:rPr>
        <w:t xml:space="preserve">, Pierre. </w:t>
      </w:r>
      <w:r w:rsidR="004E72A9" w:rsidRPr="00C070BC">
        <w:rPr>
          <w:lang w:val="fr-CA"/>
        </w:rPr>
        <w:t>“</w:t>
      </w:r>
      <w:r w:rsidRPr="00C070BC">
        <w:rPr>
          <w:lang w:val="fr-CA"/>
        </w:rPr>
        <w:t>Chronique — Le jugement en prescription acquisitive immobiliè</w:t>
      </w:r>
      <w:r w:rsidR="004E72A9" w:rsidRPr="00C070BC">
        <w:rPr>
          <w:lang w:val="fr-CA"/>
        </w:rPr>
        <w:t>re</w:t>
      </w:r>
      <w:r w:rsidRPr="00C070BC">
        <w:rPr>
          <w:lang w:val="fr-CA"/>
        </w:rPr>
        <w:t>:</w:t>
      </w:r>
      <w:r w:rsidR="004E72A9" w:rsidRPr="00C070BC">
        <w:rPr>
          <w:lang w:val="fr-CA"/>
        </w:rPr>
        <w:t xml:space="preserve"> déclaratif ou attributif?”</w:t>
      </w:r>
      <w:r w:rsidRPr="00C070BC">
        <w:rPr>
          <w:lang w:val="fr-CA"/>
        </w:rPr>
        <w:t xml:space="preserve">, </w:t>
      </w:r>
      <w:r w:rsidRPr="00C070BC">
        <w:rPr>
          <w:i/>
          <w:lang w:val="fr-CA"/>
        </w:rPr>
        <w:t>Repères</w:t>
      </w:r>
      <w:r w:rsidRPr="00C070BC">
        <w:rPr>
          <w:lang w:val="fr-CA"/>
        </w:rPr>
        <w:t>, octobre 2012 (</w:t>
      </w:r>
      <w:proofErr w:type="spellStart"/>
      <w:r w:rsidR="008C77D7" w:rsidRPr="00C070BC">
        <w:rPr>
          <w:lang w:val="fr-CA"/>
        </w:rPr>
        <w:t>available</w:t>
      </w:r>
      <w:proofErr w:type="spellEnd"/>
      <w:r w:rsidR="008C77D7" w:rsidRPr="00C070BC">
        <w:rPr>
          <w:lang w:val="fr-CA"/>
        </w:rPr>
        <w:t xml:space="preserve"> online in</w:t>
      </w:r>
      <w:r w:rsidRPr="00C070BC">
        <w:rPr>
          <w:lang w:val="fr-CA"/>
        </w:rPr>
        <w:t xml:space="preserve"> La référence).</w:t>
      </w:r>
    </w:p>
    <w:p w:rsidR="006F0D5E" w:rsidRPr="00C070BC" w:rsidRDefault="006F0D5E" w:rsidP="00233573">
      <w:pPr>
        <w:pStyle w:val="SCCNormalDoubleSpacing"/>
        <w:widowControl w:val="0"/>
        <w:spacing w:before="240" w:after="240" w:line="240" w:lineRule="auto"/>
        <w:ind w:left="540" w:hanging="540"/>
        <w:rPr>
          <w:lang w:val="fr-CA"/>
        </w:rPr>
      </w:pPr>
      <w:proofErr w:type="spellStart"/>
      <w:r w:rsidRPr="00C070BC">
        <w:rPr>
          <w:lang w:val="fr-CA"/>
        </w:rPr>
        <w:t>Pratte</w:t>
      </w:r>
      <w:proofErr w:type="spellEnd"/>
      <w:r w:rsidRPr="00C070BC">
        <w:rPr>
          <w:lang w:val="fr-CA"/>
        </w:rPr>
        <w:t xml:space="preserve">, Pierre. </w:t>
      </w:r>
      <w:r w:rsidR="004E72A9" w:rsidRPr="00C070BC">
        <w:rPr>
          <w:lang w:val="fr-CA"/>
        </w:rPr>
        <w:t>“</w:t>
      </w:r>
      <w:r w:rsidRPr="00C070BC">
        <w:rPr>
          <w:lang w:val="fr-CA"/>
        </w:rPr>
        <w:t>La demande judiciaire relative à la prescription acquisitive d</w:t>
      </w:r>
      <w:r w:rsidR="00830ED7">
        <w:rPr>
          <w:lang w:val="fr-CA"/>
        </w:rPr>
        <w:t>’</w:t>
      </w:r>
      <w:r w:rsidRPr="00C070BC">
        <w:rPr>
          <w:lang w:val="fr-CA"/>
        </w:rPr>
        <w:t>un immeuble</w:t>
      </w:r>
      <w:r w:rsidR="004E72A9" w:rsidRPr="00C070BC">
        <w:rPr>
          <w:lang w:val="fr-CA"/>
        </w:rPr>
        <w:t>”</w:t>
      </w:r>
      <w:r w:rsidRPr="00C070BC">
        <w:rPr>
          <w:lang w:val="fr-CA"/>
        </w:rPr>
        <w:t xml:space="preserve"> (2014), 73 </w:t>
      </w:r>
      <w:r w:rsidRPr="00C070BC">
        <w:rPr>
          <w:i/>
          <w:lang w:val="fr-CA"/>
        </w:rPr>
        <w:t>R. du B.</w:t>
      </w:r>
      <w:r w:rsidRPr="00C070BC">
        <w:rPr>
          <w:lang w:val="fr-CA"/>
        </w:rPr>
        <w:t xml:space="preserve"> 509.</w:t>
      </w:r>
    </w:p>
    <w:p w:rsidR="006F0D5E" w:rsidRPr="00C070BC" w:rsidRDefault="004E72A9" w:rsidP="00233573">
      <w:pPr>
        <w:pStyle w:val="SCCNormalDoubleSpacing"/>
        <w:widowControl w:val="0"/>
        <w:spacing w:before="240" w:after="240" w:line="240" w:lineRule="auto"/>
        <w:ind w:left="540" w:hanging="540"/>
        <w:rPr>
          <w:lang w:val="fr-CA"/>
        </w:rPr>
      </w:pPr>
      <w:proofErr w:type="spellStart"/>
      <w:r w:rsidRPr="00C070BC">
        <w:rPr>
          <w:lang w:val="fr-CA"/>
        </w:rPr>
        <w:t>Que</w:t>
      </w:r>
      <w:r w:rsidR="006F0D5E" w:rsidRPr="00C070BC">
        <w:rPr>
          <w:lang w:val="fr-CA"/>
        </w:rPr>
        <w:t>bec</w:t>
      </w:r>
      <w:proofErr w:type="spellEnd"/>
      <w:r w:rsidR="006F0D5E" w:rsidRPr="00C070BC">
        <w:rPr>
          <w:lang w:val="fr-CA"/>
        </w:rPr>
        <w:t xml:space="preserve">. </w:t>
      </w:r>
      <w:r w:rsidR="00790A8A" w:rsidRPr="00C070BC">
        <w:rPr>
          <w:lang w:val="fr-CA"/>
        </w:rPr>
        <w:t>Assemblée nationale</w:t>
      </w:r>
      <w:r w:rsidR="006F0D5E" w:rsidRPr="00C070BC">
        <w:rPr>
          <w:lang w:val="fr-CA"/>
        </w:rPr>
        <w:t xml:space="preserve">. </w:t>
      </w:r>
      <w:r w:rsidR="006F0D5E" w:rsidRPr="00C070BC">
        <w:rPr>
          <w:i/>
          <w:lang w:val="fr-CA"/>
        </w:rPr>
        <w:t>Journal des débats de la Commission permanente des institutions</w:t>
      </w:r>
      <w:r w:rsidR="006F0D5E" w:rsidRPr="00C070BC">
        <w:rPr>
          <w:lang w:val="fr-CA"/>
        </w:rPr>
        <w:t xml:space="preserve">, </w:t>
      </w:r>
      <w:r w:rsidR="004B3C8A" w:rsidRPr="00C070BC">
        <w:rPr>
          <w:lang w:val="fr-CA"/>
        </w:rPr>
        <w:t>vol. </w:t>
      </w:r>
      <w:r w:rsidR="006F0D5E" w:rsidRPr="00C070BC">
        <w:rPr>
          <w:lang w:val="fr-CA"/>
        </w:rPr>
        <w:t>36, n</w:t>
      </w:r>
      <w:r w:rsidR="006F0D5E" w:rsidRPr="00C070BC">
        <w:rPr>
          <w:vertAlign w:val="superscript"/>
          <w:lang w:val="fr-CA"/>
        </w:rPr>
        <w:t>o</w:t>
      </w:r>
      <w:r w:rsidR="00830ED7">
        <w:rPr>
          <w:lang w:val="fr-CA"/>
        </w:rPr>
        <w:t> </w:t>
      </w:r>
      <w:r w:rsidR="006F0D5E" w:rsidRPr="00C070BC">
        <w:rPr>
          <w:lang w:val="fr-CA"/>
        </w:rPr>
        <w:t>82, 1</w:t>
      </w:r>
      <w:r w:rsidR="006F0D5E" w:rsidRPr="00C070BC">
        <w:rPr>
          <w:vertAlign w:val="superscript"/>
          <w:lang w:val="fr-CA"/>
        </w:rPr>
        <w:t>re</w:t>
      </w:r>
      <w:r w:rsidR="006F0D5E" w:rsidRPr="00C070BC">
        <w:rPr>
          <w:lang w:val="fr-CA"/>
        </w:rPr>
        <w:t xml:space="preserve"> </w:t>
      </w:r>
      <w:proofErr w:type="spellStart"/>
      <w:proofErr w:type="gramStart"/>
      <w:r w:rsidR="006F0D5E" w:rsidRPr="00C070BC">
        <w:rPr>
          <w:lang w:val="fr-CA"/>
        </w:rPr>
        <w:t>sess</w:t>
      </w:r>
      <w:proofErr w:type="spellEnd"/>
      <w:r w:rsidR="006F0D5E" w:rsidRPr="00C070BC">
        <w:rPr>
          <w:lang w:val="fr-CA"/>
        </w:rPr>
        <w:t>.,</w:t>
      </w:r>
      <w:proofErr w:type="gramEnd"/>
      <w:r w:rsidR="006F0D5E" w:rsidRPr="00C070BC">
        <w:rPr>
          <w:lang w:val="fr-CA"/>
        </w:rPr>
        <w:t xml:space="preserve"> 36</w:t>
      </w:r>
      <w:r w:rsidR="006F0D5E" w:rsidRPr="00C070BC">
        <w:rPr>
          <w:vertAlign w:val="superscript"/>
          <w:lang w:val="fr-CA"/>
        </w:rPr>
        <w:t>e</w:t>
      </w:r>
      <w:r w:rsidR="006F0D5E" w:rsidRPr="00C070BC">
        <w:rPr>
          <w:lang w:val="fr-CA"/>
        </w:rPr>
        <w:t xml:space="preserve"> </w:t>
      </w:r>
      <w:proofErr w:type="spellStart"/>
      <w:r w:rsidR="006F0D5E" w:rsidRPr="00C070BC">
        <w:rPr>
          <w:lang w:val="fr-CA"/>
        </w:rPr>
        <w:t>lég</w:t>
      </w:r>
      <w:proofErr w:type="spellEnd"/>
      <w:r w:rsidR="006F0D5E" w:rsidRPr="00C070BC">
        <w:rPr>
          <w:lang w:val="fr-CA"/>
        </w:rPr>
        <w:t>., 2</w:t>
      </w:r>
      <w:r w:rsidR="00830ED7">
        <w:rPr>
          <w:lang w:val="fr-CA"/>
        </w:rPr>
        <w:t> </w:t>
      </w:r>
      <w:r w:rsidR="006F0D5E" w:rsidRPr="00C070BC">
        <w:rPr>
          <w:lang w:val="fr-CA"/>
        </w:rPr>
        <w:t xml:space="preserve">juin 2000, </w:t>
      </w:r>
      <w:r w:rsidR="004B3C8A" w:rsidRPr="00C070BC">
        <w:rPr>
          <w:lang w:val="fr-CA"/>
        </w:rPr>
        <w:t>p. </w:t>
      </w:r>
      <w:r w:rsidR="006F0D5E" w:rsidRPr="00C070BC">
        <w:rPr>
          <w:lang w:val="fr-CA"/>
        </w:rPr>
        <w:t>51</w:t>
      </w:r>
      <w:r w:rsidR="004B3C8A" w:rsidRPr="00C070BC">
        <w:rPr>
          <w:lang w:val="fr-CA"/>
        </w:rPr>
        <w:noBreakHyphen/>
      </w:r>
      <w:r w:rsidR="006F0D5E" w:rsidRPr="00C070BC">
        <w:rPr>
          <w:lang w:val="fr-CA"/>
        </w:rPr>
        <w:t xml:space="preserve">52 </w:t>
      </w:r>
      <w:r w:rsidR="00790A8A" w:rsidRPr="00C070BC">
        <w:rPr>
          <w:lang w:val="fr-CA"/>
        </w:rPr>
        <w:t>et</w:t>
      </w:r>
      <w:r w:rsidR="006F0D5E" w:rsidRPr="00C070BC">
        <w:rPr>
          <w:lang w:val="fr-CA"/>
        </w:rPr>
        <w:t xml:space="preserve"> 69.</w:t>
      </w:r>
    </w:p>
    <w:p w:rsidR="0055609E" w:rsidRPr="00C070BC" w:rsidRDefault="0055609E" w:rsidP="00233573">
      <w:pPr>
        <w:pStyle w:val="SCCNormalDoubleSpacing"/>
        <w:widowControl w:val="0"/>
        <w:spacing w:before="240" w:after="240" w:line="240" w:lineRule="auto"/>
        <w:ind w:left="540" w:hanging="540"/>
        <w:rPr>
          <w:lang w:val="fr-CA"/>
        </w:rPr>
      </w:pPr>
      <w:proofErr w:type="spellStart"/>
      <w:r w:rsidRPr="00C070BC">
        <w:rPr>
          <w:lang w:val="fr-CA"/>
        </w:rPr>
        <w:t>Quebec</w:t>
      </w:r>
      <w:proofErr w:type="spellEnd"/>
      <w:r w:rsidRPr="00C070BC">
        <w:rPr>
          <w:lang w:val="fr-CA"/>
        </w:rPr>
        <w:t xml:space="preserve">. </w:t>
      </w:r>
      <w:r w:rsidR="00790A8A" w:rsidRPr="00C070BC">
        <w:rPr>
          <w:lang w:val="fr-CA"/>
        </w:rPr>
        <w:t>Assemblée nationale</w:t>
      </w:r>
      <w:r w:rsidRPr="00C070BC">
        <w:rPr>
          <w:lang w:val="fr-CA"/>
        </w:rPr>
        <w:t xml:space="preserve">. </w:t>
      </w:r>
      <w:r w:rsidRPr="00C070BC">
        <w:rPr>
          <w:i/>
          <w:lang w:val="fr-CA"/>
        </w:rPr>
        <w:t>Journal des débats de la Commission permanente des institutions</w:t>
      </w:r>
      <w:r w:rsidRPr="00C070BC">
        <w:rPr>
          <w:lang w:val="fr-CA"/>
        </w:rPr>
        <w:t xml:space="preserve">, </w:t>
      </w:r>
      <w:r w:rsidR="004B3C8A" w:rsidRPr="00C070BC">
        <w:rPr>
          <w:lang w:val="fr-CA"/>
        </w:rPr>
        <w:t>vol. </w:t>
      </w:r>
      <w:r w:rsidRPr="00C070BC">
        <w:rPr>
          <w:lang w:val="fr-CA"/>
        </w:rPr>
        <w:t>36, n</w:t>
      </w:r>
      <w:r w:rsidRPr="00C070BC">
        <w:rPr>
          <w:vertAlign w:val="superscript"/>
          <w:lang w:val="fr-CA"/>
        </w:rPr>
        <w:t>o</w:t>
      </w:r>
      <w:r w:rsidR="00830ED7">
        <w:rPr>
          <w:vertAlign w:val="superscript"/>
          <w:lang w:val="fr-CA"/>
        </w:rPr>
        <w:t> </w:t>
      </w:r>
      <w:r w:rsidRPr="00C070BC">
        <w:rPr>
          <w:lang w:val="fr-CA"/>
        </w:rPr>
        <w:t>101, 1</w:t>
      </w:r>
      <w:r w:rsidRPr="00C070BC">
        <w:rPr>
          <w:vertAlign w:val="superscript"/>
          <w:lang w:val="fr-CA"/>
        </w:rPr>
        <w:t>re</w:t>
      </w:r>
      <w:r w:rsidRPr="00C070BC">
        <w:rPr>
          <w:lang w:val="fr-CA"/>
        </w:rPr>
        <w:t xml:space="preserve"> </w:t>
      </w:r>
      <w:proofErr w:type="spellStart"/>
      <w:proofErr w:type="gramStart"/>
      <w:r w:rsidRPr="00C070BC">
        <w:rPr>
          <w:lang w:val="fr-CA"/>
        </w:rPr>
        <w:t>sess</w:t>
      </w:r>
      <w:proofErr w:type="spellEnd"/>
      <w:r w:rsidRPr="00C070BC">
        <w:rPr>
          <w:lang w:val="fr-CA"/>
        </w:rPr>
        <w:t>.,</w:t>
      </w:r>
      <w:proofErr w:type="gramEnd"/>
      <w:r w:rsidRPr="00C070BC">
        <w:rPr>
          <w:lang w:val="fr-CA"/>
        </w:rPr>
        <w:t xml:space="preserve"> 36</w:t>
      </w:r>
      <w:r w:rsidRPr="00C070BC">
        <w:rPr>
          <w:vertAlign w:val="superscript"/>
          <w:lang w:val="fr-CA"/>
        </w:rPr>
        <w:t>e</w:t>
      </w:r>
      <w:r w:rsidR="00830ED7">
        <w:rPr>
          <w:lang w:val="fr-CA"/>
        </w:rPr>
        <w:t xml:space="preserve"> </w:t>
      </w:r>
      <w:proofErr w:type="spellStart"/>
      <w:r w:rsidR="00830ED7">
        <w:rPr>
          <w:lang w:val="fr-CA"/>
        </w:rPr>
        <w:t>lég</w:t>
      </w:r>
      <w:proofErr w:type="spellEnd"/>
      <w:r w:rsidR="00830ED7">
        <w:rPr>
          <w:lang w:val="fr-CA"/>
        </w:rPr>
        <w:t>., 7 </w:t>
      </w:r>
      <w:r w:rsidRPr="00C070BC">
        <w:rPr>
          <w:lang w:val="fr-CA"/>
        </w:rPr>
        <w:t xml:space="preserve">novembre 2000, </w:t>
      </w:r>
      <w:r w:rsidR="004B3C8A" w:rsidRPr="00C070BC">
        <w:rPr>
          <w:lang w:val="fr-CA"/>
        </w:rPr>
        <w:t>p. </w:t>
      </w:r>
      <w:r w:rsidR="004402C6">
        <w:rPr>
          <w:lang w:val="fr-CA"/>
        </w:rPr>
        <w:t>24</w:t>
      </w:r>
      <w:r w:rsidRPr="00C070BC">
        <w:rPr>
          <w:lang w:val="fr-CA"/>
        </w:rPr>
        <w:t>.</w:t>
      </w:r>
    </w:p>
    <w:p w:rsidR="00CC0161" w:rsidRPr="00C070BC" w:rsidRDefault="00CC0161" w:rsidP="00233573">
      <w:pPr>
        <w:pStyle w:val="SCCNormalDoubleSpacing"/>
        <w:widowControl w:val="0"/>
        <w:spacing w:before="240" w:after="240" w:line="240" w:lineRule="auto"/>
        <w:ind w:left="540" w:hanging="540"/>
        <w:rPr>
          <w:lang w:val="fr-CA"/>
        </w:rPr>
      </w:pPr>
      <w:proofErr w:type="spellStart"/>
      <w:r w:rsidRPr="00C070BC">
        <w:rPr>
          <w:lang w:val="fr-CA"/>
        </w:rPr>
        <w:t>Quebec</w:t>
      </w:r>
      <w:proofErr w:type="spellEnd"/>
      <w:r w:rsidRPr="00C070BC">
        <w:rPr>
          <w:lang w:val="fr-CA"/>
        </w:rPr>
        <w:t xml:space="preserve">. Civil Code </w:t>
      </w:r>
      <w:proofErr w:type="spellStart"/>
      <w:r w:rsidRPr="00C070BC">
        <w:rPr>
          <w:lang w:val="fr-CA"/>
        </w:rPr>
        <w:t>Revision</w:t>
      </w:r>
      <w:proofErr w:type="spellEnd"/>
      <w:r w:rsidRPr="00C070BC">
        <w:rPr>
          <w:lang w:val="fr-CA"/>
        </w:rPr>
        <w:t xml:space="preserve"> Office. </w:t>
      </w:r>
      <w:r w:rsidRPr="00C070BC">
        <w:rPr>
          <w:i/>
          <w:lang w:val="fr-CA"/>
        </w:rPr>
        <w:t>Report on the Québec Civil Code</w:t>
      </w:r>
      <w:r w:rsidRPr="00C070BC">
        <w:rPr>
          <w:lang w:val="fr-CA"/>
        </w:rPr>
        <w:t xml:space="preserve">, </w:t>
      </w:r>
      <w:r w:rsidR="004B3C8A" w:rsidRPr="00C070BC">
        <w:rPr>
          <w:lang w:val="fr-CA"/>
        </w:rPr>
        <w:t>vol. </w:t>
      </w:r>
      <w:r w:rsidR="00830ED7">
        <w:rPr>
          <w:lang w:val="fr-CA"/>
        </w:rPr>
        <w:t>II, t. </w:t>
      </w:r>
      <w:r w:rsidRPr="00C070BC">
        <w:rPr>
          <w:lang w:val="fr-CA"/>
        </w:rPr>
        <w:t xml:space="preserve">2, </w:t>
      </w:r>
      <w:proofErr w:type="spellStart"/>
      <w:r w:rsidRPr="00C070BC">
        <w:rPr>
          <w:i/>
          <w:lang w:val="fr-CA"/>
        </w:rPr>
        <w:t>Commentaries</w:t>
      </w:r>
      <w:proofErr w:type="spellEnd"/>
      <w:r w:rsidRPr="00C070BC">
        <w:rPr>
          <w:lang w:val="fr-CA"/>
        </w:rPr>
        <w:t>. Québec: Éditeur officiel, 1978.</w:t>
      </w:r>
    </w:p>
    <w:p w:rsidR="006F0D5E" w:rsidRPr="00C070BC" w:rsidRDefault="004E72A9" w:rsidP="00233573">
      <w:pPr>
        <w:pStyle w:val="SCCNormalDoubleSpacing"/>
        <w:widowControl w:val="0"/>
        <w:spacing w:before="240" w:after="240" w:line="240" w:lineRule="auto"/>
        <w:ind w:left="540" w:hanging="540"/>
        <w:rPr>
          <w:lang w:val="fr-CA"/>
        </w:rPr>
      </w:pPr>
      <w:proofErr w:type="spellStart"/>
      <w:r w:rsidRPr="00C070BC">
        <w:rPr>
          <w:lang w:val="fr-CA"/>
        </w:rPr>
        <w:t>Que</w:t>
      </w:r>
      <w:r w:rsidR="006F0D5E" w:rsidRPr="00C070BC">
        <w:rPr>
          <w:lang w:val="fr-CA"/>
        </w:rPr>
        <w:t>bec</w:t>
      </w:r>
      <w:proofErr w:type="spellEnd"/>
      <w:r w:rsidR="006F0D5E" w:rsidRPr="00C070BC">
        <w:rPr>
          <w:lang w:val="fr-CA"/>
        </w:rPr>
        <w:t xml:space="preserve">. Ministère de la Justice. </w:t>
      </w:r>
      <w:r w:rsidR="006F0D5E" w:rsidRPr="00C070BC">
        <w:rPr>
          <w:i/>
          <w:lang w:val="fr-CA"/>
        </w:rPr>
        <w:t>Commentaires du ministre de la Justice</w:t>
      </w:r>
      <w:r w:rsidR="006F0D5E" w:rsidRPr="00C070BC">
        <w:rPr>
          <w:lang w:val="fr-CA"/>
        </w:rPr>
        <w:t xml:space="preserve">, t. II, </w:t>
      </w:r>
      <w:r w:rsidR="006F0D5E" w:rsidRPr="00C070BC">
        <w:rPr>
          <w:i/>
          <w:lang w:val="fr-CA"/>
        </w:rPr>
        <w:t xml:space="preserve">Le Code civil du Québec — Un mouvement de </w:t>
      </w:r>
      <w:r w:rsidR="00870DD5">
        <w:rPr>
          <w:i/>
          <w:lang w:val="fr-CA"/>
        </w:rPr>
        <w:t>s</w:t>
      </w:r>
      <w:r w:rsidRPr="00C070BC">
        <w:rPr>
          <w:i/>
          <w:lang w:val="fr-CA"/>
        </w:rPr>
        <w:t>ociété</w:t>
      </w:r>
      <w:r w:rsidRPr="00C070BC">
        <w:rPr>
          <w:lang w:val="fr-CA"/>
        </w:rPr>
        <w:t>.</w:t>
      </w:r>
      <w:r w:rsidR="002318FB" w:rsidRPr="00C070BC">
        <w:rPr>
          <w:lang w:val="fr-CA"/>
        </w:rPr>
        <w:t xml:space="preserve"> Québec:</w:t>
      </w:r>
      <w:r w:rsidR="006F0D5E" w:rsidRPr="00C070BC">
        <w:rPr>
          <w:lang w:val="fr-CA"/>
        </w:rPr>
        <w:t xml:space="preserve"> Publications du Québec, 1993.</w:t>
      </w:r>
    </w:p>
    <w:p w:rsidR="006F0D5E" w:rsidRPr="00C070BC" w:rsidRDefault="006F0D5E" w:rsidP="00233573">
      <w:pPr>
        <w:pStyle w:val="SCCNormalDoubleSpacing"/>
        <w:widowControl w:val="0"/>
        <w:spacing w:before="240" w:after="240" w:line="240" w:lineRule="auto"/>
        <w:ind w:left="540" w:hanging="540"/>
        <w:rPr>
          <w:lang w:val="fr-CA"/>
        </w:rPr>
      </w:pPr>
      <w:proofErr w:type="spellStart"/>
      <w:r w:rsidRPr="00C070BC">
        <w:rPr>
          <w:lang w:val="fr-CA"/>
        </w:rPr>
        <w:t>Rémillard</w:t>
      </w:r>
      <w:proofErr w:type="spellEnd"/>
      <w:r w:rsidRPr="00C070BC">
        <w:rPr>
          <w:lang w:val="fr-CA"/>
        </w:rPr>
        <w:t xml:space="preserve">, Gil. </w:t>
      </w:r>
      <w:r w:rsidR="004E72A9" w:rsidRPr="00C070BC">
        <w:rPr>
          <w:lang w:val="fr-CA"/>
        </w:rPr>
        <w:t>“</w:t>
      </w:r>
      <w:r w:rsidRPr="00C070BC">
        <w:rPr>
          <w:lang w:val="fr-CA"/>
        </w:rPr>
        <w:t>Présentation du projet de Code civil du Québec</w:t>
      </w:r>
      <w:r w:rsidR="004E72A9" w:rsidRPr="00C070BC">
        <w:rPr>
          <w:lang w:val="fr-CA"/>
        </w:rPr>
        <w:t>”</w:t>
      </w:r>
      <w:r w:rsidRPr="00C070BC">
        <w:rPr>
          <w:lang w:val="fr-CA"/>
        </w:rPr>
        <w:t xml:space="preserve"> (1991), 22 </w:t>
      </w:r>
      <w:r w:rsidRPr="00C070BC">
        <w:rPr>
          <w:i/>
          <w:lang w:val="fr-CA"/>
        </w:rPr>
        <w:t>R.G.D.</w:t>
      </w:r>
      <w:r w:rsidRPr="00C070BC">
        <w:rPr>
          <w:lang w:val="fr-CA"/>
        </w:rPr>
        <w:t xml:space="preserve"> 5.</w:t>
      </w:r>
    </w:p>
    <w:p w:rsidR="006F0D5E" w:rsidRPr="00C070BC" w:rsidRDefault="006F0D5E" w:rsidP="00233573">
      <w:pPr>
        <w:pStyle w:val="SCCNormalDoubleSpacing"/>
        <w:widowControl w:val="0"/>
        <w:spacing w:before="240" w:after="240" w:line="240" w:lineRule="auto"/>
        <w:ind w:left="540" w:hanging="540"/>
        <w:rPr>
          <w:lang w:val="fr-CA"/>
        </w:rPr>
      </w:pPr>
      <w:proofErr w:type="spellStart"/>
      <w:r w:rsidRPr="00C070BC">
        <w:rPr>
          <w:lang w:val="fr-CA"/>
        </w:rPr>
        <w:t>Tancelin</w:t>
      </w:r>
      <w:proofErr w:type="spellEnd"/>
      <w:r w:rsidRPr="00C070BC">
        <w:rPr>
          <w:lang w:val="fr-CA"/>
        </w:rPr>
        <w:t xml:space="preserve">, Maurice. </w:t>
      </w:r>
      <w:r w:rsidR="004E72A9" w:rsidRPr="00C070BC">
        <w:rPr>
          <w:lang w:val="fr-CA"/>
        </w:rPr>
        <w:t>“</w:t>
      </w:r>
      <w:r w:rsidRPr="00C070BC">
        <w:rPr>
          <w:lang w:val="fr-CA"/>
        </w:rPr>
        <w:t>L</w:t>
      </w:r>
      <w:r w:rsidR="00830ED7">
        <w:rPr>
          <w:lang w:val="fr-CA"/>
        </w:rPr>
        <w:t>’</w:t>
      </w:r>
      <w:r w:rsidRPr="00C070BC">
        <w:rPr>
          <w:lang w:val="fr-CA"/>
        </w:rPr>
        <w:t>acte unilatéral en droit des obligations ou l</w:t>
      </w:r>
      <w:r w:rsidR="00830ED7">
        <w:rPr>
          <w:lang w:val="fr-CA"/>
        </w:rPr>
        <w:t>’</w:t>
      </w:r>
      <w:proofErr w:type="spellStart"/>
      <w:r w:rsidR="004E72A9" w:rsidRPr="00C070BC">
        <w:rPr>
          <w:lang w:val="fr-CA"/>
        </w:rPr>
        <w:t>unilatéralisation</w:t>
      </w:r>
      <w:proofErr w:type="spellEnd"/>
      <w:r w:rsidR="004E72A9" w:rsidRPr="00C070BC">
        <w:rPr>
          <w:lang w:val="fr-CA"/>
        </w:rPr>
        <w:t xml:space="preserve"> du contrat”</w:t>
      </w:r>
      <w:r w:rsidRPr="00C070BC">
        <w:rPr>
          <w:lang w:val="fr-CA"/>
        </w:rPr>
        <w:t xml:space="preserve">, dans Nicholas </w:t>
      </w:r>
      <w:proofErr w:type="spellStart"/>
      <w:r w:rsidRPr="00C070BC">
        <w:rPr>
          <w:lang w:val="fr-CA"/>
        </w:rPr>
        <w:t>Kasirer</w:t>
      </w:r>
      <w:proofErr w:type="spellEnd"/>
      <w:r w:rsidRPr="00C070BC">
        <w:rPr>
          <w:lang w:val="fr-CA"/>
        </w:rPr>
        <w:t xml:space="preserve">, </w:t>
      </w:r>
      <w:proofErr w:type="spellStart"/>
      <w:proofErr w:type="gramStart"/>
      <w:r w:rsidRPr="00C070BC">
        <w:rPr>
          <w:lang w:val="fr-CA"/>
        </w:rPr>
        <w:t>dir</w:t>
      </w:r>
      <w:proofErr w:type="spellEnd"/>
      <w:r w:rsidRPr="00C070BC">
        <w:rPr>
          <w:lang w:val="fr-CA"/>
        </w:rPr>
        <w:t>.,</w:t>
      </w:r>
      <w:proofErr w:type="gramEnd"/>
      <w:r w:rsidRPr="00C070BC">
        <w:rPr>
          <w:lang w:val="fr-CA"/>
        </w:rPr>
        <w:t xml:space="preserve"> </w:t>
      </w:r>
      <w:r w:rsidRPr="00C070BC">
        <w:rPr>
          <w:i/>
          <w:lang w:val="fr-CA"/>
        </w:rPr>
        <w:t>La Solitude en droit privé</w:t>
      </w:r>
      <w:r w:rsidR="004E72A9" w:rsidRPr="00C070BC">
        <w:rPr>
          <w:lang w:val="fr-CA"/>
        </w:rPr>
        <w:t>. Montréal:</w:t>
      </w:r>
      <w:r w:rsidRPr="00C070BC">
        <w:rPr>
          <w:lang w:val="fr-CA"/>
        </w:rPr>
        <w:t xml:space="preserve"> Thémis, 2002, 213.</w:t>
      </w:r>
    </w:p>
    <w:p w:rsidR="006F0D5E" w:rsidRPr="00C070BC" w:rsidRDefault="006F0D5E" w:rsidP="00233573">
      <w:pPr>
        <w:pStyle w:val="SCCNormalDoubleSpacing"/>
        <w:widowControl w:val="0"/>
        <w:spacing w:after="720" w:line="240" w:lineRule="auto"/>
        <w:ind w:left="547" w:hanging="547"/>
      </w:pPr>
      <w:proofErr w:type="spellStart"/>
      <w:r w:rsidRPr="00C070BC">
        <w:rPr>
          <w:lang w:val="fr-CA"/>
        </w:rPr>
        <w:t>Vincelette</w:t>
      </w:r>
      <w:proofErr w:type="spellEnd"/>
      <w:r w:rsidRPr="00C070BC">
        <w:rPr>
          <w:lang w:val="fr-CA"/>
        </w:rPr>
        <w:t xml:space="preserve">, Denis. </w:t>
      </w:r>
      <w:r w:rsidRPr="00C070BC">
        <w:rPr>
          <w:i/>
          <w:lang w:val="fr-CA"/>
        </w:rPr>
        <w:t>En possession du Code civil du Québec</w:t>
      </w:r>
      <w:r w:rsidR="004E72A9" w:rsidRPr="00C070BC">
        <w:rPr>
          <w:lang w:val="fr-CA"/>
        </w:rPr>
        <w:t>.</w:t>
      </w:r>
      <w:r w:rsidRPr="00C070BC">
        <w:rPr>
          <w:lang w:val="fr-CA"/>
        </w:rPr>
        <w:t xml:space="preserve"> </w:t>
      </w:r>
      <w:r w:rsidR="004E72A9" w:rsidRPr="00C070BC">
        <w:t>Montréal:</w:t>
      </w:r>
      <w:r w:rsidRPr="00C070BC">
        <w:t xml:space="preserve"> Wilson &amp; </w:t>
      </w:r>
      <w:proofErr w:type="spellStart"/>
      <w:r w:rsidRPr="00C070BC">
        <w:t>Lafleur</w:t>
      </w:r>
      <w:proofErr w:type="spellEnd"/>
      <w:r w:rsidRPr="00C070BC">
        <w:t>, 2004.</w:t>
      </w:r>
    </w:p>
    <w:p w:rsidR="00656313" w:rsidRPr="00C070BC" w:rsidRDefault="000B4105" w:rsidP="00233573">
      <w:pPr>
        <w:pStyle w:val="SCCNormalDoubleSpacing"/>
        <w:widowControl w:val="0"/>
        <w:spacing w:before="480" w:after="480"/>
      </w:pPr>
      <w:r w:rsidRPr="00C070BC">
        <w:tab/>
      </w:r>
      <w:r w:rsidR="009B57B3" w:rsidRPr="00C070BC">
        <w:t xml:space="preserve">APPEAL from a judgment of the </w:t>
      </w:r>
      <w:r w:rsidRPr="00C070BC">
        <w:t>Quebec Court of Appeal</w:t>
      </w:r>
      <w:r w:rsidR="00DF426A" w:rsidRPr="00C070BC">
        <w:t xml:space="preserve"> (</w:t>
      </w:r>
      <w:r w:rsidR="002D255B" w:rsidRPr="00C070BC">
        <w:t>Savard and Schrager </w:t>
      </w:r>
      <w:r w:rsidR="00DF426A" w:rsidRPr="00C070BC">
        <w:t>JJ.A. and Jacques</w:t>
      </w:r>
      <w:r w:rsidR="002D255B" w:rsidRPr="00C070BC">
        <w:t> </w:t>
      </w:r>
      <w:r w:rsidR="00DF426A" w:rsidRPr="00C070BC">
        <w:t>J. (</w:t>
      </w:r>
      <w:r w:rsidR="00DF426A" w:rsidRPr="00C070BC">
        <w:rPr>
          <w:i/>
        </w:rPr>
        <w:t>ad hoc</w:t>
      </w:r>
      <w:r w:rsidR="00DF426A" w:rsidRPr="00C070BC">
        <w:t>)), 2015 QCCA 1368, [2015] AZ</w:t>
      </w:r>
      <w:r w:rsidR="004B3C8A" w:rsidRPr="00C070BC">
        <w:noBreakHyphen/>
      </w:r>
      <w:r w:rsidR="00111F28" w:rsidRPr="00C070BC">
        <w:t>51208986</w:t>
      </w:r>
      <w:r w:rsidR="00DF426A" w:rsidRPr="00C070BC">
        <w:t>, [2015] J.Q. n</w:t>
      </w:r>
      <w:r w:rsidR="00DF426A" w:rsidRPr="00C070BC">
        <w:rPr>
          <w:vertAlign w:val="superscript"/>
        </w:rPr>
        <w:t>o</w:t>
      </w:r>
      <w:r w:rsidR="002D255B" w:rsidRPr="00C070BC">
        <w:t> </w:t>
      </w:r>
      <w:r w:rsidR="00DF426A" w:rsidRPr="00C070BC">
        <w:t xml:space="preserve">7834 (QL), 2015 </w:t>
      </w:r>
      <w:proofErr w:type="spellStart"/>
      <w:r w:rsidR="00DF426A" w:rsidRPr="00C070BC">
        <w:t>CarswellQue</w:t>
      </w:r>
      <w:proofErr w:type="spellEnd"/>
      <w:r w:rsidR="00DF426A" w:rsidRPr="00C070BC">
        <w:t xml:space="preserve"> 7807 (WL Can.), affirming a decision of </w:t>
      </w:r>
      <w:r w:rsidR="00DF426A" w:rsidRPr="00C070BC">
        <w:lastRenderedPageBreak/>
        <w:t>Dumas</w:t>
      </w:r>
      <w:r w:rsidR="002D255B" w:rsidRPr="00C070BC">
        <w:t> </w:t>
      </w:r>
      <w:r w:rsidR="00DF426A" w:rsidRPr="00C070BC">
        <w:t>J., 2013 QCCS 5808, [2013] AZ</w:t>
      </w:r>
      <w:r w:rsidR="004B3C8A" w:rsidRPr="00C070BC">
        <w:noBreakHyphen/>
      </w:r>
      <w:r w:rsidR="00111F28" w:rsidRPr="00C070BC">
        <w:t>51020921</w:t>
      </w:r>
      <w:r w:rsidR="00DF426A" w:rsidRPr="00C070BC">
        <w:t>, [2013] J.Q. n</w:t>
      </w:r>
      <w:r w:rsidR="00DF426A" w:rsidRPr="00C070BC">
        <w:rPr>
          <w:vertAlign w:val="superscript"/>
        </w:rPr>
        <w:t>o</w:t>
      </w:r>
      <w:r w:rsidR="002D255B" w:rsidRPr="00C070BC">
        <w:t> </w:t>
      </w:r>
      <w:r w:rsidR="00DF426A" w:rsidRPr="00C070BC">
        <w:t>16027 (QL)</w:t>
      </w:r>
      <w:r w:rsidR="00F136CB" w:rsidRPr="00C070BC">
        <w:t xml:space="preserve">, 2013 </w:t>
      </w:r>
      <w:proofErr w:type="spellStart"/>
      <w:r w:rsidR="00F136CB" w:rsidRPr="00C070BC">
        <w:t>CarswellQue</w:t>
      </w:r>
      <w:proofErr w:type="spellEnd"/>
      <w:r w:rsidR="00F136CB" w:rsidRPr="00C070BC">
        <w:t xml:space="preserve"> 11635 (WL Can.)</w:t>
      </w:r>
      <w:r w:rsidRPr="00C070BC">
        <w:t xml:space="preserve">. Appeal </w:t>
      </w:r>
      <w:r w:rsidR="00A71866" w:rsidRPr="00C070BC">
        <w:t xml:space="preserve">dismissed, </w:t>
      </w:r>
      <w:proofErr w:type="spellStart"/>
      <w:r w:rsidR="00A71866" w:rsidRPr="00C070BC">
        <w:t>Côté</w:t>
      </w:r>
      <w:proofErr w:type="spellEnd"/>
      <w:r w:rsidR="00A71866" w:rsidRPr="00C070BC">
        <w:t xml:space="preserve"> J. dissenting</w:t>
      </w:r>
      <w:r w:rsidRPr="00C070BC">
        <w:t>.</w:t>
      </w:r>
    </w:p>
    <w:p w:rsidR="00805323" w:rsidRPr="00C070BC" w:rsidRDefault="000B4105" w:rsidP="00233573">
      <w:pPr>
        <w:pStyle w:val="SCCNormalDoubleSpacing"/>
        <w:widowControl w:val="0"/>
        <w:spacing w:before="480" w:after="480"/>
      </w:pPr>
      <w:r w:rsidRPr="00C070BC">
        <w:rPr>
          <w:rStyle w:val="SCCCounselNameChar"/>
          <w:i w:val="0"/>
        </w:rPr>
        <w:tab/>
      </w:r>
      <w:r w:rsidR="00CF6F29" w:rsidRPr="00C070BC">
        <w:rPr>
          <w:rStyle w:val="SCCCounselNameChar"/>
        </w:rPr>
        <w:t xml:space="preserve">Eric </w:t>
      </w:r>
      <w:proofErr w:type="spellStart"/>
      <w:r w:rsidR="00CF6F29" w:rsidRPr="00C070BC">
        <w:rPr>
          <w:rStyle w:val="SCCCounselNameChar"/>
        </w:rPr>
        <w:t>Lalanne</w:t>
      </w:r>
      <w:proofErr w:type="spellEnd"/>
      <w:r w:rsidR="00CF6F29" w:rsidRPr="00C070BC">
        <w:rPr>
          <w:rStyle w:val="SCCCounselPartyRoleChar"/>
        </w:rPr>
        <w:t>, for the appellant</w:t>
      </w:r>
      <w:r w:rsidRPr="00C070BC">
        <w:rPr>
          <w:rStyle w:val="SCCCounselPartyRoleChar"/>
        </w:rPr>
        <w:t>s</w:t>
      </w:r>
      <w:r w:rsidR="00CF6F29" w:rsidRPr="00C070BC">
        <w:rPr>
          <w:rStyle w:val="SCCCounselPartyRoleChar"/>
        </w:rPr>
        <w:t>.</w:t>
      </w:r>
    </w:p>
    <w:p w:rsidR="00805323" w:rsidRDefault="000B4105" w:rsidP="00233573">
      <w:pPr>
        <w:pStyle w:val="SCCNormalDoubleSpacing"/>
        <w:widowControl w:val="0"/>
        <w:spacing w:before="480" w:after="480"/>
        <w:rPr>
          <w:rStyle w:val="SCCCounselPartyRoleChar"/>
        </w:rPr>
      </w:pPr>
      <w:r w:rsidRPr="00C070BC">
        <w:rPr>
          <w:rStyle w:val="SCCCounselNameChar"/>
          <w:i w:val="0"/>
        </w:rPr>
        <w:tab/>
      </w:r>
      <w:r w:rsidR="00CF6F29" w:rsidRPr="00C070BC">
        <w:rPr>
          <w:rStyle w:val="SCCCounselNameChar"/>
        </w:rPr>
        <w:t xml:space="preserve">Philippe </w:t>
      </w:r>
      <w:proofErr w:type="spellStart"/>
      <w:r w:rsidR="00CF6F29" w:rsidRPr="00C070BC">
        <w:rPr>
          <w:rStyle w:val="SCCCounselNameChar"/>
        </w:rPr>
        <w:t>Dumaine</w:t>
      </w:r>
      <w:proofErr w:type="spellEnd"/>
      <w:r w:rsidR="00CF6F29" w:rsidRPr="00C070BC">
        <w:rPr>
          <w:rStyle w:val="SCCCounselPartyRoleChar"/>
        </w:rPr>
        <w:t xml:space="preserve"> </w:t>
      </w:r>
      <w:r w:rsidRPr="00C070BC">
        <w:rPr>
          <w:rStyle w:val="SCCCounselPartyRoleChar"/>
        </w:rPr>
        <w:t xml:space="preserve">and </w:t>
      </w:r>
      <w:r w:rsidRPr="00C070BC">
        <w:rPr>
          <w:rStyle w:val="SCCCounselPartyRoleChar"/>
          <w:i/>
        </w:rPr>
        <w:t xml:space="preserve">Sarah </w:t>
      </w:r>
      <w:proofErr w:type="spellStart"/>
      <w:r w:rsidRPr="00C070BC">
        <w:rPr>
          <w:rStyle w:val="SCCCounselPartyRoleChar"/>
          <w:i/>
        </w:rPr>
        <w:t>Laplante</w:t>
      </w:r>
      <w:proofErr w:type="spellEnd"/>
      <w:r w:rsidRPr="00C070BC">
        <w:rPr>
          <w:rStyle w:val="SCCCounselPartyRoleChar"/>
          <w:i/>
        </w:rPr>
        <w:t xml:space="preserve"> </w:t>
      </w:r>
      <w:proofErr w:type="spellStart"/>
      <w:r w:rsidRPr="00C070BC">
        <w:rPr>
          <w:rStyle w:val="SCCCounselPartyRoleChar"/>
          <w:i/>
        </w:rPr>
        <w:t>Bazzi</w:t>
      </w:r>
      <w:proofErr w:type="spellEnd"/>
      <w:r w:rsidRPr="00C070BC">
        <w:rPr>
          <w:rStyle w:val="SCCCounselPartyRoleChar"/>
        </w:rPr>
        <w:t xml:space="preserve">, </w:t>
      </w:r>
      <w:r w:rsidR="00CF6F29" w:rsidRPr="00C070BC">
        <w:rPr>
          <w:rStyle w:val="SCCCounselPartyRoleChar"/>
        </w:rPr>
        <w:t>for the respondent.</w:t>
      </w:r>
    </w:p>
    <w:p w:rsidR="003415DD" w:rsidRPr="002C48B9" w:rsidRDefault="0085189C" w:rsidP="00233573">
      <w:pPr>
        <w:pStyle w:val="SCCNormalDoubleSpacing"/>
        <w:widowControl w:val="0"/>
        <w:spacing w:before="480" w:after="480"/>
      </w:pPr>
      <w:r>
        <w:tab/>
      </w:r>
      <w:r w:rsidR="003415DD">
        <w:t>English version</w:t>
      </w:r>
      <w:r w:rsidR="003415DD" w:rsidRPr="00026EF5">
        <w:t xml:space="preserve"> of t</w:t>
      </w:r>
      <w:r w:rsidR="003415DD" w:rsidRPr="002C48B9">
        <w:t xml:space="preserve">he </w:t>
      </w:r>
      <w:r w:rsidR="003415DD" w:rsidRPr="0085189C">
        <w:rPr>
          <w:rStyle w:val="SCCCounselPartyRoleChar"/>
        </w:rPr>
        <w:t>judgment</w:t>
      </w:r>
      <w:r w:rsidR="003415DD" w:rsidRPr="002C48B9">
        <w:t xml:space="preserve"> of </w:t>
      </w:r>
      <w:proofErr w:type="spellStart"/>
      <w:r w:rsidR="003415DD">
        <w:t>McLachlin</w:t>
      </w:r>
      <w:proofErr w:type="spellEnd"/>
      <w:r w:rsidR="003415DD">
        <w:t xml:space="preserve"> C.J. and </w:t>
      </w:r>
      <w:proofErr w:type="spellStart"/>
      <w:r w:rsidR="003415DD">
        <w:t>Moldaver</w:t>
      </w:r>
      <w:proofErr w:type="spellEnd"/>
      <w:r w:rsidR="003415DD">
        <w:t xml:space="preserve">, </w:t>
      </w:r>
      <w:proofErr w:type="spellStart"/>
      <w:r w:rsidR="003415DD">
        <w:t>Karakatsa</w:t>
      </w:r>
      <w:r w:rsidR="00391314">
        <w:t>n</w:t>
      </w:r>
      <w:r w:rsidR="003415DD">
        <w:t>is</w:t>
      </w:r>
      <w:proofErr w:type="spellEnd"/>
      <w:r w:rsidR="003415DD">
        <w:t xml:space="preserve">, Wagner, </w:t>
      </w:r>
      <w:proofErr w:type="spellStart"/>
      <w:r w:rsidR="003415DD">
        <w:t>Gascon</w:t>
      </w:r>
      <w:proofErr w:type="spellEnd"/>
      <w:r w:rsidR="003415DD">
        <w:t xml:space="preserve"> and Brown JJ. </w:t>
      </w:r>
      <w:proofErr w:type="gramStart"/>
      <w:r w:rsidR="003415DD" w:rsidRPr="002C48B9">
        <w:t>delivered</w:t>
      </w:r>
      <w:proofErr w:type="gramEnd"/>
      <w:r w:rsidR="003415DD" w:rsidRPr="002C48B9">
        <w:t xml:space="preserve"> by</w:t>
      </w:r>
    </w:p>
    <w:p w:rsidR="00FE692E" w:rsidRPr="00A9717C" w:rsidRDefault="00FE692E" w:rsidP="00233573">
      <w:pPr>
        <w:pStyle w:val="JudgeJuge"/>
        <w:widowControl w:val="0"/>
        <w:spacing w:before="480"/>
        <w:rPr>
          <w:lang w:val="en-CA"/>
        </w:rPr>
      </w:pPr>
      <w:r w:rsidRPr="00A9717C">
        <w:rPr>
          <w:lang w:val="en-CA"/>
        </w:rPr>
        <w:tab/>
      </w:r>
      <w:proofErr w:type="spellStart"/>
      <w:r w:rsidRPr="00A9717C">
        <w:rPr>
          <w:lang w:val="en-CA"/>
        </w:rPr>
        <w:t>Gascon</w:t>
      </w:r>
      <w:proofErr w:type="spellEnd"/>
      <w:r w:rsidRPr="00A9717C">
        <w:rPr>
          <w:lang w:val="en-CA"/>
        </w:rPr>
        <w:t xml:space="preserve"> J. — </w:t>
      </w:r>
    </w:p>
    <w:p w:rsidR="00FE692E" w:rsidRPr="00A9717C" w:rsidRDefault="00FE692E" w:rsidP="00233573">
      <w:pPr>
        <w:pStyle w:val="Title1LevelTitre1Niveau-AltL"/>
        <w:widowControl w:val="0"/>
        <w:rPr>
          <w:rFonts w:cs="Times New Roman"/>
        </w:rPr>
      </w:pPr>
      <w:r w:rsidRPr="00A9717C">
        <w:rPr>
          <w:rFonts w:cs="Times New Roman"/>
        </w:rPr>
        <w:t>Overview</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This appeal highlights the occasional friction between acquisitive prescription and the apparent certainty of entries in the land register. Like any other source of friction between two or more parts of the </w:t>
      </w:r>
      <w:r w:rsidRPr="00A9717C">
        <w:rPr>
          <w:rFonts w:cs="Times New Roman"/>
          <w:i/>
          <w:lang w:val="en-CA"/>
        </w:rPr>
        <w:t>Civil Code of Québec</w:t>
      </w:r>
      <w:r w:rsidRPr="00A9717C">
        <w:rPr>
          <w:rFonts w:cs="Times New Roman"/>
          <w:lang w:val="en-CA"/>
        </w:rPr>
        <w:t xml:space="preserve"> (“</w:t>
      </w:r>
      <w:r w:rsidRPr="00A9717C">
        <w:rPr>
          <w:rFonts w:cs="Times New Roman"/>
          <w:i/>
          <w:lang w:val="en-CA"/>
        </w:rPr>
        <w:t>C.C.Q.</w:t>
      </w:r>
      <w:r w:rsidRPr="00A9717C">
        <w:rPr>
          <w:rFonts w:cs="Times New Roman"/>
          <w:lang w:val="en-CA"/>
        </w:rPr>
        <w:t>” or “</w:t>
      </w:r>
      <w:r w:rsidRPr="00A9717C">
        <w:rPr>
          <w:rFonts w:cs="Times New Roman"/>
          <w:i/>
          <w:lang w:val="en-CA"/>
        </w:rPr>
        <w:t>Code</w:t>
      </w:r>
      <w:r w:rsidRPr="00A9717C">
        <w:rPr>
          <w:rFonts w:cs="Times New Roman"/>
          <w:lang w:val="en-CA"/>
        </w:rPr>
        <w:t xml:space="preserve">”), this one must be resolved by adopting the solution that accords best with the general scheme of the </w:t>
      </w:r>
      <w:r w:rsidRPr="00A9717C">
        <w:rPr>
          <w:rFonts w:cs="Times New Roman"/>
          <w:i/>
          <w:lang w:val="en-CA"/>
        </w:rPr>
        <w:t>Code</w:t>
      </w:r>
      <w:r w:rsidRPr="00A9717C">
        <w:rPr>
          <w:rFonts w:cs="Times New Roman"/>
          <w:lang w:val="en-CA"/>
        </w:rPr>
        <w:t xml:space="preserve">, but without singling out one of its articles at the expense of others. The concern here is with the consistency of the </w:t>
      </w:r>
      <w:r w:rsidRPr="00A9717C">
        <w:rPr>
          <w:rFonts w:cs="Times New Roman"/>
          <w:i/>
          <w:lang w:val="en-CA"/>
        </w:rPr>
        <w:t>Code</w:t>
      </w:r>
      <w:r w:rsidRPr="00A9717C">
        <w:rPr>
          <w:rFonts w:cs="Times New Roman"/>
          <w:lang w:val="en-CA"/>
        </w:rPr>
        <w:t xml:space="preserve">, which is unquestionably one of its fundamental characteristics.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The parties </w:t>
      </w:r>
      <w:r w:rsidRPr="001E63A0">
        <w:rPr>
          <w:rFonts w:cs="Times New Roman"/>
          <w:lang w:val="en-US"/>
        </w:rPr>
        <w:t>are</w:t>
      </w:r>
      <w:r w:rsidRPr="00A9717C">
        <w:rPr>
          <w:rFonts w:cs="Times New Roman"/>
          <w:lang w:val="en-CA"/>
        </w:rPr>
        <w:t xml:space="preserve"> </w:t>
      </w:r>
      <w:r w:rsidRPr="001E63A0">
        <w:rPr>
          <w:rFonts w:cs="Times New Roman"/>
          <w:lang w:val="en-US"/>
        </w:rPr>
        <w:t>owners</w:t>
      </w:r>
      <w:r w:rsidRPr="00A9717C">
        <w:rPr>
          <w:rFonts w:cs="Times New Roman"/>
          <w:lang w:val="en-CA"/>
        </w:rPr>
        <w:t xml:space="preserve"> of contiguous lots on which their respective chalets are located. Between 1994 and 2011, the respondent, Ms. Allie, and her family used </w:t>
      </w:r>
      <w:r w:rsidRPr="00A9717C">
        <w:rPr>
          <w:rFonts w:cs="Times New Roman"/>
          <w:lang w:val="en-CA"/>
        </w:rPr>
        <w:lastRenderedPageBreak/>
        <w:t>one or two parking spaces situated on the property of their then neighbour in full view of everyone, and there was no objection to their doing so. In 2011, the appellants, Mr. </w:t>
      </w:r>
      <w:proofErr w:type="spellStart"/>
      <w:r w:rsidRPr="00A9717C">
        <w:rPr>
          <w:rFonts w:cs="Times New Roman"/>
          <w:lang w:val="en-CA"/>
        </w:rPr>
        <w:t>Ostiguy</w:t>
      </w:r>
      <w:proofErr w:type="spellEnd"/>
      <w:r w:rsidRPr="00A9717C">
        <w:rPr>
          <w:rFonts w:cs="Times New Roman"/>
          <w:lang w:val="en-CA"/>
        </w:rPr>
        <w:t xml:space="preserve"> and Ms. Savard, purchased this neighbouring lot. A few months after taking possession of their property, they applied for an injunction to stop the respondent from parking on it. The respondent replied that she had acquired the two parking spaces by 10</w:t>
      </w:r>
      <w:r w:rsidRPr="00A9717C">
        <w:rPr>
          <w:rFonts w:cs="Times New Roman"/>
          <w:lang w:val="en-CA"/>
        </w:rPr>
        <w:noBreakHyphen/>
        <w:t xml:space="preserve">year prescription. The trial judge agreed with her in part, holding that the evidence showed that she had acquired by prescription one of the two parking spaces she claimed.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The appellants no longer contest the trial judge’s findings of fact regarding the status of the respondent’s possession. However, they do raise a question of law on which this appeal is based: Can acquisitive prescription be set up against a new owner whose title was registered in the land register before the possessor’s right was asserted in court?</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In the Court of Appeal, the majority answered this question in the affirmative and dismissed the appeal. The dissenting judge, on the other hand, would have allowed the appeal and confirmed the appellants’ title.</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 would dismiss the appeal. The </w:t>
      </w:r>
      <w:r w:rsidRPr="00A9717C">
        <w:rPr>
          <w:rFonts w:cs="Times New Roman"/>
          <w:i/>
          <w:lang w:val="en-CA"/>
        </w:rPr>
        <w:t xml:space="preserve">Code </w:t>
      </w:r>
      <w:r w:rsidRPr="00A9717C">
        <w:rPr>
          <w:rFonts w:cs="Times New Roman"/>
          <w:lang w:val="en-CA"/>
        </w:rPr>
        <w:t xml:space="preserve">has not changed the process of acquisitive prescription, which may be set up against the registered owner regardless of when his or her right was registered. This conclusion is based on the legislative history of the provisions at issue and reflects the need for consistency between the relevant books of the </w:t>
      </w:r>
      <w:r w:rsidRPr="00A9717C">
        <w:rPr>
          <w:rFonts w:cs="Times New Roman"/>
          <w:i/>
          <w:lang w:val="en-CA"/>
        </w:rPr>
        <w:t>Code</w:t>
      </w:r>
      <w:r w:rsidRPr="00A9717C">
        <w:rPr>
          <w:rFonts w:cs="Times New Roman"/>
          <w:lang w:val="en-CA"/>
        </w:rPr>
        <w:t xml:space="preserve">. In contrast, the solution proposed by the appellants is based </w:t>
      </w:r>
      <w:r w:rsidRPr="00A9717C">
        <w:rPr>
          <w:rFonts w:cs="Times New Roman"/>
          <w:lang w:val="en-CA"/>
        </w:rPr>
        <w:lastRenderedPageBreak/>
        <w:t xml:space="preserve">on a literal interpretation of art. 2918 </w:t>
      </w:r>
      <w:r w:rsidRPr="00A9717C">
        <w:rPr>
          <w:rFonts w:cs="Times New Roman"/>
          <w:i/>
          <w:lang w:val="en-CA"/>
        </w:rPr>
        <w:t>C.C.Q.</w:t>
      </w:r>
      <w:r w:rsidRPr="00A9717C">
        <w:rPr>
          <w:rFonts w:cs="Times New Roman"/>
          <w:lang w:val="en-CA"/>
        </w:rPr>
        <w:t xml:space="preserve"> that would be incompatible with several provisions of the </w:t>
      </w:r>
      <w:proofErr w:type="gramStart"/>
      <w:r w:rsidRPr="00A9717C">
        <w:rPr>
          <w:rFonts w:cs="Times New Roman"/>
          <w:i/>
          <w:lang w:val="en-CA"/>
        </w:rPr>
        <w:t>Code</w:t>
      </w:r>
      <w:r w:rsidRPr="00A9717C">
        <w:rPr>
          <w:rFonts w:cs="Times New Roman"/>
          <w:lang w:val="en-CA"/>
        </w:rPr>
        <w:t>, that</w:t>
      </w:r>
      <w:proofErr w:type="gramEnd"/>
      <w:r w:rsidRPr="00A9717C">
        <w:rPr>
          <w:rFonts w:cs="Times New Roman"/>
          <w:lang w:val="en-CA"/>
        </w:rPr>
        <w:t xml:space="preserve"> would result in inconsistencies the legislature could not have intended, and that must therefore be rejected. </w:t>
      </w:r>
    </w:p>
    <w:p w:rsidR="00FE692E" w:rsidRPr="00A9717C" w:rsidRDefault="00FE692E" w:rsidP="00233573">
      <w:pPr>
        <w:pStyle w:val="Title1LevelTitre1Niveau-AltL"/>
        <w:widowControl w:val="0"/>
        <w:rPr>
          <w:rFonts w:cs="Times New Roman"/>
        </w:rPr>
      </w:pPr>
      <w:r w:rsidRPr="00A9717C">
        <w:rPr>
          <w:rFonts w:cs="Times New Roman"/>
        </w:rPr>
        <w:t>Background</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The facts of this case are no longer in dispute. They can be summarized briefly. In 1993, the respondent’s predecessor in title, her deceased spouse, purchased the lot of which she is now the owner. From 1994 to 2011, their family had peaceful, continuous, public and unequivocal possession of one of four parking spaces located on their neighbour’s lot. Between 2004 and 2011, after the space had been acquired by 10</w:t>
      </w:r>
      <w:r w:rsidRPr="00A9717C">
        <w:rPr>
          <w:rFonts w:cs="Times New Roman"/>
          <w:lang w:val="en-CA"/>
        </w:rPr>
        <w:noBreakHyphen/>
        <w:t>year prescription, the respondent nevertheless did not bring legal proceedings to have her right recognized.</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The appellants acquired this neighbouring lot in 2011 by act of sale. Relying on their title, which was registered in the land register, they moved quickly to send the respondent a formal notice to stop parking on their property. A few months later, they applied for an injunction to the same effect. The respondent objected to that application. She filed a cross demand, arguing that she had acquired not one but two of the parking spaces by 10</w:t>
      </w:r>
      <w:r w:rsidRPr="00A9717C">
        <w:rPr>
          <w:rFonts w:cs="Times New Roman"/>
          <w:lang w:val="en-CA"/>
        </w:rPr>
        <w:noBreakHyphen/>
        <w:t>year prescription and that that acquisition took precedence over the appellants’ title.</w:t>
      </w:r>
    </w:p>
    <w:p w:rsidR="00FE692E" w:rsidRPr="00A9717C" w:rsidRDefault="00FE692E" w:rsidP="00233573">
      <w:pPr>
        <w:pStyle w:val="Title1LevelTitre1Niveau-AltL"/>
        <w:widowControl w:val="0"/>
        <w:rPr>
          <w:rFonts w:cs="Times New Roman"/>
        </w:rPr>
      </w:pPr>
      <w:r w:rsidRPr="00A9717C">
        <w:rPr>
          <w:rFonts w:cs="Times New Roman"/>
        </w:rPr>
        <w:t>Judicial History</w:t>
      </w:r>
    </w:p>
    <w:p w:rsidR="00FE692E" w:rsidRPr="00A9717C" w:rsidRDefault="00FE692E" w:rsidP="00233573">
      <w:pPr>
        <w:pStyle w:val="Title2LevelTitre2Niveau"/>
        <w:widowControl w:val="0"/>
        <w:rPr>
          <w:rFonts w:cs="Times New Roman"/>
        </w:rPr>
      </w:pPr>
      <w:r w:rsidRPr="00A9717C">
        <w:rPr>
          <w:rFonts w:cs="Times New Roman"/>
        </w:rPr>
        <w:lastRenderedPageBreak/>
        <w:t>Quebec Superior Court (2013 QCCS 5808)</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The trial judge found that the respondent and her predecessor in title had had effective possession of one parking space on the appellants’ lot for 10 years. The respondent had in that way acquired ownership of the space in question by prescription. The judge therefore declared her to be the sole owner of the parking space and ordered that the judgment be registered in the land register.</w:t>
      </w:r>
    </w:p>
    <w:p w:rsidR="00FE692E" w:rsidRPr="00A9717C" w:rsidRDefault="00FE692E" w:rsidP="00233573">
      <w:pPr>
        <w:pStyle w:val="Title2LevelTitre2Niveau"/>
        <w:widowControl w:val="0"/>
        <w:rPr>
          <w:rFonts w:cs="Times New Roman"/>
        </w:rPr>
      </w:pPr>
      <w:r w:rsidRPr="00A9717C">
        <w:rPr>
          <w:rFonts w:cs="Times New Roman"/>
        </w:rPr>
        <w:t>Quebec Court of Appeal (2015 QCCA 1368)</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All three judges of the Court of Appeal adopted the trial judge’s findings of fact regarding the respondent’s effective possession. However, they were divided on whether that possession could be set up against the appellants.</w:t>
      </w:r>
    </w:p>
    <w:p w:rsidR="00FE692E" w:rsidRPr="00A9717C" w:rsidRDefault="00FE692E" w:rsidP="00233573">
      <w:pPr>
        <w:pStyle w:val="Title3LevelTitre3Niveau"/>
        <w:widowControl w:val="0"/>
        <w:rPr>
          <w:rFonts w:cs="Times New Roman"/>
        </w:rPr>
      </w:pPr>
      <w:r w:rsidRPr="00A9717C">
        <w:rPr>
          <w:rFonts w:cs="Times New Roman"/>
        </w:rPr>
        <w:t>Majority reasons of Savard and Schrager JJ.A.</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Savard J.A., writing for the majority, concluded that the respondent’s possession could be set up against the appellants. She mentioned that there is some </w:t>
      </w:r>
      <w:r w:rsidRPr="00A9717C">
        <w:rPr>
          <w:rFonts w:cs="Times New Roman"/>
          <w:bCs/>
          <w:lang w:val="en-CA"/>
        </w:rPr>
        <w:t>debate</w:t>
      </w:r>
      <w:r w:rsidRPr="00A9717C">
        <w:rPr>
          <w:rFonts w:cs="Times New Roman"/>
          <w:lang w:val="en-CA"/>
        </w:rPr>
        <w:t xml:space="preserve"> among academic authors and in the case law about whether a judgment under art. 2918 </w:t>
      </w:r>
      <w:r w:rsidRPr="00A9717C">
        <w:rPr>
          <w:rFonts w:cs="Times New Roman"/>
          <w:i/>
          <w:lang w:val="en-CA"/>
        </w:rPr>
        <w:t>C.C.Q.</w:t>
      </w:r>
      <w:r w:rsidRPr="00A9717C">
        <w:rPr>
          <w:rFonts w:cs="Times New Roman"/>
          <w:lang w:val="en-CA"/>
        </w:rPr>
        <w:t xml:space="preserve"> recognizes or grants a right of ownershi</w:t>
      </w:r>
      <w:r>
        <w:rPr>
          <w:rFonts w:cs="Times New Roman"/>
          <w:lang w:val="en-CA"/>
        </w:rPr>
        <w:t xml:space="preserve">p. </w:t>
      </w:r>
      <w:r w:rsidRPr="00A9717C">
        <w:rPr>
          <w:rFonts w:cs="Times New Roman"/>
          <w:lang w:val="en-CA"/>
        </w:rPr>
        <w:t>However, she found that this issue was not relevant in the context of the appeal.</w:t>
      </w:r>
      <w:r>
        <w:rPr>
          <w:rFonts w:cs="Times New Roman"/>
          <w:lang w:val="en-CA"/>
        </w:rPr>
        <w:t xml:space="preserve"> </w:t>
      </w:r>
      <w:r w:rsidRPr="00A9717C">
        <w:rPr>
          <w:rFonts w:cs="Times New Roman"/>
          <w:lang w:val="en-CA"/>
        </w:rPr>
        <w:t xml:space="preserve">Neither art. 2918 nor the </w:t>
      </w:r>
      <w:r w:rsidRPr="00A9717C">
        <w:rPr>
          <w:rFonts w:cs="Times New Roman"/>
          <w:i/>
          <w:lang w:val="en-CA"/>
        </w:rPr>
        <w:t>Code</w:t>
      </w:r>
      <w:r w:rsidRPr="00A9717C">
        <w:rPr>
          <w:rFonts w:cs="Times New Roman"/>
          <w:lang w:val="en-CA"/>
        </w:rPr>
        <w:t xml:space="preserve"> as a whole had changed the principles with respect to acquisitive prescription that had applied under the </w:t>
      </w:r>
      <w:r w:rsidRPr="00A9717C">
        <w:rPr>
          <w:rFonts w:cs="Times New Roman"/>
          <w:i/>
          <w:lang w:val="en-CA"/>
        </w:rPr>
        <w:t>Civil Code of Lower Canada</w:t>
      </w:r>
      <w:r w:rsidRPr="00A9717C">
        <w:rPr>
          <w:rFonts w:cs="Times New Roman"/>
          <w:lang w:val="en-CA"/>
        </w:rPr>
        <w:t xml:space="preserve"> (“</w:t>
      </w:r>
      <w:r w:rsidRPr="00A9717C">
        <w:rPr>
          <w:rFonts w:cs="Times New Roman"/>
          <w:i/>
          <w:lang w:val="en-CA"/>
        </w:rPr>
        <w:t>C.C.L.C.</w:t>
      </w:r>
      <w:r w:rsidRPr="00A9717C">
        <w:rPr>
          <w:rFonts w:cs="Times New Roman"/>
          <w:lang w:val="en-CA"/>
        </w:rPr>
        <w:t xml:space="preserve">”), according to which possession could be set up against an owner whose title was registered in the land </w:t>
      </w:r>
      <w:r w:rsidRPr="00A9717C">
        <w:rPr>
          <w:rFonts w:cs="Times New Roman"/>
          <w:lang w:val="en-CA"/>
        </w:rPr>
        <w:lastRenderedPageBreak/>
        <w:t>register.</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Pr>
          <w:rFonts w:cs="Times New Roman"/>
          <w:lang w:val="en-CA"/>
        </w:rPr>
        <w:t>Savard </w:t>
      </w:r>
      <w:r w:rsidRPr="00A9717C">
        <w:rPr>
          <w:rFonts w:cs="Times New Roman"/>
          <w:lang w:val="en-CA"/>
        </w:rPr>
        <w:t xml:space="preserve">J.A. noted that a possessor can acquire rights by prescription without a title, even if in bad faith. Accordingly, the presumptions of knowledge and of the existence of a right published in the land register, set out in arts. 2943 and 2944 </w:t>
      </w:r>
      <w:r w:rsidRPr="00A9717C">
        <w:rPr>
          <w:rFonts w:cs="Times New Roman"/>
          <w:i/>
          <w:lang w:val="en-CA"/>
        </w:rPr>
        <w:t>C.C.Q.</w:t>
      </w:r>
      <w:r w:rsidRPr="00A9717C">
        <w:rPr>
          <w:rFonts w:cs="Times New Roman"/>
          <w:lang w:val="en-CA"/>
        </w:rPr>
        <w:t>, can at best serve to prove bad faith on the respondent’s p</w:t>
      </w:r>
      <w:r>
        <w:rPr>
          <w:rFonts w:cs="Times New Roman"/>
          <w:lang w:val="en-CA"/>
        </w:rPr>
        <w:t xml:space="preserve">art. </w:t>
      </w:r>
      <w:r w:rsidRPr="00A9717C">
        <w:rPr>
          <w:rFonts w:cs="Times New Roman"/>
          <w:lang w:val="en-CA"/>
        </w:rPr>
        <w:t xml:space="preserve">They do not, however, change how prescription is acquired and may be rebutted by proof to the contrary, as provided for in art. 2847 </w:t>
      </w:r>
      <w:r w:rsidRPr="00A9717C">
        <w:rPr>
          <w:rFonts w:cs="Times New Roman"/>
          <w:i/>
          <w:lang w:val="en-CA"/>
        </w:rPr>
        <w:t>C.C.Q.</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Savard J.A. observed that acquisitive prescription makes it possible to prove the existence of a right of ownership, whereas the role of land registration is limited to deciding between competing successors to the same predecessor in title (art. 2946 </w:t>
      </w:r>
      <w:r w:rsidRPr="00A9717C">
        <w:rPr>
          <w:rFonts w:cs="Times New Roman"/>
          <w:i/>
          <w:lang w:val="en-CA"/>
        </w:rPr>
        <w:t>C.C.Q.</w:t>
      </w:r>
      <w:r w:rsidRPr="00A9717C">
        <w:rPr>
          <w:rFonts w:cs="Times New Roman"/>
          <w:lang w:val="en-CA"/>
        </w:rPr>
        <w:t xml:space="preserve">) and to the ranking of security interests, but is no guarantee of title. She noted that the appellants’ argument would lead to an </w:t>
      </w:r>
      <w:proofErr w:type="spellStart"/>
      <w:r w:rsidRPr="00A9717C">
        <w:rPr>
          <w:rFonts w:cs="Times New Roman"/>
          <w:lang w:val="en-CA"/>
        </w:rPr>
        <w:t>irrebuttable</w:t>
      </w:r>
      <w:proofErr w:type="spellEnd"/>
      <w:r w:rsidRPr="00A9717C">
        <w:rPr>
          <w:rFonts w:cs="Times New Roman"/>
          <w:lang w:val="en-CA"/>
        </w:rPr>
        <w:t xml:space="preserve"> presumption of the existence of published rights in respect of any immovable, thereby giving the land register a probative value greater than the legislature had intended to give it in the initial version of the </w:t>
      </w:r>
      <w:r w:rsidRPr="00A9717C">
        <w:rPr>
          <w:rFonts w:cs="Times New Roman"/>
          <w:i/>
          <w:lang w:val="en-CA"/>
        </w:rPr>
        <w:t>Code</w:t>
      </w:r>
      <w:r w:rsidRPr="00A9717C">
        <w:rPr>
          <w:rFonts w:cs="Times New Roman"/>
          <w:lang w:val="en-CA"/>
        </w:rPr>
        <w:t xml:space="preserve">, which had limited this presumption to </w:t>
      </w:r>
      <w:proofErr w:type="spellStart"/>
      <w:r w:rsidRPr="00A9717C">
        <w:rPr>
          <w:rFonts w:cs="Times New Roman"/>
          <w:lang w:val="en-CA"/>
        </w:rPr>
        <w:t>immatriculated</w:t>
      </w:r>
      <w:proofErr w:type="spellEnd"/>
      <w:r w:rsidRPr="00A9717C">
        <w:rPr>
          <w:rFonts w:cs="Times New Roman"/>
          <w:lang w:val="en-CA"/>
        </w:rPr>
        <w:t xml:space="preserve"> </w:t>
      </w:r>
      <w:proofErr w:type="spellStart"/>
      <w:r w:rsidRPr="00A9717C">
        <w:rPr>
          <w:rFonts w:cs="Times New Roman"/>
          <w:lang w:val="en-CA"/>
        </w:rPr>
        <w:t>immovables</w:t>
      </w:r>
      <w:proofErr w:type="spellEnd"/>
      <w:r w:rsidRPr="00A9717C">
        <w:rPr>
          <w:rFonts w:cs="Times New Roman"/>
          <w:lang w:val="en-CA"/>
        </w:rPr>
        <w:t xml:space="preserve"> (art. 2944 para. 2 </w:t>
      </w:r>
      <w:r w:rsidRPr="00A9717C">
        <w:rPr>
          <w:rFonts w:cs="Times New Roman"/>
          <w:i/>
          <w:lang w:val="en-CA"/>
        </w:rPr>
        <w:t>C.C.Q.</w:t>
      </w:r>
      <w:r w:rsidRPr="00A9717C">
        <w:rPr>
          <w:rFonts w:cs="Times New Roman"/>
          <w:lang w:val="en-CA"/>
        </w:rPr>
        <w:t xml:space="preserve">, since repealed (2000, c. 42, s. 15)). It was in the context of the reform of the land register, which has since been abandoned, that the initial version of art. 2918 </w:t>
      </w:r>
      <w:r w:rsidRPr="00A9717C">
        <w:rPr>
          <w:rFonts w:cs="Times New Roman"/>
          <w:i/>
          <w:lang w:val="en-CA"/>
        </w:rPr>
        <w:t>C.C.Q.</w:t>
      </w:r>
      <w:r w:rsidRPr="00A9717C">
        <w:rPr>
          <w:rFonts w:cs="Times New Roman"/>
          <w:lang w:val="en-CA"/>
        </w:rPr>
        <w:t xml:space="preserve"> was enacted, and it, too, drew a distinction between </w:t>
      </w:r>
      <w:proofErr w:type="spellStart"/>
      <w:r w:rsidRPr="00A9717C">
        <w:rPr>
          <w:rFonts w:cs="Times New Roman"/>
          <w:lang w:val="en-CA"/>
        </w:rPr>
        <w:t>immatriculated</w:t>
      </w:r>
      <w:proofErr w:type="spellEnd"/>
      <w:r w:rsidRPr="00A9717C">
        <w:rPr>
          <w:rFonts w:cs="Times New Roman"/>
          <w:lang w:val="en-CA"/>
        </w:rPr>
        <w:t xml:space="preserve"> and non</w:t>
      </w:r>
      <w:r w:rsidRPr="00A9717C">
        <w:rPr>
          <w:rFonts w:cs="Times New Roman"/>
          <w:lang w:val="en-CA"/>
        </w:rPr>
        <w:noBreakHyphen/>
      </w:r>
      <w:proofErr w:type="spellStart"/>
      <w:r w:rsidRPr="00A9717C">
        <w:rPr>
          <w:rFonts w:cs="Times New Roman"/>
          <w:lang w:val="en-CA"/>
        </w:rPr>
        <w:t>immatriculated</w:t>
      </w:r>
      <w:proofErr w:type="spellEnd"/>
      <w:r w:rsidRPr="00A9717C">
        <w:rPr>
          <w:rFonts w:cs="Times New Roman"/>
          <w:lang w:val="en-CA"/>
        </w:rPr>
        <w:t xml:space="preserve"> </w:t>
      </w:r>
      <w:proofErr w:type="spellStart"/>
      <w:r w:rsidRPr="00A9717C">
        <w:rPr>
          <w:rFonts w:cs="Times New Roman"/>
          <w:lang w:val="en-CA"/>
        </w:rPr>
        <w:t>immovables</w:t>
      </w:r>
      <w:proofErr w:type="spellEnd"/>
      <w:r w:rsidRPr="00A9717C">
        <w:rPr>
          <w:rFonts w:cs="Times New Roman"/>
          <w:lang w:val="en-CA"/>
        </w:rPr>
        <w:t>.</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Savard J.A. was also of the opinion that the appellants’ argument would resurrect art. 2962 </w:t>
      </w:r>
      <w:r w:rsidRPr="00A9717C">
        <w:rPr>
          <w:rFonts w:cs="Times New Roman"/>
          <w:i/>
          <w:lang w:val="en-CA"/>
        </w:rPr>
        <w:t>C.C.Q.</w:t>
      </w:r>
      <w:r w:rsidRPr="00A9717C">
        <w:rPr>
          <w:rFonts w:cs="Times New Roman"/>
          <w:lang w:val="en-CA"/>
        </w:rPr>
        <w:t xml:space="preserve">, which had been enacted as part of the same reform but had </w:t>
      </w:r>
      <w:r w:rsidRPr="00A9717C">
        <w:rPr>
          <w:rFonts w:cs="Times New Roman"/>
          <w:lang w:val="en-CA"/>
        </w:rPr>
        <w:lastRenderedPageBreak/>
        <w:t xml:space="preserve">since been repealed (2000, c. 42, s. 19), and which had protected rights in an </w:t>
      </w:r>
      <w:proofErr w:type="spellStart"/>
      <w:r w:rsidRPr="00A9717C">
        <w:rPr>
          <w:rFonts w:cs="Times New Roman"/>
          <w:lang w:val="en-CA"/>
        </w:rPr>
        <w:t>immatriculated</w:t>
      </w:r>
      <w:proofErr w:type="spellEnd"/>
      <w:r w:rsidRPr="00A9717C">
        <w:rPr>
          <w:rFonts w:cs="Times New Roman"/>
          <w:lang w:val="en-CA"/>
        </w:rPr>
        <w:t xml:space="preserve"> immovable that were acquired in good faith. She acknowledged that acquisitive prescription can sometimes come as a surprise, but noted that it is not open to the courts to interfere with the legislature’s choices in this regard.</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Savard J.A.’s view, the solution proposed by the appellants was inconsistent with art. 2957 </w:t>
      </w:r>
      <w:r w:rsidRPr="00A9717C">
        <w:rPr>
          <w:rFonts w:cs="Times New Roman"/>
          <w:i/>
          <w:lang w:val="en-CA"/>
        </w:rPr>
        <w:t>C.C.Q.</w:t>
      </w:r>
      <w:r w:rsidRPr="00A9717C">
        <w:rPr>
          <w:rFonts w:cs="Times New Roman"/>
          <w:lang w:val="en-CA"/>
        </w:rPr>
        <w:t>, which provides that the publication of rights does not interrupt prescription. This solution would also lead to the untenable conclusion that the possessor had waived prescription simply by failing to bring a judicial application upon the expiry of the 10</w:t>
      </w:r>
      <w:r w:rsidRPr="00A9717C">
        <w:rPr>
          <w:rFonts w:cs="Times New Roman"/>
          <w:lang w:val="en-CA"/>
        </w:rPr>
        <w:noBreakHyphen/>
        <w:t xml:space="preserve">year period. In addition, advance registration of a judicial application would be of no assistance, given that the possessor is generally unaware that his or her right may be contested. Finally, art. 2946 </w:t>
      </w:r>
      <w:r w:rsidRPr="00A9717C">
        <w:rPr>
          <w:rFonts w:cs="Times New Roman"/>
          <w:i/>
          <w:lang w:val="en-CA"/>
        </w:rPr>
        <w:t>C.C.Q.</w:t>
      </w:r>
      <w:r w:rsidRPr="00A9717C">
        <w:rPr>
          <w:rFonts w:cs="Times New Roman"/>
          <w:lang w:val="en-CA"/>
        </w:rPr>
        <w:t xml:space="preserve"> did not apply in this case, because the parties did not hold their title from the same predecessor.</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Pr>
          <w:rFonts w:cs="Times New Roman"/>
          <w:lang w:val="en-CA"/>
        </w:rPr>
        <w:t>Savard </w:t>
      </w:r>
      <w:r w:rsidRPr="00A9717C">
        <w:rPr>
          <w:rFonts w:cs="Times New Roman"/>
          <w:lang w:val="en-CA"/>
        </w:rPr>
        <w:t xml:space="preserve">J.A. concluded that the legislature did not, in enacting art. 2918 </w:t>
      </w:r>
      <w:r w:rsidRPr="00A9717C">
        <w:rPr>
          <w:rFonts w:cs="Times New Roman"/>
          <w:i/>
          <w:lang w:val="en-CA"/>
        </w:rPr>
        <w:t>C.C.Q.</w:t>
      </w:r>
      <w:r w:rsidRPr="00A9717C">
        <w:rPr>
          <w:rFonts w:cs="Times New Roman"/>
          <w:lang w:val="en-CA"/>
        </w:rPr>
        <w:t>, intend to fundamentally change the principles applicable to acquisitive prescription. A possessor is not therefore required to take legal action upon the expiry of the 10</w:t>
      </w:r>
      <w:r w:rsidRPr="00A9717C">
        <w:rPr>
          <w:rFonts w:cs="Times New Roman"/>
          <w:lang w:val="en-CA"/>
        </w:rPr>
        <w:noBreakHyphen/>
        <w:t>year period. In closing, she noted that the respondent was not a concealed third party, as there were signs that could have shown the appellants, when they purchased the property, that the respondent was using a parking space on it.</w:t>
      </w:r>
    </w:p>
    <w:p w:rsidR="00FE692E" w:rsidRPr="00A9717C" w:rsidRDefault="00FE692E" w:rsidP="00233573">
      <w:pPr>
        <w:pStyle w:val="Title3LevelTitre3Niveau"/>
        <w:widowControl w:val="0"/>
        <w:rPr>
          <w:rFonts w:cs="Times New Roman"/>
        </w:rPr>
      </w:pPr>
      <w:r w:rsidRPr="00A9717C">
        <w:rPr>
          <w:rFonts w:cs="Times New Roman"/>
        </w:rPr>
        <w:t>Dissenting Reasons of Jacques J. (</w:t>
      </w:r>
      <w:r w:rsidRPr="00A9717C">
        <w:rPr>
          <w:rFonts w:cs="Times New Roman"/>
          <w:i/>
        </w:rPr>
        <w:t>ad hoc</w:t>
      </w:r>
      <w:r w:rsidRPr="00A9717C">
        <w:rPr>
          <w:rFonts w:cs="Times New Roman"/>
        </w:rPr>
        <w:t>)</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Jacques J., on the other hand, was of the opinion that the need for stability </w:t>
      </w:r>
      <w:r w:rsidRPr="00A9717C">
        <w:rPr>
          <w:rFonts w:cs="Times New Roman"/>
          <w:lang w:val="en-CA"/>
        </w:rPr>
        <w:lastRenderedPageBreak/>
        <w:t>of real estate transactions means that the respondent must not be able to set up her possession against the appellants. In his view, the primary purpose of acquisitive prescription is to protect the true right of ownership by making it easier to prove; it does not allow a [</w:t>
      </w:r>
      <w:r w:rsidRPr="00A9717C">
        <w:rPr>
          <w:rFonts w:cs="Times New Roman"/>
          <w:smallCaps/>
          <w:lang w:val="en-CA"/>
        </w:rPr>
        <w:t xml:space="preserve">translation] </w:t>
      </w:r>
      <w:r w:rsidRPr="00A9717C">
        <w:rPr>
          <w:rFonts w:cs="Times New Roman"/>
          <w:lang w:val="en-CA"/>
        </w:rPr>
        <w:t>“usurper” to strip an owner of rights unless the owner has not exercised due diligence. In short, its purpose is above all to correct defects of title, not to confer a right upon a “squatter”.</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Jacques J. argued that the right to prescribe acquired by the respondent in 2004 is distinct from the real right she was seeking, which can be obtained only upon a judicial application under art. 2918 </w:t>
      </w:r>
      <w:r w:rsidRPr="00A9717C">
        <w:rPr>
          <w:rFonts w:cs="Times New Roman"/>
          <w:i/>
          <w:lang w:val="en-CA"/>
        </w:rPr>
        <w:t>C.C.Q.</w:t>
      </w:r>
      <w:r w:rsidRPr="00A9717C">
        <w:rPr>
          <w:rFonts w:cs="Times New Roman"/>
          <w:lang w:val="en-CA"/>
        </w:rPr>
        <w:t xml:space="preserve"> In his opinion, the judgment resulting from that application is an essential condition for acquiring ownership by prescription. It thus grants a right of ownership, as is confirmed by the language of that article and of arts. 805 and 806 of the </w:t>
      </w:r>
      <w:r w:rsidRPr="00A9717C">
        <w:rPr>
          <w:rFonts w:cs="Times New Roman"/>
          <w:i/>
          <w:lang w:val="en-CA"/>
        </w:rPr>
        <w:t>Code of Civil Procedure</w:t>
      </w:r>
      <w:r w:rsidRPr="00A9717C">
        <w:rPr>
          <w:rFonts w:cs="Times New Roman"/>
          <w:lang w:val="en-CA"/>
        </w:rPr>
        <w:t>, CQLR, c. C</w:t>
      </w:r>
      <w:r w:rsidRPr="00A9717C">
        <w:rPr>
          <w:rFonts w:cs="Times New Roman"/>
          <w:lang w:val="en-CA"/>
        </w:rPr>
        <w:noBreakHyphen/>
        <w:t>25 (“</w:t>
      </w:r>
      <w:r w:rsidRPr="00A9717C">
        <w:rPr>
          <w:rFonts w:cs="Times New Roman"/>
          <w:i/>
          <w:lang w:val="en-CA"/>
        </w:rPr>
        <w:t>C.C.P.</w:t>
      </w:r>
      <w:r w:rsidRPr="00A9717C">
        <w:rPr>
          <w:rFonts w:cs="Times New Roman"/>
          <w:lang w:val="en-CA"/>
        </w:rPr>
        <w:t xml:space="preserve">”), and by certain commentators and judicial decisions. The retroactive effect sought by the respondent would be contrary to s. 50 of the </w:t>
      </w:r>
      <w:r w:rsidRPr="00A9717C">
        <w:rPr>
          <w:rFonts w:cs="Times New Roman"/>
          <w:i/>
          <w:lang w:val="en-CA"/>
        </w:rPr>
        <w:t>Interpretation Act</w:t>
      </w:r>
      <w:r w:rsidR="004416DE">
        <w:rPr>
          <w:rFonts w:cs="Times New Roman"/>
          <w:lang w:val="en-CA"/>
        </w:rPr>
        <w:t>, CQLR, c. I-</w:t>
      </w:r>
      <w:r w:rsidRPr="00A9717C">
        <w:rPr>
          <w:rFonts w:cs="Times New Roman"/>
          <w:lang w:val="en-CA"/>
        </w:rPr>
        <w:t xml:space="preserve">16, and would make it impossible for third parties to rely on the land register.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Jacques J. found that acquisitive prescription is subject to the publication of rights under art. 2938 </w:t>
      </w:r>
      <w:r w:rsidRPr="00A9717C">
        <w:rPr>
          <w:rFonts w:cs="Times New Roman"/>
          <w:i/>
          <w:lang w:val="en-CA"/>
        </w:rPr>
        <w:t>C.C.Q.</w:t>
      </w:r>
      <w:r w:rsidRPr="00A9717C">
        <w:rPr>
          <w:rFonts w:cs="Times New Roman"/>
          <w:lang w:val="en-CA"/>
        </w:rPr>
        <w:t xml:space="preserve">; the respondent thus had to publish her right to be able to set it up against others. In his view, she could also have registered her application in advance (art. 2966 </w:t>
      </w:r>
      <w:r w:rsidRPr="00A9717C">
        <w:rPr>
          <w:rFonts w:cs="Times New Roman"/>
          <w:i/>
          <w:lang w:val="en-CA"/>
        </w:rPr>
        <w:t>C.C.Q.</w:t>
      </w:r>
      <w:r w:rsidRPr="00A9717C">
        <w:rPr>
          <w:rFonts w:cs="Times New Roman"/>
          <w:lang w:val="en-CA"/>
        </w:rPr>
        <w:t xml:space="preserve">), which would have made a judgment in her favour retroactive to the date of the advance registration and capable of being set up as of that date (art. 2968 </w:t>
      </w:r>
      <w:r w:rsidRPr="00A9717C">
        <w:rPr>
          <w:rFonts w:cs="Times New Roman"/>
          <w:i/>
          <w:lang w:val="en-CA"/>
        </w:rPr>
        <w:t>C.C.Q.</w:t>
      </w:r>
      <w:r w:rsidRPr="00A9717C">
        <w:rPr>
          <w:rFonts w:cs="Times New Roman"/>
          <w:lang w:val="en-CA"/>
        </w:rPr>
        <w:t xml:space="preserve">). Thus, although registering in advance is not mandatory, anyone </w:t>
      </w:r>
      <w:r w:rsidRPr="00A9717C">
        <w:rPr>
          <w:rFonts w:cs="Times New Roman"/>
          <w:lang w:val="en-CA"/>
        </w:rPr>
        <w:lastRenderedPageBreak/>
        <w:t>who fails to do so risks losing his or her right. In this respect, the possessor has no more rights than any other holder of an immovable real right. The onus is on the possessor to verify his or her title and exercise due diligence to correct any defect that might affect it.</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In Jacques J.’s opinion, acquisitive prescription could not be set up against the appellants, who had not been negligent and would be left without recourse. Financial institutions would also see their security diminished and they, too, would have no recourse, a situation that could have been prevented had the respondent’s application been registered in advance. A finding against the appellants, who had relied on their title in good faith, would make the land register practically worthle</w:t>
      </w:r>
      <w:r>
        <w:rPr>
          <w:rFonts w:cs="Times New Roman"/>
          <w:lang w:val="en-CA"/>
        </w:rPr>
        <w:t xml:space="preserve">ss. </w:t>
      </w:r>
      <w:r w:rsidRPr="00A9717C">
        <w:rPr>
          <w:rFonts w:cs="Times New Roman"/>
          <w:lang w:val="en-CA"/>
        </w:rPr>
        <w:t xml:space="preserve">Moreover, art. 2962 </w:t>
      </w:r>
      <w:r w:rsidRPr="00A9717C">
        <w:rPr>
          <w:rFonts w:cs="Times New Roman"/>
          <w:i/>
          <w:lang w:val="en-CA"/>
        </w:rPr>
        <w:t>C.C.Q.</w:t>
      </w:r>
      <w:r w:rsidRPr="00A9717C">
        <w:rPr>
          <w:rFonts w:cs="Times New Roman"/>
          <w:lang w:val="en-CA"/>
        </w:rPr>
        <w:t xml:space="preserve"> had been repealed for a technical reason related to a change to the concept of </w:t>
      </w:r>
      <w:proofErr w:type="spellStart"/>
      <w:r w:rsidRPr="00A9717C">
        <w:rPr>
          <w:rFonts w:cs="Times New Roman"/>
          <w:lang w:val="en-CA"/>
        </w:rPr>
        <w:t>immatriculation</w:t>
      </w:r>
      <w:proofErr w:type="spellEnd"/>
      <w:r w:rsidRPr="00A9717C">
        <w:rPr>
          <w:rFonts w:cs="Times New Roman"/>
          <w:lang w:val="en-CA"/>
        </w:rPr>
        <w:t>; the repeal did not preclude the application of the theory of “apparent rights” (</w:t>
      </w:r>
      <w:r w:rsidRPr="00A9717C">
        <w:rPr>
          <w:rFonts w:cs="Times New Roman"/>
          <w:i/>
          <w:lang w:val="en-CA"/>
        </w:rPr>
        <w:t xml:space="preserve">droits </w:t>
      </w:r>
      <w:proofErr w:type="spellStart"/>
      <w:r w:rsidRPr="00A9717C">
        <w:rPr>
          <w:rFonts w:cs="Times New Roman"/>
          <w:i/>
          <w:lang w:val="en-CA"/>
        </w:rPr>
        <w:t>apparents</w:t>
      </w:r>
      <w:proofErr w:type="spellEnd"/>
      <w:r w:rsidRPr="00A9717C">
        <w:rPr>
          <w:rFonts w:cs="Times New Roman"/>
          <w:lang w:val="en-CA"/>
        </w:rPr>
        <w:t>), which was already recognized in Quebec law.</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Jacques J. concluded that the appellants were third parties in relation to the respondent. Their rights would prevail over hers pursuant to arts. 2945 and 2946 </w:t>
      </w:r>
      <w:r w:rsidRPr="00A9717C">
        <w:rPr>
          <w:rFonts w:cs="Times New Roman"/>
          <w:i/>
          <w:lang w:val="en-CA"/>
        </w:rPr>
        <w:t>C.C.Q.</w:t>
      </w:r>
      <w:r w:rsidRPr="00A9717C">
        <w:rPr>
          <w:rFonts w:cs="Times New Roman"/>
          <w:lang w:val="en-CA"/>
        </w:rPr>
        <w:t>, as they had been published in a timely manner. The respondent, on the other hand, was [</w:t>
      </w:r>
      <w:r w:rsidRPr="00A9717C">
        <w:rPr>
          <w:rFonts w:cs="Times New Roman"/>
          <w:smallCaps/>
          <w:lang w:val="en-CA"/>
        </w:rPr>
        <w:t xml:space="preserve">translation] </w:t>
      </w:r>
      <w:r w:rsidRPr="00A9717C">
        <w:rPr>
          <w:rFonts w:cs="Times New Roman"/>
          <w:lang w:val="en-CA"/>
        </w:rPr>
        <w:t>“a concealed third party who [came] out of nowhere” (para. 141 (</w:t>
      </w:r>
      <w:proofErr w:type="spellStart"/>
      <w:r w:rsidRPr="00A9717C">
        <w:rPr>
          <w:rFonts w:cs="Times New Roman"/>
          <w:lang w:val="en-CA"/>
        </w:rPr>
        <w:t>CanLII</w:t>
      </w:r>
      <w:proofErr w:type="spellEnd"/>
      <w:r w:rsidRPr="00A9717C">
        <w:rPr>
          <w:rFonts w:cs="Times New Roman"/>
          <w:lang w:val="en-CA"/>
        </w:rPr>
        <w:t xml:space="preserve">)), and her position was in direct conflict with the applicable provisions on the publication of rights. It would make no sense if the unpublished rights of an acquirer by prescription could be set up against third parties but those of an </w:t>
      </w:r>
      <w:r w:rsidRPr="00A9717C">
        <w:rPr>
          <w:rFonts w:cs="Times New Roman"/>
          <w:lang w:val="en-CA"/>
        </w:rPr>
        <w:lastRenderedPageBreak/>
        <w:t>acquirer by act of sale could not.</w:t>
      </w:r>
    </w:p>
    <w:p w:rsidR="00FE692E" w:rsidRPr="00A9717C" w:rsidRDefault="00FE692E" w:rsidP="00233573">
      <w:pPr>
        <w:pStyle w:val="Title1LevelTitre1Niveau-AltL"/>
        <w:widowControl w:val="0"/>
        <w:rPr>
          <w:rFonts w:cs="Times New Roman"/>
        </w:rPr>
      </w:pPr>
      <w:r w:rsidRPr="00A9717C">
        <w:rPr>
          <w:rFonts w:cs="Times New Roman"/>
        </w:rPr>
        <w:t>Issue</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According to the trial judge’s findings of fact, the respondent and her predecessor had peaceful, continuous, public and unequivocal possession of the parking space at issue from 1994 to 2011. Given that this effective possession satisfies the requirements of the </w:t>
      </w:r>
      <w:r w:rsidRPr="00A9717C">
        <w:rPr>
          <w:rFonts w:cs="Times New Roman"/>
          <w:i/>
          <w:lang w:val="en-CA"/>
        </w:rPr>
        <w:t>Code</w:t>
      </w:r>
      <w:r w:rsidRPr="00A9717C">
        <w:rPr>
          <w:rFonts w:cs="Times New Roman"/>
          <w:lang w:val="en-CA"/>
        </w:rPr>
        <w:t>, the only remaining issue is whether prescription that has already been acquired can be set up against a new owner who registers his or her title in the land register before the possessor takes legal action.</w:t>
      </w:r>
    </w:p>
    <w:p w:rsidR="00FE692E" w:rsidRPr="00A9717C" w:rsidRDefault="00FE692E" w:rsidP="00233573">
      <w:pPr>
        <w:pStyle w:val="Title1LevelTitre1Niveau-AltL"/>
        <w:widowControl w:val="0"/>
        <w:rPr>
          <w:rFonts w:cs="Times New Roman"/>
        </w:rPr>
      </w:pPr>
      <w:r w:rsidRPr="00A9717C">
        <w:rPr>
          <w:rFonts w:cs="Times New Roman"/>
        </w:rPr>
        <w:t>Analysis</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First of all, it should be mentioned that the parties on each side in this case have a legitimate right to assert. The appellants acquired their title legally, by act of sale. The respondent’s effective possession of one of the parking spaces on her neighbours’ lot is recognized and is just as legitimate. In light of the evidence accepted by the trial judge, and contrary to the suggestion of the dissenting judge in the Court of Appeal, the respondent cannot be described as a concealed third party, a usurper or a “squatter”.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It is also important to mention that the completeness of the right of ownership is not at issue in this appeal. The Court is not being asked to determine the substance or the limits of that right, but to clarify the operation of one of the means for </w:t>
      </w:r>
      <w:r w:rsidRPr="00A9717C">
        <w:rPr>
          <w:rFonts w:cs="Times New Roman"/>
          <w:lang w:val="en-CA"/>
        </w:rPr>
        <w:lastRenderedPageBreak/>
        <w:t>acquiring it. In the end, the right of ownership is just as absolute regardless of whether it is found to be held by the appellants or by the respondent.</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What must be done in order to determine which of the parties should prevail is to define the respective roles of acquisitive prescription and the publication of rights in Quebec civil law, and then to interpret and apply the relevant provisions of the </w:t>
      </w:r>
      <w:r w:rsidRPr="00A9717C">
        <w:rPr>
          <w:rFonts w:cs="Times New Roman"/>
          <w:i/>
          <w:lang w:val="en-CA"/>
        </w:rPr>
        <w:t>Code</w:t>
      </w:r>
      <w:r w:rsidRPr="00A9717C">
        <w:rPr>
          <w:rFonts w:cs="Times New Roman"/>
          <w:lang w:val="en-CA"/>
        </w:rPr>
        <w:t xml:space="preserve">, taking into account its overall scheme and its consistency. An analysis in this regard persuades me that the solution adopted by the majority of the Court of Appeal is the one that should prevail here. In light of the provisions of the four books of the </w:t>
      </w:r>
      <w:r w:rsidRPr="00A9717C">
        <w:rPr>
          <w:rFonts w:cs="Times New Roman"/>
          <w:i/>
          <w:lang w:val="en-CA"/>
        </w:rPr>
        <w:t>Code</w:t>
      </w:r>
      <w:r w:rsidRPr="00A9717C">
        <w:rPr>
          <w:rFonts w:cs="Times New Roman"/>
          <w:lang w:val="en-CA"/>
        </w:rPr>
        <w:t xml:space="preserve"> that interact in this case (namely the books on Property, Obligations, Prescription, and Publication of Rights), I find that the acquisitive prescription claimed by the respondent with regard to the parking space at issue must prevail over the title registered by the appellants in the land register.</w:t>
      </w:r>
    </w:p>
    <w:p w:rsidR="00FE692E" w:rsidRPr="00A9717C" w:rsidRDefault="00FE692E" w:rsidP="00233573">
      <w:pPr>
        <w:pStyle w:val="Title2LevelTitre2Niveau"/>
        <w:widowControl w:val="0"/>
        <w:rPr>
          <w:rFonts w:cs="Times New Roman"/>
        </w:rPr>
      </w:pPr>
      <w:r w:rsidRPr="00A9717C">
        <w:rPr>
          <w:rFonts w:cs="Times New Roman"/>
        </w:rPr>
        <w:t>Acquisitive Prescription in Quebec Civil Law</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Acquisitive prescription was once described as the patron of humankind (A. </w:t>
      </w:r>
      <w:proofErr w:type="spellStart"/>
      <w:r w:rsidRPr="00A9717C">
        <w:rPr>
          <w:rFonts w:cs="Times New Roman"/>
          <w:lang w:val="en-CA"/>
        </w:rPr>
        <w:t>Mayrand</w:t>
      </w:r>
      <w:proofErr w:type="spellEnd"/>
      <w:r w:rsidRPr="00A9717C">
        <w:rPr>
          <w:rFonts w:cs="Times New Roman"/>
          <w:lang w:val="en-CA"/>
        </w:rPr>
        <w:t xml:space="preserve">, “Bonne </w:t>
      </w:r>
      <w:proofErr w:type="spellStart"/>
      <w:r w:rsidRPr="00A9717C">
        <w:rPr>
          <w:rFonts w:cs="Times New Roman"/>
          <w:lang w:val="en-CA"/>
        </w:rPr>
        <w:t>foi</w:t>
      </w:r>
      <w:proofErr w:type="spellEnd"/>
      <w:r w:rsidRPr="00A9717C">
        <w:rPr>
          <w:rFonts w:cs="Times New Roman"/>
          <w:lang w:val="en-CA"/>
        </w:rPr>
        <w:t xml:space="preserve"> et prescription par tiers </w:t>
      </w:r>
      <w:proofErr w:type="spellStart"/>
      <w:r w:rsidRPr="00A9717C">
        <w:rPr>
          <w:rFonts w:cs="Times New Roman"/>
          <w:lang w:val="en-CA"/>
        </w:rPr>
        <w:t>acquéreur</w:t>
      </w:r>
      <w:proofErr w:type="spellEnd"/>
      <w:r w:rsidRPr="00A9717C">
        <w:rPr>
          <w:rFonts w:cs="Times New Roman"/>
          <w:lang w:val="en-CA"/>
        </w:rPr>
        <w:t xml:space="preserve">” (1942), 2 </w:t>
      </w:r>
      <w:r w:rsidRPr="00A9717C">
        <w:rPr>
          <w:rFonts w:cs="Times New Roman"/>
          <w:i/>
          <w:lang w:val="en-CA"/>
        </w:rPr>
        <w:t>R. du B.</w:t>
      </w:r>
      <w:r w:rsidRPr="00A9717C">
        <w:rPr>
          <w:rFonts w:cs="Times New Roman"/>
          <w:lang w:val="en-CA"/>
        </w:rPr>
        <w:t xml:space="preserve"> 9, at p. 9). The drafters of the </w:t>
      </w:r>
      <w:r w:rsidRPr="00A9717C">
        <w:rPr>
          <w:rFonts w:cs="Times New Roman"/>
          <w:i/>
          <w:lang w:val="en-CA"/>
        </w:rPr>
        <w:t>Code Napoléon</w:t>
      </w:r>
      <w:r w:rsidRPr="00A9717C">
        <w:rPr>
          <w:rFonts w:cs="Times New Roman"/>
          <w:lang w:val="en-CA"/>
        </w:rPr>
        <w:t xml:space="preserve">, from which the drafters of the </w:t>
      </w:r>
      <w:r w:rsidRPr="00A9717C">
        <w:rPr>
          <w:rFonts w:cs="Times New Roman"/>
          <w:i/>
          <w:lang w:val="en-CA"/>
        </w:rPr>
        <w:t>C.C.L.C.</w:t>
      </w:r>
      <w:r w:rsidRPr="00A9717C">
        <w:rPr>
          <w:rFonts w:cs="Times New Roman"/>
          <w:lang w:val="en-CA"/>
        </w:rPr>
        <w:t xml:space="preserve"> borrowed heavily, even considered that among civil law institutions, acquisitive prescription was [</w:t>
      </w:r>
      <w:r w:rsidRPr="00A9717C">
        <w:rPr>
          <w:rFonts w:cs="Times New Roman"/>
          <w:smallCaps/>
          <w:lang w:val="en-CA"/>
        </w:rPr>
        <w:t xml:space="preserve">translation] </w:t>
      </w:r>
      <w:r w:rsidRPr="00A9717C">
        <w:rPr>
          <w:rFonts w:cs="Times New Roman"/>
          <w:lang w:val="en-CA"/>
        </w:rPr>
        <w:t xml:space="preserve">“the most necessary for social order”, finding that without its capacity for legalizing situations resulting from possession, “everything would be uncertain and confused” (F. J. J. Bigot de </w:t>
      </w:r>
      <w:proofErr w:type="spellStart"/>
      <w:r w:rsidRPr="00A9717C">
        <w:rPr>
          <w:rFonts w:cs="Times New Roman"/>
          <w:lang w:val="en-CA"/>
        </w:rPr>
        <w:t>Préameneu</w:t>
      </w:r>
      <w:proofErr w:type="spellEnd"/>
      <w:r w:rsidRPr="00A9717C">
        <w:rPr>
          <w:rFonts w:cs="Times New Roman"/>
          <w:lang w:val="en-CA"/>
        </w:rPr>
        <w:t xml:space="preserve">, “Motifs exposés au Corps </w:t>
      </w:r>
      <w:proofErr w:type="spellStart"/>
      <w:r w:rsidRPr="00A9717C">
        <w:rPr>
          <w:rFonts w:cs="Times New Roman"/>
          <w:lang w:val="en-CA"/>
        </w:rPr>
        <w:t>législatif</w:t>
      </w:r>
      <w:proofErr w:type="spellEnd"/>
      <w:r w:rsidRPr="00A9717C">
        <w:rPr>
          <w:rFonts w:cs="Times New Roman"/>
          <w:lang w:val="en-CA"/>
        </w:rPr>
        <w:t xml:space="preserve"> sur la </w:t>
      </w:r>
      <w:proofErr w:type="spellStart"/>
      <w:r w:rsidRPr="00A9717C">
        <w:rPr>
          <w:rFonts w:cs="Times New Roman"/>
          <w:lang w:val="en-CA"/>
        </w:rPr>
        <w:t>loi</w:t>
      </w:r>
      <w:proofErr w:type="spellEnd"/>
      <w:r w:rsidRPr="00A9717C">
        <w:rPr>
          <w:rFonts w:cs="Times New Roman"/>
          <w:lang w:val="en-CA"/>
        </w:rPr>
        <w:t xml:space="preserve">, titre XX, livre III du Code civil, relative à la Prescription”, </w:t>
      </w:r>
      <w:r w:rsidRPr="00A9717C">
        <w:rPr>
          <w:rFonts w:cs="Times New Roman"/>
          <w:lang w:val="en-CA"/>
        </w:rPr>
        <w:lastRenderedPageBreak/>
        <w:t xml:space="preserve">in </w:t>
      </w:r>
      <w:proofErr w:type="spellStart"/>
      <w:r w:rsidRPr="00A9717C">
        <w:rPr>
          <w:rFonts w:cs="Times New Roman"/>
          <w:i/>
          <w:lang w:val="en-CA"/>
        </w:rPr>
        <w:t>Recueil</w:t>
      </w:r>
      <w:proofErr w:type="spellEnd"/>
      <w:r w:rsidRPr="00A9717C">
        <w:rPr>
          <w:rFonts w:cs="Times New Roman"/>
          <w:i/>
          <w:lang w:val="en-CA"/>
        </w:rPr>
        <w:t xml:space="preserve"> des </w:t>
      </w:r>
      <w:proofErr w:type="spellStart"/>
      <w:r w:rsidRPr="00A9717C">
        <w:rPr>
          <w:rFonts w:cs="Times New Roman"/>
          <w:i/>
          <w:lang w:val="en-CA"/>
        </w:rPr>
        <w:t>lois</w:t>
      </w:r>
      <w:proofErr w:type="spellEnd"/>
      <w:r w:rsidRPr="00A9717C">
        <w:rPr>
          <w:rFonts w:cs="Times New Roman"/>
          <w:i/>
          <w:lang w:val="en-CA"/>
        </w:rPr>
        <w:t xml:space="preserve"> </w:t>
      </w:r>
      <w:proofErr w:type="spellStart"/>
      <w:r w:rsidRPr="00A9717C">
        <w:rPr>
          <w:rFonts w:cs="Times New Roman"/>
          <w:i/>
          <w:lang w:val="en-CA"/>
        </w:rPr>
        <w:t>composant</w:t>
      </w:r>
      <w:proofErr w:type="spellEnd"/>
      <w:r w:rsidRPr="00A9717C">
        <w:rPr>
          <w:rFonts w:cs="Times New Roman"/>
          <w:i/>
          <w:lang w:val="en-CA"/>
        </w:rPr>
        <w:t xml:space="preserve"> le Code civil</w:t>
      </w:r>
      <w:r w:rsidRPr="00A9717C">
        <w:rPr>
          <w:rFonts w:cs="Times New Roman"/>
          <w:lang w:val="en-CA"/>
        </w:rPr>
        <w:t xml:space="preserve"> (1804), vol. 9, 26, at pp. 27</w:t>
      </w:r>
      <w:r w:rsidRPr="00A9717C">
        <w:rPr>
          <w:rFonts w:cs="Times New Roman"/>
          <w:lang w:val="en-CA"/>
        </w:rPr>
        <w:noBreakHyphen/>
        <w:t xml:space="preserve">29).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Although the primary function of acquisitive prescription is to ensure the stability of property rights by helping true owners prove their rights, it also enables third parties to acquire property by the lapse of time in accordance with the conditions established by law (P.</w:t>
      </w:r>
      <w:r w:rsidRPr="00A9717C">
        <w:rPr>
          <w:rFonts w:cs="Times New Roman"/>
          <w:lang w:val="en-CA"/>
        </w:rPr>
        <w:noBreakHyphen/>
        <w:t>B. </w:t>
      </w:r>
      <w:proofErr w:type="spellStart"/>
      <w:r w:rsidRPr="00A9717C">
        <w:rPr>
          <w:rFonts w:cs="Times New Roman"/>
          <w:lang w:val="en-CA"/>
        </w:rPr>
        <w:t>Mignault</w:t>
      </w:r>
      <w:proofErr w:type="spellEnd"/>
      <w:r w:rsidRPr="00A9717C">
        <w:rPr>
          <w:rFonts w:cs="Times New Roman"/>
          <w:lang w:val="en-CA"/>
        </w:rPr>
        <w:t xml:space="preserve">, </w:t>
      </w:r>
      <w:r w:rsidRPr="00A9717C">
        <w:rPr>
          <w:rFonts w:cs="Times New Roman"/>
          <w:i/>
          <w:lang w:val="en-CA"/>
        </w:rPr>
        <w:t xml:space="preserve">Le droit civil </w:t>
      </w:r>
      <w:proofErr w:type="spellStart"/>
      <w:r w:rsidRPr="00A9717C">
        <w:rPr>
          <w:rFonts w:cs="Times New Roman"/>
          <w:i/>
          <w:lang w:val="en-CA"/>
        </w:rPr>
        <w:t>canadien</w:t>
      </w:r>
      <w:proofErr w:type="spellEnd"/>
      <w:r w:rsidRPr="00A9717C">
        <w:rPr>
          <w:rFonts w:cs="Times New Roman"/>
          <w:lang w:val="en-CA"/>
        </w:rPr>
        <w:t xml:space="preserve"> (1916), vol. 9, at p. 336; P.</w:t>
      </w:r>
      <w:r w:rsidRPr="00A9717C">
        <w:rPr>
          <w:rFonts w:cs="Times New Roman"/>
          <w:lang w:val="en-CA"/>
        </w:rPr>
        <w:noBreakHyphen/>
        <w:t>C. </w:t>
      </w:r>
      <w:proofErr w:type="spellStart"/>
      <w:r w:rsidRPr="00A9717C">
        <w:rPr>
          <w:rFonts w:cs="Times New Roman"/>
          <w:lang w:val="en-CA"/>
        </w:rPr>
        <w:t>Lafond</w:t>
      </w:r>
      <w:proofErr w:type="spellEnd"/>
      <w:r w:rsidRPr="00A9717C">
        <w:rPr>
          <w:rFonts w:cs="Times New Roman"/>
          <w:lang w:val="en-CA"/>
        </w:rPr>
        <w:t xml:space="preserve">, </w:t>
      </w:r>
      <w:r w:rsidRPr="00A9717C">
        <w:rPr>
          <w:rFonts w:cs="Times New Roman"/>
          <w:i/>
          <w:lang w:val="en-CA"/>
        </w:rPr>
        <w:t xml:space="preserve">Précis de droit des </w:t>
      </w:r>
      <w:proofErr w:type="spellStart"/>
      <w:r w:rsidRPr="00A9717C">
        <w:rPr>
          <w:rFonts w:cs="Times New Roman"/>
          <w:i/>
          <w:lang w:val="en-CA"/>
        </w:rPr>
        <w:t>biens</w:t>
      </w:r>
      <w:proofErr w:type="spellEnd"/>
      <w:r w:rsidRPr="00A9717C">
        <w:rPr>
          <w:rFonts w:cs="Times New Roman"/>
          <w:lang w:val="en-CA"/>
        </w:rPr>
        <w:t xml:space="preserve"> (2nd ed. 2007), at paras. 2487</w:t>
      </w:r>
      <w:r w:rsidRPr="00A9717C">
        <w:rPr>
          <w:rFonts w:cs="Times New Roman"/>
          <w:lang w:val="en-CA"/>
        </w:rPr>
        <w:noBreakHyphen/>
        <w:t xml:space="preserve">89). The identification of its main elements requires a review of the provisions of two books of the </w:t>
      </w:r>
      <w:r w:rsidRPr="00A9717C">
        <w:rPr>
          <w:rFonts w:cs="Times New Roman"/>
          <w:i/>
          <w:lang w:val="en-CA"/>
        </w:rPr>
        <w:t>Code</w:t>
      </w:r>
      <w:r w:rsidRPr="00A9717C">
        <w:rPr>
          <w:rFonts w:cs="Times New Roman"/>
          <w:lang w:val="en-CA"/>
        </w:rPr>
        <w:t>: Book Four, Property, and Book Eight, Prescription.</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the </w:t>
      </w:r>
      <w:r w:rsidRPr="00A9717C">
        <w:rPr>
          <w:rFonts w:cs="Times New Roman"/>
          <w:i/>
          <w:lang w:val="en-CA"/>
        </w:rPr>
        <w:t>Code</w:t>
      </w:r>
      <w:r w:rsidRPr="00A9717C">
        <w:rPr>
          <w:rFonts w:cs="Times New Roman"/>
          <w:lang w:val="en-CA"/>
        </w:rPr>
        <w:t xml:space="preserve">, acquisitive prescription is recognized as a “means of acquiring a right of ownership, or one of its dismemberments, through the effect of possession” (art. 2910 </w:t>
      </w:r>
      <w:r w:rsidRPr="00A9717C">
        <w:rPr>
          <w:rFonts w:cs="Times New Roman"/>
          <w:i/>
          <w:lang w:val="en-CA"/>
        </w:rPr>
        <w:t>C.C.Q.</w:t>
      </w:r>
      <w:r w:rsidRPr="00A9717C">
        <w:rPr>
          <w:rFonts w:cs="Times New Roman"/>
          <w:lang w:val="en-CA"/>
        </w:rPr>
        <w:t>). However, this possession must “</w:t>
      </w:r>
      <w:proofErr w:type="spellStart"/>
      <w:r w:rsidRPr="00A9717C">
        <w:rPr>
          <w:rFonts w:cs="Times New Roman"/>
          <w:lang w:val="en-CA"/>
        </w:rPr>
        <w:t>confor</w:t>
      </w:r>
      <w:proofErr w:type="spellEnd"/>
      <w:r w:rsidRPr="00A9717C">
        <w:rPr>
          <w:rFonts w:cs="Times New Roman"/>
          <w:lang w:val="en-CA"/>
        </w:rPr>
        <w:t xml:space="preserve">[m] to the conditions set out in the Book on Property” (art. 2911 </w:t>
      </w:r>
      <w:r w:rsidRPr="00A9717C">
        <w:rPr>
          <w:rFonts w:cs="Times New Roman"/>
          <w:i/>
          <w:lang w:val="en-CA"/>
        </w:rPr>
        <w:t>C.C.Q.</w:t>
      </w:r>
      <w:r w:rsidRPr="00A9717C">
        <w:rPr>
          <w:rFonts w:cs="Times New Roman"/>
          <w:lang w:val="en-CA"/>
        </w:rPr>
        <w:t xml:space="preserve">). The possessor must prove the exercise in fact of the right in question and the intention of exercising it as the holder of the right, which intention is presumed (art. 921 </w:t>
      </w:r>
      <w:r w:rsidRPr="00A9717C">
        <w:rPr>
          <w:rFonts w:cs="Times New Roman"/>
          <w:i/>
          <w:lang w:val="en-CA"/>
        </w:rPr>
        <w:t>C.C.Q.</w:t>
      </w:r>
      <w:r w:rsidRPr="00A9717C">
        <w:rPr>
          <w:rFonts w:cs="Times New Roman"/>
          <w:lang w:val="en-CA"/>
        </w:rPr>
        <w:t xml:space="preserve">). His or her possession must be “peaceful, continuous, public and unequivocal” in order to produce effects (art. 922 </w:t>
      </w:r>
      <w:r w:rsidRPr="00A9717C">
        <w:rPr>
          <w:rFonts w:cs="Times New Roman"/>
          <w:i/>
          <w:lang w:val="en-CA"/>
        </w:rPr>
        <w:t>C.C.Q.</w:t>
      </w:r>
      <w:r w:rsidRPr="00A9717C">
        <w:rPr>
          <w:rFonts w:cs="Times New Roman"/>
          <w:lang w:val="en-CA"/>
        </w:rPr>
        <w:t>). Because of its public nature, the possession on which prescription is based is necessarily [</w:t>
      </w:r>
      <w:r w:rsidRPr="00A9717C">
        <w:rPr>
          <w:rFonts w:cs="Times New Roman"/>
          <w:smallCaps/>
          <w:lang w:val="en-CA"/>
        </w:rPr>
        <w:t>translation]</w:t>
      </w:r>
      <w:r w:rsidRPr="00A9717C">
        <w:rPr>
          <w:rFonts w:cs="Times New Roman"/>
          <w:lang w:val="en-CA"/>
        </w:rPr>
        <w:t xml:space="preserve"> “a material fact that is openly displayed” (P. Martineau, </w:t>
      </w:r>
      <w:r w:rsidRPr="00A9717C">
        <w:rPr>
          <w:rFonts w:cs="Times New Roman"/>
          <w:i/>
          <w:lang w:val="en-CA"/>
        </w:rPr>
        <w:t>La Prescription</w:t>
      </w:r>
      <w:r w:rsidRPr="00A9717C">
        <w:rPr>
          <w:rFonts w:cs="Times New Roman"/>
          <w:lang w:val="en-CA"/>
        </w:rPr>
        <w:t xml:space="preserve"> (1977), at p. 119). In contrast, [</w:t>
      </w:r>
      <w:r w:rsidRPr="00A9717C">
        <w:rPr>
          <w:rFonts w:cs="Times New Roman"/>
          <w:smallCaps/>
          <w:lang w:val="en-CA"/>
        </w:rPr>
        <w:t xml:space="preserve">translation] </w:t>
      </w:r>
      <w:r w:rsidRPr="00A9717C">
        <w:rPr>
          <w:rFonts w:cs="Times New Roman"/>
          <w:lang w:val="en-CA"/>
        </w:rPr>
        <w:t>“[p]</w:t>
      </w:r>
      <w:proofErr w:type="spellStart"/>
      <w:r w:rsidRPr="00A9717C">
        <w:rPr>
          <w:rFonts w:cs="Times New Roman"/>
          <w:lang w:val="en-CA"/>
        </w:rPr>
        <w:t>ossession</w:t>
      </w:r>
      <w:proofErr w:type="spellEnd"/>
      <w:r w:rsidRPr="00A9717C">
        <w:rPr>
          <w:rFonts w:cs="Times New Roman"/>
          <w:lang w:val="en-CA"/>
        </w:rPr>
        <w:t xml:space="preserve"> that is (objectively) secret or concealed does not aid in establishing prescription, as there is no apparent encroachment” (D.</w:t>
      </w:r>
      <w:r w:rsidRPr="00A9717C">
        <w:rPr>
          <w:rFonts w:cs="Times New Roman"/>
          <w:lang w:val="en-CA"/>
        </w:rPr>
        <w:noBreakHyphen/>
        <w:t>C. </w:t>
      </w:r>
      <w:proofErr w:type="spellStart"/>
      <w:r w:rsidRPr="00A9717C">
        <w:rPr>
          <w:rFonts w:cs="Times New Roman"/>
          <w:lang w:val="en-CA"/>
        </w:rPr>
        <w:t>Lamontagne</w:t>
      </w:r>
      <w:proofErr w:type="spellEnd"/>
      <w:r w:rsidRPr="00A9717C">
        <w:rPr>
          <w:rFonts w:cs="Times New Roman"/>
          <w:lang w:val="en-CA"/>
        </w:rPr>
        <w:t xml:space="preserve">, </w:t>
      </w:r>
      <w:proofErr w:type="spellStart"/>
      <w:r w:rsidRPr="00A9717C">
        <w:rPr>
          <w:rFonts w:cs="Times New Roman"/>
          <w:i/>
          <w:lang w:val="en-CA"/>
        </w:rPr>
        <w:t>Biens</w:t>
      </w:r>
      <w:proofErr w:type="spellEnd"/>
      <w:r w:rsidRPr="00A9717C">
        <w:rPr>
          <w:rFonts w:cs="Times New Roman"/>
          <w:i/>
          <w:lang w:val="en-CA"/>
        </w:rPr>
        <w:t xml:space="preserve"> et </w:t>
      </w:r>
      <w:proofErr w:type="spellStart"/>
      <w:r w:rsidRPr="00A9717C">
        <w:rPr>
          <w:rFonts w:cs="Times New Roman"/>
          <w:i/>
          <w:lang w:val="en-CA"/>
        </w:rPr>
        <w:t>propriété</w:t>
      </w:r>
      <w:proofErr w:type="spellEnd"/>
      <w:r w:rsidRPr="00A9717C">
        <w:rPr>
          <w:rFonts w:cs="Times New Roman"/>
          <w:lang w:val="en-CA"/>
        </w:rPr>
        <w:t xml:space="preserve"> (7th ed. 2013), at p. 470 (footnote omitted)).</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lastRenderedPageBreak/>
        <w:t xml:space="preserve">The </w:t>
      </w:r>
      <w:r w:rsidRPr="00A9717C">
        <w:rPr>
          <w:rFonts w:cs="Times New Roman"/>
          <w:i/>
          <w:lang w:val="en-CA"/>
        </w:rPr>
        <w:t>Code</w:t>
      </w:r>
      <w:r w:rsidRPr="00A9717C">
        <w:rPr>
          <w:rFonts w:cs="Times New Roman"/>
          <w:lang w:val="en-CA"/>
        </w:rPr>
        <w:t xml:space="preserve"> attributes many effects to possession. Thus, a possessor is presumed to hold a real right he or she is exercising (art. 928 </w:t>
      </w:r>
      <w:r w:rsidRPr="00A9717C">
        <w:rPr>
          <w:rFonts w:cs="Times New Roman"/>
          <w:i/>
          <w:lang w:val="en-CA"/>
        </w:rPr>
        <w:t>C.C.Q.</w:t>
      </w:r>
      <w:r w:rsidRPr="00A9717C">
        <w:rPr>
          <w:rFonts w:cs="Times New Roman"/>
          <w:lang w:val="en-CA"/>
        </w:rPr>
        <w:t xml:space="preserve">), and possession vests the possessor with the right in question if he or she complies with the rules on prescription (art. 930 </w:t>
      </w:r>
      <w:r w:rsidRPr="00A9717C">
        <w:rPr>
          <w:rFonts w:cs="Times New Roman"/>
          <w:i/>
          <w:lang w:val="en-CA"/>
        </w:rPr>
        <w:t>C.C.Q.</w:t>
      </w:r>
      <w:r w:rsidRPr="00A9717C">
        <w:rPr>
          <w:rFonts w:cs="Times New Roman"/>
          <w:lang w:val="en-CA"/>
        </w:rPr>
        <w:t>). A possessor claiming ownership of an immovable must show that he or she has possessed</w:t>
      </w:r>
      <w:r>
        <w:rPr>
          <w:rFonts w:cs="Times New Roman"/>
          <w:lang w:val="en-CA"/>
        </w:rPr>
        <w:t xml:space="preserve"> it as an owner for at least 10 </w:t>
      </w:r>
      <w:r w:rsidRPr="00A9717C">
        <w:rPr>
          <w:rFonts w:cs="Times New Roman"/>
          <w:lang w:val="en-CA"/>
        </w:rPr>
        <w:t xml:space="preserve">years (arts. 2917 and 2918 </w:t>
      </w:r>
      <w:r w:rsidRPr="00A9717C">
        <w:rPr>
          <w:rFonts w:cs="Times New Roman"/>
          <w:i/>
          <w:lang w:val="en-CA"/>
        </w:rPr>
        <w:t>C.C.Q.</w:t>
      </w:r>
      <w:r w:rsidRPr="00A9717C">
        <w:rPr>
          <w:rFonts w:cs="Times New Roman"/>
          <w:lang w:val="en-CA"/>
        </w:rPr>
        <w:t xml:space="preserve">). Possessors may, for this purpose, join to their possession that of their predecessors (art. 2912 </w:t>
      </w:r>
      <w:r w:rsidRPr="00A9717C">
        <w:rPr>
          <w:rFonts w:cs="Times New Roman"/>
          <w:i/>
          <w:lang w:val="en-CA"/>
        </w:rPr>
        <w:t>C.C.Q.</w:t>
      </w:r>
      <w:r w:rsidRPr="00A9717C">
        <w:rPr>
          <w:rFonts w:cs="Times New Roman"/>
          <w:lang w:val="en-CA"/>
        </w:rPr>
        <w:t xml:space="preserve">). They must also obtain a judgment confirming the right so acquired (art. 2918 </w:t>
      </w:r>
      <w:r w:rsidRPr="00A9717C">
        <w:rPr>
          <w:rFonts w:cs="Times New Roman"/>
          <w:i/>
          <w:lang w:val="en-CA"/>
        </w:rPr>
        <w:t>C.C.Q.</w:t>
      </w:r>
      <w:r w:rsidRPr="00A9717C">
        <w:rPr>
          <w:rFonts w:cs="Times New Roman"/>
          <w:lang w:val="en-CA"/>
        </w:rPr>
        <w:t xml:space="preserve">; arts. 805 and 806 </w:t>
      </w:r>
      <w:r w:rsidRPr="00A9717C">
        <w:rPr>
          <w:rFonts w:cs="Times New Roman"/>
          <w:i/>
          <w:lang w:val="en-CA"/>
        </w:rPr>
        <w:t>C.C.P.</w:t>
      </w:r>
      <w:r w:rsidRPr="00A9717C">
        <w:rPr>
          <w:rFonts w:cs="Times New Roman"/>
          <w:lang w:val="en-CA"/>
        </w:rPr>
        <w:t xml:space="preserve">; new </w:t>
      </w:r>
      <w:r w:rsidRPr="00A9717C">
        <w:rPr>
          <w:rFonts w:cs="Times New Roman"/>
          <w:i/>
          <w:lang w:val="en-CA"/>
        </w:rPr>
        <w:t>Code of Civil Procedure</w:t>
      </w:r>
      <w:r w:rsidRPr="00A9717C">
        <w:rPr>
          <w:rFonts w:cs="Times New Roman"/>
          <w:lang w:val="en-CA"/>
        </w:rPr>
        <w:t>, CQLR, c. C</w:t>
      </w:r>
      <w:r w:rsidRPr="00A9717C">
        <w:rPr>
          <w:rFonts w:cs="Times New Roman"/>
          <w:lang w:val="en-CA"/>
        </w:rPr>
        <w:noBreakHyphen/>
        <w:t xml:space="preserve">25.01, art. 468). There is some debate over whether the effect of such a judgment is to recognize a right of ownership that has already been acquired or to grant such a right. I will return to this point after discussing the role of the publication of rights under the </w:t>
      </w:r>
      <w:r w:rsidRPr="00A9717C">
        <w:rPr>
          <w:rFonts w:cs="Times New Roman"/>
          <w:i/>
          <w:lang w:val="en-CA"/>
        </w:rPr>
        <w:t>Code</w:t>
      </w:r>
      <w:r w:rsidRPr="00A9717C">
        <w:rPr>
          <w:rFonts w:cs="Times New Roman"/>
          <w:lang w:val="en-CA"/>
        </w:rPr>
        <w:t>.</w:t>
      </w:r>
    </w:p>
    <w:p w:rsidR="00FE692E" w:rsidRPr="00A9717C" w:rsidRDefault="00FE692E" w:rsidP="00233573">
      <w:pPr>
        <w:pStyle w:val="Title2LevelTitre2Niveau"/>
        <w:widowControl w:val="0"/>
        <w:rPr>
          <w:rFonts w:cs="Times New Roman"/>
        </w:rPr>
      </w:pPr>
      <w:r w:rsidRPr="00A9717C">
        <w:rPr>
          <w:rFonts w:cs="Times New Roman"/>
        </w:rPr>
        <w:t>Publication of Rights in Quebec Civil Law</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Unlike prescription, the publication of rights, the subject of Book </w:t>
      </w:r>
      <w:proofErr w:type="gramStart"/>
      <w:r w:rsidRPr="00A9717C">
        <w:rPr>
          <w:rFonts w:cs="Times New Roman"/>
          <w:lang w:val="en-CA"/>
        </w:rPr>
        <w:t>Nine</w:t>
      </w:r>
      <w:proofErr w:type="gramEnd"/>
      <w:r w:rsidRPr="00A9717C">
        <w:rPr>
          <w:rFonts w:cs="Times New Roman"/>
          <w:lang w:val="en-CA"/>
        </w:rPr>
        <w:t xml:space="preserve"> of the </w:t>
      </w:r>
      <w:r w:rsidRPr="00A9717C">
        <w:rPr>
          <w:rFonts w:cs="Times New Roman"/>
          <w:i/>
          <w:lang w:val="en-CA"/>
        </w:rPr>
        <w:t>Code</w:t>
      </w:r>
      <w:r w:rsidRPr="00A9717C">
        <w:rPr>
          <w:rFonts w:cs="Times New Roman"/>
          <w:lang w:val="en-CA"/>
        </w:rPr>
        <w:t>, [</w:t>
      </w:r>
      <w:r w:rsidRPr="00A9717C">
        <w:rPr>
          <w:rFonts w:cs="Times New Roman"/>
          <w:smallCaps/>
          <w:lang w:val="en-CA"/>
        </w:rPr>
        <w:t>translation] “</w:t>
      </w:r>
      <w:r w:rsidRPr="00A9717C">
        <w:rPr>
          <w:rFonts w:cs="Times New Roman"/>
          <w:lang w:val="en-CA"/>
        </w:rPr>
        <w:t>plays no part in the process of creating rights” (F. </w:t>
      </w:r>
      <w:proofErr w:type="spellStart"/>
      <w:r w:rsidRPr="00A9717C">
        <w:rPr>
          <w:rFonts w:cs="Times New Roman"/>
          <w:lang w:val="en-CA"/>
        </w:rPr>
        <w:t>Brochu</w:t>
      </w:r>
      <w:proofErr w:type="spellEnd"/>
      <w:r w:rsidRPr="00A9717C">
        <w:rPr>
          <w:rFonts w:cs="Times New Roman"/>
          <w:lang w:val="en-CA"/>
        </w:rPr>
        <w:t xml:space="preserve">, “Critique </w:t>
      </w:r>
      <w:proofErr w:type="spellStart"/>
      <w:r w:rsidRPr="00A9717C">
        <w:rPr>
          <w:rFonts w:cs="Times New Roman"/>
          <w:lang w:val="en-CA"/>
        </w:rPr>
        <w:t>d’une</w:t>
      </w:r>
      <w:proofErr w:type="spellEnd"/>
      <w:r w:rsidRPr="00A9717C">
        <w:rPr>
          <w:rFonts w:cs="Times New Roman"/>
          <w:lang w:val="en-CA"/>
        </w:rPr>
        <w:t xml:space="preserve"> </w:t>
      </w:r>
      <w:proofErr w:type="spellStart"/>
      <w:r w:rsidRPr="00A9717C">
        <w:rPr>
          <w:rFonts w:cs="Times New Roman"/>
          <w:lang w:val="en-CA"/>
        </w:rPr>
        <w:t>réforme</w:t>
      </w:r>
      <w:proofErr w:type="spellEnd"/>
      <w:r w:rsidRPr="00A9717C">
        <w:rPr>
          <w:rFonts w:cs="Times New Roman"/>
          <w:lang w:val="en-CA"/>
        </w:rPr>
        <w:t xml:space="preserve"> </w:t>
      </w:r>
      <w:proofErr w:type="spellStart"/>
      <w:r w:rsidRPr="00A9717C">
        <w:rPr>
          <w:rFonts w:cs="Times New Roman"/>
          <w:lang w:val="en-CA"/>
        </w:rPr>
        <w:t>cosmétique</w:t>
      </w:r>
      <w:proofErr w:type="spellEnd"/>
      <w:r w:rsidRPr="00A9717C">
        <w:rPr>
          <w:rFonts w:cs="Times New Roman"/>
          <w:lang w:val="en-CA"/>
        </w:rPr>
        <w:t xml:space="preserve"> </w:t>
      </w:r>
      <w:proofErr w:type="spellStart"/>
      <w:r w:rsidRPr="00A9717C">
        <w:rPr>
          <w:rFonts w:cs="Times New Roman"/>
          <w:lang w:val="en-CA"/>
        </w:rPr>
        <w:t>en</w:t>
      </w:r>
      <w:proofErr w:type="spellEnd"/>
      <w:r w:rsidRPr="00A9717C">
        <w:rPr>
          <w:rFonts w:cs="Times New Roman"/>
          <w:lang w:val="en-CA"/>
        </w:rPr>
        <w:t xml:space="preserve"> </w:t>
      </w:r>
      <w:proofErr w:type="spellStart"/>
      <w:r w:rsidRPr="00A9717C">
        <w:rPr>
          <w:rFonts w:cs="Times New Roman"/>
          <w:lang w:val="en-CA"/>
        </w:rPr>
        <w:t>matière</w:t>
      </w:r>
      <w:proofErr w:type="spellEnd"/>
      <w:r w:rsidRPr="00A9717C">
        <w:rPr>
          <w:rFonts w:cs="Times New Roman"/>
          <w:lang w:val="en-CA"/>
        </w:rPr>
        <w:t xml:space="preserve"> de </w:t>
      </w:r>
      <w:proofErr w:type="spellStart"/>
      <w:r w:rsidRPr="00A9717C">
        <w:rPr>
          <w:rFonts w:cs="Times New Roman"/>
          <w:lang w:val="en-CA"/>
        </w:rPr>
        <w:t>publicité</w:t>
      </w:r>
      <w:proofErr w:type="spellEnd"/>
      <w:r w:rsidRPr="00A9717C">
        <w:rPr>
          <w:rFonts w:cs="Times New Roman"/>
          <w:lang w:val="en-CA"/>
        </w:rPr>
        <w:t xml:space="preserve"> </w:t>
      </w:r>
      <w:proofErr w:type="spellStart"/>
      <w:r w:rsidRPr="00A9717C">
        <w:rPr>
          <w:rFonts w:cs="Times New Roman"/>
          <w:lang w:val="en-CA"/>
        </w:rPr>
        <w:t>foncière</w:t>
      </w:r>
      <w:proofErr w:type="spellEnd"/>
      <w:r w:rsidRPr="00A9717C">
        <w:rPr>
          <w:rFonts w:cs="Times New Roman"/>
          <w:lang w:val="en-CA"/>
        </w:rPr>
        <w:t xml:space="preserve">” (2003), 105 </w:t>
      </w:r>
      <w:r w:rsidRPr="00A9717C">
        <w:rPr>
          <w:rFonts w:cs="Times New Roman"/>
          <w:i/>
          <w:lang w:val="en-CA"/>
        </w:rPr>
        <w:t>R. du N.</w:t>
      </w:r>
      <w:r w:rsidRPr="00A9717C">
        <w:rPr>
          <w:rFonts w:cs="Times New Roman"/>
          <w:lang w:val="en-CA"/>
        </w:rPr>
        <w:t xml:space="preserve"> 761, at p. 783). Professor </w:t>
      </w:r>
      <w:proofErr w:type="spellStart"/>
      <w:r w:rsidRPr="00A9717C">
        <w:rPr>
          <w:rFonts w:cs="Times New Roman"/>
          <w:lang w:val="en-CA"/>
        </w:rPr>
        <w:t>Gidrol</w:t>
      </w:r>
      <w:proofErr w:type="spellEnd"/>
      <w:r w:rsidRPr="00A9717C">
        <w:rPr>
          <w:rFonts w:cs="Times New Roman"/>
          <w:lang w:val="en-CA"/>
        </w:rPr>
        <w:noBreakHyphen/>
        <w:t>Mistral notes that [</w:t>
      </w:r>
      <w:r w:rsidRPr="00A9717C">
        <w:rPr>
          <w:rFonts w:cs="Times New Roman"/>
          <w:smallCaps/>
          <w:lang w:val="en-CA"/>
        </w:rPr>
        <w:t>translation]</w:t>
      </w:r>
      <w:r w:rsidRPr="00A9717C">
        <w:rPr>
          <w:rFonts w:cs="Times New Roman"/>
          <w:lang w:val="en-CA"/>
        </w:rPr>
        <w:t xml:space="preserve"> “publication does not have the effect of creating a right, nor does it even consolidate one by purging it of its defects” (G. </w:t>
      </w:r>
      <w:proofErr w:type="spellStart"/>
      <w:r w:rsidRPr="00A9717C">
        <w:rPr>
          <w:rFonts w:cs="Times New Roman"/>
          <w:lang w:val="en-CA"/>
        </w:rPr>
        <w:t>Gidrol</w:t>
      </w:r>
      <w:proofErr w:type="spellEnd"/>
      <w:r w:rsidRPr="00A9717C">
        <w:rPr>
          <w:rFonts w:cs="Times New Roman"/>
          <w:lang w:val="en-CA"/>
        </w:rPr>
        <w:noBreakHyphen/>
        <w:t>Mistral, “</w:t>
      </w:r>
      <w:proofErr w:type="spellStart"/>
      <w:r w:rsidRPr="00A9717C">
        <w:rPr>
          <w:rFonts w:cs="Times New Roman"/>
          <w:lang w:val="en-CA"/>
        </w:rPr>
        <w:t>Publicité</w:t>
      </w:r>
      <w:proofErr w:type="spellEnd"/>
      <w:r w:rsidRPr="00A9717C">
        <w:rPr>
          <w:rFonts w:cs="Times New Roman"/>
          <w:lang w:val="en-CA"/>
        </w:rPr>
        <w:t xml:space="preserve"> des droits et prescription acquisitive: des liaisons </w:t>
      </w:r>
      <w:proofErr w:type="spellStart"/>
      <w:r w:rsidRPr="00A9717C">
        <w:rPr>
          <w:rFonts w:cs="Times New Roman"/>
          <w:lang w:val="en-CA"/>
        </w:rPr>
        <w:t>dangereuses</w:t>
      </w:r>
      <w:proofErr w:type="spellEnd"/>
      <w:r w:rsidRPr="00A9717C">
        <w:rPr>
          <w:rFonts w:cs="Times New Roman"/>
          <w:lang w:val="en-CA"/>
        </w:rPr>
        <w:t xml:space="preserve">?” (2016), 46 </w:t>
      </w:r>
      <w:r w:rsidRPr="00A9717C">
        <w:rPr>
          <w:rFonts w:cs="Times New Roman"/>
          <w:i/>
          <w:lang w:val="en-CA"/>
        </w:rPr>
        <w:t>R.G.D.</w:t>
      </w:r>
      <w:r w:rsidRPr="00A9717C">
        <w:rPr>
          <w:rFonts w:cs="Times New Roman"/>
          <w:lang w:val="en-CA"/>
        </w:rPr>
        <w:t xml:space="preserve"> 303, at p. 316). The role of publication is limited to allowing rights to be set up against third persons, establishing their rank and, </w:t>
      </w:r>
      <w:r w:rsidRPr="00A9717C">
        <w:rPr>
          <w:rFonts w:cs="Times New Roman"/>
          <w:lang w:val="en-CA"/>
        </w:rPr>
        <w:lastRenderedPageBreak/>
        <w:t xml:space="preserve">where the law so provides, giving them effect (art. 2941 </w:t>
      </w:r>
      <w:r w:rsidRPr="00A9717C">
        <w:rPr>
          <w:rFonts w:cs="Times New Roman"/>
          <w:i/>
          <w:lang w:val="en-CA"/>
        </w:rPr>
        <w:t>C.C.Q.</w:t>
      </w:r>
      <w:r w:rsidRPr="00A9717C">
        <w:rPr>
          <w:rFonts w:cs="Times New Roman"/>
          <w:lang w:val="en-CA"/>
        </w:rPr>
        <w:t xml:space="preserve">). The land register also makes it possible to decide between the rights of two persons who have acquired their titles of ownership from the same predecessor in title (art. 2946 </w:t>
      </w:r>
      <w:r w:rsidRPr="00A9717C">
        <w:rPr>
          <w:rFonts w:cs="Times New Roman"/>
          <w:i/>
          <w:lang w:val="en-CA"/>
        </w:rPr>
        <w:t>C.C.Q.</w:t>
      </w:r>
      <w:r w:rsidRPr="00A9717C">
        <w:rPr>
          <w:rFonts w:cs="Times New Roman"/>
          <w:lang w:val="en-CA"/>
        </w:rPr>
        <w:t xml:space="preserve">).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The current provisions are so clearly rooted in those of the </w:t>
      </w:r>
      <w:r w:rsidRPr="00A9717C">
        <w:rPr>
          <w:rFonts w:cs="Times New Roman"/>
          <w:i/>
          <w:lang w:val="en-CA"/>
        </w:rPr>
        <w:t>C.C.L.C.</w:t>
      </w:r>
      <w:r w:rsidRPr="00A9717C">
        <w:rPr>
          <w:rFonts w:cs="Times New Roman"/>
          <w:lang w:val="en-CA"/>
        </w:rPr>
        <w:t xml:space="preserve"> that it can be said that the role of the publication of rights did not change significantly with the enactment of the </w:t>
      </w:r>
      <w:r w:rsidRPr="00A9717C">
        <w:rPr>
          <w:rFonts w:cs="Times New Roman"/>
          <w:i/>
          <w:lang w:val="en-CA"/>
        </w:rPr>
        <w:t xml:space="preserve">Code </w:t>
      </w:r>
      <w:r w:rsidRPr="00A9717C">
        <w:rPr>
          <w:rFonts w:cs="Times New Roman"/>
          <w:lang w:val="en-CA"/>
        </w:rPr>
        <w:t xml:space="preserve">(arts. 2082, 2089 and 2098 </w:t>
      </w:r>
      <w:r w:rsidRPr="00A9717C">
        <w:rPr>
          <w:rFonts w:cs="Times New Roman"/>
          <w:i/>
          <w:lang w:val="en-CA"/>
        </w:rPr>
        <w:t>C.C.L.C.</w:t>
      </w:r>
      <w:r w:rsidRPr="00A9717C">
        <w:rPr>
          <w:rFonts w:cs="Times New Roman"/>
          <w:lang w:val="en-CA"/>
        </w:rPr>
        <w:t>). This is confirmed by the recent history of the provisions on the publication of rights.</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1977, the Civil Code Revision Office (“C.C.R.O.”) — the body responsible for reviewing and </w:t>
      </w:r>
      <w:proofErr w:type="spellStart"/>
      <w:r w:rsidRPr="00A9717C">
        <w:rPr>
          <w:rFonts w:cs="Times New Roman"/>
          <w:lang w:val="en-CA"/>
        </w:rPr>
        <w:t>recodifying</w:t>
      </w:r>
      <w:proofErr w:type="spellEnd"/>
      <w:r w:rsidRPr="00A9717C">
        <w:rPr>
          <w:rFonts w:cs="Times New Roman"/>
          <w:lang w:val="en-CA"/>
        </w:rPr>
        <w:t xml:space="preserve"> the </w:t>
      </w:r>
      <w:r w:rsidRPr="00A9717C">
        <w:rPr>
          <w:rFonts w:cs="Times New Roman"/>
          <w:i/>
          <w:lang w:val="en-CA"/>
        </w:rPr>
        <w:t>C.C.L.C.</w:t>
      </w:r>
      <w:r w:rsidRPr="00A9717C">
        <w:rPr>
          <w:rFonts w:cs="Times New Roman"/>
          <w:lang w:val="en-CA"/>
        </w:rPr>
        <w:t xml:space="preserve"> — had initially proposed to the Quebec legislature </w:t>
      </w:r>
      <w:r w:rsidRPr="00A9717C">
        <w:rPr>
          <w:rFonts w:cs="Times New Roman"/>
          <w:smallCaps/>
          <w:lang w:val="en-CA"/>
        </w:rPr>
        <w:t>“</w:t>
      </w:r>
      <w:r w:rsidRPr="00A9717C">
        <w:rPr>
          <w:rFonts w:cs="Times New Roman"/>
          <w:lang w:val="en-CA"/>
        </w:rPr>
        <w:t xml:space="preserve">a substantial modification in procedures and in the consequences of the publication of immoveable rights” (Civil Code Revision Office, </w:t>
      </w:r>
      <w:r w:rsidRPr="00A9717C">
        <w:rPr>
          <w:rFonts w:cs="Times New Roman"/>
          <w:bCs/>
          <w:i/>
          <w:lang w:val="en-CA"/>
        </w:rPr>
        <w:t>Report on the Québec Civil Code</w:t>
      </w:r>
      <w:r w:rsidRPr="00A9717C">
        <w:rPr>
          <w:rFonts w:cs="Times New Roman"/>
          <w:i/>
          <w:lang w:val="en-CA"/>
        </w:rPr>
        <w:t xml:space="preserve"> </w:t>
      </w:r>
      <w:r w:rsidRPr="00A9717C">
        <w:rPr>
          <w:rFonts w:cs="Times New Roman"/>
          <w:lang w:val="en-CA"/>
        </w:rPr>
        <w:t xml:space="preserve">(1978), vol. II, t. 2, </w:t>
      </w:r>
      <w:r w:rsidRPr="00A9717C">
        <w:rPr>
          <w:rFonts w:cs="Times New Roman"/>
          <w:i/>
          <w:lang w:val="en-CA"/>
        </w:rPr>
        <w:t>Commentaries</w:t>
      </w:r>
      <w:r w:rsidRPr="00A9717C">
        <w:rPr>
          <w:rFonts w:cs="Times New Roman"/>
          <w:lang w:val="en-CA"/>
        </w:rPr>
        <w:t>, at p. 923).</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The primary purpose of this reform would be to reorganize the registry offices and computerize the registers (</w:t>
      </w:r>
      <w:r w:rsidRPr="00A9717C">
        <w:rPr>
          <w:rFonts w:cs="Times New Roman"/>
          <w:i/>
          <w:lang w:val="en-CA"/>
        </w:rPr>
        <w:t>ibid.</w:t>
      </w:r>
      <w:r w:rsidRPr="00A9717C">
        <w:rPr>
          <w:rFonts w:cs="Times New Roman"/>
          <w:lang w:val="en-CA"/>
        </w:rPr>
        <w:t>, at pp. 924 and 927</w:t>
      </w:r>
      <w:r w:rsidRPr="00A9717C">
        <w:rPr>
          <w:rFonts w:cs="Times New Roman"/>
          <w:lang w:val="en-CA"/>
        </w:rPr>
        <w:noBreakHyphen/>
        <w:t>28). It would be accompanied by a significant legal reform based on one cardinal principle:</w:t>
      </w:r>
    </w:p>
    <w:p w:rsidR="00FE692E" w:rsidRPr="00A9717C" w:rsidRDefault="00FE692E" w:rsidP="00233573">
      <w:pPr>
        <w:pStyle w:val="Citation-AltC"/>
        <w:widowControl w:val="0"/>
        <w:ind w:hanging="1166"/>
        <w:contextualSpacing w:val="0"/>
        <w:rPr>
          <w:lang w:val="en-CA"/>
        </w:rPr>
      </w:pPr>
      <w:r w:rsidRPr="00A9717C">
        <w:rPr>
          <w:lang w:val="en-CA"/>
        </w:rPr>
        <w:tab/>
      </w:r>
      <w:r w:rsidR="00B054E2">
        <w:rPr>
          <w:lang w:val="en-CA"/>
        </w:rPr>
        <w:t xml:space="preserve">. . . </w:t>
      </w:r>
      <w:r w:rsidRPr="00A9717C">
        <w:rPr>
          <w:u w:val="single"/>
          <w:lang w:val="en-CA"/>
        </w:rPr>
        <w:t>that every person should be able to rely on the registers</w:t>
      </w:r>
      <w:r w:rsidRPr="00A9717C">
        <w:rPr>
          <w:lang w:val="en-CA"/>
        </w:rPr>
        <w:t xml:space="preserve"> as they stand at any given time, in the belief that what is recorded there is true, that nothing else can be set up against him except what is recorded there, </w:t>
      </w:r>
      <w:r w:rsidRPr="00A9717C">
        <w:rPr>
          <w:u w:val="single"/>
          <w:lang w:val="en-CA"/>
        </w:rPr>
        <w:t>and that nothing that might be entered afterwards will take priority or have any prejudicial effect on what is already published</w:t>
      </w:r>
      <w:r w:rsidRPr="00A9717C">
        <w:rPr>
          <w:lang w:val="en-CA"/>
        </w:rPr>
        <w:t xml:space="preserve">. This principle can be described simply as “absolute confidence” in the titles. [Emphasis added; </w:t>
      </w:r>
      <w:proofErr w:type="gramStart"/>
      <w:r w:rsidRPr="00A9717C">
        <w:rPr>
          <w:i/>
          <w:lang w:val="en-CA"/>
        </w:rPr>
        <w:t>ibid.</w:t>
      </w:r>
      <w:r w:rsidRPr="00A9717C">
        <w:rPr>
          <w:lang w:val="en-CA"/>
        </w:rPr>
        <w:t>,</w:t>
      </w:r>
      <w:proofErr w:type="gramEnd"/>
      <w:r w:rsidRPr="00A9717C">
        <w:rPr>
          <w:lang w:val="en-CA"/>
        </w:rPr>
        <w:t xml:space="preserve"> at p. 926.]</w:t>
      </w:r>
    </w:p>
    <w:p w:rsidR="00FE692E" w:rsidRPr="00A9717C" w:rsidRDefault="00FE692E" w:rsidP="00233573">
      <w:pPr>
        <w:pStyle w:val="ContinueParaSuitedupar-AltP"/>
        <w:widowControl w:val="0"/>
        <w:rPr>
          <w:rFonts w:cs="Times New Roman"/>
          <w:lang w:val="en-CA"/>
        </w:rPr>
      </w:pPr>
      <w:r w:rsidRPr="00A9717C">
        <w:rPr>
          <w:rFonts w:cs="Times New Roman"/>
          <w:lang w:val="en-CA"/>
        </w:rPr>
        <w:lastRenderedPageBreak/>
        <w:t>The C.C.R.O. was proposing that the land register be given absolute probative value, drawing its inspiration in this regard from the German and Swiss systems (M. </w:t>
      </w:r>
      <w:proofErr w:type="spellStart"/>
      <w:r w:rsidRPr="00A9717C">
        <w:rPr>
          <w:rFonts w:cs="Times New Roman"/>
          <w:lang w:val="en-CA"/>
        </w:rPr>
        <w:t>Cantin</w:t>
      </w:r>
      <w:proofErr w:type="spellEnd"/>
      <w:r w:rsidRPr="00A9717C">
        <w:rPr>
          <w:rFonts w:cs="Times New Roman"/>
          <w:lang w:val="en-CA"/>
        </w:rPr>
        <w:t xml:space="preserve"> </w:t>
      </w:r>
      <w:proofErr w:type="spellStart"/>
      <w:r w:rsidRPr="00A9717C">
        <w:rPr>
          <w:rFonts w:cs="Times New Roman"/>
          <w:lang w:val="en-CA"/>
        </w:rPr>
        <w:t>Cumyn</w:t>
      </w:r>
      <w:proofErr w:type="spellEnd"/>
      <w:r w:rsidRPr="00A9717C">
        <w:rPr>
          <w:rFonts w:cs="Times New Roman"/>
          <w:lang w:val="en-CA"/>
        </w:rPr>
        <w:t xml:space="preserve">, “Les </w:t>
      </w:r>
      <w:proofErr w:type="spellStart"/>
      <w:r w:rsidRPr="00A9717C">
        <w:rPr>
          <w:rFonts w:cs="Times New Roman"/>
          <w:lang w:val="en-CA"/>
        </w:rPr>
        <w:t>principaux</w:t>
      </w:r>
      <w:proofErr w:type="spellEnd"/>
      <w:r w:rsidRPr="00A9717C">
        <w:rPr>
          <w:rFonts w:cs="Times New Roman"/>
          <w:lang w:val="en-CA"/>
        </w:rPr>
        <w:t xml:space="preserve"> </w:t>
      </w:r>
      <w:proofErr w:type="spellStart"/>
      <w:r w:rsidRPr="00A9717C">
        <w:rPr>
          <w:rFonts w:cs="Times New Roman"/>
          <w:lang w:val="en-CA"/>
        </w:rPr>
        <w:t>éléments</w:t>
      </w:r>
      <w:proofErr w:type="spellEnd"/>
      <w:r w:rsidRPr="00A9717C">
        <w:rPr>
          <w:rFonts w:cs="Times New Roman"/>
          <w:lang w:val="en-CA"/>
        </w:rPr>
        <w:t xml:space="preserve"> de la </w:t>
      </w:r>
      <w:proofErr w:type="spellStart"/>
      <w:r w:rsidRPr="00A9717C">
        <w:rPr>
          <w:rFonts w:cs="Times New Roman"/>
          <w:lang w:val="en-CA"/>
        </w:rPr>
        <w:t>révision</w:t>
      </w:r>
      <w:proofErr w:type="spellEnd"/>
      <w:r w:rsidRPr="00A9717C">
        <w:rPr>
          <w:rFonts w:cs="Times New Roman"/>
          <w:lang w:val="en-CA"/>
        </w:rPr>
        <w:t xml:space="preserve"> des </w:t>
      </w:r>
      <w:proofErr w:type="spellStart"/>
      <w:r w:rsidRPr="00A9717C">
        <w:rPr>
          <w:rFonts w:cs="Times New Roman"/>
          <w:lang w:val="en-CA"/>
        </w:rPr>
        <w:t>règles</w:t>
      </w:r>
      <w:proofErr w:type="spellEnd"/>
      <w:r w:rsidRPr="00A9717C">
        <w:rPr>
          <w:rFonts w:cs="Times New Roman"/>
          <w:lang w:val="en-CA"/>
        </w:rPr>
        <w:t xml:space="preserve"> de la prescription” (1989), 30 </w:t>
      </w:r>
      <w:r w:rsidRPr="00A9717C">
        <w:rPr>
          <w:rFonts w:cs="Times New Roman"/>
          <w:i/>
          <w:lang w:val="en-CA"/>
        </w:rPr>
        <w:t>C. de D.</w:t>
      </w:r>
      <w:r w:rsidRPr="00A9717C">
        <w:rPr>
          <w:rFonts w:cs="Times New Roman"/>
          <w:lang w:val="en-CA"/>
        </w:rPr>
        <w:t xml:space="preserve"> 611, at p. 622).</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The Quebec legislature originally followed these recommendations for the most part in enacting the new </w:t>
      </w:r>
      <w:r w:rsidRPr="00A9717C">
        <w:rPr>
          <w:rFonts w:cs="Times New Roman"/>
          <w:i/>
          <w:lang w:val="en-CA"/>
        </w:rPr>
        <w:t xml:space="preserve">Code </w:t>
      </w:r>
      <w:r w:rsidRPr="00A9717C">
        <w:rPr>
          <w:rFonts w:cs="Times New Roman"/>
          <w:lang w:val="en-CA"/>
        </w:rPr>
        <w:t xml:space="preserve">in 1991 by, for example, giving absolute probative value to a registration regarding an </w:t>
      </w:r>
      <w:proofErr w:type="spellStart"/>
      <w:r w:rsidRPr="00A9717C">
        <w:rPr>
          <w:rFonts w:cs="Times New Roman"/>
          <w:lang w:val="en-CA"/>
        </w:rPr>
        <w:t>immatriculated</w:t>
      </w:r>
      <w:proofErr w:type="spellEnd"/>
      <w:r w:rsidRPr="00A9717C">
        <w:rPr>
          <w:rFonts w:cs="Times New Roman"/>
          <w:lang w:val="en-CA"/>
        </w:rPr>
        <w:t xml:space="preserve"> immovable that had been published for 10 years:</w:t>
      </w:r>
    </w:p>
    <w:p w:rsidR="00FE692E" w:rsidRPr="00A9717C" w:rsidRDefault="00FE692E" w:rsidP="00233573">
      <w:pPr>
        <w:pStyle w:val="Citation-AltC"/>
        <w:widowControl w:val="0"/>
        <w:spacing w:after="240"/>
        <w:ind w:hanging="1166"/>
        <w:contextualSpacing w:val="0"/>
        <w:rPr>
          <w:lang w:val="en-CA"/>
        </w:rPr>
      </w:pPr>
      <w:r w:rsidRPr="00A9717C">
        <w:rPr>
          <w:b/>
          <w:lang w:val="en-CA"/>
        </w:rPr>
        <w:tab/>
      </w:r>
      <w:r w:rsidRPr="00A9717C">
        <w:rPr>
          <w:b/>
          <w:lang w:val="en-CA"/>
        </w:rPr>
        <w:tab/>
        <w:t>2944.</w:t>
      </w:r>
      <w:r w:rsidRPr="00A9717C">
        <w:rPr>
          <w:lang w:val="en-CA"/>
        </w:rPr>
        <w:t xml:space="preserve"> Registration of a right in the register of personal and movable real rights or the land register carries, in respect of all persons, simple presumption of the existence of that right.</w:t>
      </w:r>
    </w:p>
    <w:p w:rsidR="00FE692E" w:rsidRPr="00A9717C" w:rsidRDefault="00FE692E" w:rsidP="00233573">
      <w:pPr>
        <w:pStyle w:val="Citation-AltC"/>
        <w:widowControl w:val="0"/>
        <w:ind w:hanging="1166"/>
        <w:contextualSpacing w:val="0"/>
        <w:rPr>
          <w:lang w:val="en-CA"/>
        </w:rPr>
      </w:pPr>
      <w:r w:rsidRPr="00A9717C">
        <w:rPr>
          <w:lang w:val="en-CA"/>
        </w:rPr>
        <w:tab/>
      </w:r>
      <w:r w:rsidRPr="00A9717C">
        <w:rPr>
          <w:lang w:val="en-CA"/>
        </w:rPr>
        <w:tab/>
      </w:r>
      <w:r w:rsidRPr="00A9717C">
        <w:rPr>
          <w:u w:val="single"/>
          <w:lang w:val="en-CA"/>
        </w:rPr>
        <w:t xml:space="preserve">Registration in the land register of a right of ownership in an immovable that has been </w:t>
      </w:r>
      <w:proofErr w:type="spellStart"/>
      <w:r w:rsidRPr="00A9717C">
        <w:rPr>
          <w:u w:val="single"/>
          <w:lang w:val="en-CA"/>
        </w:rPr>
        <w:t>immatriculated</w:t>
      </w:r>
      <w:proofErr w:type="spellEnd"/>
      <w:r w:rsidRPr="00A9717C">
        <w:rPr>
          <w:u w:val="single"/>
          <w:lang w:val="en-CA"/>
        </w:rPr>
        <w:t xml:space="preserve"> carries the same irrefutable presumption of the existence of the right</w:t>
      </w:r>
      <w:r w:rsidRPr="00A9717C">
        <w:rPr>
          <w:lang w:val="en-CA"/>
        </w:rPr>
        <w:t xml:space="preserve"> if not contested within ten years.</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The legislature also codified the principle of public confidence proposed by the C.C.R.O. to the effect that third parties should be able to rely entirely on the land register:</w:t>
      </w:r>
    </w:p>
    <w:p w:rsidR="00FE692E" w:rsidRPr="00A9717C" w:rsidRDefault="00FE692E" w:rsidP="00233573">
      <w:pPr>
        <w:pStyle w:val="Citation-AltC"/>
        <w:widowControl w:val="0"/>
        <w:ind w:hanging="1166"/>
        <w:contextualSpacing w:val="0"/>
        <w:rPr>
          <w:lang w:val="en-CA"/>
        </w:rPr>
      </w:pPr>
      <w:r w:rsidRPr="00A9717C">
        <w:rPr>
          <w:b/>
          <w:lang w:val="en-CA"/>
        </w:rPr>
        <w:tab/>
      </w:r>
      <w:r w:rsidRPr="00A9717C">
        <w:rPr>
          <w:b/>
          <w:lang w:val="en-CA"/>
        </w:rPr>
        <w:tab/>
        <w:t>2962.</w:t>
      </w:r>
      <w:r w:rsidRPr="00A9717C">
        <w:rPr>
          <w:lang w:val="en-CA"/>
        </w:rPr>
        <w:t xml:space="preserve"> </w:t>
      </w:r>
      <w:r w:rsidRPr="00A9717C">
        <w:rPr>
          <w:u w:val="single"/>
          <w:lang w:val="en-CA"/>
        </w:rPr>
        <w:t xml:space="preserve">A person who acquires a real right in an immovable which has been </w:t>
      </w:r>
      <w:proofErr w:type="spellStart"/>
      <w:r w:rsidRPr="00A9717C">
        <w:rPr>
          <w:u w:val="single"/>
          <w:lang w:val="en-CA"/>
        </w:rPr>
        <w:t>immatriculated</w:t>
      </w:r>
      <w:proofErr w:type="spellEnd"/>
      <w:r w:rsidRPr="00A9717C">
        <w:rPr>
          <w:lang w:val="en-CA"/>
        </w:rPr>
        <w:t xml:space="preserve">, relying in good faith on the entries in the registers, </w:t>
      </w:r>
      <w:r w:rsidRPr="00A9717C">
        <w:rPr>
          <w:u w:val="single"/>
          <w:lang w:val="en-CA"/>
        </w:rPr>
        <w:t>is secure in his right if it has been published</w:t>
      </w:r>
      <w:r w:rsidRPr="00A9717C">
        <w:rPr>
          <w:lang w:val="en-CA"/>
        </w:rPr>
        <w:t>.</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As can be seen from the words of these provisions, however, arts. 2944 para. 2 and 2962 </w:t>
      </w:r>
      <w:r w:rsidRPr="00A9717C">
        <w:rPr>
          <w:rFonts w:cs="Times New Roman"/>
          <w:i/>
          <w:lang w:val="en-CA"/>
        </w:rPr>
        <w:t>C.C.Q.</w:t>
      </w:r>
      <w:r w:rsidRPr="00A9717C">
        <w:rPr>
          <w:rFonts w:cs="Times New Roman"/>
          <w:lang w:val="en-CA"/>
        </w:rPr>
        <w:t xml:space="preserve"> (both since repealed) applied only to </w:t>
      </w:r>
      <w:proofErr w:type="spellStart"/>
      <w:r w:rsidRPr="00A9717C">
        <w:rPr>
          <w:rFonts w:cs="Times New Roman"/>
          <w:lang w:val="en-CA"/>
        </w:rPr>
        <w:t>immatriculated</w:t>
      </w:r>
      <w:proofErr w:type="spellEnd"/>
      <w:r w:rsidRPr="00A9717C">
        <w:rPr>
          <w:rFonts w:cs="Times New Roman"/>
          <w:lang w:val="en-CA"/>
        </w:rPr>
        <w:t xml:space="preserve"> </w:t>
      </w:r>
      <w:proofErr w:type="spellStart"/>
      <w:r w:rsidRPr="00A9717C">
        <w:rPr>
          <w:rFonts w:cs="Times New Roman"/>
          <w:lang w:val="en-CA"/>
        </w:rPr>
        <w:lastRenderedPageBreak/>
        <w:t>immovables</w:t>
      </w:r>
      <w:proofErr w:type="spellEnd"/>
      <w:r w:rsidRPr="00A9717C">
        <w:rPr>
          <w:rFonts w:cs="Times New Roman"/>
          <w:lang w:val="en-CA"/>
        </w:rPr>
        <w:t xml:space="preserve">. This limit stemmed from the legislature’s intention, in light of the practical difficulties associated with the implementation of this reform, to prepare a progressive transition to the new publication of rights system. One by one, each immovable in the province was to be </w:t>
      </w:r>
      <w:proofErr w:type="spellStart"/>
      <w:r w:rsidRPr="00A9717C">
        <w:rPr>
          <w:rFonts w:cs="Times New Roman"/>
          <w:lang w:val="en-CA"/>
        </w:rPr>
        <w:t>immatriculated</w:t>
      </w:r>
      <w:proofErr w:type="spellEnd"/>
      <w:r w:rsidRPr="00A9717C">
        <w:rPr>
          <w:rFonts w:cs="Times New Roman"/>
          <w:lang w:val="en-CA"/>
        </w:rPr>
        <w:t xml:space="preserve">, that is, its exact position was to be determined and a unique number was to be assigned to it in the cadastre (art. 3026 </w:t>
      </w:r>
      <w:r w:rsidRPr="00A9717C">
        <w:rPr>
          <w:rFonts w:cs="Times New Roman"/>
          <w:i/>
          <w:lang w:val="en-CA"/>
        </w:rPr>
        <w:t>C.C.Q.</w:t>
      </w:r>
      <w:r w:rsidRPr="00A9717C">
        <w:rPr>
          <w:rFonts w:cs="Times New Roman"/>
          <w:lang w:val="en-CA"/>
        </w:rPr>
        <w:t xml:space="preserve">). In addition, the </w:t>
      </w:r>
      <w:r w:rsidRPr="00A9717C">
        <w:rPr>
          <w:rFonts w:cs="Times New Roman"/>
          <w:i/>
          <w:lang w:val="en-CA"/>
        </w:rPr>
        <w:t>Code</w:t>
      </w:r>
      <w:r w:rsidRPr="00A9717C">
        <w:rPr>
          <w:rFonts w:cs="Times New Roman"/>
          <w:lang w:val="en-CA"/>
        </w:rPr>
        <w:t xml:space="preserve"> provided that the rights concerning all </w:t>
      </w:r>
      <w:proofErr w:type="spellStart"/>
      <w:r w:rsidRPr="00A9717C">
        <w:rPr>
          <w:rFonts w:cs="Times New Roman"/>
          <w:lang w:val="en-CA"/>
        </w:rPr>
        <w:t>immovables</w:t>
      </w:r>
      <w:proofErr w:type="spellEnd"/>
      <w:r w:rsidRPr="00A9717C">
        <w:rPr>
          <w:rFonts w:cs="Times New Roman"/>
          <w:lang w:val="en-CA"/>
        </w:rPr>
        <w:t xml:space="preserve"> would be gradually catalogued and carried over to the new register (arts. 3046 to 3053 </w:t>
      </w:r>
      <w:r w:rsidRPr="00A9717C">
        <w:rPr>
          <w:rFonts w:cs="Times New Roman"/>
          <w:i/>
          <w:lang w:val="en-CA"/>
        </w:rPr>
        <w:t>C.C.Q.</w:t>
      </w:r>
      <w:r w:rsidRPr="00A9717C">
        <w:rPr>
          <w:rFonts w:cs="Times New Roman"/>
          <w:lang w:val="en-CA"/>
        </w:rPr>
        <w:t xml:space="preserve">, also since repealed).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This exhaustive search for and characterization of existing rights was a necessary precondition for the attribution of absolute probative value to the land register, since it was to lead to the extinguishment of any uncatalogued rights, thereby ensuring the reliability of the remaining rights (art. 3046 para. </w:t>
      </w:r>
      <w:r w:rsidRPr="00A9717C">
        <w:rPr>
          <w:rFonts w:cs="Times New Roman"/>
        </w:rPr>
        <w:t xml:space="preserve">3 </w:t>
      </w:r>
      <w:r w:rsidRPr="00A9717C">
        <w:rPr>
          <w:rFonts w:cs="Times New Roman"/>
          <w:i/>
        </w:rPr>
        <w:t>C.C.Q.</w:t>
      </w:r>
      <w:r w:rsidRPr="00A9717C">
        <w:rPr>
          <w:rFonts w:cs="Times New Roman"/>
        </w:rPr>
        <w:t xml:space="preserve">, </w:t>
      </w:r>
      <w:proofErr w:type="spellStart"/>
      <w:r w:rsidRPr="00A9717C">
        <w:rPr>
          <w:rFonts w:cs="Times New Roman"/>
        </w:rPr>
        <w:t>since</w:t>
      </w:r>
      <w:proofErr w:type="spellEnd"/>
      <w:r w:rsidRPr="00A9717C">
        <w:rPr>
          <w:rFonts w:cs="Times New Roman"/>
        </w:rPr>
        <w:t xml:space="preserve"> </w:t>
      </w:r>
      <w:proofErr w:type="spellStart"/>
      <w:r w:rsidRPr="00A9717C">
        <w:rPr>
          <w:rFonts w:cs="Times New Roman"/>
        </w:rPr>
        <w:t>repealed</w:t>
      </w:r>
      <w:proofErr w:type="spellEnd"/>
      <w:r w:rsidRPr="00A9717C">
        <w:rPr>
          <w:rFonts w:cs="Times New Roman"/>
        </w:rPr>
        <w:t>; G. </w:t>
      </w:r>
      <w:proofErr w:type="spellStart"/>
      <w:r w:rsidRPr="00A9717C">
        <w:rPr>
          <w:rFonts w:cs="Times New Roman"/>
        </w:rPr>
        <w:t>Rémillard</w:t>
      </w:r>
      <w:proofErr w:type="spellEnd"/>
      <w:r w:rsidRPr="00A9717C">
        <w:rPr>
          <w:rFonts w:cs="Times New Roman"/>
        </w:rPr>
        <w:t xml:space="preserve">, “Présentation du projet de Code civil du Québec” (1991), 22 </w:t>
      </w:r>
      <w:r w:rsidRPr="00A9717C">
        <w:rPr>
          <w:rFonts w:cs="Times New Roman"/>
          <w:i/>
        </w:rPr>
        <w:t>R.G.D.</w:t>
      </w:r>
      <w:r w:rsidRPr="00A9717C">
        <w:rPr>
          <w:rFonts w:cs="Times New Roman"/>
        </w:rPr>
        <w:t xml:space="preserve"> 5, at p. 68). </w:t>
      </w:r>
      <w:r w:rsidRPr="00A9717C">
        <w:rPr>
          <w:rFonts w:cs="Times New Roman"/>
          <w:lang w:val="en-CA"/>
        </w:rPr>
        <w:t xml:space="preserve">This process would take time to complete, however, so the former publication of rights system was to remain in place for </w:t>
      </w:r>
      <w:proofErr w:type="spellStart"/>
      <w:r w:rsidRPr="00A9717C">
        <w:rPr>
          <w:rFonts w:cs="Times New Roman"/>
          <w:lang w:val="en-CA"/>
        </w:rPr>
        <w:t>immovables</w:t>
      </w:r>
      <w:proofErr w:type="spellEnd"/>
      <w:r w:rsidRPr="00A9717C">
        <w:rPr>
          <w:rFonts w:cs="Times New Roman"/>
          <w:lang w:val="en-CA"/>
        </w:rPr>
        <w:t xml:space="preserve"> that had not been </w:t>
      </w:r>
      <w:proofErr w:type="spellStart"/>
      <w:r w:rsidRPr="00A9717C">
        <w:rPr>
          <w:rFonts w:cs="Times New Roman"/>
          <w:lang w:val="en-CA"/>
        </w:rPr>
        <w:t>immatriculated</w:t>
      </w:r>
      <w:proofErr w:type="spellEnd"/>
      <w:r w:rsidRPr="00A9717C">
        <w:rPr>
          <w:rFonts w:cs="Times New Roman"/>
          <w:lang w:val="en-CA"/>
        </w:rPr>
        <w:t xml:space="preserve"> or for which the carry</w:t>
      </w:r>
      <w:r w:rsidRPr="00A9717C">
        <w:rPr>
          <w:rFonts w:cs="Times New Roman"/>
          <w:lang w:val="en-CA"/>
        </w:rPr>
        <w:noBreakHyphen/>
        <w:t>over of rights had not yet taken place.</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But when this reform was implemented in 1994, the legislature ran into more serious difficulties than had been expected with regard to the </w:t>
      </w:r>
      <w:proofErr w:type="spellStart"/>
      <w:r w:rsidRPr="00A9717C">
        <w:rPr>
          <w:rFonts w:cs="Times New Roman"/>
          <w:lang w:val="en-CA"/>
        </w:rPr>
        <w:t>immatriculation</w:t>
      </w:r>
      <w:proofErr w:type="spellEnd"/>
      <w:r w:rsidRPr="00A9717C">
        <w:rPr>
          <w:rFonts w:cs="Times New Roman"/>
          <w:lang w:val="en-CA"/>
        </w:rPr>
        <w:t xml:space="preserve"> of all </w:t>
      </w:r>
      <w:proofErr w:type="spellStart"/>
      <w:r w:rsidRPr="00A9717C">
        <w:rPr>
          <w:rFonts w:cs="Times New Roman"/>
          <w:lang w:val="en-CA"/>
        </w:rPr>
        <w:t>immovables</w:t>
      </w:r>
      <w:proofErr w:type="spellEnd"/>
      <w:r w:rsidRPr="00A9717C">
        <w:rPr>
          <w:rFonts w:cs="Times New Roman"/>
          <w:lang w:val="en-CA"/>
        </w:rPr>
        <w:t xml:space="preserve"> and the exhaustive characterization of existing rights (</w:t>
      </w:r>
      <w:proofErr w:type="spellStart"/>
      <w:r w:rsidRPr="00A9717C">
        <w:rPr>
          <w:rFonts w:cs="Times New Roman"/>
          <w:lang w:val="en-CA"/>
        </w:rPr>
        <w:t>Brochu</w:t>
      </w:r>
      <w:proofErr w:type="spellEnd"/>
      <w:r w:rsidRPr="00A9717C">
        <w:rPr>
          <w:rFonts w:cs="Times New Roman"/>
          <w:lang w:val="en-CA"/>
        </w:rPr>
        <w:t xml:space="preserve">, “Critique”, at p. 764). It therefore decided, by means of the 1992 </w:t>
      </w:r>
      <w:r w:rsidRPr="00A9717C">
        <w:rPr>
          <w:rFonts w:cs="Times New Roman"/>
          <w:i/>
          <w:lang w:val="en-CA"/>
        </w:rPr>
        <w:t xml:space="preserve">Act respecting the implementation of the reform of the Civil Code </w:t>
      </w:r>
      <w:r w:rsidRPr="00A9717C">
        <w:rPr>
          <w:rFonts w:cs="Times New Roman"/>
          <w:lang w:val="en-CA"/>
        </w:rPr>
        <w:t xml:space="preserve">and the amendments made to that Act </w:t>
      </w:r>
      <w:r w:rsidRPr="00A9717C">
        <w:rPr>
          <w:rFonts w:cs="Times New Roman"/>
          <w:lang w:val="en-CA"/>
        </w:rPr>
        <w:lastRenderedPageBreak/>
        <w:t xml:space="preserve">in 1995, to suspend the effect of the main articles of the reform (including arts. 2944 para. 2 and 2962 </w:t>
      </w:r>
      <w:r w:rsidRPr="00A9717C">
        <w:rPr>
          <w:rFonts w:cs="Times New Roman"/>
          <w:i/>
          <w:lang w:val="en-CA"/>
        </w:rPr>
        <w:t>C.C.Q.</w:t>
      </w:r>
      <w:r w:rsidRPr="00A9717C">
        <w:rPr>
          <w:rFonts w:cs="Times New Roman"/>
          <w:lang w:val="en-CA"/>
        </w:rPr>
        <w:t>, mentioned above) and [</w:t>
      </w:r>
      <w:r w:rsidRPr="00A9717C">
        <w:rPr>
          <w:rFonts w:cs="Times New Roman"/>
          <w:smallCaps/>
          <w:lang w:val="en-CA"/>
        </w:rPr>
        <w:t>translation] “</w:t>
      </w:r>
      <w:r w:rsidRPr="00A9717C">
        <w:rPr>
          <w:rFonts w:cs="Times New Roman"/>
          <w:lang w:val="en-CA"/>
        </w:rPr>
        <w:t xml:space="preserve">extend . . . the application of the legal principles that had applied under the </w:t>
      </w:r>
      <w:r w:rsidRPr="00A9717C">
        <w:rPr>
          <w:rFonts w:cs="Times New Roman"/>
          <w:i/>
          <w:lang w:val="en-CA"/>
        </w:rPr>
        <w:t>Civil Code of Lower Canada</w:t>
      </w:r>
      <w:r w:rsidRPr="00A9717C">
        <w:rPr>
          <w:rFonts w:cs="Times New Roman"/>
          <w:lang w:val="en-CA"/>
        </w:rPr>
        <w:t>” (</w:t>
      </w:r>
      <w:r w:rsidRPr="00A9717C">
        <w:rPr>
          <w:rFonts w:cs="Times New Roman"/>
          <w:i/>
          <w:lang w:val="en-CA"/>
        </w:rPr>
        <w:t>ibid.</w:t>
      </w:r>
      <w:r w:rsidRPr="00A9717C">
        <w:rPr>
          <w:rFonts w:cs="Times New Roman"/>
          <w:lang w:val="en-CA"/>
        </w:rPr>
        <w:t xml:space="preserve">; </w:t>
      </w:r>
      <w:r w:rsidRPr="00A9717C">
        <w:rPr>
          <w:rFonts w:cs="Times New Roman"/>
          <w:i/>
          <w:lang w:val="en-CA"/>
        </w:rPr>
        <w:t>An Act respecting the implementation of the reform of the Civil Code</w:t>
      </w:r>
      <w:r w:rsidRPr="00A9717C">
        <w:rPr>
          <w:rFonts w:cs="Times New Roman"/>
          <w:lang w:val="en-CA"/>
        </w:rPr>
        <w:t xml:space="preserve">, s. 155 para. 1; </w:t>
      </w:r>
      <w:r w:rsidRPr="00A9717C">
        <w:rPr>
          <w:rFonts w:cs="Times New Roman"/>
          <w:i/>
          <w:lang w:val="en-CA"/>
        </w:rPr>
        <w:t>An Act to amend the Act respecting the implementation of the reform of the Civil Code and other legislative provisions as regards security and the publication of rights</w:t>
      </w:r>
      <w:r w:rsidRPr="00A9717C">
        <w:rPr>
          <w:rFonts w:cs="Times New Roman"/>
          <w:lang w:val="en-CA"/>
        </w:rPr>
        <w:t>, S.Q. 1995, c. 33).</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Six years later, in December 2000, the legislature realized that its reform would cost more than expected and would involve certain risks relating to the professional liability of notaries (</w:t>
      </w:r>
      <w:proofErr w:type="spellStart"/>
      <w:r w:rsidRPr="00A9717C">
        <w:rPr>
          <w:rFonts w:cs="Times New Roman"/>
          <w:lang w:val="en-CA"/>
        </w:rPr>
        <w:t>Brochu</w:t>
      </w:r>
      <w:proofErr w:type="spellEnd"/>
      <w:r w:rsidRPr="00A9717C">
        <w:rPr>
          <w:rFonts w:cs="Times New Roman"/>
          <w:lang w:val="en-CA"/>
        </w:rPr>
        <w:t>, “Critique”, at p. 789). It therefore decided to concentrate on computerizing the existing land register and to drop the rest of the reform for good, simply repealing the provisions that had previously been suspended (</w:t>
      </w:r>
      <w:r w:rsidRPr="00A9717C">
        <w:rPr>
          <w:rFonts w:cs="Times New Roman"/>
          <w:i/>
          <w:lang w:val="en-CA"/>
        </w:rPr>
        <w:t>An Act to amend the Civil Code and other legislative provisions relating to land registration</w:t>
      </w:r>
      <w:r w:rsidRPr="00A9717C">
        <w:rPr>
          <w:rFonts w:cs="Times New Roman"/>
          <w:lang w:val="en-CA"/>
        </w:rPr>
        <w:t>, S.Q. 2000, c. 42). The record of the legislative debate speaks volumes in this regard:</w:t>
      </w:r>
    </w:p>
    <w:p w:rsidR="00FE692E" w:rsidRPr="00A9717C" w:rsidRDefault="00FE692E" w:rsidP="00233573">
      <w:pPr>
        <w:pStyle w:val="Citation-AltC"/>
        <w:widowControl w:val="0"/>
        <w:spacing w:after="240"/>
        <w:ind w:hanging="1166"/>
        <w:contextualSpacing w:val="0"/>
        <w:rPr>
          <w:lang w:val="en-CA"/>
        </w:rPr>
      </w:pPr>
      <w:r w:rsidRPr="00A9717C">
        <w:rPr>
          <w:b/>
          <w:lang w:val="en-CA"/>
        </w:rPr>
        <w:tab/>
      </w:r>
      <w:r w:rsidRPr="00A9717C">
        <w:rPr>
          <w:b/>
          <w:lang w:val="en-CA"/>
        </w:rPr>
        <w:tab/>
      </w:r>
      <w:r w:rsidRPr="00A9717C">
        <w:rPr>
          <w:lang w:val="en-CA"/>
        </w:rPr>
        <w:t>[</w:t>
      </w:r>
      <w:r w:rsidRPr="00A9717C">
        <w:rPr>
          <w:smallCaps/>
          <w:lang w:val="en-CA"/>
        </w:rPr>
        <w:t xml:space="preserve">translation] </w:t>
      </w:r>
      <w:r w:rsidRPr="00A9717C">
        <w:rPr>
          <w:b/>
          <w:lang w:val="en-CA"/>
        </w:rPr>
        <w:t>Mr. Charbonneau (Pierre)</w:t>
      </w:r>
      <w:r w:rsidRPr="00B054E2">
        <w:rPr>
          <w:b/>
          <w:lang w:val="en-CA"/>
        </w:rPr>
        <w:t>:</w:t>
      </w:r>
      <w:r w:rsidRPr="00A9717C">
        <w:rPr>
          <w:lang w:val="en-CA"/>
        </w:rPr>
        <w:t xml:space="preserve"> The conclusions of the Auger report were along the following lines: </w:t>
      </w:r>
      <w:r w:rsidRPr="00A9717C">
        <w:rPr>
          <w:u w:val="single"/>
          <w:lang w:val="en-CA"/>
        </w:rPr>
        <w:t>to proceed as quickly as possible with computerizing the register on the basis of the law that has actually applied since 1995, that is, the old way of doing things</w:t>
      </w:r>
      <w:r w:rsidRPr="00A9717C">
        <w:rPr>
          <w:lang w:val="en-CA"/>
        </w:rPr>
        <w:t xml:space="preserve">, if you will, and to leave for another day the feasibility or opportunity studies on what had been contemplated for Phase II. </w:t>
      </w:r>
    </w:p>
    <w:p w:rsidR="00FE692E" w:rsidRPr="00A9717C" w:rsidRDefault="00FE692E" w:rsidP="00233573">
      <w:pPr>
        <w:pStyle w:val="Citation-AltC"/>
        <w:widowControl w:val="0"/>
        <w:spacing w:after="240"/>
        <w:contextualSpacing w:val="0"/>
        <w:jc w:val="center"/>
        <w:rPr>
          <w:lang w:val="en-CA"/>
        </w:rPr>
      </w:pPr>
      <w:r w:rsidRPr="00A9717C">
        <w:rPr>
          <w:lang w:val="en-CA"/>
        </w:rPr>
        <w:t>. . .</w:t>
      </w:r>
    </w:p>
    <w:p w:rsidR="00FE692E" w:rsidRPr="00A9717C" w:rsidRDefault="00FE692E" w:rsidP="00233573">
      <w:pPr>
        <w:pStyle w:val="Citation-AltC"/>
        <w:widowControl w:val="0"/>
        <w:spacing w:after="480"/>
        <w:ind w:hanging="1166"/>
        <w:contextualSpacing w:val="0"/>
        <w:rPr>
          <w:lang w:val="en-CA"/>
        </w:rPr>
      </w:pPr>
      <w:r w:rsidRPr="00A9717C">
        <w:rPr>
          <w:lang w:val="en-CA"/>
        </w:rPr>
        <w:tab/>
      </w:r>
      <w:r w:rsidRPr="00A9717C">
        <w:rPr>
          <w:lang w:val="en-CA"/>
        </w:rPr>
        <w:tab/>
        <w:t xml:space="preserve">. . . And </w:t>
      </w:r>
      <w:r w:rsidRPr="00A9717C">
        <w:rPr>
          <w:u w:val="single"/>
          <w:lang w:val="en-CA"/>
        </w:rPr>
        <w:t>the bill is intended to reflect that situation</w:t>
      </w:r>
      <w:r w:rsidRPr="00A9717C">
        <w:rPr>
          <w:lang w:val="en-CA"/>
        </w:rPr>
        <w:t>. [Emphasis added.]</w:t>
      </w:r>
    </w:p>
    <w:p w:rsidR="00FE692E" w:rsidRPr="00F21279" w:rsidRDefault="00FE692E" w:rsidP="00233573">
      <w:pPr>
        <w:pStyle w:val="Citation-AltC"/>
        <w:widowControl w:val="0"/>
        <w:ind w:left="0"/>
        <w:contextualSpacing w:val="0"/>
        <w:rPr>
          <w:lang w:val="en-CA"/>
        </w:rPr>
      </w:pPr>
      <w:r w:rsidRPr="00F21279">
        <w:rPr>
          <w:lang w:val="en-CA"/>
        </w:rPr>
        <w:t xml:space="preserve">(Quebec, National Assembly, </w:t>
      </w:r>
      <w:r w:rsidRPr="00F21279">
        <w:rPr>
          <w:i/>
          <w:lang w:val="en-CA"/>
        </w:rPr>
        <w:t xml:space="preserve">Journal des </w:t>
      </w:r>
      <w:proofErr w:type="spellStart"/>
      <w:r w:rsidRPr="00F21279">
        <w:rPr>
          <w:i/>
          <w:lang w:val="en-CA"/>
        </w:rPr>
        <w:t>débats</w:t>
      </w:r>
      <w:proofErr w:type="spellEnd"/>
      <w:r w:rsidRPr="00F21279">
        <w:rPr>
          <w:i/>
          <w:lang w:val="en-CA"/>
        </w:rPr>
        <w:t xml:space="preserve"> de la Commission </w:t>
      </w:r>
      <w:proofErr w:type="spellStart"/>
      <w:r w:rsidRPr="00F21279">
        <w:rPr>
          <w:i/>
          <w:lang w:val="en-CA"/>
        </w:rPr>
        <w:t>permanente</w:t>
      </w:r>
      <w:proofErr w:type="spellEnd"/>
      <w:r w:rsidRPr="00F21279">
        <w:rPr>
          <w:i/>
          <w:lang w:val="en-CA"/>
        </w:rPr>
        <w:t xml:space="preserve"> des </w:t>
      </w:r>
      <w:r w:rsidRPr="00F21279">
        <w:rPr>
          <w:i/>
          <w:lang w:val="en-CA"/>
        </w:rPr>
        <w:lastRenderedPageBreak/>
        <w:t>institutions</w:t>
      </w:r>
      <w:r w:rsidRPr="00F21279">
        <w:rPr>
          <w:lang w:val="en-CA"/>
        </w:rPr>
        <w:t>, vol. 36, No. 82, 1st Sess., 36th Leg., June 2, 2000, at p. 52)</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sum, although the legislature aspired, in 1991, to give the publication of rights a probative value that would create rights by means of, among others, arts. 2944 para. 2 and 2962 </w:t>
      </w:r>
      <w:r w:rsidRPr="00A9717C">
        <w:rPr>
          <w:rFonts w:cs="Times New Roman"/>
          <w:i/>
          <w:lang w:val="en-CA"/>
        </w:rPr>
        <w:t>C.C.Q.</w:t>
      </w:r>
      <w:r w:rsidRPr="00A9717C">
        <w:rPr>
          <w:rFonts w:cs="Times New Roman"/>
          <w:lang w:val="en-CA"/>
        </w:rPr>
        <w:t>, it did not carry the reform through to completion. In fact, it abandoned the reform in 2000 (</w:t>
      </w:r>
      <w:proofErr w:type="spellStart"/>
      <w:r w:rsidRPr="00A9717C">
        <w:rPr>
          <w:rFonts w:cs="Times New Roman"/>
          <w:lang w:val="en-CA"/>
        </w:rPr>
        <w:t>Gidrol</w:t>
      </w:r>
      <w:proofErr w:type="spellEnd"/>
      <w:r w:rsidRPr="00A9717C">
        <w:rPr>
          <w:rFonts w:cs="Times New Roman"/>
          <w:lang w:val="en-CA"/>
        </w:rPr>
        <w:noBreakHyphen/>
        <w:t xml:space="preserve">Mistral, at pp. 307 and 314). In Professor </w:t>
      </w:r>
      <w:proofErr w:type="spellStart"/>
      <w:r w:rsidRPr="00A9717C">
        <w:rPr>
          <w:rFonts w:cs="Times New Roman"/>
          <w:lang w:val="en-CA"/>
        </w:rPr>
        <w:t>Gidrol</w:t>
      </w:r>
      <w:proofErr w:type="spellEnd"/>
      <w:r w:rsidRPr="00A9717C">
        <w:rPr>
          <w:rFonts w:cs="Times New Roman"/>
          <w:lang w:val="en-CA"/>
        </w:rPr>
        <w:noBreakHyphen/>
        <w:t>Mistral’s words, [</w:t>
      </w:r>
      <w:r w:rsidRPr="00A9717C">
        <w:rPr>
          <w:rFonts w:cs="Times New Roman"/>
          <w:smallCaps/>
          <w:lang w:val="en-CA"/>
        </w:rPr>
        <w:t xml:space="preserve">translation] </w:t>
      </w:r>
      <w:r w:rsidRPr="00A9717C">
        <w:rPr>
          <w:rFonts w:cs="Times New Roman"/>
          <w:lang w:val="en-CA"/>
        </w:rPr>
        <w:t xml:space="preserve">“the abandonment of that </w:t>
      </w:r>
      <w:proofErr w:type="gramStart"/>
      <w:r w:rsidRPr="00A9717C">
        <w:rPr>
          <w:rFonts w:cs="Times New Roman"/>
          <w:lang w:val="en-CA"/>
        </w:rPr>
        <w:t>reform .</w:t>
      </w:r>
      <w:proofErr w:type="gramEnd"/>
      <w:r w:rsidRPr="00A9717C">
        <w:rPr>
          <w:rFonts w:cs="Times New Roman"/>
          <w:lang w:val="en-CA"/>
        </w:rPr>
        <w:t xml:space="preserve"> . . confirmed the traditional purely declarative role of publication” (p. 338) and put an end to the “dream of the publication of rights” (p. 340). In short, as regards the role of the publication of rights, despite initial intentions to do otherwise, the current version of the </w:t>
      </w:r>
      <w:r w:rsidRPr="00A9717C">
        <w:rPr>
          <w:rFonts w:cs="Times New Roman"/>
          <w:i/>
          <w:lang w:val="en-CA"/>
        </w:rPr>
        <w:t xml:space="preserve">Code </w:t>
      </w:r>
      <w:r w:rsidRPr="00A9717C">
        <w:rPr>
          <w:rFonts w:cs="Times New Roman"/>
          <w:lang w:val="en-CA"/>
        </w:rPr>
        <w:t xml:space="preserve">essentially restates the law as it stood under the </w:t>
      </w:r>
      <w:r w:rsidRPr="00A9717C">
        <w:rPr>
          <w:rFonts w:cs="Times New Roman"/>
          <w:i/>
          <w:lang w:val="en-CA"/>
        </w:rPr>
        <w:t>C.C.L.C.</w:t>
      </w:r>
      <w:r w:rsidRPr="00A9717C">
        <w:rPr>
          <w:rFonts w:cs="Times New Roman"/>
          <w:lang w:val="en-CA"/>
        </w:rPr>
        <w:t xml:space="preserve"> (p. 315; </w:t>
      </w:r>
      <w:proofErr w:type="spellStart"/>
      <w:r w:rsidRPr="00A9717C">
        <w:rPr>
          <w:rFonts w:cs="Times New Roman"/>
          <w:lang w:val="en-CA"/>
        </w:rPr>
        <w:t>Brochu</w:t>
      </w:r>
      <w:proofErr w:type="spellEnd"/>
      <w:r w:rsidRPr="00A9717C">
        <w:rPr>
          <w:rFonts w:cs="Times New Roman"/>
          <w:lang w:val="en-CA"/>
        </w:rPr>
        <w:t xml:space="preserve">, “Critique”, at pp. 778 and 783). This background must be borne in mind in interpreting and applying the provisions of the </w:t>
      </w:r>
      <w:r w:rsidRPr="00A9717C">
        <w:rPr>
          <w:rFonts w:cs="Times New Roman"/>
          <w:i/>
          <w:lang w:val="en-CA"/>
        </w:rPr>
        <w:t>Code</w:t>
      </w:r>
      <w:r w:rsidRPr="00A9717C">
        <w:rPr>
          <w:rFonts w:cs="Times New Roman"/>
          <w:lang w:val="en-CA"/>
        </w:rPr>
        <w:t xml:space="preserve"> on the basis of which the appellants assert that the respondent cannot set up against them unpublished rights resulting from her 10</w:t>
      </w:r>
      <w:r w:rsidRPr="00A9717C">
        <w:rPr>
          <w:rFonts w:cs="Times New Roman"/>
          <w:lang w:val="en-CA"/>
        </w:rPr>
        <w:noBreakHyphen/>
        <w:t>year prescription.</w:t>
      </w:r>
    </w:p>
    <w:p w:rsidR="00FE692E" w:rsidRPr="00A9717C" w:rsidRDefault="00FE692E" w:rsidP="00233573">
      <w:pPr>
        <w:pStyle w:val="Title2LevelTitre2Niveau"/>
        <w:widowControl w:val="0"/>
        <w:rPr>
          <w:rFonts w:cs="Times New Roman"/>
        </w:rPr>
      </w:pPr>
      <w:r w:rsidRPr="00A9717C">
        <w:rPr>
          <w:rFonts w:cs="Times New Roman"/>
        </w:rPr>
        <w:t>Interplay of Acquisitive Prescription and Publication of Rights</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It can be seen from the foregoing analysis that, on the one hand, acquisitive prescription remains a recognized means of acquiring immovable real rights in Quebec civil law and that, on the other hand, the publication of rights system provided for in the </w:t>
      </w:r>
      <w:r w:rsidRPr="00A9717C">
        <w:rPr>
          <w:rFonts w:cs="Times New Roman"/>
          <w:i/>
          <w:lang w:val="en-CA"/>
        </w:rPr>
        <w:t>Code</w:t>
      </w:r>
      <w:r w:rsidRPr="00A9717C">
        <w:rPr>
          <w:rFonts w:cs="Times New Roman"/>
          <w:lang w:val="en-CA"/>
        </w:rPr>
        <w:t xml:space="preserve"> retains the limited role it had under the </w:t>
      </w:r>
      <w:r w:rsidRPr="00A9717C">
        <w:rPr>
          <w:rFonts w:cs="Times New Roman"/>
          <w:i/>
          <w:lang w:val="en-CA"/>
        </w:rPr>
        <w:t>C.C.L.C.</w:t>
      </w:r>
      <w:r w:rsidRPr="00A9717C">
        <w:rPr>
          <w:rFonts w:cs="Times New Roman"/>
          <w:lang w:val="en-CA"/>
        </w:rPr>
        <w:t xml:space="preserve"> In my opinion, the effect of these distinct roles is that rights validly acquired by prescription apply regardless of the rights registered in the land register.</w:t>
      </w:r>
    </w:p>
    <w:p w:rsidR="00FE692E" w:rsidRPr="00A9717C" w:rsidRDefault="00FE692E" w:rsidP="00233573">
      <w:pPr>
        <w:pStyle w:val="Title3LevelTitre3Niveau"/>
        <w:widowControl w:val="0"/>
        <w:rPr>
          <w:rFonts w:cs="Times New Roman"/>
        </w:rPr>
      </w:pPr>
      <w:r w:rsidRPr="00A9717C">
        <w:rPr>
          <w:rFonts w:cs="Times New Roman"/>
        </w:rPr>
        <w:lastRenderedPageBreak/>
        <w:t>Prescription May Be Set Up Against a Third Party in the Absence of Publication</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the context of the </w:t>
      </w:r>
      <w:r w:rsidRPr="00A9717C">
        <w:rPr>
          <w:rFonts w:cs="Times New Roman"/>
          <w:i/>
          <w:lang w:val="en-CA"/>
        </w:rPr>
        <w:t>C.C.L.C.</w:t>
      </w:r>
      <w:r w:rsidRPr="00A9717C">
        <w:rPr>
          <w:rFonts w:cs="Times New Roman"/>
          <w:lang w:val="en-CA"/>
        </w:rPr>
        <w:t xml:space="preserve">, the provisions of which resembled those of the </w:t>
      </w:r>
      <w:r w:rsidRPr="00A9717C">
        <w:rPr>
          <w:rFonts w:cs="Times New Roman"/>
          <w:i/>
          <w:lang w:val="en-CA"/>
        </w:rPr>
        <w:t>Code</w:t>
      </w:r>
      <w:r w:rsidRPr="00A9717C">
        <w:rPr>
          <w:rFonts w:cs="Times New Roman"/>
          <w:lang w:val="en-CA"/>
        </w:rPr>
        <w:t>, it was settled law that [</w:t>
      </w:r>
      <w:r w:rsidRPr="00A9717C">
        <w:rPr>
          <w:rFonts w:cs="Times New Roman"/>
          <w:smallCaps/>
          <w:lang w:val="en-CA"/>
        </w:rPr>
        <w:t xml:space="preserve">translation] </w:t>
      </w:r>
      <w:r w:rsidRPr="00A9717C">
        <w:rPr>
          <w:rFonts w:cs="Times New Roman"/>
          <w:lang w:val="en-CA"/>
        </w:rPr>
        <w:t xml:space="preserve">“[t]o be set up against third parties, acquisition by prescription [did] not have to be registered” (Martineau, at p. 234; </w:t>
      </w:r>
      <w:proofErr w:type="spellStart"/>
      <w:r w:rsidRPr="00A9717C">
        <w:rPr>
          <w:rFonts w:cs="Times New Roman"/>
          <w:i/>
          <w:lang w:val="en-CA"/>
        </w:rPr>
        <w:t>Deschesnes</w:t>
      </w:r>
      <w:proofErr w:type="spellEnd"/>
      <w:r w:rsidRPr="00A9717C">
        <w:rPr>
          <w:rFonts w:cs="Times New Roman"/>
          <w:i/>
          <w:lang w:val="en-CA"/>
        </w:rPr>
        <w:t xml:space="preserve"> v. Boucher</w:t>
      </w:r>
      <w:r w:rsidRPr="00A9717C">
        <w:rPr>
          <w:rFonts w:cs="Times New Roman"/>
          <w:lang w:val="en-CA"/>
        </w:rPr>
        <w:t xml:space="preserve">, [1961] B.R. 771, at p. 776; </w:t>
      </w:r>
      <w:proofErr w:type="spellStart"/>
      <w:r w:rsidRPr="00A9717C">
        <w:rPr>
          <w:rFonts w:cs="Times New Roman"/>
          <w:i/>
          <w:lang w:val="en-CA"/>
        </w:rPr>
        <w:t>Noiseux</w:t>
      </w:r>
      <w:proofErr w:type="spellEnd"/>
      <w:r w:rsidRPr="00A9717C">
        <w:rPr>
          <w:rFonts w:cs="Times New Roman"/>
          <w:i/>
          <w:lang w:val="en-CA"/>
        </w:rPr>
        <w:t xml:space="preserve"> v. </w:t>
      </w:r>
      <w:proofErr w:type="spellStart"/>
      <w:r w:rsidRPr="00A9717C">
        <w:rPr>
          <w:rFonts w:cs="Times New Roman"/>
          <w:i/>
          <w:lang w:val="en-CA"/>
        </w:rPr>
        <w:t>Savio</w:t>
      </w:r>
      <w:proofErr w:type="spellEnd"/>
      <w:r w:rsidRPr="00A9717C">
        <w:rPr>
          <w:rFonts w:cs="Times New Roman"/>
          <w:lang w:val="en-CA"/>
        </w:rPr>
        <w:t xml:space="preserve"> (1982), 27 R.P.R. 179 (C.A.)). Moreover, in his treatise on prescription, written when the </w:t>
      </w:r>
      <w:r w:rsidRPr="00A9717C">
        <w:rPr>
          <w:rFonts w:cs="Times New Roman"/>
          <w:i/>
          <w:lang w:val="en-CA"/>
        </w:rPr>
        <w:t>C.C.L.C.</w:t>
      </w:r>
      <w:r w:rsidRPr="00A9717C">
        <w:rPr>
          <w:rFonts w:cs="Times New Roman"/>
          <w:lang w:val="en-CA"/>
        </w:rPr>
        <w:t xml:space="preserve"> was still in force, Professor Martineau contemplated a situation identical to the one in the instant case:</w:t>
      </w:r>
    </w:p>
    <w:p w:rsidR="00FE692E" w:rsidRPr="00A9717C" w:rsidRDefault="00FE692E" w:rsidP="00233573">
      <w:pPr>
        <w:pStyle w:val="Citation-AltC"/>
        <w:widowControl w:val="0"/>
        <w:ind w:hanging="1166"/>
        <w:contextualSpacing w:val="0"/>
        <w:rPr>
          <w:lang w:val="en-CA"/>
        </w:rPr>
      </w:pPr>
      <w:r w:rsidRPr="00A9717C">
        <w:rPr>
          <w:lang w:val="en-CA"/>
        </w:rPr>
        <w:tab/>
        <w:t>[</w:t>
      </w:r>
      <w:r w:rsidRPr="00A9717C">
        <w:rPr>
          <w:smallCaps/>
          <w:lang w:val="en-CA"/>
        </w:rPr>
        <w:t xml:space="preserve">translation] </w:t>
      </w:r>
      <w:r w:rsidRPr="00A9717C">
        <w:rPr>
          <w:lang w:val="en-CA"/>
        </w:rPr>
        <w:t xml:space="preserve">The owner against whom prescription has become effective then sells [his or her] immovable to a third party, who brings a </w:t>
      </w:r>
      <w:proofErr w:type="spellStart"/>
      <w:r w:rsidRPr="00A9717C">
        <w:rPr>
          <w:lang w:val="en-CA"/>
        </w:rPr>
        <w:t>petitory</w:t>
      </w:r>
      <w:proofErr w:type="spellEnd"/>
      <w:r w:rsidRPr="00A9717C">
        <w:rPr>
          <w:lang w:val="en-CA"/>
        </w:rPr>
        <w:t xml:space="preserve"> action against the possessor. The possessor can set prescription up against the plaintiff, and the plaintiff cannot object that when he or she bought the immovable, the seller — not the defendant — was registered as its owner at the registry office. [Footnote omitted; pp. 234</w:t>
      </w:r>
      <w:r w:rsidRPr="00A9717C">
        <w:rPr>
          <w:lang w:val="en-CA"/>
        </w:rPr>
        <w:noBreakHyphen/>
        <w:t>35.]</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Some argue that this conclusion still holds true under the </w:t>
      </w:r>
      <w:r w:rsidRPr="00A9717C">
        <w:rPr>
          <w:rFonts w:cs="Times New Roman"/>
          <w:i/>
          <w:lang w:val="en-CA"/>
        </w:rPr>
        <w:t>Code</w:t>
      </w:r>
      <w:r w:rsidRPr="00A9717C">
        <w:rPr>
          <w:rFonts w:cs="Times New Roman"/>
          <w:lang w:val="en-CA"/>
        </w:rPr>
        <w:t>. For example, Pierre Pratte states:</w:t>
      </w:r>
    </w:p>
    <w:p w:rsidR="00FE692E" w:rsidRPr="00A9717C" w:rsidRDefault="00FE692E" w:rsidP="00233573">
      <w:pPr>
        <w:pStyle w:val="Citation-AltC"/>
        <w:widowControl w:val="0"/>
        <w:spacing w:after="240"/>
        <w:ind w:hanging="1166"/>
        <w:contextualSpacing w:val="0"/>
        <w:rPr>
          <w:lang w:val="en-CA"/>
        </w:rPr>
      </w:pPr>
      <w:r w:rsidRPr="00A9717C">
        <w:rPr>
          <w:lang w:val="en-CA"/>
        </w:rPr>
        <w:tab/>
        <w:t>[</w:t>
      </w:r>
      <w:r w:rsidRPr="00A9717C">
        <w:rPr>
          <w:smallCaps/>
          <w:lang w:val="en-CA"/>
        </w:rPr>
        <w:t xml:space="preserve">translation] </w:t>
      </w:r>
      <w:r w:rsidRPr="00A9717C">
        <w:rPr>
          <w:lang w:val="en-CA"/>
        </w:rPr>
        <w:t xml:space="preserve">The new neighbour cannot claim that the prescription that became effective in the time of his or her predecessor cannot be set up against him or her, or that the possessor had to act before the sale by obtaining and publishing a judgment. The possessor can accordingly assert the acquired prescription against the new neighbour. </w:t>
      </w:r>
    </w:p>
    <w:p w:rsidR="00FE692E" w:rsidRPr="00A9717C" w:rsidRDefault="00FE692E" w:rsidP="00233573">
      <w:pPr>
        <w:pStyle w:val="Citation-AltC"/>
        <w:widowControl w:val="0"/>
        <w:ind w:left="0"/>
        <w:contextualSpacing w:val="0"/>
      </w:pPr>
      <w:r w:rsidRPr="00A9717C">
        <w:t>(P. </w:t>
      </w:r>
      <w:proofErr w:type="spellStart"/>
      <w:r w:rsidRPr="00A9717C">
        <w:t>Pratte</w:t>
      </w:r>
      <w:proofErr w:type="spellEnd"/>
      <w:r w:rsidRPr="00A9717C">
        <w:t xml:space="preserve">, “La demande judiciaire relative à la prescription acquisitive d’un immeuble” (2014), 73 </w:t>
      </w:r>
      <w:r w:rsidRPr="00A9717C">
        <w:rPr>
          <w:i/>
        </w:rPr>
        <w:t>R. du B.</w:t>
      </w:r>
      <w:r w:rsidRPr="00A9717C">
        <w:t xml:space="preserve"> 509, at p. 563)</w:t>
      </w:r>
    </w:p>
    <w:p w:rsidR="00FE692E" w:rsidRPr="00A9717C" w:rsidRDefault="00FE692E" w:rsidP="00233573">
      <w:pPr>
        <w:pStyle w:val="ContinueParaSuitedupar-AltP"/>
        <w:widowControl w:val="0"/>
        <w:rPr>
          <w:rFonts w:cs="Times New Roman"/>
          <w:lang w:val="en-CA"/>
        </w:rPr>
      </w:pPr>
      <w:r w:rsidRPr="00A9717C">
        <w:rPr>
          <w:rFonts w:cs="Times New Roman"/>
          <w:lang w:val="en-CA"/>
        </w:rPr>
        <w:t xml:space="preserve">Professor </w:t>
      </w:r>
      <w:proofErr w:type="spellStart"/>
      <w:r w:rsidRPr="00A9717C">
        <w:rPr>
          <w:rFonts w:cs="Times New Roman"/>
          <w:lang w:val="en-CA"/>
        </w:rPr>
        <w:t>Gidrol</w:t>
      </w:r>
      <w:proofErr w:type="spellEnd"/>
      <w:r w:rsidRPr="00A9717C">
        <w:rPr>
          <w:rFonts w:cs="Times New Roman"/>
          <w:lang w:val="en-CA"/>
        </w:rPr>
        <w:noBreakHyphen/>
        <w:t>Mistral agrees with this point of view. In her opinion, [</w:t>
      </w:r>
      <w:r w:rsidRPr="00A9717C">
        <w:rPr>
          <w:rFonts w:cs="Times New Roman"/>
          <w:smallCaps/>
          <w:lang w:val="en-CA"/>
        </w:rPr>
        <w:t>translation]</w:t>
      </w:r>
      <w:r w:rsidRPr="00A9717C">
        <w:rPr>
          <w:rFonts w:cs="Times New Roman"/>
          <w:lang w:val="en-CA"/>
        </w:rPr>
        <w:t xml:space="preserve"> </w:t>
      </w:r>
      <w:r w:rsidRPr="00A9717C">
        <w:rPr>
          <w:rFonts w:cs="Times New Roman"/>
          <w:smallCaps/>
          <w:lang w:val="en-CA"/>
        </w:rPr>
        <w:lastRenderedPageBreak/>
        <w:t>“</w:t>
      </w:r>
      <w:r w:rsidRPr="00A9717C">
        <w:rPr>
          <w:rFonts w:cs="Times New Roman"/>
          <w:lang w:val="en-CA"/>
        </w:rPr>
        <w:t>the only logical solution is the one adopted by the majority [of the Court of Appeal]: acquisitive prescription became effective, and it applies to subsequent acquirers of the property in question” (p. 335). Similarly, Professor </w:t>
      </w:r>
      <w:proofErr w:type="spellStart"/>
      <w:r w:rsidRPr="00A9717C">
        <w:rPr>
          <w:rFonts w:cs="Times New Roman"/>
          <w:lang w:val="en-CA"/>
        </w:rPr>
        <w:t>Vincelette</w:t>
      </w:r>
      <w:proofErr w:type="spellEnd"/>
      <w:r w:rsidRPr="00A9717C">
        <w:rPr>
          <w:rFonts w:cs="Times New Roman"/>
          <w:lang w:val="en-CA"/>
        </w:rPr>
        <w:t xml:space="preserve"> writes that after 10 years, [</w:t>
      </w:r>
      <w:r w:rsidRPr="00A9717C">
        <w:rPr>
          <w:rFonts w:cs="Times New Roman"/>
          <w:smallCaps/>
          <w:lang w:val="en-CA"/>
        </w:rPr>
        <w:t xml:space="preserve">translation] </w:t>
      </w:r>
      <w:r w:rsidRPr="00A9717C">
        <w:rPr>
          <w:rFonts w:cs="Times New Roman"/>
          <w:lang w:val="en-CA"/>
        </w:rPr>
        <w:t xml:space="preserve">“possession is crowned with an </w:t>
      </w:r>
      <w:proofErr w:type="spellStart"/>
      <w:r w:rsidRPr="00A9717C">
        <w:rPr>
          <w:rFonts w:cs="Times New Roman"/>
          <w:u w:val="single"/>
          <w:lang w:val="en-CA"/>
        </w:rPr>
        <w:t>irrebuttable</w:t>
      </w:r>
      <w:proofErr w:type="spellEnd"/>
      <w:r w:rsidRPr="00A9717C">
        <w:rPr>
          <w:rFonts w:cs="Times New Roman"/>
          <w:lang w:val="en-CA"/>
        </w:rPr>
        <w:t xml:space="preserve"> presumption of ownership” (D. </w:t>
      </w:r>
      <w:proofErr w:type="spellStart"/>
      <w:r w:rsidRPr="00A9717C">
        <w:rPr>
          <w:rFonts w:cs="Times New Roman"/>
          <w:lang w:val="en-CA"/>
        </w:rPr>
        <w:t>Vincelette</w:t>
      </w:r>
      <w:proofErr w:type="spellEnd"/>
      <w:r w:rsidRPr="00A9717C">
        <w:rPr>
          <w:rFonts w:cs="Times New Roman"/>
          <w:lang w:val="en-CA"/>
        </w:rPr>
        <w:t xml:space="preserve">, </w:t>
      </w:r>
      <w:proofErr w:type="spellStart"/>
      <w:r w:rsidRPr="00A9717C">
        <w:rPr>
          <w:rFonts w:cs="Times New Roman"/>
          <w:i/>
          <w:lang w:val="en-CA"/>
        </w:rPr>
        <w:t>En</w:t>
      </w:r>
      <w:proofErr w:type="spellEnd"/>
      <w:r w:rsidRPr="00A9717C">
        <w:rPr>
          <w:rFonts w:cs="Times New Roman"/>
          <w:i/>
          <w:lang w:val="en-CA"/>
        </w:rPr>
        <w:t xml:space="preserve"> possession du Code civil du Québec</w:t>
      </w:r>
      <w:r w:rsidRPr="00A9717C">
        <w:rPr>
          <w:rFonts w:cs="Times New Roman"/>
          <w:lang w:val="en-CA"/>
        </w:rPr>
        <w:t xml:space="preserve"> (2004), at para. 516 (emphasis added)).</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Others, however, are of the view that the </w:t>
      </w:r>
      <w:r w:rsidRPr="00A9717C">
        <w:rPr>
          <w:rFonts w:cs="Times New Roman"/>
          <w:i/>
          <w:lang w:val="en-CA"/>
        </w:rPr>
        <w:t>C.C.Q.</w:t>
      </w:r>
      <w:r w:rsidRPr="00A9717C">
        <w:rPr>
          <w:rFonts w:cs="Times New Roman"/>
          <w:lang w:val="en-CA"/>
        </w:rPr>
        <w:t xml:space="preserve"> changed the rules and that acquisitive prescription can no longer negate rights registered in the land register by third parties. For example, Professor </w:t>
      </w:r>
      <w:proofErr w:type="spellStart"/>
      <w:r w:rsidRPr="00A9717C">
        <w:rPr>
          <w:rFonts w:cs="Times New Roman"/>
          <w:lang w:val="en-CA"/>
        </w:rPr>
        <w:t>Lafond</w:t>
      </w:r>
      <w:proofErr w:type="spellEnd"/>
      <w:r w:rsidRPr="00A9717C">
        <w:rPr>
          <w:rFonts w:cs="Times New Roman"/>
          <w:lang w:val="en-CA"/>
        </w:rPr>
        <w:t xml:space="preserve"> states that [</w:t>
      </w:r>
      <w:r w:rsidRPr="00A9717C">
        <w:rPr>
          <w:rFonts w:cs="Times New Roman"/>
          <w:smallCaps/>
          <w:lang w:val="en-CA"/>
        </w:rPr>
        <w:t xml:space="preserve">translation] </w:t>
      </w:r>
      <w:r w:rsidRPr="00A9717C">
        <w:rPr>
          <w:rFonts w:cs="Times New Roman"/>
          <w:lang w:val="en-CA"/>
        </w:rPr>
        <w:t>“[a]n unpublished right of ownership that a person claims to have by virtue of 10 years of possession can be of no value in opposition to a title of ownership duly registered by a third party who holds it from the same predecessor in title” (</w:t>
      </w:r>
      <w:proofErr w:type="spellStart"/>
      <w:r w:rsidRPr="00A9717C">
        <w:rPr>
          <w:rFonts w:cs="Times New Roman"/>
          <w:lang w:val="en-CA"/>
        </w:rPr>
        <w:t>Lafond</w:t>
      </w:r>
      <w:proofErr w:type="spellEnd"/>
      <w:r w:rsidRPr="00A9717C">
        <w:rPr>
          <w:rFonts w:cs="Times New Roman"/>
          <w:lang w:val="en-CA"/>
        </w:rPr>
        <w:t xml:space="preserve">, at para. 2569; see also L. Laflamme, </w:t>
      </w:r>
      <w:r>
        <w:rPr>
          <w:rFonts w:cs="Times New Roman"/>
          <w:lang w:val="en-CA"/>
        </w:rPr>
        <w:t>M. </w:t>
      </w:r>
      <w:proofErr w:type="spellStart"/>
      <w:r w:rsidRPr="00A9717C">
        <w:rPr>
          <w:rFonts w:cs="Times New Roman"/>
          <w:lang w:val="en-CA"/>
        </w:rPr>
        <w:t>Galarneau</w:t>
      </w:r>
      <w:proofErr w:type="spellEnd"/>
      <w:r w:rsidRPr="00A9717C">
        <w:rPr>
          <w:rFonts w:cs="Times New Roman"/>
          <w:lang w:val="en-CA"/>
        </w:rPr>
        <w:t xml:space="preserve"> and P. </w:t>
      </w:r>
      <w:proofErr w:type="spellStart"/>
      <w:r w:rsidRPr="00A9717C">
        <w:rPr>
          <w:rFonts w:cs="Times New Roman"/>
          <w:lang w:val="en-CA"/>
        </w:rPr>
        <w:t>Duchaine</w:t>
      </w:r>
      <w:proofErr w:type="spellEnd"/>
      <w:r w:rsidRPr="00A9717C">
        <w:rPr>
          <w:rFonts w:cs="Times New Roman"/>
          <w:lang w:val="en-CA"/>
        </w:rPr>
        <w:t xml:space="preserve">, </w:t>
      </w:r>
      <w:proofErr w:type="spellStart"/>
      <w:r w:rsidRPr="00A9717C">
        <w:rPr>
          <w:rFonts w:cs="Times New Roman"/>
          <w:i/>
          <w:lang w:val="en-CA"/>
        </w:rPr>
        <w:t>L’examen</w:t>
      </w:r>
      <w:proofErr w:type="spellEnd"/>
      <w:r w:rsidRPr="00A9717C">
        <w:rPr>
          <w:rFonts w:cs="Times New Roman"/>
          <w:i/>
          <w:lang w:val="en-CA"/>
        </w:rPr>
        <w:t xml:space="preserve"> des titres </w:t>
      </w:r>
      <w:proofErr w:type="spellStart"/>
      <w:r w:rsidRPr="00A9717C">
        <w:rPr>
          <w:rFonts w:cs="Times New Roman"/>
          <w:i/>
          <w:lang w:val="en-CA"/>
        </w:rPr>
        <w:t>immobiliers</w:t>
      </w:r>
      <w:proofErr w:type="spellEnd"/>
      <w:r w:rsidRPr="00A9717C">
        <w:rPr>
          <w:rFonts w:cs="Times New Roman"/>
          <w:lang w:val="en-CA"/>
        </w:rPr>
        <w:t xml:space="preserve"> (4th ed. 2014), at p. 113).</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With respect, in light of the unfinished reform discussed above, I find that the first of these positions must prevail. The situation might have been different had the legislature followed through on the changes contemplated in 1991. However, its decision to abandon most of them confirms that under the current </w:t>
      </w:r>
      <w:r w:rsidRPr="00A9717C">
        <w:rPr>
          <w:rFonts w:cs="Times New Roman"/>
          <w:i/>
          <w:lang w:val="en-CA"/>
        </w:rPr>
        <w:t>Code</w:t>
      </w:r>
      <w:r w:rsidRPr="00A9717C">
        <w:rPr>
          <w:rFonts w:cs="Times New Roman"/>
          <w:lang w:val="en-CA"/>
        </w:rPr>
        <w:t xml:space="preserve">, for rights acquired by prescription to be set up against third parties, there is no greater requirement that they be published than was the case under the </w:t>
      </w:r>
      <w:r w:rsidRPr="00A9717C">
        <w:rPr>
          <w:rFonts w:cs="Times New Roman"/>
          <w:i/>
          <w:lang w:val="en-CA"/>
        </w:rPr>
        <w:t>C.C.L.C.</w:t>
      </w:r>
      <w:r w:rsidRPr="00A9717C">
        <w:rPr>
          <w:rFonts w:cs="Times New Roman"/>
          <w:lang w:val="en-CA"/>
        </w:rPr>
        <w:t xml:space="preserve">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The appellants’ arguments in support of the contrary view are not </w:t>
      </w:r>
      <w:r w:rsidRPr="00A9717C">
        <w:rPr>
          <w:rFonts w:cs="Times New Roman"/>
          <w:lang w:val="en-CA"/>
        </w:rPr>
        <w:lastRenderedPageBreak/>
        <w:t xml:space="preserve">persuasive.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First of all, the appellants argue on the basis of arts. 2938 and 2941 </w:t>
      </w:r>
      <w:r w:rsidRPr="00A9717C">
        <w:rPr>
          <w:rFonts w:cs="Times New Roman"/>
          <w:i/>
          <w:lang w:val="en-CA"/>
        </w:rPr>
        <w:t>C.C.Q.</w:t>
      </w:r>
      <w:r w:rsidRPr="00A9717C">
        <w:rPr>
          <w:rFonts w:cs="Times New Roman"/>
          <w:lang w:val="en-CA"/>
        </w:rPr>
        <w:t xml:space="preserve"> that, without publication, the respondent’s possession cannot be set up against them and should not permit her to acquire ownership of the parking space at issue. It is true that the </w:t>
      </w:r>
      <w:r w:rsidRPr="00A9717C">
        <w:rPr>
          <w:rFonts w:cs="Times New Roman"/>
          <w:i/>
          <w:lang w:val="en-CA"/>
        </w:rPr>
        <w:t>C.C.Q.</w:t>
      </w:r>
      <w:r w:rsidRPr="00A9717C">
        <w:rPr>
          <w:rFonts w:cs="Times New Roman"/>
          <w:lang w:val="en-CA"/>
        </w:rPr>
        <w:t xml:space="preserve"> provides that any acquisition, creation or recognition of an immovable real right requires publication (art. 2938) and that, unless they are published, the rights involved in such legal transactions cannot be set up against third parties (art. 2941).</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However, as is stated in the </w:t>
      </w:r>
      <w:proofErr w:type="spellStart"/>
      <w:r w:rsidRPr="00A9717C">
        <w:rPr>
          <w:rFonts w:cs="Times New Roman"/>
          <w:i/>
          <w:lang w:val="en-CA"/>
        </w:rPr>
        <w:t>Commentaires</w:t>
      </w:r>
      <w:proofErr w:type="spellEnd"/>
      <w:r w:rsidRPr="00A9717C">
        <w:rPr>
          <w:rFonts w:cs="Times New Roman"/>
          <w:i/>
          <w:lang w:val="en-CA"/>
        </w:rPr>
        <w:t xml:space="preserve"> du </w:t>
      </w:r>
      <w:proofErr w:type="spellStart"/>
      <w:r w:rsidRPr="00A9717C">
        <w:rPr>
          <w:rFonts w:cs="Times New Roman"/>
          <w:i/>
          <w:lang w:val="en-CA"/>
        </w:rPr>
        <w:t>ministre</w:t>
      </w:r>
      <w:proofErr w:type="spellEnd"/>
      <w:r w:rsidRPr="00A9717C">
        <w:rPr>
          <w:rFonts w:cs="Times New Roman"/>
          <w:lang w:val="en-CA"/>
        </w:rPr>
        <w:t xml:space="preserve">, arts. 2938 and 2941 </w:t>
      </w:r>
      <w:r w:rsidRPr="00A9717C">
        <w:rPr>
          <w:rFonts w:cs="Times New Roman"/>
          <w:i/>
          <w:lang w:val="en-CA"/>
        </w:rPr>
        <w:t>C.C.Q.</w:t>
      </w:r>
      <w:r w:rsidRPr="00A9717C">
        <w:rPr>
          <w:rFonts w:cs="Times New Roman"/>
          <w:lang w:val="en-CA"/>
        </w:rPr>
        <w:t xml:space="preserve"> simply represent a continuation of the law as it stood under the </w:t>
      </w:r>
      <w:r w:rsidRPr="00A9717C">
        <w:rPr>
          <w:rFonts w:cs="Times New Roman"/>
          <w:i/>
          <w:lang w:val="en-CA"/>
        </w:rPr>
        <w:t>C.C.L.C.</w:t>
      </w:r>
      <w:r w:rsidRPr="00A9717C">
        <w:rPr>
          <w:rFonts w:cs="Times New Roman"/>
          <w:lang w:val="en-CA"/>
        </w:rPr>
        <w:t xml:space="preserve"> Article 2938 </w:t>
      </w:r>
      <w:r w:rsidRPr="00A9717C">
        <w:rPr>
          <w:rFonts w:cs="Times New Roman"/>
          <w:i/>
          <w:lang w:val="en-CA"/>
        </w:rPr>
        <w:t xml:space="preserve">C.C.Q. </w:t>
      </w:r>
      <w:r w:rsidRPr="00A9717C">
        <w:rPr>
          <w:rFonts w:cs="Times New Roman"/>
          <w:lang w:val="en-CA"/>
        </w:rPr>
        <w:t>[</w:t>
      </w:r>
      <w:r w:rsidRPr="00A9717C">
        <w:rPr>
          <w:rFonts w:cs="Times New Roman"/>
          <w:smallCaps/>
          <w:lang w:val="en-CA"/>
        </w:rPr>
        <w:t>translation]</w:t>
      </w:r>
      <w:r w:rsidRPr="00A9717C">
        <w:rPr>
          <w:rFonts w:cs="Times New Roman"/>
          <w:lang w:val="en-CA"/>
        </w:rPr>
        <w:t xml:space="preserve"> “substantially restates the former law in a simplified form and in a general rule”, while art. 2941 </w:t>
      </w:r>
      <w:r w:rsidRPr="00A9717C">
        <w:rPr>
          <w:rFonts w:cs="Times New Roman"/>
          <w:i/>
          <w:lang w:val="en-CA"/>
        </w:rPr>
        <w:t>C.C.Q.</w:t>
      </w:r>
      <w:r w:rsidRPr="00A9717C">
        <w:rPr>
          <w:rFonts w:cs="Times New Roman"/>
          <w:lang w:val="en-CA"/>
        </w:rPr>
        <w:t xml:space="preserve"> </w:t>
      </w:r>
      <w:r w:rsidRPr="00A9717C">
        <w:rPr>
          <w:rFonts w:cs="Times New Roman"/>
          <w:smallCaps/>
          <w:lang w:val="en-CA"/>
        </w:rPr>
        <w:t>“</w:t>
      </w:r>
      <w:r w:rsidRPr="00A9717C">
        <w:rPr>
          <w:rFonts w:cs="Times New Roman"/>
          <w:lang w:val="en-CA"/>
        </w:rPr>
        <w:t>restates, in part, articles 2082 and 2083 C.C.L.C. The rule does not break new ground” (</w:t>
      </w:r>
      <w:proofErr w:type="spellStart"/>
      <w:r w:rsidRPr="00A9717C">
        <w:rPr>
          <w:rFonts w:cs="Times New Roman"/>
          <w:lang w:val="en-CA"/>
        </w:rPr>
        <w:t>Ministère</w:t>
      </w:r>
      <w:proofErr w:type="spellEnd"/>
      <w:r w:rsidRPr="00A9717C">
        <w:rPr>
          <w:rFonts w:cs="Times New Roman"/>
          <w:lang w:val="en-CA"/>
        </w:rPr>
        <w:t xml:space="preserve"> de la Justice, </w:t>
      </w:r>
      <w:proofErr w:type="spellStart"/>
      <w:r w:rsidRPr="00A9717C">
        <w:rPr>
          <w:rFonts w:cs="Times New Roman"/>
          <w:i/>
          <w:lang w:val="en-CA"/>
        </w:rPr>
        <w:t>Commentaires</w:t>
      </w:r>
      <w:proofErr w:type="spellEnd"/>
      <w:r w:rsidRPr="00A9717C">
        <w:rPr>
          <w:rFonts w:cs="Times New Roman"/>
          <w:i/>
          <w:lang w:val="en-CA"/>
        </w:rPr>
        <w:t xml:space="preserve"> du </w:t>
      </w:r>
      <w:proofErr w:type="spellStart"/>
      <w:r w:rsidRPr="00A9717C">
        <w:rPr>
          <w:rFonts w:cs="Times New Roman"/>
          <w:i/>
          <w:lang w:val="en-CA"/>
        </w:rPr>
        <w:t>ministre</w:t>
      </w:r>
      <w:proofErr w:type="spellEnd"/>
      <w:r w:rsidRPr="00A9717C">
        <w:rPr>
          <w:rFonts w:cs="Times New Roman"/>
          <w:i/>
          <w:lang w:val="en-CA"/>
        </w:rPr>
        <w:t xml:space="preserve"> de la Justice</w:t>
      </w:r>
      <w:r w:rsidR="0054087A">
        <w:rPr>
          <w:rFonts w:cs="Times New Roman"/>
          <w:lang w:val="en-CA"/>
        </w:rPr>
        <w:t>, t</w:t>
      </w:r>
      <w:r w:rsidRPr="00A9717C">
        <w:rPr>
          <w:rFonts w:cs="Times New Roman"/>
          <w:lang w:val="en-CA"/>
        </w:rPr>
        <w:t>. </w:t>
      </w:r>
      <w:r w:rsidRPr="0054087A">
        <w:rPr>
          <w:rFonts w:cs="Times New Roman"/>
          <w:lang w:val="en-CA"/>
        </w:rPr>
        <w:t xml:space="preserve">II, </w:t>
      </w:r>
      <w:r w:rsidRPr="0054087A">
        <w:rPr>
          <w:rFonts w:cs="Times New Roman"/>
          <w:i/>
          <w:lang w:val="en-CA"/>
        </w:rPr>
        <w:t xml:space="preserve">Le Code civil du Québec — Un </w:t>
      </w:r>
      <w:proofErr w:type="spellStart"/>
      <w:r w:rsidRPr="0054087A">
        <w:rPr>
          <w:rFonts w:cs="Times New Roman"/>
          <w:i/>
          <w:lang w:val="en-CA"/>
        </w:rPr>
        <w:t>mouvement</w:t>
      </w:r>
      <w:proofErr w:type="spellEnd"/>
      <w:r w:rsidRPr="0054087A">
        <w:rPr>
          <w:rFonts w:cs="Times New Roman"/>
          <w:i/>
          <w:lang w:val="en-CA"/>
        </w:rPr>
        <w:t xml:space="preserve"> de </w:t>
      </w:r>
      <w:proofErr w:type="spellStart"/>
      <w:r w:rsidRPr="0054087A">
        <w:rPr>
          <w:rFonts w:cs="Times New Roman"/>
          <w:i/>
          <w:lang w:val="en-CA"/>
        </w:rPr>
        <w:t>société</w:t>
      </w:r>
      <w:proofErr w:type="spellEnd"/>
      <w:r w:rsidRPr="0054087A">
        <w:rPr>
          <w:rFonts w:cs="Times New Roman"/>
          <w:lang w:val="en-CA"/>
        </w:rPr>
        <w:t xml:space="preserve"> (1993), at pp. 1845 and 1848). </w:t>
      </w:r>
      <w:r w:rsidRPr="00A9717C">
        <w:rPr>
          <w:rFonts w:cs="Times New Roman"/>
          <w:lang w:val="en-CA"/>
        </w:rPr>
        <w:t>In short, there is no basis for regarding this as a substantial change to the applicable rules.</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Next, despite what the appellants say, arts. 2943 and 2944 </w:t>
      </w:r>
      <w:r w:rsidRPr="00A9717C">
        <w:rPr>
          <w:rFonts w:cs="Times New Roman"/>
          <w:i/>
          <w:lang w:val="en-CA"/>
        </w:rPr>
        <w:t>C.C.Q.</w:t>
      </w:r>
      <w:r w:rsidRPr="00A9717C">
        <w:rPr>
          <w:rFonts w:cs="Times New Roman"/>
          <w:lang w:val="en-CA"/>
        </w:rPr>
        <w:t>, two articles on the publication of rights that are new law, and on which the appellants place great emphasis, do not support their argument that rights acquired by prescription cannot be set up against third parties unless they are published.</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It is true that the first paragraph of art. 2943 </w:t>
      </w:r>
      <w:r w:rsidRPr="00A9717C">
        <w:rPr>
          <w:rFonts w:cs="Times New Roman"/>
          <w:i/>
          <w:lang w:val="en-CA"/>
        </w:rPr>
        <w:t>C.C.Q.</w:t>
      </w:r>
      <w:r w:rsidRPr="00A9717C">
        <w:rPr>
          <w:rFonts w:cs="Times New Roman"/>
          <w:lang w:val="en-CA"/>
        </w:rPr>
        <w:t xml:space="preserve"> creates a presumption </w:t>
      </w:r>
      <w:r w:rsidRPr="00A9717C">
        <w:rPr>
          <w:rFonts w:cs="Times New Roman"/>
          <w:lang w:val="en-CA"/>
        </w:rPr>
        <w:lastRenderedPageBreak/>
        <w:t>of knowledge with regard to rights published in the registers:</w:t>
      </w:r>
    </w:p>
    <w:p w:rsidR="00FE692E" w:rsidRPr="00A9717C" w:rsidRDefault="00FE692E" w:rsidP="00233573">
      <w:pPr>
        <w:pStyle w:val="Citation-AltC"/>
        <w:widowControl w:val="0"/>
        <w:ind w:hanging="1166"/>
        <w:contextualSpacing w:val="0"/>
        <w:rPr>
          <w:lang w:val="en-CA"/>
        </w:rPr>
      </w:pPr>
      <w:r w:rsidRPr="00A9717C">
        <w:rPr>
          <w:b/>
          <w:lang w:val="en-CA"/>
        </w:rPr>
        <w:tab/>
      </w:r>
      <w:r w:rsidRPr="00A9717C">
        <w:rPr>
          <w:b/>
          <w:lang w:val="en-CA"/>
        </w:rPr>
        <w:tab/>
        <w:t>2943.</w:t>
      </w:r>
      <w:r w:rsidRPr="00A9717C">
        <w:rPr>
          <w:lang w:val="en-CA"/>
        </w:rPr>
        <w:t xml:space="preserve"> A right registered in a register in regard to property is presumed known to any person acquiring or publishing a right in the same property.</w:t>
      </w:r>
    </w:p>
    <w:p w:rsidR="00FE692E" w:rsidRPr="00A9717C" w:rsidRDefault="00FE692E" w:rsidP="00233573">
      <w:pPr>
        <w:pStyle w:val="ContinueParaSuitedupar-AltP"/>
        <w:widowControl w:val="0"/>
        <w:rPr>
          <w:rFonts w:cs="Times New Roman"/>
          <w:lang w:val="en-CA"/>
        </w:rPr>
      </w:pPr>
      <w:r w:rsidRPr="00A9717C">
        <w:rPr>
          <w:rFonts w:cs="Times New Roman"/>
          <w:lang w:val="en-CA"/>
        </w:rPr>
        <w:t>However, as Savard J.A. mentioned, that article at most supports a finding of bad faith on the respondent’s part. The Quebec Court of Appeal recently confirmed that [</w:t>
      </w:r>
      <w:r w:rsidRPr="00A9717C">
        <w:rPr>
          <w:rFonts w:cs="Times New Roman"/>
          <w:smallCaps/>
          <w:lang w:val="en-CA"/>
        </w:rPr>
        <w:t>translation]</w:t>
      </w:r>
      <w:r w:rsidRPr="00A9717C">
        <w:rPr>
          <w:rFonts w:cs="Times New Roman"/>
          <w:lang w:val="en-CA"/>
        </w:rPr>
        <w:t xml:space="preserve"> “[b]</w:t>
      </w:r>
      <w:proofErr w:type="spellStart"/>
      <w:r w:rsidRPr="00A9717C">
        <w:rPr>
          <w:rFonts w:cs="Times New Roman"/>
          <w:lang w:val="en-CA"/>
        </w:rPr>
        <w:t>oth</w:t>
      </w:r>
      <w:proofErr w:type="spellEnd"/>
      <w:r w:rsidRPr="00A9717C">
        <w:rPr>
          <w:rFonts w:cs="Times New Roman"/>
          <w:lang w:val="en-CA"/>
        </w:rPr>
        <w:t xml:space="preserve"> the </w:t>
      </w:r>
      <w:r w:rsidRPr="00A9717C">
        <w:rPr>
          <w:rFonts w:cs="Times New Roman"/>
          <w:i/>
          <w:lang w:val="en-CA"/>
        </w:rPr>
        <w:t xml:space="preserve">Civil Code of Lower Canada </w:t>
      </w:r>
      <w:r w:rsidRPr="00A9717C">
        <w:rPr>
          <w:rFonts w:cs="Times New Roman"/>
          <w:lang w:val="en-CA"/>
        </w:rPr>
        <w:t xml:space="preserve">and the new </w:t>
      </w:r>
      <w:r w:rsidRPr="00A9717C">
        <w:rPr>
          <w:rFonts w:cs="Times New Roman"/>
          <w:i/>
          <w:lang w:val="en-CA"/>
        </w:rPr>
        <w:t>Civil Code of Québec</w:t>
      </w:r>
      <w:r w:rsidRPr="00A9717C">
        <w:rPr>
          <w:rFonts w:cs="Times New Roman"/>
          <w:lang w:val="en-CA"/>
        </w:rPr>
        <w:t xml:space="preserve"> allow a possessor in bad faith to acquire an immovable by prescription” (</w:t>
      </w:r>
      <w:proofErr w:type="spellStart"/>
      <w:r w:rsidRPr="00A9717C">
        <w:rPr>
          <w:rFonts w:cs="Times New Roman"/>
          <w:i/>
          <w:lang w:val="en-CA"/>
        </w:rPr>
        <w:t>Dupuy</w:t>
      </w:r>
      <w:proofErr w:type="spellEnd"/>
      <w:r w:rsidRPr="00A9717C">
        <w:rPr>
          <w:rFonts w:cs="Times New Roman"/>
          <w:i/>
          <w:lang w:val="en-CA"/>
        </w:rPr>
        <w:t xml:space="preserve"> v. Gauthier</w:t>
      </w:r>
      <w:r w:rsidRPr="00A9717C">
        <w:rPr>
          <w:rFonts w:cs="Times New Roman"/>
          <w:lang w:val="en-CA"/>
        </w:rPr>
        <w:t xml:space="preserve">, 2013 QCCA 774, [2013] R.J.Q. 662, at para. 31). Under the </w:t>
      </w:r>
      <w:r w:rsidRPr="00A9717C">
        <w:rPr>
          <w:rFonts w:cs="Times New Roman"/>
          <w:i/>
          <w:lang w:val="en-CA"/>
        </w:rPr>
        <w:t>C.C.L.C.</w:t>
      </w:r>
      <w:r w:rsidRPr="00A9717C">
        <w:rPr>
          <w:rFonts w:cs="Times New Roman"/>
          <w:lang w:val="en-CA"/>
        </w:rPr>
        <w:t xml:space="preserve">, bad faith in this context had the effect of extending the prescription period to 30 years, whereas a possessor in good faith who had a </w:t>
      </w:r>
      <w:proofErr w:type="spellStart"/>
      <w:r w:rsidRPr="00A9717C">
        <w:rPr>
          <w:rFonts w:cs="Times New Roman"/>
          <w:lang w:val="en-CA"/>
        </w:rPr>
        <w:t>translatory</w:t>
      </w:r>
      <w:proofErr w:type="spellEnd"/>
      <w:r w:rsidRPr="00A9717C">
        <w:rPr>
          <w:rFonts w:cs="Times New Roman"/>
          <w:lang w:val="en-CA"/>
        </w:rPr>
        <w:t xml:space="preserve"> title could prescribe in just 10 years (art. 2206 </w:t>
      </w:r>
      <w:r w:rsidRPr="00A9717C">
        <w:rPr>
          <w:rFonts w:cs="Times New Roman"/>
          <w:i/>
          <w:lang w:val="en-CA"/>
        </w:rPr>
        <w:t>C.C.L.C.</w:t>
      </w:r>
      <w:r w:rsidRPr="00A9717C">
        <w:rPr>
          <w:rFonts w:cs="Times New Roman"/>
          <w:lang w:val="en-CA"/>
        </w:rPr>
        <w:t xml:space="preserve">). In the </w:t>
      </w:r>
      <w:r w:rsidRPr="00A9717C">
        <w:rPr>
          <w:rFonts w:cs="Times New Roman"/>
          <w:i/>
          <w:lang w:val="en-CA"/>
        </w:rPr>
        <w:t>C.C.Q.</w:t>
      </w:r>
      <w:r w:rsidRPr="00A9717C">
        <w:rPr>
          <w:rFonts w:cs="Times New Roman"/>
          <w:lang w:val="en-CA"/>
        </w:rPr>
        <w:t xml:space="preserve">, the legislature abolished this distinction, providing for a single prescription period of 10 years for all </w:t>
      </w:r>
      <w:proofErr w:type="spellStart"/>
      <w:r w:rsidRPr="00A9717C">
        <w:rPr>
          <w:rFonts w:cs="Times New Roman"/>
          <w:lang w:val="en-CA"/>
        </w:rPr>
        <w:t>immovables</w:t>
      </w:r>
      <w:proofErr w:type="spellEnd"/>
      <w:r w:rsidRPr="00A9717C">
        <w:rPr>
          <w:rFonts w:cs="Times New Roman"/>
          <w:lang w:val="en-CA"/>
        </w:rPr>
        <w:t xml:space="preserve">, and not requiring good faith as a condition for prescription. Under the current </w:t>
      </w:r>
      <w:r w:rsidRPr="00A9717C">
        <w:rPr>
          <w:rFonts w:cs="Times New Roman"/>
          <w:i/>
          <w:lang w:val="en-CA"/>
        </w:rPr>
        <w:t>Code</w:t>
      </w:r>
      <w:r w:rsidRPr="00A9717C">
        <w:rPr>
          <w:rFonts w:cs="Times New Roman"/>
          <w:lang w:val="en-CA"/>
        </w:rPr>
        <w:t>, therefore, bad faith is no longer a relevant consideration for acquisitive prescription (</w:t>
      </w:r>
      <w:proofErr w:type="spellStart"/>
      <w:r w:rsidRPr="00A9717C">
        <w:rPr>
          <w:rFonts w:cs="Times New Roman"/>
          <w:i/>
          <w:lang w:val="en-CA"/>
        </w:rPr>
        <w:t>Dupuy</w:t>
      </w:r>
      <w:proofErr w:type="spellEnd"/>
      <w:r w:rsidRPr="00A9717C">
        <w:rPr>
          <w:rFonts w:cs="Times New Roman"/>
          <w:lang w:val="en-CA"/>
        </w:rPr>
        <w:t>, at paras. 50</w:t>
      </w:r>
      <w:r w:rsidRPr="00A9717C">
        <w:rPr>
          <w:rFonts w:cs="Times New Roman"/>
          <w:lang w:val="en-CA"/>
        </w:rPr>
        <w:noBreakHyphen/>
        <w:t xml:space="preserve">52). Article 2943 </w:t>
      </w:r>
      <w:r w:rsidRPr="00A9717C">
        <w:rPr>
          <w:rFonts w:cs="Times New Roman"/>
          <w:i/>
          <w:lang w:val="en-CA"/>
        </w:rPr>
        <w:t>C.C.Q.</w:t>
      </w:r>
      <w:r w:rsidRPr="00A9717C">
        <w:rPr>
          <w:rFonts w:cs="Times New Roman"/>
          <w:lang w:val="en-CA"/>
        </w:rPr>
        <w:t xml:space="preserve"> is thus of no assistance to the appellants.</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As for art. 2944 </w:t>
      </w:r>
      <w:r w:rsidRPr="00A9717C">
        <w:rPr>
          <w:rFonts w:cs="Times New Roman"/>
          <w:i/>
          <w:lang w:val="en-CA"/>
        </w:rPr>
        <w:t>C.C.Q.</w:t>
      </w:r>
      <w:r w:rsidRPr="00A9717C">
        <w:rPr>
          <w:rFonts w:cs="Times New Roman"/>
          <w:lang w:val="en-CA"/>
        </w:rPr>
        <w:t>, it creates a presumption of the existence of rights registered in the registers:</w:t>
      </w:r>
    </w:p>
    <w:p w:rsidR="00FE692E" w:rsidRPr="00A9717C" w:rsidRDefault="00FE692E" w:rsidP="00233573">
      <w:pPr>
        <w:pStyle w:val="Citation-AltC"/>
        <w:widowControl w:val="0"/>
        <w:ind w:hanging="1166"/>
        <w:contextualSpacing w:val="0"/>
        <w:rPr>
          <w:lang w:val="en-CA"/>
        </w:rPr>
      </w:pPr>
      <w:r w:rsidRPr="00A9717C">
        <w:rPr>
          <w:b/>
          <w:lang w:val="en-CA"/>
        </w:rPr>
        <w:tab/>
      </w:r>
      <w:r w:rsidRPr="00A9717C">
        <w:rPr>
          <w:b/>
          <w:lang w:val="en-CA"/>
        </w:rPr>
        <w:tab/>
        <w:t>2944.</w:t>
      </w:r>
      <w:r w:rsidRPr="00A9717C">
        <w:rPr>
          <w:lang w:val="en-CA"/>
        </w:rPr>
        <w:t xml:space="preserve"> Registration of a right in the register of personal and movable real rights or the land register entails, as against all persons, a simple presumption of the existence of that right.</w:t>
      </w:r>
    </w:p>
    <w:p w:rsidR="00FE692E" w:rsidRPr="00A9717C" w:rsidRDefault="00FE692E" w:rsidP="00233573">
      <w:pPr>
        <w:pStyle w:val="ContinueParaSuitedupar-AltP"/>
        <w:widowControl w:val="0"/>
        <w:rPr>
          <w:rFonts w:cs="Times New Roman"/>
          <w:lang w:val="en-CA"/>
        </w:rPr>
      </w:pPr>
      <w:r w:rsidRPr="00A9717C">
        <w:rPr>
          <w:rFonts w:cs="Times New Roman"/>
          <w:lang w:val="en-CA"/>
        </w:rPr>
        <w:lastRenderedPageBreak/>
        <w:t xml:space="preserve">However, since this is a simple presumption, it may be rebutted by proof to the contrary (art. 2847 </w:t>
      </w:r>
      <w:r w:rsidRPr="00A9717C">
        <w:rPr>
          <w:rFonts w:cs="Times New Roman"/>
          <w:i/>
          <w:lang w:val="en-CA"/>
        </w:rPr>
        <w:t>C.C.Q.</w:t>
      </w:r>
      <w:r w:rsidRPr="00A9717C">
        <w:rPr>
          <w:rFonts w:cs="Times New Roman"/>
          <w:lang w:val="en-CA"/>
        </w:rPr>
        <w:t>). It must yield where, for example, there is proof that the right does not exist, particularly where the evidence establishes that the conditions for acquisitive prescription have been met (</w:t>
      </w:r>
      <w:proofErr w:type="spellStart"/>
      <w:r w:rsidRPr="00A9717C">
        <w:rPr>
          <w:rFonts w:cs="Times New Roman"/>
          <w:lang w:val="en-CA"/>
        </w:rPr>
        <w:t>Gidrol</w:t>
      </w:r>
      <w:proofErr w:type="spellEnd"/>
      <w:r w:rsidRPr="00A9717C">
        <w:rPr>
          <w:rFonts w:cs="Times New Roman"/>
          <w:lang w:val="en-CA"/>
        </w:rPr>
        <w:noBreakHyphen/>
        <w:t>Mistral, at p. 338; F. </w:t>
      </w:r>
      <w:proofErr w:type="spellStart"/>
      <w:r w:rsidRPr="00A9717C">
        <w:rPr>
          <w:rFonts w:cs="Times New Roman"/>
          <w:lang w:val="en-CA"/>
        </w:rPr>
        <w:t>Brochu</w:t>
      </w:r>
      <w:proofErr w:type="spellEnd"/>
      <w:r w:rsidRPr="00A9717C">
        <w:rPr>
          <w:rFonts w:cs="Times New Roman"/>
          <w:lang w:val="en-CA"/>
        </w:rPr>
        <w:t xml:space="preserve">, “Nouvelle </w:t>
      </w:r>
      <w:proofErr w:type="spellStart"/>
      <w:r w:rsidRPr="00A9717C">
        <w:rPr>
          <w:rFonts w:cs="Times New Roman"/>
          <w:lang w:val="en-CA"/>
        </w:rPr>
        <w:t>posologie</w:t>
      </w:r>
      <w:proofErr w:type="spellEnd"/>
      <w:r w:rsidRPr="00A9717C">
        <w:rPr>
          <w:rFonts w:cs="Times New Roman"/>
          <w:lang w:val="en-CA"/>
        </w:rPr>
        <w:t xml:space="preserve"> pour la prescription acquisitive </w:t>
      </w:r>
      <w:proofErr w:type="spellStart"/>
      <w:r w:rsidRPr="00A9717C">
        <w:rPr>
          <w:rFonts w:cs="Times New Roman"/>
          <w:lang w:val="en-CA"/>
        </w:rPr>
        <w:t>immobilière</w:t>
      </w:r>
      <w:proofErr w:type="spellEnd"/>
      <w:r w:rsidRPr="00A9717C">
        <w:rPr>
          <w:rFonts w:cs="Times New Roman"/>
          <w:lang w:val="en-CA"/>
        </w:rPr>
        <w:t xml:space="preserve">” (2003), 105 </w:t>
      </w:r>
      <w:r w:rsidRPr="00A9717C">
        <w:rPr>
          <w:rFonts w:cs="Times New Roman"/>
          <w:i/>
          <w:lang w:val="en-CA"/>
        </w:rPr>
        <w:t>R. du N.</w:t>
      </w:r>
      <w:r w:rsidRPr="00A9717C">
        <w:rPr>
          <w:rFonts w:cs="Times New Roman"/>
          <w:lang w:val="en-CA"/>
        </w:rPr>
        <w:t xml:space="preserve"> 735, at p. 750). In other words, this presumption in no way supports the appellants’ position.</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Finally, art. 2946 </w:t>
      </w:r>
      <w:r w:rsidRPr="00A9717C">
        <w:rPr>
          <w:rFonts w:cs="Times New Roman"/>
          <w:i/>
          <w:lang w:val="en-CA"/>
        </w:rPr>
        <w:t>C.C.Q.</w:t>
      </w:r>
      <w:r w:rsidRPr="00A9717C">
        <w:rPr>
          <w:rFonts w:cs="Times New Roman"/>
          <w:lang w:val="en-CA"/>
        </w:rPr>
        <w:t xml:space="preserve"> is of no assistance to the appellants. It provides that “[w]here two acquirers of an immovable </w:t>
      </w:r>
      <w:r w:rsidRPr="00A9717C">
        <w:rPr>
          <w:rFonts w:cs="Times New Roman"/>
          <w:u w:val="single"/>
          <w:lang w:val="en-CA"/>
        </w:rPr>
        <w:t>hold their title from the same predecessor in title</w:t>
      </w:r>
      <w:r w:rsidRPr="00A9717C">
        <w:rPr>
          <w:rFonts w:cs="Times New Roman"/>
          <w:lang w:val="en-CA"/>
        </w:rPr>
        <w:t>, the right is acquired by the acquirer</w:t>
      </w:r>
      <w:r w:rsidR="00B054E2">
        <w:rPr>
          <w:rFonts w:cs="Times New Roman"/>
          <w:lang w:val="en-CA"/>
        </w:rPr>
        <w:t xml:space="preserve"> who first publishes his right.”</w:t>
      </w:r>
      <w:r w:rsidRPr="00A9717C">
        <w:rPr>
          <w:rFonts w:cs="Times New Roman"/>
          <w:lang w:val="en-CA"/>
        </w:rPr>
        <w:t xml:space="preserve"> But it cannot apply in the case at bar, as the appellants hold their title from two specific predecessors, the sellers from whom they purchased the property, whereas the respondent holds her title from no predecessor, having acquired it by prescription.</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Contrary to the appellants’ position, the solution adopted by the majority of the Court of Appeal, with which I agree, reaffirms the place of acquisitive prescription in Quebec civil law and recognizes the limited role of the publication of rights by not giving the land register the higher probative value that the appellants would like to confer on it (</w:t>
      </w:r>
      <w:proofErr w:type="spellStart"/>
      <w:r w:rsidRPr="00A9717C">
        <w:rPr>
          <w:rFonts w:cs="Times New Roman"/>
          <w:lang w:val="en-CA"/>
        </w:rPr>
        <w:t>Gidrol</w:t>
      </w:r>
      <w:proofErr w:type="spellEnd"/>
      <w:r w:rsidRPr="00A9717C">
        <w:rPr>
          <w:rFonts w:cs="Times New Roman"/>
          <w:lang w:val="en-CA"/>
        </w:rPr>
        <w:noBreakHyphen/>
        <w:t xml:space="preserve">Mistral, at pp. 318 and 324). From this perspective, this solution is the one that is most consistent with the general scheme of the </w:t>
      </w:r>
      <w:r w:rsidRPr="00A9717C">
        <w:rPr>
          <w:rFonts w:cs="Times New Roman"/>
          <w:i/>
          <w:lang w:val="en-CA"/>
        </w:rPr>
        <w:t>Code</w:t>
      </w:r>
      <w:r w:rsidRPr="00A9717C">
        <w:rPr>
          <w:rFonts w:cs="Times New Roman"/>
          <w:lang w:val="en-CA"/>
        </w:rPr>
        <w:t xml:space="preserve"> and with the relevant provisions on prescription, as well as on the publication of rights and on sale.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Consistency is a well</w:t>
      </w:r>
      <w:r w:rsidRPr="00A9717C">
        <w:rPr>
          <w:rFonts w:cs="Times New Roman"/>
          <w:lang w:val="en-CA"/>
        </w:rPr>
        <w:noBreakHyphen/>
        <w:t xml:space="preserve">established principle of statutory interpretation, one </w:t>
      </w:r>
      <w:r w:rsidRPr="00A9717C">
        <w:rPr>
          <w:rFonts w:cs="Times New Roman"/>
          <w:lang w:val="en-CA"/>
        </w:rPr>
        <w:lastRenderedPageBreak/>
        <w:t xml:space="preserve">that the Quebec legislature has expressly recognized: </w:t>
      </w:r>
    </w:p>
    <w:p w:rsidR="00FE692E" w:rsidRPr="00A9717C" w:rsidRDefault="00FE692E" w:rsidP="00233573">
      <w:pPr>
        <w:pStyle w:val="Citation-AltC"/>
        <w:widowControl w:val="0"/>
        <w:spacing w:after="240"/>
        <w:ind w:hanging="1166"/>
        <w:contextualSpacing w:val="0"/>
        <w:rPr>
          <w:lang w:val="en-CA"/>
        </w:rPr>
      </w:pPr>
      <w:r w:rsidRPr="00A9717C">
        <w:rPr>
          <w:b/>
          <w:lang w:val="en-CA"/>
        </w:rPr>
        <w:tab/>
        <w:t>41.1.</w:t>
      </w:r>
      <w:r w:rsidRPr="00A9717C">
        <w:rPr>
          <w:lang w:val="en-CA"/>
        </w:rPr>
        <w:t xml:space="preserve"> The provisions of an Act are construed by one another, ascribing to each provision the meaning which results from the whole Act and which gives effect to the provision.</w:t>
      </w:r>
    </w:p>
    <w:p w:rsidR="00FE692E" w:rsidRPr="00A9717C" w:rsidRDefault="00FE692E" w:rsidP="00233573">
      <w:pPr>
        <w:pStyle w:val="Citation-AltC"/>
        <w:widowControl w:val="0"/>
        <w:ind w:hanging="1166"/>
        <w:contextualSpacing w:val="0"/>
        <w:rPr>
          <w:lang w:val="en-CA"/>
        </w:rPr>
      </w:pPr>
      <w:r w:rsidRPr="00A9717C">
        <w:rPr>
          <w:lang w:val="en-CA"/>
        </w:rPr>
        <w:t>(</w:t>
      </w:r>
      <w:r w:rsidRPr="00A9717C">
        <w:rPr>
          <w:i/>
          <w:lang w:val="en-CA"/>
        </w:rPr>
        <w:t>Interpretation Act</w:t>
      </w:r>
      <w:r w:rsidRPr="00A9717C">
        <w:rPr>
          <w:lang w:val="en-CA"/>
        </w:rPr>
        <w:t>, CQLR, c. I</w:t>
      </w:r>
      <w:r w:rsidRPr="00A9717C">
        <w:rPr>
          <w:lang w:val="en-CA"/>
        </w:rPr>
        <w:noBreakHyphen/>
        <w:t>16)</w:t>
      </w:r>
    </w:p>
    <w:p w:rsidR="00FE692E" w:rsidRPr="00A9717C" w:rsidRDefault="00FE692E" w:rsidP="00233573">
      <w:pPr>
        <w:pStyle w:val="ContinueParaSuitedupar-AltP"/>
        <w:widowControl w:val="0"/>
        <w:rPr>
          <w:rFonts w:cs="Times New Roman"/>
          <w:lang w:val="en-CA"/>
        </w:rPr>
      </w:pPr>
      <w:r w:rsidRPr="00A9717C">
        <w:rPr>
          <w:rFonts w:cs="Times New Roman"/>
          <w:lang w:val="en-CA"/>
        </w:rPr>
        <w:t>Consistency is even more crucial in the interpretation of a code, which [</w:t>
      </w:r>
      <w:r w:rsidRPr="00A9717C">
        <w:rPr>
          <w:rFonts w:cs="Times New Roman"/>
          <w:smallCaps/>
          <w:lang w:val="en-CA"/>
        </w:rPr>
        <w:t xml:space="preserve">translation] </w:t>
      </w:r>
      <w:r w:rsidRPr="00A9717C">
        <w:rPr>
          <w:rFonts w:cs="Times New Roman"/>
          <w:lang w:val="en-CA"/>
        </w:rPr>
        <w:t>“is generally defined as a ‘coherent corpus (or at least one that strives to be coherent) of texts encompassing, and arranged according to a systematic plan, all the rules relative’ to the civil law” (J. </w:t>
      </w:r>
      <w:proofErr w:type="spellStart"/>
      <w:r w:rsidRPr="00A9717C">
        <w:rPr>
          <w:rFonts w:cs="Times New Roman"/>
          <w:lang w:val="en-CA"/>
        </w:rPr>
        <w:t>Pineau</w:t>
      </w:r>
      <w:proofErr w:type="spellEnd"/>
      <w:r w:rsidRPr="00A9717C">
        <w:rPr>
          <w:rFonts w:cs="Times New Roman"/>
          <w:lang w:val="en-CA"/>
        </w:rPr>
        <w:t xml:space="preserve">, “Le nouveau Code civil et les intentions du </w:t>
      </w:r>
      <w:proofErr w:type="spellStart"/>
      <w:r w:rsidRPr="00A9717C">
        <w:rPr>
          <w:rFonts w:cs="Times New Roman"/>
          <w:lang w:val="en-CA"/>
        </w:rPr>
        <w:t>législateur</w:t>
      </w:r>
      <w:proofErr w:type="spellEnd"/>
      <w:r w:rsidRPr="00A9717C">
        <w:rPr>
          <w:rFonts w:cs="Times New Roman"/>
          <w:lang w:val="en-CA"/>
        </w:rPr>
        <w:t xml:space="preserve">”, in B. Moore, ed., </w:t>
      </w:r>
      <w:r w:rsidRPr="00A9717C">
        <w:rPr>
          <w:rFonts w:cs="Times New Roman"/>
          <w:i/>
          <w:lang w:val="en-CA"/>
        </w:rPr>
        <w:t xml:space="preserve">Mélanges Jean </w:t>
      </w:r>
      <w:proofErr w:type="spellStart"/>
      <w:r w:rsidRPr="00A9717C">
        <w:rPr>
          <w:rFonts w:cs="Times New Roman"/>
          <w:i/>
          <w:lang w:val="en-CA"/>
        </w:rPr>
        <w:t>Pineau</w:t>
      </w:r>
      <w:proofErr w:type="spellEnd"/>
      <w:r w:rsidRPr="00A9717C">
        <w:rPr>
          <w:rFonts w:cs="Times New Roman"/>
          <w:lang w:val="en-CA"/>
        </w:rPr>
        <w:t xml:space="preserve"> (2003), 3, at p. 6). In concrete terms, this means [</w:t>
      </w:r>
      <w:r w:rsidRPr="00A9717C">
        <w:rPr>
          <w:rFonts w:cs="Times New Roman"/>
          <w:smallCaps/>
          <w:lang w:val="en-CA"/>
        </w:rPr>
        <w:t xml:space="preserve">translation] </w:t>
      </w:r>
      <w:r w:rsidRPr="00A9717C">
        <w:rPr>
          <w:rFonts w:cs="Times New Roman"/>
          <w:lang w:val="en-CA"/>
        </w:rPr>
        <w:t>“that each portion of the Code has been drafted in a manner consistent with the others” (M. </w:t>
      </w:r>
      <w:proofErr w:type="spellStart"/>
      <w:r w:rsidRPr="00A9717C">
        <w:rPr>
          <w:rFonts w:cs="Times New Roman"/>
          <w:lang w:val="en-CA"/>
        </w:rPr>
        <w:t>Tancelin</w:t>
      </w:r>
      <w:proofErr w:type="spellEnd"/>
      <w:r w:rsidRPr="00A9717C">
        <w:rPr>
          <w:rFonts w:cs="Times New Roman"/>
          <w:lang w:val="en-CA"/>
        </w:rPr>
        <w:t>, “</w:t>
      </w:r>
      <w:proofErr w:type="spellStart"/>
      <w:r w:rsidRPr="00A9717C">
        <w:rPr>
          <w:rFonts w:cs="Times New Roman"/>
          <w:lang w:val="en-CA"/>
        </w:rPr>
        <w:t>L’acte</w:t>
      </w:r>
      <w:proofErr w:type="spellEnd"/>
      <w:r w:rsidRPr="00A9717C">
        <w:rPr>
          <w:rFonts w:cs="Times New Roman"/>
          <w:lang w:val="en-CA"/>
        </w:rPr>
        <w:t xml:space="preserve"> </w:t>
      </w:r>
      <w:proofErr w:type="spellStart"/>
      <w:r w:rsidRPr="00A9717C">
        <w:rPr>
          <w:rFonts w:cs="Times New Roman"/>
          <w:lang w:val="en-CA"/>
        </w:rPr>
        <w:t>unilatéral</w:t>
      </w:r>
      <w:proofErr w:type="spellEnd"/>
      <w:r w:rsidRPr="00A9717C">
        <w:rPr>
          <w:rFonts w:cs="Times New Roman"/>
          <w:lang w:val="en-CA"/>
        </w:rPr>
        <w:t xml:space="preserve"> </w:t>
      </w:r>
      <w:proofErr w:type="spellStart"/>
      <w:r w:rsidRPr="00A9717C">
        <w:rPr>
          <w:rFonts w:cs="Times New Roman"/>
          <w:lang w:val="en-CA"/>
        </w:rPr>
        <w:t>en</w:t>
      </w:r>
      <w:proofErr w:type="spellEnd"/>
      <w:r w:rsidRPr="00A9717C">
        <w:rPr>
          <w:rFonts w:cs="Times New Roman"/>
          <w:lang w:val="en-CA"/>
        </w:rPr>
        <w:t xml:space="preserve"> droit des obligations </w:t>
      </w:r>
      <w:proofErr w:type="spellStart"/>
      <w:r w:rsidRPr="00A9717C">
        <w:rPr>
          <w:rFonts w:cs="Times New Roman"/>
          <w:lang w:val="en-CA"/>
        </w:rPr>
        <w:t>ou</w:t>
      </w:r>
      <w:proofErr w:type="spellEnd"/>
      <w:r w:rsidRPr="00A9717C">
        <w:rPr>
          <w:rFonts w:cs="Times New Roman"/>
          <w:lang w:val="en-CA"/>
        </w:rPr>
        <w:t xml:space="preserve"> </w:t>
      </w:r>
      <w:proofErr w:type="spellStart"/>
      <w:r w:rsidRPr="00A9717C">
        <w:rPr>
          <w:rFonts w:cs="Times New Roman"/>
          <w:lang w:val="en-CA"/>
        </w:rPr>
        <w:t>l’unilatéralisation</w:t>
      </w:r>
      <w:proofErr w:type="spellEnd"/>
      <w:r w:rsidRPr="00A9717C">
        <w:rPr>
          <w:rFonts w:cs="Times New Roman"/>
          <w:lang w:val="en-CA"/>
        </w:rPr>
        <w:t xml:space="preserve"> du </w:t>
      </w:r>
      <w:proofErr w:type="spellStart"/>
      <w:r w:rsidRPr="00A9717C">
        <w:rPr>
          <w:rFonts w:cs="Times New Roman"/>
          <w:lang w:val="en-CA"/>
        </w:rPr>
        <w:t>contrat</w:t>
      </w:r>
      <w:proofErr w:type="spellEnd"/>
      <w:r w:rsidRPr="00A9717C">
        <w:rPr>
          <w:rFonts w:cs="Times New Roman"/>
          <w:lang w:val="en-CA"/>
        </w:rPr>
        <w:t>”, in N. </w:t>
      </w:r>
      <w:proofErr w:type="spellStart"/>
      <w:r w:rsidRPr="00A9717C">
        <w:rPr>
          <w:rFonts w:cs="Times New Roman"/>
          <w:lang w:val="en-CA"/>
        </w:rPr>
        <w:t>Kasirer</w:t>
      </w:r>
      <w:proofErr w:type="spellEnd"/>
      <w:r w:rsidRPr="00A9717C">
        <w:rPr>
          <w:rFonts w:cs="Times New Roman"/>
          <w:lang w:val="en-CA"/>
        </w:rPr>
        <w:t xml:space="preserve">, ed., </w:t>
      </w:r>
      <w:r w:rsidRPr="00A9717C">
        <w:rPr>
          <w:rFonts w:cs="Times New Roman"/>
          <w:i/>
          <w:lang w:val="en-CA"/>
        </w:rPr>
        <w:t xml:space="preserve">La Solitude </w:t>
      </w:r>
      <w:proofErr w:type="spellStart"/>
      <w:r w:rsidRPr="00A9717C">
        <w:rPr>
          <w:rFonts w:cs="Times New Roman"/>
          <w:i/>
          <w:lang w:val="en-CA"/>
        </w:rPr>
        <w:t>en</w:t>
      </w:r>
      <w:proofErr w:type="spellEnd"/>
      <w:r w:rsidRPr="00A9717C">
        <w:rPr>
          <w:rFonts w:cs="Times New Roman"/>
          <w:i/>
          <w:lang w:val="en-CA"/>
        </w:rPr>
        <w:t xml:space="preserve"> droit </w:t>
      </w:r>
      <w:proofErr w:type="spellStart"/>
      <w:r w:rsidRPr="00A9717C">
        <w:rPr>
          <w:rFonts w:cs="Times New Roman"/>
          <w:i/>
          <w:lang w:val="en-CA"/>
        </w:rPr>
        <w:t>privé</w:t>
      </w:r>
      <w:proofErr w:type="spellEnd"/>
      <w:r w:rsidRPr="00A9717C">
        <w:rPr>
          <w:rFonts w:cs="Times New Roman"/>
          <w:lang w:val="en-CA"/>
        </w:rPr>
        <w:t xml:space="preserve"> (2002), 213, at pp. 216</w:t>
      </w:r>
      <w:r w:rsidRPr="00A9717C">
        <w:rPr>
          <w:rFonts w:cs="Times New Roman"/>
          <w:lang w:val="en-CA"/>
        </w:rPr>
        <w:noBreakHyphen/>
        <w:t>17). When there is friction between different parts of a code, it is therefore necessary to identify the solution that best accords with “the other provisions, its general structure and basic legal principles” (P.</w:t>
      </w:r>
      <w:r w:rsidRPr="00A9717C">
        <w:rPr>
          <w:rFonts w:cs="Times New Roman"/>
          <w:lang w:val="en-CA"/>
        </w:rPr>
        <w:noBreakHyphen/>
        <w:t>A. </w:t>
      </w:r>
      <w:proofErr w:type="spellStart"/>
      <w:r w:rsidRPr="00A9717C">
        <w:rPr>
          <w:rFonts w:cs="Times New Roman"/>
          <w:lang w:val="en-CA"/>
        </w:rPr>
        <w:t>Côté</w:t>
      </w:r>
      <w:proofErr w:type="spellEnd"/>
      <w:r w:rsidRPr="00A9717C">
        <w:rPr>
          <w:rFonts w:cs="Times New Roman"/>
          <w:lang w:val="en-CA"/>
        </w:rPr>
        <w:t xml:space="preserve">, with the </w:t>
      </w:r>
      <w:r>
        <w:rPr>
          <w:rFonts w:cs="Times New Roman"/>
          <w:lang w:val="en-CA"/>
        </w:rPr>
        <w:t>collaboration of S. </w:t>
      </w:r>
      <w:proofErr w:type="spellStart"/>
      <w:r w:rsidRPr="00A9717C">
        <w:rPr>
          <w:rFonts w:cs="Times New Roman"/>
          <w:lang w:val="en-CA"/>
        </w:rPr>
        <w:t>Beau</w:t>
      </w:r>
      <w:r>
        <w:rPr>
          <w:rFonts w:cs="Times New Roman"/>
          <w:lang w:val="en-CA"/>
        </w:rPr>
        <w:t>lac</w:t>
      </w:r>
      <w:proofErr w:type="spellEnd"/>
      <w:r>
        <w:rPr>
          <w:rFonts w:cs="Times New Roman"/>
          <w:lang w:val="en-CA"/>
        </w:rPr>
        <w:t xml:space="preserve"> and M. </w:t>
      </w:r>
      <w:proofErr w:type="spellStart"/>
      <w:r w:rsidRPr="00A9717C">
        <w:rPr>
          <w:rFonts w:cs="Times New Roman"/>
          <w:lang w:val="en-CA"/>
        </w:rPr>
        <w:t>Devinat</w:t>
      </w:r>
      <w:proofErr w:type="spellEnd"/>
      <w:r w:rsidRPr="00A9717C">
        <w:rPr>
          <w:rFonts w:cs="Times New Roman"/>
          <w:lang w:val="en-CA"/>
        </w:rPr>
        <w:t xml:space="preserve">, </w:t>
      </w:r>
      <w:r w:rsidRPr="00A9717C">
        <w:rPr>
          <w:rFonts w:cs="Times New Roman"/>
          <w:i/>
          <w:lang w:val="en-CA"/>
        </w:rPr>
        <w:t>The Interpretation of Legislation in Canada</w:t>
      </w:r>
      <w:r w:rsidRPr="00A9717C">
        <w:rPr>
          <w:rFonts w:cs="Times New Roman"/>
          <w:lang w:val="en-CA"/>
        </w:rPr>
        <w:t xml:space="preserve"> (4th ed. 2011), at p. 328).</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The solution I am adopting in this case is, first of all, consistent with the relevant articles on prescription. Thus, art. 2885 </w:t>
      </w:r>
      <w:r w:rsidRPr="00A9717C">
        <w:rPr>
          <w:rFonts w:cs="Times New Roman"/>
          <w:i/>
          <w:lang w:val="en-CA"/>
        </w:rPr>
        <w:t xml:space="preserve">C.C.Q. </w:t>
      </w:r>
      <w:r w:rsidRPr="00A9717C">
        <w:rPr>
          <w:rFonts w:cs="Times New Roman"/>
          <w:lang w:val="en-CA"/>
        </w:rPr>
        <w:t xml:space="preserve">provides that “renunciation of acquired prescription with respect to immovable real rights shall be published”. But if acquired prescription could not jeopardize a right that is registered in the land register, </w:t>
      </w:r>
      <w:r w:rsidRPr="00A9717C">
        <w:rPr>
          <w:rFonts w:cs="Times New Roman"/>
          <w:lang w:val="en-CA"/>
        </w:rPr>
        <w:lastRenderedPageBreak/>
        <w:t>as suggested by the appellants and the dissenting judge in the Court of Appeal, there would be no need to publish such a renunciation to enable third parties to take notice of it. To accept the conclusion they propose would therefore strip this article of any useful purpose.</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This solution is just as consistent with art. 2957 </w:t>
      </w:r>
      <w:r w:rsidRPr="00A9717C">
        <w:rPr>
          <w:rFonts w:cs="Times New Roman"/>
          <w:i/>
          <w:lang w:val="en-CA"/>
        </w:rPr>
        <w:t>C.C.Q.</w:t>
      </w:r>
      <w:r w:rsidRPr="00A9717C">
        <w:rPr>
          <w:rFonts w:cs="Times New Roman"/>
          <w:lang w:val="en-CA"/>
        </w:rPr>
        <w:t>,</w:t>
      </w:r>
      <w:r w:rsidRPr="00A9717C">
        <w:rPr>
          <w:rFonts w:cs="Times New Roman"/>
          <w:i/>
          <w:lang w:val="en-CA"/>
        </w:rPr>
        <w:t xml:space="preserve"> </w:t>
      </w:r>
      <w:r w:rsidRPr="00A9717C">
        <w:rPr>
          <w:rFonts w:cs="Times New Roman"/>
          <w:lang w:val="en-CA"/>
        </w:rPr>
        <w:t>which provides that “[p]</w:t>
      </w:r>
      <w:proofErr w:type="spellStart"/>
      <w:r w:rsidRPr="00A9717C">
        <w:rPr>
          <w:rFonts w:cs="Times New Roman"/>
          <w:lang w:val="en-CA"/>
        </w:rPr>
        <w:t>ublication</w:t>
      </w:r>
      <w:proofErr w:type="spellEnd"/>
      <w:r w:rsidRPr="00A9717C">
        <w:rPr>
          <w:rFonts w:cs="Times New Roman"/>
          <w:lang w:val="en-CA"/>
        </w:rPr>
        <w:t xml:space="preserve"> does not interrupt prescription”. It would indeed make no sense to conclude that the publication of rights cannot interrupt prescription while the period is still running, but that it can negate the effects of prescription that has already been acquired. Moreover, Professor </w:t>
      </w:r>
      <w:proofErr w:type="spellStart"/>
      <w:r w:rsidRPr="00A9717C">
        <w:rPr>
          <w:rFonts w:cs="Times New Roman"/>
          <w:lang w:val="en-CA"/>
        </w:rPr>
        <w:t>Lamontagne</w:t>
      </w:r>
      <w:proofErr w:type="spellEnd"/>
      <w:r w:rsidRPr="00A9717C">
        <w:rPr>
          <w:rFonts w:cs="Times New Roman"/>
          <w:lang w:val="en-CA"/>
        </w:rPr>
        <w:t xml:space="preserve"> confirms that this article means that [</w:t>
      </w:r>
      <w:r w:rsidRPr="00A9717C">
        <w:rPr>
          <w:rFonts w:cs="Times New Roman"/>
          <w:smallCaps/>
          <w:lang w:val="en-CA"/>
        </w:rPr>
        <w:t xml:space="preserve">translation] </w:t>
      </w:r>
      <w:r w:rsidRPr="00A9717C">
        <w:rPr>
          <w:rFonts w:cs="Times New Roman"/>
          <w:lang w:val="en-CA"/>
        </w:rPr>
        <w:t>“an adverse possessor will eventually be able to prescribe even if an opposing right is published, provided that he or she proves that prescription has been acquired” (</w:t>
      </w:r>
      <w:proofErr w:type="spellStart"/>
      <w:r w:rsidRPr="00A9717C">
        <w:rPr>
          <w:rFonts w:cs="Times New Roman"/>
          <w:lang w:val="en-CA"/>
        </w:rPr>
        <w:t>Lamontagne</w:t>
      </w:r>
      <w:proofErr w:type="spellEnd"/>
      <w:r w:rsidRPr="00A9717C">
        <w:rPr>
          <w:rFonts w:cs="Times New Roman"/>
          <w:lang w:val="en-CA"/>
        </w:rPr>
        <w:t xml:space="preserve">, </w:t>
      </w:r>
      <w:proofErr w:type="spellStart"/>
      <w:r w:rsidRPr="00A9717C">
        <w:rPr>
          <w:rFonts w:cs="Times New Roman"/>
          <w:i/>
          <w:lang w:val="en-CA"/>
        </w:rPr>
        <w:t>Biens</w:t>
      </w:r>
      <w:proofErr w:type="spellEnd"/>
      <w:r w:rsidRPr="00A9717C">
        <w:rPr>
          <w:rFonts w:cs="Times New Roman"/>
          <w:i/>
          <w:lang w:val="en-CA"/>
        </w:rPr>
        <w:t xml:space="preserve"> et </w:t>
      </w:r>
      <w:proofErr w:type="spellStart"/>
      <w:r w:rsidRPr="00A9717C">
        <w:rPr>
          <w:rFonts w:cs="Times New Roman"/>
          <w:i/>
          <w:lang w:val="en-CA"/>
        </w:rPr>
        <w:t>propriété</w:t>
      </w:r>
      <w:proofErr w:type="spellEnd"/>
      <w:r w:rsidRPr="00A9717C">
        <w:rPr>
          <w:rFonts w:cs="Times New Roman"/>
          <w:lang w:val="en-CA"/>
        </w:rPr>
        <w:t>, at p. 91).</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This solution is also consistent with the repeal of art. 2962 </w:t>
      </w:r>
      <w:r w:rsidRPr="00A9717C">
        <w:rPr>
          <w:rFonts w:cs="Times New Roman"/>
          <w:i/>
          <w:lang w:val="en-CA"/>
        </w:rPr>
        <w:t>C.C.Q.</w:t>
      </w:r>
      <w:r w:rsidRPr="00A9717C">
        <w:rPr>
          <w:rFonts w:cs="Times New Roman"/>
          <w:lang w:val="en-CA"/>
        </w:rPr>
        <w:t xml:space="preserve">, which I mentioned above, and the effect of which was that third parties could no longer rely entirely on entries in the land register. As Professor </w:t>
      </w:r>
      <w:proofErr w:type="spellStart"/>
      <w:r w:rsidRPr="00A9717C">
        <w:rPr>
          <w:rFonts w:cs="Times New Roman"/>
          <w:lang w:val="en-CA"/>
        </w:rPr>
        <w:t>Brochu</w:t>
      </w:r>
      <w:proofErr w:type="spellEnd"/>
      <w:r w:rsidRPr="00A9717C">
        <w:rPr>
          <w:rFonts w:cs="Times New Roman"/>
          <w:lang w:val="en-CA"/>
        </w:rPr>
        <w:t xml:space="preserve"> mentions, [</w:t>
      </w:r>
      <w:r w:rsidRPr="00A9717C">
        <w:rPr>
          <w:rFonts w:cs="Times New Roman"/>
          <w:smallCaps/>
          <w:lang w:val="en-CA"/>
        </w:rPr>
        <w:t>translation] “</w:t>
      </w:r>
      <w:r w:rsidRPr="00A9717C">
        <w:rPr>
          <w:rFonts w:cs="Times New Roman"/>
          <w:lang w:val="en-CA"/>
        </w:rPr>
        <w:t>the failure, in terms of legal effects, of the reform of the land registration system meant that acquisitive prescription retained its probative value” (</w:t>
      </w:r>
      <w:proofErr w:type="spellStart"/>
      <w:r w:rsidRPr="00A9717C">
        <w:rPr>
          <w:rFonts w:cs="Times New Roman"/>
          <w:lang w:val="en-CA"/>
        </w:rPr>
        <w:t>Brochu</w:t>
      </w:r>
      <w:proofErr w:type="spellEnd"/>
      <w:r w:rsidRPr="00A9717C">
        <w:rPr>
          <w:rFonts w:cs="Times New Roman"/>
          <w:lang w:val="en-CA"/>
        </w:rPr>
        <w:t xml:space="preserve">, “Nouvelle </w:t>
      </w:r>
      <w:proofErr w:type="spellStart"/>
      <w:r w:rsidRPr="00A9717C">
        <w:rPr>
          <w:rFonts w:cs="Times New Roman"/>
          <w:lang w:val="en-CA"/>
        </w:rPr>
        <w:t>posologie</w:t>
      </w:r>
      <w:proofErr w:type="spellEnd"/>
      <w:r w:rsidRPr="00A9717C">
        <w:rPr>
          <w:rFonts w:cs="Times New Roman"/>
          <w:lang w:val="en-CA"/>
        </w:rPr>
        <w:t xml:space="preserve">”, at p. 748). In contrast, the appellants’ position would resurrect this article and extend its application to any immovable, whether </w:t>
      </w:r>
      <w:proofErr w:type="spellStart"/>
      <w:r w:rsidRPr="00A9717C">
        <w:rPr>
          <w:rFonts w:cs="Times New Roman"/>
          <w:lang w:val="en-CA"/>
        </w:rPr>
        <w:t>immatriculated</w:t>
      </w:r>
      <w:proofErr w:type="spellEnd"/>
      <w:r w:rsidRPr="00A9717C">
        <w:rPr>
          <w:rFonts w:cs="Times New Roman"/>
          <w:lang w:val="en-CA"/>
        </w:rPr>
        <w:t xml:space="preserve"> or not, thereby conferring a greater probative value on it than the legislature initially intended to give it. In this respect, to quote Professor </w:t>
      </w:r>
      <w:proofErr w:type="spellStart"/>
      <w:r w:rsidRPr="00A9717C">
        <w:rPr>
          <w:rFonts w:cs="Times New Roman"/>
          <w:lang w:val="en-CA"/>
        </w:rPr>
        <w:t>Gidrol</w:t>
      </w:r>
      <w:proofErr w:type="spellEnd"/>
      <w:r w:rsidRPr="00A9717C">
        <w:rPr>
          <w:rFonts w:cs="Times New Roman"/>
          <w:lang w:val="en-CA"/>
        </w:rPr>
        <w:noBreakHyphen/>
        <w:t>Mistral, [</w:t>
      </w:r>
      <w:r w:rsidRPr="00A9717C">
        <w:rPr>
          <w:rFonts w:cs="Times New Roman"/>
          <w:smallCaps/>
          <w:lang w:val="en-CA"/>
        </w:rPr>
        <w:t>translation]</w:t>
      </w:r>
      <w:r w:rsidRPr="00A9717C">
        <w:rPr>
          <w:rFonts w:cs="Times New Roman"/>
          <w:lang w:val="en-CA"/>
        </w:rPr>
        <w:t xml:space="preserve"> “Jacques J. [who </w:t>
      </w:r>
      <w:r w:rsidRPr="00A9717C">
        <w:rPr>
          <w:rFonts w:cs="Times New Roman"/>
          <w:lang w:val="en-CA"/>
        </w:rPr>
        <w:lastRenderedPageBreak/>
        <w:t>adopted that position] does not seem to have fully understood the abolition of the legal arsenal that was supposed to confer a greater probative value on the publication of rights” (p. 338).</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response to this, the appellants state, as did the dissenting judge in the Court of Appeal, that art. 2962 </w:t>
      </w:r>
      <w:r w:rsidRPr="00A9717C">
        <w:rPr>
          <w:rFonts w:cs="Times New Roman"/>
          <w:i/>
          <w:lang w:val="en-CA"/>
        </w:rPr>
        <w:t>C.C.Q.</w:t>
      </w:r>
      <w:r w:rsidRPr="00A9717C">
        <w:rPr>
          <w:rFonts w:cs="Times New Roman"/>
          <w:lang w:val="en-CA"/>
        </w:rPr>
        <w:t xml:space="preserve"> was repealed for purely technical reasons related to the modification of the concept of </w:t>
      </w:r>
      <w:proofErr w:type="spellStart"/>
      <w:r w:rsidRPr="00A9717C">
        <w:rPr>
          <w:rFonts w:cs="Times New Roman"/>
          <w:lang w:val="en-CA"/>
        </w:rPr>
        <w:t>immatriculation</w:t>
      </w:r>
      <w:proofErr w:type="spellEnd"/>
      <w:r w:rsidRPr="00A9717C">
        <w:rPr>
          <w:rFonts w:cs="Times New Roman"/>
          <w:lang w:val="en-CA"/>
        </w:rPr>
        <w:t xml:space="preserve"> and that, at any rate, the theory of apparent rights, which has always existed in Quebec law, would lead to the same outcome.</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This argument must fail. The repeal of art. 2962 </w:t>
      </w:r>
      <w:r w:rsidRPr="00A9717C">
        <w:rPr>
          <w:rFonts w:cs="Times New Roman"/>
          <w:i/>
          <w:lang w:val="en-CA"/>
        </w:rPr>
        <w:t>C.C.Q.</w:t>
      </w:r>
      <w:r w:rsidRPr="00A9717C">
        <w:rPr>
          <w:rFonts w:cs="Times New Roman"/>
          <w:lang w:val="en-CA"/>
        </w:rPr>
        <w:t xml:space="preserve"> was intended to be more than a strictly technical one, since it removed from the </w:t>
      </w:r>
      <w:r w:rsidRPr="00A9717C">
        <w:rPr>
          <w:rFonts w:cs="Times New Roman"/>
          <w:i/>
          <w:lang w:val="en-CA"/>
        </w:rPr>
        <w:t>Code</w:t>
      </w:r>
      <w:r w:rsidRPr="00A9717C">
        <w:rPr>
          <w:rFonts w:cs="Times New Roman"/>
          <w:lang w:val="en-CA"/>
        </w:rPr>
        <w:t xml:space="preserve"> the absolute probative value that would otherwise have been conferred on the land register and which is in fact what the appellants are seeking. The legislative debate at the time of the repeal leaves little doubt as regards the intention of the legislature, which considered that art. 2962 </w:t>
      </w:r>
      <w:r w:rsidRPr="00A9717C">
        <w:rPr>
          <w:rFonts w:cs="Times New Roman"/>
          <w:i/>
          <w:lang w:val="en-CA"/>
        </w:rPr>
        <w:t>C.C.Q.</w:t>
      </w:r>
      <w:r w:rsidRPr="00A9717C">
        <w:rPr>
          <w:rFonts w:cs="Times New Roman"/>
          <w:lang w:val="en-CA"/>
        </w:rPr>
        <w:t>, far from simply recognizing an already applicable doctrine, [</w:t>
      </w:r>
      <w:r w:rsidRPr="00A9717C">
        <w:rPr>
          <w:rFonts w:cs="Times New Roman"/>
          <w:smallCaps/>
          <w:lang w:val="en-CA"/>
        </w:rPr>
        <w:t>translation] “</w:t>
      </w:r>
      <w:proofErr w:type="spellStart"/>
      <w:r w:rsidRPr="00A9717C">
        <w:rPr>
          <w:rFonts w:cs="Times New Roman"/>
          <w:u w:val="single"/>
          <w:lang w:val="en-CA"/>
        </w:rPr>
        <w:t>establishe</w:t>
      </w:r>
      <w:proofErr w:type="spellEnd"/>
      <w:r w:rsidRPr="00A9717C">
        <w:rPr>
          <w:rFonts w:cs="Times New Roman"/>
          <w:u w:val="single"/>
          <w:lang w:val="en-CA"/>
        </w:rPr>
        <w:t>[d]</w:t>
      </w:r>
      <w:r w:rsidRPr="00A9717C">
        <w:rPr>
          <w:rFonts w:cs="Times New Roman"/>
          <w:lang w:val="en-CA"/>
        </w:rPr>
        <w:t xml:space="preserve">, in favour of third parties in good faith, an </w:t>
      </w:r>
      <w:proofErr w:type="spellStart"/>
      <w:r w:rsidRPr="00A9717C">
        <w:rPr>
          <w:rFonts w:cs="Times New Roman"/>
          <w:lang w:val="en-CA"/>
        </w:rPr>
        <w:t>irrebuttable</w:t>
      </w:r>
      <w:proofErr w:type="spellEnd"/>
      <w:r w:rsidRPr="00A9717C">
        <w:rPr>
          <w:rFonts w:cs="Times New Roman"/>
          <w:lang w:val="en-CA"/>
        </w:rPr>
        <w:t xml:space="preserve"> presumption of the validity of registered rights” (</w:t>
      </w:r>
      <w:r w:rsidRPr="00A9717C">
        <w:rPr>
          <w:rFonts w:cs="Times New Roman"/>
          <w:i/>
          <w:lang w:val="en-CA"/>
        </w:rPr>
        <w:t xml:space="preserve">Journal des </w:t>
      </w:r>
      <w:proofErr w:type="spellStart"/>
      <w:r w:rsidRPr="00A9717C">
        <w:rPr>
          <w:rFonts w:cs="Times New Roman"/>
          <w:i/>
          <w:lang w:val="en-CA"/>
        </w:rPr>
        <w:t>débats</w:t>
      </w:r>
      <w:proofErr w:type="spellEnd"/>
      <w:r w:rsidRPr="00A9717C">
        <w:rPr>
          <w:rFonts w:cs="Times New Roman"/>
          <w:i/>
          <w:lang w:val="en-CA"/>
        </w:rPr>
        <w:t xml:space="preserve"> de la Commission </w:t>
      </w:r>
      <w:proofErr w:type="spellStart"/>
      <w:r w:rsidRPr="00A9717C">
        <w:rPr>
          <w:rFonts w:cs="Times New Roman"/>
          <w:i/>
          <w:lang w:val="en-CA"/>
        </w:rPr>
        <w:t>permanente</w:t>
      </w:r>
      <w:proofErr w:type="spellEnd"/>
      <w:r w:rsidRPr="00A9717C">
        <w:rPr>
          <w:rFonts w:cs="Times New Roman"/>
          <w:i/>
          <w:lang w:val="en-CA"/>
        </w:rPr>
        <w:t xml:space="preserve"> des institutions</w:t>
      </w:r>
      <w:r w:rsidRPr="00A9717C">
        <w:rPr>
          <w:rFonts w:cs="Times New Roman"/>
          <w:lang w:val="en-CA"/>
        </w:rPr>
        <w:t>, at p. 69 (emphasis added)). Like most of the amendments that were made at that time, the repeal of this article was a logical consequence of the decision to abandon the reform of the publication of rights system.</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As for apparent rights, it is important to remember that this theory was originally developed by the French courts to protect third parties in their dealings with </w:t>
      </w:r>
      <w:r w:rsidRPr="00A9717C">
        <w:rPr>
          <w:rFonts w:cs="Times New Roman"/>
          <w:lang w:val="en-CA"/>
        </w:rPr>
        <w:lastRenderedPageBreak/>
        <w:t>the apparent heir of a deceased person (J. </w:t>
      </w:r>
      <w:proofErr w:type="spellStart"/>
      <w:r w:rsidRPr="00A9717C">
        <w:rPr>
          <w:rFonts w:cs="Times New Roman"/>
          <w:lang w:val="en-CA"/>
        </w:rPr>
        <w:t>Carbonnier</w:t>
      </w:r>
      <w:proofErr w:type="spellEnd"/>
      <w:r w:rsidRPr="00A9717C">
        <w:rPr>
          <w:rFonts w:cs="Times New Roman"/>
          <w:lang w:val="en-CA"/>
        </w:rPr>
        <w:t xml:space="preserve">, </w:t>
      </w:r>
      <w:r w:rsidRPr="00A9717C">
        <w:rPr>
          <w:rFonts w:cs="Times New Roman"/>
          <w:i/>
          <w:lang w:val="en-CA"/>
        </w:rPr>
        <w:t>Droit civil</w:t>
      </w:r>
      <w:r w:rsidRPr="00A9717C">
        <w:rPr>
          <w:rFonts w:cs="Times New Roman"/>
          <w:lang w:val="en-CA"/>
        </w:rPr>
        <w:t xml:space="preserve"> (2004), </w:t>
      </w:r>
      <w:proofErr w:type="gramStart"/>
      <w:r w:rsidRPr="00A9717C">
        <w:rPr>
          <w:rFonts w:cs="Times New Roman"/>
          <w:lang w:val="en-CA"/>
        </w:rPr>
        <w:t>vol</w:t>
      </w:r>
      <w:proofErr w:type="gramEnd"/>
      <w:r w:rsidRPr="00A9717C">
        <w:rPr>
          <w:rFonts w:cs="Times New Roman"/>
          <w:lang w:val="en-CA"/>
        </w:rPr>
        <w:t xml:space="preserve">. I, at p. 317). It was recognized by the Quebec legislature, which applied it to certain specific situations in order to protect certain appearances of right (see, among others, arts. 331, 627, 1559, 1643, 2163 and 3075 </w:t>
      </w:r>
      <w:r w:rsidRPr="00A9717C">
        <w:rPr>
          <w:rFonts w:cs="Times New Roman"/>
          <w:i/>
          <w:lang w:val="en-CA"/>
        </w:rPr>
        <w:t>C.C.Q.</w:t>
      </w:r>
      <w:r w:rsidRPr="00A9717C">
        <w:rPr>
          <w:rFonts w:cs="Times New Roman"/>
          <w:lang w:val="en-CA"/>
        </w:rPr>
        <w:t xml:space="preserve">). But there is nothing to suggest that the legislature intended this theory to apply more generally in situations other than the ones in which the legislature decided to specifically recognize it. Moreover, no Quebec court has ever applied it in relation to acquisitive prescription. If, as the appellants submit and Jacques J. maintained, art. 2962 </w:t>
      </w:r>
      <w:r w:rsidRPr="00A9717C">
        <w:rPr>
          <w:rFonts w:cs="Times New Roman"/>
          <w:i/>
          <w:lang w:val="en-CA"/>
        </w:rPr>
        <w:t>C.C.Q.</w:t>
      </w:r>
      <w:r w:rsidRPr="00A9717C">
        <w:rPr>
          <w:rFonts w:cs="Times New Roman"/>
          <w:lang w:val="en-CA"/>
        </w:rPr>
        <w:t xml:space="preserve"> merely codified a theory that had already been recognized, then it is difficult to understand why the Minister of Justice described this article in 1991 as [</w:t>
      </w:r>
      <w:r w:rsidRPr="00A9717C">
        <w:rPr>
          <w:rFonts w:cs="Times New Roman"/>
          <w:smallCaps/>
          <w:lang w:val="en-CA"/>
        </w:rPr>
        <w:t xml:space="preserve">translation] </w:t>
      </w:r>
      <w:r w:rsidRPr="00A9717C">
        <w:rPr>
          <w:rFonts w:cs="Times New Roman"/>
          <w:lang w:val="en-CA"/>
        </w:rPr>
        <w:t xml:space="preserve">“new law” that </w:t>
      </w:r>
      <w:r w:rsidRPr="00A9717C">
        <w:rPr>
          <w:rFonts w:cs="Times New Roman"/>
          <w:smallCaps/>
          <w:lang w:val="en-CA"/>
        </w:rPr>
        <w:t>“[</w:t>
      </w:r>
      <w:r w:rsidRPr="00A9717C">
        <w:rPr>
          <w:rFonts w:cs="Times New Roman"/>
          <w:lang w:val="en-CA"/>
        </w:rPr>
        <w:t>was] consistent with the principles of the new system” (</w:t>
      </w:r>
      <w:proofErr w:type="spellStart"/>
      <w:r w:rsidRPr="00A9717C">
        <w:rPr>
          <w:rFonts w:cs="Times New Roman"/>
          <w:i/>
          <w:lang w:val="en-CA"/>
        </w:rPr>
        <w:t>Commentaires</w:t>
      </w:r>
      <w:proofErr w:type="spellEnd"/>
      <w:r w:rsidRPr="00A9717C">
        <w:rPr>
          <w:rFonts w:cs="Times New Roman"/>
          <w:i/>
          <w:lang w:val="en-CA"/>
        </w:rPr>
        <w:t xml:space="preserve"> du </w:t>
      </w:r>
      <w:proofErr w:type="spellStart"/>
      <w:r w:rsidRPr="00A9717C">
        <w:rPr>
          <w:rFonts w:cs="Times New Roman"/>
          <w:i/>
          <w:lang w:val="en-CA"/>
        </w:rPr>
        <w:t>ministre</w:t>
      </w:r>
      <w:proofErr w:type="spellEnd"/>
      <w:r w:rsidRPr="00A9717C">
        <w:rPr>
          <w:rFonts w:cs="Times New Roman"/>
          <w:lang w:val="en-CA"/>
        </w:rPr>
        <w:t xml:space="preserve">, at p. 1862). Finally, if the legislature were simply recognizing a theory that had already been adopted by the courts, it would certainly not have taken pains to limit the theory’s application to </w:t>
      </w:r>
      <w:proofErr w:type="spellStart"/>
      <w:r w:rsidRPr="00A9717C">
        <w:rPr>
          <w:rFonts w:cs="Times New Roman"/>
          <w:lang w:val="en-CA"/>
        </w:rPr>
        <w:t>immatriculated</w:t>
      </w:r>
      <w:proofErr w:type="spellEnd"/>
      <w:r w:rsidRPr="00A9717C">
        <w:rPr>
          <w:rFonts w:cs="Times New Roman"/>
          <w:lang w:val="en-CA"/>
        </w:rPr>
        <w:t xml:space="preserve"> </w:t>
      </w:r>
      <w:proofErr w:type="spellStart"/>
      <w:r w:rsidRPr="00A9717C">
        <w:rPr>
          <w:rFonts w:cs="Times New Roman"/>
          <w:lang w:val="en-CA"/>
        </w:rPr>
        <w:t>immovables</w:t>
      </w:r>
      <w:proofErr w:type="spellEnd"/>
      <w:r w:rsidRPr="00A9717C">
        <w:rPr>
          <w:rFonts w:cs="Times New Roman"/>
          <w:lang w:val="en-CA"/>
        </w:rPr>
        <w:t xml:space="preserve"> — with the exhaustive search and the carry</w:t>
      </w:r>
      <w:r w:rsidRPr="00A9717C">
        <w:rPr>
          <w:rFonts w:cs="Times New Roman"/>
          <w:lang w:val="en-CA"/>
        </w:rPr>
        <w:noBreakHyphen/>
        <w:t xml:space="preserve">over of rights </w:t>
      </w:r>
      <w:proofErr w:type="spellStart"/>
      <w:r w:rsidRPr="00A9717C">
        <w:rPr>
          <w:rFonts w:cs="Times New Roman"/>
          <w:lang w:val="en-CA"/>
        </w:rPr>
        <w:t>immatriculation</w:t>
      </w:r>
      <w:proofErr w:type="spellEnd"/>
      <w:r w:rsidRPr="00A9717C">
        <w:rPr>
          <w:rFonts w:cs="Times New Roman"/>
          <w:lang w:val="en-CA"/>
        </w:rPr>
        <w:t xml:space="preserve"> entailed at the time when the </w:t>
      </w:r>
      <w:r w:rsidRPr="00A9717C">
        <w:rPr>
          <w:rFonts w:cs="Times New Roman"/>
          <w:i/>
          <w:lang w:val="en-CA"/>
        </w:rPr>
        <w:t>C.C.Q.</w:t>
      </w:r>
      <w:r w:rsidRPr="00A9717C">
        <w:rPr>
          <w:rFonts w:cs="Times New Roman"/>
          <w:lang w:val="en-CA"/>
        </w:rPr>
        <w:t xml:space="preserve"> was enacted.</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In any event, even if the theory of apparent rights did apply in this case, it would logically have to protect all legitimate appearances of right, including those stemming from the respondent’s possession. This concept and this principle are in fact closely related: [</w:t>
      </w:r>
      <w:r w:rsidRPr="00A9717C">
        <w:rPr>
          <w:rFonts w:cs="Times New Roman"/>
          <w:smallCaps/>
          <w:lang w:val="en-CA"/>
        </w:rPr>
        <w:t xml:space="preserve">translation] </w:t>
      </w:r>
      <w:r w:rsidRPr="00A9717C">
        <w:rPr>
          <w:rFonts w:cs="Times New Roman"/>
          <w:lang w:val="en-CA"/>
        </w:rPr>
        <w:t>“Possession establishes an appearance of right in the eyes of third parties, so much so that the fact actually produces the right, as in the case of apparent mandate” (</w:t>
      </w:r>
      <w:proofErr w:type="spellStart"/>
      <w:r w:rsidRPr="00A9717C">
        <w:rPr>
          <w:rFonts w:cs="Times New Roman"/>
          <w:lang w:val="en-CA"/>
        </w:rPr>
        <w:t>Lamontagne</w:t>
      </w:r>
      <w:proofErr w:type="spellEnd"/>
      <w:r w:rsidRPr="00A9717C">
        <w:rPr>
          <w:rFonts w:cs="Times New Roman"/>
          <w:lang w:val="en-CA"/>
        </w:rPr>
        <w:t xml:space="preserve">, </w:t>
      </w:r>
      <w:proofErr w:type="spellStart"/>
      <w:r w:rsidRPr="00A9717C">
        <w:rPr>
          <w:rFonts w:cs="Times New Roman"/>
          <w:i/>
          <w:lang w:val="en-CA"/>
        </w:rPr>
        <w:t>Biens</w:t>
      </w:r>
      <w:proofErr w:type="spellEnd"/>
      <w:r w:rsidRPr="00A9717C">
        <w:rPr>
          <w:rFonts w:cs="Times New Roman"/>
          <w:i/>
          <w:lang w:val="en-CA"/>
        </w:rPr>
        <w:t xml:space="preserve"> et </w:t>
      </w:r>
      <w:proofErr w:type="spellStart"/>
      <w:r w:rsidRPr="00A9717C">
        <w:rPr>
          <w:rFonts w:cs="Times New Roman"/>
          <w:i/>
          <w:lang w:val="en-CA"/>
        </w:rPr>
        <w:t>propriété</w:t>
      </w:r>
      <w:proofErr w:type="spellEnd"/>
      <w:r w:rsidRPr="00A9717C">
        <w:rPr>
          <w:rFonts w:cs="Times New Roman"/>
          <w:lang w:val="en-CA"/>
        </w:rPr>
        <w:t xml:space="preserve">, at p. 470). There is no reason why appearances of right created artificially by the land register should prevail over the </w:t>
      </w:r>
      <w:r w:rsidRPr="00A9717C">
        <w:rPr>
          <w:rFonts w:cs="Times New Roman"/>
          <w:lang w:val="en-CA"/>
        </w:rPr>
        <w:lastRenderedPageBreak/>
        <w:t>tangible appearances of right that result from effective possession.</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Moreover, the solution I am adopting is just as consistent with the provisions of Book Five of the </w:t>
      </w:r>
      <w:r w:rsidRPr="00A9717C">
        <w:rPr>
          <w:rFonts w:cs="Times New Roman"/>
          <w:i/>
          <w:lang w:val="en-CA"/>
        </w:rPr>
        <w:t>Code</w:t>
      </w:r>
      <w:r w:rsidRPr="00A9717C">
        <w:rPr>
          <w:rFonts w:cs="Times New Roman"/>
          <w:lang w:val="en-CA"/>
        </w:rPr>
        <w:t xml:space="preserve"> on sale, and in particular with art. 1724 para. 2:</w:t>
      </w:r>
    </w:p>
    <w:p w:rsidR="00FE692E" w:rsidRPr="00A9717C" w:rsidRDefault="00FE692E" w:rsidP="00233573">
      <w:pPr>
        <w:pStyle w:val="Citation-AltC"/>
        <w:widowControl w:val="0"/>
        <w:spacing w:after="240"/>
        <w:ind w:hanging="1166"/>
        <w:contextualSpacing w:val="0"/>
        <w:rPr>
          <w:lang w:val="en-CA"/>
        </w:rPr>
      </w:pPr>
      <w:r w:rsidRPr="00A9717C">
        <w:rPr>
          <w:b/>
          <w:lang w:val="en-CA"/>
        </w:rPr>
        <w:tab/>
      </w:r>
      <w:r w:rsidRPr="00A9717C">
        <w:rPr>
          <w:b/>
          <w:lang w:val="en-CA"/>
        </w:rPr>
        <w:tab/>
        <w:t>1724.</w:t>
      </w:r>
      <w:r w:rsidRPr="00A9717C">
        <w:rPr>
          <w:lang w:val="en-CA"/>
        </w:rPr>
        <w:t xml:space="preserve"> The seller warrants the buyer against any encroachment on his part unless he has declared it at the time of the sale. </w:t>
      </w:r>
    </w:p>
    <w:p w:rsidR="00FE692E" w:rsidRPr="00A9717C" w:rsidRDefault="00FE692E" w:rsidP="00233573">
      <w:pPr>
        <w:pStyle w:val="Citation-AltC"/>
        <w:widowControl w:val="0"/>
        <w:ind w:hanging="1166"/>
        <w:contextualSpacing w:val="0"/>
        <w:rPr>
          <w:lang w:val="en-CA"/>
        </w:rPr>
      </w:pPr>
      <w:r w:rsidRPr="00A9717C">
        <w:rPr>
          <w:lang w:val="en-CA"/>
        </w:rPr>
        <w:tab/>
      </w:r>
      <w:r w:rsidRPr="00A9717C">
        <w:rPr>
          <w:lang w:val="en-CA"/>
        </w:rPr>
        <w:tab/>
      </w:r>
      <w:r w:rsidRPr="00A9717C">
        <w:rPr>
          <w:u w:val="single"/>
          <w:lang w:val="en-CA"/>
        </w:rPr>
        <w:t>The seller also warrants against any encroachment commenced with his knowledge by a third person before the sale.</w:t>
      </w:r>
      <w:r w:rsidRPr="00A9717C">
        <w:rPr>
          <w:lang w:val="en-CA"/>
        </w:rPr>
        <w:t xml:space="preserve">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This article preserves the rights of all parties. In this respect, contrary to the erroneous statement of the dissenting judge in the Court of Appeal (para. 122), the appellants are not without recourse here. It is true that the acquisitive prescription the respondent has set up against them denies them a portion of the right of ownership that the act of sale purported to transfer to them. Nevertheless, it is possible for them to claim the corresponding loss from their predecessors in title if they can prove that the latter were aware of the respondent’s encroachment before the sale and failed to disclose it to them (D.</w:t>
      </w:r>
      <w:r w:rsidRPr="00A9717C">
        <w:rPr>
          <w:rFonts w:cs="Times New Roman"/>
          <w:lang w:val="en-CA"/>
        </w:rPr>
        <w:noBreakHyphen/>
        <w:t>C. </w:t>
      </w:r>
      <w:proofErr w:type="spellStart"/>
      <w:r w:rsidRPr="00A9717C">
        <w:rPr>
          <w:rFonts w:cs="Times New Roman"/>
          <w:lang w:val="en-CA"/>
        </w:rPr>
        <w:t>Lamontagne</w:t>
      </w:r>
      <w:proofErr w:type="spellEnd"/>
      <w:r w:rsidRPr="00A9717C">
        <w:rPr>
          <w:rFonts w:cs="Times New Roman"/>
          <w:lang w:val="en-CA"/>
        </w:rPr>
        <w:t xml:space="preserve">, </w:t>
      </w:r>
      <w:r w:rsidRPr="00A9717C">
        <w:rPr>
          <w:rFonts w:cs="Times New Roman"/>
          <w:i/>
          <w:lang w:val="en-CA"/>
        </w:rPr>
        <w:t>Droit de la vente</w:t>
      </w:r>
      <w:r w:rsidRPr="00A9717C">
        <w:rPr>
          <w:rFonts w:cs="Times New Roman"/>
          <w:lang w:val="en-CA"/>
        </w:rPr>
        <w:t xml:space="preserve"> (3rd ed. 2005), at para. </w:t>
      </w:r>
      <w:r w:rsidRPr="00A9717C">
        <w:rPr>
          <w:rFonts w:cs="Times New Roman"/>
        </w:rPr>
        <w:t>185; J. </w:t>
      </w:r>
      <w:proofErr w:type="spellStart"/>
      <w:r w:rsidRPr="00A9717C">
        <w:rPr>
          <w:rFonts w:cs="Times New Roman"/>
        </w:rPr>
        <w:t>Deslauriers</w:t>
      </w:r>
      <w:proofErr w:type="spellEnd"/>
      <w:r w:rsidRPr="00A9717C">
        <w:rPr>
          <w:rFonts w:cs="Times New Roman"/>
        </w:rPr>
        <w:t xml:space="preserve">, </w:t>
      </w:r>
      <w:r w:rsidRPr="00A9717C">
        <w:rPr>
          <w:rFonts w:cs="Times New Roman"/>
          <w:i/>
        </w:rPr>
        <w:t>Vente, louage, contrat d’entreprise ou de service</w:t>
      </w:r>
      <w:r w:rsidRPr="00A9717C">
        <w:rPr>
          <w:rFonts w:cs="Times New Roman"/>
        </w:rPr>
        <w:t xml:space="preserve"> (2nd </w:t>
      </w:r>
      <w:proofErr w:type="spellStart"/>
      <w:r w:rsidRPr="00A9717C">
        <w:rPr>
          <w:rFonts w:cs="Times New Roman"/>
        </w:rPr>
        <w:t>ed</w:t>
      </w:r>
      <w:proofErr w:type="spellEnd"/>
      <w:r w:rsidRPr="00A9717C">
        <w:rPr>
          <w:rFonts w:cs="Times New Roman"/>
        </w:rPr>
        <w:t>. 2013), at para. </w:t>
      </w:r>
      <w:r w:rsidRPr="00A9717C">
        <w:rPr>
          <w:rFonts w:cs="Times New Roman"/>
          <w:lang w:val="en-CA"/>
        </w:rPr>
        <w:t xml:space="preserve">378; see also </w:t>
      </w:r>
      <w:r w:rsidRPr="00A9717C">
        <w:rPr>
          <w:rFonts w:cs="Times New Roman"/>
          <w:i/>
          <w:lang w:val="en-CA"/>
        </w:rPr>
        <w:t>Medeiros v. St</w:t>
      </w:r>
      <w:r w:rsidRPr="00A9717C">
        <w:rPr>
          <w:rFonts w:cs="Times New Roman"/>
          <w:i/>
          <w:lang w:val="en-CA"/>
        </w:rPr>
        <w:noBreakHyphen/>
        <w:t>Louis</w:t>
      </w:r>
      <w:r w:rsidR="00B054E2">
        <w:rPr>
          <w:rFonts w:cs="Times New Roman"/>
          <w:lang w:val="en-CA"/>
        </w:rPr>
        <w:t>, [2002] R.D.I. 352 (Que. </w:t>
      </w:r>
      <w:r w:rsidRPr="00A9717C">
        <w:rPr>
          <w:rFonts w:cs="Times New Roman"/>
          <w:lang w:val="en-CA"/>
        </w:rPr>
        <w:t>Sup. Ct.), at paras. 83</w:t>
      </w:r>
      <w:r w:rsidRPr="00A9717C">
        <w:rPr>
          <w:rFonts w:cs="Times New Roman"/>
          <w:lang w:val="en-CA"/>
        </w:rPr>
        <w:noBreakHyphen/>
        <w:t xml:space="preserve">92, decided under the equivalent rules of the </w:t>
      </w:r>
      <w:r w:rsidRPr="00A9717C">
        <w:rPr>
          <w:rFonts w:cs="Times New Roman"/>
          <w:i/>
          <w:lang w:val="en-CA"/>
        </w:rPr>
        <w:t>C.C.L.C.</w:t>
      </w:r>
      <w:r w:rsidRPr="00A9717C">
        <w:rPr>
          <w:rFonts w:cs="Times New Roman"/>
          <w:lang w:val="en-CA"/>
        </w:rPr>
        <w:t xml:space="preserve">, in particular art. 1508). </w:t>
      </w:r>
      <w:proofErr w:type="gramStart"/>
      <w:r w:rsidRPr="00A9717C">
        <w:rPr>
          <w:rFonts w:cs="Times New Roman"/>
          <w:lang w:val="en-CA"/>
        </w:rPr>
        <w:t>This</w:t>
      </w:r>
      <w:proofErr w:type="gramEnd"/>
      <w:r w:rsidRPr="00A9717C">
        <w:rPr>
          <w:rFonts w:cs="Times New Roman"/>
          <w:lang w:val="en-CA"/>
        </w:rPr>
        <w:t xml:space="preserve"> personal action is of course not a perfect substitute for the desired right of ownership, and whether the appellants succeed would depend on their ability to prove the essential elements of their claim. However, it is the legislature’s response to situations in which, as in the instant case, a third party’s encroachment prevails over </w:t>
      </w:r>
      <w:r w:rsidRPr="00A9717C">
        <w:rPr>
          <w:rFonts w:cs="Times New Roman"/>
          <w:lang w:val="en-CA"/>
        </w:rPr>
        <w:lastRenderedPageBreak/>
        <w:t>the right the buyer thought he or she held.</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closing, given that the respondent’s effective possession can be set up against the appellants despite the fact that their right is registered in the land register, I cannot agree with the appellants’ argument ― this one, too, adopted by the dissenting judge in the Court of Appeal ― that the respondent had only to register her judicial application in advance in order to preserve her rights should the prescribed lot eventually be transferred. Advance registration is provided for in arts. 2966 and 2968 </w:t>
      </w:r>
      <w:r w:rsidRPr="00A9717C">
        <w:rPr>
          <w:rFonts w:cs="Times New Roman"/>
          <w:i/>
          <w:lang w:val="en-CA"/>
        </w:rPr>
        <w:t>C.C.Q.</w:t>
      </w:r>
      <w:r w:rsidRPr="00A9717C">
        <w:rPr>
          <w:rFonts w:cs="Times New Roman"/>
          <w:lang w:val="en-CA"/>
        </w:rPr>
        <w:t>:</w:t>
      </w:r>
    </w:p>
    <w:p w:rsidR="00FE692E" w:rsidRPr="00A9717C" w:rsidRDefault="00FE692E" w:rsidP="00233573">
      <w:pPr>
        <w:pStyle w:val="Citation-AltC"/>
        <w:widowControl w:val="0"/>
        <w:spacing w:after="240"/>
        <w:ind w:hanging="1166"/>
        <w:contextualSpacing w:val="0"/>
        <w:rPr>
          <w:lang w:val="en-CA"/>
        </w:rPr>
      </w:pPr>
      <w:r w:rsidRPr="00A9717C">
        <w:rPr>
          <w:b/>
          <w:lang w:val="en-CA"/>
        </w:rPr>
        <w:tab/>
      </w:r>
      <w:r w:rsidRPr="00A9717C">
        <w:rPr>
          <w:b/>
          <w:lang w:val="en-CA"/>
        </w:rPr>
        <w:tab/>
        <w:t>2966.</w:t>
      </w:r>
      <w:r w:rsidRPr="00A9717C">
        <w:rPr>
          <w:lang w:val="en-CA"/>
        </w:rPr>
        <w:t xml:space="preserve"> Any judicial application concerning a real right which shall or may be published in the land register may, by means of a notice, be the subject of an advance registration. </w:t>
      </w:r>
    </w:p>
    <w:p w:rsidR="00FE692E" w:rsidRPr="00A9717C" w:rsidRDefault="00FE692E" w:rsidP="00233573">
      <w:pPr>
        <w:pStyle w:val="Citation-AltC"/>
        <w:widowControl w:val="0"/>
        <w:spacing w:after="240"/>
        <w:ind w:hanging="1166"/>
        <w:contextualSpacing w:val="0"/>
        <w:jc w:val="center"/>
        <w:rPr>
          <w:lang w:val="en-CA"/>
        </w:rPr>
      </w:pPr>
      <w:r w:rsidRPr="00A9717C">
        <w:rPr>
          <w:lang w:val="en-CA"/>
        </w:rPr>
        <w:t>. . .</w:t>
      </w:r>
    </w:p>
    <w:p w:rsidR="00FE692E" w:rsidRDefault="00FE692E" w:rsidP="00233573">
      <w:pPr>
        <w:pStyle w:val="Citation-AltC"/>
        <w:widowControl w:val="0"/>
        <w:spacing w:after="240"/>
        <w:ind w:hanging="1166"/>
        <w:contextualSpacing w:val="0"/>
        <w:rPr>
          <w:lang w:val="en-CA"/>
        </w:rPr>
      </w:pPr>
      <w:r w:rsidRPr="00A9717C">
        <w:rPr>
          <w:b/>
          <w:lang w:val="en-CA"/>
        </w:rPr>
        <w:tab/>
      </w:r>
      <w:r w:rsidRPr="00A9717C">
        <w:rPr>
          <w:b/>
          <w:lang w:val="en-CA"/>
        </w:rPr>
        <w:tab/>
        <w:t>2968.</w:t>
      </w:r>
      <w:r w:rsidRPr="00A9717C">
        <w:rPr>
          <w:lang w:val="en-CA"/>
        </w:rPr>
        <w:t xml:space="preserve"> Rights which are the subject of a judgment or transaction terminating an action are deemed published from the time of their advance registration, provided they are published within 30 days after the judgment becomes final or the transaction takes place. </w:t>
      </w:r>
    </w:p>
    <w:p w:rsidR="00B054E2" w:rsidRPr="00A9717C" w:rsidRDefault="00B054E2" w:rsidP="00233573">
      <w:pPr>
        <w:pStyle w:val="Citation-AltC"/>
        <w:widowControl w:val="0"/>
        <w:ind w:hanging="1166"/>
        <w:contextualSpacing w:val="0"/>
        <w:jc w:val="center"/>
        <w:rPr>
          <w:lang w:val="en-CA"/>
        </w:rPr>
      </w:pPr>
      <w:r>
        <w:rPr>
          <w:lang w:val="en-CA"/>
        </w:rPr>
        <w:t>. .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By means of presumptions of publication and knowledge, advance registration is intended to safeguard rights that would be jeopardized if they remained unknown (</w:t>
      </w:r>
      <w:proofErr w:type="spellStart"/>
      <w:r w:rsidRPr="00A9717C">
        <w:rPr>
          <w:rFonts w:cs="Times New Roman"/>
          <w:i/>
          <w:lang w:val="en-CA"/>
        </w:rPr>
        <w:t>Commentaires</w:t>
      </w:r>
      <w:proofErr w:type="spellEnd"/>
      <w:r w:rsidRPr="00A9717C">
        <w:rPr>
          <w:rFonts w:cs="Times New Roman"/>
          <w:i/>
          <w:lang w:val="en-CA"/>
        </w:rPr>
        <w:t xml:space="preserve"> du </w:t>
      </w:r>
      <w:proofErr w:type="spellStart"/>
      <w:r w:rsidRPr="00A9717C">
        <w:rPr>
          <w:rFonts w:cs="Times New Roman"/>
          <w:i/>
          <w:lang w:val="en-CA"/>
        </w:rPr>
        <w:t>ministre</w:t>
      </w:r>
      <w:proofErr w:type="spellEnd"/>
      <w:r w:rsidRPr="00A9717C">
        <w:rPr>
          <w:rFonts w:cs="Times New Roman"/>
          <w:lang w:val="en-CA"/>
        </w:rPr>
        <w:t>, at p. 1865; F. </w:t>
      </w:r>
      <w:proofErr w:type="spellStart"/>
      <w:r w:rsidRPr="00A9717C">
        <w:rPr>
          <w:rFonts w:cs="Times New Roman"/>
          <w:lang w:val="en-CA"/>
        </w:rPr>
        <w:t>Brochu</w:t>
      </w:r>
      <w:proofErr w:type="spellEnd"/>
      <w:r w:rsidRPr="00A9717C">
        <w:rPr>
          <w:rFonts w:cs="Times New Roman"/>
          <w:lang w:val="en-CA"/>
        </w:rPr>
        <w:t xml:space="preserve">, “Le </w:t>
      </w:r>
      <w:proofErr w:type="spellStart"/>
      <w:r w:rsidRPr="00A9717C">
        <w:rPr>
          <w:rFonts w:cs="Times New Roman"/>
          <w:lang w:val="en-CA"/>
        </w:rPr>
        <w:t>mécanisme</w:t>
      </w:r>
      <w:proofErr w:type="spellEnd"/>
      <w:r w:rsidRPr="00A9717C">
        <w:rPr>
          <w:rFonts w:cs="Times New Roman"/>
          <w:lang w:val="en-CA"/>
        </w:rPr>
        <w:t xml:space="preserve"> de </w:t>
      </w:r>
      <w:proofErr w:type="spellStart"/>
      <w:r w:rsidRPr="00A9717C">
        <w:rPr>
          <w:rFonts w:cs="Times New Roman"/>
          <w:lang w:val="en-CA"/>
        </w:rPr>
        <w:t>fonctionnement</w:t>
      </w:r>
      <w:proofErr w:type="spellEnd"/>
      <w:r w:rsidRPr="00A9717C">
        <w:rPr>
          <w:rFonts w:cs="Times New Roman"/>
          <w:lang w:val="en-CA"/>
        </w:rPr>
        <w:t xml:space="preserve"> de la </w:t>
      </w:r>
      <w:proofErr w:type="spellStart"/>
      <w:r w:rsidRPr="00A9717C">
        <w:rPr>
          <w:rFonts w:cs="Times New Roman"/>
          <w:lang w:val="en-CA"/>
        </w:rPr>
        <w:t>publicité</w:t>
      </w:r>
      <w:proofErr w:type="spellEnd"/>
      <w:r w:rsidRPr="00A9717C">
        <w:rPr>
          <w:rFonts w:cs="Times New Roman"/>
          <w:lang w:val="en-CA"/>
        </w:rPr>
        <w:t xml:space="preserve"> des droits </w:t>
      </w:r>
      <w:proofErr w:type="spellStart"/>
      <w:r w:rsidRPr="00A9717C">
        <w:rPr>
          <w:rFonts w:cs="Times New Roman"/>
          <w:lang w:val="en-CA"/>
        </w:rPr>
        <w:t>en</w:t>
      </w:r>
      <w:proofErr w:type="spellEnd"/>
      <w:r w:rsidRPr="00A9717C">
        <w:rPr>
          <w:rFonts w:cs="Times New Roman"/>
          <w:lang w:val="en-CA"/>
        </w:rPr>
        <w:t xml:space="preserve"> </w:t>
      </w:r>
      <w:proofErr w:type="spellStart"/>
      <w:r w:rsidRPr="00A9717C">
        <w:rPr>
          <w:rFonts w:cs="Times New Roman"/>
          <w:lang w:val="en-CA"/>
        </w:rPr>
        <w:t>vertu</w:t>
      </w:r>
      <w:proofErr w:type="spellEnd"/>
      <w:r w:rsidRPr="00A9717C">
        <w:rPr>
          <w:rFonts w:cs="Times New Roman"/>
          <w:lang w:val="en-CA"/>
        </w:rPr>
        <w:t xml:space="preserve"> du nouveau </w:t>
      </w:r>
      <w:r w:rsidRPr="00A9717C">
        <w:rPr>
          <w:rFonts w:cs="Times New Roman"/>
          <w:i/>
          <w:lang w:val="en-CA"/>
        </w:rPr>
        <w:t>Code civil du Québec</w:t>
      </w:r>
      <w:r w:rsidRPr="00A9717C">
        <w:rPr>
          <w:rFonts w:cs="Times New Roman"/>
          <w:lang w:val="en-CA"/>
        </w:rPr>
        <w:t xml:space="preserve">, et le </w:t>
      </w:r>
      <w:proofErr w:type="spellStart"/>
      <w:r w:rsidRPr="00A9717C">
        <w:rPr>
          <w:rFonts w:cs="Times New Roman"/>
          <w:lang w:val="en-CA"/>
        </w:rPr>
        <w:t>rôle</w:t>
      </w:r>
      <w:proofErr w:type="spellEnd"/>
      <w:r w:rsidRPr="00A9717C">
        <w:rPr>
          <w:rFonts w:cs="Times New Roman"/>
          <w:lang w:val="en-CA"/>
        </w:rPr>
        <w:t xml:space="preserve"> des </w:t>
      </w:r>
      <w:proofErr w:type="spellStart"/>
      <w:r w:rsidRPr="00A9717C">
        <w:rPr>
          <w:rFonts w:cs="Times New Roman"/>
          <w:lang w:val="en-CA"/>
        </w:rPr>
        <w:t>principaux</w:t>
      </w:r>
      <w:proofErr w:type="spellEnd"/>
      <w:r w:rsidRPr="00A9717C">
        <w:rPr>
          <w:rFonts w:cs="Times New Roman"/>
          <w:lang w:val="en-CA"/>
        </w:rPr>
        <w:t xml:space="preserve"> </w:t>
      </w:r>
      <w:proofErr w:type="spellStart"/>
      <w:r w:rsidRPr="00A9717C">
        <w:rPr>
          <w:rFonts w:cs="Times New Roman"/>
          <w:lang w:val="en-CA"/>
        </w:rPr>
        <w:t>intervenants</w:t>
      </w:r>
      <w:proofErr w:type="spellEnd"/>
      <w:r w:rsidRPr="00A9717C">
        <w:rPr>
          <w:rFonts w:cs="Times New Roman"/>
          <w:lang w:val="en-CA"/>
        </w:rPr>
        <w:t xml:space="preserve">” (1993), 34 </w:t>
      </w:r>
      <w:r w:rsidRPr="00A9717C">
        <w:rPr>
          <w:rFonts w:cs="Times New Roman"/>
          <w:i/>
          <w:lang w:val="en-CA"/>
        </w:rPr>
        <w:t>C. de D.</w:t>
      </w:r>
      <w:r w:rsidRPr="00A9717C">
        <w:rPr>
          <w:rFonts w:cs="Times New Roman"/>
          <w:lang w:val="en-CA"/>
        </w:rPr>
        <w:t xml:space="preserve"> 949, at p. 1022). However, advance registration is of no assistance in the case of acquisitive prescription. The </w:t>
      </w:r>
      <w:r w:rsidRPr="00A9717C">
        <w:rPr>
          <w:rFonts w:cs="Times New Roman"/>
          <w:lang w:val="en-CA"/>
        </w:rPr>
        <w:lastRenderedPageBreak/>
        <w:t>effective possession on which this form of prescription is based is already public and, as I mentioned above, can already be set up against third parties. Since acquisitive prescription has its effects regardless of any rights registered in the land register, there is no need for a possessor to register a judicial application in advance in order to protect his or her rights.</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sum, what the appellants would like is that the publication of their right guarantee its validity. I find that the land register has no such probative value and is no guarantee of the titles registered in it. Ultimately, as far as acquisitive prescription in Quebec civil law is concerned, the role of land registration under the current </w:t>
      </w:r>
      <w:r w:rsidRPr="00A9717C">
        <w:rPr>
          <w:rFonts w:cs="Times New Roman"/>
          <w:i/>
          <w:lang w:val="en-CA"/>
        </w:rPr>
        <w:t>Code</w:t>
      </w:r>
      <w:r w:rsidRPr="00A9717C">
        <w:rPr>
          <w:rFonts w:cs="Times New Roman"/>
          <w:lang w:val="en-CA"/>
        </w:rPr>
        <w:t xml:space="preserve"> is as it was under the </w:t>
      </w:r>
      <w:r w:rsidRPr="00A9717C">
        <w:rPr>
          <w:rFonts w:cs="Times New Roman"/>
          <w:i/>
          <w:lang w:val="en-CA"/>
        </w:rPr>
        <w:t xml:space="preserve">C.C.L.C. </w:t>
      </w:r>
      <w:r w:rsidRPr="00A9717C">
        <w:rPr>
          <w:rFonts w:cs="Times New Roman"/>
          <w:lang w:val="en-CA"/>
        </w:rPr>
        <w:t xml:space="preserve">and no more. In light of this limited role, the fact that rights acquired by prescription have not been published does not on its own preclude their being set up against third parties. </w:t>
      </w:r>
    </w:p>
    <w:p w:rsidR="00FE692E" w:rsidRPr="00A9717C" w:rsidRDefault="00FE692E" w:rsidP="00233573">
      <w:pPr>
        <w:pStyle w:val="Title3LevelTitre3Niveau"/>
        <w:widowControl w:val="0"/>
        <w:rPr>
          <w:rFonts w:cs="Times New Roman"/>
        </w:rPr>
      </w:pPr>
      <w:r w:rsidRPr="00A9717C">
        <w:rPr>
          <w:rFonts w:cs="Times New Roman"/>
        </w:rPr>
        <w:t xml:space="preserve">Nature of the Judgment </w:t>
      </w:r>
      <w:proofErr w:type="gramStart"/>
      <w:r w:rsidRPr="00A9717C">
        <w:rPr>
          <w:rFonts w:cs="Times New Roman"/>
        </w:rPr>
        <w:t>Under</w:t>
      </w:r>
      <w:proofErr w:type="gramEnd"/>
      <w:r w:rsidRPr="00A9717C">
        <w:rPr>
          <w:rFonts w:cs="Times New Roman"/>
        </w:rPr>
        <w:t xml:space="preserve"> Art. 2918 </w:t>
      </w:r>
      <w:r w:rsidRPr="00A9717C">
        <w:rPr>
          <w:rFonts w:cs="Times New Roman"/>
          <w:i/>
        </w:rPr>
        <w:t>C.C.Q.</w:t>
      </w:r>
      <w:r w:rsidRPr="00A9717C">
        <w:rPr>
          <w:rFonts w:cs="Times New Roman"/>
        </w:rPr>
        <w:t xml:space="preserve">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addition to their arguments to the effect that the acquisitive prescription claimed by the respondent cannot be set up against them, the appellants submit that the respondent quite simply has no right to assert against them, because she had neglected to obtain a judgment and publish it before they registered their right in the land register. They maintain that her failure to do so had rendered her right precarious on the basis that obtaining such a judgment is essential to the acquisition of immovable real rights by prescription. This argument, which is central to the appellants’ position, is based on the current wording of art. 2918 </w:t>
      </w:r>
      <w:r w:rsidRPr="00A9717C">
        <w:rPr>
          <w:rFonts w:cs="Times New Roman"/>
          <w:i/>
          <w:lang w:val="en-CA"/>
        </w:rPr>
        <w:t>C.C.Q.</w:t>
      </w:r>
      <w:r w:rsidRPr="00A9717C">
        <w:rPr>
          <w:rFonts w:cs="Times New Roman"/>
          <w:lang w:val="en-CA"/>
        </w:rPr>
        <w:t>:</w:t>
      </w:r>
    </w:p>
    <w:p w:rsidR="00FE692E" w:rsidRPr="00A9717C" w:rsidRDefault="00FE692E" w:rsidP="00233573">
      <w:pPr>
        <w:pStyle w:val="Citation-AltC"/>
        <w:widowControl w:val="0"/>
        <w:ind w:hanging="1166"/>
        <w:contextualSpacing w:val="0"/>
        <w:rPr>
          <w:lang w:val="en-CA"/>
        </w:rPr>
      </w:pPr>
      <w:r w:rsidRPr="00A9717C">
        <w:rPr>
          <w:b/>
          <w:lang w:val="en-CA"/>
        </w:rPr>
        <w:lastRenderedPageBreak/>
        <w:tab/>
      </w:r>
      <w:r w:rsidRPr="00A9717C">
        <w:rPr>
          <w:b/>
          <w:lang w:val="en-CA"/>
        </w:rPr>
        <w:tab/>
        <w:t>2918.</w:t>
      </w:r>
      <w:r w:rsidRPr="00A9717C">
        <w:rPr>
          <w:lang w:val="en-CA"/>
        </w:rPr>
        <w:t xml:space="preserve"> A person who has for 10 years possessed an immovable as its owner may </w:t>
      </w:r>
      <w:r w:rsidRPr="00A9717C">
        <w:rPr>
          <w:u w:val="single"/>
          <w:lang w:val="en-CA"/>
        </w:rPr>
        <w:t>acquire</w:t>
      </w:r>
      <w:r w:rsidRPr="00A9717C">
        <w:rPr>
          <w:lang w:val="en-CA"/>
        </w:rPr>
        <w:t xml:space="preserve"> the ownership of it only upon a judicial application.</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their opinion, art. 805 </w:t>
      </w:r>
      <w:r w:rsidRPr="00A9717C">
        <w:rPr>
          <w:rFonts w:cs="Times New Roman"/>
          <w:i/>
          <w:lang w:val="en-CA"/>
        </w:rPr>
        <w:t>C.C.P. </w:t>
      </w:r>
      <w:r w:rsidRPr="00A9717C">
        <w:rPr>
          <w:rFonts w:cs="Times New Roman"/>
          <w:lang w:val="en-CA"/>
        </w:rPr>
        <w:t xml:space="preserve">echoes this by also providing that a judgment must be obtained in order to acquire a right of ownership in an immovable by prescription: </w:t>
      </w:r>
    </w:p>
    <w:p w:rsidR="00FE692E" w:rsidRPr="00A9717C" w:rsidRDefault="00FE692E" w:rsidP="00233573">
      <w:pPr>
        <w:pStyle w:val="Citation-AltC"/>
        <w:widowControl w:val="0"/>
        <w:ind w:hanging="1166"/>
        <w:contextualSpacing w:val="0"/>
        <w:rPr>
          <w:lang w:val="en-CA"/>
        </w:rPr>
      </w:pPr>
      <w:r w:rsidRPr="00A9717C">
        <w:rPr>
          <w:b/>
          <w:lang w:val="en-CA"/>
        </w:rPr>
        <w:tab/>
      </w:r>
      <w:r w:rsidRPr="00A9717C">
        <w:rPr>
          <w:b/>
          <w:lang w:val="en-CA"/>
        </w:rPr>
        <w:tab/>
        <w:t>805.</w:t>
      </w:r>
      <w:r w:rsidRPr="00A9717C">
        <w:rPr>
          <w:lang w:val="en-CA"/>
        </w:rPr>
        <w:t xml:space="preserve"> A person who, in accordance with the rules of the Book on Prescription of the Civil Code, has possessed an immovable as owner may </w:t>
      </w:r>
      <w:r w:rsidRPr="00A9717C">
        <w:rPr>
          <w:u w:val="single"/>
          <w:lang w:val="en-CA"/>
        </w:rPr>
        <w:t>acquire</w:t>
      </w:r>
      <w:r w:rsidRPr="00A9717C">
        <w:rPr>
          <w:lang w:val="en-CA"/>
        </w:rPr>
        <w:t xml:space="preserve"> the ownership of that immovable by applying to the court of the district in which it is situated. </w:t>
      </w:r>
    </w:p>
    <w:p w:rsidR="00FE692E" w:rsidRPr="00A9717C" w:rsidRDefault="00FE692E" w:rsidP="00233573">
      <w:pPr>
        <w:pStyle w:val="ParaNoNdepar-AltN"/>
        <w:widowControl w:val="0"/>
        <w:numPr>
          <w:ilvl w:val="0"/>
          <w:numId w:val="1"/>
        </w:numPr>
        <w:tabs>
          <w:tab w:val="clear" w:pos="1242"/>
          <w:tab w:val="num" w:pos="1152"/>
        </w:tabs>
        <w:ind w:left="0"/>
        <w:rPr>
          <w:rFonts w:cs="Times New Roman"/>
        </w:rPr>
      </w:pPr>
      <w:r w:rsidRPr="00A9717C">
        <w:rPr>
          <w:rFonts w:cs="Times New Roman"/>
          <w:lang w:val="en-CA"/>
        </w:rPr>
        <w:t xml:space="preserve">Under the </w:t>
      </w:r>
      <w:r w:rsidRPr="00A9717C">
        <w:rPr>
          <w:rFonts w:cs="Times New Roman"/>
          <w:i/>
          <w:lang w:val="en-CA"/>
        </w:rPr>
        <w:t>C.C.L.C.</w:t>
      </w:r>
      <w:r w:rsidRPr="00A9717C">
        <w:rPr>
          <w:rFonts w:cs="Times New Roman"/>
          <w:lang w:val="en-CA"/>
        </w:rPr>
        <w:t xml:space="preserve">, possessors were in practice required to obtain a judgment in order to confirm their acquisitive prescription. The need to take legal action to have acquisitive prescription confirmed is thus not entirely new in the </w:t>
      </w:r>
      <w:r w:rsidRPr="00A9717C">
        <w:rPr>
          <w:rFonts w:cs="Times New Roman"/>
          <w:i/>
          <w:lang w:val="en-CA"/>
        </w:rPr>
        <w:t>C.C.Q.</w:t>
      </w:r>
      <w:r w:rsidRPr="00A9717C">
        <w:rPr>
          <w:rFonts w:cs="Times New Roman"/>
          <w:lang w:val="en-CA"/>
        </w:rPr>
        <w:t xml:space="preserve"> As the appellants acknowledge, such a judgment obtained under the </w:t>
      </w:r>
      <w:r w:rsidRPr="00A9717C">
        <w:rPr>
          <w:rFonts w:cs="Times New Roman"/>
          <w:i/>
          <w:lang w:val="en-CA"/>
        </w:rPr>
        <w:t>C.C.L.C.</w:t>
      </w:r>
      <w:r w:rsidRPr="00A9717C">
        <w:rPr>
          <w:rFonts w:cs="Times New Roman"/>
          <w:lang w:val="en-CA"/>
        </w:rPr>
        <w:t xml:space="preserve"> was merely declarative in nature, however, given that the right itself was acquired upon the expiry of the prescription period (arts. 2183 para. 2 and 2183a </w:t>
      </w:r>
      <w:r w:rsidRPr="00A9717C">
        <w:rPr>
          <w:rFonts w:cs="Times New Roman"/>
          <w:i/>
          <w:lang w:val="en-CA"/>
        </w:rPr>
        <w:t>C.C.L.C.</w:t>
      </w:r>
      <w:r w:rsidRPr="00A9717C">
        <w:rPr>
          <w:rFonts w:cs="Times New Roman"/>
          <w:lang w:val="en-CA"/>
        </w:rPr>
        <w:t xml:space="preserve">; see also </w:t>
      </w:r>
      <w:r w:rsidRPr="00A9717C">
        <w:rPr>
          <w:rFonts w:cs="Times New Roman"/>
          <w:i/>
          <w:lang w:val="en-CA"/>
        </w:rPr>
        <w:t>Code of Civil Procedure</w:t>
      </w:r>
      <w:r w:rsidRPr="00A9717C">
        <w:rPr>
          <w:rFonts w:cs="Times New Roman"/>
          <w:lang w:val="en-CA"/>
        </w:rPr>
        <w:t xml:space="preserve">, S.Q. 1965, c. 80, art. 806; </w:t>
      </w:r>
      <w:r w:rsidRPr="00A9717C">
        <w:rPr>
          <w:rFonts w:cs="Times New Roman"/>
          <w:bCs/>
          <w:i/>
          <w:lang w:val="en-CA"/>
        </w:rPr>
        <w:t>An Act respecting the implementation of the reform of the Civil Code</w:t>
      </w:r>
      <w:r w:rsidRPr="00A9717C">
        <w:rPr>
          <w:rFonts w:cs="Times New Roman"/>
          <w:lang w:val="en-CA"/>
        </w:rPr>
        <w:t>, s. 143 para. </w:t>
      </w:r>
      <w:r w:rsidRPr="00A9717C">
        <w:rPr>
          <w:rFonts w:cs="Times New Roman"/>
        </w:rPr>
        <w:t xml:space="preserve">2; </w:t>
      </w:r>
      <w:r w:rsidRPr="00A9717C">
        <w:rPr>
          <w:rFonts w:cs="Times New Roman"/>
          <w:i/>
        </w:rPr>
        <w:t>Dupont v. Saint</w:t>
      </w:r>
      <w:r w:rsidRPr="00A9717C">
        <w:rPr>
          <w:rFonts w:cs="Times New Roman"/>
          <w:i/>
        </w:rPr>
        <w:noBreakHyphen/>
        <w:t>Arnaud</w:t>
      </w:r>
      <w:r w:rsidRPr="00A9717C">
        <w:rPr>
          <w:rFonts w:cs="Times New Roman"/>
        </w:rPr>
        <w:t>, [1992] R.D.J. 88 (Que. C.A.), at p. 91; Martineau, at p. 233; Brochu, “Nouvelle posologie”, at pp. 753</w:t>
      </w:r>
      <w:r w:rsidRPr="00A9717C">
        <w:rPr>
          <w:rFonts w:cs="Times New Roman"/>
        </w:rPr>
        <w:noBreakHyphen/>
        <w:t>54).</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bookmarkStart w:id="1" w:name="_Ref470100472"/>
      <w:r w:rsidRPr="00A9717C">
        <w:rPr>
          <w:rFonts w:cs="Times New Roman"/>
        </w:rPr>
        <w:t xml:space="preserve">The </w:t>
      </w:r>
      <w:proofErr w:type="spellStart"/>
      <w:r w:rsidRPr="001E63A0">
        <w:rPr>
          <w:rFonts w:cs="Times New Roman"/>
        </w:rPr>
        <w:t>commentators</w:t>
      </w:r>
      <w:proofErr w:type="spellEnd"/>
      <w:r w:rsidRPr="00A9717C">
        <w:rPr>
          <w:rFonts w:cs="Times New Roman"/>
        </w:rPr>
        <w:t xml:space="preserve"> are </w:t>
      </w:r>
      <w:proofErr w:type="spellStart"/>
      <w:r w:rsidRPr="00A9717C">
        <w:rPr>
          <w:rFonts w:cs="Times New Roman"/>
        </w:rPr>
        <w:t>divided</w:t>
      </w:r>
      <w:proofErr w:type="spellEnd"/>
      <w:r w:rsidRPr="00A9717C">
        <w:rPr>
          <w:rFonts w:cs="Times New Roman"/>
        </w:rPr>
        <w:t xml:space="preserve"> over </w:t>
      </w:r>
      <w:proofErr w:type="spellStart"/>
      <w:r w:rsidRPr="00A9717C">
        <w:rPr>
          <w:rFonts w:cs="Times New Roman"/>
        </w:rPr>
        <w:t>whether</w:t>
      </w:r>
      <w:proofErr w:type="spellEnd"/>
      <w:r w:rsidRPr="00A9717C">
        <w:rPr>
          <w:rFonts w:cs="Times New Roman"/>
        </w:rPr>
        <w:t xml:space="preserve"> </w:t>
      </w:r>
      <w:proofErr w:type="spellStart"/>
      <w:r w:rsidRPr="00A9717C">
        <w:rPr>
          <w:rFonts w:cs="Times New Roman"/>
        </w:rPr>
        <w:t>this</w:t>
      </w:r>
      <w:proofErr w:type="spellEnd"/>
      <w:r w:rsidRPr="00A9717C">
        <w:rPr>
          <w:rFonts w:cs="Times New Roman"/>
        </w:rPr>
        <w:t xml:space="preserve"> </w:t>
      </w:r>
      <w:proofErr w:type="spellStart"/>
      <w:r w:rsidRPr="00A9717C">
        <w:rPr>
          <w:rFonts w:cs="Times New Roman"/>
        </w:rPr>
        <w:t>declarative</w:t>
      </w:r>
      <w:proofErr w:type="spellEnd"/>
      <w:r w:rsidRPr="00A9717C">
        <w:rPr>
          <w:rFonts w:cs="Times New Roman"/>
        </w:rPr>
        <w:t xml:space="preserve"> nature </w:t>
      </w:r>
      <w:proofErr w:type="spellStart"/>
      <w:r w:rsidRPr="00A9717C">
        <w:rPr>
          <w:rFonts w:cs="Times New Roman"/>
        </w:rPr>
        <w:t>survived</w:t>
      </w:r>
      <w:proofErr w:type="spellEnd"/>
      <w:r w:rsidRPr="00A9717C">
        <w:rPr>
          <w:rFonts w:cs="Times New Roman"/>
        </w:rPr>
        <w:t xml:space="preserve"> the </w:t>
      </w:r>
      <w:proofErr w:type="spellStart"/>
      <w:r w:rsidRPr="00A9717C">
        <w:rPr>
          <w:rFonts w:cs="Times New Roman"/>
        </w:rPr>
        <w:t>enactment</w:t>
      </w:r>
      <w:proofErr w:type="spellEnd"/>
      <w:r w:rsidRPr="00A9717C">
        <w:rPr>
          <w:rFonts w:cs="Times New Roman"/>
        </w:rPr>
        <w:t xml:space="preserve"> of art. 2918 </w:t>
      </w:r>
      <w:r w:rsidRPr="00A9717C">
        <w:rPr>
          <w:rFonts w:cs="Times New Roman"/>
          <w:i/>
        </w:rPr>
        <w:t>C.C.Q.</w:t>
      </w:r>
      <w:r w:rsidRPr="00A9717C">
        <w:rPr>
          <w:rFonts w:cs="Times New Roman"/>
        </w:rPr>
        <w:t xml:space="preserve"> </w:t>
      </w:r>
      <w:proofErr w:type="spellStart"/>
      <w:r w:rsidRPr="00A9717C">
        <w:rPr>
          <w:rFonts w:cs="Times New Roman"/>
        </w:rPr>
        <w:t>Some</w:t>
      </w:r>
      <w:proofErr w:type="spellEnd"/>
      <w:r w:rsidRPr="00A9717C">
        <w:rPr>
          <w:rFonts w:cs="Times New Roman"/>
        </w:rPr>
        <w:t xml:space="preserve"> </w:t>
      </w:r>
      <w:proofErr w:type="spellStart"/>
      <w:r w:rsidRPr="00A9717C">
        <w:rPr>
          <w:rFonts w:cs="Times New Roman"/>
        </w:rPr>
        <w:t>authors</w:t>
      </w:r>
      <w:proofErr w:type="spellEnd"/>
      <w:r w:rsidRPr="00A9717C">
        <w:rPr>
          <w:rFonts w:cs="Times New Roman"/>
        </w:rPr>
        <w:t xml:space="preserve"> argue </w:t>
      </w:r>
      <w:proofErr w:type="spellStart"/>
      <w:r w:rsidRPr="00A9717C">
        <w:rPr>
          <w:rFonts w:cs="Times New Roman"/>
        </w:rPr>
        <w:t>that</w:t>
      </w:r>
      <w:proofErr w:type="spellEnd"/>
      <w:r w:rsidRPr="00A9717C">
        <w:rPr>
          <w:rFonts w:cs="Times New Roman"/>
        </w:rPr>
        <w:t xml:space="preserve"> </w:t>
      </w:r>
      <w:proofErr w:type="spellStart"/>
      <w:r w:rsidRPr="00A9717C">
        <w:rPr>
          <w:rFonts w:cs="Times New Roman"/>
        </w:rPr>
        <w:t>it</w:t>
      </w:r>
      <w:proofErr w:type="spellEnd"/>
      <w:r w:rsidRPr="00A9717C">
        <w:rPr>
          <w:rFonts w:cs="Times New Roman"/>
        </w:rPr>
        <w:t xml:space="preserve"> has (</w:t>
      </w:r>
      <w:proofErr w:type="spellStart"/>
      <w:r w:rsidRPr="00A9717C">
        <w:rPr>
          <w:rFonts w:cs="Times New Roman"/>
        </w:rPr>
        <w:t>Lamontagne</w:t>
      </w:r>
      <w:proofErr w:type="spellEnd"/>
      <w:r w:rsidRPr="00A9717C">
        <w:rPr>
          <w:rFonts w:cs="Times New Roman"/>
        </w:rPr>
        <w:t xml:space="preserve">, </w:t>
      </w:r>
      <w:r w:rsidRPr="00A9717C">
        <w:rPr>
          <w:rFonts w:cs="Times New Roman"/>
          <w:i/>
        </w:rPr>
        <w:t>Biens et propriété</w:t>
      </w:r>
      <w:r w:rsidRPr="00A9717C">
        <w:rPr>
          <w:rFonts w:cs="Times New Roman"/>
        </w:rPr>
        <w:t>, at p. 490; P. </w:t>
      </w:r>
      <w:proofErr w:type="spellStart"/>
      <w:r w:rsidRPr="00A9717C">
        <w:rPr>
          <w:rFonts w:cs="Times New Roman"/>
        </w:rPr>
        <w:t>Pratte</w:t>
      </w:r>
      <w:proofErr w:type="spellEnd"/>
      <w:r w:rsidRPr="00A9717C">
        <w:rPr>
          <w:rFonts w:cs="Times New Roman"/>
        </w:rPr>
        <w:t xml:space="preserve">, “Chronique ― Le jugement en </w:t>
      </w:r>
      <w:r w:rsidRPr="00A9717C">
        <w:rPr>
          <w:rFonts w:cs="Times New Roman"/>
        </w:rPr>
        <w:lastRenderedPageBreak/>
        <w:t xml:space="preserve">prescription acquisitive immobilière: déclaratif ou attributif?”, </w:t>
      </w:r>
      <w:r w:rsidRPr="00A9717C">
        <w:rPr>
          <w:rFonts w:cs="Times New Roman"/>
          <w:i/>
        </w:rPr>
        <w:t>Repères</w:t>
      </w:r>
      <w:r w:rsidRPr="00A9717C">
        <w:rPr>
          <w:rFonts w:cs="Times New Roman"/>
        </w:rPr>
        <w:t xml:space="preserve">, </w:t>
      </w:r>
      <w:proofErr w:type="spellStart"/>
      <w:r w:rsidRPr="00A9717C">
        <w:rPr>
          <w:rFonts w:cs="Times New Roman"/>
        </w:rPr>
        <w:t>October</w:t>
      </w:r>
      <w:proofErr w:type="spellEnd"/>
      <w:r w:rsidRPr="00A9717C">
        <w:rPr>
          <w:rFonts w:cs="Times New Roman"/>
        </w:rPr>
        <w:t xml:space="preserve"> 2012 (</w:t>
      </w:r>
      <w:proofErr w:type="spellStart"/>
      <w:r w:rsidR="008F2359">
        <w:rPr>
          <w:rFonts w:cs="Times New Roman"/>
        </w:rPr>
        <w:t>available</w:t>
      </w:r>
      <w:proofErr w:type="spellEnd"/>
      <w:r w:rsidR="008F2359">
        <w:rPr>
          <w:rFonts w:cs="Times New Roman"/>
        </w:rPr>
        <w:t xml:space="preserve"> online in La r</w:t>
      </w:r>
      <w:r w:rsidRPr="00A9717C">
        <w:rPr>
          <w:rFonts w:cs="Times New Roman"/>
        </w:rPr>
        <w:t>éférence); and “La demande judiciaire”, at pp. 550</w:t>
      </w:r>
      <w:r w:rsidRPr="00A9717C">
        <w:rPr>
          <w:rFonts w:cs="Times New Roman"/>
        </w:rPr>
        <w:noBreakHyphen/>
        <w:t xml:space="preserve">51; </w:t>
      </w:r>
      <w:proofErr w:type="spellStart"/>
      <w:r w:rsidRPr="00A9717C">
        <w:rPr>
          <w:rFonts w:cs="Times New Roman"/>
        </w:rPr>
        <w:t>Vincelette</w:t>
      </w:r>
      <w:proofErr w:type="spellEnd"/>
      <w:r w:rsidRPr="00A9717C">
        <w:rPr>
          <w:rFonts w:cs="Times New Roman"/>
        </w:rPr>
        <w:t>, at para. </w:t>
      </w:r>
      <w:r w:rsidRPr="00A9717C">
        <w:rPr>
          <w:rFonts w:cs="Times New Roman"/>
          <w:lang w:val="en-CA"/>
        </w:rPr>
        <w:t xml:space="preserve">515; </w:t>
      </w:r>
      <w:proofErr w:type="spellStart"/>
      <w:r w:rsidRPr="00A9717C">
        <w:rPr>
          <w:rFonts w:cs="Times New Roman"/>
          <w:lang w:val="en-CA"/>
        </w:rPr>
        <w:t>Gidrol</w:t>
      </w:r>
      <w:proofErr w:type="spellEnd"/>
      <w:r w:rsidRPr="00A9717C">
        <w:rPr>
          <w:rFonts w:cs="Times New Roman"/>
          <w:lang w:val="en-CA"/>
        </w:rPr>
        <w:noBreakHyphen/>
        <w:t>Mistral, at pp. 331</w:t>
      </w:r>
      <w:r w:rsidRPr="00A9717C">
        <w:rPr>
          <w:rFonts w:cs="Times New Roman"/>
          <w:lang w:val="en-CA"/>
        </w:rPr>
        <w:noBreakHyphen/>
        <w:t xml:space="preserve">33). But others maintain that art. 2918 </w:t>
      </w:r>
      <w:r w:rsidRPr="00A9717C">
        <w:rPr>
          <w:rFonts w:cs="Times New Roman"/>
          <w:i/>
          <w:lang w:val="en-CA"/>
        </w:rPr>
        <w:t>C.C.Q.</w:t>
      </w:r>
      <w:r w:rsidRPr="00A9717C">
        <w:rPr>
          <w:rFonts w:cs="Times New Roman"/>
          <w:lang w:val="en-CA"/>
        </w:rPr>
        <w:t xml:space="preserve"> makes such a judgment an essential condition for the very acquisition of the right sought by the possessor, and that the judgment therefore has the effect of granting this right (S. Normand, </w:t>
      </w:r>
      <w:r w:rsidRPr="00A9717C">
        <w:rPr>
          <w:rFonts w:cs="Times New Roman"/>
          <w:i/>
          <w:lang w:val="en-CA"/>
        </w:rPr>
        <w:t xml:space="preserve">Introduction au droit des </w:t>
      </w:r>
      <w:proofErr w:type="spellStart"/>
      <w:r w:rsidRPr="00A9717C">
        <w:rPr>
          <w:rFonts w:cs="Times New Roman"/>
          <w:i/>
          <w:lang w:val="en-CA"/>
        </w:rPr>
        <w:t>biens</w:t>
      </w:r>
      <w:proofErr w:type="spellEnd"/>
      <w:r w:rsidRPr="00A9717C">
        <w:rPr>
          <w:rFonts w:cs="Times New Roman"/>
          <w:lang w:val="en-CA"/>
        </w:rPr>
        <w:t xml:space="preserve"> (2nd ed. 2014), at p. 354; C. Gervais, </w:t>
      </w:r>
      <w:r w:rsidRPr="00A9717C">
        <w:rPr>
          <w:rFonts w:cs="Times New Roman"/>
          <w:i/>
          <w:lang w:val="en-CA"/>
        </w:rPr>
        <w:t>La prescription</w:t>
      </w:r>
      <w:r w:rsidRPr="00A9717C">
        <w:rPr>
          <w:rFonts w:cs="Times New Roman"/>
          <w:lang w:val="en-CA"/>
        </w:rPr>
        <w:t xml:space="preserve"> (2009), at p. 193; </w:t>
      </w:r>
      <w:proofErr w:type="spellStart"/>
      <w:r w:rsidRPr="00A9717C">
        <w:rPr>
          <w:rFonts w:cs="Times New Roman"/>
          <w:lang w:val="en-CA"/>
        </w:rPr>
        <w:t>Lafond</w:t>
      </w:r>
      <w:proofErr w:type="spellEnd"/>
      <w:r w:rsidRPr="00A9717C">
        <w:rPr>
          <w:rFonts w:cs="Times New Roman"/>
          <w:lang w:val="en-CA"/>
        </w:rPr>
        <w:t xml:space="preserve">, at para. 2566; </w:t>
      </w:r>
      <w:proofErr w:type="spellStart"/>
      <w:r w:rsidRPr="00A9717C">
        <w:rPr>
          <w:rFonts w:cs="Times New Roman"/>
          <w:lang w:val="en-CA"/>
        </w:rPr>
        <w:t>Brochu</w:t>
      </w:r>
      <w:proofErr w:type="spellEnd"/>
      <w:r w:rsidRPr="00A9717C">
        <w:rPr>
          <w:rFonts w:cs="Times New Roman"/>
          <w:lang w:val="en-CA"/>
        </w:rPr>
        <w:t xml:space="preserve">, “Nouvelle </w:t>
      </w:r>
      <w:proofErr w:type="spellStart"/>
      <w:r w:rsidRPr="00A9717C">
        <w:rPr>
          <w:rFonts w:cs="Times New Roman"/>
          <w:lang w:val="en-CA"/>
        </w:rPr>
        <w:t>posologie</w:t>
      </w:r>
      <w:proofErr w:type="spellEnd"/>
      <w:r w:rsidRPr="00A9717C">
        <w:rPr>
          <w:rFonts w:cs="Times New Roman"/>
          <w:lang w:val="en-CA"/>
        </w:rPr>
        <w:t>”, at p. 754).</w:t>
      </w:r>
      <w:bookmarkEnd w:id="1"/>
      <w:r w:rsidRPr="00A9717C">
        <w:rPr>
          <w:rFonts w:cs="Times New Roman"/>
          <w:lang w:val="en-CA"/>
        </w:rPr>
        <w:t xml:space="preserve"> The depth of these authors’ analyses is variable; some are relatively brief, while others are more detailed. However, none of these commentators suggest that a judgment can be right</w:t>
      </w:r>
      <w:r w:rsidRPr="00A9717C">
        <w:rPr>
          <w:rFonts w:cs="Times New Roman"/>
          <w:lang w:val="en-CA"/>
        </w:rPr>
        <w:noBreakHyphen/>
        <w:t>granting if it confirms an encroachment, but declarative if it cures a defect of title. Indeed, Pratte raises this possibility, but concludes that [</w:t>
      </w:r>
      <w:r w:rsidRPr="00A9717C">
        <w:rPr>
          <w:rFonts w:cs="Times New Roman"/>
          <w:smallCaps/>
          <w:lang w:val="en-CA"/>
        </w:rPr>
        <w:t>translation</w:t>
      </w:r>
      <w:r w:rsidRPr="00A9717C">
        <w:rPr>
          <w:rFonts w:cs="Times New Roman"/>
          <w:lang w:val="en-CA"/>
        </w:rPr>
        <w:t>] “[</w:t>
      </w:r>
      <w:proofErr w:type="spellStart"/>
      <w:r w:rsidRPr="00A9717C">
        <w:rPr>
          <w:rFonts w:cs="Times New Roman"/>
          <w:lang w:val="en-CA"/>
        </w:rPr>
        <w:t>i</w:t>
      </w:r>
      <w:proofErr w:type="spellEnd"/>
      <w:r w:rsidRPr="00A9717C">
        <w:rPr>
          <w:rFonts w:cs="Times New Roman"/>
          <w:lang w:val="en-CA"/>
        </w:rPr>
        <w:t xml:space="preserve">]f a certain uniformity is desired, a declaration by a court should be preferred to the granting of a right by a court” (“La </w:t>
      </w:r>
      <w:proofErr w:type="spellStart"/>
      <w:r w:rsidRPr="00A9717C">
        <w:rPr>
          <w:rFonts w:cs="Times New Roman"/>
          <w:lang w:val="en-CA"/>
        </w:rPr>
        <w:t>demande</w:t>
      </w:r>
      <w:proofErr w:type="spellEnd"/>
      <w:r w:rsidRPr="00A9717C">
        <w:rPr>
          <w:rFonts w:cs="Times New Roman"/>
          <w:lang w:val="en-CA"/>
        </w:rPr>
        <w:t xml:space="preserve"> </w:t>
      </w:r>
      <w:proofErr w:type="spellStart"/>
      <w:r w:rsidRPr="00A9717C">
        <w:rPr>
          <w:rFonts w:cs="Times New Roman"/>
          <w:lang w:val="en-CA"/>
        </w:rPr>
        <w:t>judiciaire</w:t>
      </w:r>
      <w:proofErr w:type="spellEnd"/>
      <w:r w:rsidRPr="00A9717C">
        <w:rPr>
          <w:rFonts w:cs="Times New Roman"/>
          <w:lang w:val="en-CA"/>
        </w:rPr>
        <w:t xml:space="preserve">”, at p. 551). As well, there is no indication in the </w:t>
      </w:r>
      <w:r w:rsidRPr="00A9717C">
        <w:rPr>
          <w:rFonts w:cs="Times New Roman"/>
          <w:i/>
          <w:lang w:val="en-CA"/>
        </w:rPr>
        <w:t>Code</w:t>
      </w:r>
      <w:r w:rsidRPr="00A9717C">
        <w:rPr>
          <w:rFonts w:cs="Times New Roman"/>
          <w:lang w:val="en-CA"/>
        </w:rPr>
        <w:t xml:space="preserve"> that the nature of the judgment might vary depending on the circumstances.</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The appellants embrace the second school of thought, arguing that the judgment under art. 2918 </w:t>
      </w:r>
      <w:r w:rsidRPr="00A9717C">
        <w:rPr>
          <w:rFonts w:cs="Times New Roman"/>
          <w:i/>
          <w:lang w:val="en-CA"/>
        </w:rPr>
        <w:t>C.C.Q.</w:t>
      </w:r>
      <w:r w:rsidRPr="00A9717C">
        <w:rPr>
          <w:rFonts w:cs="Times New Roman"/>
          <w:lang w:val="en-CA"/>
        </w:rPr>
        <w:t xml:space="preserve"> always has the effect of granting a right. They assert that the enactment of that article in 1991 and the amendment of art. 805 </w:t>
      </w:r>
      <w:r w:rsidRPr="00A9717C">
        <w:rPr>
          <w:rFonts w:cs="Times New Roman"/>
          <w:i/>
          <w:lang w:val="en-CA"/>
        </w:rPr>
        <w:t xml:space="preserve">C.C.P. </w:t>
      </w:r>
      <w:r w:rsidRPr="00A9717C">
        <w:rPr>
          <w:rFonts w:cs="Times New Roman"/>
          <w:lang w:val="en-CA"/>
        </w:rPr>
        <w:t>in 1992 thus radically changed the prior law, such that the respondent could not claim to have a right to the parking space before obtaining a judgment to that effect. The dissenting judge in the Court of Appeal agreed, but the majority found that it was not necessary to deal with this issue in order to resolve the appeal.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lastRenderedPageBreak/>
        <w:t xml:space="preserve">I agree with the majority of the Court of Appeal that it is not necessary to decide this issue in the way sought by the appellants in order to dispose of this appeal. Even if the judgment under art. 2918 </w:t>
      </w:r>
      <w:r w:rsidRPr="00A9717C">
        <w:rPr>
          <w:rFonts w:cs="Times New Roman"/>
          <w:i/>
          <w:lang w:val="en-CA"/>
        </w:rPr>
        <w:t>C.C.Q.</w:t>
      </w:r>
      <w:r w:rsidRPr="00A9717C">
        <w:rPr>
          <w:rFonts w:cs="Times New Roman"/>
          <w:lang w:val="en-CA"/>
        </w:rPr>
        <w:t xml:space="preserve"> were right</w:t>
      </w:r>
      <w:r w:rsidRPr="00A9717C">
        <w:rPr>
          <w:rFonts w:cs="Times New Roman"/>
          <w:lang w:val="en-CA"/>
        </w:rPr>
        <w:noBreakHyphen/>
        <w:t xml:space="preserve">granting in nature, which I do not admit, the respondent could be granted the right of ownership she wishes to obtain despite the fact that the appellants’ title has been published, because her possession meets the criteria under the </w:t>
      </w:r>
      <w:r w:rsidRPr="00A9717C">
        <w:rPr>
          <w:rFonts w:cs="Times New Roman"/>
          <w:i/>
          <w:lang w:val="en-CA"/>
        </w:rPr>
        <w:t>Code</w:t>
      </w:r>
      <w:r w:rsidRPr="00A9717C">
        <w:rPr>
          <w:rFonts w:cs="Times New Roman"/>
          <w:lang w:val="en-CA"/>
        </w:rPr>
        <w:t xml:space="preserve"> and because, as I explained above, acquisitive prescription operates regardless of rights registered in the land register. In other words, the nature of the judgment under art. 2918 </w:t>
      </w:r>
      <w:r w:rsidRPr="00A9717C">
        <w:rPr>
          <w:rFonts w:cs="Times New Roman"/>
          <w:i/>
          <w:lang w:val="en-CA"/>
        </w:rPr>
        <w:t xml:space="preserve">C.C.Q. </w:t>
      </w:r>
      <w:r w:rsidRPr="00A9717C">
        <w:rPr>
          <w:rFonts w:cs="Times New Roman"/>
          <w:lang w:val="en-CA"/>
        </w:rPr>
        <w:t>is not determinative of the issue before us.</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This being said, it is my opinion that, in any event, the sole purpose of the judgment under art. 2918 </w:t>
      </w:r>
      <w:r w:rsidRPr="00A9717C">
        <w:rPr>
          <w:rFonts w:cs="Times New Roman"/>
          <w:i/>
          <w:lang w:val="en-CA"/>
        </w:rPr>
        <w:t>C.C.Q.</w:t>
      </w:r>
      <w:r w:rsidRPr="00A9717C">
        <w:rPr>
          <w:rFonts w:cs="Times New Roman"/>
          <w:lang w:val="en-CA"/>
        </w:rPr>
        <w:t xml:space="preserve"> is to recognize pre</w:t>
      </w:r>
      <w:r w:rsidRPr="00A9717C">
        <w:rPr>
          <w:rFonts w:cs="Times New Roman"/>
          <w:lang w:val="en-CA"/>
        </w:rPr>
        <w:noBreakHyphen/>
        <w:t xml:space="preserve">existing rights resulting from effective possession and the lapse of time and that, when all is said and done, the legislature merely intended to restore the situation that existed under the </w:t>
      </w:r>
      <w:r w:rsidRPr="00A9717C">
        <w:rPr>
          <w:rFonts w:cs="Times New Roman"/>
          <w:i/>
          <w:lang w:val="en-CA"/>
        </w:rPr>
        <w:t>C.C.L.C.</w:t>
      </w:r>
      <w:r w:rsidRPr="00A9717C">
        <w:rPr>
          <w:rFonts w:cs="Times New Roman"/>
          <w:lang w:val="en-CA"/>
        </w:rPr>
        <w:t xml:space="preserve"> in this regard.</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concluding that what the judgment in question does is to grant a right, the appellants rely, as did the dissenting judge in the Court of Appeal, on a literal interpretation of art. 2918 </w:t>
      </w:r>
      <w:r w:rsidRPr="00A9717C">
        <w:rPr>
          <w:rFonts w:cs="Times New Roman"/>
          <w:i/>
          <w:lang w:val="en-CA"/>
        </w:rPr>
        <w:t>C.C.Q.</w:t>
      </w:r>
      <w:r w:rsidRPr="00A9717C">
        <w:rPr>
          <w:rFonts w:cs="Times New Roman"/>
          <w:lang w:val="en-CA"/>
        </w:rPr>
        <w:t xml:space="preserve"> that is based on the supposed clarity of its wording. However, care should be taken before adopting such a reading of an article that was enacted and then amended in the context of an abandoned reform; otherwise, the interpretation of the provision could well be incompatible with its context, its history and its evolution. As this Court has mentioned in the past, “[w]</w:t>
      </w:r>
      <w:proofErr w:type="spellStart"/>
      <w:r w:rsidRPr="00A9717C">
        <w:rPr>
          <w:rFonts w:cs="Times New Roman"/>
          <w:lang w:val="en-CA"/>
        </w:rPr>
        <w:t>ords</w:t>
      </w:r>
      <w:proofErr w:type="spellEnd"/>
      <w:r w:rsidRPr="00A9717C">
        <w:rPr>
          <w:rFonts w:cs="Times New Roman"/>
          <w:lang w:val="en-CA"/>
        </w:rPr>
        <w:t xml:space="preserve"> that appear clear </w:t>
      </w:r>
      <w:r w:rsidRPr="00A9717C">
        <w:rPr>
          <w:rFonts w:cs="Times New Roman"/>
          <w:lang w:val="en-CA"/>
        </w:rPr>
        <w:lastRenderedPageBreak/>
        <w:t>and unambiguous may in fact prove to be ambiguous once placed in their context” (</w:t>
      </w:r>
      <w:r w:rsidRPr="00A9717C">
        <w:rPr>
          <w:rFonts w:cs="Times New Roman"/>
          <w:i/>
          <w:lang w:val="en-CA"/>
        </w:rPr>
        <w:t>Montréal (City) v. 2952</w:t>
      </w:r>
      <w:r w:rsidRPr="00A9717C">
        <w:rPr>
          <w:rFonts w:cs="Times New Roman"/>
          <w:i/>
          <w:lang w:val="en-CA"/>
        </w:rPr>
        <w:noBreakHyphen/>
        <w:t>1366 Québec Inc.</w:t>
      </w:r>
      <w:r w:rsidRPr="00A9717C">
        <w:rPr>
          <w:rFonts w:cs="Times New Roman"/>
          <w:lang w:val="en-CA"/>
        </w:rPr>
        <w:t xml:space="preserve">, 2005 SCC 62, [2005] 3 S.C.R. 141, at para. 10). Moreover, the </w:t>
      </w:r>
      <w:r w:rsidRPr="00A9717C">
        <w:rPr>
          <w:rFonts w:cs="Times New Roman"/>
          <w:bCs/>
          <w:lang w:val="en-CA"/>
        </w:rPr>
        <w:t>modern approach to statutory interpretation</w:t>
      </w:r>
      <w:r w:rsidRPr="00A9717C">
        <w:rPr>
          <w:rFonts w:cs="Times New Roman"/>
          <w:lang w:val="en-CA"/>
        </w:rPr>
        <w:t xml:space="preserve"> requires consideration of the legislature’s intention, which means taking into account not only the words of the provisions in question, but also their context, including the legislative reforms and the debate that led up to them (</w:t>
      </w:r>
      <w:r w:rsidRPr="00A9717C">
        <w:rPr>
          <w:rFonts w:cs="Times New Roman"/>
          <w:i/>
          <w:lang w:val="en-CA"/>
        </w:rPr>
        <w:t>Rizzo &amp; Rizzo Shoes Ltd. (Re)</w:t>
      </w:r>
      <w:r w:rsidRPr="00A9717C">
        <w:rPr>
          <w:rFonts w:cs="Times New Roman"/>
          <w:lang w:val="en-CA"/>
        </w:rPr>
        <w:t xml:space="preserve">, [1998] 1 S.C.R. 27, at para. 21). In Professor </w:t>
      </w:r>
      <w:proofErr w:type="spellStart"/>
      <w:r w:rsidRPr="00A9717C">
        <w:rPr>
          <w:rFonts w:cs="Times New Roman"/>
          <w:lang w:val="en-CA"/>
        </w:rPr>
        <w:t>Côté’s</w:t>
      </w:r>
      <w:proofErr w:type="spellEnd"/>
      <w:r w:rsidRPr="00A9717C">
        <w:rPr>
          <w:rFonts w:cs="Times New Roman"/>
          <w:lang w:val="en-CA"/>
        </w:rPr>
        <w:t xml:space="preserve"> words, “[the] authorities and case law have unequivocally rejected the idea that a statute’s context can be ignored, and its interpretation founded on no more than the wording of the legislation” (p. 310 (citations omitted)). That approach does not lead to a reading down of art. 2918 </w:t>
      </w:r>
      <w:r w:rsidRPr="00A9717C">
        <w:rPr>
          <w:rFonts w:cs="Times New Roman"/>
          <w:i/>
          <w:lang w:val="en-CA"/>
        </w:rPr>
        <w:t>C.C.Q.</w:t>
      </w:r>
      <w:r w:rsidRPr="00A9717C">
        <w:rPr>
          <w:rFonts w:cs="Times New Roman"/>
          <w:lang w:val="en-CA"/>
        </w:rPr>
        <w:t xml:space="preserve"> but, rather, makes it possible to identify the article’s real effect.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light of the foregoing, it is obvious that art. 2918 </w:t>
      </w:r>
      <w:r w:rsidRPr="00A9717C">
        <w:rPr>
          <w:rFonts w:cs="Times New Roman"/>
          <w:i/>
          <w:lang w:val="en-CA"/>
        </w:rPr>
        <w:t>C.C.Q.</w:t>
      </w:r>
      <w:r w:rsidRPr="00A9717C">
        <w:rPr>
          <w:rFonts w:cs="Times New Roman"/>
          <w:lang w:val="en-CA"/>
        </w:rPr>
        <w:t xml:space="preserve"> is not as clear as the appellants and the dissenting judge in the Court of Appeal suggest. The sharp differences between commentators on the interpretation of this article show how ambiguous it is. Furthermore, some of them expressly criticize its clumsy drafting in the context of this unfinished reform (</w:t>
      </w:r>
      <w:proofErr w:type="spellStart"/>
      <w:r w:rsidRPr="00A9717C">
        <w:rPr>
          <w:rFonts w:cs="Times New Roman"/>
          <w:lang w:val="en-CA"/>
        </w:rPr>
        <w:t>Gidrol</w:t>
      </w:r>
      <w:proofErr w:type="spellEnd"/>
      <w:r w:rsidRPr="00A9717C">
        <w:rPr>
          <w:rFonts w:cs="Times New Roman"/>
          <w:lang w:val="en-CA"/>
        </w:rPr>
        <w:noBreakHyphen/>
        <w:t>Mistral, at pp. 317 and 340; F. </w:t>
      </w:r>
      <w:proofErr w:type="spellStart"/>
      <w:r w:rsidRPr="00A9717C">
        <w:rPr>
          <w:rFonts w:cs="Times New Roman"/>
          <w:lang w:val="en-CA"/>
        </w:rPr>
        <w:t>Brochu</w:t>
      </w:r>
      <w:proofErr w:type="spellEnd"/>
      <w:r w:rsidRPr="00A9717C">
        <w:rPr>
          <w:rFonts w:cs="Times New Roman"/>
          <w:lang w:val="en-CA"/>
        </w:rPr>
        <w:t xml:space="preserve">, “Prescription acquisitive et </w:t>
      </w:r>
      <w:proofErr w:type="spellStart"/>
      <w:r w:rsidRPr="00A9717C">
        <w:rPr>
          <w:rFonts w:cs="Times New Roman"/>
          <w:lang w:val="en-CA"/>
        </w:rPr>
        <w:t>publicité</w:t>
      </w:r>
      <w:proofErr w:type="spellEnd"/>
      <w:r w:rsidRPr="00A9717C">
        <w:rPr>
          <w:rFonts w:cs="Times New Roman"/>
          <w:lang w:val="en-CA"/>
        </w:rPr>
        <w:t xml:space="preserve"> des droits” (2005), 107 </w:t>
      </w:r>
      <w:r w:rsidRPr="00A9717C">
        <w:rPr>
          <w:rFonts w:cs="Times New Roman"/>
          <w:i/>
          <w:lang w:val="en-CA"/>
        </w:rPr>
        <w:t>R. du N.</w:t>
      </w:r>
      <w:r w:rsidRPr="00A9717C">
        <w:rPr>
          <w:rFonts w:cs="Times New Roman"/>
          <w:lang w:val="en-CA"/>
        </w:rPr>
        <w:t xml:space="preserve"> 203, at p. 210; and “Revue de jurisprudence 2012 </w:t>
      </w:r>
      <w:proofErr w:type="spellStart"/>
      <w:r w:rsidRPr="00A9717C">
        <w:rPr>
          <w:rFonts w:cs="Times New Roman"/>
          <w:lang w:val="en-CA"/>
        </w:rPr>
        <w:t>en</w:t>
      </w:r>
      <w:proofErr w:type="spellEnd"/>
      <w:r w:rsidRPr="00A9717C">
        <w:rPr>
          <w:rFonts w:cs="Times New Roman"/>
          <w:lang w:val="en-CA"/>
        </w:rPr>
        <w:t xml:space="preserve"> prescription acquisitive et </w:t>
      </w:r>
      <w:proofErr w:type="spellStart"/>
      <w:r w:rsidRPr="00A9717C">
        <w:rPr>
          <w:rFonts w:cs="Times New Roman"/>
          <w:lang w:val="en-CA"/>
        </w:rPr>
        <w:t>en</w:t>
      </w:r>
      <w:proofErr w:type="spellEnd"/>
      <w:r w:rsidRPr="00A9717C">
        <w:rPr>
          <w:rFonts w:cs="Times New Roman"/>
          <w:lang w:val="en-CA"/>
        </w:rPr>
        <w:t xml:space="preserve"> </w:t>
      </w:r>
      <w:proofErr w:type="spellStart"/>
      <w:r w:rsidRPr="00A9717C">
        <w:rPr>
          <w:rFonts w:cs="Times New Roman"/>
          <w:lang w:val="en-CA"/>
        </w:rPr>
        <w:t>publicité</w:t>
      </w:r>
      <w:proofErr w:type="spellEnd"/>
      <w:r w:rsidRPr="00A9717C">
        <w:rPr>
          <w:rFonts w:cs="Times New Roman"/>
          <w:lang w:val="en-CA"/>
        </w:rPr>
        <w:t xml:space="preserve"> des droits” (2013), 115 </w:t>
      </w:r>
      <w:r w:rsidRPr="00A9717C">
        <w:rPr>
          <w:rFonts w:cs="Times New Roman"/>
          <w:i/>
          <w:lang w:val="en-CA"/>
        </w:rPr>
        <w:t>R. du N.</w:t>
      </w:r>
      <w:r w:rsidRPr="00A9717C">
        <w:rPr>
          <w:rFonts w:cs="Times New Roman"/>
          <w:lang w:val="en-CA"/>
        </w:rPr>
        <w:t xml:space="preserve"> 205, at p. 211).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It is true that when the </w:t>
      </w:r>
      <w:r w:rsidRPr="00A9717C">
        <w:rPr>
          <w:rFonts w:cs="Times New Roman"/>
          <w:i/>
          <w:lang w:val="en-CA"/>
        </w:rPr>
        <w:t xml:space="preserve">Code </w:t>
      </w:r>
      <w:r w:rsidRPr="00A9717C">
        <w:rPr>
          <w:rFonts w:cs="Times New Roman"/>
          <w:lang w:val="en-CA"/>
        </w:rPr>
        <w:t xml:space="preserve">was enacted in 1991, the legislature seems to have intended that acquiring ownership of an immovable by prescription should be </w:t>
      </w:r>
      <w:r w:rsidRPr="00A9717C">
        <w:rPr>
          <w:rFonts w:cs="Times New Roman"/>
          <w:lang w:val="en-CA"/>
        </w:rPr>
        <w:lastRenderedPageBreak/>
        <w:t>contingent upon obtaining a judgment. At the time, the Minister of Justice stated, in a way that was in itself quite equivocal, that such an acquisition would from then on have to [</w:t>
      </w:r>
      <w:r w:rsidRPr="00A9717C">
        <w:rPr>
          <w:rFonts w:cs="Times New Roman"/>
          <w:smallCaps/>
          <w:lang w:val="en-CA"/>
        </w:rPr>
        <w:t>translation</w:t>
      </w:r>
      <w:r w:rsidRPr="00A9717C">
        <w:rPr>
          <w:rFonts w:cs="Times New Roman"/>
          <w:lang w:val="en-CA"/>
        </w:rPr>
        <w:t xml:space="preserve">] “be </w:t>
      </w:r>
      <w:r w:rsidRPr="00A9717C">
        <w:rPr>
          <w:rFonts w:cs="Times New Roman"/>
          <w:u w:val="single"/>
          <w:lang w:val="en-CA"/>
        </w:rPr>
        <w:t>recognized</w:t>
      </w:r>
      <w:r w:rsidRPr="00A9717C">
        <w:rPr>
          <w:rFonts w:cs="Times New Roman"/>
          <w:lang w:val="en-CA"/>
        </w:rPr>
        <w:t xml:space="preserve"> by a court, as the right is not </w:t>
      </w:r>
      <w:r w:rsidRPr="00A9717C">
        <w:rPr>
          <w:rFonts w:cs="Times New Roman"/>
          <w:u w:val="single"/>
          <w:lang w:val="en-CA"/>
        </w:rPr>
        <w:t>acquired</w:t>
      </w:r>
      <w:r w:rsidRPr="00A9717C">
        <w:rPr>
          <w:rFonts w:cs="Times New Roman"/>
          <w:lang w:val="en-CA"/>
        </w:rPr>
        <w:t xml:space="preserve"> by possession alone” (</w:t>
      </w:r>
      <w:proofErr w:type="spellStart"/>
      <w:r w:rsidRPr="00A9717C">
        <w:rPr>
          <w:rFonts w:cs="Times New Roman"/>
          <w:i/>
          <w:lang w:val="en-CA"/>
        </w:rPr>
        <w:t>Commentaires</w:t>
      </w:r>
      <w:proofErr w:type="spellEnd"/>
      <w:r w:rsidRPr="00A9717C">
        <w:rPr>
          <w:rFonts w:cs="Times New Roman"/>
          <w:i/>
          <w:lang w:val="en-CA"/>
        </w:rPr>
        <w:t xml:space="preserve"> du </w:t>
      </w:r>
      <w:proofErr w:type="spellStart"/>
      <w:r w:rsidRPr="00A9717C">
        <w:rPr>
          <w:rFonts w:cs="Times New Roman"/>
          <w:i/>
          <w:lang w:val="en-CA"/>
        </w:rPr>
        <w:t>ministre</w:t>
      </w:r>
      <w:proofErr w:type="spellEnd"/>
      <w:r w:rsidRPr="00A9717C">
        <w:rPr>
          <w:rFonts w:cs="Times New Roman"/>
          <w:lang w:val="en-CA"/>
        </w:rPr>
        <w:t xml:space="preserve">, at p. 1831 (emphasis added)). However, as the majority of the Court of Appeal rightly noted, these comments must be read with caution, as they were written in respect of the initial version of art. 2918 </w:t>
      </w:r>
      <w:r w:rsidRPr="00A9717C">
        <w:rPr>
          <w:rFonts w:cs="Times New Roman"/>
          <w:i/>
          <w:lang w:val="en-CA"/>
        </w:rPr>
        <w:t>C.C.Q.</w:t>
      </w:r>
      <w:r w:rsidRPr="00A9717C">
        <w:rPr>
          <w:rFonts w:cs="Times New Roman"/>
          <w:lang w:val="en-CA"/>
        </w:rPr>
        <w:t>, which read as follows:</w:t>
      </w:r>
    </w:p>
    <w:p w:rsidR="00FE692E" w:rsidRPr="00A9717C" w:rsidRDefault="00FE692E" w:rsidP="00233573">
      <w:pPr>
        <w:pStyle w:val="Citation-AltC"/>
        <w:widowControl w:val="0"/>
        <w:spacing w:after="240"/>
        <w:ind w:hanging="1166"/>
        <w:contextualSpacing w:val="0"/>
        <w:rPr>
          <w:lang w:val="en-CA"/>
        </w:rPr>
      </w:pPr>
      <w:r w:rsidRPr="00A9717C">
        <w:rPr>
          <w:b/>
          <w:lang w:val="en-CA"/>
        </w:rPr>
        <w:tab/>
      </w:r>
      <w:r w:rsidRPr="00A9717C">
        <w:rPr>
          <w:b/>
          <w:lang w:val="en-CA"/>
        </w:rPr>
        <w:tab/>
        <w:t>2918.</w:t>
      </w:r>
      <w:r w:rsidRPr="00A9717C">
        <w:rPr>
          <w:lang w:val="en-CA"/>
        </w:rPr>
        <w:t xml:space="preserve"> A person who has for ten years possessed, as owner, an immovable that is not registered in the land register may acquire the ownership of it only upon a judicial demand.</w:t>
      </w:r>
    </w:p>
    <w:p w:rsidR="00FE692E" w:rsidRPr="00A9717C" w:rsidRDefault="00FE692E" w:rsidP="00233573">
      <w:pPr>
        <w:pStyle w:val="Citation-AltC"/>
        <w:widowControl w:val="0"/>
        <w:ind w:hanging="1166"/>
        <w:contextualSpacing w:val="0"/>
        <w:rPr>
          <w:lang w:val="en-CA"/>
        </w:rPr>
      </w:pPr>
      <w:r w:rsidRPr="00A9717C">
        <w:rPr>
          <w:lang w:val="en-CA"/>
        </w:rPr>
        <w:tab/>
      </w:r>
      <w:r w:rsidRPr="00A9717C">
        <w:rPr>
          <w:lang w:val="en-CA"/>
        </w:rPr>
        <w:tab/>
        <w:t>The possessor may, under the same conditions, exercise the same right in respect of a registered immovable where the owner of the immovable is not identified in the land register; the same rule applies where the owner is dead or an absentee at the beginning of the ten</w:t>
      </w:r>
      <w:r w:rsidRPr="00A9717C">
        <w:rPr>
          <w:lang w:val="en-CA"/>
        </w:rPr>
        <w:noBreakHyphen/>
        <w:t>year period or where the land register indicates that the immovable has become a thing without an owner.</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This first version was very different from the current one, which I reproduce again for ease of comparison:</w:t>
      </w:r>
    </w:p>
    <w:p w:rsidR="00FE692E" w:rsidRPr="00A9717C" w:rsidRDefault="00FE692E" w:rsidP="00233573">
      <w:pPr>
        <w:pStyle w:val="Citation-AltC"/>
        <w:widowControl w:val="0"/>
        <w:ind w:hanging="1166"/>
        <w:contextualSpacing w:val="0"/>
        <w:rPr>
          <w:lang w:val="en-CA"/>
        </w:rPr>
      </w:pPr>
      <w:r w:rsidRPr="00A9717C">
        <w:rPr>
          <w:b/>
          <w:lang w:val="en-CA"/>
        </w:rPr>
        <w:tab/>
      </w:r>
      <w:r w:rsidRPr="00A9717C">
        <w:rPr>
          <w:b/>
          <w:lang w:val="en-CA"/>
        </w:rPr>
        <w:tab/>
        <w:t>2918.</w:t>
      </w:r>
      <w:r w:rsidRPr="00A9717C">
        <w:rPr>
          <w:lang w:val="en-CA"/>
        </w:rPr>
        <w:t xml:space="preserve"> A person who has for 10 years possessed an immovable as its owner may acquire the ownership of it only upon a judicial application.</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As can be seen, the initial version of art. 2918 </w:t>
      </w:r>
      <w:r w:rsidRPr="00A9717C">
        <w:rPr>
          <w:rFonts w:cs="Times New Roman"/>
          <w:i/>
          <w:lang w:val="en-CA"/>
        </w:rPr>
        <w:t>C.C.Q.</w:t>
      </w:r>
      <w:r w:rsidRPr="00A9717C">
        <w:rPr>
          <w:rFonts w:cs="Times New Roman"/>
          <w:lang w:val="en-CA"/>
        </w:rPr>
        <w:t xml:space="preserve"> was closely linked to the reform of the publication of rights being contemplated by the legislature when it enacted the original version of the </w:t>
      </w:r>
      <w:r w:rsidRPr="00A9717C">
        <w:rPr>
          <w:rFonts w:cs="Times New Roman"/>
          <w:i/>
          <w:lang w:val="en-CA"/>
        </w:rPr>
        <w:t>Code</w:t>
      </w:r>
      <w:r w:rsidRPr="00A9717C">
        <w:rPr>
          <w:rFonts w:cs="Times New Roman"/>
          <w:lang w:val="en-CA"/>
        </w:rPr>
        <w:t xml:space="preserve">. The effects of the article varied depending on whether the immovable in question had been </w:t>
      </w:r>
      <w:proofErr w:type="spellStart"/>
      <w:r w:rsidRPr="00A9717C">
        <w:rPr>
          <w:rFonts w:cs="Times New Roman"/>
          <w:lang w:val="en-CA"/>
        </w:rPr>
        <w:t>immatriculated</w:t>
      </w:r>
      <w:proofErr w:type="spellEnd"/>
      <w:r w:rsidRPr="00A9717C">
        <w:rPr>
          <w:rFonts w:cs="Times New Roman"/>
          <w:lang w:val="en-CA"/>
        </w:rPr>
        <w:t xml:space="preserve">. Moreover, art. 2918 </w:t>
      </w:r>
      <w:r w:rsidRPr="00A9717C">
        <w:rPr>
          <w:rFonts w:cs="Times New Roman"/>
          <w:i/>
          <w:lang w:val="en-CA"/>
        </w:rPr>
        <w:lastRenderedPageBreak/>
        <w:t>C.C.Q.</w:t>
      </w:r>
      <w:r w:rsidRPr="00A9717C">
        <w:rPr>
          <w:rFonts w:cs="Times New Roman"/>
          <w:lang w:val="en-CA"/>
        </w:rPr>
        <w:t>, which, like the new publication of rights system, was inspired by Swiss and German law, reflected [</w:t>
      </w:r>
      <w:r w:rsidRPr="00A9717C">
        <w:rPr>
          <w:rFonts w:cs="Times New Roman"/>
          <w:smallCaps/>
          <w:lang w:val="en-CA"/>
        </w:rPr>
        <w:t>translation]</w:t>
      </w:r>
      <w:r w:rsidRPr="00A9717C">
        <w:rPr>
          <w:rFonts w:cs="Times New Roman"/>
          <w:lang w:val="en-CA"/>
        </w:rPr>
        <w:t xml:space="preserve"> “the necessary relationship between the publication of rights and prescription” in the form that they were intended to have at that time (</w:t>
      </w:r>
      <w:proofErr w:type="spellStart"/>
      <w:r w:rsidRPr="00A9717C">
        <w:rPr>
          <w:rFonts w:cs="Times New Roman"/>
          <w:i/>
          <w:lang w:val="en-CA"/>
        </w:rPr>
        <w:t>Commentaires</w:t>
      </w:r>
      <w:proofErr w:type="spellEnd"/>
      <w:r w:rsidRPr="00A9717C">
        <w:rPr>
          <w:rFonts w:cs="Times New Roman"/>
          <w:i/>
          <w:lang w:val="en-CA"/>
        </w:rPr>
        <w:t xml:space="preserve"> du </w:t>
      </w:r>
      <w:proofErr w:type="spellStart"/>
      <w:r w:rsidRPr="00A9717C">
        <w:rPr>
          <w:rFonts w:cs="Times New Roman"/>
          <w:i/>
          <w:lang w:val="en-CA"/>
        </w:rPr>
        <w:t>ministre</w:t>
      </w:r>
      <w:proofErr w:type="spellEnd"/>
      <w:r w:rsidRPr="00A9717C">
        <w:rPr>
          <w:rFonts w:cs="Times New Roman"/>
          <w:lang w:val="en-CA"/>
        </w:rPr>
        <w:t xml:space="preserve">, at p. 1830; see also </w:t>
      </w:r>
      <w:r w:rsidRPr="00A9717C">
        <w:rPr>
          <w:rFonts w:cs="Times New Roman"/>
          <w:i/>
          <w:lang w:val="en-CA"/>
        </w:rPr>
        <w:t xml:space="preserve">Journal des </w:t>
      </w:r>
      <w:proofErr w:type="spellStart"/>
      <w:r w:rsidRPr="00A9717C">
        <w:rPr>
          <w:rFonts w:cs="Times New Roman"/>
          <w:i/>
          <w:lang w:val="en-CA"/>
        </w:rPr>
        <w:t>débats</w:t>
      </w:r>
      <w:proofErr w:type="spellEnd"/>
      <w:r w:rsidRPr="00A9717C">
        <w:rPr>
          <w:rFonts w:cs="Times New Roman"/>
          <w:i/>
          <w:lang w:val="en-CA"/>
        </w:rPr>
        <w:t xml:space="preserve"> de la Commission </w:t>
      </w:r>
      <w:proofErr w:type="spellStart"/>
      <w:r w:rsidRPr="00A9717C">
        <w:rPr>
          <w:rFonts w:cs="Times New Roman"/>
          <w:i/>
          <w:lang w:val="en-CA"/>
        </w:rPr>
        <w:t>permanente</w:t>
      </w:r>
      <w:proofErr w:type="spellEnd"/>
      <w:r w:rsidRPr="00A9717C">
        <w:rPr>
          <w:rFonts w:cs="Times New Roman"/>
          <w:i/>
          <w:lang w:val="en-CA"/>
        </w:rPr>
        <w:t xml:space="preserve"> des institutions</w:t>
      </w:r>
      <w:r w:rsidRPr="00A9717C">
        <w:rPr>
          <w:rFonts w:cs="Times New Roman"/>
          <w:lang w:val="en-CA"/>
        </w:rPr>
        <w:t>, at p. 51).</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In light of this close relationship between the publication of rights and prescription, it was natural for the role of art. 2918</w:t>
      </w:r>
      <w:r w:rsidRPr="00A9717C">
        <w:rPr>
          <w:rFonts w:cs="Times New Roman"/>
          <w:i/>
          <w:lang w:val="en-CA"/>
        </w:rPr>
        <w:t xml:space="preserve"> C.C.Q.</w:t>
      </w:r>
      <w:r w:rsidRPr="00A9717C">
        <w:rPr>
          <w:rFonts w:cs="Times New Roman"/>
          <w:lang w:val="en-CA"/>
        </w:rPr>
        <w:t xml:space="preserve"> to be altered when the reform was subsequently suspended and abandoned. The legislative debate concerning the amendment of art. 2918 </w:t>
      </w:r>
      <w:r w:rsidRPr="00A9717C">
        <w:rPr>
          <w:rFonts w:cs="Times New Roman"/>
          <w:i/>
          <w:lang w:val="en-CA"/>
        </w:rPr>
        <w:t>C.C.Q.</w:t>
      </w:r>
      <w:r w:rsidRPr="00A9717C">
        <w:rPr>
          <w:rFonts w:cs="Times New Roman"/>
          <w:lang w:val="en-CA"/>
        </w:rPr>
        <w:t xml:space="preserve"> in 2000 is revealing:</w:t>
      </w:r>
    </w:p>
    <w:p w:rsidR="00FE692E" w:rsidRPr="00A9717C" w:rsidRDefault="00FE692E" w:rsidP="00233573">
      <w:pPr>
        <w:pStyle w:val="Citation-AltC"/>
        <w:widowControl w:val="0"/>
        <w:spacing w:after="240"/>
        <w:ind w:hanging="1166"/>
        <w:contextualSpacing w:val="0"/>
        <w:rPr>
          <w:smallCaps/>
        </w:rPr>
      </w:pPr>
      <w:r w:rsidRPr="00A9717C">
        <w:rPr>
          <w:lang w:val="en-CA"/>
        </w:rPr>
        <w:tab/>
        <w:t>[</w:t>
      </w:r>
      <w:r w:rsidRPr="00A9717C">
        <w:rPr>
          <w:smallCaps/>
          <w:lang w:val="en-CA"/>
        </w:rPr>
        <w:t>translation</w:t>
      </w:r>
      <w:proofErr w:type="gramStart"/>
      <w:r w:rsidRPr="00A9717C">
        <w:rPr>
          <w:smallCaps/>
          <w:lang w:val="en-CA"/>
        </w:rPr>
        <w:t xml:space="preserve">] </w:t>
      </w:r>
      <w:r w:rsidRPr="00A9717C">
        <w:rPr>
          <w:lang w:val="en-CA"/>
        </w:rPr>
        <w:t>.</w:t>
      </w:r>
      <w:proofErr w:type="gramEnd"/>
      <w:r w:rsidRPr="00A9717C">
        <w:rPr>
          <w:lang w:val="en-CA"/>
        </w:rPr>
        <w:t> . . we’re abandoning phase II of the amendment of the Civil Code that existed, since it was not consistent with practice.</w:t>
      </w:r>
      <w:r w:rsidRPr="00A9717C">
        <w:rPr>
          <w:b/>
          <w:lang w:val="en-CA"/>
        </w:rPr>
        <w:t xml:space="preserve"> </w:t>
      </w:r>
      <w:r w:rsidRPr="00A9717C">
        <w:rPr>
          <w:lang w:val="en-CA"/>
        </w:rPr>
        <w:t xml:space="preserve">It has been suspended since 1995. </w:t>
      </w:r>
      <w:r w:rsidRPr="00A9717C">
        <w:rPr>
          <w:u w:val="single"/>
          <w:lang w:val="en-CA"/>
        </w:rPr>
        <w:t>So we’re going back to the old method, with the current prescription period</w:t>
      </w:r>
      <w:r w:rsidRPr="00A9717C">
        <w:rPr>
          <w:lang w:val="en-CA"/>
        </w:rPr>
        <w:t xml:space="preserve">, namely 10 years. </w:t>
      </w:r>
      <w:r w:rsidRPr="00A9717C">
        <w:t>[</w:t>
      </w:r>
      <w:proofErr w:type="spellStart"/>
      <w:r w:rsidRPr="00A9717C">
        <w:t>Emphasis</w:t>
      </w:r>
      <w:proofErr w:type="spellEnd"/>
      <w:r w:rsidRPr="00A9717C">
        <w:t xml:space="preserve"> </w:t>
      </w:r>
      <w:proofErr w:type="spellStart"/>
      <w:r w:rsidRPr="00A9717C">
        <w:t>added</w:t>
      </w:r>
      <w:proofErr w:type="spellEnd"/>
      <w:r w:rsidRPr="00A9717C">
        <w:t>.]</w:t>
      </w:r>
    </w:p>
    <w:p w:rsidR="00FE692E" w:rsidRPr="00A9717C" w:rsidRDefault="00FE692E" w:rsidP="00233573">
      <w:pPr>
        <w:pStyle w:val="Citation-AltC"/>
        <w:widowControl w:val="0"/>
        <w:ind w:left="0"/>
        <w:contextualSpacing w:val="0"/>
      </w:pPr>
      <w:r w:rsidRPr="00A9717C">
        <w:t>(</w:t>
      </w:r>
      <w:r w:rsidRPr="00A9717C">
        <w:rPr>
          <w:i/>
        </w:rPr>
        <w:t>Journal des débats de la Commission permanente des institutions</w:t>
      </w:r>
      <w:r w:rsidRPr="00A9717C">
        <w:t xml:space="preserve">, at p. 51)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At that same time, s. 143 of the </w:t>
      </w:r>
      <w:r w:rsidRPr="00A9717C">
        <w:rPr>
          <w:rFonts w:cs="Times New Roman"/>
          <w:i/>
          <w:lang w:val="en-CA"/>
        </w:rPr>
        <w:t>Act respecting the implementation of the reform of the Civil Code</w:t>
      </w:r>
      <w:r w:rsidRPr="00A9717C">
        <w:rPr>
          <w:rFonts w:cs="Times New Roman"/>
          <w:lang w:val="en-CA"/>
        </w:rPr>
        <w:t xml:space="preserve"> was also amended by repealing the portion that had since 1992 provided that the purpose of “the judicial demand [under art. 2918 </w:t>
      </w:r>
      <w:r w:rsidRPr="00A9717C">
        <w:rPr>
          <w:rFonts w:cs="Times New Roman"/>
          <w:i/>
          <w:lang w:val="en-CA"/>
        </w:rPr>
        <w:t>C.C.Q.</w:t>
      </w:r>
      <w:r w:rsidRPr="00A9717C">
        <w:rPr>
          <w:rFonts w:cs="Times New Roman"/>
          <w:lang w:val="en-CA"/>
        </w:rPr>
        <w:t xml:space="preserve"> was] to </w:t>
      </w:r>
      <w:r w:rsidRPr="00A9717C">
        <w:rPr>
          <w:rFonts w:cs="Times New Roman"/>
          <w:u w:val="single"/>
          <w:lang w:val="en-CA"/>
        </w:rPr>
        <w:t>acquire</w:t>
      </w:r>
      <w:r w:rsidRPr="00A9717C">
        <w:rPr>
          <w:rFonts w:cs="Times New Roman"/>
          <w:lang w:val="en-CA"/>
        </w:rPr>
        <w:t xml:space="preserve"> ownership” of an immovable (S.Q. 2000, c. 42, s. 87).</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my opinion, this shows that when the legislature abandoned the reform it had originally planned, it intended to stick with the situation that had existed under the </w:t>
      </w:r>
      <w:r w:rsidRPr="00A9717C">
        <w:rPr>
          <w:rFonts w:cs="Times New Roman"/>
          <w:i/>
          <w:lang w:val="en-CA"/>
        </w:rPr>
        <w:t>C.C.L.C.</w:t>
      </w:r>
      <w:r w:rsidRPr="00A9717C">
        <w:rPr>
          <w:rFonts w:cs="Times New Roman"/>
          <w:lang w:val="en-CA"/>
        </w:rPr>
        <w:t xml:space="preserve">, one aspect of which was the declarative nature of the judgment </w:t>
      </w:r>
      <w:r w:rsidRPr="00A9717C">
        <w:rPr>
          <w:rFonts w:cs="Times New Roman"/>
          <w:lang w:val="en-CA"/>
        </w:rPr>
        <w:lastRenderedPageBreak/>
        <w:t xml:space="preserve">recognizing a right acquired by prescription to which art. 2918 </w:t>
      </w:r>
      <w:r w:rsidRPr="00A9717C">
        <w:rPr>
          <w:rFonts w:cs="Times New Roman"/>
          <w:i/>
          <w:lang w:val="en-CA"/>
        </w:rPr>
        <w:t>C.C.Q.</w:t>
      </w:r>
      <w:r w:rsidRPr="00A9717C">
        <w:rPr>
          <w:rFonts w:cs="Times New Roman"/>
          <w:lang w:val="en-CA"/>
        </w:rPr>
        <w:t xml:space="preserve"> now refers. With all due respect, the claim made by certain authors that the words of this article and of arts. 805 and 806 </w:t>
      </w:r>
      <w:r w:rsidRPr="00A9717C">
        <w:rPr>
          <w:rFonts w:cs="Times New Roman"/>
          <w:i/>
          <w:lang w:val="en-CA"/>
        </w:rPr>
        <w:t>C.C.P. </w:t>
      </w:r>
      <w:r w:rsidRPr="00A9717C">
        <w:rPr>
          <w:rFonts w:cs="Times New Roman"/>
          <w:lang w:val="en-CA"/>
        </w:rPr>
        <w:t xml:space="preserve">clearly show that the judgment under art. 2918 </w:t>
      </w:r>
      <w:r w:rsidRPr="00A9717C">
        <w:rPr>
          <w:rFonts w:cs="Times New Roman"/>
          <w:i/>
          <w:lang w:val="en-CA"/>
        </w:rPr>
        <w:t>C.C.Q.</w:t>
      </w:r>
      <w:r w:rsidRPr="00A9717C">
        <w:rPr>
          <w:rFonts w:cs="Times New Roman"/>
          <w:lang w:val="en-CA"/>
        </w:rPr>
        <w:t xml:space="preserve"> grants a right is outdated (Normand, at p. 355; Gervais, at p. 193; </w:t>
      </w:r>
      <w:proofErr w:type="spellStart"/>
      <w:r w:rsidRPr="00A9717C">
        <w:rPr>
          <w:rFonts w:cs="Times New Roman"/>
          <w:lang w:val="en-CA"/>
        </w:rPr>
        <w:t>Lafond</w:t>
      </w:r>
      <w:proofErr w:type="spellEnd"/>
      <w:r w:rsidRPr="00A9717C">
        <w:rPr>
          <w:rFonts w:cs="Times New Roman"/>
          <w:lang w:val="en-CA"/>
        </w:rPr>
        <w:t xml:space="preserve">, at para. 2566; </w:t>
      </w:r>
      <w:proofErr w:type="spellStart"/>
      <w:r w:rsidRPr="00A9717C">
        <w:rPr>
          <w:rFonts w:cs="Times New Roman"/>
          <w:lang w:val="en-CA"/>
        </w:rPr>
        <w:t>Brochu</w:t>
      </w:r>
      <w:proofErr w:type="spellEnd"/>
      <w:r w:rsidRPr="00A9717C">
        <w:rPr>
          <w:rFonts w:cs="Times New Roman"/>
          <w:lang w:val="en-CA"/>
        </w:rPr>
        <w:t xml:space="preserve">, “Nouvelle </w:t>
      </w:r>
      <w:proofErr w:type="spellStart"/>
      <w:r w:rsidRPr="00A9717C">
        <w:rPr>
          <w:rFonts w:cs="Times New Roman"/>
          <w:lang w:val="en-CA"/>
        </w:rPr>
        <w:t>posologie</w:t>
      </w:r>
      <w:proofErr w:type="spellEnd"/>
      <w:r w:rsidRPr="00A9717C">
        <w:rPr>
          <w:rFonts w:cs="Times New Roman"/>
          <w:lang w:val="en-CA"/>
        </w:rPr>
        <w:t>”, at p. 754). These articles should instead be interpreted in light of the abortive reform of the publication of rights system and the many changes that resulted from it. This leads to the conclusion that prescription depends on achieving effective possession, not on obtaining a judgment; it is acquisitive prescription that grants the right, not the judgment (</w:t>
      </w:r>
      <w:proofErr w:type="spellStart"/>
      <w:r w:rsidRPr="00A9717C">
        <w:rPr>
          <w:rFonts w:cs="Times New Roman"/>
          <w:lang w:val="en-CA"/>
        </w:rPr>
        <w:t>Lamontagne</w:t>
      </w:r>
      <w:proofErr w:type="spellEnd"/>
      <w:r w:rsidRPr="00A9717C">
        <w:rPr>
          <w:rFonts w:cs="Times New Roman"/>
          <w:lang w:val="en-CA"/>
        </w:rPr>
        <w:t xml:space="preserve">, </w:t>
      </w:r>
      <w:proofErr w:type="spellStart"/>
      <w:r w:rsidRPr="00A9717C">
        <w:rPr>
          <w:rFonts w:cs="Times New Roman"/>
          <w:i/>
          <w:lang w:val="en-CA"/>
        </w:rPr>
        <w:t>Biens</w:t>
      </w:r>
      <w:proofErr w:type="spellEnd"/>
      <w:r w:rsidRPr="00A9717C">
        <w:rPr>
          <w:rFonts w:cs="Times New Roman"/>
          <w:i/>
          <w:lang w:val="en-CA"/>
        </w:rPr>
        <w:t xml:space="preserve"> et </w:t>
      </w:r>
      <w:proofErr w:type="spellStart"/>
      <w:r w:rsidRPr="00A9717C">
        <w:rPr>
          <w:rFonts w:cs="Times New Roman"/>
          <w:i/>
          <w:lang w:val="en-CA"/>
        </w:rPr>
        <w:t>propriété</w:t>
      </w:r>
      <w:proofErr w:type="spellEnd"/>
      <w:r w:rsidRPr="00A9717C">
        <w:rPr>
          <w:rFonts w:cs="Times New Roman"/>
          <w:lang w:val="en-CA"/>
        </w:rPr>
        <w:t>, at p. 490). The judgment attests to the existence of a pre</w:t>
      </w:r>
      <w:r w:rsidRPr="00A9717C">
        <w:rPr>
          <w:rFonts w:cs="Times New Roman"/>
          <w:lang w:val="en-CA"/>
        </w:rPr>
        <w:noBreakHyphen/>
        <w:t xml:space="preserve">existing right; it does not create a new right (Pratte, “La </w:t>
      </w:r>
      <w:proofErr w:type="spellStart"/>
      <w:r w:rsidRPr="00A9717C">
        <w:rPr>
          <w:rFonts w:cs="Times New Roman"/>
          <w:lang w:val="en-CA"/>
        </w:rPr>
        <w:t>demande</w:t>
      </w:r>
      <w:proofErr w:type="spellEnd"/>
      <w:r w:rsidRPr="00A9717C">
        <w:rPr>
          <w:rFonts w:cs="Times New Roman"/>
          <w:lang w:val="en-CA"/>
        </w:rPr>
        <w:t xml:space="preserve"> </w:t>
      </w:r>
      <w:proofErr w:type="spellStart"/>
      <w:r w:rsidRPr="00A9717C">
        <w:rPr>
          <w:rFonts w:cs="Times New Roman"/>
          <w:lang w:val="en-CA"/>
        </w:rPr>
        <w:t>judiciaire</w:t>
      </w:r>
      <w:proofErr w:type="spellEnd"/>
      <w:r w:rsidRPr="00A9717C">
        <w:rPr>
          <w:rFonts w:cs="Times New Roman"/>
          <w:lang w:val="en-CA"/>
        </w:rPr>
        <w:t xml:space="preserve">”, at p. 550; </w:t>
      </w:r>
      <w:proofErr w:type="spellStart"/>
      <w:r w:rsidRPr="00A9717C">
        <w:rPr>
          <w:rFonts w:cs="Times New Roman"/>
          <w:lang w:val="en-CA"/>
        </w:rPr>
        <w:t>Gidrol</w:t>
      </w:r>
      <w:proofErr w:type="spellEnd"/>
      <w:r w:rsidRPr="00A9717C">
        <w:rPr>
          <w:rFonts w:cs="Times New Roman"/>
          <w:lang w:val="en-CA"/>
        </w:rPr>
        <w:noBreakHyphen/>
        <w:t xml:space="preserve">Mistral, at pp. 331 and 333). In this respect, the requirement in art. 2918 </w:t>
      </w:r>
      <w:r w:rsidRPr="00A9717C">
        <w:rPr>
          <w:rFonts w:cs="Times New Roman"/>
          <w:i/>
          <w:lang w:val="en-CA"/>
        </w:rPr>
        <w:t>C.C.Q.</w:t>
      </w:r>
      <w:r w:rsidRPr="00A9717C">
        <w:rPr>
          <w:rFonts w:cs="Times New Roman"/>
          <w:lang w:val="en-CA"/>
        </w:rPr>
        <w:t xml:space="preserve"> is more like a procedural condition than a substantive one (</w:t>
      </w:r>
      <w:proofErr w:type="spellStart"/>
      <w:r w:rsidRPr="00A9717C">
        <w:rPr>
          <w:rFonts w:cs="Times New Roman"/>
          <w:lang w:val="en-CA"/>
        </w:rPr>
        <w:t>Vincelette</w:t>
      </w:r>
      <w:proofErr w:type="spellEnd"/>
      <w:r w:rsidRPr="00A9717C">
        <w:rPr>
          <w:rFonts w:cs="Times New Roman"/>
          <w:lang w:val="en-CA"/>
        </w:rPr>
        <w:t>, at para. 515). All these characteristics suggest a nature that is more declarative than right</w:t>
      </w:r>
      <w:r w:rsidRPr="00A9717C">
        <w:rPr>
          <w:rFonts w:cs="Times New Roman"/>
          <w:lang w:val="en-CA"/>
        </w:rPr>
        <w:noBreakHyphen/>
        <w:t>granting or constitutive (</w:t>
      </w:r>
      <w:proofErr w:type="spellStart"/>
      <w:r w:rsidRPr="00A9717C">
        <w:rPr>
          <w:rFonts w:cs="Times New Roman"/>
          <w:lang w:val="en-CA"/>
        </w:rPr>
        <w:t>Lamontagne</w:t>
      </w:r>
      <w:proofErr w:type="spellEnd"/>
      <w:r w:rsidRPr="00A9717C">
        <w:rPr>
          <w:rFonts w:cs="Times New Roman"/>
          <w:lang w:val="en-CA"/>
        </w:rPr>
        <w:t xml:space="preserve">, </w:t>
      </w:r>
      <w:proofErr w:type="spellStart"/>
      <w:r w:rsidRPr="00A9717C">
        <w:rPr>
          <w:rFonts w:cs="Times New Roman"/>
          <w:i/>
          <w:lang w:val="en-CA"/>
        </w:rPr>
        <w:t>Biens</w:t>
      </w:r>
      <w:proofErr w:type="spellEnd"/>
      <w:r w:rsidRPr="00A9717C">
        <w:rPr>
          <w:rFonts w:cs="Times New Roman"/>
          <w:i/>
          <w:lang w:val="en-CA"/>
        </w:rPr>
        <w:t xml:space="preserve"> et </w:t>
      </w:r>
      <w:proofErr w:type="spellStart"/>
      <w:r w:rsidRPr="00A9717C">
        <w:rPr>
          <w:rFonts w:cs="Times New Roman"/>
          <w:i/>
          <w:lang w:val="en-CA"/>
        </w:rPr>
        <w:t>propriété</w:t>
      </w:r>
      <w:proofErr w:type="spellEnd"/>
      <w:r w:rsidRPr="00A9717C">
        <w:rPr>
          <w:rFonts w:cs="Times New Roman"/>
          <w:lang w:val="en-CA"/>
        </w:rPr>
        <w:t xml:space="preserve">, at p. 490; Pratte, “La </w:t>
      </w:r>
      <w:proofErr w:type="spellStart"/>
      <w:r w:rsidRPr="00A9717C">
        <w:rPr>
          <w:rFonts w:cs="Times New Roman"/>
          <w:lang w:val="en-CA"/>
        </w:rPr>
        <w:t>demande</w:t>
      </w:r>
      <w:proofErr w:type="spellEnd"/>
      <w:r w:rsidRPr="00A9717C">
        <w:rPr>
          <w:rFonts w:cs="Times New Roman"/>
          <w:lang w:val="en-CA"/>
        </w:rPr>
        <w:t xml:space="preserve"> </w:t>
      </w:r>
      <w:proofErr w:type="spellStart"/>
      <w:r w:rsidRPr="00A9717C">
        <w:rPr>
          <w:rFonts w:cs="Times New Roman"/>
          <w:lang w:val="en-CA"/>
        </w:rPr>
        <w:t>judiciaire</w:t>
      </w:r>
      <w:proofErr w:type="spellEnd"/>
      <w:r w:rsidRPr="00A9717C">
        <w:rPr>
          <w:rFonts w:cs="Times New Roman"/>
          <w:lang w:val="en-CA"/>
        </w:rPr>
        <w:t>”, at pp. 550</w:t>
      </w:r>
      <w:r w:rsidRPr="00A9717C">
        <w:rPr>
          <w:rFonts w:cs="Times New Roman"/>
          <w:lang w:val="en-CA"/>
        </w:rPr>
        <w:noBreakHyphen/>
        <w:t xml:space="preserve">51; </w:t>
      </w:r>
      <w:proofErr w:type="spellStart"/>
      <w:r w:rsidRPr="00A9717C">
        <w:rPr>
          <w:rFonts w:cs="Times New Roman"/>
          <w:lang w:val="en-CA"/>
        </w:rPr>
        <w:t>Gidrol</w:t>
      </w:r>
      <w:proofErr w:type="spellEnd"/>
      <w:r w:rsidRPr="00A9717C">
        <w:rPr>
          <w:rFonts w:cs="Times New Roman"/>
          <w:lang w:val="en-CA"/>
        </w:rPr>
        <w:noBreakHyphen/>
        <w:t xml:space="preserve">Mistral, at p. 333; </w:t>
      </w:r>
      <w:proofErr w:type="spellStart"/>
      <w:r w:rsidRPr="00A9717C">
        <w:rPr>
          <w:rFonts w:cs="Times New Roman"/>
          <w:lang w:val="en-CA"/>
        </w:rPr>
        <w:t>Vincelette</w:t>
      </w:r>
      <w:proofErr w:type="spellEnd"/>
      <w:r w:rsidRPr="00A9717C">
        <w:rPr>
          <w:rFonts w:cs="Times New Roman"/>
          <w:lang w:val="en-CA"/>
        </w:rPr>
        <w:t>, at para. 514).</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It is in fact relevant in this regard that art. 468 of the new </w:t>
      </w:r>
      <w:r w:rsidRPr="00A9717C">
        <w:rPr>
          <w:rFonts w:cs="Times New Roman"/>
          <w:i/>
          <w:lang w:val="en-CA"/>
        </w:rPr>
        <w:t>Code of Civil Procedure</w:t>
      </w:r>
      <w:r w:rsidRPr="00A9717C">
        <w:rPr>
          <w:rFonts w:cs="Times New Roman"/>
          <w:lang w:val="en-CA"/>
        </w:rPr>
        <w:t xml:space="preserve">, which has replaced arts. 805 and 806 </w:t>
      </w:r>
      <w:r w:rsidRPr="00A9717C">
        <w:rPr>
          <w:rFonts w:cs="Times New Roman"/>
          <w:i/>
          <w:lang w:val="en-CA"/>
        </w:rPr>
        <w:t>C.C.P.</w:t>
      </w:r>
      <w:r w:rsidRPr="00A9717C">
        <w:rPr>
          <w:rFonts w:cs="Times New Roman"/>
          <w:lang w:val="en-CA"/>
        </w:rPr>
        <w:t xml:space="preserve">, </w:t>
      </w:r>
      <w:proofErr w:type="spellStart"/>
      <w:r w:rsidRPr="00A9717C">
        <w:rPr>
          <w:rFonts w:cs="Times New Roman"/>
          <w:lang w:val="en-CA"/>
        </w:rPr>
        <w:t>refers</w:t>
      </w:r>
      <w:proofErr w:type="spellEnd"/>
      <w:r w:rsidRPr="00A9717C">
        <w:rPr>
          <w:rFonts w:cs="Times New Roman"/>
          <w:lang w:val="en-CA"/>
        </w:rPr>
        <w:t xml:space="preserve"> not to the granting of the right of ownership, but simply to “[a]n application relating to acquisitive prescription of an immovable” and to the fact that the court “is to determine the right of ownership”. This new article in no way suggests that the judgment under art. 2918 </w:t>
      </w:r>
      <w:r w:rsidRPr="00A9717C">
        <w:rPr>
          <w:rFonts w:cs="Times New Roman"/>
          <w:i/>
          <w:lang w:val="en-CA"/>
        </w:rPr>
        <w:t>C.C.Q.</w:t>
      </w:r>
      <w:r w:rsidRPr="00A9717C">
        <w:rPr>
          <w:rFonts w:cs="Times New Roman"/>
          <w:lang w:val="en-CA"/>
        </w:rPr>
        <w:t xml:space="preserve"> has the proposed right</w:t>
      </w:r>
      <w:r w:rsidRPr="00A9717C">
        <w:rPr>
          <w:rFonts w:cs="Times New Roman"/>
          <w:lang w:val="en-CA"/>
        </w:rPr>
        <w:noBreakHyphen/>
        <w:t>granting effect.</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lastRenderedPageBreak/>
        <w:t xml:space="preserve">Furthermore, the view that the judgment under art. 2918 </w:t>
      </w:r>
      <w:r w:rsidRPr="00A9717C">
        <w:rPr>
          <w:rFonts w:cs="Times New Roman"/>
          <w:i/>
          <w:lang w:val="en-CA"/>
        </w:rPr>
        <w:t>C.C.Q.</w:t>
      </w:r>
      <w:r w:rsidRPr="00A9717C">
        <w:rPr>
          <w:rFonts w:cs="Times New Roman"/>
          <w:lang w:val="en-CA"/>
        </w:rPr>
        <w:t xml:space="preserve"> is declarative in nature is more consistent with the very nature of prescription, which is acquired simply through the “effect of possession”, once “the last day of the period has elapsed” (arts. 2879 and 2910 </w:t>
      </w:r>
      <w:r w:rsidRPr="00A9717C">
        <w:rPr>
          <w:rFonts w:cs="Times New Roman"/>
          <w:i/>
          <w:lang w:val="en-CA"/>
        </w:rPr>
        <w:t>C.C.Q.</w:t>
      </w:r>
      <w:r w:rsidRPr="00A9717C">
        <w:rPr>
          <w:rFonts w:cs="Times New Roman"/>
          <w:lang w:val="en-CA"/>
        </w:rPr>
        <w:t>). If the right is acquired simply by the lapse of time, the judgment [</w:t>
      </w:r>
      <w:r w:rsidRPr="00A9717C">
        <w:rPr>
          <w:rFonts w:cs="Times New Roman"/>
          <w:smallCaps/>
          <w:lang w:val="en-CA"/>
        </w:rPr>
        <w:t xml:space="preserve">translation] </w:t>
      </w:r>
      <w:r w:rsidRPr="00A9717C">
        <w:rPr>
          <w:rFonts w:cs="Times New Roman"/>
          <w:lang w:val="en-CA"/>
        </w:rPr>
        <w:t xml:space="preserve">“cannot create a right, because that right already </w:t>
      </w:r>
      <w:proofErr w:type="gramStart"/>
      <w:r w:rsidRPr="00A9717C">
        <w:rPr>
          <w:rFonts w:cs="Times New Roman"/>
          <w:lang w:val="en-CA"/>
        </w:rPr>
        <w:t>exists .</w:t>
      </w:r>
      <w:proofErr w:type="gramEnd"/>
      <w:r w:rsidRPr="00A9717C">
        <w:rPr>
          <w:rFonts w:cs="Times New Roman"/>
          <w:lang w:val="en-CA"/>
        </w:rPr>
        <w:t> . . . Since the judgment recognizes a pre</w:t>
      </w:r>
      <w:r w:rsidRPr="00A9717C">
        <w:rPr>
          <w:rFonts w:cs="Times New Roman"/>
          <w:lang w:val="en-CA"/>
        </w:rPr>
        <w:noBreakHyphen/>
        <w:t>existing right, it is necessarily declarative” (</w:t>
      </w:r>
      <w:proofErr w:type="spellStart"/>
      <w:r w:rsidRPr="00A9717C">
        <w:rPr>
          <w:rFonts w:cs="Times New Roman"/>
          <w:lang w:val="en-CA"/>
        </w:rPr>
        <w:t>Gidrol</w:t>
      </w:r>
      <w:proofErr w:type="spellEnd"/>
      <w:r w:rsidRPr="00A9717C">
        <w:rPr>
          <w:rFonts w:cs="Times New Roman"/>
          <w:lang w:val="en-CA"/>
        </w:rPr>
        <w:noBreakHyphen/>
        <w:t xml:space="preserve">Mistral, at p. 335). Moreover, at the risk of repeating </w:t>
      </w:r>
      <w:proofErr w:type="gramStart"/>
      <w:r w:rsidRPr="00A9717C">
        <w:rPr>
          <w:rFonts w:cs="Times New Roman"/>
          <w:lang w:val="en-CA"/>
        </w:rPr>
        <w:t>myself</w:t>
      </w:r>
      <w:proofErr w:type="gramEnd"/>
      <w:r w:rsidRPr="00A9717C">
        <w:rPr>
          <w:rFonts w:cs="Times New Roman"/>
          <w:lang w:val="en-CA"/>
        </w:rPr>
        <w:t xml:space="preserve">, if no right existed before the judgment under art. 2918 </w:t>
      </w:r>
      <w:r w:rsidRPr="00A9717C">
        <w:rPr>
          <w:rFonts w:cs="Times New Roman"/>
          <w:i/>
          <w:lang w:val="en-CA"/>
        </w:rPr>
        <w:t>C.C.Q.</w:t>
      </w:r>
      <w:r w:rsidRPr="00A9717C">
        <w:rPr>
          <w:rFonts w:cs="Times New Roman"/>
          <w:lang w:val="en-CA"/>
        </w:rPr>
        <w:t xml:space="preserve">, there would be no need to specify in the </w:t>
      </w:r>
      <w:r w:rsidRPr="00A9717C">
        <w:rPr>
          <w:rFonts w:cs="Times New Roman"/>
          <w:i/>
          <w:lang w:val="en-CA"/>
        </w:rPr>
        <w:t>Code</w:t>
      </w:r>
      <w:r w:rsidRPr="00A9717C">
        <w:rPr>
          <w:rFonts w:cs="Times New Roman"/>
          <w:lang w:val="en-CA"/>
        </w:rPr>
        <w:t xml:space="preserve"> that “renunciation of acquired prescription with respect to immovable real rights shall be published” (art. 2885 </w:t>
      </w:r>
      <w:r w:rsidRPr="00A9717C">
        <w:rPr>
          <w:rFonts w:cs="Times New Roman"/>
          <w:i/>
          <w:lang w:val="en-CA"/>
        </w:rPr>
        <w:t>C.C.Q.</w:t>
      </w:r>
      <w:r w:rsidRPr="00A9717C">
        <w:rPr>
          <w:rFonts w:cs="Times New Roman"/>
          <w:lang w:val="en-CA"/>
        </w:rPr>
        <w:t>).</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 would add that even though the Quebec Court of Appeal has not ruled directly on this issue, what it has continually done since 1994 is to </w:t>
      </w:r>
      <w:r w:rsidRPr="00A9717C">
        <w:rPr>
          <w:rFonts w:cs="Times New Roman"/>
          <w:i/>
          <w:lang w:val="en-CA"/>
        </w:rPr>
        <w:t xml:space="preserve">declare </w:t>
      </w:r>
      <w:r w:rsidRPr="00A9717C">
        <w:rPr>
          <w:rFonts w:cs="Times New Roman"/>
          <w:lang w:val="en-CA"/>
        </w:rPr>
        <w:t xml:space="preserve">the possessor to be an owner under art. 2918 </w:t>
      </w:r>
      <w:r w:rsidRPr="00A9717C">
        <w:rPr>
          <w:rFonts w:cs="Times New Roman"/>
          <w:i/>
          <w:lang w:val="en-CA"/>
        </w:rPr>
        <w:t>C.C.Q.</w:t>
      </w:r>
      <w:r w:rsidRPr="00A9717C">
        <w:rPr>
          <w:rFonts w:cs="Times New Roman"/>
          <w:lang w:val="en-CA"/>
        </w:rPr>
        <w:t xml:space="preserve">, not to </w:t>
      </w:r>
      <w:r w:rsidRPr="00A9717C">
        <w:rPr>
          <w:rFonts w:cs="Times New Roman"/>
          <w:i/>
          <w:lang w:val="en-CA"/>
        </w:rPr>
        <w:t>grant</w:t>
      </w:r>
      <w:r w:rsidRPr="00A9717C">
        <w:rPr>
          <w:rFonts w:cs="Times New Roman"/>
          <w:lang w:val="en-CA"/>
        </w:rPr>
        <w:t xml:space="preserve"> a right of ownership to the possessor (see, among others, </w:t>
      </w:r>
      <w:proofErr w:type="spellStart"/>
      <w:r w:rsidRPr="00A9717C">
        <w:rPr>
          <w:rFonts w:cs="Times New Roman"/>
          <w:i/>
          <w:lang w:val="en-CA"/>
        </w:rPr>
        <w:t>Dupuy</w:t>
      </w:r>
      <w:proofErr w:type="spellEnd"/>
      <w:r w:rsidRPr="00A9717C">
        <w:rPr>
          <w:rFonts w:cs="Times New Roman"/>
          <w:lang w:val="en-CA"/>
        </w:rPr>
        <w:t>, at paras. </w:t>
      </w:r>
      <w:r w:rsidRPr="00A9717C">
        <w:rPr>
          <w:rFonts w:cs="Times New Roman"/>
        </w:rPr>
        <w:t xml:space="preserve">6, 53 and 71; </w:t>
      </w:r>
      <w:r w:rsidRPr="00A9717C">
        <w:rPr>
          <w:rFonts w:cs="Times New Roman"/>
          <w:i/>
        </w:rPr>
        <w:t>Dion v. Ouellet</w:t>
      </w:r>
      <w:r w:rsidRPr="00A9717C">
        <w:rPr>
          <w:rFonts w:cs="Times New Roman"/>
          <w:i/>
        </w:rPr>
        <w:noBreakHyphen/>
      </w:r>
      <w:proofErr w:type="spellStart"/>
      <w:r w:rsidRPr="00A9717C">
        <w:rPr>
          <w:rFonts w:cs="Times New Roman"/>
          <w:i/>
        </w:rPr>
        <w:t>Latulippe</w:t>
      </w:r>
      <w:proofErr w:type="spellEnd"/>
      <w:r w:rsidRPr="00A9717C">
        <w:rPr>
          <w:rFonts w:cs="Times New Roman"/>
        </w:rPr>
        <w:t>, 2008 QCCA 1812, at para. 6 (</w:t>
      </w:r>
      <w:proofErr w:type="spellStart"/>
      <w:r w:rsidRPr="00A9717C">
        <w:rPr>
          <w:rFonts w:cs="Times New Roman"/>
        </w:rPr>
        <w:t>CanLII</w:t>
      </w:r>
      <w:proofErr w:type="spellEnd"/>
      <w:r w:rsidRPr="00A9717C">
        <w:rPr>
          <w:rFonts w:cs="Times New Roman"/>
        </w:rPr>
        <w:t xml:space="preserve">); </w:t>
      </w:r>
      <w:r w:rsidRPr="00A9717C">
        <w:rPr>
          <w:rFonts w:cs="Times New Roman"/>
          <w:i/>
        </w:rPr>
        <w:t xml:space="preserve">Sylviculture </w:t>
      </w:r>
      <w:proofErr w:type="gramStart"/>
      <w:r w:rsidRPr="00A9717C">
        <w:rPr>
          <w:rFonts w:cs="Times New Roman"/>
          <w:i/>
        </w:rPr>
        <w:t>et</w:t>
      </w:r>
      <w:proofErr w:type="gramEnd"/>
      <w:r w:rsidRPr="00A9717C">
        <w:rPr>
          <w:rFonts w:cs="Times New Roman"/>
          <w:i/>
        </w:rPr>
        <w:t xml:space="preserve"> exploitation J.M.J. </w:t>
      </w:r>
      <w:proofErr w:type="spellStart"/>
      <w:r w:rsidRPr="00A9717C">
        <w:rPr>
          <w:rFonts w:cs="Times New Roman"/>
          <w:i/>
        </w:rPr>
        <w:t>inc.</w:t>
      </w:r>
      <w:proofErr w:type="spellEnd"/>
      <w:r w:rsidRPr="00A9717C">
        <w:rPr>
          <w:rFonts w:cs="Times New Roman"/>
          <w:i/>
        </w:rPr>
        <w:t xml:space="preserve"> v. Mayer Hill</w:t>
      </w:r>
      <w:r w:rsidRPr="00A9717C">
        <w:rPr>
          <w:rFonts w:cs="Times New Roman"/>
        </w:rPr>
        <w:t>, 2012 QCCA 1377, at paras. </w:t>
      </w:r>
      <w:r w:rsidRPr="00A9717C">
        <w:rPr>
          <w:rFonts w:cs="Times New Roman"/>
          <w:lang w:val="en-CA"/>
        </w:rPr>
        <w:t>1 and 4 (</w:t>
      </w:r>
      <w:proofErr w:type="spellStart"/>
      <w:r w:rsidRPr="00A9717C">
        <w:rPr>
          <w:rFonts w:cs="Times New Roman"/>
          <w:lang w:val="en-CA"/>
        </w:rPr>
        <w:t>CanLII</w:t>
      </w:r>
      <w:proofErr w:type="spellEnd"/>
      <w:r w:rsidRPr="00A9717C">
        <w:rPr>
          <w:rFonts w:cs="Times New Roman"/>
          <w:lang w:val="en-CA"/>
        </w:rPr>
        <w:t xml:space="preserve">)).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As for the Quebec Superior Court, it has ruled on several occasions that [</w:t>
      </w:r>
      <w:r w:rsidRPr="00A9717C">
        <w:rPr>
          <w:rFonts w:cs="Times New Roman"/>
          <w:smallCaps/>
          <w:lang w:val="en-CA"/>
        </w:rPr>
        <w:t xml:space="preserve">translation] </w:t>
      </w:r>
      <w:r w:rsidRPr="00A9717C">
        <w:rPr>
          <w:rFonts w:cs="Times New Roman"/>
          <w:lang w:val="en-CA"/>
        </w:rPr>
        <w:t xml:space="preserve">“the judgment [under art. 2918 </w:t>
      </w:r>
      <w:r w:rsidRPr="00A9717C">
        <w:rPr>
          <w:rFonts w:cs="Times New Roman"/>
          <w:i/>
          <w:lang w:val="en-CA"/>
        </w:rPr>
        <w:t>C.C.Q.</w:t>
      </w:r>
      <w:r w:rsidRPr="00A9717C">
        <w:rPr>
          <w:rFonts w:cs="Times New Roman"/>
          <w:lang w:val="en-CA"/>
        </w:rPr>
        <w:t>] has the effect of declaring or confirming ownership”, or at the very least, that it always operates retroactively (</w:t>
      </w:r>
      <w:r w:rsidRPr="00A9717C">
        <w:rPr>
          <w:rFonts w:cs="Times New Roman"/>
          <w:i/>
          <w:lang w:val="en-CA"/>
        </w:rPr>
        <w:t>De Repentigny v. Fortin (Succession)</w:t>
      </w:r>
      <w:r w:rsidRPr="00A9717C">
        <w:rPr>
          <w:rFonts w:cs="Times New Roman"/>
          <w:lang w:val="en-CA"/>
        </w:rPr>
        <w:t>, 2012 QCCS 905, at para. 55 (</w:t>
      </w:r>
      <w:proofErr w:type="spellStart"/>
      <w:r w:rsidRPr="00A9717C">
        <w:rPr>
          <w:rFonts w:cs="Times New Roman"/>
          <w:lang w:val="en-CA"/>
        </w:rPr>
        <w:t>CanLII</w:t>
      </w:r>
      <w:proofErr w:type="spellEnd"/>
      <w:r w:rsidRPr="00A9717C">
        <w:rPr>
          <w:rFonts w:cs="Times New Roman"/>
          <w:lang w:val="en-CA"/>
        </w:rPr>
        <w:t xml:space="preserve">); see also </w:t>
      </w:r>
      <w:r w:rsidRPr="00A9717C">
        <w:rPr>
          <w:rFonts w:cs="Times New Roman"/>
          <w:i/>
          <w:lang w:val="en-CA"/>
        </w:rPr>
        <w:t>Breton v. Fortin</w:t>
      </w:r>
      <w:r w:rsidRPr="00A9717C">
        <w:rPr>
          <w:rFonts w:cs="Times New Roman"/>
          <w:lang w:val="en-CA"/>
        </w:rPr>
        <w:t>, 2016 QCCS 6149, at paras. 64</w:t>
      </w:r>
      <w:r w:rsidRPr="00A9717C">
        <w:rPr>
          <w:rFonts w:cs="Times New Roman"/>
          <w:lang w:val="en-CA"/>
        </w:rPr>
        <w:noBreakHyphen/>
        <w:t>65 (</w:t>
      </w:r>
      <w:proofErr w:type="spellStart"/>
      <w:r w:rsidRPr="00A9717C">
        <w:rPr>
          <w:rFonts w:cs="Times New Roman"/>
          <w:lang w:val="en-CA"/>
        </w:rPr>
        <w:t>CanLII</w:t>
      </w:r>
      <w:proofErr w:type="spellEnd"/>
      <w:r w:rsidRPr="00A9717C">
        <w:rPr>
          <w:rFonts w:cs="Times New Roman"/>
          <w:lang w:val="en-CA"/>
        </w:rPr>
        <w:t xml:space="preserve">); </w:t>
      </w:r>
      <w:r w:rsidRPr="00A9717C">
        <w:rPr>
          <w:rFonts w:cs="Times New Roman"/>
          <w:i/>
          <w:lang w:val="en-CA"/>
        </w:rPr>
        <w:t>Gosselin v. Turner</w:t>
      </w:r>
      <w:r w:rsidRPr="00A9717C">
        <w:rPr>
          <w:rFonts w:cs="Times New Roman"/>
          <w:lang w:val="en-CA"/>
        </w:rPr>
        <w:t xml:space="preserve">, 2012 </w:t>
      </w:r>
      <w:r w:rsidRPr="00A9717C">
        <w:rPr>
          <w:rFonts w:cs="Times New Roman"/>
          <w:lang w:val="en-CA"/>
        </w:rPr>
        <w:lastRenderedPageBreak/>
        <w:t>QCCS 388, at para. 57 (</w:t>
      </w:r>
      <w:proofErr w:type="spellStart"/>
      <w:r w:rsidRPr="00A9717C">
        <w:rPr>
          <w:rFonts w:cs="Times New Roman"/>
          <w:lang w:val="en-CA"/>
        </w:rPr>
        <w:t>CanLII</w:t>
      </w:r>
      <w:proofErr w:type="spellEnd"/>
      <w:r w:rsidRPr="00A9717C">
        <w:rPr>
          <w:rFonts w:cs="Times New Roman"/>
          <w:lang w:val="en-CA"/>
        </w:rPr>
        <w:t xml:space="preserve">); </w:t>
      </w:r>
      <w:r w:rsidRPr="00A9717C">
        <w:rPr>
          <w:rFonts w:cs="Times New Roman"/>
          <w:i/>
          <w:lang w:val="en-CA"/>
        </w:rPr>
        <w:t>Caron v. Gauthier</w:t>
      </w:r>
      <w:r w:rsidRPr="00A9717C">
        <w:rPr>
          <w:rFonts w:cs="Times New Roman"/>
          <w:lang w:val="en-CA"/>
        </w:rPr>
        <w:t>, 2011 QCCS 2898, at paras. 51</w:t>
      </w:r>
      <w:r w:rsidRPr="00A9717C">
        <w:rPr>
          <w:rFonts w:cs="Times New Roman"/>
          <w:lang w:val="en-CA"/>
        </w:rPr>
        <w:noBreakHyphen/>
        <w:t>52 (</w:t>
      </w:r>
      <w:proofErr w:type="spellStart"/>
      <w:r w:rsidRPr="00A9717C">
        <w:rPr>
          <w:rFonts w:cs="Times New Roman"/>
          <w:lang w:val="en-CA"/>
        </w:rPr>
        <w:t>CanLII</w:t>
      </w:r>
      <w:proofErr w:type="spellEnd"/>
      <w:r w:rsidRPr="00A9717C">
        <w:rPr>
          <w:rFonts w:cs="Times New Roman"/>
          <w:lang w:val="en-CA"/>
        </w:rPr>
        <w:t>)). The Superior Court recently stated that effective possession [</w:t>
      </w:r>
      <w:r w:rsidRPr="00A9717C">
        <w:rPr>
          <w:rFonts w:cs="Times New Roman"/>
          <w:smallCaps/>
          <w:lang w:val="en-CA"/>
        </w:rPr>
        <w:t>translation</w:t>
      </w:r>
      <w:r w:rsidRPr="00A9717C">
        <w:rPr>
          <w:rFonts w:cs="Times New Roman"/>
          <w:lang w:val="en-CA"/>
        </w:rPr>
        <w:t>] “prevails over titles and leads to prescription, which has force of title once it has been confirmed in a judgment” (</w:t>
      </w:r>
      <w:proofErr w:type="spellStart"/>
      <w:r w:rsidRPr="00A9717C">
        <w:rPr>
          <w:rFonts w:cs="Times New Roman"/>
          <w:i/>
          <w:lang w:val="en-CA"/>
        </w:rPr>
        <w:t>Beauséjour</w:t>
      </w:r>
      <w:proofErr w:type="spellEnd"/>
      <w:r w:rsidRPr="00A9717C">
        <w:rPr>
          <w:rFonts w:cs="Times New Roman"/>
          <w:i/>
          <w:lang w:val="en-CA"/>
        </w:rPr>
        <w:t xml:space="preserve"> v. Centre de ski Le </w:t>
      </w:r>
      <w:proofErr w:type="spellStart"/>
      <w:r w:rsidRPr="00A9717C">
        <w:rPr>
          <w:rFonts w:cs="Times New Roman"/>
          <w:i/>
          <w:lang w:val="en-CA"/>
        </w:rPr>
        <w:t>Relais</w:t>
      </w:r>
      <w:proofErr w:type="spellEnd"/>
      <w:r w:rsidRPr="00A9717C">
        <w:rPr>
          <w:rFonts w:cs="Times New Roman"/>
          <w:lang w:val="en-CA"/>
        </w:rPr>
        <w:t>, 2015 QCCS 127, at para. 23 (</w:t>
      </w:r>
      <w:proofErr w:type="spellStart"/>
      <w:r w:rsidRPr="00A9717C">
        <w:rPr>
          <w:rFonts w:cs="Times New Roman"/>
          <w:lang w:val="en-CA"/>
        </w:rPr>
        <w:t>CanLII</w:t>
      </w:r>
      <w:proofErr w:type="spellEnd"/>
      <w:r w:rsidRPr="00A9717C">
        <w:rPr>
          <w:rFonts w:cs="Times New Roman"/>
          <w:lang w:val="en-CA"/>
        </w:rPr>
        <w:t>)). It is true that the Superior Court has at times concluded [</w:t>
      </w:r>
      <w:r w:rsidRPr="00A9717C">
        <w:rPr>
          <w:rFonts w:cs="Times New Roman"/>
          <w:smallCaps/>
          <w:lang w:val="en-CA"/>
        </w:rPr>
        <w:t xml:space="preserve">translation] </w:t>
      </w:r>
      <w:r w:rsidRPr="00A9717C">
        <w:rPr>
          <w:rFonts w:cs="Times New Roman"/>
          <w:lang w:val="en-CA"/>
        </w:rPr>
        <w:t>“that legal proceedings are required in order to ‘acquire’ ownership of an immovable by prescription” (</w:t>
      </w:r>
      <w:r w:rsidRPr="00A9717C">
        <w:rPr>
          <w:rFonts w:cs="Times New Roman"/>
          <w:i/>
          <w:lang w:val="en-CA"/>
        </w:rPr>
        <w:t xml:space="preserve">Cabana v. </w:t>
      </w:r>
      <w:proofErr w:type="spellStart"/>
      <w:r w:rsidRPr="00A9717C">
        <w:rPr>
          <w:rFonts w:cs="Times New Roman"/>
          <w:i/>
          <w:lang w:val="en-CA"/>
        </w:rPr>
        <w:t>Valiquette</w:t>
      </w:r>
      <w:proofErr w:type="spellEnd"/>
      <w:r w:rsidRPr="00A9717C">
        <w:rPr>
          <w:rFonts w:cs="Times New Roman"/>
          <w:lang w:val="en-CA"/>
        </w:rPr>
        <w:t>, 2013 QCCS 4710, at para. 86 (</w:t>
      </w:r>
      <w:proofErr w:type="spellStart"/>
      <w:r w:rsidRPr="00A9717C">
        <w:rPr>
          <w:rFonts w:cs="Times New Roman"/>
          <w:lang w:val="en-CA"/>
        </w:rPr>
        <w:t>CanLII</w:t>
      </w:r>
      <w:proofErr w:type="spellEnd"/>
      <w:r w:rsidRPr="00A9717C">
        <w:rPr>
          <w:rFonts w:cs="Times New Roman"/>
          <w:lang w:val="en-CA"/>
        </w:rPr>
        <w:t xml:space="preserve">)). In </w:t>
      </w:r>
      <w:r w:rsidRPr="00A9717C">
        <w:rPr>
          <w:rFonts w:cs="Times New Roman"/>
          <w:i/>
          <w:lang w:val="en-CA"/>
        </w:rPr>
        <w:t>Cabana</w:t>
      </w:r>
      <w:r w:rsidRPr="00A9717C">
        <w:rPr>
          <w:rFonts w:cs="Times New Roman"/>
          <w:lang w:val="en-CA"/>
        </w:rPr>
        <w:t xml:space="preserve">, however, it stated that the possessors were “entitled to have the parcel of land at issue granted to them </w:t>
      </w:r>
      <w:r w:rsidRPr="00A9717C">
        <w:rPr>
          <w:rFonts w:cs="Times New Roman"/>
          <w:u w:val="single"/>
          <w:lang w:val="en-CA"/>
        </w:rPr>
        <w:t>because they ha[d] acquired it</w:t>
      </w:r>
      <w:r w:rsidRPr="00A9717C">
        <w:rPr>
          <w:rFonts w:cs="Times New Roman"/>
          <w:lang w:val="en-CA"/>
        </w:rPr>
        <w:t xml:space="preserve"> through prescription” (para. 94 (emphasis added)). Moreover, in affirming that decision, the Court of Appeal noted that [</w:t>
      </w:r>
      <w:r w:rsidRPr="00A9717C">
        <w:rPr>
          <w:rFonts w:cs="Times New Roman"/>
          <w:smallCaps/>
          <w:lang w:val="en-CA"/>
        </w:rPr>
        <w:t>translation] “</w:t>
      </w:r>
      <w:r w:rsidRPr="00A9717C">
        <w:rPr>
          <w:rFonts w:cs="Times New Roman"/>
          <w:lang w:val="en-CA"/>
        </w:rPr>
        <w:t xml:space="preserve">prescription </w:t>
      </w:r>
      <w:r w:rsidRPr="00A9717C">
        <w:rPr>
          <w:rFonts w:cs="Times New Roman"/>
          <w:u w:val="single"/>
          <w:lang w:val="en-CA"/>
        </w:rPr>
        <w:t>had therefore</w:t>
      </w:r>
      <w:r w:rsidRPr="00A9717C">
        <w:rPr>
          <w:rFonts w:cs="Times New Roman"/>
          <w:lang w:val="en-CA"/>
        </w:rPr>
        <w:t xml:space="preserve"> already </w:t>
      </w:r>
      <w:r w:rsidRPr="00A9717C">
        <w:rPr>
          <w:rFonts w:cs="Times New Roman"/>
          <w:u w:val="single"/>
          <w:lang w:val="en-CA"/>
        </w:rPr>
        <w:t>been acquired</w:t>
      </w:r>
      <w:r w:rsidRPr="00A9717C">
        <w:rPr>
          <w:rFonts w:cs="Times New Roman"/>
          <w:lang w:val="en-CA"/>
        </w:rPr>
        <w:t xml:space="preserve"> for several years” as of 2007, that is, well before the trial judge’s decision (2015 QCCA 1520, at para. 18 (</w:t>
      </w:r>
      <w:proofErr w:type="spellStart"/>
      <w:r w:rsidRPr="00A9717C">
        <w:rPr>
          <w:rFonts w:cs="Times New Roman"/>
          <w:lang w:val="en-CA"/>
        </w:rPr>
        <w:t>CanLII</w:t>
      </w:r>
      <w:proofErr w:type="spellEnd"/>
      <w:r w:rsidRPr="00A9717C">
        <w:rPr>
          <w:rFonts w:cs="Times New Roman"/>
          <w:lang w:val="en-CA"/>
        </w:rPr>
        <w:t>)</w:t>
      </w:r>
      <w:r w:rsidR="00FD4276">
        <w:rPr>
          <w:rFonts w:cs="Times New Roman"/>
          <w:lang w:val="en-CA"/>
        </w:rPr>
        <w:t xml:space="preserve"> (emphasis added)</w:t>
      </w:r>
      <w:r w:rsidRPr="00A9717C">
        <w:rPr>
          <w:rFonts w:cs="Times New Roman"/>
          <w:lang w:val="en-CA"/>
        </w:rPr>
        <w:t xml:space="preserve">). As for the Superior Court decisions cited by the dissenting judge in the Court of Appeal in the instant case to argue that the judgment under art. 2918 </w:t>
      </w:r>
      <w:r w:rsidRPr="00A9717C">
        <w:rPr>
          <w:rFonts w:cs="Times New Roman"/>
          <w:i/>
          <w:lang w:val="en-CA"/>
        </w:rPr>
        <w:t>C.C.Q.</w:t>
      </w:r>
      <w:r w:rsidRPr="00A9717C">
        <w:rPr>
          <w:rFonts w:cs="Times New Roman"/>
          <w:lang w:val="en-CA"/>
        </w:rPr>
        <w:t xml:space="preserve"> grants a right, they were rendered several years earlier; they do not appear to be consistent with the line of authority the court follows today (</w:t>
      </w:r>
      <w:r w:rsidRPr="00A9717C">
        <w:rPr>
          <w:rFonts w:cs="Times New Roman"/>
          <w:i/>
          <w:lang w:val="en-CA"/>
        </w:rPr>
        <w:t>Re Gagné</w:t>
      </w:r>
      <w:r w:rsidRPr="00A9717C">
        <w:rPr>
          <w:rFonts w:cs="Times New Roman"/>
          <w:lang w:val="en-CA"/>
        </w:rPr>
        <w:t>, 2009 QCCS 6064, at paras. </w:t>
      </w:r>
      <w:r w:rsidRPr="00A9717C">
        <w:rPr>
          <w:rFonts w:cs="Times New Roman"/>
        </w:rPr>
        <w:t>10 and 16 (</w:t>
      </w:r>
      <w:proofErr w:type="spellStart"/>
      <w:r w:rsidRPr="00A9717C">
        <w:rPr>
          <w:rFonts w:cs="Times New Roman"/>
        </w:rPr>
        <w:t>CanLII</w:t>
      </w:r>
      <w:proofErr w:type="spellEnd"/>
      <w:r w:rsidRPr="00A9717C">
        <w:rPr>
          <w:rFonts w:cs="Times New Roman"/>
        </w:rPr>
        <w:t xml:space="preserve">); </w:t>
      </w:r>
      <w:proofErr w:type="spellStart"/>
      <w:r w:rsidRPr="00A9717C">
        <w:rPr>
          <w:rFonts w:cs="Times New Roman"/>
          <w:i/>
        </w:rPr>
        <w:t>Re</w:t>
      </w:r>
      <w:proofErr w:type="spellEnd"/>
      <w:r w:rsidRPr="00A9717C">
        <w:rPr>
          <w:rFonts w:cs="Times New Roman"/>
          <w:i/>
        </w:rPr>
        <w:t xml:space="preserve"> Montmagny (Ville)</w:t>
      </w:r>
      <w:r w:rsidRPr="00A9717C">
        <w:rPr>
          <w:rFonts w:cs="Times New Roman"/>
        </w:rPr>
        <w:t xml:space="preserve">, 2005 </w:t>
      </w:r>
      <w:proofErr w:type="spellStart"/>
      <w:r w:rsidRPr="00A9717C">
        <w:rPr>
          <w:rFonts w:cs="Times New Roman"/>
        </w:rPr>
        <w:t>CanLII</w:t>
      </w:r>
      <w:proofErr w:type="spellEnd"/>
      <w:r w:rsidRPr="00A9717C">
        <w:rPr>
          <w:rFonts w:cs="Times New Roman"/>
        </w:rPr>
        <w:t xml:space="preserve"> 11604 (Que. Sup. Ct.), at para. 6; </w:t>
      </w:r>
      <w:proofErr w:type="spellStart"/>
      <w:r w:rsidRPr="00A9717C">
        <w:rPr>
          <w:rFonts w:cs="Times New Roman"/>
          <w:i/>
        </w:rPr>
        <w:t>Re</w:t>
      </w:r>
      <w:proofErr w:type="spellEnd"/>
      <w:r w:rsidRPr="00A9717C">
        <w:rPr>
          <w:rFonts w:cs="Times New Roman"/>
          <w:i/>
        </w:rPr>
        <w:t xml:space="preserve"> Béland</w:t>
      </w:r>
      <w:r w:rsidRPr="00A9717C">
        <w:rPr>
          <w:rFonts w:cs="Times New Roman"/>
        </w:rPr>
        <w:t xml:space="preserve">, 2005 </w:t>
      </w:r>
      <w:proofErr w:type="spellStart"/>
      <w:r w:rsidRPr="00A9717C">
        <w:rPr>
          <w:rFonts w:cs="Times New Roman"/>
        </w:rPr>
        <w:t>CanLII</w:t>
      </w:r>
      <w:proofErr w:type="spellEnd"/>
      <w:r w:rsidRPr="00A9717C">
        <w:rPr>
          <w:rFonts w:cs="Times New Roman"/>
        </w:rPr>
        <w:t xml:space="preserve"> 24349 (Que. Sup. Ct.), at para. </w:t>
      </w:r>
      <w:r w:rsidRPr="00A9717C">
        <w:rPr>
          <w:rFonts w:cs="Times New Roman"/>
          <w:lang w:val="en-CA"/>
        </w:rPr>
        <w:t xml:space="preserve">6).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Finally, no conclusion regarding the nature of the judgment under art. 2918 </w:t>
      </w:r>
      <w:r w:rsidRPr="00A9717C">
        <w:rPr>
          <w:rFonts w:cs="Times New Roman"/>
          <w:i/>
          <w:lang w:val="en-CA"/>
        </w:rPr>
        <w:t>C.C.Q.</w:t>
      </w:r>
      <w:r w:rsidRPr="00A9717C">
        <w:rPr>
          <w:rFonts w:cs="Times New Roman"/>
          <w:lang w:val="en-CA"/>
        </w:rPr>
        <w:t xml:space="preserve"> can be drawn from the fact that the length of the period applicable to acquisitive prescription was reduced from 30 to 10 years at the time of the enactment of the </w:t>
      </w:r>
      <w:r w:rsidRPr="00A9717C">
        <w:rPr>
          <w:rFonts w:cs="Times New Roman"/>
          <w:i/>
          <w:lang w:val="en-CA"/>
        </w:rPr>
        <w:t>C.C.Q.</w:t>
      </w:r>
      <w:r w:rsidRPr="00A9717C">
        <w:rPr>
          <w:rFonts w:cs="Times New Roman"/>
          <w:lang w:val="en-CA"/>
        </w:rPr>
        <w:t xml:space="preserve"> </w:t>
      </w:r>
      <w:r w:rsidRPr="00A9717C">
        <w:rPr>
          <w:rFonts w:cs="Times New Roman"/>
          <w:lang w:val="en-CA"/>
        </w:rPr>
        <w:lastRenderedPageBreak/>
        <w:t xml:space="preserve">Nor have any commentators or courts suggested that one can. By reducing most of the periods applicable to extinctive or acquisitive prescription in the </w:t>
      </w:r>
      <w:r w:rsidRPr="00A9717C">
        <w:rPr>
          <w:rFonts w:cs="Times New Roman"/>
          <w:i/>
          <w:lang w:val="en-CA"/>
        </w:rPr>
        <w:t>C.C.Q.</w:t>
      </w:r>
      <w:r w:rsidRPr="00A9717C">
        <w:rPr>
          <w:rFonts w:cs="Times New Roman"/>
          <w:lang w:val="en-CA"/>
        </w:rPr>
        <w:t>, the Quebec legislature was simply responding to the fact that [</w:t>
      </w:r>
      <w:r w:rsidRPr="00A9717C">
        <w:rPr>
          <w:rFonts w:cs="Times New Roman"/>
          <w:smallCaps/>
          <w:lang w:val="en-CA"/>
        </w:rPr>
        <w:t>translation</w:t>
      </w:r>
      <w:r w:rsidRPr="00A9717C">
        <w:rPr>
          <w:rFonts w:cs="Times New Roman"/>
          <w:lang w:val="en-CA"/>
        </w:rPr>
        <w:t xml:space="preserve">] “certain long prescription periods [under the </w:t>
      </w:r>
      <w:r w:rsidRPr="00A9717C">
        <w:rPr>
          <w:rFonts w:cs="Times New Roman"/>
          <w:i/>
          <w:lang w:val="en-CA"/>
        </w:rPr>
        <w:t>C.C.L.C.</w:t>
      </w:r>
      <w:r w:rsidRPr="00A9717C">
        <w:rPr>
          <w:rFonts w:cs="Times New Roman"/>
          <w:lang w:val="en-CA"/>
        </w:rPr>
        <w:t xml:space="preserve">] </w:t>
      </w:r>
      <w:r w:rsidR="00967D01">
        <w:rPr>
          <w:rFonts w:cs="Times New Roman"/>
          <w:lang w:val="en-CA"/>
        </w:rPr>
        <w:t xml:space="preserve">. . . </w:t>
      </w:r>
      <w:proofErr w:type="gramStart"/>
      <w:r w:rsidRPr="00A9717C">
        <w:rPr>
          <w:rFonts w:cs="Times New Roman"/>
          <w:lang w:val="en-CA"/>
        </w:rPr>
        <w:t>were</w:t>
      </w:r>
      <w:proofErr w:type="gramEnd"/>
      <w:r w:rsidRPr="00A9717C">
        <w:rPr>
          <w:rFonts w:cs="Times New Roman"/>
          <w:lang w:val="en-CA"/>
        </w:rPr>
        <w:t xml:space="preserve"> quite poorly suited to modern legal life”, which is characterized by “the speed and stability of economic transactions” (J.</w:t>
      </w:r>
      <w:r w:rsidRPr="00A9717C">
        <w:rPr>
          <w:rFonts w:cs="Times New Roman"/>
          <w:lang w:val="en-CA"/>
        </w:rPr>
        <w:noBreakHyphen/>
        <w:t>L. </w:t>
      </w:r>
      <w:proofErr w:type="spellStart"/>
      <w:r w:rsidRPr="00A9717C">
        <w:rPr>
          <w:rFonts w:cs="Times New Roman"/>
          <w:lang w:val="en-CA"/>
        </w:rPr>
        <w:t>Baudouin</w:t>
      </w:r>
      <w:proofErr w:type="spellEnd"/>
      <w:r w:rsidRPr="00A9717C">
        <w:rPr>
          <w:rFonts w:cs="Times New Roman"/>
          <w:lang w:val="en-CA"/>
        </w:rPr>
        <w:t xml:space="preserve"> and P.</w:t>
      </w:r>
      <w:r w:rsidRPr="00A9717C">
        <w:rPr>
          <w:rFonts w:cs="Times New Roman"/>
          <w:lang w:val="en-CA"/>
        </w:rPr>
        <w:noBreakHyphen/>
        <w:t>G. </w:t>
      </w:r>
      <w:proofErr w:type="spellStart"/>
      <w:r w:rsidRPr="00A9717C">
        <w:rPr>
          <w:rFonts w:cs="Times New Roman"/>
          <w:lang w:val="en-CA"/>
        </w:rPr>
        <w:t>Jobin</w:t>
      </w:r>
      <w:proofErr w:type="spellEnd"/>
      <w:r w:rsidRPr="00A9717C">
        <w:rPr>
          <w:rFonts w:cs="Times New Roman"/>
          <w:lang w:val="en-CA"/>
        </w:rPr>
        <w:t xml:space="preserve">, </w:t>
      </w:r>
      <w:r w:rsidRPr="00A9717C">
        <w:rPr>
          <w:rFonts w:cs="Times New Roman"/>
          <w:i/>
          <w:lang w:val="en-CA"/>
        </w:rPr>
        <w:t>Les obligations</w:t>
      </w:r>
      <w:r w:rsidRPr="00A9717C">
        <w:rPr>
          <w:rFonts w:cs="Times New Roman"/>
          <w:lang w:val="en-CA"/>
        </w:rPr>
        <w:t xml:space="preserve"> (7th ed. 2013), by P.</w:t>
      </w:r>
      <w:r w:rsidRPr="00A9717C">
        <w:rPr>
          <w:rFonts w:cs="Times New Roman"/>
          <w:lang w:val="en-CA"/>
        </w:rPr>
        <w:noBreakHyphen/>
        <w:t>G. </w:t>
      </w:r>
      <w:proofErr w:type="spellStart"/>
      <w:r w:rsidRPr="00A9717C">
        <w:rPr>
          <w:rFonts w:cs="Times New Roman"/>
          <w:lang w:val="en-CA"/>
        </w:rPr>
        <w:t>Jobin</w:t>
      </w:r>
      <w:proofErr w:type="spellEnd"/>
      <w:r w:rsidRPr="00A9717C">
        <w:rPr>
          <w:rFonts w:cs="Times New Roman"/>
          <w:lang w:val="en-CA"/>
        </w:rPr>
        <w:t xml:space="preserve"> and N. </w:t>
      </w:r>
      <w:proofErr w:type="spellStart"/>
      <w:r w:rsidRPr="00A9717C">
        <w:rPr>
          <w:rFonts w:cs="Times New Roman"/>
          <w:lang w:val="en-CA"/>
        </w:rPr>
        <w:t>Vézina</w:t>
      </w:r>
      <w:proofErr w:type="spellEnd"/>
      <w:r w:rsidRPr="00A9717C">
        <w:rPr>
          <w:rFonts w:cs="Times New Roman"/>
          <w:lang w:val="en-CA"/>
        </w:rPr>
        <w:t xml:space="preserve">, at paras. 1113 and 1119). What it thus wanted in 1994 was for legal situations to crystallize more quickly in a modern society that was quite different from that of 1866. There is no indication that it considered as a necessary consequence of that change that the judgment under art. 2918 </w:t>
      </w:r>
      <w:r w:rsidRPr="00A9717C">
        <w:rPr>
          <w:rFonts w:cs="Times New Roman"/>
          <w:i/>
          <w:lang w:val="en-CA"/>
        </w:rPr>
        <w:t>C.C.Q.</w:t>
      </w:r>
      <w:r w:rsidRPr="00A9717C">
        <w:rPr>
          <w:rFonts w:cs="Times New Roman"/>
          <w:lang w:val="en-CA"/>
        </w:rPr>
        <w:t xml:space="preserve"> would, as suggested, be one that granted a right.</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In sum, I am of the view that acquisitive prescription operates regardless of rights registered in the land register and that whether the judgment under art. 2918 </w:t>
      </w:r>
      <w:r w:rsidRPr="00A9717C">
        <w:rPr>
          <w:rFonts w:cs="Times New Roman"/>
          <w:i/>
          <w:lang w:val="en-CA"/>
        </w:rPr>
        <w:t>C.C.Q.</w:t>
      </w:r>
      <w:r w:rsidRPr="00A9717C">
        <w:rPr>
          <w:rFonts w:cs="Times New Roman"/>
          <w:lang w:val="en-CA"/>
        </w:rPr>
        <w:t xml:space="preserve"> is right</w:t>
      </w:r>
      <w:r w:rsidRPr="00A9717C">
        <w:rPr>
          <w:rFonts w:cs="Times New Roman"/>
          <w:lang w:val="en-CA"/>
        </w:rPr>
        <w:noBreakHyphen/>
        <w:t>granting or declarative is immaterial to this issue. In any event, I find that the fundamental premise for the argument of the appellants and the dissenting Court of Appeal judge to the effect that the judgment is right</w:t>
      </w:r>
      <w:r w:rsidRPr="00A9717C">
        <w:rPr>
          <w:rFonts w:cs="Times New Roman"/>
          <w:lang w:val="en-CA"/>
        </w:rPr>
        <w:noBreakHyphen/>
        <w:t xml:space="preserve">granting is incorrect. In the context of the current </w:t>
      </w:r>
      <w:r w:rsidRPr="00A9717C">
        <w:rPr>
          <w:rFonts w:cs="Times New Roman"/>
          <w:i/>
          <w:lang w:val="en-CA"/>
        </w:rPr>
        <w:t>Code</w:t>
      </w:r>
      <w:r w:rsidRPr="00A9717C">
        <w:rPr>
          <w:rFonts w:cs="Times New Roman"/>
          <w:lang w:val="en-CA"/>
        </w:rPr>
        <w:t xml:space="preserve">, it must be concluded that that judgment retains the declarative role it had under the </w:t>
      </w:r>
      <w:r w:rsidRPr="00A9717C">
        <w:rPr>
          <w:rFonts w:cs="Times New Roman"/>
          <w:i/>
          <w:lang w:val="en-CA"/>
        </w:rPr>
        <w:t>C.C.L.C.</w:t>
      </w:r>
    </w:p>
    <w:p w:rsidR="00FE692E" w:rsidRPr="00A9717C" w:rsidRDefault="00FE692E" w:rsidP="00233573">
      <w:pPr>
        <w:pStyle w:val="Title3LevelTitre3Niveau"/>
        <w:widowControl w:val="0"/>
        <w:rPr>
          <w:rFonts w:cs="Times New Roman"/>
        </w:rPr>
      </w:pPr>
      <w:r w:rsidRPr="00A9717C">
        <w:rPr>
          <w:rFonts w:cs="Times New Roman"/>
        </w:rPr>
        <w:t xml:space="preserve">Incongruous Effects of Reading Art. 2918 </w:t>
      </w:r>
      <w:r w:rsidRPr="00A9717C">
        <w:rPr>
          <w:rFonts w:cs="Times New Roman"/>
          <w:i/>
        </w:rPr>
        <w:t>C.C.Q.</w:t>
      </w:r>
      <w:r w:rsidRPr="00A9717C">
        <w:rPr>
          <w:rFonts w:cs="Times New Roman"/>
        </w:rPr>
        <w:t xml:space="preserve"> in Isolation</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Before I conclude, a few additional comments are in order.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lastRenderedPageBreak/>
        <w:t xml:space="preserve">Contrary to the appellants’ argument, which the dissenting judge in the Court of Appeal accepted, holding that rights acquired by prescription can be set up against third parties regardless of entries in the land register introduces no more uncertainty into real estate transactions in Quebec than there already was. First of all, this result simply reflects the legislature’s intention to preserve the status quo in this regard. Next, the current situation is similar to the one that existed under the </w:t>
      </w:r>
      <w:r w:rsidRPr="00A9717C">
        <w:rPr>
          <w:rFonts w:cs="Times New Roman"/>
          <w:i/>
          <w:lang w:val="en-CA"/>
        </w:rPr>
        <w:t xml:space="preserve">C.C.L.C. </w:t>
      </w:r>
      <w:r w:rsidRPr="00A9717C">
        <w:rPr>
          <w:rFonts w:cs="Times New Roman"/>
          <w:lang w:val="en-CA"/>
        </w:rPr>
        <w:t>Such continuity cannot in itself be a cause of uncertainty. Finally, it should be borne in mind that, when all is said and done, the conflict that may at times arise between acquisitive prescription and the publication of rights in Quebec civil law is quite limited. Apart from this appeal, neither the Court of Appeal nor the recognized commentators nor the parties have referred to another case in which the same issue has been raised before a Quebec court.</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In reality, it is instead the appellants’ position that is incompatible with the current state of the law in Quebec. To claim as they do that rights registered in the land register must prevail over rights acquired by prescription could, moreover, have consequences that the legislature certainly did not intend. This confirms that the solution they propose cannot be preferred.</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First, their position would for all intents and purposes negate the consequences of acquisitive prescription — an institution that is nonetheless clearly recognized by the </w:t>
      </w:r>
      <w:r w:rsidRPr="00A9717C">
        <w:rPr>
          <w:rFonts w:cs="Times New Roman"/>
          <w:i/>
          <w:lang w:val="en-CA"/>
        </w:rPr>
        <w:t>Code</w:t>
      </w:r>
      <w:r w:rsidRPr="00A9717C">
        <w:rPr>
          <w:rFonts w:cs="Times New Roman"/>
          <w:lang w:val="en-CA"/>
        </w:rPr>
        <w:t xml:space="preserve"> — where ownership is transferred to a third party, even if it is recognized that the aggrieved party has effective possession. In the case at bar, the </w:t>
      </w:r>
      <w:r w:rsidRPr="00A9717C">
        <w:rPr>
          <w:rFonts w:cs="Times New Roman"/>
          <w:lang w:val="en-CA"/>
        </w:rPr>
        <w:lastRenderedPageBreak/>
        <w:t xml:space="preserve">effect would be to completely nullify the right the respondent had acquired by having effective possession for more than 18 years and would call into question the certainty that had thus been created both for the respondent and for third parties. Moreover, such a solution would leave the respondent without a remedy, whereas the opposite approach, on the contrary, preserves the rights of all the parties; as I mentioned above, the appellants would still have a right of action against the sellers under art. 1724 para. 2 </w:t>
      </w:r>
      <w:r w:rsidRPr="00A9717C">
        <w:rPr>
          <w:rFonts w:cs="Times New Roman"/>
          <w:i/>
          <w:lang w:val="en-CA"/>
        </w:rPr>
        <w:t>C.C.Q.</w:t>
      </w:r>
      <w:r w:rsidRPr="00A9717C">
        <w:rPr>
          <w:rFonts w:cs="Times New Roman"/>
          <w:lang w:val="en-CA"/>
        </w:rPr>
        <w:t xml:space="preserve">, provided that they are able to prove the essential elements of their claim.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Second, by the appellants’ own admission, their position means that the prescription period would start again from the beginning if the immovable were transferred to a new owner after the 10</w:t>
      </w:r>
      <w:r w:rsidRPr="00A9717C">
        <w:rPr>
          <w:rFonts w:cs="Times New Roman"/>
          <w:lang w:val="en-CA"/>
        </w:rPr>
        <w:noBreakHyphen/>
        <w:t>year period had expired, whereas it would continue to run if the transfer were to take place before prescription was acquired. As counsel for the respondent pointed out at the hearing, the effect of this would be that a possessor who has had possession for 9</w:t>
      </w:r>
      <w:r>
        <w:rPr>
          <w:rFonts w:cs="Times New Roman"/>
          <w:lang w:val="en-CA"/>
        </w:rPr>
        <w:t> </w:t>
      </w:r>
      <w:r w:rsidRPr="00A9717C">
        <w:rPr>
          <w:rFonts w:cs="Times New Roman"/>
          <w:lang w:val="en-CA"/>
        </w:rPr>
        <w:t>years and 11</w:t>
      </w:r>
      <w:r>
        <w:rPr>
          <w:rFonts w:cs="Times New Roman"/>
          <w:lang w:val="en-CA"/>
        </w:rPr>
        <w:t> </w:t>
      </w:r>
      <w:r w:rsidRPr="00A9717C">
        <w:rPr>
          <w:rFonts w:cs="Times New Roman"/>
          <w:lang w:val="en-CA"/>
        </w:rPr>
        <w:t>months at the time of the sale would subsequently be able to prescribe, whereas if the sale were to take place a few weeks later, he or she would have to wait another 10</w:t>
      </w:r>
      <w:r>
        <w:rPr>
          <w:rFonts w:cs="Times New Roman"/>
          <w:lang w:val="en-CA"/>
        </w:rPr>
        <w:t> </w:t>
      </w:r>
      <w:r w:rsidRPr="00A9717C">
        <w:rPr>
          <w:rFonts w:cs="Times New Roman"/>
          <w:lang w:val="en-CA"/>
        </w:rPr>
        <w:t xml:space="preserve">years before being able to do so. This is an arbitrary distinction that the legislature certainly could not have intended.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Third, another effect of the appellants’ position would be to confer more rights upon the acquirer than the predecessor in title had, which is contrary to the usual rule that one cannot transfer more than what one has. </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Finally, this solution would favour a possessor in bad faith who, knowing that his or her possession does not reflect the true ownership of the immovable in </w:t>
      </w:r>
      <w:r w:rsidRPr="00A9717C">
        <w:rPr>
          <w:rFonts w:cs="Times New Roman"/>
          <w:lang w:val="en-CA"/>
        </w:rPr>
        <w:lastRenderedPageBreak/>
        <w:t xml:space="preserve">question, would be more inclined to go to court upon the expiry of the prescription period (see, on this point, </w:t>
      </w:r>
      <w:proofErr w:type="spellStart"/>
      <w:r w:rsidRPr="00A9717C">
        <w:rPr>
          <w:rFonts w:cs="Times New Roman"/>
          <w:lang w:val="en-CA"/>
        </w:rPr>
        <w:t>Gidrol</w:t>
      </w:r>
      <w:proofErr w:type="spellEnd"/>
      <w:r w:rsidRPr="00A9717C">
        <w:rPr>
          <w:rFonts w:cs="Times New Roman"/>
          <w:lang w:val="en-CA"/>
        </w:rPr>
        <w:noBreakHyphen/>
        <w:t>Mistral, at p. 339). In contrast, it would penalize a good</w:t>
      </w:r>
      <w:r w:rsidRPr="00A9717C">
        <w:rPr>
          <w:rFonts w:cs="Times New Roman"/>
          <w:lang w:val="en-CA"/>
        </w:rPr>
        <w:noBreakHyphen/>
        <w:t xml:space="preserve">faith possessor, such as the respondent, who is unaware that his or her effective possession could be in doubt and who therefore has no interest in going to court so long as that possession is not challenged. </w:t>
      </w:r>
    </w:p>
    <w:p w:rsidR="00FE692E" w:rsidRPr="00A9717C" w:rsidRDefault="00FE692E" w:rsidP="00233573">
      <w:pPr>
        <w:pStyle w:val="Title1LevelTitre1Niveau-AltL"/>
        <w:widowControl w:val="0"/>
        <w:rPr>
          <w:rFonts w:cs="Times New Roman"/>
        </w:rPr>
      </w:pPr>
      <w:r w:rsidRPr="00A9717C">
        <w:rPr>
          <w:rFonts w:cs="Times New Roman"/>
        </w:rPr>
        <w:t>Conclusion</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In the end, the solution I would accept does not weaken the land register. Rather, it accounts for the inevitable effect of acquisitive prescription, a key institution of Quebec civil law that has been recognized by the legislature and whose purpose is to ascribe legal consequences to possession that is already peaceful, continuous, public and unequivocal.</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 xml:space="preserve">As at least one author suggests, given that art. 2918 </w:t>
      </w:r>
      <w:r w:rsidRPr="00A9717C">
        <w:rPr>
          <w:rFonts w:cs="Times New Roman"/>
          <w:i/>
          <w:lang w:val="en-CA"/>
        </w:rPr>
        <w:t xml:space="preserve">C.C.Q. </w:t>
      </w:r>
      <w:r w:rsidRPr="00A9717C">
        <w:rPr>
          <w:rFonts w:cs="Times New Roman"/>
          <w:lang w:val="en-CA"/>
        </w:rPr>
        <w:t>was enacted in the context of a reform that has not been completed and has now been abandoned, there are those who will say that the Quebec legislature would be well advised to clarify its language, the ambiguity of which gave rise to the dispute in this case (</w:t>
      </w:r>
      <w:proofErr w:type="spellStart"/>
      <w:r w:rsidRPr="00A9717C">
        <w:rPr>
          <w:rFonts w:cs="Times New Roman"/>
          <w:lang w:val="en-CA"/>
        </w:rPr>
        <w:t>Brochu</w:t>
      </w:r>
      <w:proofErr w:type="spellEnd"/>
      <w:r w:rsidRPr="00A9717C">
        <w:rPr>
          <w:rFonts w:cs="Times New Roman"/>
          <w:lang w:val="en-CA"/>
        </w:rPr>
        <w:t xml:space="preserve">, “Prescription acquisitive et </w:t>
      </w:r>
      <w:proofErr w:type="spellStart"/>
      <w:r w:rsidRPr="00A9717C">
        <w:rPr>
          <w:rFonts w:cs="Times New Roman"/>
          <w:lang w:val="en-CA"/>
        </w:rPr>
        <w:t>publicité</w:t>
      </w:r>
      <w:proofErr w:type="spellEnd"/>
      <w:r w:rsidRPr="00A9717C">
        <w:rPr>
          <w:rFonts w:cs="Times New Roman"/>
          <w:lang w:val="en-CA"/>
        </w:rPr>
        <w:t xml:space="preserve"> des droits”, at p. 210; and “Revue de jurisprudence 2012”, at p. 211; see also </w:t>
      </w:r>
      <w:proofErr w:type="spellStart"/>
      <w:r w:rsidRPr="00A9717C">
        <w:rPr>
          <w:rFonts w:cs="Times New Roman"/>
          <w:lang w:val="en-CA"/>
        </w:rPr>
        <w:t>Gidrol</w:t>
      </w:r>
      <w:proofErr w:type="spellEnd"/>
      <w:r w:rsidRPr="00A9717C">
        <w:rPr>
          <w:rFonts w:cs="Times New Roman"/>
          <w:lang w:val="en-CA"/>
        </w:rPr>
        <w:noBreakHyphen/>
        <w:t xml:space="preserve">Mistral, at p. 340). I agree that this would be a wise course of action to consider. This being said, when the courts are faced with such ambiguity, it is up to them to resolve it by interpreting the provisions at issue in a manner that preserves the internal consistency of the </w:t>
      </w:r>
      <w:r w:rsidRPr="00A9717C">
        <w:rPr>
          <w:rFonts w:cs="Times New Roman"/>
          <w:i/>
          <w:lang w:val="en-CA"/>
        </w:rPr>
        <w:t xml:space="preserve">Code </w:t>
      </w:r>
      <w:r w:rsidRPr="00A9717C">
        <w:rPr>
          <w:rFonts w:cs="Times New Roman"/>
          <w:lang w:val="en-CA"/>
        </w:rPr>
        <w:t xml:space="preserve">and, where possible, protects the rights of all the parties, especially when all of them are asserting legitimate </w:t>
      </w:r>
      <w:r w:rsidRPr="00A9717C">
        <w:rPr>
          <w:rFonts w:cs="Times New Roman"/>
          <w:lang w:val="en-CA"/>
        </w:rPr>
        <w:lastRenderedPageBreak/>
        <w:t>rights.</w:t>
      </w:r>
    </w:p>
    <w:p w:rsidR="00FE692E" w:rsidRPr="00A9717C" w:rsidRDefault="00FE692E" w:rsidP="00233573">
      <w:pPr>
        <w:pStyle w:val="ParaNoNdepar-AltN"/>
        <w:widowControl w:val="0"/>
        <w:numPr>
          <w:ilvl w:val="0"/>
          <w:numId w:val="1"/>
        </w:numPr>
        <w:tabs>
          <w:tab w:val="clear" w:pos="1242"/>
          <w:tab w:val="num" w:pos="1152"/>
        </w:tabs>
        <w:ind w:left="0"/>
        <w:rPr>
          <w:rFonts w:cs="Times New Roman"/>
          <w:lang w:val="en-CA"/>
        </w:rPr>
      </w:pPr>
      <w:r w:rsidRPr="00A9717C">
        <w:rPr>
          <w:rFonts w:cs="Times New Roman"/>
          <w:lang w:val="en-CA"/>
        </w:rPr>
        <w:t>With this in mind, I am of the opinion that the solution adopted by the majority of the Court of Appeal should prevail over that of the dissenting judge. I would therefore dismiss the appeal with costs.</w:t>
      </w:r>
    </w:p>
    <w:p w:rsidR="00FE692E" w:rsidRDefault="00FE692E" w:rsidP="00233573">
      <w:pPr>
        <w:widowControl w:val="0"/>
        <w:spacing w:before="480" w:after="480" w:line="480" w:lineRule="auto"/>
        <w:ind w:firstLine="1267"/>
      </w:pPr>
      <w:r w:rsidRPr="00026EF5">
        <w:t>The following are the reasons delivered by</w:t>
      </w:r>
    </w:p>
    <w:p w:rsidR="00FE692E" w:rsidRPr="00FE692E" w:rsidRDefault="00286717" w:rsidP="00233573">
      <w:pPr>
        <w:pStyle w:val="ParaNoNdepar-AltN"/>
        <w:widowControl w:val="0"/>
        <w:numPr>
          <w:ilvl w:val="0"/>
          <w:numId w:val="1"/>
        </w:numPr>
        <w:tabs>
          <w:tab w:val="clear" w:pos="1242"/>
          <w:tab w:val="num" w:pos="1152"/>
        </w:tabs>
        <w:ind w:left="0"/>
        <w:rPr>
          <w:rFonts w:cs="Times New Roman"/>
          <w:lang w:val="en-US"/>
        </w:rPr>
      </w:pPr>
      <w:proofErr w:type="spellStart"/>
      <w:r w:rsidRPr="00286717">
        <w:rPr>
          <w:smallCaps/>
          <w:lang w:val="en-US"/>
        </w:rPr>
        <w:t>Côté</w:t>
      </w:r>
      <w:proofErr w:type="spellEnd"/>
      <w:r w:rsidRPr="00286717">
        <w:rPr>
          <w:smallCaps/>
          <w:lang w:val="en-US"/>
        </w:rPr>
        <w:t xml:space="preserve"> J.</w:t>
      </w:r>
      <w:r w:rsidRPr="00286717">
        <w:rPr>
          <w:lang w:val="en-US"/>
        </w:rPr>
        <w:t xml:space="preserve"> </w:t>
      </w:r>
      <w:r w:rsidR="001067B2">
        <w:rPr>
          <w:lang w:val="en-US"/>
        </w:rPr>
        <w:t xml:space="preserve">(dissenting) </w:t>
      </w:r>
      <w:r w:rsidRPr="00286717">
        <w:rPr>
          <w:lang w:val="en-US"/>
        </w:rPr>
        <w:t xml:space="preserve">— </w:t>
      </w:r>
      <w:proofErr w:type="gramStart"/>
      <w:r w:rsidR="00FE692E" w:rsidRPr="00FE692E">
        <w:rPr>
          <w:rFonts w:cs="Times New Roman"/>
          <w:lang w:val="en-US"/>
        </w:rPr>
        <w:t>In</w:t>
      </w:r>
      <w:proofErr w:type="gramEnd"/>
      <w:r w:rsidR="00FE692E" w:rsidRPr="00FE692E">
        <w:rPr>
          <w:rFonts w:cs="Times New Roman"/>
          <w:lang w:val="en-US"/>
        </w:rPr>
        <w:t xml:space="preserve"> my view, this appeal does not turn on an analysis of the reform of the Quebec land register or on a resurrection of art. 2962 of the </w:t>
      </w:r>
      <w:r w:rsidR="00FE692E" w:rsidRPr="00FE692E">
        <w:rPr>
          <w:rFonts w:cs="Times New Roman"/>
          <w:i/>
          <w:lang w:val="en-US"/>
        </w:rPr>
        <w:t>Civil Code of Québec</w:t>
      </w:r>
      <w:r w:rsidR="00FE692E" w:rsidRPr="00FE692E">
        <w:rPr>
          <w:rFonts w:cs="Times New Roman"/>
          <w:lang w:val="en-US"/>
        </w:rPr>
        <w:t xml:space="preserve"> (“</w:t>
      </w:r>
      <w:r w:rsidR="00FE692E" w:rsidRPr="00FE692E">
        <w:rPr>
          <w:rFonts w:cs="Times New Roman"/>
          <w:i/>
          <w:lang w:val="en-US"/>
        </w:rPr>
        <w:t>C</w:t>
      </w:r>
      <w:r w:rsidR="001067B2">
        <w:rPr>
          <w:rFonts w:cs="Times New Roman"/>
          <w:i/>
          <w:lang w:val="en-US"/>
        </w:rPr>
        <w:t>.</w:t>
      </w:r>
      <w:r w:rsidR="00FE692E" w:rsidRPr="00FE692E">
        <w:rPr>
          <w:rFonts w:cs="Times New Roman"/>
          <w:i/>
          <w:lang w:val="en-US"/>
        </w:rPr>
        <w:t>C</w:t>
      </w:r>
      <w:r w:rsidR="001067B2">
        <w:rPr>
          <w:rFonts w:cs="Times New Roman"/>
          <w:i/>
          <w:lang w:val="en-US"/>
        </w:rPr>
        <w:t>.</w:t>
      </w:r>
      <w:r w:rsidR="00FE692E" w:rsidRPr="00FE692E">
        <w:rPr>
          <w:rFonts w:cs="Times New Roman"/>
          <w:i/>
          <w:lang w:val="en-US"/>
        </w:rPr>
        <w:t>Q</w:t>
      </w:r>
      <w:r w:rsidR="001067B2">
        <w:rPr>
          <w:rFonts w:cs="Times New Roman"/>
          <w:i/>
          <w:lang w:val="en-US"/>
        </w:rPr>
        <w:t>.</w:t>
      </w:r>
      <w:r w:rsidR="00FE692E" w:rsidRPr="00FE692E">
        <w:rPr>
          <w:rFonts w:cs="Times New Roman"/>
          <w:lang w:val="en-US"/>
        </w:rPr>
        <w:t xml:space="preserve">”). To the contrary, its resolution depends on whether or not effect must be given to the clear expression of legislative intent reflected in the plain wording of art. 2918 </w:t>
      </w:r>
      <w:r w:rsidR="00FE692E" w:rsidRPr="00FE692E">
        <w:rPr>
          <w:rFonts w:cs="Times New Roman"/>
          <w:i/>
          <w:lang w:val="en-US"/>
        </w:rPr>
        <w:t>C</w:t>
      </w:r>
      <w:r w:rsidR="001067B2">
        <w:rPr>
          <w:rFonts w:cs="Times New Roman"/>
          <w:i/>
          <w:lang w:val="en-US"/>
        </w:rPr>
        <w:t>.</w:t>
      </w:r>
      <w:r w:rsidR="00FE692E" w:rsidRPr="00FE692E">
        <w:rPr>
          <w:rFonts w:cs="Times New Roman"/>
          <w:i/>
          <w:lang w:val="en-US"/>
        </w:rPr>
        <w:t>C</w:t>
      </w:r>
      <w:r w:rsidR="001067B2">
        <w:rPr>
          <w:rFonts w:cs="Times New Roman"/>
          <w:i/>
          <w:lang w:val="en-US"/>
        </w:rPr>
        <w:t>.</w:t>
      </w:r>
      <w:r w:rsidR="00FE692E" w:rsidRPr="00FE692E">
        <w:rPr>
          <w:rFonts w:cs="Times New Roman"/>
          <w:i/>
          <w:lang w:val="en-US"/>
        </w:rPr>
        <w:t>Q</w:t>
      </w:r>
      <w:r w:rsidR="00FE692E" w:rsidRPr="00FE692E">
        <w:rPr>
          <w:rFonts w:cs="Times New Roman"/>
          <w:lang w:val="en-US"/>
        </w:rPr>
        <w:t xml:space="preserve">.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Article 2918 is </w:t>
      </w:r>
      <w:r w:rsidRPr="001E63A0">
        <w:rPr>
          <w:rFonts w:cs="Times New Roman"/>
          <w:lang w:val="en-CA"/>
        </w:rPr>
        <w:t>unambiguous</w:t>
      </w:r>
      <w:r w:rsidRPr="00FE692E">
        <w:rPr>
          <w:rFonts w:cs="Times New Roman"/>
          <w:lang w:val="en-US"/>
        </w:rPr>
        <w:t xml:space="preserve"> in stating that a person who has otherwise met the conditions for acquisitive prescription of an immovable “</w:t>
      </w:r>
      <w:r w:rsidRPr="00FE692E">
        <w:rPr>
          <w:rFonts w:cs="Times New Roman"/>
          <w:u w:val="single"/>
          <w:lang w:val="en-US"/>
        </w:rPr>
        <w:t>may acquire the ownership of it only upon a judicial application</w:t>
      </w:r>
      <w:r w:rsidRPr="00FE692E">
        <w:rPr>
          <w:rFonts w:cs="Times New Roman"/>
          <w:lang w:val="en-US"/>
        </w:rPr>
        <w:t xml:space="preserve">”.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A question has </w:t>
      </w:r>
      <w:r w:rsidRPr="001E63A0">
        <w:rPr>
          <w:rFonts w:cs="Times New Roman"/>
          <w:lang w:val="en-CA"/>
        </w:rPr>
        <w:t>nevertheless</w:t>
      </w:r>
      <w:r w:rsidRPr="00FE692E">
        <w:rPr>
          <w:rFonts w:cs="Times New Roman"/>
          <w:lang w:val="en-US"/>
        </w:rPr>
        <w:t xml:space="preserve"> arisen as to whether or not the judgment rendered on such an application is constitutive of the right of ownership or merely declaratory with retroactive effect. If the judgment required under art. 2918 is declaratory, then the respondent here acquired ownership of the contested parking space from the appellants’ predecessor in title. It would then follow that the appellants have no claim to the parking space, since their predecessor could not have transferred </w:t>
      </w:r>
      <w:r w:rsidRPr="00FE692E">
        <w:rPr>
          <w:rFonts w:cs="Times New Roman"/>
          <w:lang w:val="en-US"/>
        </w:rPr>
        <w:lastRenderedPageBreak/>
        <w:t xml:space="preserve">it to them: </w:t>
      </w:r>
      <w:r w:rsidRPr="00FE692E">
        <w:rPr>
          <w:rFonts w:cs="Times New Roman"/>
          <w:i/>
          <w:lang w:val="en-US"/>
        </w:rPr>
        <w:t xml:space="preserve">nemo </w:t>
      </w:r>
      <w:proofErr w:type="spellStart"/>
      <w:r w:rsidRPr="00FE692E">
        <w:rPr>
          <w:rFonts w:cs="Times New Roman"/>
          <w:i/>
          <w:lang w:val="en-US"/>
        </w:rPr>
        <w:t>dat</w:t>
      </w:r>
      <w:proofErr w:type="spellEnd"/>
      <w:r w:rsidRPr="00FE692E">
        <w:rPr>
          <w:rFonts w:cs="Times New Roman"/>
          <w:i/>
          <w:lang w:val="en-US"/>
        </w:rPr>
        <w:t xml:space="preserve"> quod non </w:t>
      </w:r>
      <w:proofErr w:type="spellStart"/>
      <w:r w:rsidRPr="00FE692E">
        <w:rPr>
          <w:rFonts w:cs="Times New Roman"/>
          <w:i/>
          <w:lang w:val="en-US"/>
        </w:rPr>
        <w:t>habet</w:t>
      </w:r>
      <w:proofErr w:type="spellEnd"/>
      <w:r w:rsidRPr="00FE692E">
        <w:rPr>
          <w:rFonts w:cs="Times New Roman"/>
          <w:lang w:val="en-US"/>
        </w:rPr>
        <w:t xml:space="preserve"> (no one can give what he or she does not have). If, on the other hand, the judgment under art. 2918 is constitutive of the right of ownership and has no retroactive effect, then the parking space rightfully belongs to the appellants.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1E63A0">
        <w:rPr>
          <w:rFonts w:cs="Times New Roman"/>
          <w:lang w:val="en-CA"/>
        </w:rPr>
        <w:t>Although</w:t>
      </w:r>
      <w:r w:rsidRPr="00FE692E">
        <w:rPr>
          <w:rFonts w:cs="Times New Roman"/>
          <w:lang w:val="en-US"/>
        </w:rPr>
        <w:t xml:space="preserve"> it expressly refused to answer this question, which lies at the heart of this appeal, the majority of the Court of Appeal implicitly held that the judgment required under art. 2918 is declaratory.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In my view, and with respect, it erred in doing so.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Only a reading of art. 2918 that is consistent with its plain wording will respect the </w:t>
      </w:r>
      <w:r w:rsidRPr="001E63A0">
        <w:rPr>
          <w:rFonts w:cs="Times New Roman"/>
          <w:lang w:val="en-CA"/>
        </w:rPr>
        <w:t>balance</w:t>
      </w:r>
      <w:r w:rsidRPr="00FE692E">
        <w:rPr>
          <w:rFonts w:cs="Times New Roman"/>
          <w:lang w:val="en-US"/>
        </w:rPr>
        <w:t xml:space="preserve"> struck by the legislature between the true owner’s right of ownership and the possessor’s rights. Reading down the judicial application requirement so as to render the judgment on the application declaratory and retroactive — as both the majority of the Court of Appeal and the majority of this Court propose — cannot be reconciled with legislative intent. Such a reading is also inconsistent with the property and publication books of the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Q</w:t>
      </w:r>
      <w:r w:rsidR="001067B2">
        <w:rPr>
          <w:rFonts w:cs="Times New Roman"/>
          <w:i/>
          <w:lang w:val="en-US"/>
        </w:rPr>
        <w:t>.</w:t>
      </w:r>
      <w:r w:rsidRPr="00FE692E">
        <w:rPr>
          <w:rFonts w:cs="Times New Roman"/>
          <w:lang w:val="en-US"/>
        </w:rPr>
        <w:t xml:space="preserve">, and with the rationale behind acquisitive prescription. With respect, there is nothing about the language and context of art. 2918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Q</w:t>
      </w:r>
      <w:r w:rsidR="001067B2">
        <w:rPr>
          <w:rFonts w:cs="Times New Roman"/>
          <w:i/>
          <w:lang w:val="en-US"/>
        </w:rPr>
        <w:t>.</w:t>
      </w:r>
      <w:r w:rsidRPr="00FE692E">
        <w:rPr>
          <w:rFonts w:cs="Times New Roman"/>
          <w:lang w:val="en-US"/>
        </w:rPr>
        <w:t xml:space="preserve">, or the intent underlying it, that supports treating the judicial demand requirement as a legislative mistake requiring judicial correction through a downgrading of its plain wording.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1E63A0">
        <w:rPr>
          <w:rFonts w:cs="Times New Roman"/>
          <w:lang w:val="en-CA"/>
        </w:rPr>
        <w:t>Consequently</w:t>
      </w:r>
      <w:r w:rsidRPr="00FE692E">
        <w:rPr>
          <w:rFonts w:cs="Times New Roman"/>
          <w:lang w:val="en-US"/>
        </w:rPr>
        <w:t>, and as Justice Jacques (</w:t>
      </w:r>
      <w:r w:rsidRPr="00FE692E">
        <w:rPr>
          <w:rFonts w:cs="Times New Roman"/>
          <w:i/>
          <w:lang w:val="en-US"/>
        </w:rPr>
        <w:t>ad hoc</w:t>
      </w:r>
      <w:r w:rsidRPr="00FE692E">
        <w:rPr>
          <w:rFonts w:cs="Times New Roman"/>
          <w:lang w:val="en-US"/>
        </w:rPr>
        <w:t xml:space="preserve">) found in dissent in the Court </w:t>
      </w:r>
      <w:r w:rsidRPr="00FE692E">
        <w:rPr>
          <w:rFonts w:cs="Times New Roman"/>
          <w:lang w:val="en-US"/>
        </w:rPr>
        <w:lastRenderedPageBreak/>
        <w:t xml:space="preserve">of Appeal, I am of the view that under art. 2918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Q</w:t>
      </w:r>
      <w:r w:rsidR="001067B2">
        <w:rPr>
          <w:rFonts w:cs="Times New Roman"/>
          <w:i/>
          <w:lang w:val="en-US"/>
        </w:rPr>
        <w:t>.</w:t>
      </w:r>
      <w:r w:rsidRPr="00FE692E">
        <w:rPr>
          <w:rFonts w:cs="Times New Roman"/>
          <w:lang w:val="en-US"/>
        </w:rPr>
        <w:t xml:space="preserve">, the acquisition of ownership of an immovable by prescription is conditional on first obtaining a judgment following a judicial application. That judgment is constitutive of the right of ownership and without retroactive effect. Here, the respondent did not obtain the requisite judgment before the appellants acquired title to the contested parking space. The appellants are therefore not only first in time but also first in rank, and I would accordingly allow the appeal. </w:t>
      </w:r>
    </w:p>
    <w:p w:rsidR="00FE692E" w:rsidRPr="006847A4" w:rsidRDefault="00FE692E" w:rsidP="00233573">
      <w:pPr>
        <w:pStyle w:val="Title2LevelTitre2Niveau"/>
        <w:widowControl w:val="0"/>
        <w:numPr>
          <w:ilvl w:val="1"/>
          <w:numId w:val="8"/>
        </w:numPr>
        <w:tabs>
          <w:tab w:val="clear" w:pos="576"/>
          <w:tab w:val="num" w:pos="540"/>
        </w:tabs>
        <w:ind w:left="540" w:hanging="540"/>
        <w:jc w:val="left"/>
        <w:outlineLvl w:val="0"/>
        <w:rPr>
          <w:rFonts w:cs="Times New Roman"/>
        </w:rPr>
      </w:pPr>
      <w:r w:rsidRPr="006847A4">
        <w:rPr>
          <w:rFonts w:cs="Times New Roman"/>
        </w:rPr>
        <w:t>The Right of Ownership in the Civil Law of Property</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In a </w:t>
      </w:r>
      <w:r w:rsidRPr="001E63A0">
        <w:rPr>
          <w:rFonts w:cs="Times New Roman"/>
          <w:lang w:val="en-CA"/>
        </w:rPr>
        <w:t>contest</w:t>
      </w:r>
      <w:r w:rsidRPr="00FE692E">
        <w:rPr>
          <w:rFonts w:cs="Times New Roman"/>
          <w:lang w:val="en-US"/>
        </w:rPr>
        <w:t xml:space="preserve"> over ownership of an immovable, it is helpful to begin by recalling the essential nature of the rights at stake, starting with the most fundamental of these rights. </w:t>
      </w:r>
    </w:p>
    <w:p w:rsidR="00FE692E" w:rsidRPr="006847A4" w:rsidRDefault="00FE692E" w:rsidP="00233573">
      <w:pPr>
        <w:pStyle w:val="ParaNoNdepar-AltN"/>
        <w:widowControl w:val="0"/>
        <w:numPr>
          <w:ilvl w:val="0"/>
          <w:numId w:val="1"/>
        </w:numPr>
        <w:tabs>
          <w:tab w:val="clear" w:pos="1242"/>
          <w:tab w:val="num" w:pos="1152"/>
        </w:tabs>
        <w:ind w:left="0"/>
        <w:rPr>
          <w:rFonts w:cs="Times New Roman"/>
        </w:rPr>
      </w:pPr>
      <w:r w:rsidRPr="00FE692E">
        <w:rPr>
          <w:rFonts w:cs="Times New Roman"/>
          <w:lang w:val="en-US"/>
        </w:rPr>
        <w:t xml:space="preserve">The right of </w:t>
      </w:r>
      <w:r w:rsidRPr="001E63A0">
        <w:rPr>
          <w:rFonts w:cs="Times New Roman"/>
          <w:lang w:val="en-CA"/>
        </w:rPr>
        <w:t>ownership</w:t>
      </w:r>
      <w:r w:rsidRPr="00FE692E">
        <w:rPr>
          <w:rFonts w:cs="Times New Roman"/>
          <w:lang w:val="en-US"/>
        </w:rPr>
        <w:t xml:space="preserve"> occupies a primordial position among real rights in the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 xml:space="preserve">Q. </w:t>
      </w:r>
      <w:r w:rsidRPr="00FE692E">
        <w:rPr>
          <w:rFonts w:cs="Times New Roman"/>
          <w:lang w:val="en-US"/>
        </w:rPr>
        <w:t xml:space="preserve">Its conceptual lineage can be traced back to the resurgence of Roman ideals of property law following the French Revolution. The </w:t>
      </w:r>
      <w:r w:rsidRPr="00FE692E">
        <w:rPr>
          <w:rFonts w:cs="Times New Roman"/>
          <w:i/>
          <w:lang w:val="en-US"/>
        </w:rPr>
        <w:t>Declaration of the Rights of Man and of the Citizen</w:t>
      </w:r>
      <w:r w:rsidRPr="00FE692E">
        <w:rPr>
          <w:rFonts w:cs="Times New Roman"/>
          <w:lang w:val="en-US"/>
        </w:rPr>
        <w:t xml:space="preserve"> of 1789 — emblematic as it was of the rejection of the </w:t>
      </w:r>
      <w:proofErr w:type="spellStart"/>
      <w:r w:rsidRPr="00FE692E">
        <w:rPr>
          <w:rFonts w:cs="Times New Roman"/>
          <w:i/>
          <w:lang w:val="en-US"/>
        </w:rPr>
        <w:t>Ancien</w:t>
      </w:r>
      <w:proofErr w:type="spellEnd"/>
      <w:r w:rsidRPr="00FE692E">
        <w:rPr>
          <w:rFonts w:cs="Times New Roman"/>
          <w:i/>
          <w:lang w:val="en-US"/>
        </w:rPr>
        <w:t xml:space="preserve"> Régime —</w:t>
      </w:r>
      <w:r w:rsidRPr="00FE692E">
        <w:rPr>
          <w:rFonts w:cs="Times New Roman"/>
          <w:lang w:val="en-US"/>
        </w:rPr>
        <w:t xml:space="preserve"> espoused a notion of property rights consistent with Roman ideals of sole ownership. Article II listed property as one of four natural rights that was imprescriptible. </w:t>
      </w:r>
      <w:r w:rsidRPr="006847A4">
        <w:rPr>
          <w:rFonts w:cs="Times New Roman"/>
        </w:rPr>
        <w:t xml:space="preserve">Article XVII </w:t>
      </w:r>
      <w:proofErr w:type="spellStart"/>
      <w:r w:rsidRPr="006847A4">
        <w:rPr>
          <w:rFonts w:cs="Times New Roman"/>
        </w:rPr>
        <w:t>described</w:t>
      </w:r>
      <w:proofErr w:type="spellEnd"/>
      <w:r w:rsidRPr="006847A4">
        <w:rPr>
          <w:rFonts w:cs="Times New Roman"/>
        </w:rPr>
        <w:t xml:space="preserve"> </w:t>
      </w:r>
      <w:proofErr w:type="spellStart"/>
      <w:r w:rsidRPr="006847A4">
        <w:rPr>
          <w:rFonts w:cs="Times New Roman"/>
        </w:rPr>
        <w:t>it</w:t>
      </w:r>
      <w:proofErr w:type="spellEnd"/>
      <w:r w:rsidRPr="006847A4">
        <w:rPr>
          <w:rFonts w:cs="Times New Roman"/>
        </w:rPr>
        <w:t xml:space="preserve"> as </w:t>
      </w:r>
      <w:proofErr w:type="spellStart"/>
      <w:r w:rsidRPr="006847A4">
        <w:rPr>
          <w:rFonts w:cs="Times New Roman"/>
        </w:rPr>
        <w:t>sacred</w:t>
      </w:r>
      <w:proofErr w:type="spellEnd"/>
      <w:r w:rsidRPr="006847A4">
        <w:rPr>
          <w:rFonts w:cs="Times New Roman"/>
        </w:rPr>
        <w:t xml:space="preserve"> and inviolable.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The </w:t>
      </w:r>
      <w:r w:rsidRPr="001E63A0">
        <w:rPr>
          <w:rFonts w:cs="Times New Roman"/>
          <w:lang w:val="en-CA"/>
        </w:rPr>
        <w:t>prevailing</w:t>
      </w:r>
      <w:r w:rsidRPr="00FE692E">
        <w:rPr>
          <w:rFonts w:cs="Times New Roman"/>
          <w:lang w:val="en-US"/>
        </w:rPr>
        <w:t xml:space="preserve"> liberal ethos of the period found direct expression in the Book on Property in the </w:t>
      </w:r>
      <w:r w:rsidRPr="00FE692E">
        <w:rPr>
          <w:rFonts w:cs="Times New Roman"/>
          <w:i/>
          <w:lang w:val="en-US"/>
        </w:rPr>
        <w:t>Code Napoléon</w:t>
      </w:r>
      <w:r w:rsidRPr="00FE692E">
        <w:rPr>
          <w:rFonts w:cs="Times New Roman"/>
          <w:lang w:val="en-US"/>
        </w:rPr>
        <w:t xml:space="preserve"> (1804). When </w:t>
      </w:r>
      <w:proofErr w:type="spellStart"/>
      <w:r w:rsidRPr="00FE692E">
        <w:rPr>
          <w:rFonts w:cs="Times New Roman"/>
          <w:lang w:val="en-US"/>
        </w:rPr>
        <w:t>Portalis</w:t>
      </w:r>
      <w:proofErr w:type="spellEnd"/>
      <w:r w:rsidRPr="00FE692E">
        <w:rPr>
          <w:rFonts w:cs="Times New Roman"/>
          <w:lang w:val="en-US"/>
        </w:rPr>
        <w:t xml:space="preserve"> presented Book II, Title </w:t>
      </w:r>
      <w:r w:rsidRPr="00FE692E">
        <w:rPr>
          <w:rFonts w:cs="Times New Roman"/>
          <w:lang w:val="en-US"/>
        </w:rPr>
        <w:lastRenderedPageBreak/>
        <w:t xml:space="preserve">II, on the right of ownership to the legislature, he urged lawmakers to “consecrate” by their vote “the great principle of ownership, presented in the proposed law as the right to enjoy and to dispose of things in the most absolute manner possible” (N. </w:t>
      </w:r>
      <w:proofErr w:type="spellStart"/>
      <w:r w:rsidRPr="00FE692E">
        <w:rPr>
          <w:rFonts w:cs="Times New Roman"/>
          <w:lang w:val="en-US"/>
        </w:rPr>
        <w:t>Kasiner</w:t>
      </w:r>
      <w:proofErr w:type="spellEnd"/>
      <w:r w:rsidRPr="00FE692E">
        <w:rPr>
          <w:rFonts w:cs="Times New Roman"/>
          <w:lang w:val="en-US"/>
        </w:rPr>
        <w:t>, “</w:t>
      </w:r>
      <w:proofErr w:type="spellStart"/>
      <w:r w:rsidRPr="00FE692E">
        <w:rPr>
          <w:rFonts w:cs="Times New Roman"/>
          <w:lang w:val="en-US"/>
        </w:rPr>
        <w:t>P</w:t>
      </w:r>
      <w:r w:rsidRPr="00FE692E">
        <w:rPr>
          <w:rFonts w:eastAsia="Calibri" w:cs="Times New Roman"/>
          <w:lang w:val="en-US"/>
        </w:rPr>
        <w:t>ortalis</w:t>
      </w:r>
      <w:proofErr w:type="spellEnd"/>
      <w:r w:rsidRPr="00FE692E">
        <w:rPr>
          <w:rFonts w:eastAsia="Calibri" w:cs="Times New Roman"/>
          <w:lang w:val="en-US"/>
        </w:rPr>
        <w:t xml:space="preserve"> Now”, in N. </w:t>
      </w:r>
      <w:proofErr w:type="spellStart"/>
      <w:r w:rsidRPr="00FE692E">
        <w:rPr>
          <w:rFonts w:eastAsia="Calibri" w:cs="Times New Roman"/>
          <w:lang w:val="en-US"/>
        </w:rPr>
        <w:t>Kasirer</w:t>
      </w:r>
      <w:proofErr w:type="spellEnd"/>
      <w:r w:rsidRPr="00FE692E">
        <w:rPr>
          <w:rFonts w:eastAsia="Calibri" w:cs="Times New Roman"/>
          <w:lang w:val="en-US"/>
        </w:rPr>
        <w:t xml:space="preserve">, ed., </w:t>
      </w:r>
      <w:r w:rsidRPr="00FE692E">
        <w:rPr>
          <w:rFonts w:eastAsia="Calibri" w:cs="Times New Roman"/>
          <w:i/>
          <w:lang w:val="en-US"/>
        </w:rPr>
        <w:t xml:space="preserve">Le droit civil, </w:t>
      </w:r>
      <w:proofErr w:type="spellStart"/>
      <w:r w:rsidRPr="00FE692E">
        <w:rPr>
          <w:rFonts w:eastAsia="Calibri" w:cs="Times New Roman"/>
          <w:i/>
          <w:lang w:val="en-US"/>
        </w:rPr>
        <w:t>avant</w:t>
      </w:r>
      <w:proofErr w:type="spellEnd"/>
      <w:r w:rsidRPr="00FE692E">
        <w:rPr>
          <w:rFonts w:eastAsia="Calibri" w:cs="Times New Roman"/>
          <w:i/>
          <w:lang w:val="en-US"/>
        </w:rPr>
        <w:t xml:space="preserve"> tout un style?</w:t>
      </w:r>
      <w:r w:rsidRPr="00FE692E">
        <w:rPr>
          <w:rFonts w:eastAsia="Calibri" w:cs="Times New Roman"/>
          <w:lang w:val="en-US"/>
        </w:rPr>
        <w:t xml:space="preserve"> (2003), 1, at p. 32</w:t>
      </w:r>
      <w:r w:rsidR="00FD4276">
        <w:rPr>
          <w:rFonts w:eastAsia="Calibri" w:cs="Times New Roman"/>
          <w:lang w:val="en-US"/>
        </w:rPr>
        <w:t xml:space="preserve"> (emphasis deleted)</w:t>
      </w:r>
      <w:r w:rsidRPr="00FE692E">
        <w:rPr>
          <w:rFonts w:eastAsia="Calibri" w:cs="Times New Roman"/>
          <w:lang w:val="en-US"/>
        </w:rPr>
        <w:t xml:space="preserve">). Article 544 of the </w:t>
      </w:r>
      <w:r w:rsidRPr="00FE692E">
        <w:rPr>
          <w:rFonts w:cs="Times New Roman"/>
          <w:i/>
          <w:lang w:val="en-US"/>
        </w:rPr>
        <w:t>Code Napoléon</w:t>
      </w:r>
      <w:r w:rsidRPr="00FE692E">
        <w:rPr>
          <w:rFonts w:cs="Times New Roman"/>
          <w:lang w:val="en-US"/>
        </w:rPr>
        <w:t xml:space="preserve"> </w:t>
      </w:r>
      <w:r w:rsidRPr="00FE692E">
        <w:rPr>
          <w:rFonts w:eastAsia="Calibri" w:cs="Times New Roman"/>
          <w:lang w:val="en-US"/>
        </w:rPr>
        <w:t xml:space="preserve">was accordingly unequivocal in its wording: </w:t>
      </w:r>
    </w:p>
    <w:p w:rsidR="00FE692E" w:rsidRPr="0054087A" w:rsidRDefault="00FE692E" w:rsidP="0054087A">
      <w:pPr>
        <w:pStyle w:val="Citation-AltC"/>
        <w:widowControl w:val="0"/>
        <w:ind w:firstLine="274"/>
        <w:rPr>
          <w:rFonts w:eastAsia="Calibri"/>
          <w:szCs w:val="22"/>
          <w:lang w:val="en-CA" w:eastAsia="en-US"/>
        </w:rPr>
      </w:pPr>
      <w:r w:rsidRPr="00FE692E">
        <w:rPr>
          <w:rFonts w:eastAsia="Calibri"/>
          <w:lang w:val="en-US" w:eastAsia="en-US"/>
        </w:rPr>
        <w:t>[</w:t>
      </w:r>
      <w:r w:rsidRPr="00FE692E">
        <w:rPr>
          <w:rFonts w:eastAsia="Calibri"/>
          <w:smallCaps/>
          <w:lang w:val="en-US" w:eastAsia="en-US"/>
        </w:rPr>
        <w:t>translation</w:t>
      </w:r>
      <w:r w:rsidRPr="00FE692E">
        <w:rPr>
          <w:rFonts w:eastAsia="Calibri"/>
          <w:lang w:val="en-US" w:eastAsia="en-US"/>
        </w:rPr>
        <w:t xml:space="preserve">] Ownership is the right to enjoy and dispose of things in the most absolute manner, provided they are not used in a way prohibited by statutes or regulations. </w:t>
      </w:r>
      <w:r w:rsidRPr="0054087A">
        <w:rPr>
          <w:rFonts w:eastAsia="Calibri"/>
          <w:lang w:val="en-CA" w:eastAsia="en-US"/>
        </w:rPr>
        <w:t xml:space="preserve">[Translation taken from the French government’s </w:t>
      </w:r>
      <w:proofErr w:type="spellStart"/>
      <w:r w:rsidRPr="0054087A">
        <w:rPr>
          <w:rFonts w:eastAsia="Calibri"/>
          <w:lang w:val="en-CA" w:eastAsia="en-US"/>
        </w:rPr>
        <w:t>Légifrance</w:t>
      </w:r>
      <w:proofErr w:type="spellEnd"/>
      <w:r w:rsidRPr="0054087A">
        <w:rPr>
          <w:rFonts w:eastAsia="Calibri"/>
          <w:lang w:val="en-CA" w:eastAsia="en-US"/>
        </w:rPr>
        <w:t xml:space="preserve"> website.]</w:t>
      </w:r>
    </w:p>
    <w:p w:rsidR="00FE692E" w:rsidRPr="001067B2" w:rsidRDefault="00FE692E" w:rsidP="00233573">
      <w:pPr>
        <w:pStyle w:val="ParaNoNdepar-AltN"/>
        <w:widowControl w:val="0"/>
        <w:numPr>
          <w:ilvl w:val="0"/>
          <w:numId w:val="1"/>
        </w:numPr>
        <w:tabs>
          <w:tab w:val="clear" w:pos="1242"/>
          <w:tab w:val="num" w:pos="1152"/>
        </w:tabs>
        <w:ind w:left="0"/>
        <w:rPr>
          <w:rFonts w:eastAsia="Calibri" w:cs="Times New Roman"/>
          <w:lang w:val="en-US"/>
        </w:rPr>
      </w:pPr>
      <w:r w:rsidRPr="00FE692E">
        <w:rPr>
          <w:rFonts w:eastAsia="Calibri" w:cs="Times New Roman"/>
          <w:lang w:val="en-US"/>
        </w:rPr>
        <w:t xml:space="preserve">The </w:t>
      </w:r>
      <w:r w:rsidRPr="001E63A0">
        <w:rPr>
          <w:rFonts w:cs="Times New Roman"/>
          <w:lang w:val="en-CA"/>
        </w:rPr>
        <w:t>drafters</w:t>
      </w:r>
      <w:r w:rsidRPr="00FE692E">
        <w:rPr>
          <w:rFonts w:eastAsia="Calibri" w:cs="Times New Roman"/>
          <w:lang w:val="en-US"/>
        </w:rPr>
        <w:t xml:space="preserve"> of the French version of the </w:t>
      </w:r>
      <w:r w:rsidRPr="00FE692E">
        <w:rPr>
          <w:rFonts w:eastAsia="Calibri" w:cs="Times New Roman"/>
          <w:i/>
          <w:lang w:val="en-US"/>
        </w:rPr>
        <w:t xml:space="preserve">Civil Code of Lower Canada </w:t>
      </w:r>
      <w:r w:rsidRPr="00FE692E">
        <w:rPr>
          <w:rFonts w:eastAsia="Calibri" w:cs="Times New Roman"/>
          <w:lang w:val="en-US"/>
        </w:rPr>
        <w:t>(“</w:t>
      </w:r>
      <w:r w:rsidRPr="00FE692E">
        <w:rPr>
          <w:rFonts w:eastAsia="Calibri" w:cs="Times New Roman"/>
          <w:i/>
          <w:lang w:val="en-US"/>
        </w:rPr>
        <w:t>C</w:t>
      </w:r>
      <w:r w:rsidR="000D2E38">
        <w:rPr>
          <w:rFonts w:eastAsia="Calibri" w:cs="Times New Roman"/>
          <w:i/>
          <w:lang w:val="en-US"/>
        </w:rPr>
        <w:t>.</w:t>
      </w:r>
      <w:r w:rsidRPr="00FE692E">
        <w:rPr>
          <w:rFonts w:eastAsia="Calibri" w:cs="Times New Roman"/>
          <w:i/>
          <w:lang w:val="en-US"/>
        </w:rPr>
        <w:t>C</w:t>
      </w:r>
      <w:r w:rsidR="000D2E38">
        <w:rPr>
          <w:rFonts w:eastAsia="Calibri" w:cs="Times New Roman"/>
          <w:i/>
          <w:lang w:val="en-US"/>
        </w:rPr>
        <w:t>.</w:t>
      </w:r>
      <w:r w:rsidRPr="00FE692E">
        <w:rPr>
          <w:rFonts w:eastAsia="Calibri" w:cs="Times New Roman"/>
          <w:i/>
          <w:lang w:val="en-US"/>
        </w:rPr>
        <w:t>L</w:t>
      </w:r>
      <w:r w:rsidR="000D2E38">
        <w:rPr>
          <w:rFonts w:eastAsia="Calibri" w:cs="Times New Roman"/>
          <w:i/>
          <w:lang w:val="en-US"/>
        </w:rPr>
        <w:t>.</w:t>
      </w:r>
      <w:r w:rsidRPr="00FE692E">
        <w:rPr>
          <w:rFonts w:eastAsia="Calibri" w:cs="Times New Roman"/>
          <w:i/>
          <w:lang w:val="en-US"/>
        </w:rPr>
        <w:t>C</w:t>
      </w:r>
      <w:r w:rsidR="000D2E38">
        <w:rPr>
          <w:rFonts w:eastAsia="Calibri" w:cs="Times New Roman"/>
          <w:i/>
          <w:lang w:val="en-US"/>
        </w:rPr>
        <w:t>.</w:t>
      </w:r>
      <w:r w:rsidRPr="00FE692E">
        <w:rPr>
          <w:rFonts w:eastAsia="Calibri" w:cs="Times New Roman"/>
          <w:lang w:val="en-US"/>
        </w:rPr>
        <w:t xml:space="preserve">”) adopted identical wording in codifying the right of ownership in art. 406. The original wording of art. 406 endured until the enactment of the </w:t>
      </w:r>
      <w:r w:rsidRPr="00FE692E">
        <w:rPr>
          <w:rFonts w:eastAsia="Calibri" w:cs="Times New Roman"/>
          <w:i/>
          <w:lang w:val="en-US"/>
        </w:rPr>
        <w:t>C</w:t>
      </w:r>
      <w:r w:rsidR="001067B2">
        <w:rPr>
          <w:rFonts w:eastAsia="Calibri" w:cs="Times New Roman"/>
          <w:i/>
          <w:lang w:val="en-US"/>
        </w:rPr>
        <w:t>.</w:t>
      </w:r>
      <w:r w:rsidRPr="00FE692E">
        <w:rPr>
          <w:rFonts w:eastAsia="Calibri" w:cs="Times New Roman"/>
          <w:i/>
          <w:lang w:val="en-US"/>
        </w:rPr>
        <w:t>C</w:t>
      </w:r>
      <w:r w:rsidR="001067B2">
        <w:rPr>
          <w:rFonts w:eastAsia="Calibri" w:cs="Times New Roman"/>
          <w:i/>
          <w:lang w:val="en-US"/>
        </w:rPr>
        <w:t>.</w:t>
      </w:r>
      <w:r w:rsidRPr="00FE692E">
        <w:rPr>
          <w:rFonts w:eastAsia="Calibri" w:cs="Times New Roman"/>
          <w:i/>
          <w:lang w:val="en-US"/>
        </w:rPr>
        <w:t>Q</w:t>
      </w:r>
      <w:r w:rsidR="001067B2">
        <w:rPr>
          <w:rFonts w:eastAsia="Calibri" w:cs="Times New Roman"/>
          <w:i/>
          <w:lang w:val="en-US"/>
        </w:rPr>
        <w:t>.</w:t>
      </w:r>
      <w:r w:rsidRPr="00FE692E">
        <w:rPr>
          <w:rFonts w:eastAsia="Calibri" w:cs="Times New Roman"/>
          <w:lang w:val="en-US"/>
        </w:rPr>
        <w:t xml:space="preserve"> in 1994, which recast it in art. 947. </w:t>
      </w:r>
      <w:r w:rsidRPr="001067B2">
        <w:rPr>
          <w:rFonts w:eastAsia="Calibri" w:cs="Times New Roman"/>
          <w:lang w:val="en-US"/>
        </w:rPr>
        <w:t xml:space="preserve">That article now reads as follows:  </w:t>
      </w:r>
    </w:p>
    <w:p w:rsidR="00FE692E" w:rsidRPr="00FE692E" w:rsidRDefault="00FE692E" w:rsidP="00233573">
      <w:pPr>
        <w:pStyle w:val="Citation-AltC"/>
        <w:widowControl w:val="0"/>
        <w:ind w:firstLine="274"/>
        <w:rPr>
          <w:lang w:val="en-US"/>
        </w:rPr>
      </w:pPr>
      <w:r w:rsidRPr="00FE692E">
        <w:rPr>
          <w:b/>
          <w:lang w:val="en-US"/>
        </w:rPr>
        <w:t>947</w:t>
      </w:r>
      <w:r w:rsidRPr="0054087A">
        <w:rPr>
          <w:b/>
          <w:lang w:val="en-US"/>
        </w:rPr>
        <w:t>.</w:t>
      </w:r>
      <w:r w:rsidRPr="00FE692E">
        <w:rPr>
          <w:lang w:val="en-US"/>
        </w:rPr>
        <w:t xml:space="preserve"> Ownership is the right to use, enjoy and dispose of property fully and freely, subject to the limits and conditions for doing so determined by law. </w:t>
      </w:r>
    </w:p>
    <w:p w:rsidR="00FE692E" w:rsidRPr="00FE692E" w:rsidRDefault="00FE692E" w:rsidP="00233573">
      <w:pPr>
        <w:pStyle w:val="Citation-AltC"/>
        <w:widowControl w:val="0"/>
        <w:rPr>
          <w:lang w:val="en-US"/>
        </w:rPr>
      </w:pPr>
    </w:p>
    <w:p w:rsidR="00FE692E" w:rsidRPr="00FE692E" w:rsidRDefault="00FE692E" w:rsidP="00233573">
      <w:pPr>
        <w:pStyle w:val="Citation-AltC"/>
        <w:widowControl w:val="0"/>
        <w:ind w:firstLine="274"/>
        <w:rPr>
          <w:lang w:val="en-US"/>
        </w:rPr>
      </w:pPr>
      <w:r w:rsidRPr="00FE692E">
        <w:rPr>
          <w:lang w:val="en-US"/>
        </w:rPr>
        <w:t>Ownership may be in various modalities and dismemberments.</w:t>
      </w:r>
    </w:p>
    <w:p w:rsidR="00FE692E" w:rsidRPr="006847A4" w:rsidRDefault="00FE692E" w:rsidP="00233573">
      <w:pPr>
        <w:pStyle w:val="ParaNoNdepar-AltN"/>
        <w:widowControl w:val="0"/>
        <w:numPr>
          <w:ilvl w:val="0"/>
          <w:numId w:val="1"/>
        </w:numPr>
        <w:tabs>
          <w:tab w:val="clear" w:pos="1242"/>
          <w:tab w:val="num" w:pos="1152"/>
        </w:tabs>
        <w:ind w:left="0"/>
        <w:rPr>
          <w:rFonts w:cs="Times New Roman"/>
        </w:rPr>
      </w:pPr>
      <w:r w:rsidRPr="00FE692E">
        <w:rPr>
          <w:rFonts w:cs="Times New Roman"/>
          <w:lang w:val="en-US"/>
        </w:rPr>
        <w:t xml:space="preserve">Article </w:t>
      </w:r>
      <w:r w:rsidRPr="001E63A0">
        <w:rPr>
          <w:rFonts w:cs="Times New Roman"/>
          <w:lang w:val="en-CA"/>
        </w:rPr>
        <w:t>947</w:t>
      </w:r>
      <w:r w:rsidRPr="00FE692E">
        <w:rPr>
          <w:rFonts w:cs="Times New Roman"/>
          <w:lang w:val="en-US"/>
        </w:rPr>
        <w:t xml:space="preserve">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Q</w:t>
      </w:r>
      <w:r w:rsidR="001067B2">
        <w:rPr>
          <w:rFonts w:cs="Times New Roman"/>
          <w:i/>
          <w:lang w:val="en-US"/>
        </w:rPr>
        <w:t>.</w:t>
      </w:r>
      <w:r w:rsidRPr="00FE692E">
        <w:rPr>
          <w:rFonts w:cs="Times New Roman"/>
          <w:lang w:val="en-US"/>
        </w:rPr>
        <w:t xml:space="preserve"> thus realigned the right of ownership with contemporary social mores. [</w:t>
      </w:r>
      <w:r w:rsidRPr="00FE692E">
        <w:rPr>
          <w:rFonts w:cs="Times New Roman"/>
          <w:smallCaps/>
          <w:lang w:val="en-US"/>
        </w:rPr>
        <w:t>translation</w:t>
      </w:r>
      <w:r w:rsidRPr="00FE692E">
        <w:rPr>
          <w:rFonts w:cs="Times New Roman"/>
          <w:lang w:val="en-US"/>
        </w:rPr>
        <w:t>] “[M]</w:t>
      </w:r>
      <w:proofErr w:type="spellStart"/>
      <w:r w:rsidRPr="00FE692E">
        <w:rPr>
          <w:rFonts w:cs="Times New Roman"/>
          <w:lang w:val="en-US"/>
        </w:rPr>
        <w:t>odern</w:t>
      </w:r>
      <w:proofErr w:type="spellEnd"/>
      <w:r w:rsidRPr="00FE692E">
        <w:rPr>
          <w:rFonts w:cs="Times New Roman"/>
          <w:lang w:val="en-US"/>
        </w:rPr>
        <w:t xml:space="preserve"> ownership”, writes Professor </w:t>
      </w:r>
      <w:proofErr w:type="spellStart"/>
      <w:r w:rsidRPr="00FE692E">
        <w:rPr>
          <w:rFonts w:cs="Times New Roman"/>
          <w:lang w:val="en-US"/>
        </w:rPr>
        <w:t>Lafond</w:t>
      </w:r>
      <w:proofErr w:type="spellEnd"/>
      <w:r w:rsidRPr="00FE692E">
        <w:rPr>
          <w:rFonts w:cs="Times New Roman"/>
          <w:lang w:val="en-US"/>
        </w:rPr>
        <w:t xml:space="preserve">, “is tending toward socialization in the name of the public interest” (P.-C. </w:t>
      </w:r>
      <w:proofErr w:type="spellStart"/>
      <w:r w:rsidRPr="00FE692E">
        <w:rPr>
          <w:rFonts w:cs="Times New Roman"/>
          <w:lang w:val="en-US"/>
        </w:rPr>
        <w:t>Lafond</w:t>
      </w:r>
      <w:proofErr w:type="spellEnd"/>
      <w:r w:rsidRPr="00FE692E">
        <w:rPr>
          <w:rFonts w:cs="Times New Roman"/>
          <w:lang w:val="en-US"/>
        </w:rPr>
        <w:t xml:space="preserve">, </w:t>
      </w:r>
      <w:r w:rsidRPr="00FE692E">
        <w:rPr>
          <w:rFonts w:cs="Times New Roman"/>
          <w:i/>
          <w:lang w:val="en-US"/>
        </w:rPr>
        <w:t xml:space="preserve">Précis de droit des </w:t>
      </w:r>
      <w:proofErr w:type="spellStart"/>
      <w:r w:rsidRPr="00FE692E">
        <w:rPr>
          <w:rFonts w:cs="Times New Roman"/>
          <w:i/>
          <w:lang w:val="en-US"/>
        </w:rPr>
        <w:t>biens</w:t>
      </w:r>
      <w:proofErr w:type="spellEnd"/>
      <w:r w:rsidRPr="00FE692E">
        <w:rPr>
          <w:rFonts w:cs="Times New Roman"/>
          <w:lang w:val="en-US"/>
        </w:rPr>
        <w:t xml:space="preserve"> (2nd ed. 2007), at para. 51). Yet, even today, the right </w:t>
      </w:r>
      <w:r w:rsidRPr="00FE692E">
        <w:rPr>
          <w:rFonts w:cs="Times New Roman"/>
          <w:lang w:val="en-US"/>
        </w:rPr>
        <w:lastRenderedPageBreak/>
        <w:t xml:space="preserve">of ownership retains a quasi-constitutional dimension under ss. 6 and 8 of the </w:t>
      </w:r>
      <w:r w:rsidRPr="00FE692E">
        <w:rPr>
          <w:rFonts w:cs="Times New Roman"/>
          <w:i/>
          <w:lang w:val="en-US"/>
        </w:rPr>
        <w:t>Charter of human rights and freedoms</w:t>
      </w:r>
      <w:r w:rsidRPr="00FE692E">
        <w:rPr>
          <w:rFonts w:cs="Times New Roman"/>
          <w:lang w:val="en-US"/>
        </w:rPr>
        <w:t>, CQLR, c. C</w:t>
      </w:r>
      <w:r w:rsidRPr="00FE692E">
        <w:rPr>
          <w:rFonts w:cs="Times New Roman"/>
          <w:lang w:val="en-US"/>
        </w:rPr>
        <w:noBreakHyphen/>
        <w:t xml:space="preserve">12, and remains the primordial real right in the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Q</w:t>
      </w:r>
      <w:r w:rsidR="001067B2">
        <w:rPr>
          <w:rFonts w:cs="Times New Roman"/>
          <w:i/>
          <w:lang w:val="en-US"/>
        </w:rPr>
        <w:t>.</w:t>
      </w:r>
      <w:r w:rsidRPr="00FE692E">
        <w:rPr>
          <w:rFonts w:cs="Times New Roman"/>
          <w:lang w:val="en-US"/>
        </w:rPr>
        <w:t>: [</w:t>
      </w:r>
      <w:r w:rsidRPr="00FE692E">
        <w:rPr>
          <w:rFonts w:cs="Times New Roman"/>
          <w:smallCaps/>
          <w:lang w:val="en-US"/>
        </w:rPr>
        <w:t>translation</w:t>
      </w:r>
      <w:r w:rsidRPr="00FE692E">
        <w:rPr>
          <w:rFonts w:cs="Times New Roman"/>
          <w:lang w:val="en-US"/>
        </w:rPr>
        <w:t xml:space="preserve">] “This right is distinct from other real rights in being absolute, exclusive and perpetual” (S. Normand, </w:t>
      </w:r>
      <w:r w:rsidRPr="00FE692E">
        <w:rPr>
          <w:rFonts w:cs="Times New Roman"/>
          <w:i/>
          <w:lang w:val="en-US"/>
        </w:rPr>
        <w:t xml:space="preserve">Introduction au droit des </w:t>
      </w:r>
      <w:proofErr w:type="spellStart"/>
      <w:r w:rsidRPr="00FE692E">
        <w:rPr>
          <w:rFonts w:cs="Times New Roman"/>
          <w:i/>
          <w:lang w:val="en-US"/>
        </w:rPr>
        <w:t>biens</w:t>
      </w:r>
      <w:proofErr w:type="spellEnd"/>
      <w:r w:rsidRPr="00FE692E">
        <w:rPr>
          <w:rFonts w:cs="Times New Roman"/>
          <w:lang w:val="en-US"/>
        </w:rPr>
        <w:t xml:space="preserve"> (2nd ed. 2014), at p. 83). As Professor Normand notes, it gives its holder “total mastery over property, whereas other real rights confer only partial mastery” (p. 99 (citation omitted)). “The owner alone can lay claim to all the attributes of the subject of his or her right” (p. 100). </w:t>
      </w:r>
      <w:r w:rsidRPr="006847A4">
        <w:rPr>
          <w:rFonts w:cs="Times New Roman"/>
        </w:rPr>
        <w:t xml:space="preserve">And, </w:t>
      </w:r>
      <w:proofErr w:type="spellStart"/>
      <w:r w:rsidRPr="006847A4">
        <w:rPr>
          <w:rFonts w:cs="Times New Roman"/>
        </w:rPr>
        <w:t>crucially</w:t>
      </w:r>
      <w:proofErr w:type="spellEnd"/>
      <w:r w:rsidRPr="006847A4">
        <w:rPr>
          <w:rFonts w:cs="Times New Roman"/>
        </w:rPr>
        <w:t xml:space="preserve">, for the </w:t>
      </w:r>
      <w:proofErr w:type="spellStart"/>
      <w:r w:rsidRPr="006847A4">
        <w:rPr>
          <w:rFonts w:cs="Times New Roman"/>
        </w:rPr>
        <w:t>purposes</w:t>
      </w:r>
      <w:proofErr w:type="spellEnd"/>
      <w:r w:rsidRPr="006847A4">
        <w:rPr>
          <w:rFonts w:cs="Times New Roman"/>
        </w:rPr>
        <w:t xml:space="preserve"> of </w:t>
      </w:r>
      <w:proofErr w:type="spellStart"/>
      <w:r w:rsidRPr="006847A4">
        <w:rPr>
          <w:rFonts w:cs="Times New Roman"/>
        </w:rPr>
        <w:t>this</w:t>
      </w:r>
      <w:proofErr w:type="spellEnd"/>
      <w:r w:rsidRPr="006847A4">
        <w:rPr>
          <w:rFonts w:cs="Times New Roman"/>
        </w:rPr>
        <w:t xml:space="preserve"> </w:t>
      </w:r>
      <w:proofErr w:type="spellStart"/>
      <w:r w:rsidRPr="006847A4">
        <w:rPr>
          <w:rFonts w:cs="Times New Roman"/>
        </w:rPr>
        <w:t>appeal</w:t>
      </w:r>
      <w:proofErr w:type="spellEnd"/>
      <w:r w:rsidRPr="006847A4">
        <w:rPr>
          <w:rFonts w:cs="Times New Roman"/>
        </w:rPr>
        <w:t xml:space="preserve">: </w:t>
      </w:r>
    </w:p>
    <w:p w:rsidR="00FE692E" w:rsidRDefault="00FE692E" w:rsidP="00233573">
      <w:pPr>
        <w:pStyle w:val="Citation-AltC"/>
        <w:widowControl w:val="0"/>
        <w:rPr>
          <w:lang w:val="fr-FR"/>
        </w:rPr>
      </w:pPr>
      <w:r w:rsidRPr="00FE692E">
        <w:rPr>
          <w:lang w:val="en-US"/>
        </w:rPr>
        <w:t>[</w:t>
      </w:r>
      <w:r w:rsidRPr="00FE692E">
        <w:rPr>
          <w:smallCaps/>
          <w:lang w:val="en-US"/>
        </w:rPr>
        <w:t>translation</w:t>
      </w:r>
      <w:r w:rsidRPr="00FE692E">
        <w:rPr>
          <w:lang w:val="en-US"/>
        </w:rPr>
        <w:t>] The perpetual nature of the right of ownership means that the right lasts as long as the property to which it relates. . . . [O]</w:t>
      </w:r>
      <w:proofErr w:type="spellStart"/>
      <w:r w:rsidRPr="00FE692E">
        <w:rPr>
          <w:lang w:val="en-US"/>
        </w:rPr>
        <w:t>wnership</w:t>
      </w:r>
      <w:proofErr w:type="spellEnd"/>
      <w:r w:rsidRPr="00FE692E">
        <w:rPr>
          <w:lang w:val="en-US"/>
        </w:rPr>
        <w:t xml:space="preserve"> is extinguished by the loss of property that results from its destruction or abandonment. . . . In this regard, ownership differs from other real rights, which are extinguished simply because their holder ceases to use them for a period of ten years (1162(5); 1191(5); 1208(5) C.C.Q.). </w:t>
      </w:r>
      <w:r w:rsidRPr="006847A4">
        <w:t xml:space="preserve">[Citations </w:t>
      </w:r>
      <w:proofErr w:type="spellStart"/>
      <w:r w:rsidRPr="006847A4">
        <w:t>omitted</w:t>
      </w:r>
      <w:proofErr w:type="spellEnd"/>
      <w:r w:rsidRPr="006847A4">
        <w:t xml:space="preserve">; </w:t>
      </w:r>
      <w:r w:rsidRPr="006847A4">
        <w:rPr>
          <w:i/>
        </w:rPr>
        <w:t>ibid.</w:t>
      </w:r>
      <w:r w:rsidRPr="006847A4">
        <w:t>]</w:t>
      </w:r>
      <w:r w:rsidRPr="006847A4">
        <w:rPr>
          <w:lang w:val="fr-FR"/>
        </w:rPr>
        <w:t xml:space="preserve"> </w:t>
      </w:r>
    </w:p>
    <w:p w:rsidR="00FE692E" w:rsidRPr="006847A4" w:rsidRDefault="00FE692E" w:rsidP="00233573">
      <w:pPr>
        <w:pStyle w:val="Citation-AltC"/>
        <w:widowControl w:val="0"/>
        <w:rPr>
          <w:lang w:val="fr-FR"/>
        </w:rPr>
      </w:pPr>
    </w:p>
    <w:p w:rsidR="00FE692E" w:rsidRPr="006847A4" w:rsidRDefault="00FE692E" w:rsidP="00233573">
      <w:pPr>
        <w:pStyle w:val="Title2LevelTitre2Niveau"/>
        <w:widowControl w:val="0"/>
        <w:numPr>
          <w:ilvl w:val="1"/>
          <w:numId w:val="8"/>
        </w:numPr>
        <w:tabs>
          <w:tab w:val="clear" w:pos="576"/>
          <w:tab w:val="num" w:pos="540"/>
        </w:tabs>
        <w:ind w:left="540" w:hanging="540"/>
        <w:jc w:val="left"/>
        <w:outlineLvl w:val="0"/>
        <w:rPr>
          <w:rFonts w:cs="Times New Roman"/>
        </w:rPr>
      </w:pPr>
      <w:r w:rsidRPr="006847A4">
        <w:rPr>
          <w:rFonts w:cs="Times New Roman"/>
        </w:rPr>
        <w:t xml:space="preserve">Prescription in the Civil Law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Prescription is one mode of acquiring the right of ownership over property (see arts. 916, 2875, and 2910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Q</w:t>
      </w:r>
      <w:r w:rsidR="001067B2">
        <w:rPr>
          <w:rFonts w:cs="Times New Roman"/>
          <w:i/>
          <w:lang w:val="en-US"/>
        </w:rPr>
        <w:t>.</w:t>
      </w:r>
      <w:r w:rsidRPr="00FE692E">
        <w:rPr>
          <w:rFonts w:cs="Times New Roman"/>
          <w:lang w:val="en-US"/>
        </w:rPr>
        <w:t>). This is the acquisitive aspect of prescription. But the operation of prescription has a dual function insofar as the prior owner’s right is extinguished. The concept of prescription therefore creates a tension “in relation to powerful real rights, and especially with the most powerful of these, ownership” (D. </w:t>
      </w:r>
      <w:proofErr w:type="spellStart"/>
      <w:r w:rsidRPr="00FE692E">
        <w:rPr>
          <w:rFonts w:cs="Times New Roman"/>
          <w:lang w:val="en-US"/>
        </w:rPr>
        <w:t>Lametti</w:t>
      </w:r>
      <w:proofErr w:type="spellEnd"/>
      <w:r w:rsidRPr="00FE692E">
        <w:rPr>
          <w:rFonts w:cs="Times New Roman"/>
          <w:lang w:val="en-US"/>
        </w:rPr>
        <w:t xml:space="preserve">, “Prescription </w:t>
      </w:r>
      <w:r w:rsidRPr="00FE692E">
        <w:rPr>
          <w:rFonts w:cs="Times New Roman"/>
          <w:i/>
          <w:lang w:val="en-US"/>
        </w:rPr>
        <w:t xml:space="preserve">à la </w:t>
      </w:r>
      <w:proofErr w:type="spellStart"/>
      <w:r w:rsidRPr="00FE692E">
        <w:rPr>
          <w:rFonts w:cs="Times New Roman"/>
          <w:i/>
          <w:lang w:val="en-US"/>
        </w:rPr>
        <w:t>recherche</w:t>
      </w:r>
      <w:proofErr w:type="spellEnd"/>
      <w:r w:rsidRPr="00FE692E">
        <w:rPr>
          <w:rFonts w:cs="Times New Roman"/>
          <w:i/>
          <w:lang w:val="en-US"/>
        </w:rPr>
        <w:t xml:space="preserve"> du temps</w:t>
      </w:r>
      <w:r w:rsidRPr="00FE692E">
        <w:rPr>
          <w:rFonts w:cs="Times New Roman"/>
          <w:lang w:val="en-US"/>
        </w:rPr>
        <w:t>: In Search of Past Time (or Recognition of Things Past</w:t>
      </w:r>
      <w:r w:rsidR="00CF4DB4">
        <w:rPr>
          <w:rFonts w:cs="Times New Roman"/>
          <w:lang w:val="en-US"/>
        </w:rPr>
        <w:t>)</w:t>
      </w:r>
      <w:r w:rsidRPr="00FE692E">
        <w:rPr>
          <w:rFonts w:cs="Times New Roman"/>
          <w:lang w:val="en-US"/>
        </w:rPr>
        <w:t xml:space="preserve">”, in M.-F. Bureau and M. </w:t>
      </w:r>
      <w:proofErr w:type="spellStart"/>
      <w:r w:rsidRPr="00FE692E">
        <w:rPr>
          <w:rFonts w:cs="Times New Roman"/>
          <w:lang w:val="en-US"/>
        </w:rPr>
        <w:t>Devinat</w:t>
      </w:r>
      <w:proofErr w:type="spellEnd"/>
      <w:r w:rsidRPr="00FE692E">
        <w:rPr>
          <w:rFonts w:cs="Times New Roman"/>
          <w:lang w:val="en-US"/>
        </w:rPr>
        <w:t xml:space="preserve">, eds., </w:t>
      </w:r>
      <w:r w:rsidRPr="00FE692E">
        <w:rPr>
          <w:rFonts w:cs="Times New Roman"/>
          <w:i/>
          <w:iCs/>
          <w:lang w:val="en-US"/>
        </w:rPr>
        <w:t xml:space="preserve">Les livres du Code </w:t>
      </w:r>
      <w:r w:rsidRPr="00FE692E">
        <w:rPr>
          <w:rFonts w:cs="Times New Roman"/>
          <w:i/>
          <w:iCs/>
          <w:lang w:val="en-US"/>
        </w:rPr>
        <w:lastRenderedPageBreak/>
        <w:t>civil du Québec</w:t>
      </w:r>
      <w:r w:rsidRPr="00FE692E">
        <w:rPr>
          <w:rFonts w:cs="Times New Roman"/>
          <w:lang w:val="en-US"/>
        </w:rPr>
        <w:t xml:space="preserve"> (2012), 267, at p. 273).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It is </w:t>
      </w:r>
      <w:r w:rsidRPr="001E63A0">
        <w:rPr>
          <w:rFonts w:cs="Times New Roman"/>
          <w:lang w:val="en-CA"/>
        </w:rPr>
        <w:t>this</w:t>
      </w:r>
      <w:r w:rsidRPr="00FE692E">
        <w:rPr>
          <w:rFonts w:cs="Times New Roman"/>
          <w:lang w:val="en-US"/>
        </w:rPr>
        <w:t xml:space="preserve"> tension between the operation of prescription and the right of ownership — inherent in acquisitive prescription — which may beget social scorn. As Martineau writes, prescription [</w:t>
      </w:r>
      <w:r w:rsidRPr="00FE692E">
        <w:rPr>
          <w:rFonts w:cs="Times New Roman"/>
          <w:smallCaps/>
          <w:lang w:val="en-US"/>
        </w:rPr>
        <w:t>translation</w:t>
      </w:r>
      <w:r w:rsidRPr="00FE692E">
        <w:rPr>
          <w:rFonts w:cs="Times New Roman"/>
          <w:lang w:val="en-US"/>
        </w:rPr>
        <w:t xml:space="preserve">] “evokes the image of owners stripped of their right of ownership in </w:t>
      </w:r>
      <w:proofErr w:type="spellStart"/>
      <w:r w:rsidRPr="00FE692E">
        <w:rPr>
          <w:rFonts w:cs="Times New Roman"/>
          <w:lang w:val="en-US"/>
        </w:rPr>
        <w:t>favour</w:t>
      </w:r>
      <w:proofErr w:type="spellEnd"/>
      <w:r w:rsidRPr="00FE692E">
        <w:rPr>
          <w:rFonts w:cs="Times New Roman"/>
          <w:lang w:val="en-US"/>
        </w:rPr>
        <w:t xml:space="preserve"> of usurpers” (P. Martineau, </w:t>
      </w:r>
      <w:r w:rsidRPr="00FE692E">
        <w:rPr>
          <w:rFonts w:cs="Times New Roman"/>
          <w:i/>
          <w:lang w:val="en-US"/>
        </w:rPr>
        <w:t>La Prescription</w:t>
      </w:r>
      <w:r w:rsidRPr="00FE692E">
        <w:rPr>
          <w:rFonts w:cs="Times New Roman"/>
          <w:lang w:val="en-US"/>
        </w:rPr>
        <w:t xml:space="preserve"> (1977), at p. 14). Clearly, this was not the rationale which led the legislature to introduce prescription into the law (</w:t>
      </w:r>
      <w:r w:rsidRPr="00FE692E">
        <w:rPr>
          <w:rFonts w:cs="Times New Roman"/>
          <w:i/>
          <w:lang w:val="en-US"/>
        </w:rPr>
        <w:t>ibid.</w:t>
      </w:r>
      <w:r w:rsidRPr="00FE692E">
        <w:rPr>
          <w:rFonts w:cs="Times New Roman"/>
          <w:lang w:val="en-US"/>
        </w:rPr>
        <w:t xml:space="preserve">). Rather, the regime of prescription is essentially grounded in a two-fold purpose.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First, prescription operates to efficiently quiet title such that a party to a </w:t>
      </w:r>
      <w:proofErr w:type="spellStart"/>
      <w:r w:rsidRPr="00FE692E">
        <w:rPr>
          <w:rFonts w:cs="Times New Roman"/>
          <w:lang w:val="en-US"/>
        </w:rPr>
        <w:t>translatory</w:t>
      </w:r>
      <w:proofErr w:type="spellEnd"/>
      <w:r w:rsidRPr="00FE692E">
        <w:rPr>
          <w:rFonts w:cs="Times New Roman"/>
          <w:lang w:val="en-US"/>
        </w:rPr>
        <w:t xml:space="preserve"> act need not prove the validity of each link in the chain of title: </w:t>
      </w:r>
    </w:p>
    <w:p w:rsidR="00FE692E" w:rsidRPr="00FE692E" w:rsidRDefault="00FE692E" w:rsidP="00233573">
      <w:pPr>
        <w:pStyle w:val="Citation-AltC"/>
        <w:widowControl w:val="0"/>
        <w:rPr>
          <w:lang w:val="en-US"/>
        </w:rPr>
      </w:pPr>
      <w:r w:rsidRPr="00FE692E">
        <w:rPr>
          <w:lang w:val="en-US"/>
        </w:rPr>
        <w:t>[</w:t>
      </w:r>
      <w:r w:rsidRPr="00FE692E">
        <w:rPr>
          <w:smallCaps/>
          <w:lang w:val="en-US"/>
        </w:rPr>
        <w:t>translation</w:t>
      </w:r>
      <w:r w:rsidRPr="00FE692E">
        <w:rPr>
          <w:lang w:val="en-US"/>
        </w:rPr>
        <w:t xml:space="preserve">] Thus, if prescription did not exist, owners of </w:t>
      </w:r>
      <w:proofErr w:type="spellStart"/>
      <w:r w:rsidRPr="00FE692E">
        <w:rPr>
          <w:lang w:val="en-US"/>
        </w:rPr>
        <w:t>immovables</w:t>
      </w:r>
      <w:proofErr w:type="spellEnd"/>
      <w:r w:rsidRPr="00FE692E">
        <w:rPr>
          <w:lang w:val="en-US"/>
        </w:rPr>
        <w:t xml:space="preserve"> who had to prove their right of ownership in legal proceedings would have to start by establishing that they had acquired the </w:t>
      </w:r>
      <w:proofErr w:type="spellStart"/>
      <w:r w:rsidRPr="00FE692E">
        <w:rPr>
          <w:lang w:val="en-US"/>
        </w:rPr>
        <w:t>immovables</w:t>
      </w:r>
      <w:proofErr w:type="spellEnd"/>
      <w:r w:rsidRPr="00FE692E">
        <w:rPr>
          <w:lang w:val="en-US"/>
        </w:rPr>
        <w:t xml:space="preserve"> in issue by way of </w:t>
      </w:r>
      <w:proofErr w:type="spellStart"/>
      <w:r w:rsidRPr="00FE692E">
        <w:rPr>
          <w:lang w:val="en-US"/>
        </w:rPr>
        <w:t>translatory</w:t>
      </w:r>
      <w:proofErr w:type="spellEnd"/>
      <w:r w:rsidRPr="00FE692E">
        <w:rPr>
          <w:lang w:val="en-US"/>
        </w:rPr>
        <w:t xml:space="preserve"> acts: sale, exchange, gift, will, etc. That evidence would not be sufficient, since the acquirers could not have become owners unless their predecessors were themselves owners. And the predecessors could be owners only if they themselves had acquired the </w:t>
      </w:r>
      <w:proofErr w:type="spellStart"/>
      <w:r w:rsidRPr="00FE692E">
        <w:rPr>
          <w:lang w:val="en-US"/>
        </w:rPr>
        <w:t>immovables</w:t>
      </w:r>
      <w:proofErr w:type="spellEnd"/>
      <w:r w:rsidRPr="00FE692E">
        <w:rPr>
          <w:lang w:val="en-US"/>
        </w:rPr>
        <w:t xml:space="preserve"> from true owners. It would therefore be necessary to go back through successive alienations to the origins of the </w:t>
      </w:r>
      <w:proofErr w:type="spellStart"/>
      <w:r w:rsidRPr="00FE692E">
        <w:rPr>
          <w:lang w:val="en-US"/>
        </w:rPr>
        <w:t>immovables</w:t>
      </w:r>
      <w:proofErr w:type="spellEnd"/>
      <w:r w:rsidRPr="00FE692E">
        <w:rPr>
          <w:lang w:val="en-US"/>
        </w:rPr>
        <w:t>. It is easy to see that such undertakings would be extremely difficult, if not next to impossible.</w:t>
      </w:r>
    </w:p>
    <w:p w:rsidR="00FE692E" w:rsidRPr="00FE692E" w:rsidRDefault="00FE692E" w:rsidP="00233573">
      <w:pPr>
        <w:pStyle w:val="Citation-AltC"/>
        <w:widowControl w:val="0"/>
        <w:rPr>
          <w:lang w:val="en-US"/>
        </w:rPr>
      </w:pPr>
    </w:p>
    <w:p w:rsidR="00FE692E" w:rsidRPr="006847A4" w:rsidRDefault="00FE692E" w:rsidP="00233573">
      <w:pPr>
        <w:pStyle w:val="Citation-AltC"/>
        <w:widowControl w:val="0"/>
        <w:ind w:left="0"/>
        <w:rPr>
          <w:lang w:val="fr-FR"/>
        </w:rPr>
      </w:pPr>
      <w:r w:rsidRPr="006847A4">
        <w:rPr>
          <w:lang w:val="fr-FR"/>
        </w:rPr>
        <w:t xml:space="preserve">(Martineau, at p. 15)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Second, </w:t>
      </w:r>
      <w:r w:rsidRPr="001E63A0">
        <w:rPr>
          <w:rFonts w:cs="Times New Roman"/>
          <w:lang w:val="en-CA"/>
        </w:rPr>
        <w:t>and</w:t>
      </w:r>
      <w:r w:rsidRPr="00FE692E">
        <w:rPr>
          <w:rFonts w:cs="Times New Roman"/>
          <w:lang w:val="en-US"/>
        </w:rPr>
        <w:t xml:space="preserve"> as referenced above, prescription operates so as to allow a possessor in fact to acquire the right of ownership to the detriment of the true owner, whose own right is extinguished. Prescription thereby generates certainty and stabilizes </w:t>
      </w:r>
      <w:r w:rsidRPr="00FE692E">
        <w:rPr>
          <w:rFonts w:cs="Times New Roman"/>
          <w:lang w:val="en-US"/>
        </w:rPr>
        <w:lastRenderedPageBreak/>
        <w:t xml:space="preserve">property relationships by coating longstanding situations of fact with a legal veneer: </w:t>
      </w:r>
    </w:p>
    <w:p w:rsidR="00FE692E" w:rsidRPr="00FE692E" w:rsidRDefault="00FE692E" w:rsidP="00233573">
      <w:pPr>
        <w:pStyle w:val="Citation-AltC"/>
        <w:widowControl w:val="0"/>
        <w:rPr>
          <w:lang w:val="en-US"/>
        </w:rPr>
      </w:pPr>
      <w:r w:rsidRPr="00FE692E">
        <w:rPr>
          <w:lang w:val="en-US"/>
        </w:rPr>
        <w:t>[</w:t>
      </w:r>
      <w:r w:rsidRPr="00FE692E">
        <w:rPr>
          <w:smallCaps/>
          <w:lang w:val="en-US"/>
        </w:rPr>
        <w:t>translation</w:t>
      </w:r>
      <w:r w:rsidRPr="00FE692E">
        <w:rPr>
          <w:lang w:val="en-US"/>
        </w:rPr>
        <w:t xml:space="preserve">] The purpose of acquisitive prescription is precisely to regularize </w:t>
      </w:r>
      <w:r w:rsidRPr="00FE692E">
        <w:rPr>
          <w:i/>
          <w:lang w:val="en-US"/>
        </w:rPr>
        <w:t>de facto</w:t>
      </w:r>
      <w:r w:rsidRPr="00FE692E">
        <w:rPr>
          <w:lang w:val="en-US"/>
        </w:rPr>
        <w:t xml:space="preserve"> situations that have persisted; a mere </w:t>
      </w:r>
      <w:r w:rsidRPr="00FE692E">
        <w:rPr>
          <w:i/>
          <w:lang w:val="en-US"/>
        </w:rPr>
        <w:t>de facto</w:t>
      </w:r>
      <w:r w:rsidRPr="00FE692E">
        <w:rPr>
          <w:lang w:val="en-US"/>
        </w:rPr>
        <w:t xml:space="preserve"> situation becomes a </w:t>
      </w:r>
      <w:r w:rsidRPr="00FE692E">
        <w:rPr>
          <w:i/>
          <w:lang w:val="en-US"/>
        </w:rPr>
        <w:t>de jure</w:t>
      </w:r>
      <w:r w:rsidRPr="00FE692E">
        <w:rPr>
          <w:lang w:val="en-US"/>
        </w:rPr>
        <w:t xml:space="preserve"> situation as well. . . . A possessor who was not an owner becomes one. . . . Fact and law are now consistent.</w:t>
      </w:r>
    </w:p>
    <w:p w:rsidR="00FE692E" w:rsidRPr="00FE692E" w:rsidRDefault="00FE692E" w:rsidP="00233573">
      <w:pPr>
        <w:pStyle w:val="Citation-AltC"/>
        <w:widowControl w:val="0"/>
        <w:rPr>
          <w:lang w:val="en-US"/>
        </w:rPr>
      </w:pPr>
    </w:p>
    <w:p w:rsidR="00FE692E" w:rsidRPr="006847A4" w:rsidRDefault="00FE692E" w:rsidP="00233573">
      <w:pPr>
        <w:pStyle w:val="Citation-AltC"/>
        <w:widowControl w:val="0"/>
        <w:ind w:left="0"/>
      </w:pPr>
      <w:r w:rsidRPr="006847A4">
        <w:t xml:space="preserve">(Martineau, at p. 17)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This latter </w:t>
      </w:r>
      <w:r w:rsidRPr="001E63A0">
        <w:rPr>
          <w:rFonts w:cs="Times New Roman"/>
          <w:lang w:val="en-CA"/>
        </w:rPr>
        <w:t>rationale</w:t>
      </w:r>
      <w:r w:rsidRPr="00FE692E">
        <w:rPr>
          <w:rFonts w:cs="Times New Roman"/>
          <w:lang w:val="en-US"/>
        </w:rPr>
        <w:t xml:space="preserve"> is the one that applies in what is colloquially called the squatter scenario (see Normand, at p. 349; F. </w:t>
      </w:r>
      <w:proofErr w:type="spellStart"/>
      <w:r w:rsidRPr="00FE692E">
        <w:rPr>
          <w:rFonts w:cs="Times New Roman"/>
          <w:lang w:val="en-US"/>
        </w:rPr>
        <w:t>Brochu</w:t>
      </w:r>
      <w:proofErr w:type="spellEnd"/>
      <w:r w:rsidRPr="00FE692E">
        <w:rPr>
          <w:rFonts w:cs="Times New Roman"/>
          <w:lang w:val="en-US"/>
        </w:rPr>
        <w:t xml:space="preserve">, “Prescription acquisitive </w:t>
      </w:r>
      <w:proofErr w:type="spellStart"/>
      <w:r w:rsidRPr="00FE692E">
        <w:rPr>
          <w:rFonts w:cs="Times New Roman"/>
          <w:lang w:val="en-US"/>
        </w:rPr>
        <w:t>en</w:t>
      </w:r>
      <w:proofErr w:type="spellEnd"/>
      <w:r w:rsidRPr="00FE692E">
        <w:rPr>
          <w:rFonts w:cs="Times New Roman"/>
          <w:lang w:val="en-US"/>
        </w:rPr>
        <w:t xml:space="preserve"> 2007” (2008), 110 </w:t>
      </w:r>
      <w:r w:rsidRPr="00FE692E">
        <w:rPr>
          <w:rFonts w:cs="Times New Roman"/>
          <w:i/>
          <w:lang w:val="en-US"/>
        </w:rPr>
        <w:t>R. du N</w:t>
      </w:r>
      <w:r w:rsidRPr="00FE692E">
        <w:rPr>
          <w:rFonts w:cs="Times New Roman"/>
          <w:lang w:val="en-US"/>
        </w:rPr>
        <w:t xml:space="preserve">. 225, at p. 236). As Justice Jacques correctly noted in his dissent in the Court of Appeal, that is the scenario in the instant case. As for the true owner in such a scenario, Martineau writes: </w:t>
      </w:r>
    </w:p>
    <w:p w:rsidR="00FE692E" w:rsidRPr="006847A4" w:rsidRDefault="00FE692E" w:rsidP="00233573">
      <w:pPr>
        <w:pStyle w:val="Citation-AltC"/>
        <w:widowControl w:val="0"/>
      </w:pPr>
      <w:r w:rsidRPr="00FE692E">
        <w:rPr>
          <w:lang w:val="en-US"/>
        </w:rPr>
        <w:t>[</w:t>
      </w:r>
      <w:r w:rsidRPr="00FE692E">
        <w:rPr>
          <w:smallCaps/>
          <w:lang w:val="en-US"/>
        </w:rPr>
        <w:t>translation</w:t>
      </w:r>
      <w:r w:rsidRPr="00FE692E">
        <w:rPr>
          <w:lang w:val="en-US"/>
        </w:rPr>
        <w:t xml:space="preserve">] For an owner who is stripped of his or her right by the operation of prescription in </w:t>
      </w:r>
      <w:proofErr w:type="spellStart"/>
      <w:r w:rsidRPr="00FE692E">
        <w:rPr>
          <w:lang w:val="en-US"/>
        </w:rPr>
        <w:t>favour</w:t>
      </w:r>
      <w:proofErr w:type="spellEnd"/>
      <w:r w:rsidRPr="00FE692E">
        <w:rPr>
          <w:lang w:val="en-US"/>
        </w:rPr>
        <w:t xml:space="preserve"> of a possessor who may be in bad faith, the least that can be said is that the owner was not diligent in protecting and preserving that right. For many years, the law continued to recognize the right and to provide the owner with ways to assert it even though he or she no longer had possession. The owner had enough time to ensure that his or her interests were protected; by acting within that time, the owner could have prevented prescription from occurring and thereby avoided losing the right; if the owner did not do so, he or she was negligent and therefore no longer deserves the protection of the law. </w:t>
      </w:r>
      <w:r w:rsidRPr="006847A4">
        <w:t>[pp. 17-18]</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In </w:t>
      </w:r>
      <w:r w:rsidRPr="001E63A0">
        <w:rPr>
          <w:rFonts w:cs="Times New Roman"/>
          <w:lang w:val="en-CA"/>
        </w:rPr>
        <w:t>addition</w:t>
      </w:r>
      <w:r w:rsidRPr="00FE692E">
        <w:rPr>
          <w:rFonts w:cs="Times New Roman"/>
          <w:lang w:val="en-US"/>
        </w:rPr>
        <w:t xml:space="preserve"> to ceasing to protect a true owner who has been negligent, the law generally prefers an owner who is not wasteful, and who will put the property to use (</w:t>
      </w:r>
      <w:r w:rsidRPr="00FE692E">
        <w:rPr>
          <w:rFonts w:eastAsia="Times New Roman" w:cs="Times New Roman"/>
          <w:szCs w:val="24"/>
          <w:lang w:val="en-US" w:eastAsia="en-CA"/>
        </w:rPr>
        <w:t xml:space="preserve">H., L. and J. </w:t>
      </w:r>
      <w:proofErr w:type="spellStart"/>
      <w:r w:rsidRPr="00FE692E">
        <w:rPr>
          <w:rFonts w:eastAsia="Times New Roman" w:cs="Times New Roman"/>
          <w:szCs w:val="24"/>
          <w:lang w:val="en-US" w:eastAsia="en-CA"/>
        </w:rPr>
        <w:t>Mazeaud</w:t>
      </w:r>
      <w:proofErr w:type="spellEnd"/>
      <w:r w:rsidR="001067B2">
        <w:rPr>
          <w:rFonts w:eastAsia="Times New Roman" w:cs="Times New Roman"/>
          <w:szCs w:val="24"/>
          <w:lang w:val="en-US" w:eastAsia="en-CA"/>
        </w:rPr>
        <w:t xml:space="preserve"> et F. </w:t>
      </w:r>
      <w:proofErr w:type="spellStart"/>
      <w:r w:rsidR="001067B2">
        <w:rPr>
          <w:rFonts w:eastAsia="Times New Roman" w:cs="Times New Roman"/>
          <w:szCs w:val="24"/>
          <w:lang w:val="en-US" w:eastAsia="en-CA"/>
        </w:rPr>
        <w:t>Chabas</w:t>
      </w:r>
      <w:proofErr w:type="spellEnd"/>
      <w:r w:rsidRPr="00FE692E">
        <w:rPr>
          <w:rFonts w:eastAsia="Times New Roman" w:cs="Times New Roman"/>
          <w:szCs w:val="24"/>
          <w:lang w:val="en-US" w:eastAsia="en-CA"/>
        </w:rPr>
        <w:t xml:space="preserve">, </w:t>
      </w:r>
      <w:proofErr w:type="spellStart"/>
      <w:r w:rsidRPr="00FE692E">
        <w:rPr>
          <w:rFonts w:eastAsia="Times New Roman" w:cs="Times New Roman"/>
          <w:i/>
          <w:szCs w:val="24"/>
          <w:lang w:val="en-US" w:eastAsia="en-CA"/>
        </w:rPr>
        <w:t>Leçons</w:t>
      </w:r>
      <w:proofErr w:type="spellEnd"/>
      <w:r w:rsidRPr="00FE692E">
        <w:rPr>
          <w:rFonts w:eastAsia="Times New Roman" w:cs="Times New Roman"/>
          <w:i/>
          <w:szCs w:val="24"/>
          <w:lang w:val="en-US" w:eastAsia="en-CA"/>
        </w:rPr>
        <w:t xml:space="preserve"> de droit civil </w:t>
      </w:r>
      <w:r w:rsidRPr="00FE692E">
        <w:rPr>
          <w:rFonts w:eastAsia="Times New Roman" w:cs="Times New Roman"/>
          <w:szCs w:val="24"/>
          <w:lang w:val="en-US" w:eastAsia="en-CA"/>
        </w:rPr>
        <w:t xml:space="preserve">(8th ed. 1994), t. II, vol. </w:t>
      </w:r>
      <w:r w:rsidRPr="006847A4">
        <w:rPr>
          <w:rFonts w:eastAsia="Times New Roman" w:cs="Times New Roman"/>
          <w:szCs w:val="24"/>
          <w:lang w:val="en-US" w:eastAsia="en-CA"/>
        </w:rPr>
        <w:t xml:space="preserve">II, </w:t>
      </w:r>
      <w:proofErr w:type="spellStart"/>
      <w:r w:rsidRPr="006847A4">
        <w:rPr>
          <w:rFonts w:eastAsia="Times New Roman" w:cs="Times New Roman"/>
          <w:i/>
          <w:szCs w:val="24"/>
          <w:lang w:val="en-US" w:eastAsia="en-CA"/>
        </w:rPr>
        <w:t>Biens</w:t>
      </w:r>
      <w:proofErr w:type="spellEnd"/>
      <w:r w:rsidRPr="006847A4">
        <w:rPr>
          <w:rFonts w:eastAsia="Times New Roman" w:cs="Times New Roman"/>
          <w:szCs w:val="24"/>
          <w:lang w:val="en-US" w:eastAsia="en-CA"/>
        </w:rPr>
        <w:t>, at p. 263</w:t>
      </w:r>
      <w:r w:rsidRPr="00FE692E">
        <w:rPr>
          <w:rFonts w:cs="Times New Roman"/>
          <w:lang w:val="en-US"/>
        </w:rPr>
        <w:t xml:space="preserve">). Practically speaking, the example of the squatter who installs himself illegally on a negligent owner’s property is more or less folkloric (Normand, </w:t>
      </w:r>
      <w:r w:rsidRPr="00FE692E">
        <w:rPr>
          <w:rFonts w:cs="Times New Roman"/>
          <w:lang w:val="en-US"/>
        </w:rPr>
        <w:lastRenderedPageBreak/>
        <w:t>at p. 349). Instead, [</w:t>
      </w:r>
      <w:r w:rsidRPr="00FE692E">
        <w:rPr>
          <w:rFonts w:cs="Times New Roman"/>
          <w:smallCaps/>
          <w:lang w:val="en-US"/>
        </w:rPr>
        <w:t>translation</w:t>
      </w:r>
      <w:r w:rsidRPr="00FE692E">
        <w:rPr>
          <w:rFonts w:cs="Times New Roman"/>
          <w:lang w:val="en-US"/>
        </w:rPr>
        <w:t>] “[a]</w:t>
      </w:r>
      <w:proofErr w:type="spellStart"/>
      <w:r w:rsidRPr="00FE692E">
        <w:rPr>
          <w:rFonts w:cs="Times New Roman"/>
          <w:lang w:val="en-US"/>
        </w:rPr>
        <w:t>cquisitive</w:t>
      </w:r>
      <w:proofErr w:type="spellEnd"/>
      <w:r w:rsidRPr="00FE692E">
        <w:rPr>
          <w:rFonts w:cs="Times New Roman"/>
          <w:lang w:val="en-US"/>
        </w:rPr>
        <w:t xml:space="preserve"> prescription is generally used to rectify defects of title rather than to confer a right of ownership on a squatter” (</w:t>
      </w:r>
      <w:proofErr w:type="spellStart"/>
      <w:r w:rsidRPr="00FE692E">
        <w:rPr>
          <w:rFonts w:cs="Times New Roman"/>
          <w:lang w:val="en-US"/>
        </w:rPr>
        <w:t>Brochu</w:t>
      </w:r>
      <w:proofErr w:type="spellEnd"/>
      <w:r w:rsidRPr="00FE692E">
        <w:rPr>
          <w:rFonts w:cs="Times New Roman"/>
          <w:lang w:val="en-US"/>
        </w:rPr>
        <w:t xml:space="preserve">, “Prescription acquisitive </w:t>
      </w:r>
      <w:proofErr w:type="spellStart"/>
      <w:r w:rsidRPr="00FE692E">
        <w:rPr>
          <w:rFonts w:cs="Times New Roman"/>
          <w:lang w:val="en-US"/>
        </w:rPr>
        <w:t>en</w:t>
      </w:r>
      <w:proofErr w:type="spellEnd"/>
      <w:r w:rsidRPr="00FE692E">
        <w:rPr>
          <w:rFonts w:cs="Times New Roman"/>
          <w:lang w:val="en-US"/>
        </w:rPr>
        <w:t xml:space="preserve"> 2007”, at p. 236).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1E63A0">
        <w:rPr>
          <w:rFonts w:cs="Times New Roman"/>
          <w:lang w:val="en-CA"/>
        </w:rPr>
        <w:t>Whether</w:t>
      </w:r>
      <w:r w:rsidRPr="00FE692E">
        <w:rPr>
          <w:rFonts w:cs="Times New Roman"/>
          <w:lang w:val="en-US"/>
        </w:rPr>
        <w:t xml:space="preserve"> operating to cure a defect in title or to permit acquisition at the expense of the true owner’s right, the regime of prescription has a clear underlying rationale: to promote the efficiency, stability and security of property relationships.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1E63A0">
        <w:rPr>
          <w:rFonts w:cs="Times New Roman"/>
          <w:lang w:val="en-CA"/>
        </w:rPr>
        <w:t>Given</w:t>
      </w:r>
      <w:r w:rsidRPr="00FE692E">
        <w:rPr>
          <w:rFonts w:cs="Times New Roman"/>
          <w:lang w:val="en-US"/>
        </w:rPr>
        <w:t xml:space="preserve"> my colleague’s conclusion — which I do not share — that, with respect to the acquisitive prescription of an immovable “the legislature . . . intended to stick with the situation that had existed under </w:t>
      </w:r>
      <w:r w:rsidRPr="00FE692E">
        <w:rPr>
          <w:rFonts w:cs="Times New Roman"/>
          <w:i/>
          <w:lang w:val="en-US"/>
        </w:rPr>
        <w:t>C.C.L.C.</w:t>
      </w:r>
      <w:r w:rsidRPr="00FE692E">
        <w:rPr>
          <w:rFonts w:cs="Times New Roman"/>
          <w:lang w:val="en-US"/>
        </w:rPr>
        <w:t xml:space="preserve">” (para. 80), it is instructive to review the prescription regime as it existed under the </w:t>
      </w:r>
      <w:r w:rsidRPr="00FE692E">
        <w:rPr>
          <w:rFonts w:cs="Times New Roman"/>
          <w:i/>
          <w:lang w:val="en-US"/>
        </w:rPr>
        <w:t>C</w:t>
      </w:r>
      <w:r w:rsidR="00CF4DB4">
        <w:rPr>
          <w:rFonts w:cs="Times New Roman"/>
          <w:i/>
          <w:lang w:val="en-US"/>
        </w:rPr>
        <w:t>.</w:t>
      </w:r>
      <w:r w:rsidRPr="00FE692E">
        <w:rPr>
          <w:rFonts w:cs="Times New Roman"/>
          <w:i/>
          <w:lang w:val="en-US"/>
        </w:rPr>
        <w:t>C</w:t>
      </w:r>
      <w:r w:rsidR="00CF4DB4">
        <w:rPr>
          <w:rFonts w:cs="Times New Roman"/>
          <w:i/>
          <w:lang w:val="en-US"/>
        </w:rPr>
        <w:t>.</w:t>
      </w:r>
      <w:r w:rsidRPr="00FE692E">
        <w:rPr>
          <w:rFonts w:cs="Times New Roman"/>
          <w:i/>
          <w:lang w:val="en-US"/>
        </w:rPr>
        <w:t>L</w:t>
      </w:r>
      <w:r w:rsidR="00CF4DB4">
        <w:rPr>
          <w:rFonts w:cs="Times New Roman"/>
          <w:i/>
          <w:lang w:val="en-US"/>
        </w:rPr>
        <w:t>.</w:t>
      </w:r>
      <w:r w:rsidRPr="00FE692E">
        <w:rPr>
          <w:rFonts w:cs="Times New Roman"/>
          <w:i/>
          <w:lang w:val="en-US"/>
        </w:rPr>
        <w:t>C</w:t>
      </w:r>
      <w:r w:rsidRPr="00FE692E">
        <w:rPr>
          <w:rFonts w:cs="Times New Roman"/>
          <w:lang w:val="en-US"/>
        </w:rPr>
        <w:t xml:space="preserve">. </w:t>
      </w:r>
    </w:p>
    <w:p w:rsidR="00FE692E" w:rsidRPr="006847A4" w:rsidRDefault="00FE692E" w:rsidP="00233573">
      <w:pPr>
        <w:pStyle w:val="Title2LevelTitre2Niveau"/>
        <w:widowControl w:val="0"/>
        <w:numPr>
          <w:ilvl w:val="1"/>
          <w:numId w:val="8"/>
        </w:numPr>
        <w:tabs>
          <w:tab w:val="clear" w:pos="576"/>
          <w:tab w:val="num" w:pos="540"/>
        </w:tabs>
        <w:ind w:left="540" w:hanging="540"/>
        <w:outlineLvl w:val="0"/>
        <w:rPr>
          <w:rFonts w:cs="Times New Roman"/>
        </w:rPr>
      </w:pPr>
      <w:r w:rsidRPr="006847A4">
        <w:rPr>
          <w:rFonts w:cs="Times New Roman"/>
        </w:rPr>
        <w:t xml:space="preserve">Acquisitive Prescription of an Immovable Under the Civil Code of Lower Canada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1E63A0">
        <w:rPr>
          <w:rFonts w:cs="Times New Roman"/>
          <w:lang w:val="en-CA"/>
        </w:rPr>
        <w:t>Under</w:t>
      </w:r>
      <w:r w:rsidRPr="00FE692E">
        <w:rPr>
          <w:rFonts w:cs="Times New Roman"/>
          <w:lang w:val="en-US"/>
        </w:rPr>
        <w:t xml:space="preserve"> the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L</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lang w:val="en-US"/>
        </w:rPr>
        <w:t xml:space="preserve">, the rationale of promoting the efficiency, stability and security of property relationships inhered in the possessory periods and conditions attaching to the acquisitive prescription of an immovable under arts. 2242 and 2251. Under art. 2242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L</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lang w:val="en-US"/>
        </w:rPr>
        <w:t xml:space="preserve">, a possessor in bad faith could acquire ownership of an immovable by possessing it for </w:t>
      </w:r>
      <w:r w:rsidRPr="00FE692E">
        <w:rPr>
          <w:rFonts w:cs="Times New Roman"/>
          <w:i/>
          <w:lang w:val="en-US"/>
        </w:rPr>
        <w:t>30 years</w:t>
      </w:r>
      <w:r w:rsidRPr="00FE692E">
        <w:rPr>
          <w:rFonts w:cs="Times New Roman"/>
          <w:lang w:val="en-US"/>
        </w:rPr>
        <w:t xml:space="preserve">. Under art. 2251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L</w:t>
      </w:r>
      <w:r w:rsidR="001067B2">
        <w:rPr>
          <w:rFonts w:cs="Times New Roman"/>
          <w:i/>
          <w:lang w:val="en-US"/>
        </w:rPr>
        <w:t>.</w:t>
      </w:r>
      <w:r w:rsidRPr="00FE692E">
        <w:rPr>
          <w:rFonts w:cs="Times New Roman"/>
          <w:i/>
          <w:lang w:val="en-US"/>
        </w:rPr>
        <w:t>C</w:t>
      </w:r>
      <w:r w:rsidR="0014062F">
        <w:rPr>
          <w:rFonts w:cs="Times New Roman"/>
          <w:i/>
          <w:lang w:val="en-US"/>
        </w:rPr>
        <w:t>.</w:t>
      </w:r>
      <w:r w:rsidRPr="00FE692E">
        <w:rPr>
          <w:rFonts w:cs="Times New Roman"/>
          <w:lang w:val="en-US"/>
        </w:rPr>
        <w:t xml:space="preserve">, the prescriptive period was reduced to </w:t>
      </w:r>
      <w:r w:rsidRPr="00FE692E">
        <w:rPr>
          <w:rFonts w:cs="Times New Roman"/>
          <w:i/>
          <w:lang w:val="en-US"/>
        </w:rPr>
        <w:t>10 years</w:t>
      </w:r>
      <w:r w:rsidRPr="00FE692E">
        <w:rPr>
          <w:rFonts w:cs="Times New Roman"/>
          <w:lang w:val="en-US"/>
        </w:rPr>
        <w:t xml:space="preserve"> for a purchaser in good faith under a </w:t>
      </w:r>
      <w:proofErr w:type="spellStart"/>
      <w:r w:rsidRPr="00FE692E">
        <w:rPr>
          <w:rFonts w:cs="Times New Roman"/>
          <w:lang w:val="en-US"/>
        </w:rPr>
        <w:t>translatory</w:t>
      </w:r>
      <w:proofErr w:type="spellEnd"/>
      <w:r w:rsidRPr="00FE692E">
        <w:rPr>
          <w:rFonts w:cs="Times New Roman"/>
          <w:lang w:val="en-US"/>
        </w:rPr>
        <w:t xml:space="preserve"> title.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These </w:t>
      </w:r>
      <w:r w:rsidRPr="001E63A0">
        <w:rPr>
          <w:rFonts w:cs="Times New Roman"/>
          <w:lang w:val="en-CA"/>
        </w:rPr>
        <w:t>differing</w:t>
      </w:r>
      <w:r w:rsidRPr="00FE692E">
        <w:rPr>
          <w:rFonts w:cs="Times New Roman"/>
          <w:lang w:val="en-US"/>
        </w:rPr>
        <w:t xml:space="preserve"> periods were no doubt a reflection of the underlying rationale of prescription as it played out in different scenarios.</w:t>
      </w:r>
      <w:r w:rsidRPr="00FE692E">
        <w:rPr>
          <w:rFonts w:cs="Times New Roman"/>
          <w:sz w:val="22"/>
          <w:lang w:val="en-US"/>
        </w:rPr>
        <w:t xml:space="preserve"> </w:t>
      </w:r>
      <w:r w:rsidRPr="00FE692E">
        <w:rPr>
          <w:rFonts w:cs="Times New Roman"/>
          <w:lang w:val="en-US"/>
        </w:rPr>
        <w:t xml:space="preserve">Article 2242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L</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lang w:val="en-US"/>
        </w:rPr>
        <w:t xml:space="preserve"> </w:t>
      </w:r>
      <w:r w:rsidRPr="00FE692E">
        <w:rPr>
          <w:rFonts w:cs="Times New Roman"/>
          <w:lang w:val="en-US"/>
        </w:rPr>
        <w:lastRenderedPageBreak/>
        <w:t xml:space="preserve">contemplated the “squatter scenario”. It permitted, </w:t>
      </w:r>
      <w:r w:rsidRPr="00FE692E">
        <w:rPr>
          <w:rFonts w:cs="Times New Roman"/>
          <w:i/>
          <w:lang w:val="en-US"/>
        </w:rPr>
        <w:t>inter alia</w:t>
      </w:r>
      <w:r w:rsidRPr="00FE692E">
        <w:rPr>
          <w:rFonts w:cs="Times New Roman"/>
          <w:lang w:val="en-US"/>
        </w:rPr>
        <w:t xml:space="preserve">, a possessor in bad faith to acquire ownership at the expense of the true owner, but the possessor needed to wait the full period of </w:t>
      </w:r>
      <w:r w:rsidRPr="00FE692E">
        <w:rPr>
          <w:rFonts w:cs="Times New Roman"/>
          <w:i/>
          <w:lang w:val="en-US"/>
        </w:rPr>
        <w:t xml:space="preserve">30 years — la </w:t>
      </w:r>
      <w:proofErr w:type="spellStart"/>
      <w:r w:rsidRPr="00FE692E">
        <w:rPr>
          <w:rFonts w:cs="Times New Roman"/>
          <w:i/>
          <w:lang w:val="en-US"/>
        </w:rPr>
        <w:t>trentenaire</w:t>
      </w:r>
      <w:proofErr w:type="spellEnd"/>
      <w:r w:rsidRPr="00FE692E">
        <w:rPr>
          <w:rFonts w:cs="Times New Roman"/>
          <w:lang w:val="en-US"/>
        </w:rPr>
        <w:t>. If, over the course of 30 years, the true owner did not assert his or her rights, then it could truly be said, as Martineau does, that the true owner [</w:t>
      </w:r>
      <w:r w:rsidRPr="00FE692E">
        <w:rPr>
          <w:rFonts w:cs="Times New Roman"/>
          <w:smallCaps/>
          <w:lang w:val="en-US"/>
        </w:rPr>
        <w:t>translation</w:t>
      </w:r>
      <w:r w:rsidRPr="00FE692E">
        <w:rPr>
          <w:rFonts w:cs="Times New Roman"/>
          <w:lang w:val="en-US"/>
        </w:rPr>
        <w:t xml:space="preserve">] “had enough time to ensure that his or her interests were protected; by acting within that time, the owner could have prevented prescription from occurring and thereby avoided losing the right; if the owner did not do so, he or she was negligent and therefore no longer deserves the protection of the law” (Martineau, at pp. 17-18).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On </w:t>
      </w:r>
      <w:r w:rsidRPr="001E63A0">
        <w:rPr>
          <w:rFonts w:cs="Times New Roman"/>
          <w:lang w:val="en-CA"/>
        </w:rPr>
        <w:t>the</w:t>
      </w:r>
      <w:r w:rsidRPr="00FE692E">
        <w:rPr>
          <w:rFonts w:cs="Times New Roman"/>
          <w:lang w:val="en-US"/>
        </w:rPr>
        <w:t xml:space="preserve"> other hand, where the possessor acquired the immovable in good faith through a </w:t>
      </w:r>
      <w:proofErr w:type="spellStart"/>
      <w:r w:rsidRPr="00FE692E">
        <w:rPr>
          <w:rFonts w:cs="Times New Roman"/>
          <w:lang w:val="en-US"/>
        </w:rPr>
        <w:t>translatory</w:t>
      </w:r>
      <w:proofErr w:type="spellEnd"/>
      <w:r w:rsidRPr="00FE692E">
        <w:rPr>
          <w:rFonts w:cs="Times New Roman"/>
          <w:lang w:val="en-US"/>
        </w:rPr>
        <w:t xml:space="preserve"> act, but the title was defective, the period was shortened to 10 years. As explained earlier, the 10-year period provided an efficient avenue for quieting title. But it was also shorter in light of the fact that the possessor had met the essential condition of acquiring the right of ownership by </w:t>
      </w:r>
      <w:proofErr w:type="spellStart"/>
      <w:r w:rsidRPr="00FE692E">
        <w:rPr>
          <w:rFonts w:cs="Times New Roman"/>
          <w:lang w:val="en-US"/>
        </w:rPr>
        <w:t>translatory</w:t>
      </w:r>
      <w:proofErr w:type="spellEnd"/>
      <w:r w:rsidRPr="00FE692E">
        <w:rPr>
          <w:rFonts w:cs="Times New Roman"/>
          <w:lang w:val="en-US"/>
        </w:rPr>
        <w:t xml:space="preserve"> act (see </w:t>
      </w:r>
      <w:proofErr w:type="spellStart"/>
      <w:r w:rsidRPr="00FE692E">
        <w:rPr>
          <w:rFonts w:cs="Times New Roman"/>
          <w:i/>
          <w:lang w:val="en-US"/>
        </w:rPr>
        <w:t>Croisetière</w:t>
      </w:r>
      <w:proofErr w:type="spellEnd"/>
      <w:r w:rsidRPr="00FE692E">
        <w:rPr>
          <w:rFonts w:cs="Times New Roman"/>
          <w:i/>
          <w:lang w:val="en-US"/>
        </w:rPr>
        <w:t xml:space="preserve"> v. </w:t>
      </w:r>
      <w:proofErr w:type="spellStart"/>
      <w:r w:rsidRPr="00FE692E">
        <w:rPr>
          <w:rFonts w:cs="Times New Roman"/>
          <w:i/>
          <w:lang w:val="en-US"/>
        </w:rPr>
        <w:t>Gélinas</w:t>
      </w:r>
      <w:proofErr w:type="spellEnd"/>
      <w:r w:rsidRPr="00FE692E">
        <w:rPr>
          <w:rFonts w:cs="Times New Roman"/>
          <w:lang w:val="en-US"/>
        </w:rPr>
        <w:t xml:space="preserve">, [1977] C.A. 183, at pp. 185-86). Concerns about the extinguishment of the true owner’s right were therefore attenuated in this scenario. In the absence of such concerns, the efficiency of quieting title was paramount, and the legislature deemed that the shorter 10-year window was appropriate.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In both </w:t>
      </w:r>
      <w:r w:rsidRPr="001E63A0">
        <w:rPr>
          <w:rFonts w:cs="Times New Roman"/>
          <w:lang w:val="en-CA"/>
        </w:rPr>
        <w:t>cases</w:t>
      </w:r>
      <w:r w:rsidRPr="00FE692E">
        <w:rPr>
          <w:rFonts w:cs="Times New Roman"/>
          <w:lang w:val="en-US"/>
        </w:rPr>
        <w:t xml:space="preserve">, if the possessor had met the requirements of effective possession, the lapse of time alone solidified his or her right under art. 2183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L</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lang w:val="en-US"/>
        </w:rPr>
        <w:t>, which stated that “[p]</w:t>
      </w:r>
      <w:proofErr w:type="spellStart"/>
      <w:r w:rsidRPr="00FE692E">
        <w:rPr>
          <w:rFonts w:cs="Times New Roman"/>
          <w:lang w:val="en-US"/>
        </w:rPr>
        <w:t>rescription</w:t>
      </w:r>
      <w:proofErr w:type="spellEnd"/>
      <w:r w:rsidRPr="00FE692E">
        <w:rPr>
          <w:rFonts w:cs="Times New Roman"/>
          <w:lang w:val="en-US"/>
        </w:rPr>
        <w:t xml:space="preserve"> is a means of acquiring, or of being discharged, by </w:t>
      </w:r>
      <w:r w:rsidRPr="00FE692E">
        <w:rPr>
          <w:rFonts w:cs="Times New Roman"/>
          <w:lang w:val="en-US"/>
        </w:rPr>
        <w:lastRenderedPageBreak/>
        <w:t xml:space="preserve">lapse of time and subject to conditions established by law.”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1E63A0">
        <w:rPr>
          <w:rFonts w:cs="Times New Roman"/>
          <w:lang w:val="en-CA"/>
        </w:rPr>
        <w:t>Article</w:t>
      </w:r>
      <w:r w:rsidRPr="00FE692E">
        <w:rPr>
          <w:rFonts w:cs="Times New Roman"/>
          <w:lang w:val="en-US"/>
        </w:rPr>
        <w:t xml:space="preserve"> 2183a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L</w:t>
      </w:r>
      <w:r w:rsidR="001067B2">
        <w:rPr>
          <w:rFonts w:cs="Times New Roman"/>
          <w:i/>
          <w:lang w:val="en-US"/>
        </w:rPr>
        <w:t>.</w:t>
      </w:r>
      <w:r w:rsidRPr="00FE692E">
        <w:rPr>
          <w:rFonts w:cs="Times New Roman"/>
          <w:i/>
          <w:lang w:val="en-US"/>
        </w:rPr>
        <w:t>C</w:t>
      </w:r>
      <w:r w:rsidR="0029255B">
        <w:rPr>
          <w:rFonts w:cs="Times New Roman"/>
          <w:i/>
          <w:lang w:val="en-US"/>
        </w:rPr>
        <w:t>.</w:t>
      </w:r>
      <w:r w:rsidRPr="00FE692E">
        <w:rPr>
          <w:rFonts w:cs="Times New Roman"/>
          <w:lang w:val="en-US"/>
        </w:rPr>
        <w:t xml:space="preserve"> provided as follows: </w:t>
      </w:r>
    </w:p>
    <w:p w:rsidR="00FE692E" w:rsidRPr="00FE692E" w:rsidRDefault="00FE692E" w:rsidP="00233573">
      <w:pPr>
        <w:pStyle w:val="Citation-AltC"/>
        <w:widowControl w:val="0"/>
        <w:ind w:firstLine="274"/>
        <w:rPr>
          <w:lang w:val="en-US"/>
        </w:rPr>
      </w:pPr>
      <w:r w:rsidRPr="00FE692E">
        <w:rPr>
          <w:b/>
          <w:lang w:val="en-US"/>
        </w:rPr>
        <w:t>2183a.</w:t>
      </w:r>
      <w:r w:rsidRPr="00FE692E">
        <w:rPr>
          <w:lang w:val="en-US"/>
        </w:rPr>
        <w:t xml:space="preserve"> </w:t>
      </w:r>
      <w:proofErr w:type="gramStart"/>
      <w:r w:rsidRPr="00FE692E">
        <w:rPr>
          <w:u w:val="single"/>
          <w:lang w:val="en-US"/>
        </w:rPr>
        <w:t>The</w:t>
      </w:r>
      <w:proofErr w:type="gramEnd"/>
      <w:r w:rsidRPr="00FE692E">
        <w:rPr>
          <w:u w:val="single"/>
          <w:lang w:val="en-US"/>
        </w:rPr>
        <w:t xml:space="preserve"> judicial recognition</w:t>
      </w:r>
      <w:r w:rsidRPr="00FE692E">
        <w:rPr>
          <w:lang w:val="en-US"/>
        </w:rPr>
        <w:t xml:space="preserve"> of the absolute right of ownership </w:t>
      </w:r>
      <w:r w:rsidRPr="00FE692E">
        <w:rPr>
          <w:u w:val="single"/>
          <w:lang w:val="en-US"/>
        </w:rPr>
        <w:t>acquired by prescription</w:t>
      </w:r>
      <w:r w:rsidRPr="00FE692E">
        <w:rPr>
          <w:lang w:val="en-US"/>
        </w:rPr>
        <w:t xml:space="preserve"> by ten years or by thirty years may take place by following the formalities provided in this respect by the Code of Civil Procedure.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The </w:t>
      </w:r>
      <w:r w:rsidRPr="001E63A0">
        <w:rPr>
          <w:rFonts w:cs="Times New Roman"/>
          <w:lang w:val="en-CA"/>
        </w:rPr>
        <w:t>language</w:t>
      </w:r>
      <w:r w:rsidRPr="00FE692E">
        <w:rPr>
          <w:rFonts w:cs="Times New Roman"/>
          <w:lang w:val="en-US"/>
        </w:rPr>
        <w:t xml:space="preserve"> of art. 2183a </w:t>
      </w:r>
      <w:r w:rsidRPr="00FE692E">
        <w:rPr>
          <w:rFonts w:cs="Times New Roman"/>
          <w:i/>
          <w:lang w:val="en-US"/>
        </w:rPr>
        <w:t>C</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i/>
          <w:lang w:val="en-US"/>
        </w:rPr>
        <w:t>L</w:t>
      </w:r>
      <w:r w:rsidR="001067B2">
        <w:rPr>
          <w:rFonts w:cs="Times New Roman"/>
          <w:i/>
          <w:lang w:val="en-US"/>
        </w:rPr>
        <w:t>.</w:t>
      </w:r>
      <w:r w:rsidRPr="00FE692E">
        <w:rPr>
          <w:rFonts w:cs="Times New Roman"/>
          <w:i/>
          <w:lang w:val="en-US"/>
        </w:rPr>
        <w:t>C</w:t>
      </w:r>
      <w:r w:rsidR="001067B2">
        <w:rPr>
          <w:rFonts w:cs="Times New Roman"/>
          <w:i/>
          <w:lang w:val="en-US"/>
        </w:rPr>
        <w:t>.</w:t>
      </w:r>
      <w:r w:rsidRPr="00FE692E">
        <w:rPr>
          <w:rFonts w:cs="Times New Roman"/>
          <w:lang w:val="en-US"/>
        </w:rPr>
        <w:t xml:space="preserve"> was clear insofar as the legislature’s use of the past participle “acquired” showed that the acquisition of the right of ownership had already taken place through prescription. In other words, any judgment obtained pursuant to art. 2183a </w:t>
      </w:r>
      <w:r w:rsidRPr="00FE692E">
        <w:rPr>
          <w:rFonts w:cs="Times New Roman"/>
          <w:i/>
          <w:lang w:val="en-US"/>
        </w:rPr>
        <w:t>C</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i/>
          <w:lang w:val="en-US"/>
        </w:rPr>
        <w:t>L</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lang w:val="en-US"/>
        </w:rPr>
        <w:t xml:space="preserve"> was clearly declaratory or confirmatory, and not constitutive of the right of ownership.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As I explain </w:t>
      </w:r>
      <w:r w:rsidRPr="001E63A0">
        <w:rPr>
          <w:rFonts w:cs="Times New Roman"/>
          <w:lang w:val="en-CA"/>
        </w:rPr>
        <w:t>below</w:t>
      </w:r>
      <w:r w:rsidRPr="00FE692E">
        <w:rPr>
          <w:rFonts w:cs="Times New Roman"/>
          <w:lang w:val="en-US"/>
        </w:rPr>
        <w:t xml:space="preserve">, the language of art. 2918 </w:t>
      </w:r>
      <w:r w:rsidRPr="00FE692E">
        <w:rPr>
          <w:rFonts w:cs="Times New Roman"/>
          <w:i/>
          <w:lang w:val="en-US"/>
        </w:rPr>
        <w:t>C</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i/>
          <w:lang w:val="en-US"/>
        </w:rPr>
        <w:t>Q</w:t>
      </w:r>
      <w:r w:rsidR="002A5A28">
        <w:rPr>
          <w:rFonts w:cs="Times New Roman"/>
          <w:lang w:val="en-US"/>
        </w:rPr>
        <w:t xml:space="preserve">. </w:t>
      </w:r>
      <w:r w:rsidRPr="00FE692E">
        <w:rPr>
          <w:rFonts w:cs="Times New Roman"/>
          <w:lang w:val="en-US"/>
        </w:rPr>
        <w:t xml:space="preserve">today is equally clear, but in the opposite direction. Unlike my colleague, however, I cannot accept the premise that a court is entitled to read down its express words to arrive at the conclusion that nothing has changed despite its introduction.   </w:t>
      </w:r>
    </w:p>
    <w:p w:rsidR="00FE692E" w:rsidRPr="006847A4" w:rsidRDefault="00FE692E" w:rsidP="00233573">
      <w:pPr>
        <w:pStyle w:val="Title2LevelTitre2Niveau"/>
        <w:widowControl w:val="0"/>
        <w:numPr>
          <w:ilvl w:val="1"/>
          <w:numId w:val="8"/>
        </w:numPr>
        <w:tabs>
          <w:tab w:val="clear" w:pos="576"/>
          <w:tab w:val="num" w:pos="540"/>
        </w:tabs>
        <w:ind w:left="540" w:hanging="540"/>
        <w:outlineLvl w:val="0"/>
        <w:rPr>
          <w:rFonts w:cs="Times New Roman"/>
        </w:rPr>
      </w:pPr>
      <w:r w:rsidRPr="006847A4">
        <w:rPr>
          <w:rFonts w:cs="Times New Roman"/>
        </w:rPr>
        <w:t>Article 2918 C</w:t>
      </w:r>
      <w:r w:rsidR="00BF11E5">
        <w:rPr>
          <w:rFonts w:cs="Times New Roman"/>
        </w:rPr>
        <w:t>.</w:t>
      </w:r>
      <w:r w:rsidRPr="006847A4">
        <w:rPr>
          <w:rFonts w:cs="Times New Roman"/>
        </w:rPr>
        <w:t>C</w:t>
      </w:r>
      <w:r w:rsidR="00BF11E5">
        <w:rPr>
          <w:rFonts w:cs="Times New Roman"/>
        </w:rPr>
        <w:t>.Q.</w:t>
      </w:r>
      <w:r w:rsidR="002A5A28">
        <w:rPr>
          <w:rFonts w:cs="Times New Roman"/>
        </w:rPr>
        <w:t xml:space="preserve"> </w:t>
      </w:r>
      <w:r w:rsidRPr="006847A4">
        <w:rPr>
          <w:rFonts w:cs="Times New Roman"/>
        </w:rPr>
        <w:t xml:space="preserve">and Acquisitive Prescription of an Immovable Under the Civil Code of Québec  </w:t>
      </w:r>
    </w:p>
    <w:p w:rsidR="00FE692E" w:rsidRPr="00BF11E5" w:rsidRDefault="00FE692E" w:rsidP="00233573">
      <w:pPr>
        <w:pStyle w:val="ParaNoNdepar-AltN"/>
        <w:widowControl w:val="0"/>
        <w:numPr>
          <w:ilvl w:val="0"/>
          <w:numId w:val="1"/>
        </w:numPr>
        <w:tabs>
          <w:tab w:val="clear" w:pos="1242"/>
          <w:tab w:val="num" w:pos="1152"/>
        </w:tabs>
        <w:ind w:left="0"/>
        <w:rPr>
          <w:rFonts w:cs="Times New Roman"/>
          <w:lang w:val="en-US"/>
        </w:rPr>
      </w:pPr>
      <w:r w:rsidRPr="001E63A0">
        <w:rPr>
          <w:rFonts w:cs="Times New Roman"/>
          <w:lang w:val="en-CA"/>
        </w:rPr>
        <w:t>Under</w:t>
      </w:r>
      <w:r w:rsidRPr="00FE692E">
        <w:rPr>
          <w:rFonts w:cs="Times New Roman"/>
          <w:lang w:val="en-US"/>
        </w:rPr>
        <w:t xml:space="preserve"> the </w:t>
      </w:r>
      <w:r w:rsidRPr="00FE692E">
        <w:rPr>
          <w:rFonts w:cs="Times New Roman"/>
          <w:i/>
          <w:lang w:val="en-US"/>
        </w:rPr>
        <w:t>C</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i/>
          <w:lang w:val="en-US"/>
        </w:rPr>
        <w:t>Q</w:t>
      </w:r>
      <w:r w:rsidR="00BF11E5">
        <w:rPr>
          <w:rFonts w:cs="Times New Roman"/>
          <w:i/>
          <w:lang w:val="en-US"/>
        </w:rPr>
        <w:t>.</w:t>
      </w:r>
      <w:r w:rsidRPr="00FE692E">
        <w:rPr>
          <w:rFonts w:cs="Times New Roman"/>
          <w:lang w:val="en-US"/>
        </w:rPr>
        <w:t xml:space="preserve">, effective possession over time remains an important criterion in order for a </w:t>
      </w:r>
      <w:r w:rsidRPr="00FE692E">
        <w:rPr>
          <w:rFonts w:cs="Times New Roman"/>
          <w:i/>
          <w:lang w:val="en-US"/>
        </w:rPr>
        <w:t>de facto</w:t>
      </w:r>
      <w:r w:rsidRPr="00FE692E">
        <w:rPr>
          <w:rFonts w:cs="Times New Roman"/>
          <w:lang w:val="en-US"/>
        </w:rPr>
        <w:t xml:space="preserve"> set of circumstances to result in a </w:t>
      </w:r>
      <w:r w:rsidRPr="00FE692E">
        <w:rPr>
          <w:rFonts w:cs="Times New Roman"/>
          <w:i/>
          <w:lang w:val="en-US"/>
        </w:rPr>
        <w:t>de jure</w:t>
      </w:r>
      <w:r w:rsidRPr="00FE692E">
        <w:rPr>
          <w:rFonts w:cs="Times New Roman"/>
          <w:lang w:val="en-US"/>
        </w:rPr>
        <w:t xml:space="preserve"> ownership through the operation of acquisitive prescription. </w:t>
      </w:r>
      <w:r w:rsidRPr="00BF11E5">
        <w:rPr>
          <w:rFonts w:cs="Times New Roman"/>
          <w:lang w:val="en-US"/>
        </w:rPr>
        <w:t xml:space="preserve">Yet it is not the sole criterion.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lastRenderedPageBreak/>
        <w:t xml:space="preserve">Like its predecessor provision, art. 2183 </w:t>
      </w:r>
      <w:r w:rsidRPr="00FE692E">
        <w:rPr>
          <w:rFonts w:cs="Times New Roman"/>
          <w:i/>
          <w:lang w:val="en-US"/>
        </w:rPr>
        <w:t>C</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i/>
          <w:lang w:val="en-US"/>
        </w:rPr>
        <w:t>L</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lang w:val="en-US"/>
        </w:rPr>
        <w:t xml:space="preserve">, art. 2875 </w:t>
      </w:r>
      <w:r w:rsidRPr="00FE692E">
        <w:rPr>
          <w:rFonts w:cs="Times New Roman"/>
          <w:i/>
          <w:lang w:val="en-US"/>
        </w:rPr>
        <w:t>C</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i/>
          <w:lang w:val="en-US"/>
        </w:rPr>
        <w:t>Q</w:t>
      </w:r>
      <w:r w:rsidR="00BF11E5">
        <w:rPr>
          <w:rFonts w:cs="Times New Roman"/>
          <w:i/>
          <w:lang w:val="en-US"/>
        </w:rPr>
        <w:t>.</w:t>
      </w:r>
      <w:r w:rsidRPr="00FE692E">
        <w:rPr>
          <w:rFonts w:cs="Times New Roman"/>
          <w:lang w:val="en-US"/>
        </w:rPr>
        <w:t xml:space="preserve"> provides, in relevant part, that “[p]</w:t>
      </w:r>
      <w:proofErr w:type="spellStart"/>
      <w:r w:rsidRPr="00FE692E">
        <w:rPr>
          <w:rFonts w:cs="Times New Roman"/>
          <w:lang w:val="en-US"/>
        </w:rPr>
        <w:t>rescription</w:t>
      </w:r>
      <w:proofErr w:type="spellEnd"/>
      <w:r w:rsidRPr="00FE692E">
        <w:rPr>
          <w:rFonts w:cs="Times New Roman"/>
          <w:lang w:val="en-US"/>
        </w:rPr>
        <w:t xml:space="preserve"> is a means of acquiring or of being released by the lapse of time </w:t>
      </w:r>
      <w:r w:rsidRPr="00FE692E">
        <w:rPr>
          <w:rFonts w:cs="Times New Roman"/>
          <w:u w:val="single"/>
          <w:lang w:val="en-US"/>
        </w:rPr>
        <w:t>and according to the conditions determined by law</w:t>
      </w:r>
      <w:r w:rsidRPr="00FE692E">
        <w:rPr>
          <w:rFonts w:cs="Times New Roman"/>
          <w:lang w:val="en-US"/>
        </w:rPr>
        <w:t xml:space="preserve">”. The </w:t>
      </w:r>
      <w:r w:rsidRPr="00FE692E">
        <w:rPr>
          <w:rFonts w:cs="Times New Roman"/>
          <w:i/>
          <w:lang w:val="en-US"/>
        </w:rPr>
        <w:t>C</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i/>
          <w:lang w:val="en-US"/>
        </w:rPr>
        <w:t>Q</w:t>
      </w:r>
      <w:r w:rsidR="00BF11E5">
        <w:rPr>
          <w:rFonts w:cs="Times New Roman"/>
          <w:i/>
          <w:lang w:val="en-US"/>
        </w:rPr>
        <w:t>.</w:t>
      </w:r>
      <w:r w:rsidRPr="00FE692E">
        <w:rPr>
          <w:rFonts w:cs="Times New Roman"/>
          <w:lang w:val="en-US"/>
        </w:rPr>
        <w:t xml:space="preserve"> now explicitly states that “[a]</w:t>
      </w:r>
      <w:proofErr w:type="spellStart"/>
      <w:r w:rsidRPr="00FE692E">
        <w:rPr>
          <w:rFonts w:cs="Times New Roman"/>
          <w:lang w:val="en-US"/>
        </w:rPr>
        <w:t>cquisitive</w:t>
      </w:r>
      <w:proofErr w:type="spellEnd"/>
      <w:r w:rsidRPr="00FE692E">
        <w:rPr>
          <w:rFonts w:cs="Times New Roman"/>
          <w:lang w:val="en-US"/>
        </w:rPr>
        <w:t xml:space="preserve"> prescription requires possession conforming to the conditions set out in the Book on Property” (art. 2911 </w:t>
      </w:r>
      <w:r w:rsidRPr="00FE692E">
        <w:rPr>
          <w:rFonts w:cs="Times New Roman"/>
          <w:i/>
          <w:lang w:val="en-US"/>
        </w:rPr>
        <w:t>C</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i/>
          <w:lang w:val="en-US"/>
        </w:rPr>
        <w:t>Q</w:t>
      </w:r>
      <w:r w:rsidR="00BF11E5">
        <w:rPr>
          <w:rFonts w:cs="Times New Roman"/>
          <w:i/>
          <w:lang w:val="en-US"/>
        </w:rPr>
        <w:t>.</w:t>
      </w:r>
      <w:r w:rsidRPr="00FE692E">
        <w:rPr>
          <w:rFonts w:cs="Times New Roman"/>
          <w:lang w:val="en-US"/>
        </w:rPr>
        <w:t xml:space="preserve">). In addition to the exercise of possession in fact (the </w:t>
      </w:r>
      <w:r w:rsidRPr="00FE692E">
        <w:rPr>
          <w:rFonts w:cs="Times New Roman"/>
          <w:i/>
          <w:lang w:val="en-US"/>
        </w:rPr>
        <w:t>corpus</w:t>
      </w:r>
      <w:r w:rsidRPr="00FE692E">
        <w:rPr>
          <w:rFonts w:cs="Times New Roman"/>
          <w:lang w:val="en-US"/>
        </w:rPr>
        <w:t>), the possessor must act with the intention (the</w:t>
      </w:r>
      <w:r w:rsidRPr="00FE692E">
        <w:rPr>
          <w:rFonts w:cs="Times New Roman"/>
          <w:i/>
          <w:lang w:val="en-US"/>
        </w:rPr>
        <w:t xml:space="preserve"> animus</w:t>
      </w:r>
      <w:r w:rsidRPr="00FE692E">
        <w:rPr>
          <w:rFonts w:cs="Times New Roman"/>
          <w:lang w:val="en-US"/>
        </w:rPr>
        <w:t xml:space="preserve">) of an owner, which is presumed (art. 921 </w:t>
      </w:r>
      <w:r w:rsidRPr="00FE692E">
        <w:rPr>
          <w:rFonts w:cs="Times New Roman"/>
          <w:i/>
          <w:lang w:val="en-US"/>
        </w:rPr>
        <w:t>C</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i/>
          <w:lang w:val="en-US"/>
        </w:rPr>
        <w:t>Q</w:t>
      </w:r>
      <w:r w:rsidR="00BF11E5">
        <w:rPr>
          <w:rFonts w:cs="Times New Roman"/>
          <w:i/>
          <w:lang w:val="en-US"/>
        </w:rPr>
        <w:t>.</w:t>
      </w:r>
      <w:r w:rsidRPr="00FE692E">
        <w:rPr>
          <w:rFonts w:cs="Times New Roman"/>
          <w:lang w:val="en-US"/>
        </w:rPr>
        <w:t xml:space="preserve">), and the possession itself must be “peaceful, continuous, public and unequivocal” to produce “effects in law” (art. 922 </w:t>
      </w:r>
      <w:r w:rsidRPr="00FE692E">
        <w:rPr>
          <w:rFonts w:cs="Times New Roman"/>
          <w:i/>
          <w:lang w:val="en-US"/>
        </w:rPr>
        <w:t>C</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i/>
          <w:lang w:val="en-US"/>
        </w:rPr>
        <w:t>Q</w:t>
      </w:r>
      <w:r w:rsidR="00BF11E5">
        <w:rPr>
          <w:rFonts w:cs="Times New Roman"/>
          <w:i/>
          <w:lang w:val="en-US"/>
        </w:rPr>
        <w:t>.</w:t>
      </w:r>
      <w:r w:rsidRPr="00FE692E">
        <w:rPr>
          <w:rFonts w:cs="Times New Roman"/>
          <w:lang w:val="en-US"/>
        </w:rPr>
        <w:t xml:space="preserve">). These conditions relating to the nature of the possession did not change with the introduction of the </w:t>
      </w:r>
      <w:r w:rsidRPr="00FE692E">
        <w:rPr>
          <w:rFonts w:cs="Times New Roman"/>
          <w:i/>
          <w:lang w:val="en-US"/>
        </w:rPr>
        <w:t>C</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i/>
          <w:lang w:val="en-US"/>
        </w:rPr>
        <w:t>Q</w:t>
      </w:r>
      <w:r w:rsidRPr="00FE692E">
        <w:rPr>
          <w:rFonts w:cs="Times New Roman"/>
          <w:lang w:val="en-US"/>
        </w:rPr>
        <w:t xml:space="preserve">. That these conditions were met by the respondent is not at issue before this Court.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However, some of the conditions for acquisitive prescription of an immovable did change with the introduction of the </w:t>
      </w:r>
      <w:r w:rsidRPr="00FE692E">
        <w:rPr>
          <w:rFonts w:cs="Times New Roman"/>
          <w:i/>
          <w:lang w:val="en-US"/>
        </w:rPr>
        <w:t>C</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i/>
          <w:lang w:val="en-US"/>
        </w:rPr>
        <w:t>Q</w:t>
      </w:r>
      <w:r w:rsidRPr="00FE692E">
        <w:rPr>
          <w:rFonts w:cs="Times New Roman"/>
          <w:lang w:val="en-US"/>
        </w:rPr>
        <w:t xml:space="preserve">. First, a single possessory period of 10 years was set regardless of the good or bad faith of the possessor or the presence or absence of </w:t>
      </w:r>
      <w:proofErr w:type="spellStart"/>
      <w:r w:rsidRPr="00FE692E">
        <w:rPr>
          <w:rFonts w:cs="Times New Roman"/>
          <w:lang w:val="en-US"/>
        </w:rPr>
        <w:t>translatory</w:t>
      </w:r>
      <w:proofErr w:type="spellEnd"/>
      <w:r w:rsidRPr="00FE692E">
        <w:rPr>
          <w:rFonts w:cs="Times New Roman"/>
          <w:lang w:val="en-US"/>
        </w:rPr>
        <w:t xml:space="preserve"> title. Second — in view of this expansion of possessors’ rights — the legislature imposed a condition that the possessor may acquire the right of ownership only upon a judicial application. In my view, the majority of the Court of Appeal erred in failing to enforce the latter condition, as required by art. 2918 </w:t>
      </w:r>
      <w:r w:rsidRPr="00FE692E">
        <w:rPr>
          <w:rFonts w:cs="Times New Roman"/>
          <w:i/>
          <w:lang w:val="en-US"/>
        </w:rPr>
        <w:t>C</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i/>
          <w:lang w:val="en-US"/>
        </w:rPr>
        <w:t>Q</w:t>
      </w:r>
      <w:r w:rsidRPr="00FE692E">
        <w:rPr>
          <w:rFonts w:cs="Times New Roman"/>
          <w:lang w:val="en-US"/>
        </w:rPr>
        <w:t xml:space="preserve">. </w:t>
      </w:r>
    </w:p>
    <w:p w:rsid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1E63A0">
        <w:rPr>
          <w:rFonts w:cs="Times New Roman"/>
          <w:lang w:val="en-CA"/>
        </w:rPr>
        <w:t>Article</w:t>
      </w:r>
      <w:r w:rsidRPr="00FE692E">
        <w:rPr>
          <w:rFonts w:cs="Times New Roman"/>
          <w:lang w:val="en-US"/>
        </w:rPr>
        <w:t xml:space="preserve"> 2918 </w:t>
      </w:r>
      <w:r w:rsidR="00BF11E5">
        <w:rPr>
          <w:rFonts w:cs="Times New Roman"/>
          <w:i/>
          <w:lang w:val="en-US"/>
        </w:rPr>
        <w:t>C.</w:t>
      </w:r>
      <w:r w:rsidRPr="00FE692E">
        <w:rPr>
          <w:rFonts w:cs="Times New Roman"/>
          <w:i/>
          <w:lang w:val="en-US"/>
        </w:rPr>
        <w:t>C</w:t>
      </w:r>
      <w:r w:rsidR="00BF11E5">
        <w:rPr>
          <w:rFonts w:cs="Times New Roman"/>
          <w:i/>
          <w:lang w:val="en-US"/>
        </w:rPr>
        <w:t>.</w:t>
      </w:r>
      <w:r w:rsidRPr="00FE692E">
        <w:rPr>
          <w:rFonts w:cs="Times New Roman"/>
          <w:i/>
          <w:lang w:val="en-US"/>
        </w:rPr>
        <w:t>Q</w:t>
      </w:r>
      <w:r w:rsidR="00BF11E5">
        <w:rPr>
          <w:rFonts w:cs="Times New Roman"/>
          <w:i/>
          <w:lang w:val="en-US"/>
        </w:rPr>
        <w:t>.</w:t>
      </w:r>
      <w:r w:rsidRPr="00FE692E">
        <w:rPr>
          <w:rFonts w:cs="Times New Roman"/>
          <w:lang w:val="en-US"/>
        </w:rPr>
        <w:t xml:space="preserve"> differs significantly from art. 2183a </w:t>
      </w:r>
      <w:r w:rsidRPr="00FE692E">
        <w:rPr>
          <w:rFonts w:cs="Times New Roman"/>
          <w:i/>
          <w:lang w:val="en-US"/>
        </w:rPr>
        <w:t>C</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i/>
          <w:lang w:val="en-US"/>
        </w:rPr>
        <w:t>L</w:t>
      </w:r>
      <w:r w:rsidR="00BF11E5">
        <w:rPr>
          <w:rFonts w:cs="Times New Roman"/>
          <w:i/>
          <w:lang w:val="en-US"/>
        </w:rPr>
        <w:t>.</w:t>
      </w:r>
      <w:r w:rsidRPr="00FE692E">
        <w:rPr>
          <w:rFonts w:cs="Times New Roman"/>
          <w:i/>
          <w:lang w:val="en-US"/>
        </w:rPr>
        <w:t>C</w:t>
      </w:r>
      <w:r w:rsidR="00BF11E5">
        <w:rPr>
          <w:rFonts w:cs="Times New Roman"/>
          <w:i/>
          <w:lang w:val="en-US"/>
        </w:rPr>
        <w:t>.</w:t>
      </w:r>
      <w:r w:rsidRPr="00FE692E">
        <w:rPr>
          <w:rFonts w:cs="Times New Roman"/>
          <w:lang w:val="en-US"/>
        </w:rPr>
        <w:t xml:space="preserve">: </w:t>
      </w:r>
    </w:p>
    <w:p w:rsidR="00985DE6" w:rsidRDefault="00985DE6" w:rsidP="00233573">
      <w:pPr>
        <w:pStyle w:val="ParaNoNdepar-AltN"/>
        <w:widowControl w:val="0"/>
        <w:tabs>
          <w:tab w:val="left" w:pos="1530"/>
        </w:tabs>
        <w:spacing w:before="240" w:after="240" w:line="240" w:lineRule="auto"/>
        <w:ind w:left="1170"/>
        <w:rPr>
          <w:b/>
          <w:lang w:val="en-US"/>
        </w:rPr>
      </w:pPr>
      <w:r w:rsidRPr="001E63A0">
        <w:rPr>
          <w:b/>
          <w:lang w:val="en-US"/>
        </w:rPr>
        <w:tab/>
      </w:r>
      <w:r w:rsidRPr="00BF11E5">
        <w:rPr>
          <w:b/>
          <w:lang w:val="en-US"/>
        </w:rPr>
        <w:t>2183a.</w:t>
      </w:r>
      <w:r w:rsidRPr="00BF11E5">
        <w:rPr>
          <w:lang w:val="en-US"/>
        </w:rPr>
        <w:t xml:space="preserve"> </w:t>
      </w:r>
      <w:proofErr w:type="gramStart"/>
      <w:r w:rsidRPr="00BF11E5">
        <w:rPr>
          <w:u w:val="single"/>
          <w:lang w:val="en-US"/>
        </w:rPr>
        <w:t>The</w:t>
      </w:r>
      <w:proofErr w:type="gramEnd"/>
      <w:r w:rsidRPr="00BF11E5">
        <w:rPr>
          <w:u w:val="single"/>
          <w:lang w:val="en-US"/>
        </w:rPr>
        <w:t xml:space="preserve"> judicial recognition</w:t>
      </w:r>
      <w:r w:rsidRPr="00BF11E5">
        <w:rPr>
          <w:lang w:val="en-US"/>
        </w:rPr>
        <w:t xml:space="preserve"> of </w:t>
      </w:r>
      <w:r w:rsidRPr="00F21279">
        <w:rPr>
          <w:lang w:val="en-US"/>
        </w:rPr>
        <w:t>the</w:t>
      </w:r>
      <w:r w:rsidRPr="00BF11E5">
        <w:rPr>
          <w:lang w:val="en-US"/>
        </w:rPr>
        <w:t xml:space="preserve"> absolute right of ownership </w:t>
      </w:r>
      <w:r w:rsidRPr="00BF11E5">
        <w:rPr>
          <w:u w:val="single"/>
          <w:lang w:val="en-US"/>
        </w:rPr>
        <w:lastRenderedPageBreak/>
        <w:t>acquired by prescription</w:t>
      </w:r>
      <w:r w:rsidRPr="00BF11E5">
        <w:rPr>
          <w:lang w:val="en-US"/>
        </w:rPr>
        <w:t xml:space="preserve"> by ten years or by thirty years may take place by following the formalities provided in this respect by the Code of Civil Procedure.</w:t>
      </w:r>
    </w:p>
    <w:p w:rsidR="00BF11E5" w:rsidRDefault="00BF11E5" w:rsidP="00233573">
      <w:pPr>
        <w:pStyle w:val="ParaNoNdepar-AltN"/>
        <w:widowControl w:val="0"/>
        <w:tabs>
          <w:tab w:val="left" w:pos="1530"/>
        </w:tabs>
        <w:spacing w:before="240" w:after="240" w:line="240" w:lineRule="auto"/>
        <w:ind w:left="1170"/>
      </w:pPr>
      <w:r w:rsidRPr="00F21279">
        <w:rPr>
          <w:b/>
          <w:lang w:val="en-US"/>
        </w:rPr>
        <w:tab/>
      </w:r>
      <w:r w:rsidRPr="006847A4">
        <w:rPr>
          <w:b/>
        </w:rPr>
        <w:t xml:space="preserve">2183a. </w:t>
      </w:r>
      <w:r w:rsidRPr="006847A4">
        <w:rPr>
          <w:u w:val="single"/>
        </w:rPr>
        <w:t>La reconnaissance judiciaire</w:t>
      </w:r>
      <w:r w:rsidRPr="006847A4">
        <w:t xml:space="preserve"> du droit de propriété absolue </w:t>
      </w:r>
      <w:r w:rsidRPr="006847A4">
        <w:rPr>
          <w:u w:val="single"/>
        </w:rPr>
        <w:t>acquis par la prescription</w:t>
      </w:r>
      <w:r w:rsidRPr="006847A4">
        <w:t xml:space="preserve"> </w:t>
      </w:r>
      <w:r w:rsidRPr="006847A4">
        <w:rPr>
          <w:bCs/>
        </w:rPr>
        <w:t xml:space="preserve">de </w:t>
      </w:r>
      <w:r w:rsidRPr="006847A4">
        <w:t xml:space="preserve">dix ans ou celle de trente ans peut avoir lieu en suivant les formalités prescrites à ce sujet par le Code de procédure civile. </w:t>
      </w:r>
    </w:p>
    <w:p w:rsidR="00985DE6" w:rsidRDefault="00985DE6" w:rsidP="00233573">
      <w:pPr>
        <w:pStyle w:val="ParaNoNdepar-AltN"/>
        <w:widowControl w:val="0"/>
        <w:tabs>
          <w:tab w:val="left" w:pos="1530"/>
        </w:tabs>
        <w:spacing w:before="240" w:after="240" w:line="240" w:lineRule="auto"/>
        <w:ind w:left="1170"/>
        <w:rPr>
          <w:b/>
          <w:bCs/>
          <w:lang w:val="en-US"/>
        </w:rPr>
      </w:pPr>
      <w:r>
        <w:rPr>
          <w:b/>
          <w:bCs/>
          <w:lang w:val="fr-FR"/>
        </w:rPr>
        <w:tab/>
      </w:r>
      <w:r w:rsidRPr="00F21279">
        <w:rPr>
          <w:b/>
          <w:bCs/>
          <w:lang w:val="en-US"/>
        </w:rPr>
        <w:t>2918.</w:t>
      </w:r>
      <w:r w:rsidRPr="00F21279">
        <w:rPr>
          <w:lang w:val="en-US"/>
        </w:rPr>
        <w:t xml:space="preserve"> A person who has for 10 years possessed an immovable as its owner </w:t>
      </w:r>
      <w:r w:rsidRPr="00F21279">
        <w:rPr>
          <w:u w:val="single"/>
          <w:lang w:val="en-US"/>
        </w:rPr>
        <w:t>may acquire the ownership of it only upon</w:t>
      </w:r>
      <w:r w:rsidRPr="00F21279">
        <w:rPr>
          <w:lang w:val="en-US"/>
        </w:rPr>
        <w:t xml:space="preserve"> a judicial </w:t>
      </w:r>
      <w:r w:rsidRPr="00BF11E5">
        <w:rPr>
          <w:lang w:val="en-US"/>
        </w:rPr>
        <w:t>application.</w:t>
      </w:r>
    </w:p>
    <w:p w:rsidR="00BF11E5" w:rsidRDefault="00BF11E5" w:rsidP="00233573">
      <w:pPr>
        <w:pStyle w:val="ParaNoNdepar-AltN"/>
        <w:widowControl w:val="0"/>
        <w:tabs>
          <w:tab w:val="left" w:pos="1530"/>
        </w:tabs>
        <w:spacing w:before="240" w:after="720" w:line="240" w:lineRule="auto"/>
        <w:ind w:left="1166"/>
        <w:rPr>
          <w:bCs/>
          <w:lang w:val="fr-FR"/>
        </w:rPr>
      </w:pPr>
      <w:r w:rsidRPr="00F21279">
        <w:rPr>
          <w:b/>
          <w:bCs/>
          <w:lang w:val="en-US"/>
        </w:rPr>
        <w:tab/>
      </w:r>
      <w:r w:rsidRPr="006847A4">
        <w:rPr>
          <w:b/>
          <w:bCs/>
          <w:lang w:val="fr-FR"/>
        </w:rPr>
        <w:t xml:space="preserve">2918. </w:t>
      </w:r>
      <w:r w:rsidRPr="006847A4">
        <w:rPr>
          <w:bCs/>
          <w:lang w:val="fr-FR"/>
        </w:rPr>
        <w:t xml:space="preserve">Celui qui, </w:t>
      </w:r>
      <w:r w:rsidRPr="00BF11E5">
        <w:t>pendant</w:t>
      </w:r>
      <w:r w:rsidRPr="006847A4">
        <w:rPr>
          <w:bCs/>
          <w:lang w:val="fr-FR"/>
        </w:rPr>
        <w:t xml:space="preserve"> 10 ans, a possédé un immeuble à titre de propriétaire </w:t>
      </w:r>
      <w:r w:rsidRPr="006847A4">
        <w:rPr>
          <w:bCs/>
          <w:u w:val="single"/>
          <w:lang w:val="fr-FR"/>
        </w:rPr>
        <w:t>ne peut en acquérir la propriété qu’à la suite</w:t>
      </w:r>
      <w:r w:rsidRPr="006847A4">
        <w:rPr>
          <w:bCs/>
          <w:lang w:val="fr-FR"/>
        </w:rPr>
        <w:t xml:space="preserve"> d’une demande en justice.</w:t>
      </w:r>
    </w:p>
    <w:p w:rsidR="00FE692E" w:rsidRPr="006847A4" w:rsidRDefault="00FE692E" w:rsidP="00233573">
      <w:pPr>
        <w:pStyle w:val="ParaNoNdepar-AltN"/>
        <w:widowControl w:val="0"/>
        <w:numPr>
          <w:ilvl w:val="0"/>
          <w:numId w:val="1"/>
        </w:numPr>
        <w:tabs>
          <w:tab w:val="clear" w:pos="1242"/>
          <w:tab w:val="num" w:pos="1152"/>
        </w:tabs>
        <w:ind w:left="0"/>
        <w:rPr>
          <w:rFonts w:cs="Times New Roman"/>
        </w:rPr>
      </w:pPr>
      <w:r w:rsidRPr="001E63A0">
        <w:rPr>
          <w:rFonts w:cs="Times New Roman"/>
          <w:lang w:val="en-CA"/>
        </w:rPr>
        <w:t>Notwithstanding</w:t>
      </w:r>
      <w:r w:rsidRPr="00FE692E">
        <w:rPr>
          <w:rFonts w:cs="Times New Roman"/>
          <w:lang w:val="en-US"/>
        </w:rPr>
        <w:t xml:space="preserve"> the fact that art. 2918 </w:t>
      </w:r>
      <w:r w:rsidRPr="00FE692E">
        <w:rPr>
          <w:rFonts w:cs="Times New Roman"/>
          <w:i/>
          <w:lang w:val="en-US"/>
        </w:rPr>
        <w:t>C</w:t>
      </w:r>
      <w:r w:rsidR="00E41BAD">
        <w:rPr>
          <w:rFonts w:cs="Times New Roman"/>
          <w:i/>
          <w:lang w:val="en-US"/>
        </w:rPr>
        <w:t>.</w:t>
      </w:r>
      <w:r w:rsidRPr="00FE692E">
        <w:rPr>
          <w:rFonts w:cs="Times New Roman"/>
          <w:i/>
          <w:lang w:val="en-US"/>
        </w:rPr>
        <w:t>C</w:t>
      </w:r>
      <w:r w:rsidR="00E41BAD">
        <w:rPr>
          <w:rFonts w:cs="Times New Roman"/>
          <w:i/>
          <w:lang w:val="en-US"/>
        </w:rPr>
        <w:t>.</w:t>
      </w:r>
      <w:r w:rsidRPr="00FE692E">
        <w:rPr>
          <w:rFonts w:cs="Times New Roman"/>
          <w:i/>
          <w:lang w:val="en-US"/>
        </w:rPr>
        <w:t>Q</w:t>
      </w:r>
      <w:r w:rsidR="00E41BAD">
        <w:rPr>
          <w:rFonts w:cs="Times New Roman"/>
          <w:i/>
          <w:lang w:val="en-US"/>
        </w:rPr>
        <w:t>.</w:t>
      </w:r>
      <w:r w:rsidRPr="00FE692E">
        <w:rPr>
          <w:rFonts w:cs="Times New Roman"/>
          <w:lang w:val="en-US"/>
        </w:rPr>
        <w:t xml:space="preserve"> plainly lies at the heart of this appeal, the majority of the Court of Appeal expressly declined to answer the question of whether its plain wording should be given effect. However, insofar as the majority held that the respondent had already acquired the right of ownership over the contested parking space, it implicitly treated the judgment under art. 2918 as a declaratory one (see also G. </w:t>
      </w:r>
      <w:proofErr w:type="spellStart"/>
      <w:r w:rsidRPr="00FE692E">
        <w:rPr>
          <w:rFonts w:cs="Times New Roman"/>
          <w:lang w:val="en-US"/>
        </w:rPr>
        <w:t>Gidrol</w:t>
      </w:r>
      <w:proofErr w:type="spellEnd"/>
      <w:r w:rsidRPr="00FE692E">
        <w:rPr>
          <w:rFonts w:cs="Times New Roman"/>
          <w:lang w:val="en-US"/>
        </w:rPr>
        <w:t>-Mistral, “</w:t>
      </w:r>
      <w:proofErr w:type="spellStart"/>
      <w:r w:rsidRPr="00FE692E">
        <w:rPr>
          <w:rFonts w:cs="Times New Roman"/>
          <w:lang w:val="en-US"/>
        </w:rPr>
        <w:t>Publicité</w:t>
      </w:r>
      <w:proofErr w:type="spellEnd"/>
      <w:r w:rsidRPr="00FE692E">
        <w:rPr>
          <w:rFonts w:cs="Times New Roman"/>
          <w:lang w:val="en-US"/>
        </w:rPr>
        <w:t xml:space="preserve"> des droits </w:t>
      </w:r>
      <w:proofErr w:type="gramStart"/>
      <w:r w:rsidRPr="00FE692E">
        <w:rPr>
          <w:rFonts w:cs="Times New Roman"/>
          <w:lang w:val="en-US"/>
        </w:rPr>
        <w:t>et</w:t>
      </w:r>
      <w:proofErr w:type="gramEnd"/>
      <w:r w:rsidRPr="00FE692E">
        <w:rPr>
          <w:rFonts w:cs="Times New Roman"/>
          <w:lang w:val="en-US"/>
        </w:rPr>
        <w:t xml:space="preserve"> prescription acquisitive: des liaisons </w:t>
      </w:r>
      <w:proofErr w:type="spellStart"/>
      <w:r w:rsidRPr="00FE692E">
        <w:rPr>
          <w:rFonts w:cs="Times New Roman"/>
          <w:lang w:val="en-US"/>
        </w:rPr>
        <w:t>dangereuses</w:t>
      </w:r>
      <w:proofErr w:type="spellEnd"/>
      <w:r w:rsidRPr="00FE692E">
        <w:rPr>
          <w:rFonts w:cs="Times New Roman"/>
          <w:lang w:val="en-US"/>
        </w:rPr>
        <w:t xml:space="preserve">?” </w:t>
      </w:r>
      <w:r w:rsidRPr="006847A4">
        <w:rPr>
          <w:rFonts w:cs="Times New Roman"/>
        </w:rPr>
        <w:t xml:space="preserve">(2016), 46 </w:t>
      </w:r>
      <w:r w:rsidRPr="006847A4">
        <w:rPr>
          <w:rFonts w:cs="Times New Roman"/>
          <w:i/>
        </w:rPr>
        <w:t>R.G.D.</w:t>
      </w:r>
      <w:r w:rsidRPr="006847A4">
        <w:rPr>
          <w:rFonts w:cs="Times New Roman"/>
        </w:rPr>
        <w:t xml:space="preserve"> 303, at p. 335).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In my view, it erred in doing so. The clear wording of art. 2918 makes a judicial application a prerequisite to acquiring the right of ownership over an immovable. A court’s sole objective in interpreting the </w:t>
      </w:r>
      <w:r w:rsidRPr="00FE692E">
        <w:rPr>
          <w:rFonts w:cs="Times New Roman"/>
          <w:i/>
          <w:lang w:val="en-US"/>
        </w:rPr>
        <w:t>C</w:t>
      </w:r>
      <w:r w:rsidR="00E41BAD">
        <w:rPr>
          <w:rFonts w:cs="Times New Roman"/>
          <w:i/>
          <w:lang w:val="en-US"/>
        </w:rPr>
        <w:t>.</w:t>
      </w:r>
      <w:r w:rsidRPr="00FE692E">
        <w:rPr>
          <w:rFonts w:cs="Times New Roman"/>
          <w:i/>
          <w:lang w:val="en-US"/>
        </w:rPr>
        <w:t>C</w:t>
      </w:r>
      <w:r w:rsidR="00E41BAD">
        <w:rPr>
          <w:rFonts w:cs="Times New Roman"/>
          <w:i/>
          <w:lang w:val="en-US"/>
        </w:rPr>
        <w:t>.</w:t>
      </w:r>
      <w:r w:rsidRPr="00FE692E">
        <w:rPr>
          <w:rFonts w:cs="Times New Roman"/>
          <w:i/>
          <w:lang w:val="en-US"/>
        </w:rPr>
        <w:t>Q</w:t>
      </w:r>
      <w:r w:rsidR="00E41BAD">
        <w:rPr>
          <w:rFonts w:cs="Times New Roman"/>
          <w:i/>
          <w:lang w:val="en-US"/>
        </w:rPr>
        <w:t>.</w:t>
      </w:r>
      <w:r w:rsidRPr="00FE692E">
        <w:rPr>
          <w:rFonts w:cs="Times New Roman"/>
          <w:lang w:val="en-US"/>
        </w:rPr>
        <w:t xml:space="preserve"> — and indeed, all legislation — is to ascertain the will of the legislature. It is obvious that </w:t>
      </w:r>
      <w:proofErr w:type="gramStart"/>
      <w:r w:rsidRPr="00FE692E">
        <w:rPr>
          <w:rFonts w:cs="Times New Roman"/>
          <w:lang w:val="en-US"/>
        </w:rPr>
        <w:t>its</w:t>
      </w:r>
      <w:proofErr w:type="gramEnd"/>
      <w:r w:rsidRPr="00FE692E">
        <w:rPr>
          <w:rFonts w:cs="Times New Roman"/>
          <w:lang w:val="en-US"/>
        </w:rPr>
        <w:t xml:space="preserve"> “interpretation cannot be founded on the wording of the legislation alone” (</w:t>
      </w:r>
      <w:r w:rsidRPr="006847A4">
        <w:rPr>
          <w:rFonts w:cs="Times New Roman"/>
          <w:i/>
          <w:lang w:val="en-GB"/>
        </w:rPr>
        <w:t>Rizzo &amp; Rizzo Shoes Ltd. (Re)</w:t>
      </w:r>
      <w:r w:rsidRPr="006847A4">
        <w:rPr>
          <w:rFonts w:cs="Times New Roman"/>
          <w:lang w:val="en-GB"/>
        </w:rPr>
        <w:t>, [1998] 1 S.C.R. 27,</w:t>
      </w:r>
      <w:r w:rsidRPr="00FE692E">
        <w:rPr>
          <w:rFonts w:cs="Times New Roman"/>
          <w:lang w:val="en-US"/>
        </w:rPr>
        <w:t xml:space="preserve"> at para. 21). But where the words of a provision are devoid of all ambiguity and are supported by a context that aligns with a </w:t>
      </w:r>
      <w:r w:rsidRPr="00FE692E">
        <w:rPr>
          <w:rFonts w:cs="Times New Roman"/>
          <w:lang w:val="en-US"/>
        </w:rPr>
        <w:lastRenderedPageBreak/>
        <w:t xml:space="preserve">clear legislative intent, we cannot distort that intent by referring to other contextual considerations, lest we put the Court in the legislature’s shoes.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The </w:t>
      </w:r>
      <w:r w:rsidRPr="001E63A0">
        <w:rPr>
          <w:rFonts w:cs="Times New Roman"/>
          <w:lang w:val="en-CA"/>
        </w:rPr>
        <w:t>prerequisite</w:t>
      </w:r>
      <w:r w:rsidRPr="00FE692E">
        <w:rPr>
          <w:rFonts w:cs="Times New Roman"/>
          <w:lang w:val="en-US"/>
        </w:rPr>
        <w:t xml:space="preserve"> of a judicial application under art. 2918 has no antecedent in the </w:t>
      </w:r>
      <w:r w:rsidRPr="00FE692E">
        <w:rPr>
          <w:rFonts w:cs="Times New Roman"/>
          <w:i/>
          <w:lang w:val="en-US"/>
        </w:rPr>
        <w:t>C</w:t>
      </w:r>
      <w:r w:rsidR="00E41BAD">
        <w:rPr>
          <w:rFonts w:cs="Times New Roman"/>
          <w:i/>
          <w:lang w:val="en-US"/>
        </w:rPr>
        <w:t>.</w:t>
      </w:r>
      <w:r w:rsidRPr="00FE692E">
        <w:rPr>
          <w:rFonts w:cs="Times New Roman"/>
          <w:i/>
          <w:lang w:val="en-US"/>
        </w:rPr>
        <w:t>C</w:t>
      </w:r>
      <w:r w:rsidR="00E41BAD">
        <w:rPr>
          <w:rFonts w:cs="Times New Roman"/>
          <w:i/>
          <w:lang w:val="en-US"/>
        </w:rPr>
        <w:t>.</w:t>
      </w:r>
      <w:r w:rsidRPr="00FE692E">
        <w:rPr>
          <w:rFonts w:cs="Times New Roman"/>
          <w:i/>
          <w:lang w:val="en-US"/>
        </w:rPr>
        <w:t>L</w:t>
      </w:r>
      <w:r w:rsidR="00E41BAD">
        <w:rPr>
          <w:rFonts w:cs="Times New Roman"/>
          <w:i/>
          <w:lang w:val="en-US"/>
        </w:rPr>
        <w:t>.</w:t>
      </w:r>
      <w:r w:rsidRPr="00FE692E">
        <w:rPr>
          <w:rFonts w:cs="Times New Roman"/>
          <w:i/>
          <w:lang w:val="en-US"/>
        </w:rPr>
        <w:t>C</w:t>
      </w:r>
      <w:r w:rsidRPr="00FE692E">
        <w:rPr>
          <w:rFonts w:cs="Times New Roman"/>
          <w:lang w:val="en-US"/>
        </w:rPr>
        <w:t xml:space="preserve">. Given the absence of any ambiguity in the wording of art. 2918, and the deliberate legislative choice to retain the judicial application requirement when the article was amended, the effects of the article cannot be defined by reference to practices prevailing under the </w:t>
      </w:r>
      <w:r w:rsidRPr="00FE692E">
        <w:rPr>
          <w:rFonts w:cs="Times New Roman"/>
          <w:i/>
          <w:lang w:val="en-US"/>
        </w:rPr>
        <w:t>C</w:t>
      </w:r>
      <w:r w:rsidR="00E41BAD">
        <w:rPr>
          <w:rFonts w:cs="Times New Roman"/>
          <w:i/>
          <w:lang w:val="en-US"/>
        </w:rPr>
        <w:t>.</w:t>
      </w:r>
      <w:r w:rsidRPr="00FE692E">
        <w:rPr>
          <w:rFonts w:cs="Times New Roman"/>
          <w:i/>
          <w:lang w:val="en-US"/>
        </w:rPr>
        <w:t>C</w:t>
      </w:r>
      <w:r w:rsidR="00E41BAD">
        <w:rPr>
          <w:rFonts w:cs="Times New Roman"/>
          <w:i/>
          <w:lang w:val="en-US"/>
        </w:rPr>
        <w:t>.</w:t>
      </w:r>
      <w:r w:rsidRPr="00FE692E">
        <w:rPr>
          <w:rFonts w:cs="Times New Roman"/>
          <w:i/>
          <w:lang w:val="en-US"/>
        </w:rPr>
        <w:t>L</w:t>
      </w:r>
      <w:r w:rsidR="00E41BAD">
        <w:rPr>
          <w:rFonts w:cs="Times New Roman"/>
          <w:i/>
          <w:lang w:val="en-US"/>
        </w:rPr>
        <w:t>.</w:t>
      </w:r>
      <w:r w:rsidRPr="00FE692E">
        <w:rPr>
          <w:rFonts w:cs="Times New Roman"/>
          <w:i/>
          <w:lang w:val="en-US"/>
        </w:rPr>
        <w:t>C</w:t>
      </w:r>
      <w:r w:rsidRPr="00FE692E">
        <w:rPr>
          <w:rFonts w:cs="Times New Roman"/>
          <w:lang w:val="en-US"/>
        </w:rPr>
        <w:t xml:space="preserve">.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Nor, in my </w:t>
      </w:r>
      <w:r w:rsidRPr="001E63A0">
        <w:rPr>
          <w:rFonts w:cs="Times New Roman"/>
          <w:lang w:val="en-CA"/>
        </w:rPr>
        <w:t>view</w:t>
      </w:r>
      <w:r w:rsidRPr="00FE692E">
        <w:rPr>
          <w:rFonts w:cs="Times New Roman"/>
          <w:lang w:val="en-US"/>
        </w:rPr>
        <w:t xml:space="preserve">, can its meaning be determined by reference to the repeal or </w:t>
      </w:r>
      <w:r w:rsidR="00E41BAD">
        <w:rPr>
          <w:rFonts w:cs="Times New Roman"/>
          <w:lang w:val="en-US"/>
        </w:rPr>
        <w:t>amendment of arts. 2962, 2944 para. 2</w:t>
      </w:r>
      <w:r w:rsidRPr="00FE692E">
        <w:rPr>
          <w:rFonts w:cs="Times New Roman"/>
          <w:lang w:val="en-US"/>
        </w:rPr>
        <w:t xml:space="preserve">, and 2943 </w:t>
      </w:r>
      <w:r w:rsidRPr="00FE692E">
        <w:rPr>
          <w:rFonts w:cs="Times New Roman"/>
          <w:i/>
          <w:lang w:val="en-US"/>
        </w:rPr>
        <w:t>C</w:t>
      </w:r>
      <w:r w:rsidR="00E41BAD">
        <w:rPr>
          <w:rFonts w:cs="Times New Roman"/>
          <w:i/>
          <w:lang w:val="en-US"/>
        </w:rPr>
        <w:t>.</w:t>
      </w:r>
      <w:r w:rsidRPr="00FE692E">
        <w:rPr>
          <w:rFonts w:cs="Times New Roman"/>
          <w:i/>
          <w:lang w:val="en-US"/>
        </w:rPr>
        <w:t>C</w:t>
      </w:r>
      <w:r w:rsidR="00E41BAD">
        <w:rPr>
          <w:rFonts w:cs="Times New Roman"/>
          <w:i/>
          <w:lang w:val="en-US"/>
        </w:rPr>
        <w:t>.</w:t>
      </w:r>
      <w:r w:rsidRPr="00FE692E">
        <w:rPr>
          <w:rFonts w:cs="Times New Roman"/>
          <w:i/>
          <w:lang w:val="en-US"/>
        </w:rPr>
        <w:t>Q</w:t>
      </w:r>
      <w:r w:rsidRPr="00FE692E">
        <w:rPr>
          <w:rFonts w:cs="Times New Roman"/>
          <w:lang w:val="en-US"/>
        </w:rPr>
        <w:t xml:space="preserve">. The efficacy of these articles hinged on the completion of the land register reform. Because of the difficulties and costs associated with the characterization of rights, as well as the potential liability of notaries for any mischaracterization of rights, the National Assembly abandoned the reform in 2000 (F. </w:t>
      </w:r>
      <w:proofErr w:type="spellStart"/>
      <w:r w:rsidRPr="00FE692E">
        <w:rPr>
          <w:rFonts w:cs="Times New Roman"/>
          <w:lang w:val="en-US"/>
        </w:rPr>
        <w:t>Brochu</w:t>
      </w:r>
      <w:proofErr w:type="spellEnd"/>
      <w:r w:rsidRPr="00FE692E">
        <w:rPr>
          <w:rFonts w:cs="Times New Roman"/>
          <w:lang w:val="en-US"/>
        </w:rPr>
        <w:t xml:space="preserve">, “Critique </w:t>
      </w:r>
      <w:proofErr w:type="spellStart"/>
      <w:r w:rsidRPr="00FE692E">
        <w:rPr>
          <w:rFonts w:cs="Times New Roman"/>
          <w:lang w:val="en-US"/>
        </w:rPr>
        <w:t>d’une</w:t>
      </w:r>
      <w:proofErr w:type="spellEnd"/>
      <w:r w:rsidRPr="00FE692E">
        <w:rPr>
          <w:rFonts w:cs="Times New Roman"/>
          <w:lang w:val="en-US"/>
        </w:rPr>
        <w:t xml:space="preserve"> </w:t>
      </w:r>
      <w:proofErr w:type="spellStart"/>
      <w:r w:rsidRPr="00FE692E">
        <w:rPr>
          <w:rFonts w:cs="Times New Roman"/>
          <w:lang w:val="en-US"/>
        </w:rPr>
        <w:t>réforme</w:t>
      </w:r>
      <w:proofErr w:type="spellEnd"/>
      <w:r w:rsidRPr="00FE692E">
        <w:rPr>
          <w:rFonts w:cs="Times New Roman"/>
          <w:lang w:val="en-US"/>
        </w:rPr>
        <w:t xml:space="preserve"> </w:t>
      </w:r>
      <w:proofErr w:type="spellStart"/>
      <w:r w:rsidRPr="00FE692E">
        <w:rPr>
          <w:rFonts w:cs="Times New Roman"/>
          <w:lang w:val="en-US"/>
        </w:rPr>
        <w:t>cosmétique</w:t>
      </w:r>
      <w:proofErr w:type="spellEnd"/>
      <w:r w:rsidRPr="00FE692E">
        <w:rPr>
          <w:rFonts w:cs="Times New Roman"/>
          <w:lang w:val="en-US"/>
        </w:rPr>
        <w:t xml:space="preserve"> </w:t>
      </w:r>
      <w:proofErr w:type="spellStart"/>
      <w:r w:rsidRPr="00FE692E">
        <w:rPr>
          <w:rFonts w:cs="Times New Roman"/>
          <w:lang w:val="en-US"/>
        </w:rPr>
        <w:t>en</w:t>
      </w:r>
      <w:proofErr w:type="spellEnd"/>
      <w:r w:rsidRPr="00FE692E">
        <w:rPr>
          <w:rFonts w:cs="Times New Roman"/>
          <w:lang w:val="en-US"/>
        </w:rPr>
        <w:t xml:space="preserve"> </w:t>
      </w:r>
      <w:proofErr w:type="spellStart"/>
      <w:r w:rsidRPr="00FE692E">
        <w:rPr>
          <w:rFonts w:cs="Times New Roman"/>
          <w:lang w:val="en-US"/>
        </w:rPr>
        <w:t>matière</w:t>
      </w:r>
      <w:proofErr w:type="spellEnd"/>
      <w:r w:rsidRPr="00FE692E">
        <w:rPr>
          <w:rFonts w:cs="Times New Roman"/>
          <w:lang w:val="en-US"/>
        </w:rPr>
        <w:t xml:space="preserve"> de </w:t>
      </w:r>
      <w:proofErr w:type="spellStart"/>
      <w:r w:rsidRPr="00FE692E">
        <w:rPr>
          <w:rFonts w:cs="Times New Roman"/>
          <w:lang w:val="en-US"/>
        </w:rPr>
        <w:t>publicité</w:t>
      </w:r>
      <w:proofErr w:type="spellEnd"/>
      <w:r w:rsidRPr="00FE692E">
        <w:rPr>
          <w:rFonts w:cs="Times New Roman"/>
          <w:lang w:val="en-US"/>
        </w:rPr>
        <w:t xml:space="preserve"> </w:t>
      </w:r>
      <w:proofErr w:type="spellStart"/>
      <w:r w:rsidRPr="00FE692E">
        <w:rPr>
          <w:rFonts w:cs="Times New Roman"/>
          <w:lang w:val="en-US"/>
        </w:rPr>
        <w:t>foncière</w:t>
      </w:r>
      <w:proofErr w:type="spellEnd"/>
      <w:r w:rsidRPr="00FE692E">
        <w:rPr>
          <w:rFonts w:cs="Times New Roman"/>
          <w:lang w:val="en-US"/>
        </w:rPr>
        <w:t xml:space="preserve">” (2003), 105 </w:t>
      </w:r>
      <w:r w:rsidRPr="00FE692E">
        <w:rPr>
          <w:rFonts w:cs="Times New Roman"/>
          <w:i/>
          <w:iCs/>
          <w:lang w:val="en-US"/>
        </w:rPr>
        <w:t>R. du N</w:t>
      </w:r>
      <w:r w:rsidRPr="00FE692E">
        <w:rPr>
          <w:rFonts w:cs="Times New Roman"/>
          <w:lang w:val="en-US"/>
        </w:rPr>
        <w:t xml:space="preserve">. 761, at p. 789).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As a result, art. 2962, which codified the principle of public confidence — the notion that an acquirer of a real right could rely on the land register — was repealed. Similarly, art. 2944</w:t>
      </w:r>
      <w:r w:rsidR="00E41BAD">
        <w:rPr>
          <w:rFonts w:cs="Times New Roman"/>
          <w:lang w:val="en-US"/>
        </w:rPr>
        <w:t xml:space="preserve"> para. 2</w:t>
      </w:r>
      <w:r w:rsidRPr="00FE692E">
        <w:rPr>
          <w:rFonts w:cs="Times New Roman"/>
          <w:lang w:val="en-US"/>
        </w:rPr>
        <w:t xml:space="preserve"> — which created an </w:t>
      </w:r>
      <w:proofErr w:type="spellStart"/>
      <w:r w:rsidRPr="00FE692E">
        <w:rPr>
          <w:rFonts w:cs="Times New Roman"/>
          <w:lang w:val="en-US"/>
        </w:rPr>
        <w:t>irrebuttable</w:t>
      </w:r>
      <w:proofErr w:type="spellEnd"/>
      <w:r w:rsidRPr="00FE692E">
        <w:rPr>
          <w:rFonts w:cs="Times New Roman"/>
          <w:lang w:val="en-US"/>
        </w:rPr>
        <w:t xml:space="preserve"> presumption of a right of ownership if, after 10 years of registration in the register, the right was not contested — was also repealed, leaving only “a simple presumption of the existence of that right” (art. 2944 </w:t>
      </w:r>
      <w:r w:rsidRPr="00FE692E">
        <w:rPr>
          <w:rFonts w:cs="Times New Roman"/>
          <w:i/>
          <w:lang w:val="en-US"/>
        </w:rPr>
        <w:t>C</w:t>
      </w:r>
      <w:r w:rsidR="00E41BAD">
        <w:rPr>
          <w:rFonts w:cs="Times New Roman"/>
          <w:i/>
          <w:lang w:val="en-US"/>
        </w:rPr>
        <w:t>.</w:t>
      </w:r>
      <w:r w:rsidRPr="00FE692E">
        <w:rPr>
          <w:rFonts w:cs="Times New Roman"/>
          <w:i/>
          <w:lang w:val="en-US"/>
        </w:rPr>
        <w:t>C</w:t>
      </w:r>
      <w:r w:rsidR="00E41BAD">
        <w:rPr>
          <w:rFonts w:cs="Times New Roman"/>
          <w:i/>
          <w:lang w:val="en-US"/>
        </w:rPr>
        <w:t>.</w:t>
      </w:r>
      <w:r w:rsidRPr="00FE692E">
        <w:rPr>
          <w:rFonts w:cs="Times New Roman"/>
          <w:i/>
          <w:lang w:val="en-US"/>
        </w:rPr>
        <w:t>Q</w:t>
      </w:r>
      <w:r w:rsidR="00E41BAD">
        <w:rPr>
          <w:rFonts w:cs="Times New Roman"/>
          <w:i/>
          <w:lang w:val="en-US"/>
        </w:rPr>
        <w:t>.</w:t>
      </w:r>
      <w:r w:rsidRPr="00FE692E">
        <w:rPr>
          <w:rFonts w:cs="Times New Roman"/>
          <w:lang w:val="en-US"/>
        </w:rPr>
        <w:t xml:space="preserve">). Finally, art. 2943 — which originally provided that any published right was “deemed known” to any “person acquiring or publishing a right in the same </w:t>
      </w:r>
      <w:r w:rsidRPr="00FE692E">
        <w:rPr>
          <w:rFonts w:cs="Times New Roman"/>
          <w:lang w:val="en-US"/>
        </w:rPr>
        <w:lastRenderedPageBreak/>
        <w:t xml:space="preserve">immovable” — was amended to provide for only a simple presumption. When the land register reform was abandoned in 2000, these articles of the </w:t>
      </w:r>
      <w:r w:rsidRPr="00FE692E">
        <w:rPr>
          <w:rFonts w:cs="Times New Roman"/>
          <w:i/>
          <w:lang w:val="en-US"/>
        </w:rPr>
        <w:t>C</w:t>
      </w:r>
      <w:r w:rsidR="00E41BAD">
        <w:rPr>
          <w:rFonts w:cs="Times New Roman"/>
          <w:i/>
          <w:lang w:val="en-US"/>
        </w:rPr>
        <w:t>.</w:t>
      </w:r>
      <w:r w:rsidRPr="00FE692E">
        <w:rPr>
          <w:rFonts w:cs="Times New Roman"/>
          <w:i/>
          <w:lang w:val="en-US"/>
        </w:rPr>
        <w:t>C</w:t>
      </w:r>
      <w:r w:rsidR="00E41BAD">
        <w:rPr>
          <w:rFonts w:cs="Times New Roman"/>
          <w:i/>
          <w:lang w:val="en-US"/>
        </w:rPr>
        <w:t>.</w:t>
      </w:r>
      <w:r w:rsidRPr="00FE692E">
        <w:rPr>
          <w:rFonts w:cs="Times New Roman"/>
          <w:i/>
          <w:lang w:val="en-US"/>
        </w:rPr>
        <w:t>Q</w:t>
      </w:r>
      <w:r w:rsidR="00E41BAD">
        <w:rPr>
          <w:rFonts w:cs="Times New Roman"/>
          <w:i/>
          <w:lang w:val="en-US"/>
        </w:rPr>
        <w:t>.</w:t>
      </w:r>
      <w:r w:rsidRPr="00FE692E">
        <w:rPr>
          <w:rFonts w:cs="Times New Roman"/>
          <w:lang w:val="en-US"/>
        </w:rPr>
        <w:t xml:space="preserve"> became unworkable and had to be amended or repealed.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With respect, however, I do not find that a discussion of the abandonment of the land register reform, and the resulting amendment or repeal of articles relating to the reform, provides context that supports reading down the express words of art. 2918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Pr="00FE692E">
        <w:rPr>
          <w:rFonts w:cs="Times New Roman"/>
          <w:lang w:val="en-US"/>
        </w:rPr>
        <w:t xml:space="preserve">. Indeed, I find such a discussion to be misguided for a number of reasons. Chief among them is the fact that it misconstrues the </w:t>
      </w:r>
      <w:r w:rsidRPr="00FE692E">
        <w:rPr>
          <w:rFonts w:cs="Times New Roman"/>
          <w:i/>
          <w:lang w:val="en-US"/>
        </w:rPr>
        <w:t>raison d’être</w:t>
      </w:r>
      <w:r w:rsidRPr="00FE692E">
        <w:rPr>
          <w:rFonts w:cs="Times New Roman"/>
          <w:lang w:val="en-US"/>
        </w:rPr>
        <w:t xml:space="preserve"> of art. 2918 as being grounded solely in the publication regime envisioned by the land register reform and consequently treats the judicial application requirement as an incidental casualty of the abandonment of that regime.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Article </w:t>
      </w:r>
      <w:r w:rsidRPr="001E63A0">
        <w:rPr>
          <w:rFonts w:cs="Times New Roman"/>
          <w:lang w:val="en-CA"/>
        </w:rPr>
        <w:t>2918</w:t>
      </w:r>
      <w:r w:rsidRPr="00FE692E">
        <w:rPr>
          <w:rFonts w:cs="Times New Roman"/>
          <w:lang w:val="en-US"/>
        </w:rPr>
        <w:t xml:space="preserve"> </w:t>
      </w:r>
      <w:r w:rsidRPr="00FE692E">
        <w:rPr>
          <w:rFonts w:cs="Times New Roman"/>
          <w:i/>
          <w:lang w:val="en-US"/>
        </w:rPr>
        <w:t>C</w:t>
      </w:r>
      <w:r w:rsidR="00E41BAD">
        <w:rPr>
          <w:rFonts w:cs="Times New Roman"/>
          <w:i/>
          <w:lang w:val="en-US"/>
        </w:rPr>
        <w:t>.</w:t>
      </w:r>
      <w:r w:rsidRPr="00FE692E">
        <w:rPr>
          <w:rFonts w:cs="Times New Roman"/>
          <w:i/>
          <w:lang w:val="en-US"/>
        </w:rPr>
        <w:t>C</w:t>
      </w:r>
      <w:r w:rsidR="00E41BAD">
        <w:rPr>
          <w:rFonts w:cs="Times New Roman"/>
          <w:i/>
          <w:lang w:val="en-US"/>
        </w:rPr>
        <w:t>.</w:t>
      </w:r>
      <w:r w:rsidRPr="00FE692E">
        <w:rPr>
          <w:rFonts w:cs="Times New Roman"/>
          <w:i/>
          <w:lang w:val="en-US"/>
        </w:rPr>
        <w:t>Q</w:t>
      </w:r>
      <w:r w:rsidR="00E41BAD">
        <w:rPr>
          <w:rFonts w:cs="Times New Roman"/>
          <w:i/>
          <w:lang w:val="en-US"/>
        </w:rPr>
        <w:t>.</w:t>
      </w:r>
      <w:r w:rsidRPr="00FE692E">
        <w:rPr>
          <w:rFonts w:cs="Times New Roman"/>
          <w:lang w:val="en-US"/>
        </w:rPr>
        <w:t xml:space="preserve"> is “new” in the sense that it makes a judicial application a prerequisite to the acquisitive prescription of an immovable. But art. 2918 </w:t>
      </w:r>
      <w:r w:rsidRPr="00FE692E">
        <w:rPr>
          <w:rFonts w:cs="Times New Roman"/>
          <w:i/>
          <w:lang w:val="en-US"/>
        </w:rPr>
        <w:t>C</w:t>
      </w:r>
      <w:r w:rsidR="00E41BAD">
        <w:rPr>
          <w:rFonts w:cs="Times New Roman"/>
          <w:i/>
          <w:lang w:val="en-US"/>
        </w:rPr>
        <w:t>.</w:t>
      </w:r>
      <w:r w:rsidRPr="00FE692E">
        <w:rPr>
          <w:rFonts w:cs="Times New Roman"/>
          <w:i/>
          <w:lang w:val="en-US"/>
        </w:rPr>
        <w:t>C</w:t>
      </w:r>
      <w:r w:rsidR="00E41BAD">
        <w:rPr>
          <w:rFonts w:cs="Times New Roman"/>
          <w:i/>
          <w:lang w:val="en-US"/>
        </w:rPr>
        <w:t>.</w:t>
      </w:r>
      <w:r w:rsidRPr="00FE692E">
        <w:rPr>
          <w:rFonts w:cs="Times New Roman"/>
          <w:i/>
          <w:lang w:val="en-US"/>
        </w:rPr>
        <w:t>Q</w:t>
      </w:r>
      <w:r w:rsidR="00E41BAD">
        <w:rPr>
          <w:rFonts w:cs="Times New Roman"/>
          <w:i/>
          <w:lang w:val="en-US"/>
        </w:rPr>
        <w:t>.</w:t>
      </w:r>
      <w:r w:rsidRPr="00FE692E">
        <w:rPr>
          <w:rFonts w:cs="Times New Roman"/>
          <w:i/>
          <w:lang w:val="en-US"/>
        </w:rPr>
        <w:t xml:space="preserve"> </w:t>
      </w:r>
      <w:r w:rsidRPr="00FE692E">
        <w:rPr>
          <w:rFonts w:cs="Times New Roman"/>
          <w:lang w:val="en-US"/>
        </w:rPr>
        <w:t xml:space="preserve">replaces arts. 2242 and 2251 </w:t>
      </w:r>
      <w:r w:rsidRPr="00FE692E">
        <w:rPr>
          <w:rFonts w:cs="Times New Roman"/>
          <w:i/>
          <w:lang w:val="en-US"/>
        </w:rPr>
        <w:t>C</w:t>
      </w:r>
      <w:r w:rsidR="00E41BAD">
        <w:rPr>
          <w:rFonts w:cs="Times New Roman"/>
          <w:i/>
          <w:lang w:val="en-US"/>
        </w:rPr>
        <w:t>.</w:t>
      </w:r>
      <w:r w:rsidRPr="00FE692E">
        <w:rPr>
          <w:rFonts w:cs="Times New Roman"/>
          <w:i/>
          <w:lang w:val="en-US"/>
        </w:rPr>
        <w:t>C</w:t>
      </w:r>
      <w:r w:rsidR="00E41BAD">
        <w:rPr>
          <w:rFonts w:cs="Times New Roman"/>
          <w:i/>
          <w:lang w:val="en-US"/>
        </w:rPr>
        <w:t>.</w:t>
      </w:r>
      <w:r w:rsidRPr="00FE692E">
        <w:rPr>
          <w:rFonts w:cs="Times New Roman"/>
          <w:i/>
          <w:lang w:val="en-US"/>
        </w:rPr>
        <w:t>L</w:t>
      </w:r>
      <w:r w:rsidR="00E41BAD">
        <w:rPr>
          <w:rFonts w:cs="Times New Roman"/>
          <w:i/>
          <w:lang w:val="en-US"/>
        </w:rPr>
        <w:t>.</w:t>
      </w:r>
      <w:r w:rsidRPr="00FE692E">
        <w:rPr>
          <w:rFonts w:cs="Times New Roman"/>
          <w:i/>
          <w:lang w:val="en-US"/>
        </w:rPr>
        <w:t>C</w:t>
      </w:r>
      <w:r w:rsidR="00E41BAD">
        <w:rPr>
          <w:rFonts w:cs="Times New Roman"/>
          <w:i/>
          <w:lang w:val="en-US"/>
        </w:rPr>
        <w:t>.</w:t>
      </w:r>
      <w:r w:rsidRPr="00FE692E">
        <w:rPr>
          <w:rFonts w:cs="Times New Roman"/>
          <w:lang w:val="en-US"/>
        </w:rPr>
        <w:t xml:space="preserve"> insofar as it substitutes a single 10-year period and a judgment for the conditions previously attaching to 30-year prescription and 10-year prescription under the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L</w:t>
      </w:r>
      <w:r w:rsidR="00F21279">
        <w:rPr>
          <w:rFonts w:cs="Times New Roman"/>
          <w:i/>
          <w:lang w:val="en-US"/>
        </w:rPr>
        <w:t>.</w:t>
      </w:r>
      <w:r w:rsidRPr="00FE692E">
        <w:rPr>
          <w:rFonts w:cs="Times New Roman"/>
          <w:i/>
          <w:lang w:val="en-US"/>
        </w:rPr>
        <w:t>C</w:t>
      </w:r>
      <w:r w:rsidRPr="00FE692E">
        <w:rPr>
          <w:rFonts w:cs="Times New Roman"/>
          <w:lang w:val="en-US"/>
        </w:rPr>
        <w:t xml:space="preserve">. To reiterate, under art. 2242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L</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lang w:val="en-US"/>
        </w:rPr>
        <w:t xml:space="preserve">, a possessor in bad faith and without title could acquire an immovable only after possessing it for 30 years. Article 2251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L</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 xml:space="preserve"> </w:t>
      </w:r>
      <w:r w:rsidRPr="00FE692E">
        <w:rPr>
          <w:rFonts w:cs="Times New Roman"/>
          <w:lang w:val="en-US"/>
        </w:rPr>
        <w:t xml:space="preserve">provided for prescriptive acquisition after only 10 years, but only if the possessor in good faith could found his or her possession upon a </w:t>
      </w:r>
      <w:proofErr w:type="spellStart"/>
      <w:r w:rsidRPr="00FE692E">
        <w:rPr>
          <w:rFonts w:cs="Times New Roman"/>
          <w:lang w:val="en-US"/>
        </w:rPr>
        <w:t>translatory</w:t>
      </w:r>
      <w:proofErr w:type="spellEnd"/>
      <w:r w:rsidRPr="00FE692E">
        <w:rPr>
          <w:rFonts w:cs="Times New Roman"/>
          <w:lang w:val="en-US"/>
        </w:rPr>
        <w:t xml:space="preserve"> title. This streamlined the resolution of clouds on title. In light of this context, a careful reading of the legislative history of art. 2918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00F21279">
        <w:rPr>
          <w:rFonts w:cs="Times New Roman"/>
          <w:i/>
          <w:lang w:val="en-US"/>
        </w:rPr>
        <w:t>.</w:t>
      </w:r>
      <w:r w:rsidRPr="00FE692E">
        <w:rPr>
          <w:rFonts w:cs="Times New Roman"/>
          <w:lang w:val="en-US"/>
        </w:rPr>
        <w:t xml:space="preserve"> </w:t>
      </w:r>
      <w:r w:rsidRPr="00FE692E">
        <w:rPr>
          <w:rFonts w:cs="Times New Roman"/>
          <w:lang w:val="en-US"/>
        </w:rPr>
        <w:lastRenderedPageBreak/>
        <w:t>plainly reveals that the legislature intended the judgment on the judicial application to be constitutive of the right of ownership and without retroactive effect.</w:t>
      </w:r>
      <w:r w:rsidRPr="00FE692E">
        <w:rPr>
          <w:rFonts w:cs="Times New Roman"/>
          <w:b/>
          <w:lang w:val="en-US"/>
        </w:rPr>
        <w:t xml:space="preserve"> </w:t>
      </w:r>
      <w:r w:rsidRPr="00FE692E">
        <w:rPr>
          <w:rFonts w:cs="Times New Roman"/>
          <w:lang w:val="en-US"/>
        </w:rPr>
        <w:t xml:space="preserve">With respect, it is difficult to see how my colleague’s reference to the amendment of art. 2918 </w:t>
      </w:r>
      <w:proofErr w:type="spellStart"/>
      <w:r w:rsidRPr="00FE692E">
        <w:rPr>
          <w:rFonts w:cs="Times New Roman"/>
          <w:lang w:val="en-US"/>
        </w:rPr>
        <w:t>favours</w:t>
      </w:r>
      <w:proofErr w:type="spellEnd"/>
      <w:r w:rsidRPr="00FE692E">
        <w:rPr>
          <w:rFonts w:cs="Times New Roman"/>
          <w:lang w:val="en-US"/>
        </w:rPr>
        <w:t xml:space="preserve"> reading down the judicial application condition, when maintaining the condition was precisely the result of that amendment.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As </w:t>
      </w:r>
      <w:r w:rsidRPr="001E63A0">
        <w:rPr>
          <w:rFonts w:cs="Times New Roman"/>
          <w:lang w:val="en-CA"/>
        </w:rPr>
        <w:t>originally</w:t>
      </w:r>
      <w:r w:rsidRPr="00FE692E">
        <w:rPr>
          <w:rFonts w:cs="Times New Roman"/>
          <w:lang w:val="en-US"/>
        </w:rPr>
        <w:t xml:space="preserve"> drafted in 1991, prior to the abandonment of the land register reform, art. 2918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00F21279">
        <w:rPr>
          <w:rFonts w:cs="Times New Roman"/>
          <w:i/>
          <w:lang w:val="en-US"/>
        </w:rPr>
        <w:t>.</w:t>
      </w:r>
      <w:r w:rsidRPr="00FE692E">
        <w:rPr>
          <w:rFonts w:cs="Times New Roman"/>
          <w:lang w:val="en-US"/>
        </w:rPr>
        <w:t xml:space="preserve"> read as follows: </w:t>
      </w:r>
    </w:p>
    <w:p w:rsidR="00FE692E" w:rsidRPr="00FE692E" w:rsidRDefault="00FE692E" w:rsidP="00233573">
      <w:pPr>
        <w:pStyle w:val="Citation-AltC"/>
        <w:widowControl w:val="0"/>
        <w:ind w:firstLine="274"/>
        <w:rPr>
          <w:lang w:val="en-US"/>
        </w:rPr>
      </w:pPr>
      <w:r w:rsidRPr="00FE692E">
        <w:rPr>
          <w:b/>
          <w:lang w:val="en-US"/>
        </w:rPr>
        <w:t>2918.</w:t>
      </w:r>
      <w:r w:rsidRPr="00FE692E">
        <w:rPr>
          <w:lang w:val="en-US"/>
        </w:rPr>
        <w:t xml:space="preserve"> A person who has for ten years possessed, as owner, an immovable </w:t>
      </w:r>
      <w:r w:rsidRPr="00FE692E">
        <w:rPr>
          <w:u w:val="single"/>
          <w:lang w:val="en-US"/>
        </w:rPr>
        <w:t>that is not registered in the land register</w:t>
      </w:r>
      <w:r w:rsidRPr="00FE692E">
        <w:rPr>
          <w:lang w:val="en-US"/>
        </w:rPr>
        <w:t xml:space="preserve"> may acquire the ownership of it only upon a judicial demand.</w:t>
      </w:r>
    </w:p>
    <w:p w:rsidR="00FE692E" w:rsidRPr="00FE692E" w:rsidRDefault="00FE692E" w:rsidP="00233573">
      <w:pPr>
        <w:pStyle w:val="Citation-AltC"/>
        <w:widowControl w:val="0"/>
        <w:rPr>
          <w:lang w:val="en-US"/>
        </w:rPr>
      </w:pPr>
    </w:p>
    <w:p w:rsidR="00FE692E" w:rsidRPr="00FE692E" w:rsidRDefault="00FE692E" w:rsidP="00233573">
      <w:pPr>
        <w:pStyle w:val="Citation-AltC"/>
        <w:widowControl w:val="0"/>
        <w:ind w:firstLine="274"/>
        <w:rPr>
          <w:lang w:val="en-US"/>
        </w:rPr>
      </w:pPr>
      <w:r w:rsidRPr="00FE692E">
        <w:rPr>
          <w:lang w:val="en-US"/>
        </w:rPr>
        <w:t xml:space="preserve">The possessor may, under the same conditions, exercise the same right </w:t>
      </w:r>
      <w:r w:rsidRPr="00FE692E">
        <w:rPr>
          <w:u w:val="single"/>
          <w:lang w:val="en-US"/>
        </w:rPr>
        <w:t>in respect of a registered immovable</w:t>
      </w:r>
      <w:r w:rsidRPr="00FE692E">
        <w:rPr>
          <w:lang w:val="en-US"/>
        </w:rPr>
        <w:t xml:space="preserve"> where the owner of the immovable is not identified in the land register; the same rule applies where the owner is dead or an absentee at the beginning of the ten-year period or where the land register indicates that the immovable has become a thing without an owner.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The </w:t>
      </w:r>
      <w:r w:rsidRPr="001E63A0">
        <w:rPr>
          <w:rFonts w:cs="Times New Roman"/>
          <w:lang w:val="en-CA"/>
        </w:rPr>
        <w:t>original</w:t>
      </w:r>
      <w:r w:rsidRPr="00FE692E">
        <w:rPr>
          <w:rFonts w:cs="Times New Roman"/>
          <w:lang w:val="en-US"/>
        </w:rPr>
        <w:t xml:space="preserve"> art. 2918 took effect on January 1, 1994, before the land register reform was implemented. In its original formulation, the article essentially limited the possibility of acquisitive prescription to scenarios where the information in the land register was in some way defective: the immovable was not registered, the owner was unidentified, dead or absent, or the immovable in question did not have an owner. These were rare scenarios in which the publication regime could not produce its constitutive effects due to a defect in registration (see </w:t>
      </w:r>
      <w:proofErr w:type="spellStart"/>
      <w:r w:rsidRPr="00FE692E">
        <w:rPr>
          <w:rFonts w:cs="Times New Roman"/>
          <w:lang w:val="en-US"/>
        </w:rPr>
        <w:t>Gidrol</w:t>
      </w:r>
      <w:proofErr w:type="spellEnd"/>
      <w:r w:rsidRPr="00FE692E">
        <w:rPr>
          <w:rFonts w:cs="Times New Roman"/>
          <w:lang w:val="en-US"/>
        </w:rPr>
        <w:t xml:space="preserve">-Mistral, at p. 312). Given the absence of a registered owner, they were also scenarios in which the tension </w:t>
      </w:r>
      <w:r w:rsidRPr="00FE692E">
        <w:rPr>
          <w:rFonts w:cs="Times New Roman"/>
          <w:lang w:val="en-US"/>
        </w:rPr>
        <w:lastRenderedPageBreak/>
        <w:t xml:space="preserve">between acquisitive prescription and the right of ownership did not arise. Assuming — as the legislature did at that time — the successful completion of the register reform and the absolute probative force of the register, the extinctive aspect of acquisitive prescription was not in play. As a result of the “rigorous bias towards the integrity of the register under the 1991 Code”, the legislature saw </w:t>
      </w:r>
      <w:r w:rsidR="00F21279">
        <w:rPr>
          <w:rFonts w:cs="Times New Roman"/>
          <w:lang w:val="en-US"/>
        </w:rPr>
        <w:t>“</w:t>
      </w:r>
      <w:r w:rsidRPr="00FE692E">
        <w:rPr>
          <w:rFonts w:cs="Times New Roman"/>
          <w:lang w:val="en-US"/>
        </w:rPr>
        <w:t>less of a need for maintain</w:t>
      </w:r>
      <w:r w:rsidR="00F21279">
        <w:rPr>
          <w:rFonts w:cs="Times New Roman"/>
          <w:lang w:val="en-US"/>
        </w:rPr>
        <w:t xml:space="preserve">ing [30-year prescription], as </w:t>
      </w:r>
      <w:r w:rsidRPr="00FE692E">
        <w:rPr>
          <w:rFonts w:cs="Times New Roman"/>
          <w:lang w:val="en-US"/>
        </w:rPr>
        <w:t>the possibility of acquisitive prescription of an immovable through possession had been greatly reduced — if not effectively eliminated” (</w:t>
      </w:r>
      <w:proofErr w:type="spellStart"/>
      <w:r w:rsidRPr="00FE692E">
        <w:rPr>
          <w:rFonts w:cs="Times New Roman"/>
          <w:lang w:val="en-US"/>
        </w:rPr>
        <w:t>Lametti</w:t>
      </w:r>
      <w:proofErr w:type="spellEnd"/>
      <w:r w:rsidRPr="00FE692E">
        <w:rPr>
          <w:rFonts w:cs="Times New Roman"/>
          <w:lang w:val="en-US"/>
        </w:rPr>
        <w:t>, at p. 292). In other words, the 30-year period which the legislature viewed as striking a sufficient balance between the right of ownership and the operation of prescription was unnecessary given the fact that the prospect of a true owner losing his or her ownership right had been greatly diminished. The 10</w:t>
      </w:r>
      <w:r w:rsidRPr="00FE692E">
        <w:rPr>
          <w:rFonts w:cs="Times New Roman"/>
          <w:lang w:val="en-US"/>
        </w:rPr>
        <w:noBreakHyphen/>
        <w:t>year prescription period therefore conformed to [</w:t>
      </w:r>
      <w:r w:rsidRPr="00FE692E">
        <w:rPr>
          <w:rFonts w:cs="Times New Roman"/>
          <w:smallCaps/>
          <w:lang w:val="en-US"/>
        </w:rPr>
        <w:t>translation</w:t>
      </w:r>
      <w:r w:rsidRPr="00FE692E">
        <w:rPr>
          <w:rFonts w:cs="Times New Roman"/>
          <w:lang w:val="en-US"/>
        </w:rPr>
        <w:t>] “the technology, customs and values of modern society” (D. </w:t>
      </w:r>
      <w:proofErr w:type="spellStart"/>
      <w:r w:rsidRPr="00FE692E">
        <w:rPr>
          <w:rFonts w:cs="Times New Roman"/>
          <w:lang w:val="en-US"/>
        </w:rPr>
        <w:t>Dumais</w:t>
      </w:r>
      <w:proofErr w:type="spellEnd"/>
      <w:r w:rsidRPr="00FE692E">
        <w:rPr>
          <w:rFonts w:cs="Times New Roman"/>
          <w:lang w:val="en-US"/>
        </w:rPr>
        <w:t xml:space="preserve">, “La prescription”, in Collection de droit, vol. 4, </w:t>
      </w:r>
      <w:proofErr w:type="spellStart"/>
      <w:r w:rsidRPr="00FE692E">
        <w:rPr>
          <w:rFonts w:cs="Times New Roman"/>
          <w:i/>
          <w:lang w:val="en-US"/>
        </w:rPr>
        <w:t>Responsabilité</w:t>
      </w:r>
      <w:proofErr w:type="spellEnd"/>
      <w:r w:rsidRPr="00FE692E">
        <w:rPr>
          <w:rFonts w:cs="Times New Roman"/>
          <w:lang w:val="en-US"/>
        </w:rPr>
        <w:t xml:space="preserve"> (2016), </w:t>
      </w:r>
      <w:r w:rsidR="00F21279">
        <w:rPr>
          <w:rFonts w:cs="Times New Roman"/>
          <w:lang w:val="en-US"/>
        </w:rPr>
        <w:t xml:space="preserve">219, </w:t>
      </w:r>
      <w:r w:rsidRPr="00FE692E">
        <w:rPr>
          <w:rFonts w:cs="Times New Roman"/>
          <w:lang w:val="en-US"/>
        </w:rPr>
        <w:t xml:space="preserve">at p. 231). But contrary to my colleague’s suggestion at para. 85, this conformity lies largely in the fact that the possibility of a squatter acquiring the true owner’s rights had been tempered by the addition of the judicial application requirement in art. 2918.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Like the amendment </w:t>
      </w:r>
      <w:r w:rsidR="00F21279">
        <w:rPr>
          <w:rFonts w:cs="Times New Roman"/>
          <w:lang w:val="en-US"/>
        </w:rPr>
        <w:t>or repeal of arts. 2962, 2944 para. 2</w:t>
      </w:r>
      <w:r w:rsidRPr="00FE692E">
        <w:rPr>
          <w:rFonts w:cs="Times New Roman"/>
          <w:lang w:val="en-US"/>
        </w:rPr>
        <w:t xml:space="preserve">, and 2943 </w:t>
      </w:r>
      <w:r w:rsidRPr="00FE692E">
        <w:rPr>
          <w:rFonts w:cs="Times New Roman"/>
          <w:i/>
          <w:lang w:val="en-US"/>
        </w:rPr>
        <w:t>C</w:t>
      </w:r>
      <w:r w:rsidR="00CF4DB4">
        <w:rPr>
          <w:rFonts w:cs="Times New Roman"/>
          <w:i/>
          <w:lang w:val="en-US"/>
        </w:rPr>
        <w:t>.</w:t>
      </w:r>
      <w:r w:rsidRPr="00FE692E">
        <w:rPr>
          <w:rFonts w:cs="Times New Roman"/>
          <w:i/>
          <w:lang w:val="en-US"/>
        </w:rPr>
        <w:t>C</w:t>
      </w:r>
      <w:r w:rsidR="00CF4DB4">
        <w:rPr>
          <w:rFonts w:cs="Times New Roman"/>
          <w:i/>
          <w:lang w:val="en-US"/>
        </w:rPr>
        <w:t>.</w:t>
      </w:r>
      <w:r w:rsidRPr="00FE692E">
        <w:rPr>
          <w:rFonts w:cs="Times New Roman"/>
          <w:i/>
          <w:lang w:val="en-US"/>
        </w:rPr>
        <w:t>Q</w:t>
      </w:r>
      <w:r w:rsidR="00CF4DB4">
        <w:rPr>
          <w:rFonts w:cs="Times New Roman"/>
          <w:i/>
          <w:lang w:val="en-US"/>
        </w:rPr>
        <w:t>.</w:t>
      </w:r>
      <w:r w:rsidRPr="00FE692E">
        <w:rPr>
          <w:rFonts w:cs="Times New Roman"/>
          <w:lang w:val="en-US"/>
        </w:rPr>
        <w:t xml:space="preserve">, the changes which brought art. 2918 to its current form can be, and indeed were, explained by reference to the abandonment of the land register reform: </w:t>
      </w:r>
    </w:p>
    <w:p w:rsidR="00FE692E" w:rsidRPr="00FE692E" w:rsidRDefault="00F21279" w:rsidP="00233573">
      <w:pPr>
        <w:pStyle w:val="Citation-AltC"/>
        <w:widowControl w:val="0"/>
        <w:tabs>
          <w:tab w:val="left" w:pos="1710"/>
        </w:tabs>
        <w:ind w:firstLine="4"/>
        <w:rPr>
          <w:lang w:val="en-US"/>
        </w:rPr>
      </w:pPr>
      <w:r>
        <w:rPr>
          <w:lang w:val="en-US"/>
        </w:rPr>
        <w:tab/>
      </w:r>
      <w:r w:rsidR="00FE692E" w:rsidRPr="00FE692E">
        <w:rPr>
          <w:lang w:val="en-US"/>
        </w:rPr>
        <w:t>[</w:t>
      </w:r>
      <w:r w:rsidR="00FE692E" w:rsidRPr="00FE692E">
        <w:rPr>
          <w:smallCaps/>
          <w:lang w:val="en-US"/>
        </w:rPr>
        <w:t>translation</w:t>
      </w:r>
      <w:r w:rsidR="00FE692E" w:rsidRPr="00FE692E">
        <w:rPr>
          <w:lang w:val="en-US"/>
        </w:rPr>
        <w:t xml:space="preserve">] </w:t>
      </w:r>
      <w:r w:rsidR="00FE692E" w:rsidRPr="00FE692E">
        <w:rPr>
          <w:b/>
          <w:lang w:val="en-US"/>
        </w:rPr>
        <w:t>President (Mr. </w:t>
      </w:r>
      <w:proofErr w:type="spellStart"/>
      <w:r w:rsidR="00FE692E" w:rsidRPr="00FE692E">
        <w:rPr>
          <w:b/>
          <w:lang w:val="en-US"/>
        </w:rPr>
        <w:t>Gautrin</w:t>
      </w:r>
      <w:proofErr w:type="spellEnd"/>
      <w:r w:rsidR="00FE692E" w:rsidRPr="00FE692E">
        <w:rPr>
          <w:b/>
          <w:lang w:val="en-US"/>
        </w:rPr>
        <w:t xml:space="preserve">): </w:t>
      </w:r>
      <w:r w:rsidR="00FE692E" w:rsidRPr="00FE692E">
        <w:rPr>
          <w:lang w:val="en-US"/>
        </w:rPr>
        <w:t>. . .</w:t>
      </w:r>
      <w:r w:rsidR="00FE692E" w:rsidRPr="00FE692E">
        <w:rPr>
          <w:b/>
          <w:lang w:val="en-US"/>
        </w:rPr>
        <w:t xml:space="preserve"> </w:t>
      </w:r>
      <w:r w:rsidR="00FE692E" w:rsidRPr="00FE692E">
        <w:rPr>
          <w:lang w:val="en-US"/>
        </w:rPr>
        <w:t xml:space="preserve">Article 2918 of the said Code is </w:t>
      </w:r>
      <w:proofErr w:type="gramStart"/>
      <w:r w:rsidR="00FE692E" w:rsidRPr="00FE692E">
        <w:rPr>
          <w:lang w:val="en-US"/>
        </w:rPr>
        <w:t>amended .</w:t>
      </w:r>
      <w:proofErr w:type="gramEnd"/>
      <w:r w:rsidR="00FE692E" w:rsidRPr="00FE692E">
        <w:rPr>
          <w:lang w:val="en-US"/>
        </w:rPr>
        <w:t> . . . So you’re going to explain this to us, Minister?</w:t>
      </w:r>
    </w:p>
    <w:p w:rsidR="00FE692E" w:rsidRPr="00FE692E" w:rsidRDefault="00FE692E" w:rsidP="00233573">
      <w:pPr>
        <w:pStyle w:val="Citation-AltC"/>
        <w:widowControl w:val="0"/>
        <w:rPr>
          <w:lang w:val="en-US"/>
        </w:rPr>
      </w:pPr>
    </w:p>
    <w:p w:rsidR="00FE692E" w:rsidRPr="00FE692E" w:rsidRDefault="00FE692E" w:rsidP="00233573">
      <w:pPr>
        <w:pStyle w:val="Citation-AltC"/>
        <w:widowControl w:val="0"/>
        <w:jc w:val="center"/>
        <w:rPr>
          <w:lang w:val="en-US"/>
        </w:rPr>
      </w:pPr>
      <w:r w:rsidRPr="00FE692E">
        <w:rPr>
          <w:lang w:val="en-US"/>
        </w:rPr>
        <w:t>. . .</w:t>
      </w:r>
    </w:p>
    <w:p w:rsidR="00FE692E" w:rsidRPr="00FE692E" w:rsidRDefault="00FE692E" w:rsidP="00233573">
      <w:pPr>
        <w:pStyle w:val="Citation-AltC"/>
        <w:widowControl w:val="0"/>
        <w:rPr>
          <w:lang w:val="en-US"/>
        </w:rPr>
      </w:pPr>
    </w:p>
    <w:p w:rsidR="00FE692E" w:rsidRPr="00FE692E" w:rsidRDefault="00F21279" w:rsidP="00233573">
      <w:pPr>
        <w:pStyle w:val="Citation-AltC"/>
        <w:widowControl w:val="0"/>
        <w:tabs>
          <w:tab w:val="left" w:pos="1710"/>
        </w:tabs>
        <w:rPr>
          <w:lang w:val="en-US"/>
        </w:rPr>
      </w:pPr>
      <w:r>
        <w:rPr>
          <w:b/>
          <w:bCs/>
          <w:lang w:val="en-US"/>
        </w:rPr>
        <w:tab/>
      </w:r>
      <w:r w:rsidR="00FE692E" w:rsidRPr="00FE692E">
        <w:rPr>
          <w:b/>
          <w:bCs/>
          <w:lang w:val="en-US"/>
        </w:rPr>
        <w:t>Ms. </w:t>
      </w:r>
      <w:proofErr w:type="spellStart"/>
      <w:r w:rsidR="00FE692E" w:rsidRPr="00FE692E">
        <w:rPr>
          <w:b/>
          <w:bCs/>
          <w:lang w:val="en-US"/>
        </w:rPr>
        <w:t>Goupil</w:t>
      </w:r>
      <w:proofErr w:type="spellEnd"/>
      <w:r>
        <w:rPr>
          <w:b/>
          <w:bCs/>
          <w:lang w:val="en-US"/>
        </w:rPr>
        <w:t xml:space="preserve"> [Minister of Justice]</w:t>
      </w:r>
      <w:proofErr w:type="gramStart"/>
      <w:r w:rsidR="00FE692E" w:rsidRPr="00FE692E">
        <w:rPr>
          <w:b/>
          <w:bCs/>
          <w:lang w:val="en-US"/>
        </w:rPr>
        <w:t>:</w:t>
      </w:r>
      <w:r w:rsidR="00FE692E" w:rsidRPr="00FE692E">
        <w:rPr>
          <w:lang w:val="en-US"/>
        </w:rPr>
        <w:t xml:space="preserve"> .</w:t>
      </w:r>
      <w:proofErr w:type="gramEnd"/>
      <w:r w:rsidR="00FE692E" w:rsidRPr="00FE692E">
        <w:rPr>
          <w:lang w:val="en-US"/>
        </w:rPr>
        <w:t xml:space="preserve"> . . quickly, but it’s very technical. . . . </w:t>
      </w:r>
      <w:r w:rsidR="00FE692E" w:rsidRPr="00FE692E">
        <w:rPr>
          <w:u w:val="single"/>
          <w:lang w:val="en-US"/>
        </w:rPr>
        <w:t>In short, this is the first article where we’re going to have somewhat the same explanation for other articles, which is to say that we’re abandoning phase II of the amendment of the Civil Code that existed, since it was not consistent with practice.</w:t>
      </w:r>
      <w:r w:rsidR="00FE692E" w:rsidRPr="00FE692E">
        <w:rPr>
          <w:b/>
          <w:lang w:val="en-US"/>
        </w:rPr>
        <w:t xml:space="preserve"> </w:t>
      </w:r>
      <w:r w:rsidR="00FE692E" w:rsidRPr="00FE692E">
        <w:rPr>
          <w:lang w:val="en-US"/>
        </w:rPr>
        <w:t>It has been suspended since 1995. So we’re going back to the old method, with the current prescription period, namely 10 years. Is that right? [Emphasis added.]</w:t>
      </w:r>
    </w:p>
    <w:p w:rsidR="00FE692E" w:rsidRPr="00FE692E" w:rsidRDefault="00FE692E" w:rsidP="00233573">
      <w:pPr>
        <w:pStyle w:val="Citation-AltC"/>
        <w:widowControl w:val="0"/>
        <w:rPr>
          <w:lang w:val="en-US"/>
        </w:rPr>
      </w:pPr>
    </w:p>
    <w:p w:rsidR="00FE692E" w:rsidRPr="00FE692E" w:rsidRDefault="00FE692E" w:rsidP="00233573">
      <w:pPr>
        <w:pStyle w:val="Citation-AltC"/>
        <w:widowControl w:val="0"/>
        <w:ind w:left="0"/>
        <w:rPr>
          <w:lang w:val="en-US"/>
        </w:rPr>
      </w:pPr>
      <w:r w:rsidRPr="00FE692E">
        <w:rPr>
          <w:lang w:val="en-US"/>
        </w:rPr>
        <w:t>(</w:t>
      </w:r>
      <w:r w:rsidRPr="00FE692E">
        <w:rPr>
          <w:i/>
          <w:lang w:val="en-US"/>
        </w:rPr>
        <w:t xml:space="preserve">Journal des </w:t>
      </w:r>
      <w:proofErr w:type="spellStart"/>
      <w:r w:rsidRPr="00FE692E">
        <w:rPr>
          <w:i/>
          <w:lang w:val="en-US"/>
        </w:rPr>
        <w:t>débats</w:t>
      </w:r>
      <w:proofErr w:type="spellEnd"/>
      <w:r w:rsidRPr="00FE692E">
        <w:rPr>
          <w:i/>
          <w:lang w:val="en-US"/>
        </w:rPr>
        <w:t xml:space="preserve"> de la Commission </w:t>
      </w:r>
      <w:proofErr w:type="spellStart"/>
      <w:r w:rsidRPr="00FE692E">
        <w:rPr>
          <w:i/>
          <w:lang w:val="en-US"/>
        </w:rPr>
        <w:t>permanente</w:t>
      </w:r>
      <w:proofErr w:type="spellEnd"/>
      <w:r w:rsidRPr="00FE692E">
        <w:rPr>
          <w:i/>
          <w:lang w:val="en-US"/>
        </w:rPr>
        <w:t xml:space="preserve"> des institutions</w:t>
      </w:r>
      <w:r w:rsidRPr="00FE692E">
        <w:rPr>
          <w:lang w:val="en-US"/>
        </w:rPr>
        <w:t xml:space="preserve">, vol. 36, No. 82, 1st Sess., 36th Leg., June 2, 2000, at p. 51)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Only the second paragraph of the original art. 2918 related to the integrity of the register, and accordingly, only the second paragraph of art. 2918 was deleted following the abandonment of the register reform. Indeed, the second paragraph of art. 2918 was never in effect: </w:t>
      </w:r>
    </w:p>
    <w:p w:rsidR="00FE692E" w:rsidRPr="00FE692E" w:rsidRDefault="00FE692E" w:rsidP="00233573">
      <w:pPr>
        <w:pStyle w:val="Citation-AltC"/>
        <w:widowControl w:val="0"/>
        <w:rPr>
          <w:lang w:val="en-US"/>
        </w:rPr>
      </w:pPr>
      <w:r w:rsidRPr="00FE692E">
        <w:rPr>
          <w:rFonts w:eastAsiaTheme="minorEastAsia"/>
          <w:lang w:val="en-US"/>
        </w:rPr>
        <w:t>[</w:t>
      </w:r>
      <w:r w:rsidRPr="00FE692E">
        <w:rPr>
          <w:rFonts w:eastAsiaTheme="minorEastAsia"/>
          <w:smallCaps/>
          <w:lang w:val="en-US"/>
        </w:rPr>
        <w:t>translation</w:t>
      </w:r>
      <w:r w:rsidRPr="00FE692E">
        <w:rPr>
          <w:rFonts w:eastAsiaTheme="minorEastAsia"/>
          <w:lang w:val="en-US"/>
        </w:rPr>
        <w:t>] The application of the second paragraph had been suspended pending the implementation of phase II of the initial reform of the land registration system. But it was abandoned by the legislature. [</w:t>
      </w:r>
      <w:proofErr w:type="spellStart"/>
      <w:r w:rsidRPr="00FE692E">
        <w:rPr>
          <w:rFonts w:eastAsiaTheme="minorEastAsia"/>
          <w:lang w:val="en-US"/>
        </w:rPr>
        <w:t>Dumais</w:t>
      </w:r>
      <w:proofErr w:type="spellEnd"/>
      <w:r w:rsidRPr="00FE692E">
        <w:rPr>
          <w:rFonts w:eastAsiaTheme="minorEastAsia"/>
          <w:lang w:val="en-US"/>
        </w:rPr>
        <w:t>, at p. 231]</w:t>
      </w:r>
    </w:p>
    <w:p w:rsidR="00FE692E" w:rsidRPr="00FE692E" w:rsidRDefault="00FE692E" w:rsidP="00233573">
      <w:pPr>
        <w:pStyle w:val="ContinueParaSuitedupar-AltP"/>
        <w:widowControl w:val="0"/>
        <w:rPr>
          <w:rFonts w:cs="Times New Roman"/>
          <w:lang w:val="en-US"/>
        </w:rPr>
      </w:pPr>
      <w:r w:rsidRPr="00FE692E">
        <w:rPr>
          <w:rFonts w:cs="Times New Roman"/>
          <w:lang w:val="en-US"/>
        </w:rPr>
        <w:t xml:space="preserve">However, nothing about the deletion of art. 2918’s second paragraph militates in </w:t>
      </w:r>
      <w:proofErr w:type="spellStart"/>
      <w:r w:rsidRPr="00FE692E">
        <w:rPr>
          <w:rFonts w:cs="Times New Roman"/>
          <w:lang w:val="en-US"/>
        </w:rPr>
        <w:t>favour</w:t>
      </w:r>
      <w:proofErr w:type="spellEnd"/>
      <w:r w:rsidRPr="00FE692E">
        <w:rPr>
          <w:rFonts w:cs="Times New Roman"/>
          <w:lang w:val="en-US"/>
        </w:rPr>
        <w:t xml:space="preserve"> of reading down the judicial application requirement in current wording of the art. 2918.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My colleague is of the view that the amendment of s. 143 of the </w:t>
      </w:r>
      <w:r w:rsidRPr="00FE692E">
        <w:rPr>
          <w:rFonts w:eastAsia="Times New Roman" w:cs="Times New Roman"/>
          <w:i/>
          <w:szCs w:val="24"/>
          <w:lang w:val="en-US" w:eastAsia="en-CA"/>
        </w:rPr>
        <w:t xml:space="preserve">Act respecting the implementation of the reform of the Civil Code </w:t>
      </w:r>
      <w:r w:rsidRPr="00FE692E">
        <w:rPr>
          <w:rFonts w:eastAsia="Times New Roman" w:cs="Times New Roman"/>
          <w:szCs w:val="24"/>
          <w:lang w:val="en-US" w:eastAsia="en-CA"/>
        </w:rPr>
        <w:t xml:space="preserve">indicates that art. 2918 did not change the prescription regime under the </w:t>
      </w:r>
      <w:r w:rsidRPr="00FE692E">
        <w:rPr>
          <w:rFonts w:eastAsia="Times New Roman" w:cs="Times New Roman"/>
          <w:i/>
          <w:szCs w:val="24"/>
          <w:lang w:val="en-US" w:eastAsia="en-CA"/>
        </w:rPr>
        <w:t>C</w:t>
      </w:r>
      <w:r w:rsidR="00F21279">
        <w:rPr>
          <w:rFonts w:eastAsia="Times New Roman" w:cs="Times New Roman"/>
          <w:i/>
          <w:szCs w:val="24"/>
          <w:lang w:val="en-US" w:eastAsia="en-CA"/>
        </w:rPr>
        <w:t>.</w:t>
      </w:r>
      <w:r w:rsidRPr="00FE692E">
        <w:rPr>
          <w:rFonts w:eastAsia="Times New Roman" w:cs="Times New Roman"/>
          <w:i/>
          <w:szCs w:val="24"/>
          <w:lang w:val="en-US" w:eastAsia="en-CA"/>
        </w:rPr>
        <w:t>C</w:t>
      </w:r>
      <w:r w:rsidR="00F21279">
        <w:rPr>
          <w:rFonts w:eastAsia="Times New Roman" w:cs="Times New Roman"/>
          <w:i/>
          <w:szCs w:val="24"/>
          <w:lang w:val="en-US" w:eastAsia="en-CA"/>
        </w:rPr>
        <w:t>.</w:t>
      </w:r>
      <w:r w:rsidRPr="00FE692E">
        <w:rPr>
          <w:rFonts w:eastAsia="Times New Roman" w:cs="Times New Roman"/>
          <w:i/>
          <w:szCs w:val="24"/>
          <w:lang w:val="en-US" w:eastAsia="en-CA"/>
        </w:rPr>
        <w:t>L</w:t>
      </w:r>
      <w:r w:rsidR="00F21279">
        <w:rPr>
          <w:rFonts w:eastAsia="Times New Roman" w:cs="Times New Roman"/>
          <w:i/>
          <w:szCs w:val="24"/>
          <w:lang w:val="en-US" w:eastAsia="en-CA"/>
        </w:rPr>
        <w:t>.</w:t>
      </w:r>
      <w:r w:rsidRPr="00FE692E">
        <w:rPr>
          <w:rFonts w:eastAsia="Times New Roman" w:cs="Times New Roman"/>
          <w:i/>
          <w:szCs w:val="24"/>
          <w:lang w:val="en-US" w:eastAsia="en-CA"/>
        </w:rPr>
        <w:t>C</w:t>
      </w:r>
      <w:r w:rsidRPr="00FE692E">
        <w:rPr>
          <w:rFonts w:eastAsia="Times New Roman" w:cs="Times New Roman"/>
          <w:szCs w:val="24"/>
          <w:lang w:val="en-US" w:eastAsia="en-CA"/>
        </w:rPr>
        <w:t xml:space="preserve">. I cannot agree. As with the legislative changes to art. 2918, the changes to s. 143 cannot explain why we should </w:t>
      </w:r>
      <w:r w:rsidRPr="00FE692E">
        <w:rPr>
          <w:rFonts w:eastAsia="Times New Roman" w:cs="Times New Roman"/>
          <w:szCs w:val="24"/>
          <w:lang w:val="en-US" w:eastAsia="en-CA"/>
        </w:rPr>
        <w:lastRenderedPageBreak/>
        <w:t xml:space="preserve">ignore its current wording, namely that a person who “has not yet acquired by prescription ownership of an </w:t>
      </w:r>
      <w:proofErr w:type="gramStart"/>
      <w:r w:rsidRPr="00FE692E">
        <w:rPr>
          <w:rFonts w:eastAsia="Times New Roman" w:cs="Times New Roman"/>
          <w:szCs w:val="24"/>
          <w:lang w:val="en-US" w:eastAsia="en-CA"/>
        </w:rPr>
        <w:t>immovable .</w:t>
      </w:r>
      <w:proofErr w:type="gramEnd"/>
      <w:r w:rsidRPr="00FE692E">
        <w:rPr>
          <w:rFonts w:eastAsia="Times New Roman" w:cs="Times New Roman"/>
          <w:szCs w:val="24"/>
          <w:lang w:val="en-US" w:eastAsia="en-CA"/>
        </w:rPr>
        <w:t> . . </w:t>
      </w:r>
      <w:r w:rsidRPr="00FE692E">
        <w:rPr>
          <w:rFonts w:eastAsia="Times New Roman" w:cs="Times New Roman"/>
          <w:szCs w:val="24"/>
          <w:u w:val="single"/>
          <w:lang w:val="en-US" w:eastAsia="en-CA"/>
        </w:rPr>
        <w:t>is subject to the provisions of article 2918 of the new Code</w:t>
      </w:r>
      <w:r w:rsidRPr="00FE692E">
        <w:rPr>
          <w:rFonts w:eastAsia="Times New Roman" w:cs="Times New Roman"/>
          <w:szCs w:val="24"/>
          <w:lang w:val="en-US" w:eastAsia="en-CA"/>
        </w:rPr>
        <w:t xml:space="preserve">”.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In 1992, prior to the abandonment of the land register reform, s. 143 initially read as follows: </w:t>
      </w:r>
    </w:p>
    <w:p w:rsidR="00FE692E" w:rsidRPr="00FE692E" w:rsidRDefault="00FE692E" w:rsidP="00233573">
      <w:pPr>
        <w:pStyle w:val="Citation-AltC"/>
        <w:widowControl w:val="0"/>
        <w:ind w:firstLine="274"/>
        <w:rPr>
          <w:rFonts w:eastAsiaTheme="minorEastAsia"/>
          <w:u w:val="single"/>
          <w:lang w:val="en-US"/>
        </w:rPr>
      </w:pPr>
      <w:r w:rsidRPr="00FE692E">
        <w:rPr>
          <w:rFonts w:eastAsiaTheme="minorEastAsia"/>
          <w:b/>
          <w:lang w:val="en-US"/>
        </w:rPr>
        <w:t>143.</w:t>
      </w:r>
      <w:r w:rsidRPr="00FE692E">
        <w:rPr>
          <w:rFonts w:eastAsiaTheme="minorEastAsia"/>
          <w:lang w:val="en-US"/>
        </w:rPr>
        <w:t xml:space="preserve"> A person who, [on January 1, 1994], has not yet acquired ownership by prescription is subject to the provisions of the first paragraph of article 2918 of the new Code if he has possessed, as owner, </w:t>
      </w:r>
      <w:r w:rsidRPr="00FE692E">
        <w:rPr>
          <w:rFonts w:eastAsiaTheme="minorEastAsia"/>
          <w:u w:val="single"/>
          <w:lang w:val="en-US"/>
        </w:rPr>
        <w:t xml:space="preserve">an immovable registered in the land register consisting of the index of </w:t>
      </w:r>
      <w:proofErr w:type="spellStart"/>
      <w:proofErr w:type="gramStart"/>
      <w:r w:rsidRPr="00FE692E">
        <w:rPr>
          <w:rFonts w:eastAsiaTheme="minorEastAsia"/>
          <w:u w:val="single"/>
          <w:lang w:val="en-US"/>
        </w:rPr>
        <w:t>immovable</w:t>
      </w:r>
      <w:r w:rsidR="00F21279">
        <w:rPr>
          <w:rFonts w:eastAsiaTheme="minorEastAsia"/>
          <w:u w:val="single"/>
          <w:lang w:val="en-US"/>
        </w:rPr>
        <w:t>s</w:t>
      </w:r>
      <w:proofErr w:type="spellEnd"/>
      <w:r w:rsidRPr="00FE692E">
        <w:rPr>
          <w:rFonts w:eastAsiaTheme="minorEastAsia"/>
          <w:u w:val="single"/>
          <w:lang w:val="en-US"/>
        </w:rPr>
        <w:t> .</w:t>
      </w:r>
      <w:proofErr w:type="gramEnd"/>
      <w:r w:rsidRPr="00FE692E">
        <w:rPr>
          <w:rFonts w:eastAsiaTheme="minorEastAsia"/>
          <w:u w:val="single"/>
          <w:lang w:val="en-US"/>
        </w:rPr>
        <w:t> . .</w:t>
      </w:r>
      <w:r w:rsidRPr="007C74E6">
        <w:rPr>
          <w:rFonts w:eastAsiaTheme="minorEastAsia"/>
          <w:u w:val="single"/>
          <w:lang w:val="en-US"/>
        </w:rPr>
        <w:t>;</w:t>
      </w:r>
      <w:r w:rsidRPr="00F21279">
        <w:rPr>
          <w:rFonts w:eastAsiaTheme="minorEastAsia"/>
          <w:u w:val="single"/>
          <w:lang w:val="en-US"/>
        </w:rPr>
        <w:t xml:space="preserve"> </w:t>
      </w:r>
      <w:r w:rsidRPr="00FE692E">
        <w:rPr>
          <w:rFonts w:eastAsiaTheme="minorEastAsia"/>
          <w:u w:val="single"/>
          <w:lang w:val="en-US"/>
        </w:rPr>
        <w:t>the judicial demand to acquire ownership thereof by prescription shall be the subject of an advance registration</w:t>
      </w:r>
      <w:r w:rsidRPr="00FE692E">
        <w:rPr>
          <w:rFonts w:eastAsiaTheme="minorEastAsia"/>
          <w:lang w:val="en-US"/>
        </w:rPr>
        <w:t>.</w:t>
      </w:r>
    </w:p>
    <w:p w:rsidR="00FE692E" w:rsidRPr="00FE692E" w:rsidRDefault="00FE692E" w:rsidP="00233573">
      <w:pPr>
        <w:pStyle w:val="Citation-AltC"/>
        <w:widowControl w:val="0"/>
        <w:rPr>
          <w:rFonts w:eastAsiaTheme="minorEastAsia"/>
          <w:lang w:val="en-US"/>
        </w:rPr>
      </w:pPr>
    </w:p>
    <w:p w:rsidR="00FE692E" w:rsidRPr="00FE692E" w:rsidRDefault="00FE692E" w:rsidP="00233573">
      <w:pPr>
        <w:pStyle w:val="Citation-AltC"/>
        <w:widowControl w:val="0"/>
        <w:ind w:firstLine="274"/>
        <w:rPr>
          <w:rFonts w:eastAsiaTheme="minorEastAsia"/>
          <w:lang w:val="en-US"/>
        </w:rPr>
      </w:pPr>
      <w:r w:rsidRPr="00FE692E">
        <w:rPr>
          <w:rFonts w:eastAsiaTheme="minorEastAsia"/>
          <w:lang w:val="en-US"/>
        </w:rPr>
        <w:t>A person who, [on January 1, 1994], has become the owner of an immovable by prescription, pursuant to the former legislation, may still apply to the court in whose territory the immovable is located to obtain, by motion, judicial recognition of his right of ownership.</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When the reform was abandoned, s. 143 was amended to its current form: </w:t>
      </w:r>
    </w:p>
    <w:p w:rsidR="00FE692E" w:rsidRPr="00FE692E" w:rsidRDefault="00FE692E" w:rsidP="00233573">
      <w:pPr>
        <w:pStyle w:val="Citation-AltC"/>
        <w:widowControl w:val="0"/>
        <w:ind w:firstLine="274"/>
        <w:rPr>
          <w:rFonts w:eastAsiaTheme="minorEastAsia"/>
          <w:lang w:val="en-US"/>
        </w:rPr>
      </w:pPr>
      <w:r w:rsidRPr="00FE692E">
        <w:rPr>
          <w:rFonts w:eastAsiaTheme="minorEastAsia"/>
          <w:b/>
          <w:bCs/>
          <w:lang w:val="en-US"/>
        </w:rPr>
        <w:t>143</w:t>
      </w:r>
      <w:r w:rsidRPr="00FE692E">
        <w:rPr>
          <w:rFonts w:eastAsiaTheme="minorEastAsia"/>
          <w:b/>
          <w:lang w:val="en-US"/>
        </w:rPr>
        <w:t>.</w:t>
      </w:r>
      <w:r w:rsidRPr="00FE692E">
        <w:rPr>
          <w:rFonts w:eastAsiaTheme="minorEastAsia"/>
          <w:lang w:val="en-US"/>
        </w:rPr>
        <w:t xml:space="preserve"> A person who, on 1 January 1994, has not yet acquired by prescription ownership of an immovable which he has possessed as owner </w:t>
      </w:r>
      <w:r w:rsidRPr="00FE692E">
        <w:rPr>
          <w:rFonts w:eastAsiaTheme="minorEastAsia"/>
          <w:u w:val="single"/>
          <w:lang w:val="en-US"/>
        </w:rPr>
        <w:t>is subject to the provisions of article 2918 of the new Code</w:t>
      </w:r>
      <w:r w:rsidRPr="00FE692E">
        <w:rPr>
          <w:rFonts w:eastAsiaTheme="minorEastAsia"/>
          <w:lang w:val="en-US"/>
        </w:rPr>
        <w:t>.</w:t>
      </w:r>
    </w:p>
    <w:p w:rsidR="00FE692E" w:rsidRPr="00FE692E" w:rsidRDefault="00FE692E" w:rsidP="00233573">
      <w:pPr>
        <w:pStyle w:val="Citation-AltC"/>
        <w:widowControl w:val="0"/>
        <w:rPr>
          <w:rFonts w:eastAsiaTheme="minorEastAsia"/>
          <w:lang w:val="en-US"/>
        </w:rPr>
      </w:pPr>
    </w:p>
    <w:p w:rsidR="00FE692E" w:rsidRPr="00FE692E" w:rsidRDefault="00FE692E" w:rsidP="00233573">
      <w:pPr>
        <w:pStyle w:val="Citation-AltC"/>
        <w:widowControl w:val="0"/>
        <w:ind w:firstLine="274"/>
        <w:rPr>
          <w:rFonts w:eastAsiaTheme="minorEastAsia"/>
          <w:lang w:val="en-US"/>
        </w:rPr>
      </w:pPr>
      <w:r w:rsidRPr="00FE692E">
        <w:rPr>
          <w:rFonts w:eastAsiaTheme="minorEastAsia"/>
          <w:lang w:val="en-US"/>
        </w:rPr>
        <w:t>A person who, on 1 January 1994, has become the owner of an immovable by prescription, pursuant to the former legislation, may still apply to the court in whose territory the immovable is located to obtain, by motion, judicial recognition of his right of ownership.</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The debates in the National Assembly reveal that the sole intention underlying the </w:t>
      </w:r>
      <w:r w:rsidRPr="001E63A0">
        <w:rPr>
          <w:rFonts w:cs="Times New Roman"/>
          <w:lang w:val="en-CA"/>
        </w:rPr>
        <w:t>amendment</w:t>
      </w:r>
      <w:r w:rsidRPr="00FE692E">
        <w:rPr>
          <w:rFonts w:cs="Times New Roman"/>
          <w:lang w:val="en-US"/>
        </w:rPr>
        <w:t xml:space="preserve"> of s. 143 was to make advance registration of the judicial </w:t>
      </w:r>
      <w:r w:rsidRPr="00FE692E">
        <w:rPr>
          <w:rFonts w:cs="Times New Roman"/>
          <w:lang w:val="en-US"/>
        </w:rPr>
        <w:lastRenderedPageBreak/>
        <w:t xml:space="preserve">application optional rather than mandatory: </w:t>
      </w:r>
    </w:p>
    <w:p w:rsidR="00FE692E" w:rsidRPr="00FE692E" w:rsidRDefault="00F21279" w:rsidP="00233573">
      <w:pPr>
        <w:pStyle w:val="Citation-AltC"/>
        <w:widowControl w:val="0"/>
        <w:tabs>
          <w:tab w:val="left" w:pos="1710"/>
        </w:tabs>
        <w:ind w:firstLine="4"/>
        <w:rPr>
          <w:lang w:val="en-US"/>
        </w:rPr>
      </w:pPr>
      <w:r>
        <w:rPr>
          <w:lang w:val="en-US"/>
        </w:rPr>
        <w:tab/>
      </w:r>
      <w:r w:rsidR="00FE692E" w:rsidRPr="00FE692E">
        <w:rPr>
          <w:lang w:val="en-US"/>
        </w:rPr>
        <w:t>[</w:t>
      </w:r>
      <w:r w:rsidR="00FE692E" w:rsidRPr="00FE692E">
        <w:rPr>
          <w:smallCaps/>
          <w:lang w:val="en-US"/>
        </w:rPr>
        <w:t>translation</w:t>
      </w:r>
      <w:r w:rsidR="00FE692E" w:rsidRPr="00FE692E">
        <w:rPr>
          <w:lang w:val="en-US"/>
        </w:rPr>
        <w:t xml:space="preserve">] </w:t>
      </w:r>
      <w:r w:rsidR="00FE692E" w:rsidRPr="00FE692E">
        <w:rPr>
          <w:b/>
          <w:bCs/>
          <w:lang w:val="en-US"/>
        </w:rPr>
        <w:t>Ms. </w:t>
      </w:r>
      <w:proofErr w:type="spellStart"/>
      <w:r w:rsidR="00FE692E" w:rsidRPr="00FE692E">
        <w:rPr>
          <w:b/>
          <w:bCs/>
          <w:lang w:val="en-US"/>
        </w:rPr>
        <w:t>Goupil</w:t>
      </w:r>
      <w:proofErr w:type="spellEnd"/>
      <w:r w:rsidR="00FE692E" w:rsidRPr="00FE692E">
        <w:rPr>
          <w:b/>
          <w:bCs/>
          <w:lang w:val="en-US"/>
        </w:rPr>
        <w:t>:</w:t>
      </w:r>
      <w:r w:rsidR="00FE692E" w:rsidRPr="00FE692E">
        <w:rPr>
          <w:lang w:val="en-US"/>
        </w:rPr>
        <w:t xml:space="preserve"> </w:t>
      </w:r>
      <w:proofErr w:type="gramStart"/>
      <w:r w:rsidR="00FE692E" w:rsidRPr="00FE692E">
        <w:rPr>
          <w:lang w:val="en-US"/>
        </w:rPr>
        <w:t>So .</w:t>
      </w:r>
      <w:proofErr w:type="gramEnd"/>
      <w:r w:rsidR="00FE692E" w:rsidRPr="00FE692E">
        <w:rPr>
          <w:lang w:val="en-US"/>
        </w:rPr>
        <w:t> . . [the amendment] proposes the elimination of the advance registration requirement for a judicial demand to acquire an immovable by prescription for a person who had not yet acquired the immovable when the Civil Code came into force. Well, we thought it appropriate to remove the obligation to register the judicial demand in advance, since there is no similar rule in cases in which a person begins to prescribe under the new law.</w:t>
      </w:r>
    </w:p>
    <w:p w:rsidR="00FE692E" w:rsidRPr="00FE692E" w:rsidRDefault="00FE692E" w:rsidP="00233573">
      <w:pPr>
        <w:pStyle w:val="Citation-AltC"/>
        <w:widowControl w:val="0"/>
        <w:rPr>
          <w:lang w:val="en-US"/>
        </w:rPr>
      </w:pPr>
    </w:p>
    <w:p w:rsidR="00FE692E" w:rsidRPr="00FE692E" w:rsidRDefault="00F21279" w:rsidP="00233573">
      <w:pPr>
        <w:pStyle w:val="Citation-AltC"/>
        <w:widowControl w:val="0"/>
        <w:tabs>
          <w:tab w:val="left" w:pos="1710"/>
        </w:tabs>
        <w:ind w:firstLine="4"/>
        <w:rPr>
          <w:lang w:val="en-US"/>
        </w:rPr>
      </w:pPr>
      <w:r>
        <w:rPr>
          <w:lang w:val="en-US"/>
        </w:rPr>
        <w:tab/>
      </w:r>
      <w:r w:rsidR="00FE692E" w:rsidRPr="00FE692E">
        <w:rPr>
          <w:lang w:val="en-US"/>
        </w:rPr>
        <w:t xml:space="preserve">So as you know, advance registration is an optional protective measure for the beneficiary of the notice. </w:t>
      </w:r>
      <w:r w:rsidR="00FE692E" w:rsidRPr="00FE692E">
        <w:rPr>
          <w:u w:val="single"/>
          <w:lang w:val="en-US"/>
        </w:rPr>
        <w:t>It seems inappropriate to dismiss a judicial demand to acquire ownership of an immovable by prescription on the ground that the applicant has failed to register the demand in advance given that the purpose of publishing the notice of advance registration is to protect the applicant.</w:t>
      </w:r>
      <w:r w:rsidR="00FE692E" w:rsidRPr="00FE692E">
        <w:rPr>
          <w:lang w:val="en-US"/>
        </w:rPr>
        <w:t xml:space="preserve"> [Emphasis added.]</w:t>
      </w:r>
    </w:p>
    <w:p w:rsidR="00FE692E" w:rsidRPr="00FE692E" w:rsidRDefault="00FE692E" w:rsidP="00233573">
      <w:pPr>
        <w:pStyle w:val="Citation-AltC"/>
        <w:widowControl w:val="0"/>
        <w:rPr>
          <w:u w:val="single"/>
          <w:lang w:val="en-US"/>
        </w:rPr>
      </w:pPr>
    </w:p>
    <w:p w:rsidR="00FE692E" w:rsidRPr="00FE692E" w:rsidRDefault="00FE692E" w:rsidP="00233573">
      <w:pPr>
        <w:pStyle w:val="Citation-AltC"/>
        <w:widowControl w:val="0"/>
        <w:ind w:left="0"/>
        <w:rPr>
          <w:lang w:val="en-US"/>
        </w:rPr>
      </w:pPr>
      <w:r w:rsidRPr="00FE692E">
        <w:rPr>
          <w:lang w:val="en-US"/>
        </w:rPr>
        <w:t>(</w:t>
      </w:r>
      <w:r w:rsidRPr="00FE692E">
        <w:rPr>
          <w:i/>
          <w:lang w:val="en-US"/>
        </w:rPr>
        <w:t xml:space="preserve">Journal des </w:t>
      </w:r>
      <w:proofErr w:type="spellStart"/>
      <w:r w:rsidRPr="00FE692E">
        <w:rPr>
          <w:i/>
          <w:lang w:val="en-US"/>
        </w:rPr>
        <w:t>débats</w:t>
      </w:r>
      <w:proofErr w:type="spellEnd"/>
      <w:r w:rsidRPr="00FE692E">
        <w:rPr>
          <w:i/>
          <w:lang w:val="en-US"/>
        </w:rPr>
        <w:t xml:space="preserve"> de la Commission </w:t>
      </w:r>
      <w:proofErr w:type="spellStart"/>
      <w:r w:rsidRPr="00FE692E">
        <w:rPr>
          <w:i/>
          <w:lang w:val="en-US"/>
        </w:rPr>
        <w:t>permanente</w:t>
      </w:r>
      <w:proofErr w:type="spellEnd"/>
      <w:r w:rsidRPr="00FE692E">
        <w:rPr>
          <w:i/>
          <w:lang w:val="en-US"/>
        </w:rPr>
        <w:t xml:space="preserve"> des institutions</w:t>
      </w:r>
      <w:r w:rsidRPr="00FE692E">
        <w:rPr>
          <w:lang w:val="en-US"/>
        </w:rPr>
        <w:t xml:space="preserve">, vol. 36, No. 101, 1st Sess., 36th Leg., November 7, 2000, at p. 24)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1E63A0">
        <w:rPr>
          <w:rFonts w:cs="Times New Roman"/>
          <w:lang w:val="en-CA"/>
        </w:rPr>
        <w:t>Further</w:t>
      </w:r>
      <w:r w:rsidRPr="00FE692E">
        <w:rPr>
          <w:rFonts w:cs="Times New Roman"/>
          <w:lang w:val="en-US"/>
        </w:rPr>
        <w:t xml:space="preserve">, by specifying that someone who has already acquired ownership of an immovable by prescription under the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L</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lang w:val="en-US"/>
        </w:rPr>
        <w:t xml:space="preserve"> “may still apply” to a court to obtain “judicial recognition of his right of ownership”, s. 143</w:t>
      </w:r>
      <w:r w:rsidR="007C74E6">
        <w:rPr>
          <w:rFonts w:cs="Times New Roman"/>
          <w:lang w:val="en-US"/>
        </w:rPr>
        <w:t xml:space="preserve"> para. 2 </w:t>
      </w:r>
      <w:r w:rsidRPr="00FE692E">
        <w:rPr>
          <w:rFonts w:cs="Times New Roman"/>
          <w:lang w:val="en-US"/>
        </w:rPr>
        <w:t xml:space="preserve">demonstrates that the </w:t>
      </w:r>
      <w:r w:rsidRPr="00FE692E">
        <w:rPr>
          <w:rFonts w:cs="Times New Roman"/>
          <w:i/>
          <w:lang w:val="en-US"/>
        </w:rPr>
        <w:t>C</w:t>
      </w:r>
      <w:r w:rsidR="002A5A28">
        <w:rPr>
          <w:rFonts w:cs="Times New Roman"/>
          <w:i/>
          <w:lang w:val="en-US"/>
        </w:rPr>
        <w:t>.</w:t>
      </w:r>
      <w:r w:rsidRPr="00FE692E">
        <w:rPr>
          <w:rFonts w:cs="Times New Roman"/>
          <w:i/>
          <w:lang w:val="en-US"/>
        </w:rPr>
        <w:t>C</w:t>
      </w:r>
      <w:r w:rsidR="002A5A28">
        <w:rPr>
          <w:rFonts w:cs="Times New Roman"/>
          <w:i/>
          <w:lang w:val="en-US"/>
        </w:rPr>
        <w:t>.</w:t>
      </w:r>
      <w:r w:rsidRPr="00FE692E">
        <w:rPr>
          <w:rFonts w:cs="Times New Roman"/>
          <w:i/>
          <w:lang w:val="en-US"/>
        </w:rPr>
        <w:t>L</w:t>
      </w:r>
      <w:r w:rsidR="002A5A28">
        <w:rPr>
          <w:rFonts w:cs="Times New Roman"/>
          <w:i/>
          <w:lang w:val="en-US"/>
        </w:rPr>
        <w:t>.</w:t>
      </w:r>
      <w:r w:rsidRPr="00FE692E">
        <w:rPr>
          <w:rFonts w:cs="Times New Roman"/>
          <w:i/>
          <w:lang w:val="en-US"/>
        </w:rPr>
        <w:t>C</w:t>
      </w:r>
      <w:r w:rsidR="002A5A28">
        <w:rPr>
          <w:rFonts w:cs="Times New Roman"/>
          <w:i/>
          <w:lang w:val="en-US"/>
        </w:rPr>
        <w:t>.</w:t>
      </w:r>
      <w:r w:rsidRPr="00FE692E">
        <w:rPr>
          <w:rFonts w:cs="Times New Roman"/>
          <w:lang w:val="en-US"/>
        </w:rPr>
        <w:t xml:space="preserve">’s prescription regime did not survive the advent of the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00F21279">
        <w:rPr>
          <w:rFonts w:cs="Times New Roman"/>
          <w:i/>
          <w:lang w:val="en-US"/>
        </w:rPr>
        <w:t>.</w:t>
      </w:r>
      <w:r w:rsidRPr="00FE692E">
        <w:rPr>
          <w:rFonts w:cs="Times New Roman"/>
          <w:lang w:val="en-US"/>
        </w:rPr>
        <w:t xml:space="preserve">: </w:t>
      </w:r>
    </w:p>
    <w:p w:rsidR="00FE692E" w:rsidRPr="00FE692E" w:rsidRDefault="00FE692E" w:rsidP="00233573">
      <w:pPr>
        <w:pStyle w:val="Citation-AltC"/>
        <w:widowControl w:val="0"/>
        <w:rPr>
          <w:lang w:val="en-US"/>
        </w:rPr>
      </w:pPr>
      <w:r w:rsidRPr="00FE692E">
        <w:rPr>
          <w:lang w:val="en-US"/>
        </w:rPr>
        <w:t>[</w:t>
      </w:r>
      <w:r w:rsidRPr="00FE692E">
        <w:rPr>
          <w:smallCaps/>
          <w:lang w:val="en-US"/>
        </w:rPr>
        <w:t>translation</w:t>
      </w:r>
      <w:r w:rsidRPr="00FE692E">
        <w:rPr>
          <w:lang w:val="en-US"/>
        </w:rPr>
        <w:t xml:space="preserve">] . . . the possessor has the choice of availing himself or herself of 10-year or 30-year prescription under the old code, or of 10-year prescription under the new code. This choice is not without consequences. Judgments rendered under the rules of the </w:t>
      </w:r>
      <w:r w:rsidRPr="00FE692E">
        <w:rPr>
          <w:i/>
          <w:iCs/>
          <w:lang w:val="en-US"/>
        </w:rPr>
        <w:t>Civil Code of Lower Canada</w:t>
      </w:r>
      <w:r w:rsidRPr="00FE692E">
        <w:rPr>
          <w:lang w:val="en-US"/>
        </w:rPr>
        <w:t>, that is, after the filing of a motion to obtain judicial recognition of the right of ownership, are declarative, not constitutive.</w:t>
      </w:r>
    </w:p>
    <w:p w:rsidR="00FE692E" w:rsidRPr="00FE692E" w:rsidRDefault="00FE692E" w:rsidP="00233573">
      <w:pPr>
        <w:pStyle w:val="Citation-AltC"/>
        <w:widowControl w:val="0"/>
        <w:rPr>
          <w:lang w:val="en-US"/>
        </w:rPr>
      </w:pPr>
    </w:p>
    <w:p w:rsidR="00FE692E" w:rsidRPr="006847A4" w:rsidRDefault="00FE692E" w:rsidP="00233573">
      <w:pPr>
        <w:pStyle w:val="Citation-AltC"/>
        <w:widowControl w:val="0"/>
        <w:ind w:left="0"/>
        <w:rPr>
          <w:lang w:val="fr-FR"/>
        </w:rPr>
      </w:pPr>
      <w:r w:rsidRPr="006847A4">
        <w:rPr>
          <w:lang w:val="fr-FR"/>
        </w:rPr>
        <w:t xml:space="preserve">(F. Brochu, “Prescription acquisitive et </w:t>
      </w:r>
      <w:proofErr w:type="spellStart"/>
      <w:r w:rsidRPr="006847A4">
        <w:rPr>
          <w:lang w:val="fr-FR"/>
        </w:rPr>
        <w:t>publicit</w:t>
      </w:r>
      <w:proofErr w:type="spellEnd"/>
      <w:r w:rsidRPr="006847A4">
        <w:t>é</w:t>
      </w:r>
      <w:r w:rsidRPr="006847A4">
        <w:rPr>
          <w:lang w:val="fr-FR"/>
        </w:rPr>
        <w:t xml:space="preserve"> des droits” (2006)</w:t>
      </w:r>
      <w:r w:rsidR="00F21279">
        <w:rPr>
          <w:lang w:val="fr-FR"/>
        </w:rPr>
        <w:t>,</w:t>
      </w:r>
      <w:r w:rsidRPr="006847A4">
        <w:rPr>
          <w:lang w:val="fr-FR"/>
        </w:rPr>
        <w:t xml:space="preserve"> 108 </w:t>
      </w:r>
      <w:r w:rsidRPr="006847A4">
        <w:rPr>
          <w:i/>
          <w:lang w:val="fr-FR"/>
        </w:rPr>
        <w:t>R. du N</w:t>
      </w:r>
      <w:r w:rsidRPr="006847A4">
        <w:rPr>
          <w:lang w:val="fr-FR"/>
        </w:rPr>
        <w:t>. 197, at p. 201)</w:t>
      </w:r>
    </w:p>
    <w:p w:rsidR="00FE692E" w:rsidRPr="00FE692E" w:rsidRDefault="00F21279" w:rsidP="00233573">
      <w:pPr>
        <w:pStyle w:val="ParaNoNdepar-AltN"/>
        <w:widowControl w:val="0"/>
        <w:numPr>
          <w:ilvl w:val="0"/>
          <w:numId w:val="1"/>
        </w:numPr>
        <w:tabs>
          <w:tab w:val="clear" w:pos="1242"/>
          <w:tab w:val="num" w:pos="1152"/>
        </w:tabs>
        <w:ind w:left="0"/>
        <w:rPr>
          <w:rFonts w:cs="Times New Roman"/>
          <w:lang w:val="en-US"/>
        </w:rPr>
      </w:pPr>
      <w:r>
        <w:rPr>
          <w:rFonts w:cs="Times New Roman"/>
          <w:lang w:val="en-US"/>
        </w:rPr>
        <w:t>Under s. 143 para. 2</w:t>
      </w:r>
      <w:r w:rsidR="00FE692E" w:rsidRPr="00FE692E">
        <w:rPr>
          <w:rFonts w:cs="Times New Roman"/>
          <w:lang w:val="en-US"/>
        </w:rPr>
        <w:t xml:space="preserve"> of the </w:t>
      </w:r>
      <w:r w:rsidR="00FE692E" w:rsidRPr="00FE692E">
        <w:rPr>
          <w:rFonts w:cs="Times New Roman"/>
          <w:i/>
          <w:lang w:val="en-US"/>
        </w:rPr>
        <w:t xml:space="preserve">Act respecting the implementation of the reform </w:t>
      </w:r>
      <w:r w:rsidR="00FE692E" w:rsidRPr="00FE692E">
        <w:rPr>
          <w:rFonts w:cs="Times New Roman"/>
          <w:i/>
          <w:lang w:val="en-US"/>
        </w:rPr>
        <w:lastRenderedPageBreak/>
        <w:t>of the Civil Code</w:t>
      </w:r>
      <w:r w:rsidR="00FE692E" w:rsidRPr="00FE692E">
        <w:rPr>
          <w:rFonts w:cs="Times New Roman"/>
          <w:lang w:val="en-US"/>
        </w:rPr>
        <w:t xml:space="preserve">, only someone who has already acquired ownership of an immovable is exempt from art. 2918 </w:t>
      </w:r>
      <w:r w:rsidR="00FE692E" w:rsidRPr="00FE692E">
        <w:rPr>
          <w:rFonts w:cs="Times New Roman"/>
          <w:i/>
          <w:lang w:val="en-US"/>
        </w:rPr>
        <w:t>C</w:t>
      </w:r>
      <w:r>
        <w:rPr>
          <w:rFonts w:cs="Times New Roman"/>
          <w:i/>
          <w:lang w:val="en-US"/>
        </w:rPr>
        <w:t>.</w:t>
      </w:r>
      <w:r w:rsidR="00FE692E" w:rsidRPr="00FE692E">
        <w:rPr>
          <w:rFonts w:cs="Times New Roman"/>
          <w:i/>
          <w:lang w:val="en-US"/>
        </w:rPr>
        <w:t>C</w:t>
      </w:r>
      <w:r>
        <w:rPr>
          <w:rFonts w:cs="Times New Roman"/>
          <w:i/>
          <w:lang w:val="en-US"/>
        </w:rPr>
        <w:t>.</w:t>
      </w:r>
      <w:r w:rsidR="00FE692E" w:rsidRPr="00FE692E">
        <w:rPr>
          <w:rFonts w:cs="Times New Roman"/>
          <w:i/>
          <w:lang w:val="en-US"/>
        </w:rPr>
        <w:t>Q</w:t>
      </w:r>
      <w:r>
        <w:rPr>
          <w:rFonts w:cs="Times New Roman"/>
          <w:i/>
          <w:lang w:val="en-US"/>
        </w:rPr>
        <w:t>.</w:t>
      </w:r>
      <w:r w:rsidR="00FE692E" w:rsidRPr="00FE692E">
        <w:rPr>
          <w:rFonts w:cs="Times New Roman"/>
          <w:lang w:val="en-US"/>
        </w:rPr>
        <w:t>’s requirements.</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It is clear </w:t>
      </w:r>
      <w:r w:rsidRPr="001E63A0">
        <w:rPr>
          <w:rFonts w:cs="Times New Roman"/>
          <w:lang w:val="en-CA"/>
        </w:rPr>
        <w:t>that</w:t>
      </w:r>
      <w:r w:rsidRPr="00FE692E">
        <w:rPr>
          <w:rFonts w:cs="Times New Roman"/>
          <w:lang w:val="en-US"/>
        </w:rPr>
        <w:t xml:space="preserve"> nothing in s. 143 of the </w:t>
      </w:r>
      <w:r w:rsidRPr="00FE692E">
        <w:rPr>
          <w:rFonts w:cs="Times New Roman"/>
          <w:i/>
          <w:lang w:val="en-US"/>
        </w:rPr>
        <w:t>Act respecting the implementation of the reform of the Civil Code</w:t>
      </w:r>
      <w:r w:rsidRPr="00FE692E">
        <w:rPr>
          <w:rFonts w:cs="Times New Roman"/>
          <w:lang w:val="en-US"/>
        </w:rPr>
        <w:t xml:space="preserve">, or in the amendment thereof, signals a legislative intent to treat the judicial application requirement as anything less than an essential element of the prescriptive acquisition of an immovable. To the contrary — and again — the very wording resulting from the amendment shows that the legislature intended the judicial application to be an indispensable prerequisite to any such acquisition.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Turning back to art. 2918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00F21279">
        <w:rPr>
          <w:rFonts w:cs="Times New Roman"/>
          <w:i/>
          <w:lang w:val="en-US"/>
        </w:rPr>
        <w:t>.</w:t>
      </w:r>
      <w:r w:rsidRPr="00FE692E">
        <w:rPr>
          <w:rFonts w:cs="Times New Roman"/>
          <w:lang w:val="en-US"/>
        </w:rPr>
        <w:t>, while it is clear that the amendment of the article resulted from the abandonment of the land register reform, it does not follow that the modified language, including the requirement of a judicial application, which the legislature deliberately maintained, should be effectively read down by a court on the same basis. Absent now is the requirement of a 30-year period for a bad faith possessor. So too is the requirement that 10-year</w:t>
      </w:r>
      <w:r w:rsidRPr="00FE692E">
        <w:rPr>
          <w:rFonts w:cs="Times New Roman"/>
          <w:i/>
          <w:lang w:val="en-US"/>
        </w:rPr>
        <w:t xml:space="preserve"> </w:t>
      </w:r>
      <w:r w:rsidRPr="00FE692E">
        <w:rPr>
          <w:rFonts w:cs="Times New Roman"/>
          <w:lang w:val="en-US"/>
        </w:rPr>
        <w:t>prescription</w:t>
      </w:r>
      <w:r w:rsidRPr="00FE692E">
        <w:rPr>
          <w:rFonts w:cs="Times New Roman"/>
          <w:i/>
          <w:lang w:val="en-US"/>
        </w:rPr>
        <w:t xml:space="preserve"> </w:t>
      </w:r>
      <w:r w:rsidRPr="00FE692E">
        <w:rPr>
          <w:rFonts w:cs="Times New Roman"/>
          <w:lang w:val="en-US"/>
        </w:rPr>
        <w:t xml:space="preserve">be founded on good faith and </w:t>
      </w:r>
      <w:proofErr w:type="spellStart"/>
      <w:r w:rsidRPr="00FE692E">
        <w:rPr>
          <w:rFonts w:cs="Times New Roman"/>
          <w:lang w:val="en-US"/>
        </w:rPr>
        <w:t>translatory</w:t>
      </w:r>
      <w:proofErr w:type="spellEnd"/>
      <w:r w:rsidRPr="00FE692E">
        <w:rPr>
          <w:rFonts w:cs="Times New Roman"/>
          <w:lang w:val="en-US"/>
        </w:rPr>
        <w:t xml:space="preserve"> title (see </w:t>
      </w:r>
      <w:proofErr w:type="spellStart"/>
      <w:r w:rsidRPr="00FE692E">
        <w:rPr>
          <w:rFonts w:cs="Times New Roman"/>
          <w:i/>
          <w:lang w:val="en-US"/>
        </w:rPr>
        <w:t>Dupuy</w:t>
      </w:r>
      <w:proofErr w:type="spellEnd"/>
      <w:r w:rsidRPr="00FE692E">
        <w:rPr>
          <w:rFonts w:cs="Times New Roman"/>
          <w:i/>
          <w:lang w:val="en-US"/>
        </w:rPr>
        <w:t xml:space="preserve"> v. Gauthier</w:t>
      </w:r>
      <w:r w:rsidRPr="00FE692E">
        <w:rPr>
          <w:rFonts w:cs="Times New Roman"/>
          <w:lang w:val="en-US"/>
        </w:rPr>
        <w:t xml:space="preserve">, 2013 QCCA 774, [2013] R.J.Q. 662). Given that the prescription period inherently strikes a balance between the rights of the possessor and the true owner’s right of ownership — which, it is helpful to recall, is in principle absolute, exclusive and perpetual — the legislature replaced the conditions applicable under the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L</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lang w:val="en-US"/>
        </w:rPr>
        <w:t xml:space="preserve"> with a requirement to obtain a judgment under art. 2918. This avoided shifting the balance markedly in </w:t>
      </w:r>
      <w:proofErr w:type="spellStart"/>
      <w:r w:rsidRPr="00FE692E">
        <w:rPr>
          <w:rFonts w:cs="Times New Roman"/>
          <w:lang w:val="en-US"/>
        </w:rPr>
        <w:t>favour</w:t>
      </w:r>
      <w:proofErr w:type="spellEnd"/>
      <w:r w:rsidRPr="00FE692E">
        <w:rPr>
          <w:rFonts w:cs="Times New Roman"/>
          <w:lang w:val="en-US"/>
        </w:rPr>
        <w:t xml:space="preserve"> of the possessor. The Minister’s comments were unequivocal about the fact that the right of ownership could not be </w:t>
      </w:r>
      <w:r w:rsidRPr="00FE692E">
        <w:rPr>
          <w:rFonts w:cs="Times New Roman"/>
          <w:lang w:val="en-US"/>
        </w:rPr>
        <w:lastRenderedPageBreak/>
        <w:t xml:space="preserve">acquired without a judicial application: </w:t>
      </w:r>
    </w:p>
    <w:p w:rsidR="00FE692E" w:rsidRPr="006847A4" w:rsidRDefault="00FE692E" w:rsidP="00233573">
      <w:pPr>
        <w:pStyle w:val="Citation-AltC"/>
        <w:widowControl w:val="0"/>
        <w:rPr>
          <w:rFonts w:eastAsia="Calibri"/>
          <w:b/>
        </w:rPr>
      </w:pPr>
      <w:r w:rsidRPr="00FE692E">
        <w:rPr>
          <w:lang w:val="en-US"/>
        </w:rPr>
        <w:t>[</w:t>
      </w:r>
      <w:r w:rsidRPr="00FE692E">
        <w:rPr>
          <w:smallCaps/>
          <w:lang w:val="en-US"/>
        </w:rPr>
        <w:t>translation</w:t>
      </w:r>
      <w:proofErr w:type="gramStart"/>
      <w:r w:rsidRPr="00FE692E">
        <w:rPr>
          <w:lang w:val="en-US"/>
        </w:rPr>
        <w:t>] .</w:t>
      </w:r>
      <w:proofErr w:type="gramEnd"/>
      <w:r w:rsidRPr="00FE692E">
        <w:rPr>
          <w:lang w:val="en-US"/>
        </w:rPr>
        <w:t xml:space="preserve"> . . possession as an owner for ten years justifies the acquisition of the right of ownership, </w:t>
      </w:r>
      <w:r w:rsidRPr="00FE692E">
        <w:rPr>
          <w:u w:val="single"/>
          <w:lang w:val="en-US"/>
        </w:rPr>
        <w:t>but the latter must then be the subject of judicial recognition, since the right is not acquired through possession alone</w:t>
      </w:r>
      <w:r w:rsidRPr="00FE692E">
        <w:rPr>
          <w:rFonts w:eastAsia="Calibri"/>
          <w:lang w:val="en-US"/>
        </w:rPr>
        <w:t xml:space="preserve">. </w:t>
      </w:r>
      <w:r w:rsidRPr="006847A4">
        <w:rPr>
          <w:rFonts w:eastAsia="Calibri"/>
        </w:rPr>
        <w:t>[</w:t>
      </w:r>
      <w:proofErr w:type="spellStart"/>
      <w:r w:rsidRPr="006847A4">
        <w:rPr>
          <w:rFonts w:eastAsia="Calibri"/>
        </w:rPr>
        <w:t>Emphasis</w:t>
      </w:r>
      <w:proofErr w:type="spellEnd"/>
      <w:r w:rsidRPr="006847A4">
        <w:rPr>
          <w:rFonts w:eastAsia="Calibri"/>
        </w:rPr>
        <w:t xml:space="preserve"> </w:t>
      </w:r>
      <w:proofErr w:type="spellStart"/>
      <w:r w:rsidRPr="006847A4">
        <w:rPr>
          <w:rFonts w:eastAsia="Calibri"/>
        </w:rPr>
        <w:t>added</w:t>
      </w:r>
      <w:proofErr w:type="spellEnd"/>
      <w:r w:rsidRPr="006847A4">
        <w:rPr>
          <w:rFonts w:eastAsia="Calibri"/>
        </w:rPr>
        <w:t>.]</w:t>
      </w:r>
    </w:p>
    <w:p w:rsidR="00FE692E" w:rsidRPr="006847A4" w:rsidRDefault="00FE692E" w:rsidP="00233573">
      <w:pPr>
        <w:pStyle w:val="Citation-AltC"/>
        <w:widowControl w:val="0"/>
        <w:rPr>
          <w:rFonts w:eastAsia="Calibri"/>
          <w:b/>
        </w:rPr>
      </w:pPr>
    </w:p>
    <w:p w:rsidR="00FE692E" w:rsidRPr="006847A4" w:rsidRDefault="00FE692E" w:rsidP="00233573">
      <w:pPr>
        <w:pStyle w:val="Citation-AltC"/>
        <w:widowControl w:val="0"/>
        <w:ind w:left="0"/>
        <w:rPr>
          <w:b/>
          <w:lang w:val="fr-FR"/>
        </w:rPr>
      </w:pPr>
      <w:r w:rsidRPr="006847A4">
        <w:rPr>
          <w:rFonts w:eastAsia="Calibri"/>
        </w:rPr>
        <w:t xml:space="preserve">(Ministère de la Justice, </w:t>
      </w:r>
      <w:r w:rsidRPr="006847A4">
        <w:rPr>
          <w:rFonts w:eastAsia="Calibri"/>
          <w:i/>
        </w:rPr>
        <w:t>Commentaires du ministre de la Justice</w:t>
      </w:r>
      <w:r w:rsidRPr="006847A4">
        <w:rPr>
          <w:rFonts w:eastAsia="Calibri"/>
        </w:rPr>
        <w:t xml:space="preserve">, t. II, </w:t>
      </w:r>
      <w:r w:rsidRPr="00F21279">
        <w:rPr>
          <w:rFonts w:eastAsia="Calibri"/>
          <w:i/>
        </w:rPr>
        <w:t>Le Code civi</w:t>
      </w:r>
      <w:r w:rsidR="00F21279" w:rsidRPr="00F21279">
        <w:rPr>
          <w:rFonts w:eastAsia="Calibri"/>
          <w:i/>
        </w:rPr>
        <w:t>l du Québec</w:t>
      </w:r>
      <w:r w:rsidR="00F21279">
        <w:rPr>
          <w:rFonts w:eastAsia="Calibri"/>
        </w:rPr>
        <w:t xml:space="preserve"> (1993), at p. 1831)</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It is </w:t>
      </w:r>
      <w:r w:rsidRPr="001E63A0">
        <w:rPr>
          <w:rFonts w:cs="Times New Roman"/>
          <w:lang w:val="en-CA"/>
        </w:rPr>
        <w:t>equally</w:t>
      </w:r>
      <w:r w:rsidRPr="00FE692E">
        <w:rPr>
          <w:rFonts w:cs="Times New Roman"/>
          <w:lang w:val="en-US"/>
        </w:rPr>
        <w:t xml:space="preserve"> instructive to note that, given the plain wording of art. 2918, the weight of academic authority lies against the suggestion that the judgment obtained on the judicial application is merely declaratory (see </w:t>
      </w:r>
      <w:proofErr w:type="spellStart"/>
      <w:r w:rsidRPr="00FE692E">
        <w:rPr>
          <w:rFonts w:cs="Times New Roman"/>
          <w:lang w:val="en-US"/>
        </w:rPr>
        <w:t>Lafond</w:t>
      </w:r>
      <w:proofErr w:type="spellEnd"/>
      <w:r w:rsidRPr="00FE692E">
        <w:rPr>
          <w:rFonts w:cs="Times New Roman"/>
          <w:lang w:val="en-US"/>
        </w:rPr>
        <w:t xml:space="preserve">, at para. </w:t>
      </w:r>
      <w:r w:rsidRPr="006847A4">
        <w:rPr>
          <w:rFonts w:cs="Times New Roman"/>
          <w:lang w:val="fr-FR"/>
        </w:rPr>
        <w:t xml:space="preserve">2566; Normand, at p. 355; C. Gervais, </w:t>
      </w:r>
      <w:r w:rsidRPr="006847A4">
        <w:rPr>
          <w:rFonts w:cs="Times New Roman"/>
          <w:i/>
          <w:lang w:val="fr-FR"/>
        </w:rPr>
        <w:t>La prescription</w:t>
      </w:r>
      <w:r w:rsidRPr="006847A4">
        <w:rPr>
          <w:rFonts w:cs="Times New Roman"/>
          <w:lang w:val="fr-FR"/>
        </w:rPr>
        <w:t xml:space="preserve"> (</w:t>
      </w:r>
      <w:r w:rsidRPr="006847A4">
        <w:rPr>
          <w:rFonts w:cs="Times New Roman"/>
        </w:rPr>
        <w:t xml:space="preserve">2009), at </w:t>
      </w:r>
      <w:r w:rsidRPr="006847A4">
        <w:rPr>
          <w:rFonts w:cs="Times New Roman"/>
          <w:lang w:val="fr-FR"/>
        </w:rPr>
        <w:t xml:space="preserve">p. 193; F. </w:t>
      </w:r>
      <w:r w:rsidRPr="006847A4">
        <w:rPr>
          <w:rFonts w:cs="Times New Roman"/>
        </w:rPr>
        <w:t xml:space="preserve">Brochu, </w:t>
      </w:r>
      <w:r w:rsidRPr="006847A4">
        <w:rPr>
          <w:rFonts w:cs="Times New Roman"/>
          <w:lang w:val="fr-FR"/>
        </w:rPr>
        <w:t>“</w:t>
      </w:r>
      <w:r w:rsidRPr="006847A4">
        <w:rPr>
          <w:rFonts w:cs="Times New Roman"/>
        </w:rPr>
        <w:t>Nouvelle posologie pour la prescription acquisitive immobilière</w:t>
      </w:r>
      <w:r w:rsidRPr="006847A4">
        <w:rPr>
          <w:rFonts w:cs="Times New Roman"/>
          <w:lang w:val="fr-FR"/>
        </w:rPr>
        <w:t>”</w:t>
      </w:r>
      <w:r w:rsidRPr="006847A4">
        <w:rPr>
          <w:rFonts w:cs="Times New Roman"/>
        </w:rPr>
        <w:t xml:space="preserve"> (2003), 105 </w:t>
      </w:r>
      <w:r w:rsidRPr="006847A4">
        <w:rPr>
          <w:rFonts w:cs="Times New Roman"/>
          <w:i/>
        </w:rPr>
        <w:t>R. du N.</w:t>
      </w:r>
      <w:r w:rsidRPr="006847A4">
        <w:rPr>
          <w:rFonts w:cs="Times New Roman"/>
        </w:rPr>
        <w:t xml:space="preserve"> 735, at p. 754; É. Lambert, </w:t>
      </w:r>
      <w:r w:rsidRPr="006847A4">
        <w:rPr>
          <w:rFonts w:cs="Times New Roman"/>
          <w:i/>
        </w:rPr>
        <w:t xml:space="preserve">La prescription (Art. 2875 à 2933 </w:t>
      </w:r>
      <w:proofErr w:type="spellStart"/>
      <w:r w:rsidRPr="006847A4">
        <w:rPr>
          <w:rFonts w:cs="Times New Roman"/>
          <w:i/>
        </w:rPr>
        <w:t>C.c.Q</w:t>
      </w:r>
      <w:proofErr w:type="spellEnd"/>
      <w:r w:rsidRPr="006847A4">
        <w:rPr>
          <w:rFonts w:cs="Times New Roman"/>
          <w:i/>
        </w:rPr>
        <w:t>.)</w:t>
      </w:r>
      <w:r w:rsidRPr="006847A4">
        <w:rPr>
          <w:rFonts w:cs="Times New Roman"/>
        </w:rPr>
        <w:t xml:space="preserve"> </w:t>
      </w:r>
      <w:r w:rsidRPr="00FE692E">
        <w:rPr>
          <w:rFonts w:cs="Times New Roman"/>
          <w:lang w:val="en-US"/>
        </w:rPr>
        <w:t>(2014),</w:t>
      </w:r>
      <w:r w:rsidRPr="00FE692E">
        <w:rPr>
          <w:rFonts w:cs="Times New Roman"/>
          <w:i/>
          <w:lang w:val="en-US"/>
        </w:rPr>
        <w:t xml:space="preserve"> </w:t>
      </w:r>
      <w:r w:rsidRPr="00FE692E">
        <w:rPr>
          <w:rFonts w:cs="Times New Roman"/>
          <w:lang w:val="en-US"/>
        </w:rPr>
        <w:t xml:space="preserve">at pp. 835-36; </w:t>
      </w:r>
      <w:proofErr w:type="spellStart"/>
      <w:r w:rsidRPr="00FE692E">
        <w:rPr>
          <w:rFonts w:cs="Times New Roman"/>
          <w:lang w:val="en-US"/>
        </w:rPr>
        <w:t>Dumais</w:t>
      </w:r>
      <w:proofErr w:type="spellEnd"/>
      <w:r w:rsidRPr="00FE692E">
        <w:rPr>
          <w:rFonts w:cs="Times New Roman"/>
          <w:lang w:val="en-US"/>
        </w:rPr>
        <w:t xml:space="preserve">, at pp. 231-32). Even Pierre Pratte, on whom my colleague relies for the proposition that the judgment is declaratory, recognizes that in the case of an encroachment, like the instant one, the judgment may take on an attributive character: </w:t>
      </w:r>
    </w:p>
    <w:p w:rsidR="00F21279" w:rsidRDefault="00FE692E" w:rsidP="00233573">
      <w:pPr>
        <w:pStyle w:val="Citation-AltC"/>
        <w:widowControl w:val="0"/>
        <w:rPr>
          <w:lang w:val="en-US"/>
        </w:rPr>
      </w:pPr>
      <w:r w:rsidRPr="00FE692E">
        <w:rPr>
          <w:lang w:val="en-US"/>
        </w:rPr>
        <w:t>[</w:t>
      </w:r>
      <w:r w:rsidRPr="00FE692E">
        <w:rPr>
          <w:smallCaps/>
          <w:lang w:val="en-US"/>
        </w:rPr>
        <w:t>translation</w:t>
      </w:r>
      <w:r w:rsidRPr="00FE692E">
        <w:rPr>
          <w:lang w:val="en-US"/>
        </w:rPr>
        <w:t xml:space="preserve">] Although the concept of a right-granting judgment might not necessarily be inappropriate in the case of an encroachment, the same cannot be said, in our view, where what the judgment in acquisitive prescription does is cure a defect in an existing title. In the latter </w:t>
      </w:r>
      <w:proofErr w:type="gramStart"/>
      <w:r w:rsidRPr="00FE692E">
        <w:rPr>
          <w:lang w:val="en-US"/>
        </w:rPr>
        <w:t>case .</w:t>
      </w:r>
      <w:proofErr w:type="gramEnd"/>
      <w:r w:rsidRPr="00FE692E">
        <w:rPr>
          <w:lang w:val="en-US"/>
        </w:rPr>
        <w:t xml:space="preserve"> . . the acquirer is the owner by virtue of a title . . . . In this context, it seems more appropriate for the court to declare that the plaintiff is the owner of the immovable than for it to grant (and thus transfer) to the plaintiff ownership of an immovable that already belongs to him or her. </w:t>
      </w:r>
    </w:p>
    <w:p w:rsidR="00F21279" w:rsidRDefault="00F21279" w:rsidP="00233573">
      <w:pPr>
        <w:pStyle w:val="Citation-AltC"/>
        <w:widowControl w:val="0"/>
        <w:rPr>
          <w:lang w:val="en-US"/>
        </w:rPr>
      </w:pPr>
    </w:p>
    <w:p w:rsidR="00FE692E" w:rsidRPr="006847A4" w:rsidRDefault="00F21279" w:rsidP="00233573">
      <w:pPr>
        <w:pStyle w:val="Citation-AltC"/>
        <w:widowControl w:val="0"/>
        <w:ind w:left="0"/>
        <w:rPr>
          <w:lang w:val="fr-FR"/>
        </w:rPr>
      </w:pPr>
      <w:r w:rsidRPr="00F21279">
        <w:t>(</w:t>
      </w:r>
      <w:r w:rsidR="00FE692E" w:rsidRPr="006847A4">
        <w:rPr>
          <w:lang w:val="fr-FR"/>
        </w:rPr>
        <w:t xml:space="preserve">P. </w:t>
      </w:r>
      <w:proofErr w:type="spellStart"/>
      <w:r w:rsidR="00FE692E" w:rsidRPr="006847A4">
        <w:rPr>
          <w:lang w:val="fr-FR"/>
        </w:rPr>
        <w:t>Pratte</w:t>
      </w:r>
      <w:proofErr w:type="spellEnd"/>
      <w:r w:rsidR="00FE692E" w:rsidRPr="006847A4">
        <w:rPr>
          <w:lang w:val="fr-FR"/>
        </w:rPr>
        <w:t xml:space="preserve">, “La demande judiciaire relative à la prescription acquisitive d’un immeuble” (2014), 73 </w:t>
      </w:r>
      <w:r w:rsidR="00FE692E" w:rsidRPr="006847A4">
        <w:rPr>
          <w:i/>
          <w:lang w:val="fr-FR"/>
        </w:rPr>
        <w:t>R. du B.</w:t>
      </w:r>
      <w:r>
        <w:rPr>
          <w:lang w:val="fr-FR"/>
        </w:rPr>
        <w:t xml:space="preserve"> 509, at pp. 550-51)</w:t>
      </w:r>
    </w:p>
    <w:p w:rsidR="00FE692E" w:rsidRPr="00FE692E" w:rsidRDefault="00FE692E" w:rsidP="00233573">
      <w:pPr>
        <w:pStyle w:val="ContinueParaSuitedupar-AltP"/>
        <w:widowControl w:val="0"/>
        <w:rPr>
          <w:rFonts w:cs="Times New Roman"/>
          <w:lang w:val="en-US"/>
        </w:rPr>
      </w:pPr>
      <w:r w:rsidRPr="00FE692E">
        <w:rPr>
          <w:rFonts w:cs="Times New Roman"/>
          <w:lang w:val="en-US"/>
        </w:rPr>
        <w:lastRenderedPageBreak/>
        <w:t xml:space="preserve">Indeed, </w:t>
      </w:r>
      <w:r w:rsidRPr="00FE692E">
        <w:rPr>
          <w:rFonts w:eastAsia="Times New Roman" w:cs="Times New Roman"/>
          <w:szCs w:val="24"/>
          <w:lang w:val="en-US" w:eastAsia="en-CA"/>
        </w:rPr>
        <w:t xml:space="preserve">the logic underlying a declaratory reading of the judicial application requirement could only extend to those cases </w:t>
      </w:r>
      <w:r w:rsidRPr="00FE692E">
        <w:rPr>
          <w:rFonts w:cs="Times New Roman"/>
          <w:lang w:val="en-US"/>
        </w:rPr>
        <w:t xml:space="preserve">where prescription operates to cure a defect in title. In those cases, another party’s ownership right is not truly at stake. But that is not this case. This case demonstrates how that logic unravels where the true owner’s right of ownership would be extinguished or transferred to the benefit of the encroaching possessor.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In </w:t>
      </w:r>
      <w:r w:rsidRPr="001E63A0">
        <w:rPr>
          <w:rFonts w:cs="Times New Roman"/>
          <w:lang w:val="en-CA"/>
        </w:rPr>
        <w:t>sum</w:t>
      </w:r>
      <w:r w:rsidRPr="00FE692E">
        <w:rPr>
          <w:rFonts w:cs="Times New Roman"/>
          <w:lang w:val="en-US"/>
        </w:rPr>
        <w:t>, in the spirit of the land register reform, the original version of art. 2918 “dropped the prescription period for immovable[s] to ten years, regardless of good or bad faith” but the “possibility of acquisitive prescription [was made] extremely difficult”, because the legislature “</w:t>
      </w:r>
      <w:proofErr w:type="spellStart"/>
      <w:r w:rsidRPr="00FE692E">
        <w:rPr>
          <w:rFonts w:cs="Times New Roman"/>
          <w:lang w:val="en-US"/>
        </w:rPr>
        <w:t>prioritiz</w:t>
      </w:r>
      <w:proofErr w:type="spellEnd"/>
      <w:r w:rsidRPr="00FE692E">
        <w:rPr>
          <w:rFonts w:cs="Times New Roman"/>
          <w:lang w:val="en-US"/>
        </w:rPr>
        <w:t>[</w:t>
      </w:r>
      <w:proofErr w:type="spellStart"/>
      <w:r w:rsidRPr="00FE692E">
        <w:rPr>
          <w:rFonts w:cs="Times New Roman"/>
          <w:lang w:val="en-US"/>
        </w:rPr>
        <w:t>ed</w:t>
      </w:r>
      <w:proofErr w:type="spellEnd"/>
      <w:r w:rsidRPr="00FE692E">
        <w:rPr>
          <w:rFonts w:cs="Times New Roman"/>
          <w:lang w:val="en-US"/>
        </w:rPr>
        <w:t>] the information contained on the face of the register” and created “presumptions that worked against the possessor” (</w:t>
      </w:r>
      <w:proofErr w:type="spellStart"/>
      <w:r w:rsidRPr="00FE692E">
        <w:rPr>
          <w:rFonts w:cs="Times New Roman"/>
          <w:lang w:val="en-US"/>
        </w:rPr>
        <w:t>Lametti</w:t>
      </w:r>
      <w:proofErr w:type="spellEnd"/>
      <w:r w:rsidRPr="00FE692E">
        <w:rPr>
          <w:rFonts w:cs="Times New Roman"/>
          <w:lang w:val="en-US"/>
        </w:rPr>
        <w:t>, at p. 294). It is true that, following the abandonment of the reform, the “prescription period remains ten years regardless of good or bad faith, but acquisitive prescription is once again a more serious possibility” (</w:t>
      </w:r>
      <w:r w:rsidRPr="00FE692E">
        <w:rPr>
          <w:rFonts w:cs="Times New Roman"/>
          <w:i/>
          <w:lang w:val="en-US"/>
        </w:rPr>
        <w:t>ibid.</w:t>
      </w:r>
      <w:r w:rsidRPr="00FE692E">
        <w:rPr>
          <w:rFonts w:cs="Times New Roman"/>
          <w:lang w:val="en-US"/>
        </w:rPr>
        <w:t xml:space="preserve">). This in itself </w:t>
      </w:r>
      <w:proofErr w:type="spellStart"/>
      <w:r w:rsidRPr="00FE692E">
        <w:rPr>
          <w:rFonts w:cs="Times New Roman"/>
          <w:lang w:val="en-US"/>
        </w:rPr>
        <w:t>favours</w:t>
      </w:r>
      <w:proofErr w:type="spellEnd"/>
      <w:r w:rsidRPr="00FE692E">
        <w:rPr>
          <w:rFonts w:cs="Times New Roman"/>
          <w:lang w:val="en-US"/>
        </w:rPr>
        <w:t xml:space="preserve"> the possessor over the true owner. However, had the National Assembly decided to tip the balance even further in </w:t>
      </w:r>
      <w:proofErr w:type="spellStart"/>
      <w:r w:rsidRPr="00FE692E">
        <w:rPr>
          <w:rFonts w:cs="Times New Roman"/>
          <w:lang w:val="en-US"/>
        </w:rPr>
        <w:t>favour</w:t>
      </w:r>
      <w:proofErr w:type="spellEnd"/>
      <w:r w:rsidRPr="00FE692E">
        <w:rPr>
          <w:rFonts w:cs="Times New Roman"/>
          <w:lang w:val="en-US"/>
        </w:rPr>
        <w:t xml:space="preserve"> of the possessor, it would have done so by deleting the judicial application condition from art. 2918. In my view, and in light of the legislature’s decision to maintain the condition, it does not fall within the province of a court to read it down through interpretive doctrines. Rather than merely surviving the legislature’s purge following the abandonment of the reform, the judicial application requirement took on added importance given that the reduction of the prescription period to 10 years — which was initially premised on the successful completion of the register reform — </w:t>
      </w:r>
      <w:r w:rsidRPr="00FE692E">
        <w:rPr>
          <w:rFonts w:cs="Times New Roman"/>
          <w:lang w:val="en-US"/>
        </w:rPr>
        <w:lastRenderedPageBreak/>
        <w:t xml:space="preserve">was maintained. </w:t>
      </w:r>
    </w:p>
    <w:p w:rsid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Under </w:t>
      </w:r>
      <w:r w:rsidRPr="001E63A0">
        <w:rPr>
          <w:rFonts w:cs="Times New Roman"/>
          <w:lang w:val="en-CA"/>
        </w:rPr>
        <w:t>the</w:t>
      </w:r>
      <w:r w:rsidRPr="00FE692E">
        <w:rPr>
          <w:rFonts w:cs="Times New Roman"/>
          <w:lang w:val="en-US"/>
        </w:rPr>
        <w:t xml:space="preserve"> current art. 2918, the lapse of time alone no longer gives the possessor a right of ownership; only a judgment can do that. Holding otherwise conflates possession in fact with the creation or transfer of real rights. Only the holder of an ownership </w:t>
      </w:r>
      <w:r w:rsidRPr="00FE692E">
        <w:rPr>
          <w:rFonts w:cs="Times New Roman"/>
          <w:i/>
          <w:lang w:val="en-US"/>
        </w:rPr>
        <w:t>right</w:t>
      </w:r>
      <w:r w:rsidRPr="00FE692E">
        <w:rPr>
          <w:rFonts w:cs="Times New Roman"/>
          <w:lang w:val="en-US"/>
        </w:rPr>
        <w:t xml:space="preserve"> may have that right </w:t>
      </w:r>
      <w:r w:rsidRPr="00FE692E">
        <w:rPr>
          <w:rFonts w:cs="Times New Roman"/>
          <w:i/>
          <w:lang w:val="en-US"/>
        </w:rPr>
        <w:t>acknowledged</w:t>
      </w:r>
      <w:r w:rsidRPr="00FE692E">
        <w:rPr>
          <w:rFonts w:cs="Times New Roman"/>
          <w:lang w:val="en-US"/>
        </w:rPr>
        <w:t xml:space="preserve">: </w:t>
      </w:r>
    </w:p>
    <w:p w:rsidR="00985DE6" w:rsidRDefault="00985DE6" w:rsidP="00233573">
      <w:pPr>
        <w:pStyle w:val="ParaNoNdepar-AltN"/>
        <w:widowControl w:val="0"/>
        <w:tabs>
          <w:tab w:val="num" w:pos="1620"/>
        </w:tabs>
        <w:spacing w:before="240" w:after="240" w:line="240" w:lineRule="auto"/>
        <w:ind w:left="1267"/>
        <w:rPr>
          <w:rFonts w:cs="Times New Roman"/>
          <w:lang w:val="en-US"/>
        </w:rPr>
      </w:pPr>
      <w:r>
        <w:rPr>
          <w:b/>
          <w:lang w:val="en-US"/>
        </w:rPr>
        <w:tab/>
      </w:r>
      <w:r w:rsidRPr="00F21279">
        <w:rPr>
          <w:b/>
          <w:lang w:val="en-US"/>
        </w:rPr>
        <w:t xml:space="preserve">912. </w:t>
      </w:r>
      <w:r w:rsidRPr="00F21279">
        <w:rPr>
          <w:lang w:val="en-US"/>
        </w:rPr>
        <w:t xml:space="preserve">The </w:t>
      </w:r>
      <w:r w:rsidRPr="00985DE6">
        <w:rPr>
          <w:lang w:val="en-US"/>
        </w:rPr>
        <w:t>holder</w:t>
      </w:r>
      <w:r w:rsidRPr="00F21279">
        <w:rPr>
          <w:lang w:val="en-US"/>
        </w:rPr>
        <w:t xml:space="preserve"> of a right of ownership or other real right has the right to take part in judicial proceedings to have his right acknowledged.</w:t>
      </w:r>
    </w:p>
    <w:p w:rsidR="00F21279" w:rsidRPr="00985DE6" w:rsidRDefault="00F21279" w:rsidP="00233573">
      <w:pPr>
        <w:pStyle w:val="ParaNoNdepar-AltN"/>
        <w:widowControl w:val="0"/>
        <w:tabs>
          <w:tab w:val="num" w:pos="1620"/>
        </w:tabs>
        <w:spacing w:before="240" w:after="720" w:line="240" w:lineRule="auto"/>
        <w:ind w:left="1267"/>
        <w:rPr>
          <w:lang w:val="en-US"/>
        </w:rPr>
      </w:pPr>
      <w:r w:rsidRPr="00985DE6">
        <w:rPr>
          <w:b/>
          <w:lang w:val="en-US"/>
        </w:rPr>
        <w:tab/>
      </w:r>
      <w:r w:rsidRPr="00985DE6">
        <w:rPr>
          <w:b/>
        </w:rPr>
        <w:t>912.</w:t>
      </w:r>
      <w:r w:rsidRPr="00985DE6">
        <w:t xml:space="preserve"> Le titulaire d’un droit de propriété ou d’un autre droit réel a le droit d’agir en justice pour faire reconnaître ce droit.</w:t>
      </w:r>
      <w:r w:rsidR="00985DE6" w:rsidRPr="00985DE6">
        <w:t xml:space="preserve">  </w:t>
      </w:r>
      <w:r w:rsidRPr="00F21279">
        <w:rPr>
          <w:lang w:val="en-US"/>
        </w:rPr>
        <w:t>[</w:t>
      </w:r>
      <w:r w:rsidRPr="00F21279">
        <w:rPr>
          <w:i/>
          <w:lang w:val="en-US"/>
        </w:rPr>
        <w:t>C</w:t>
      </w:r>
      <w:r w:rsidR="002A5A28">
        <w:rPr>
          <w:i/>
          <w:lang w:val="en-US"/>
        </w:rPr>
        <w:t>.</w:t>
      </w:r>
      <w:r w:rsidRPr="00F21279">
        <w:rPr>
          <w:i/>
          <w:lang w:val="en-US"/>
        </w:rPr>
        <w:t>C</w:t>
      </w:r>
      <w:r w:rsidR="002A5A28">
        <w:rPr>
          <w:i/>
          <w:lang w:val="en-US"/>
        </w:rPr>
        <w:t>.</w:t>
      </w:r>
      <w:r w:rsidRPr="00F21279">
        <w:rPr>
          <w:i/>
          <w:lang w:val="en-US"/>
        </w:rPr>
        <w:t>Q</w:t>
      </w:r>
      <w:r w:rsidR="002A5A28">
        <w:rPr>
          <w:i/>
          <w:lang w:val="en-US"/>
        </w:rPr>
        <w:t>.</w:t>
      </w:r>
      <w:r w:rsidRPr="00F21279">
        <w:rPr>
          <w:lang w:val="en-US"/>
        </w:rPr>
        <w:t>]</w:t>
      </w:r>
      <w:r w:rsidRPr="00FE692E">
        <w:rPr>
          <w:rFonts w:cs="Times New Roman"/>
          <w:lang w:val="en-US"/>
        </w:rPr>
        <w:t xml:space="preserve"> </w:t>
      </w:r>
    </w:p>
    <w:p w:rsidR="00FE692E" w:rsidRPr="00FE692E" w:rsidRDefault="00F21279" w:rsidP="00233573">
      <w:pPr>
        <w:pStyle w:val="ParaNoNdepar-AltN"/>
        <w:widowControl w:val="0"/>
        <w:rPr>
          <w:rFonts w:cs="Times New Roman"/>
          <w:lang w:val="en-US"/>
        </w:rPr>
      </w:pPr>
      <w:r>
        <w:rPr>
          <w:rFonts w:cs="Times New Roman"/>
          <w:lang w:val="en-US"/>
        </w:rPr>
        <w:t>P</w:t>
      </w:r>
      <w:r w:rsidR="00FE692E" w:rsidRPr="00FE692E">
        <w:rPr>
          <w:rFonts w:cs="Times New Roman"/>
          <w:lang w:val="en-US"/>
        </w:rPr>
        <w:t xml:space="preserve">ossessors have no such </w:t>
      </w:r>
      <w:r w:rsidR="00FE692E" w:rsidRPr="00FE692E">
        <w:rPr>
          <w:rFonts w:cs="Times New Roman"/>
          <w:i/>
          <w:lang w:val="en-US"/>
        </w:rPr>
        <w:t>right</w:t>
      </w:r>
      <w:r w:rsidR="00FE692E" w:rsidRPr="00FE692E">
        <w:rPr>
          <w:rFonts w:cs="Times New Roman"/>
          <w:lang w:val="en-US"/>
        </w:rPr>
        <w:t xml:space="preserve"> to be acknowledged; they have only the </w:t>
      </w:r>
      <w:r w:rsidR="00FE692E" w:rsidRPr="00FE692E">
        <w:rPr>
          <w:rFonts w:cs="Times New Roman"/>
          <w:i/>
          <w:lang w:val="en-US"/>
        </w:rPr>
        <w:t>fact</w:t>
      </w:r>
      <w:r w:rsidR="00FE692E" w:rsidRPr="00FE692E">
        <w:rPr>
          <w:rFonts w:cs="Times New Roman"/>
          <w:lang w:val="en-US"/>
        </w:rPr>
        <w:t xml:space="preserve"> of possession.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In the </w:t>
      </w:r>
      <w:r w:rsidRPr="001E63A0">
        <w:rPr>
          <w:rFonts w:cs="Times New Roman"/>
          <w:lang w:val="en-CA"/>
        </w:rPr>
        <w:t>context</w:t>
      </w:r>
      <w:r w:rsidRPr="00FE692E">
        <w:rPr>
          <w:rFonts w:cs="Times New Roman"/>
          <w:lang w:val="en-US"/>
        </w:rPr>
        <w:t xml:space="preserve"> of acquisitive prescription, the correlative of a judicially imposed expansion of the possessor’s rights is a diminution of the right of ownership contained in art. 947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Pr="00FE692E">
        <w:rPr>
          <w:rFonts w:cs="Times New Roman"/>
          <w:lang w:val="en-US"/>
        </w:rPr>
        <w:t xml:space="preserve">. </w:t>
      </w:r>
      <w:r w:rsidRPr="00FE692E">
        <w:rPr>
          <w:rFonts w:eastAsia="Times New Roman" w:cs="Times New Roman"/>
          <w:szCs w:val="24"/>
          <w:lang w:val="en-US" w:eastAsia="en-CA"/>
        </w:rPr>
        <w:t xml:space="preserve">Reading down the judicial application requirement in art. 2918 — as the majority of the Court of Appeal implicitly proposes — leads to precisely such a diminution. Indeed, on the majority’s reading of art. 2918, it is not the case that the situation today is the same as under the </w:t>
      </w:r>
      <w:r w:rsidRPr="00FE692E">
        <w:rPr>
          <w:rFonts w:eastAsia="Times New Roman" w:cs="Times New Roman"/>
          <w:i/>
          <w:iCs/>
          <w:szCs w:val="24"/>
          <w:lang w:val="en-US" w:eastAsia="en-CA"/>
        </w:rPr>
        <w:t>C</w:t>
      </w:r>
      <w:r w:rsidR="00F21279">
        <w:rPr>
          <w:rFonts w:eastAsia="Times New Roman" w:cs="Times New Roman"/>
          <w:i/>
          <w:iCs/>
          <w:szCs w:val="24"/>
          <w:lang w:val="en-US" w:eastAsia="en-CA"/>
        </w:rPr>
        <w:t>.</w:t>
      </w:r>
      <w:r w:rsidRPr="00FE692E">
        <w:rPr>
          <w:rFonts w:eastAsia="Times New Roman" w:cs="Times New Roman"/>
          <w:i/>
          <w:iCs/>
          <w:szCs w:val="24"/>
          <w:lang w:val="en-US" w:eastAsia="en-CA"/>
        </w:rPr>
        <w:t>C</w:t>
      </w:r>
      <w:r w:rsidR="00F21279">
        <w:rPr>
          <w:rFonts w:eastAsia="Times New Roman" w:cs="Times New Roman"/>
          <w:i/>
          <w:iCs/>
          <w:szCs w:val="24"/>
          <w:lang w:val="en-US" w:eastAsia="en-CA"/>
        </w:rPr>
        <w:t>.</w:t>
      </w:r>
      <w:r w:rsidRPr="00FE692E">
        <w:rPr>
          <w:rFonts w:eastAsia="Times New Roman" w:cs="Times New Roman"/>
          <w:i/>
          <w:iCs/>
          <w:szCs w:val="24"/>
          <w:lang w:val="en-US" w:eastAsia="en-CA"/>
        </w:rPr>
        <w:t>L</w:t>
      </w:r>
      <w:r w:rsidR="00F21279">
        <w:rPr>
          <w:rFonts w:eastAsia="Times New Roman" w:cs="Times New Roman"/>
          <w:i/>
          <w:iCs/>
          <w:szCs w:val="24"/>
          <w:lang w:val="en-US" w:eastAsia="en-CA"/>
        </w:rPr>
        <w:t>.</w:t>
      </w:r>
      <w:r w:rsidRPr="00FE692E">
        <w:rPr>
          <w:rFonts w:eastAsia="Times New Roman" w:cs="Times New Roman"/>
          <w:i/>
          <w:iCs/>
          <w:szCs w:val="24"/>
          <w:lang w:val="en-US" w:eastAsia="en-CA"/>
        </w:rPr>
        <w:t>C</w:t>
      </w:r>
      <w:r w:rsidRPr="00FE692E">
        <w:rPr>
          <w:rFonts w:eastAsia="Times New Roman" w:cs="Times New Roman"/>
          <w:szCs w:val="24"/>
          <w:lang w:val="en-US" w:eastAsia="en-CA"/>
        </w:rPr>
        <w:t xml:space="preserve">. Instead, the possessor’s rights are now vastly expanded. Given the reduction of the prescriptive period from 30 years to 10 years, disregarding the judicial application requirement makes it much easier for a possessor to prescribe against the true owner today than it was under the </w:t>
      </w:r>
      <w:r w:rsidRPr="00FE692E">
        <w:rPr>
          <w:rFonts w:eastAsia="Times New Roman" w:cs="Times New Roman"/>
          <w:i/>
          <w:iCs/>
          <w:szCs w:val="24"/>
          <w:lang w:val="en-US" w:eastAsia="en-CA"/>
        </w:rPr>
        <w:t>C</w:t>
      </w:r>
      <w:r w:rsidR="00F21279">
        <w:rPr>
          <w:rFonts w:eastAsia="Times New Roman" w:cs="Times New Roman"/>
          <w:i/>
          <w:iCs/>
          <w:szCs w:val="24"/>
          <w:lang w:val="en-US" w:eastAsia="en-CA"/>
        </w:rPr>
        <w:t>.</w:t>
      </w:r>
      <w:r w:rsidRPr="00FE692E">
        <w:rPr>
          <w:rFonts w:eastAsia="Times New Roman" w:cs="Times New Roman"/>
          <w:i/>
          <w:iCs/>
          <w:szCs w:val="24"/>
          <w:lang w:val="en-US" w:eastAsia="en-CA"/>
        </w:rPr>
        <w:t>C</w:t>
      </w:r>
      <w:r w:rsidR="00F21279">
        <w:rPr>
          <w:rFonts w:eastAsia="Times New Roman" w:cs="Times New Roman"/>
          <w:i/>
          <w:iCs/>
          <w:szCs w:val="24"/>
          <w:lang w:val="en-US" w:eastAsia="en-CA"/>
        </w:rPr>
        <w:t>.</w:t>
      </w:r>
      <w:r w:rsidRPr="00FE692E">
        <w:rPr>
          <w:rFonts w:eastAsia="Times New Roman" w:cs="Times New Roman"/>
          <w:i/>
          <w:iCs/>
          <w:szCs w:val="24"/>
          <w:lang w:val="en-US" w:eastAsia="en-CA"/>
        </w:rPr>
        <w:t>L</w:t>
      </w:r>
      <w:r w:rsidR="00F21279">
        <w:rPr>
          <w:rFonts w:eastAsia="Times New Roman" w:cs="Times New Roman"/>
          <w:i/>
          <w:iCs/>
          <w:szCs w:val="24"/>
          <w:lang w:val="en-US" w:eastAsia="en-CA"/>
        </w:rPr>
        <w:t>.</w:t>
      </w:r>
      <w:r w:rsidRPr="00FE692E">
        <w:rPr>
          <w:rFonts w:eastAsia="Times New Roman" w:cs="Times New Roman"/>
          <w:i/>
          <w:iCs/>
          <w:szCs w:val="24"/>
          <w:lang w:val="en-US" w:eastAsia="en-CA"/>
        </w:rPr>
        <w:t>C</w:t>
      </w:r>
      <w:r w:rsidRPr="00FE692E">
        <w:rPr>
          <w:rFonts w:eastAsia="Times New Roman" w:cs="Times New Roman"/>
          <w:szCs w:val="24"/>
          <w:lang w:val="en-US" w:eastAsia="en-CA"/>
        </w:rPr>
        <w:t>.</w:t>
      </w:r>
      <w:r w:rsidRPr="00FE692E">
        <w:rPr>
          <w:rFonts w:eastAsia="Times New Roman" w:cs="Times New Roman"/>
          <w:b/>
          <w:bCs/>
          <w:szCs w:val="24"/>
          <w:lang w:val="en-US" w:eastAsia="en-CA"/>
        </w:rPr>
        <w:t xml:space="preserve"> </w:t>
      </w:r>
      <w:r w:rsidRPr="00FE692E">
        <w:rPr>
          <w:rFonts w:eastAsia="Times New Roman" w:cs="Times New Roman"/>
          <w:szCs w:val="24"/>
          <w:lang w:val="en-US" w:eastAsia="en-CA"/>
        </w:rPr>
        <w:t xml:space="preserve">The majority’s implied reading of art. 2918 therefore fundamentally upsets </w:t>
      </w:r>
      <w:r w:rsidRPr="00FE692E">
        <w:rPr>
          <w:rFonts w:eastAsia="Times New Roman" w:cs="Times New Roman"/>
          <w:szCs w:val="24"/>
          <w:lang w:val="en-US" w:eastAsia="en-CA"/>
        </w:rPr>
        <w:lastRenderedPageBreak/>
        <w:t xml:space="preserve">the legislative balance struck between the rights of the possessor and those of the true owner. </w:t>
      </w:r>
      <w:r w:rsidRPr="00FE692E">
        <w:rPr>
          <w:rFonts w:cs="Times New Roman"/>
          <w:lang w:val="en-US"/>
        </w:rPr>
        <w:t xml:space="preserve"> </w:t>
      </w:r>
    </w:p>
    <w:p w:rsidR="00FE692E" w:rsidRPr="00F21279"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eastAsia="Times New Roman" w:cs="Times New Roman"/>
          <w:szCs w:val="24"/>
          <w:lang w:val="en-US" w:eastAsia="en-CA"/>
        </w:rPr>
        <w:t xml:space="preserve">Without </w:t>
      </w:r>
      <w:r w:rsidRPr="001E63A0">
        <w:rPr>
          <w:rFonts w:cs="Times New Roman"/>
          <w:lang w:val="en-CA"/>
        </w:rPr>
        <w:t>the</w:t>
      </w:r>
      <w:r w:rsidRPr="00FE692E">
        <w:rPr>
          <w:rFonts w:eastAsia="Times New Roman" w:cs="Times New Roman"/>
          <w:szCs w:val="24"/>
          <w:lang w:val="en-US" w:eastAsia="en-CA"/>
        </w:rPr>
        <w:t xml:space="preserve"> judicial application requirement in art. 2918, the balance between possessors’ rights and the right of ownership could be restored only by maintaining the </w:t>
      </w:r>
      <w:r w:rsidRPr="00FE692E">
        <w:rPr>
          <w:rFonts w:eastAsia="Times New Roman" w:cs="Times New Roman"/>
          <w:i/>
          <w:iCs/>
          <w:szCs w:val="24"/>
          <w:lang w:val="en-US" w:eastAsia="en-CA"/>
        </w:rPr>
        <w:t>C</w:t>
      </w:r>
      <w:r w:rsidR="00F21279">
        <w:rPr>
          <w:rFonts w:eastAsia="Times New Roman" w:cs="Times New Roman"/>
          <w:i/>
          <w:iCs/>
          <w:szCs w:val="24"/>
          <w:lang w:val="en-US" w:eastAsia="en-CA"/>
        </w:rPr>
        <w:t>.</w:t>
      </w:r>
      <w:r w:rsidRPr="00FE692E">
        <w:rPr>
          <w:rFonts w:eastAsia="Times New Roman" w:cs="Times New Roman"/>
          <w:i/>
          <w:iCs/>
          <w:szCs w:val="24"/>
          <w:lang w:val="en-US" w:eastAsia="en-CA"/>
        </w:rPr>
        <w:t>C</w:t>
      </w:r>
      <w:r w:rsidR="00F21279">
        <w:rPr>
          <w:rFonts w:eastAsia="Times New Roman" w:cs="Times New Roman"/>
          <w:i/>
          <w:iCs/>
          <w:szCs w:val="24"/>
          <w:lang w:val="en-US" w:eastAsia="en-CA"/>
        </w:rPr>
        <w:t>.</w:t>
      </w:r>
      <w:r w:rsidRPr="00FE692E">
        <w:rPr>
          <w:rFonts w:eastAsia="Times New Roman" w:cs="Times New Roman"/>
          <w:i/>
          <w:iCs/>
          <w:szCs w:val="24"/>
          <w:lang w:val="en-US" w:eastAsia="en-CA"/>
        </w:rPr>
        <w:t>L</w:t>
      </w:r>
      <w:r w:rsidR="00F21279">
        <w:rPr>
          <w:rFonts w:eastAsia="Times New Roman" w:cs="Times New Roman"/>
          <w:i/>
          <w:iCs/>
          <w:szCs w:val="24"/>
          <w:lang w:val="en-US" w:eastAsia="en-CA"/>
        </w:rPr>
        <w:t>.</w:t>
      </w:r>
      <w:r w:rsidRPr="00FE692E">
        <w:rPr>
          <w:rFonts w:eastAsia="Times New Roman" w:cs="Times New Roman"/>
          <w:i/>
          <w:iCs/>
          <w:szCs w:val="24"/>
          <w:lang w:val="en-US" w:eastAsia="en-CA"/>
        </w:rPr>
        <w:t>C</w:t>
      </w:r>
      <w:r w:rsidR="00F21279">
        <w:rPr>
          <w:rFonts w:eastAsia="Times New Roman" w:cs="Times New Roman"/>
          <w:i/>
          <w:iCs/>
          <w:szCs w:val="24"/>
          <w:lang w:val="en-US" w:eastAsia="en-CA"/>
        </w:rPr>
        <w:t>.</w:t>
      </w:r>
      <w:r w:rsidRPr="00FE692E">
        <w:rPr>
          <w:rFonts w:eastAsia="Times New Roman" w:cs="Times New Roman"/>
          <w:szCs w:val="24"/>
          <w:lang w:val="en-US" w:eastAsia="en-CA"/>
        </w:rPr>
        <w:t xml:space="preserve">’s 30-year prescriptive period for possessors without a </w:t>
      </w:r>
      <w:proofErr w:type="spellStart"/>
      <w:r w:rsidRPr="00FE692E">
        <w:rPr>
          <w:rFonts w:eastAsia="Times New Roman" w:cs="Times New Roman"/>
          <w:szCs w:val="24"/>
          <w:lang w:val="en-US" w:eastAsia="en-CA"/>
        </w:rPr>
        <w:t>translatory</w:t>
      </w:r>
      <w:proofErr w:type="spellEnd"/>
      <w:r w:rsidRPr="00FE692E">
        <w:rPr>
          <w:rFonts w:eastAsia="Times New Roman" w:cs="Times New Roman"/>
          <w:szCs w:val="24"/>
          <w:lang w:val="en-US" w:eastAsia="en-CA"/>
        </w:rPr>
        <w:t xml:space="preserve"> title like the respondent. Absent that, I cannot accept that the majority of the Court of Appeal’s implied reading of art. 2918 </w:t>
      </w:r>
      <w:r w:rsidRPr="00FE692E">
        <w:rPr>
          <w:rFonts w:cs="Times New Roman"/>
          <w:lang w:val="en-US"/>
        </w:rPr>
        <w:t xml:space="preserve">coheres with the publication regime in Book Nine of the </w:t>
      </w:r>
      <w:r w:rsidRPr="00FE692E">
        <w:rPr>
          <w:rFonts w:cs="Times New Roman"/>
          <w:i/>
          <w:lang w:val="en-US"/>
        </w:rPr>
        <w:t>C</w:t>
      </w:r>
      <w:r w:rsidR="00F21279">
        <w:rPr>
          <w:rFonts w:cs="Times New Roman"/>
          <w:i/>
          <w:lang w:val="en-US"/>
        </w:rPr>
        <w:t>.</w:t>
      </w:r>
      <w:r w:rsidRPr="00FE692E">
        <w:rPr>
          <w:rFonts w:cs="Times New Roman"/>
          <w:i/>
          <w:lang w:val="en-US"/>
        </w:rPr>
        <w:t>C</w:t>
      </w:r>
      <w:r w:rsidR="002A5A28">
        <w:rPr>
          <w:rFonts w:cs="Times New Roman"/>
          <w:i/>
          <w:lang w:val="en-US"/>
        </w:rPr>
        <w:t>.</w:t>
      </w:r>
      <w:r w:rsidRPr="00FE692E">
        <w:rPr>
          <w:rFonts w:cs="Times New Roman"/>
          <w:i/>
          <w:lang w:val="en-US"/>
        </w:rPr>
        <w:t>Q</w:t>
      </w:r>
      <w:r w:rsidRPr="00FE692E">
        <w:rPr>
          <w:rFonts w:cs="Times New Roman"/>
          <w:lang w:val="en-US"/>
        </w:rPr>
        <w:t xml:space="preserve">. </w:t>
      </w:r>
      <w:r w:rsidRPr="00F21279">
        <w:rPr>
          <w:rFonts w:cs="Times New Roman"/>
          <w:lang w:val="en-US"/>
        </w:rPr>
        <w:t>Article 2966</w:t>
      </w:r>
      <w:r w:rsidR="00F21279">
        <w:rPr>
          <w:rFonts w:cs="Times New Roman"/>
          <w:lang w:val="en-US"/>
        </w:rPr>
        <w:t xml:space="preserve"> para. 1</w:t>
      </w:r>
      <w:r w:rsidRPr="00F21279">
        <w:rPr>
          <w:rFonts w:cs="Times New Roman"/>
          <w:lang w:val="en-US"/>
        </w:rPr>
        <w:t xml:space="preserve"> </w:t>
      </w:r>
      <w:r w:rsidRPr="00F21279">
        <w:rPr>
          <w:rFonts w:cs="Times New Roman"/>
          <w:i/>
          <w:lang w:val="en-US"/>
        </w:rPr>
        <w:t>C</w:t>
      </w:r>
      <w:r w:rsidR="00F21279">
        <w:rPr>
          <w:rFonts w:cs="Times New Roman"/>
          <w:i/>
          <w:lang w:val="en-US"/>
        </w:rPr>
        <w:t>.</w:t>
      </w:r>
      <w:r w:rsidRPr="00F21279">
        <w:rPr>
          <w:rFonts w:cs="Times New Roman"/>
          <w:i/>
          <w:lang w:val="en-US"/>
        </w:rPr>
        <w:t>C</w:t>
      </w:r>
      <w:r w:rsidR="00F21279">
        <w:rPr>
          <w:rFonts w:cs="Times New Roman"/>
          <w:i/>
          <w:lang w:val="en-US"/>
        </w:rPr>
        <w:t>.</w:t>
      </w:r>
      <w:r w:rsidRPr="00F21279">
        <w:rPr>
          <w:rFonts w:cs="Times New Roman"/>
          <w:i/>
          <w:lang w:val="en-US"/>
        </w:rPr>
        <w:t>Q</w:t>
      </w:r>
      <w:r w:rsidR="00F21279">
        <w:rPr>
          <w:rFonts w:cs="Times New Roman"/>
          <w:lang w:val="en-US"/>
        </w:rPr>
        <w:t xml:space="preserve">. </w:t>
      </w:r>
      <w:r w:rsidRPr="00F21279">
        <w:rPr>
          <w:rFonts w:cs="Times New Roman"/>
          <w:lang w:val="en-US"/>
        </w:rPr>
        <w:t xml:space="preserve">provides: </w:t>
      </w:r>
    </w:p>
    <w:p w:rsidR="00FE692E" w:rsidRPr="00FE692E" w:rsidRDefault="00FE692E" w:rsidP="00233573">
      <w:pPr>
        <w:pStyle w:val="Citation-AltC"/>
        <w:widowControl w:val="0"/>
        <w:ind w:firstLine="274"/>
        <w:rPr>
          <w:lang w:val="en-US"/>
        </w:rPr>
      </w:pPr>
      <w:r w:rsidRPr="00FE692E">
        <w:rPr>
          <w:b/>
          <w:bCs/>
          <w:lang w:val="en-US"/>
        </w:rPr>
        <w:t>2966. </w:t>
      </w:r>
      <w:r w:rsidRPr="00FE692E">
        <w:rPr>
          <w:lang w:val="en-US"/>
        </w:rPr>
        <w:t>Any judicial application concerning a real right which shall or may be published in the land register may, by means of a notice, be the subject of an advance registration.</w:t>
      </w:r>
    </w:p>
    <w:p w:rsidR="00FE692E" w:rsidRPr="00FE692E" w:rsidRDefault="00FE692E" w:rsidP="00233573">
      <w:pPr>
        <w:pStyle w:val="ContinueParaSuitedupar-AltP"/>
        <w:widowControl w:val="0"/>
        <w:rPr>
          <w:rFonts w:cs="Times New Roman"/>
          <w:lang w:val="en-US"/>
        </w:rPr>
      </w:pPr>
      <w:r w:rsidRPr="00FE692E">
        <w:rPr>
          <w:rFonts w:cs="Times New Roman"/>
          <w:lang w:val="en-US"/>
        </w:rPr>
        <w:t>Article 2966</w:t>
      </w:r>
      <w:r w:rsidR="00F21279">
        <w:rPr>
          <w:rFonts w:cs="Times New Roman"/>
          <w:lang w:val="en-US"/>
        </w:rPr>
        <w:t xml:space="preserve"> para. 1</w:t>
      </w:r>
      <w:r w:rsidRPr="00FE692E">
        <w:rPr>
          <w:rFonts w:cs="Times New Roman"/>
          <w:lang w:val="en-US"/>
        </w:rPr>
        <w:t xml:space="preserve"> works in tandem with art. 2968</w:t>
      </w:r>
      <w:r w:rsidR="00F21279">
        <w:rPr>
          <w:rFonts w:cs="Times New Roman"/>
          <w:lang w:val="en-US"/>
        </w:rPr>
        <w:t xml:space="preserve"> para. 1</w:t>
      </w:r>
      <w:r w:rsidRPr="00FE692E">
        <w:rPr>
          <w:rFonts w:cs="Times New Roman"/>
          <w:lang w:val="en-US"/>
        </w:rPr>
        <w:t xml:space="preserve"> </w:t>
      </w:r>
      <w:r w:rsidRPr="00FE692E">
        <w:rPr>
          <w:rFonts w:cs="Times New Roman"/>
          <w:i/>
          <w:lang w:val="en-US"/>
        </w:rPr>
        <w:t>C</w:t>
      </w:r>
      <w:r w:rsidR="002A5A28">
        <w:rPr>
          <w:rFonts w:cs="Times New Roman"/>
          <w:i/>
          <w:lang w:val="en-US"/>
        </w:rPr>
        <w:t>.</w:t>
      </w:r>
      <w:r w:rsidRPr="00FE692E">
        <w:rPr>
          <w:rFonts w:cs="Times New Roman"/>
          <w:i/>
          <w:lang w:val="en-US"/>
        </w:rPr>
        <w:t>C</w:t>
      </w:r>
      <w:r w:rsidR="002A5A28">
        <w:rPr>
          <w:rFonts w:cs="Times New Roman"/>
          <w:i/>
          <w:lang w:val="en-US"/>
        </w:rPr>
        <w:t>.</w:t>
      </w:r>
      <w:r w:rsidRPr="00FE692E">
        <w:rPr>
          <w:rFonts w:cs="Times New Roman"/>
          <w:i/>
          <w:lang w:val="en-US"/>
        </w:rPr>
        <w:t>Q</w:t>
      </w:r>
      <w:r w:rsidR="002A5A28">
        <w:rPr>
          <w:rFonts w:cs="Times New Roman"/>
          <w:i/>
          <w:lang w:val="en-US"/>
        </w:rPr>
        <w:t>.</w:t>
      </w:r>
      <w:r w:rsidRPr="00FE692E">
        <w:rPr>
          <w:rFonts w:cs="Times New Roman"/>
          <w:lang w:val="en-US"/>
        </w:rPr>
        <w:t xml:space="preserve">:  </w:t>
      </w:r>
    </w:p>
    <w:p w:rsidR="00FE692E" w:rsidRPr="00FE692E" w:rsidRDefault="00FE692E" w:rsidP="00233573">
      <w:pPr>
        <w:pStyle w:val="Citation-AltC"/>
        <w:widowControl w:val="0"/>
        <w:ind w:firstLine="274"/>
        <w:rPr>
          <w:lang w:val="en-US"/>
        </w:rPr>
      </w:pPr>
      <w:r w:rsidRPr="00FE692E">
        <w:rPr>
          <w:b/>
          <w:lang w:val="en-US"/>
        </w:rPr>
        <w:t>2968.</w:t>
      </w:r>
      <w:r w:rsidRPr="00FE692E">
        <w:rPr>
          <w:lang w:val="en-US"/>
        </w:rPr>
        <w:t xml:space="preserve"> Rights which are the subject of a judgment or transaction terminating an action are </w:t>
      </w:r>
      <w:r w:rsidRPr="00FE692E">
        <w:rPr>
          <w:u w:val="single"/>
          <w:lang w:val="en-US"/>
        </w:rPr>
        <w:t>deemed published from the time of their advance registration</w:t>
      </w:r>
      <w:r w:rsidRPr="00FE692E">
        <w:rPr>
          <w:lang w:val="en-US"/>
        </w:rPr>
        <w:t>, provided they are published within 30 days after the judgment becomes final or the transaction takes place.</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Article </w:t>
      </w:r>
      <w:r w:rsidRPr="001E63A0">
        <w:rPr>
          <w:rFonts w:cs="Times New Roman"/>
          <w:lang w:val="en-CA"/>
        </w:rPr>
        <w:t>2966</w:t>
      </w:r>
      <w:r w:rsidR="00F21279">
        <w:rPr>
          <w:rFonts w:cs="Times New Roman"/>
          <w:lang w:val="en-US"/>
        </w:rPr>
        <w:t xml:space="preserve"> para. 1</w:t>
      </w:r>
      <w:r w:rsidRPr="00FE692E">
        <w:rPr>
          <w:rFonts w:cs="Times New Roman"/>
          <w:lang w:val="en-US"/>
        </w:rPr>
        <w:t xml:space="preserve"> therefore permits a possessor to register the judicial application in advance of obtaining the necessary judgment under art 2918. Under </w:t>
      </w:r>
      <w:r w:rsidR="00F21279">
        <w:rPr>
          <w:rFonts w:cs="Times New Roman"/>
          <w:lang w:val="en-US"/>
        </w:rPr>
        <w:t>art. 2968 para. 1</w:t>
      </w:r>
      <w:r w:rsidRPr="00FE692E">
        <w:rPr>
          <w:rFonts w:cs="Times New Roman"/>
          <w:lang w:val="en-US"/>
        </w:rPr>
        <w:t xml:space="preserve">, the date of advance registration is then deemed to be the date of publication. The effect of these articles is to encourage a prudent possessor who has complied with the wording of art. 2918 to register the judicial application in advance. </w:t>
      </w:r>
      <w:r w:rsidRPr="00FE692E">
        <w:rPr>
          <w:rFonts w:cs="Times New Roman"/>
          <w:lang w:val="en-US"/>
        </w:rPr>
        <w:lastRenderedPageBreak/>
        <w:t xml:space="preserve">This aligns art. 2918 with the general publication requirement in art. 2938 </w:t>
      </w:r>
      <w:r w:rsidRPr="00FE692E">
        <w:rPr>
          <w:rFonts w:cs="Times New Roman"/>
          <w:i/>
          <w:lang w:val="en-US"/>
        </w:rPr>
        <w:t>C</w:t>
      </w:r>
      <w:r w:rsidR="00CF4DB4">
        <w:rPr>
          <w:rFonts w:cs="Times New Roman"/>
          <w:i/>
          <w:lang w:val="en-US"/>
        </w:rPr>
        <w:t>.</w:t>
      </w:r>
      <w:r w:rsidRPr="00FE692E">
        <w:rPr>
          <w:rFonts w:cs="Times New Roman"/>
          <w:i/>
          <w:lang w:val="en-US"/>
        </w:rPr>
        <w:t>C</w:t>
      </w:r>
      <w:r w:rsidR="00CF4DB4">
        <w:rPr>
          <w:rFonts w:cs="Times New Roman"/>
          <w:i/>
          <w:lang w:val="en-US"/>
        </w:rPr>
        <w:t>.</w:t>
      </w:r>
      <w:r w:rsidRPr="00FE692E">
        <w:rPr>
          <w:rFonts w:cs="Times New Roman"/>
          <w:i/>
          <w:lang w:val="en-US"/>
        </w:rPr>
        <w:t>Q</w:t>
      </w:r>
      <w:r w:rsidR="00CF4DB4">
        <w:rPr>
          <w:rFonts w:cs="Times New Roman"/>
          <w:i/>
          <w:lang w:val="en-US"/>
        </w:rPr>
        <w:t>.</w:t>
      </w:r>
      <w:r w:rsidRPr="00FE692E">
        <w:rPr>
          <w:rFonts w:cs="Times New Roman"/>
          <w:lang w:val="en-US"/>
        </w:rPr>
        <w:t xml:space="preserve"> for the “acquisition, creation, recognition, modification, transmission or extinction” of immovable real rights. It also minimizes the prospect of litigation and priority contests.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Treating the </w:t>
      </w:r>
      <w:r w:rsidRPr="001E63A0">
        <w:rPr>
          <w:rFonts w:cs="Times New Roman"/>
          <w:lang w:val="en-CA"/>
        </w:rPr>
        <w:t>judgment</w:t>
      </w:r>
      <w:r w:rsidRPr="00FE692E">
        <w:rPr>
          <w:rFonts w:cs="Times New Roman"/>
          <w:lang w:val="en-US"/>
        </w:rPr>
        <w:t xml:space="preserve"> under art. 2918 as declarative and retroactive perverts these incentives. On such a reading, a prudent possessor who has met the req</w:t>
      </w:r>
      <w:r w:rsidR="00F21279">
        <w:rPr>
          <w:rFonts w:cs="Times New Roman"/>
          <w:lang w:val="en-US"/>
        </w:rPr>
        <w:t>uirements of arts. 2918, 2966 para. 1, and 2968 para. 1</w:t>
      </w:r>
      <w:r w:rsidRPr="00FE692E">
        <w:rPr>
          <w:rFonts w:cs="Times New Roman"/>
          <w:lang w:val="en-US"/>
        </w:rPr>
        <w:t xml:space="preserve"> and has registered a judicial application in advance would be worse off than a possessor who has not, since the latter would benefit from his or her inaction through the retroactivity of the judgment. Incentivizing this inaction permits title to remain precarious indefinitely — the subject of some future dispute. In harmony with the objectives of the publication regime, it is clear that the overarching goal of art. 2918 is to confer title upon a possessor through a judgment, so that the possessor may then register his or her real right. In the absence of a judgment, the possessor has nothing to publish. According to the majority’s opinion, the possessor will then be the sole owner of an immovable in Quebec who is incapable of publishing his or her ownership, but who is nevertheless immune from the effects of publication.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In addition to being inconsistent with these articles of the publication regime, this result is hard to square with the rationale underlying the prescription regime itself. Rather than promoting the efficiency, stability and security of relationships between title holders by encouraging advance registration, it promotes uncertainty by encouraging a delay in the final determination of ownership. This </w:t>
      </w:r>
      <w:r w:rsidRPr="00FE692E">
        <w:rPr>
          <w:rFonts w:cs="Times New Roman"/>
          <w:lang w:val="en-US"/>
        </w:rPr>
        <w:lastRenderedPageBreak/>
        <w:t>uncertainty is amplified given the potential effect of retroactivity on third parties: [</w:t>
      </w:r>
      <w:r w:rsidRPr="00FE692E">
        <w:rPr>
          <w:rFonts w:cs="Times New Roman"/>
          <w:smallCaps/>
          <w:lang w:val="en-US"/>
        </w:rPr>
        <w:t>translation</w:t>
      </w:r>
      <w:r w:rsidRPr="00FE692E">
        <w:rPr>
          <w:rFonts w:cs="Times New Roman"/>
          <w:lang w:val="en-US"/>
        </w:rPr>
        <w:t xml:space="preserve">] “Retroactivity thus makes it possible to preclude setting up against a third party any acts entered into by the [true owner] during the period of </w:t>
      </w:r>
      <w:proofErr w:type="spellStart"/>
      <w:r w:rsidRPr="00FE692E">
        <w:rPr>
          <w:rFonts w:cs="Times New Roman"/>
          <w:lang w:val="en-US"/>
        </w:rPr>
        <w:t>usucapion</w:t>
      </w:r>
      <w:proofErr w:type="spellEnd"/>
      <w:r w:rsidRPr="00FE692E">
        <w:rPr>
          <w:rFonts w:cs="Times New Roman"/>
          <w:lang w:val="en-US"/>
        </w:rPr>
        <w:t>, rendering them of no effect” (</w:t>
      </w:r>
      <w:proofErr w:type="spellStart"/>
      <w:r w:rsidRPr="00FE692E">
        <w:rPr>
          <w:rFonts w:cs="Times New Roman"/>
          <w:lang w:val="en-US"/>
        </w:rPr>
        <w:t>Gidrol</w:t>
      </w:r>
      <w:proofErr w:type="spellEnd"/>
      <w:r w:rsidRPr="00FE692E">
        <w:rPr>
          <w:rFonts w:cs="Times New Roman"/>
          <w:lang w:val="en-US"/>
        </w:rPr>
        <w:t xml:space="preserve">-Mistral, at p. 341). Giving effect to the plain wording of art. 2918 resolves these problems and removes the risk of any future litigation.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Like the </w:t>
      </w:r>
      <w:r w:rsidRPr="001E63A0">
        <w:rPr>
          <w:rFonts w:cs="Times New Roman"/>
          <w:lang w:val="en-CA"/>
        </w:rPr>
        <w:t>requirement</w:t>
      </w:r>
      <w:r w:rsidRPr="00FE692E">
        <w:rPr>
          <w:rFonts w:cs="Times New Roman"/>
          <w:lang w:val="en-US"/>
        </w:rPr>
        <w:t xml:space="preserve"> of a judicial application in art. 2918, art. 2885’s requirement that the “renunciation of acquired prescription with respect to immovable real rights shall be published” contributes to certainty in transactions involving </w:t>
      </w:r>
      <w:proofErr w:type="spellStart"/>
      <w:r w:rsidRPr="00FE692E">
        <w:rPr>
          <w:rFonts w:cs="Times New Roman"/>
          <w:lang w:val="en-US"/>
        </w:rPr>
        <w:t>immovables</w:t>
      </w:r>
      <w:proofErr w:type="spellEnd"/>
      <w:r w:rsidRPr="00FE692E">
        <w:rPr>
          <w:rFonts w:cs="Times New Roman"/>
          <w:lang w:val="en-US"/>
        </w:rPr>
        <w:t xml:space="preserve">. It permits a seller to resolve any potential clouds on title stemming from a </w:t>
      </w:r>
      <w:proofErr w:type="spellStart"/>
      <w:r w:rsidRPr="00FE692E">
        <w:rPr>
          <w:rFonts w:cs="Times New Roman"/>
          <w:lang w:val="en-US"/>
        </w:rPr>
        <w:t>neighbour’s</w:t>
      </w:r>
      <w:proofErr w:type="spellEnd"/>
      <w:r w:rsidRPr="00FE692E">
        <w:rPr>
          <w:rFonts w:cs="Times New Roman"/>
          <w:lang w:val="en-US"/>
        </w:rPr>
        <w:t xml:space="preserve"> possession of the land subject to sale. Rather than undermining the importance of publication, art. 2885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00F21279">
        <w:rPr>
          <w:rFonts w:cs="Times New Roman"/>
          <w:i/>
          <w:lang w:val="en-US"/>
        </w:rPr>
        <w:t>.</w:t>
      </w:r>
      <w:r w:rsidRPr="00FE692E">
        <w:rPr>
          <w:rFonts w:cs="Times New Roman"/>
          <w:lang w:val="en-US"/>
        </w:rPr>
        <w:t xml:space="preserve"> points to the utility — and indeed, the necessity — of publication in the context of prescription by making the renunciation of prescription subject to the publication regime.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As Justice </w:t>
      </w:r>
      <w:r w:rsidRPr="001E63A0">
        <w:rPr>
          <w:rFonts w:cs="Times New Roman"/>
          <w:lang w:val="en-CA"/>
        </w:rPr>
        <w:t>Jacques</w:t>
      </w:r>
      <w:r w:rsidRPr="00FE692E">
        <w:rPr>
          <w:rFonts w:cs="Times New Roman"/>
          <w:lang w:val="en-US"/>
        </w:rPr>
        <w:t xml:space="preserve"> noted in his dissent in the Court of Appeal (at paras. 93-97), treating the judgment under art. 2918 as retroactive is at odds with s. 50 of the </w:t>
      </w:r>
      <w:r w:rsidRPr="00FE692E">
        <w:rPr>
          <w:rFonts w:cs="Times New Roman"/>
          <w:i/>
          <w:lang w:val="en-US"/>
        </w:rPr>
        <w:t>Interpretation Act</w:t>
      </w:r>
      <w:r w:rsidRPr="00FE692E">
        <w:rPr>
          <w:rFonts w:cs="Times New Roman"/>
          <w:lang w:val="en-US"/>
        </w:rPr>
        <w:t xml:space="preserve">, CQLR, c. I-16, which provides: </w:t>
      </w:r>
    </w:p>
    <w:p w:rsidR="00FE692E" w:rsidRPr="00FE692E" w:rsidRDefault="00FE692E" w:rsidP="00233573">
      <w:pPr>
        <w:pStyle w:val="Citation-AltC"/>
        <w:widowControl w:val="0"/>
        <w:ind w:firstLine="274"/>
        <w:rPr>
          <w:lang w:val="en-US"/>
        </w:rPr>
      </w:pPr>
      <w:r w:rsidRPr="00FE692E">
        <w:rPr>
          <w:b/>
          <w:lang w:val="en-US"/>
        </w:rPr>
        <w:t xml:space="preserve">50. </w:t>
      </w:r>
      <w:r w:rsidRPr="00FE692E">
        <w:rPr>
          <w:lang w:val="en-US"/>
        </w:rPr>
        <w:t>No provision of law shall be declaratory or have a retroactive effect, by reason alone of its being enacted in the present tense.</w:t>
      </w:r>
    </w:p>
    <w:p w:rsidR="00FE692E" w:rsidRPr="00FE692E" w:rsidRDefault="00FE692E" w:rsidP="00233573">
      <w:pPr>
        <w:pStyle w:val="ParaNoNdepar-AltN"/>
        <w:widowControl w:val="0"/>
        <w:numPr>
          <w:ilvl w:val="0"/>
          <w:numId w:val="1"/>
        </w:numPr>
        <w:tabs>
          <w:tab w:val="clear" w:pos="1242"/>
          <w:tab w:val="num" w:pos="1152"/>
        </w:tabs>
        <w:ind w:left="0"/>
        <w:rPr>
          <w:rFonts w:cs="Times New Roman"/>
          <w:i/>
          <w:lang w:val="en-US"/>
        </w:rPr>
      </w:pPr>
      <w:r w:rsidRPr="00FE692E">
        <w:rPr>
          <w:rFonts w:cs="Times New Roman"/>
          <w:lang w:val="en-US"/>
        </w:rPr>
        <w:t xml:space="preserve">When an article of the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00F21279">
        <w:rPr>
          <w:rFonts w:cs="Times New Roman"/>
          <w:i/>
          <w:lang w:val="en-US"/>
        </w:rPr>
        <w:t>.</w:t>
      </w:r>
      <w:r w:rsidRPr="00FE692E">
        <w:rPr>
          <w:rFonts w:cs="Times New Roman"/>
          <w:lang w:val="en-US"/>
        </w:rPr>
        <w:t xml:space="preserve"> is intended to have retroactive effect, the </w:t>
      </w:r>
      <w:r w:rsidRPr="00FE692E">
        <w:rPr>
          <w:rFonts w:cs="Times New Roman"/>
          <w:lang w:val="en-US"/>
        </w:rPr>
        <w:lastRenderedPageBreak/>
        <w:t xml:space="preserve">legislature has taken heed of s. 50 of the </w:t>
      </w:r>
      <w:r w:rsidRPr="00FE692E">
        <w:rPr>
          <w:rFonts w:cs="Times New Roman"/>
          <w:i/>
          <w:lang w:val="en-US"/>
        </w:rPr>
        <w:t>Interpretation Act</w:t>
      </w:r>
      <w:r w:rsidRPr="00FE692E">
        <w:rPr>
          <w:rFonts w:cs="Times New Roman"/>
          <w:lang w:val="en-US"/>
        </w:rPr>
        <w:t xml:space="preserve"> by making this clear. For example, art. 884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00F21279">
        <w:rPr>
          <w:rFonts w:cs="Times New Roman"/>
          <w:i/>
          <w:lang w:val="en-US"/>
        </w:rPr>
        <w:t>.</w:t>
      </w:r>
      <w:r w:rsidRPr="00FE692E">
        <w:rPr>
          <w:rFonts w:cs="Times New Roman"/>
          <w:lang w:val="en-US"/>
        </w:rPr>
        <w:t xml:space="preserve"> provides that “Partition is </w:t>
      </w:r>
      <w:r w:rsidRPr="00FE692E">
        <w:rPr>
          <w:rFonts w:cs="Times New Roman"/>
          <w:u w:val="single"/>
          <w:lang w:val="en-US"/>
        </w:rPr>
        <w:t>declaratory</w:t>
      </w:r>
      <w:r w:rsidRPr="00FE692E">
        <w:rPr>
          <w:rFonts w:cs="Times New Roman"/>
          <w:lang w:val="en-US"/>
        </w:rPr>
        <w:t xml:space="preserve"> of ownership”. Article 1037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00F21279">
        <w:rPr>
          <w:rFonts w:cs="Times New Roman"/>
          <w:i/>
          <w:lang w:val="en-US"/>
        </w:rPr>
        <w:t>.</w:t>
      </w:r>
      <w:r w:rsidRPr="00FE692E">
        <w:rPr>
          <w:rFonts w:cs="Times New Roman"/>
          <w:lang w:val="en-US"/>
        </w:rPr>
        <w:t xml:space="preserve">, on the other hand, states that the “act of partition which terminates </w:t>
      </w:r>
      <w:proofErr w:type="spellStart"/>
      <w:r w:rsidRPr="00FE692E">
        <w:rPr>
          <w:rFonts w:cs="Times New Roman"/>
          <w:lang w:val="en-US"/>
        </w:rPr>
        <w:t>indivision</w:t>
      </w:r>
      <w:proofErr w:type="spellEnd"/>
      <w:r w:rsidRPr="00FE692E">
        <w:rPr>
          <w:rFonts w:cs="Times New Roman"/>
          <w:lang w:val="en-US"/>
        </w:rPr>
        <w:t xml:space="preserve">, other than </w:t>
      </w:r>
      <w:proofErr w:type="spellStart"/>
      <w:r w:rsidRPr="00FE692E">
        <w:rPr>
          <w:rFonts w:cs="Times New Roman"/>
          <w:lang w:val="en-US"/>
        </w:rPr>
        <w:t>indivision</w:t>
      </w:r>
      <w:proofErr w:type="spellEnd"/>
      <w:r w:rsidRPr="00FE692E">
        <w:rPr>
          <w:rFonts w:cs="Times New Roman"/>
          <w:lang w:val="en-US"/>
        </w:rPr>
        <w:t xml:space="preserve"> by succession, is an </w:t>
      </w:r>
      <w:r w:rsidRPr="00FE692E">
        <w:rPr>
          <w:rFonts w:cs="Times New Roman"/>
          <w:u w:val="single"/>
          <w:lang w:val="en-US"/>
        </w:rPr>
        <w:t>act of attribution</w:t>
      </w:r>
      <w:r w:rsidRPr="00FE692E">
        <w:rPr>
          <w:rFonts w:cs="Times New Roman"/>
          <w:lang w:val="en-US"/>
        </w:rPr>
        <w:t xml:space="preserve"> of the right of ownership”. Insofar as art. 2918 explicitly states that a possessor “may </w:t>
      </w:r>
      <w:r w:rsidRPr="00FE692E">
        <w:rPr>
          <w:rFonts w:cs="Times New Roman"/>
          <w:u w:val="single"/>
          <w:lang w:val="en-US"/>
        </w:rPr>
        <w:t>acquire</w:t>
      </w:r>
      <w:r w:rsidRPr="00FE692E">
        <w:rPr>
          <w:rFonts w:cs="Times New Roman"/>
          <w:lang w:val="en-US"/>
        </w:rPr>
        <w:t xml:space="preserve"> the ownership” of an immovable “only upon a judicial application”, I agree that these illustrations, [</w:t>
      </w:r>
      <w:r w:rsidRPr="00FE692E">
        <w:rPr>
          <w:rFonts w:cs="Times New Roman"/>
          <w:smallCaps/>
          <w:lang w:val="en-US"/>
        </w:rPr>
        <w:t>translation</w:t>
      </w:r>
      <w:r w:rsidRPr="00FE692E">
        <w:rPr>
          <w:rFonts w:cs="Times New Roman"/>
          <w:lang w:val="en-US"/>
        </w:rPr>
        <w:t xml:space="preserve">] “drawn from other books of the Code, </w:t>
      </w:r>
      <w:proofErr w:type="spellStart"/>
      <w:r w:rsidRPr="00FE692E">
        <w:rPr>
          <w:rFonts w:cs="Times New Roman"/>
          <w:lang w:val="en-US"/>
        </w:rPr>
        <w:t>favour</w:t>
      </w:r>
      <w:proofErr w:type="spellEnd"/>
      <w:r w:rsidRPr="00FE692E">
        <w:rPr>
          <w:rFonts w:cs="Times New Roman"/>
          <w:lang w:val="en-US"/>
        </w:rPr>
        <w:t xml:space="preserve"> . . . the view that a judgment recognizing the acquisition of ownership by prescription is attributive in nature” (J. McCann, “</w:t>
      </w:r>
      <w:proofErr w:type="spellStart"/>
      <w:r w:rsidRPr="00FE692E">
        <w:rPr>
          <w:rFonts w:cs="Times New Roman"/>
          <w:lang w:val="en-US"/>
        </w:rPr>
        <w:t>Commentaire</w:t>
      </w:r>
      <w:proofErr w:type="spellEnd"/>
      <w:r w:rsidRPr="00FE692E">
        <w:rPr>
          <w:rFonts w:cs="Times New Roman"/>
          <w:lang w:val="en-US"/>
        </w:rPr>
        <w:t xml:space="preserve"> sur la </w:t>
      </w:r>
      <w:proofErr w:type="spellStart"/>
      <w:r w:rsidRPr="00FE692E">
        <w:rPr>
          <w:rFonts w:cs="Times New Roman"/>
          <w:lang w:val="en-US"/>
        </w:rPr>
        <w:t>décision</w:t>
      </w:r>
      <w:proofErr w:type="spellEnd"/>
      <w:r w:rsidRPr="00FE692E">
        <w:rPr>
          <w:rFonts w:cs="Times New Roman"/>
          <w:lang w:val="en-US"/>
        </w:rPr>
        <w:t xml:space="preserve"> </w:t>
      </w:r>
      <w:r w:rsidRPr="00FE692E">
        <w:rPr>
          <w:rFonts w:cs="Times New Roman"/>
          <w:i/>
          <w:iCs/>
          <w:lang w:val="en-US"/>
        </w:rPr>
        <w:t>De Repentigny</w:t>
      </w:r>
      <w:r w:rsidRPr="00FE692E">
        <w:rPr>
          <w:rFonts w:cs="Times New Roman"/>
          <w:lang w:val="en-US"/>
        </w:rPr>
        <w:t xml:space="preserve"> </w:t>
      </w:r>
      <w:r w:rsidRPr="00FE692E">
        <w:rPr>
          <w:rFonts w:cs="Times New Roman"/>
          <w:i/>
          <w:lang w:val="en-US"/>
        </w:rPr>
        <w:t>c.</w:t>
      </w:r>
      <w:r w:rsidRPr="00FE692E">
        <w:rPr>
          <w:rFonts w:cs="Times New Roman"/>
          <w:lang w:val="en-US"/>
        </w:rPr>
        <w:t xml:space="preserve"> </w:t>
      </w:r>
      <w:r w:rsidRPr="00FE692E">
        <w:rPr>
          <w:rFonts w:cs="Times New Roman"/>
          <w:i/>
          <w:iCs/>
          <w:lang w:val="en-US"/>
        </w:rPr>
        <w:t>Fortin</w:t>
      </w:r>
      <w:r w:rsidRPr="00FE692E">
        <w:rPr>
          <w:rFonts w:cs="Times New Roman"/>
          <w:lang w:val="en-US"/>
        </w:rPr>
        <w:t xml:space="preserve"> </w:t>
      </w:r>
      <w:r w:rsidRPr="00CF4DB4">
        <w:rPr>
          <w:rFonts w:cs="Times New Roman"/>
          <w:i/>
          <w:lang w:val="en-US"/>
        </w:rPr>
        <w:t>(</w:t>
      </w:r>
      <w:r w:rsidRPr="00FE692E">
        <w:rPr>
          <w:rFonts w:cs="Times New Roman"/>
          <w:i/>
          <w:lang w:val="en-US"/>
        </w:rPr>
        <w:t>Succession de</w:t>
      </w:r>
      <w:r w:rsidRPr="00CF4DB4">
        <w:rPr>
          <w:rFonts w:cs="Times New Roman"/>
          <w:i/>
          <w:lang w:val="en-US"/>
        </w:rPr>
        <w:t>)</w:t>
      </w:r>
      <w:r w:rsidRPr="00FE692E">
        <w:rPr>
          <w:rFonts w:cs="Times New Roman"/>
          <w:lang w:val="en-US"/>
        </w:rPr>
        <w:t xml:space="preserve"> — </w:t>
      </w:r>
      <w:proofErr w:type="spellStart"/>
      <w:r w:rsidRPr="00FE692E">
        <w:rPr>
          <w:rFonts w:cs="Times New Roman"/>
          <w:lang w:val="en-US"/>
        </w:rPr>
        <w:t>L’acquisition</w:t>
      </w:r>
      <w:proofErr w:type="spellEnd"/>
      <w:r w:rsidRPr="00FE692E">
        <w:rPr>
          <w:rFonts w:cs="Times New Roman"/>
          <w:lang w:val="en-US"/>
        </w:rPr>
        <w:t xml:space="preserve"> de la </w:t>
      </w:r>
      <w:proofErr w:type="spellStart"/>
      <w:r w:rsidRPr="00FE692E">
        <w:rPr>
          <w:rFonts w:cs="Times New Roman"/>
          <w:lang w:val="en-US"/>
        </w:rPr>
        <w:t>propriété</w:t>
      </w:r>
      <w:proofErr w:type="spellEnd"/>
      <w:r w:rsidRPr="00FE692E">
        <w:rPr>
          <w:rFonts w:cs="Times New Roman"/>
          <w:lang w:val="en-US"/>
        </w:rPr>
        <w:t xml:space="preserve"> par prescription </w:t>
      </w:r>
      <w:proofErr w:type="spellStart"/>
      <w:r w:rsidRPr="00FE692E">
        <w:rPr>
          <w:rFonts w:cs="Times New Roman"/>
          <w:lang w:val="en-US"/>
        </w:rPr>
        <w:t>décennale</w:t>
      </w:r>
      <w:proofErr w:type="spellEnd"/>
      <w:r w:rsidRPr="00FE692E">
        <w:rPr>
          <w:rFonts w:cs="Times New Roman"/>
          <w:lang w:val="en-US"/>
        </w:rPr>
        <w:t xml:space="preserve">: </w:t>
      </w:r>
      <w:proofErr w:type="spellStart"/>
      <w:r w:rsidRPr="00FE692E">
        <w:rPr>
          <w:rFonts w:cs="Times New Roman"/>
          <w:lang w:val="en-US"/>
        </w:rPr>
        <w:t>effet</w:t>
      </w:r>
      <w:proofErr w:type="spellEnd"/>
      <w:r w:rsidRPr="00FE692E">
        <w:rPr>
          <w:rFonts w:cs="Times New Roman"/>
          <w:lang w:val="en-US"/>
        </w:rPr>
        <w:t xml:space="preserve"> </w:t>
      </w:r>
      <w:proofErr w:type="spellStart"/>
      <w:r w:rsidRPr="00FE692E">
        <w:rPr>
          <w:rFonts w:cs="Times New Roman"/>
          <w:lang w:val="en-US"/>
        </w:rPr>
        <w:t>déclaratif</w:t>
      </w:r>
      <w:proofErr w:type="spellEnd"/>
      <w:r w:rsidRPr="00FE692E">
        <w:rPr>
          <w:rFonts w:cs="Times New Roman"/>
          <w:lang w:val="en-US"/>
        </w:rPr>
        <w:t xml:space="preserve">, </w:t>
      </w:r>
      <w:proofErr w:type="spellStart"/>
      <w:r w:rsidRPr="00FE692E">
        <w:rPr>
          <w:rFonts w:cs="Times New Roman"/>
          <w:lang w:val="en-US"/>
        </w:rPr>
        <w:t>attributif</w:t>
      </w:r>
      <w:proofErr w:type="spellEnd"/>
      <w:r w:rsidRPr="00FE692E">
        <w:rPr>
          <w:rFonts w:cs="Times New Roman"/>
          <w:lang w:val="en-US"/>
        </w:rPr>
        <w:t xml:space="preserve">, </w:t>
      </w:r>
      <w:proofErr w:type="spellStart"/>
      <w:r w:rsidRPr="00FE692E">
        <w:rPr>
          <w:rFonts w:cs="Times New Roman"/>
          <w:lang w:val="en-US"/>
        </w:rPr>
        <w:t>rétroactif</w:t>
      </w:r>
      <w:proofErr w:type="spellEnd"/>
      <w:r w:rsidRPr="00FE692E">
        <w:rPr>
          <w:rFonts w:cs="Times New Roman"/>
          <w:lang w:val="en-US"/>
        </w:rPr>
        <w:t xml:space="preserve">?”, </w:t>
      </w:r>
      <w:proofErr w:type="spellStart"/>
      <w:r w:rsidRPr="00FE692E">
        <w:rPr>
          <w:rFonts w:cs="Times New Roman"/>
          <w:i/>
          <w:iCs/>
          <w:lang w:val="en-US"/>
        </w:rPr>
        <w:t>Repères</w:t>
      </w:r>
      <w:proofErr w:type="spellEnd"/>
      <w:r w:rsidRPr="00FE692E">
        <w:rPr>
          <w:rFonts w:cs="Times New Roman"/>
          <w:lang w:val="en-US"/>
        </w:rPr>
        <w:t xml:space="preserve">, February 2013 (available online in La </w:t>
      </w:r>
      <w:proofErr w:type="spellStart"/>
      <w:r w:rsidRPr="00FE692E">
        <w:rPr>
          <w:rFonts w:cs="Times New Roman"/>
          <w:lang w:val="en-US"/>
        </w:rPr>
        <w:t>référence</w:t>
      </w:r>
      <w:proofErr w:type="spellEnd"/>
      <w:r w:rsidRPr="00FE692E">
        <w:rPr>
          <w:rFonts w:cs="Times New Roman"/>
          <w:lang w:val="en-US"/>
        </w:rPr>
        <w:t>)</w:t>
      </w:r>
      <w:r w:rsidR="004C1DC4">
        <w:rPr>
          <w:rFonts w:cs="Times New Roman"/>
          <w:lang w:val="en-US"/>
        </w:rPr>
        <w:t>)</w:t>
      </w:r>
      <w:r w:rsidRPr="00FE692E">
        <w:rPr>
          <w:rFonts w:cs="Times New Roman"/>
          <w:lang w:val="en-US"/>
        </w:rPr>
        <w:t xml:space="preserve">. </w:t>
      </w:r>
    </w:p>
    <w:p w:rsidR="00FE692E" w:rsidRPr="006847A4" w:rsidRDefault="00FE692E" w:rsidP="00233573">
      <w:pPr>
        <w:pStyle w:val="ParaNoNdepar-AltN"/>
        <w:widowControl w:val="0"/>
        <w:numPr>
          <w:ilvl w:val="0"/>
          <w:numId w:val="1"/>
        </w:numPr>
        <w:tabs>
          <w:tab w:val="clear" w:pos="1242"/>
          <w:tab w:val="num" w:pos="1152"/>
        </w:tabs>
        <w:ind w:left="0"/>
        <w:rPr>
          <w:rFonts w:cs="Times New Roman"/>
          <w:iCs/>
        </w:rPr>
      </w:pPr>
      <w:r w:rsidRPr="00FE692E">
        <w:rPr>
          <w:rFonts w:cs="Times New Roman"/>
          <w:lang w:val="en-US"/>
        </w:rPr>
        <w:t xml:space="preserve">I </w:t>
      </w:r>
      <w:r w:rsidRPr="001E63A0">
        <w:rPr>
          <w:rFonts w:cs="Times New Roman"/>
          <w:lang w:val="en-CA"/>
        </w:rPr>
        <w:t>therefore</w:t>
      </w:r>
      <w:r w:rsidRPr="00FE692E">
        <w:rPr>
          <w:rFonts w:cs="Times New Roman"/>
          <w:lang w:val="en-US"/>
        </w:rPr>
        <w:t xml:space="preserve"> agree with Justice Jacques that the judgment on a judicial application under art. 2918 is constitutive of the right of ownership and is without retroactive effect. I would accordingly endorse the line of jurisprudence to this effect:  </w:t>
      </w:r>
      <w:r w:rsidRPr="00FE692E">
        <w:rPr>
          <w:rFonts w:cs="Times New Roman"/>
          <w:i/>
          <w:iCs/>
          <w:lang w:val="en-US"/>
        </w:rPr>
        <w:t>Craig v</w:t>
      </w:r>
      <w:r w:rsidRPr="00FE692E">
        <w:rPr>
          <w:rFonts w:cs="Times New Roman"/>
          <w:lang w:val="en-US"/>
        </w:rPr>
        <w:t xml:space="preserve">. </w:t>
      </w:r>
      <w:proofErr w:type="spellStart"/>
      <w:r w:rsidRPr="00FE692E">
        <w:rPr>
          <w:rFonts w:cs="Times New Roman"/>
          <w:i/>
          <w:iCs/>
          <w:lang w:val="en-US"/>
        </w:rPr>
        <w:t>Béton</w:t>
      </w:r>
      <w:proofErr w:type="spellEnd"/>
      <w:r w:rsidRPr="00FE692E">
        <w:rPr>
          <w:rFonts w:cs="Times New Roman"/>
          <w:i/>
          <w:iCs/>
          <w:lang w:val="en-US"/>
        </w:rPr>
        <w:t xml:space="preserve"> Chevalier </w:t>
      </w:r>
      <w:proofErr w:type="spellStart"/>
      <w:r w:rsidRPr="00FE692E">
        <w:rPr>
          <w:rFonts w:cs="Times New Roman"/>
          <w:i/>
          <w:iCs/>
          <w:lang w:val="en-US"/>
        </w:rPr>
        <w:t>inc.</w:t>
      </w:r>
      <w:proofErr w:type="spellEnd"/>
      <w:r w:rsidRPr="00FE692E">
        <w:rPr>
          <w:rFonts w:cs="Times New Roman"/>
          <w:iCs/>
          <w:lang w:val="en-US"/>
        </w:rPr>
        <w:t xml:space="preserve">, 2012 QCCS 2888, at para. </w:t>
      </w:r>
      <w:r w:rsidRPr="006847A4">
        <w:rPr>
          <w:rFonts w:cs="Times New Roman"/>
          <w:iCs/>
          <w:lang w:val="fr-FR"/>
        </w:rPr>
        <w:t>33 (</w:t>
      </w:r>
      <w:proofErr w:type="spellStart"/>
      <w:r w:rsidRPr="006847A4">
        <w:rPr>
          <w:rFonts w:cs="Times New Roman"/>
          <w:iCs/>
          <w:lang w:val="fr-FR"/>
        </w:rPr>
        <w:t>CanLII</w:t>
      </w:r>
      <w:proofErr w:type="spellEnd"/>
      <w:r w:rsidRPr="006847A4">
        <w:rPr>
          <w:rFonts w:cs="Times New Roman"/>
          <w:iCs/>
          <w:lang w:val="fr-FR"/>
        </w:rPr>
        <w:t>);</w:t>
      </w:r>
      <w:r w:rsidRPr="006847A4">
        <w:rPr>
          <w:rFonts w:cs="Times New Roman"/>
          <w:i/>
          <w:iCs/>
          <w:lang w:val="fr-FR"/>
        </w:rPr>
        <w:t xml:space="preserve"> Granby (Ville) v. Gestion </w:t>
      </w:r>
      <w:proofErr w:type="spellStart"/>
      <w:r w:rsidRPr="006847A4">
        <w:rPr>
          <w:rFonts w:cs="Times New Roman"/>
          <w:i/>
          <w:iCs/>
          <w:lang w:val="fr-FR"/>
        </w:rPr>
        <w:t>Rainville</w:t>
      </w:r>
      <w:proofErr w:type="spellEnd"/>
      <w:r w:rsidRPr="006847A4">
        <w:rPr>
          <w:rFonts w:cs="Times New Roman"/>
          <w:i/>
          <w:iCs/>
          <w:lang w:val="fr-FR"/>
        </w:rPr>
        <w:t xml:space="preserve"> </w:t>
      </w:r>
      <w:proofErr w:type="spellStart"/>
      <w:r w:rsidRPr="006847A4">
        <w:rPr>
          <w:rFonts w:cs="Times New Roman"/>
          <w:i/>
          <w:iCs/>
          <w:lang w:val="fr-FR"/>
        </w:rPr>
        <w:t>ltée</w:t>
      </w:r>
      <w:proofErr w:type="spellEnd"/>
      <w:r w:rsidRPr="006847A4">
        <w:rPr>
          <w:rFonts w:cs="Times New Roman"/>
          <w:iCs/>
          <w:lang w:val="fr-FR"/>
        </w:rPr>
        <w:t>, 2011 QCCS 4259, at paras. 56-59 (</w:t>
      </w:r>
      <w:proofErr w:type="spellStart"/>
      <w:r w:rsidRPr="006847A4">
        <w:rPr>
          <w:rFonts w:cs="Times New Roman"/>
          <w:iCs/>
          <w:lang w:val="fr-FR"/>
        </w:rPr>
        <w:t>CanLII</w:t>
      </w:r>
      <w:proofErr w:type="spellEnd"/>
      <w:r w:rsidRPr="006847A4">
        <w:rPr>
          <w:rFonts w:cs="Times New Roman"/>
          <w:iCs/>
          <w:lang w:val="fr-FR"/>
        </w:rPr>
        <w:t xml:space="preserve">); </w:t>
      </w:r>
      <w:proofErr w:type="spellStart"/>
      <w:r w:rsidRPr="006847A4">
        <w:rPr>
          <w:rFonts w:cs="Times New Roman"/>
          <w:i/>
          <w:iCs/>
          <w:lang w:val="fr-FR"/>
        </w:rPr>
        <w:t>Re</w:t>
      </w:r>
      <w:proofErr w:type="spellEnd"/>
      <w:r w:rsidRPr="006847A4">
        <w:rPr>
          <w:rFonts w:cs="Times New Roman"/>
          <w:i/>
          <w:iCs/>
          <w:lang w:val="fr-FR"/>
        </w:rPr>
        <w:t xml:space="preserve"> Gagné</w:t>
      </w:r>
      <w:r w:rsidRPr="006847A4">
        <w:rPr>
          <w:rFonts w:cs="Times New Roman"/>
          <w:iCs/>
        </w:rPr>
        <w:t>, 2009 QCCS 6064, at paras. 10-16 (</w:t>
      </w:r>
      <w:proofErr w:type="spellStart"/>
      <w:r w:rsidRPr="006847A4">
        <w:rPr>
          <w:rFonts w:cs="Times New Roman"/>
          <w:iCs/>
        </w:rPr>
        <w:t>CanLII</w:t>
      </w:r>
      <w:proofErr w:type="spellEnd"/>
      <w:r w:rsidRPr="006847A4">
        <w:rPr>
          <w:rFonts w:cs="Times New Roman"/>
          <w:iCs/>
        </w:rPr>
        <w:t xml:space="preserve">); </w:t>
      </w:r>
      <w:proofErr w:type="spellStart"/>
      <w:r w:rsidRPr="006847A4">
        <w:rPr>
          <w:rFonts w:cs="Times New Roman"/>
          <w:i/>
          <w:iCs/>
        </w:rPr>
        <w:t>Re</w:t>
      </w:r>
      <w:proofErr w:type="spellEnd"/>
      <w:r w:rsidRPr="006847A4">
        <w:rPr>
          <w:rFonts w:cs="Times New Roman"/>
          <w:i/>
          <w:iCs/>
        </w:rPr>
        <w:t xml:space="preserve"> Montmagny (Ville)</w:t>
      </w:r>
      <w:r w:rsidRPr="006847A4">
        <w:rPr>
          <w:rFonts w:cs="Times New Roman"/>
          <w:iCs/>
        </w:rPr>
        <w:t xml:space="preserve">, 2005 </w:t>
      </w:r>
      <w:proofErr w:type="spellStart"/>
      <w:r w:rsidRPr="006847A4">
        <w:rPr>
          <w:rFonts w:cs="Times New Roman"/>
          <w:iCs/>
        </w:rPr>
        <w:t>CanLII</w:t>
      </w:r>
      <w:proofErr w:type="spellEnd"/>
      <w:r w:rsidRPr="006847A4">
        <w:rPr>
          <w:rFonts w:cs="Times New Roman"/>
          <w:iCs/>
        </w:rPr>
        <w:t xml:space="preserve"> 11604 (Que. Sup. Ct.), at para. 6; </w:t>
      </w:r>
      <w:proofErr w:type="spellStart"/>
      <w:r w:rsidRPr="006847A4">
        <w:rPr>
          <w:rFonts w:cs="Times New Roman"/>
          <w:i/>
          <w:iCs/>
        </w:rPr>
        <w:t>Re</w:t>
      </w:r>
      <w:proofErr w:type="spellEnd"/>
      <w:r w:rsidRPr="006847A4">
        <w:rPr>
          <w:rFonts w:cs="Times New Roman"/>
          <w:iCs/>
        </w:rPr>
        <w:t xml:space="preserve"> </w:t>
      </w:r>
      <w:r w:rsidRPr="006847A4">
        <w:rPr>
          <w:rFonts w:cs="Times New Roman"/>
          <w:i/>
          <w:iCs/>
        </w:rPr>
        <w:t>Béland</w:t>
      </w:r>
      <w:r w:rsidRPr="006847A4">
        <w:rPr>
          <w:rFonts w:cs="Times New Roman"/>
          <w:iCs/>
        </w:rPr>
        <w:t xml:space="preserve">, 2005 </w:t>
      </w:r>
      <w:proofErr w:type="spellStart"/>
      <w:r w:rsidRPr="006847A4">
        <w:rPr>
          <w:rFonts w:cs="Times New Roman"/>
          <w:iCs/>
        </w:rPr>
        <w:t>CanLII</w:t>
      </w:r>
      <w:proofErr w:type="spellEnd"/>
      <w:r w:rsidRPr="006847A4">
        <w:rPr>
          <w:rFonts w:cs="Times New Roman"/>
          <w:iCs/>
        </w:rPr>
        <w:t xml:space="preserve"> 24349 (Que. Sup. Ct.), at para</w:t>
      </w:r>
      <w:r>
        <w:rPr>
          <w:rFonts w:cs="Times New Roman"/>
          <w:iCs/>
        </w:rPr>
        <w:t>. </w:t>
      </w:r>
      <w:r w:rsidRPr="006847A4">
        <w:rPr>
          <w:rFonts w:cs="Times New Roman"/>
          <w:iCs/>
        </w:rPr>
        <w:t xml:space="preserve">6. </w:t>
      </w:r>
    </w:p>
    <w:p w:rsidR="00FE692E" w:rsidRPr="006847A4" w:rsidRDefault="00FE692E" w:rsidP="00233573">
      <w:pPr>
        <w:pStyle w:val="Title2LevelTitre2Niveau"/>
        <w:widowControl w:val="0"/>
        <w:numPr>
          <w:ilvl w:val="1"/>
          <w:numId w:val="8"/>
        </w:numPr>
        <w:rPr>
          <w:rFonts w:cs="Times New Roman"/>
        </w:rPr>
      </w:pPr>
      <w:r w:rsidRPr="006847A4">
        <w:rPr>
          <w:rFonts w:cs="Times New Roman"/>
        </w:rPr>
        <w:t xml:space="preserve">Application in This Case </w:t>
      </w:r>
    </w:p>
    <w:p w:rsidR="00FE692E" w:rsidRPr="00F21279"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The </w:t>
      </w:r>
      <w:r w:rsidRPr="001E63A0">
        <w:rPr>
          <w:rFonts w:cs="Times New Roman"/>
          <w:lang w:val="en-CA"/>
        </w:rPr>
        <w:t>appellants</w:t>
      </w:r>
      <w:r w:rsidRPr="00FE692E">
        <w:rPr>
          <w:rFonts w:cs="Times New Roman"/>
          <w:lang w:val="en-US"/>
        </w:rPr>
        <w:t xml:space="preserve"> acquired the land on which the contested parking space is </w:t>
      </w:r>
      <w:r w:rsidRPr="00FE692E">
        <w:rPr>
          <w:rFonts w:cs="Times New Roman"/>
          <w:lang w:val="en-US"/>
        </w:rPr>
        <w:lastRenderedPageBreak/>
        <w:t xml:space="preserve">located through a </w:t>
      </w:r>
      <w:proofErr w:type="spellStart"/>
      <w:r w:rsidRPr="00FE692E">
        <w:rPr>
          <w:rFonts w:cs="Times New Roman"/>
          <w:lang w:val="en-US"/>
        </w:rPr>
        <w:t>translatory</w:t>
      </w:r>
      <w:proofErr w:type="spellEnd"/>
      <w:r w:rsidRPr="00FE692E">
        <w:rPr>
          <w:rFonts w:cs="Times New Roman"/>
          <w:lang w:val="en-US"/>
        </w:rPr>
        <w:t xml:space="preserve"> title in July 2011. Despite the majority of the Court of Appeal’s suggestions to the contrary, the appellants’ good faith is not at issue. As Justice Jacques noted, the appellants then published their title in the land register, triggering the application of arts. </w:t>
      </w:r>
      <w:r w:rsidRPr="00F21279">
        <w:rPr>
          <w:rFonts w:cs="Times New Roman"/>
          <w:lang w:val="en-US"/>
        </w:rPr>
        <w:t xml:space="preserve">2941, 2943, 2944, and 2945 </w:t>
      </w:r>
      <w:r w:rsidRPr="00F21279">
        <w:rPr>
          <w:rFonts w:cs="Times New Roman"/>
          <w:i/>
          <w:lang w:val="en-US"/>
        </w:rPr>
        <w:t>C</w:t>
      </w:r>
      <w:r w:rsidR="00F21279" w:rsidRPr="00F21279">
        <w:rPr>
          <w:rFonts w:cs="Times New Roman"/>
          <w:i/>
          <w:lang w:val="en-US"/>
        </w:rPr>
        <w:t>.</w:t>
      </w:r>
      <w:r w:rsidRPr="00F21279">
        <w:rPr>
          <w:rFonts w:cs="Times New Roman"/>
          <w:i/>
          <w:lang w:val="en-US"/>
        </w:rPr>
        <w:t>C</w:t>
      </w:r>
      <w:r w:rsidR="00F21279" w:rsidRPr="00F21279">
        <w:rPr>
          <w:rFonts w:cs="Times New Roman"/>
          <w:i/>
          <w:lang w:val="en-US"/>
        </w:rPr>
        <w:t>.</w:t>
      </w:r>
      <w:r w:rsidRPr="00F21279">
        <w:rPr>
          <w:rFonts w:cs="Times New Roman"/>
          <w:i/>
          <w:lang w:val="en-US"/>
        </w:rPr>
        <w:t>Q</w:t>
      </w:r>
      <w:r w:rsidR="00F21279" w:rsidRPr="00F21279">
        <w:rPr>
          <w:rFonts w:cs="Times New Roman"/>
          <w:i/>
          <w:lang w:val="en-US"/>
        </w:rPr>
        <w:t>.</w:t>
      </w:r>
      <w:r w:rsidRPr="00F21279">
        <w:rPr>
          <w:rFonts w:cs="Times New Roman"/>
          <w:lang w:val="en-US"/>
        </w:rPr>
        <w:t xml:space="preserve">, which provide as follows: </w:t>
      </w:r>
    </w:p>
    <w:p w:rsidR="00FE692E" w:rsidRPr="00FE692E" w:rsidRDefault="00FE692E" w:rsidP="00233573">
      <w:pPr>
        <w:pStyle w:val="Citation-AltC"/>
        <w:widowControl w:val="0"/>
        <w:ind w:firstLine="274"/>
        <w:rPr>
          <w:lang w:val="en-US"/>
        </w:rPr>
      </w:pPr>
      <w:r w:rsidRPr="00FE692E">
        <w:rPr>
          <w:b/>
          <w:lang w:val="en-US"/>
        </w:rPr>
        <w:t xml:space="preserve">2941. </w:t>
      </w:r>
      <w:r w:rsidRPr="00FE692E">
        <w:rPr>
          <w:u w:val="single"/>
          <w:lang w:val="en-US"/>
        </w:rPr>
        <w:t>Publication of rights allows them to be set up against third persons</w:t>
      </w:r>
      <w:r w:rsidRPr="00FE692E">
        <w:rPr>
          <w:lang w:val="en-US"/>
        </w:rPr>
        <w:t xml:space="preserve">, </w:t>
      </w:r>
      <w:r w:rsidRPr="00FE692E">
        <w:rPr>
          <w:u w:val="single"/>
          <w:lang w:val="en-US"/>
        </w:rPr>
        <w:t>determines their rank</w:t>
      </w:r>
      <w:r w:rsidRPr="00FE692E">
        <w:rPr>
          <w:lang w:val="en-US"/>
        </w:rPr>
        <w:t xml:space="preserve"> and, where the law so provides, gives them effect. </w:t>
      </w:r>
    </w:p>
    <w:p w:rsidR="00FE692E" w:rsidRPr="00FE692E" w:rsidRDefault="00FE692E" w:rsidP="00233573">
      <w:pPr>
        <w:pStyle w:val="Citation-AltC"/>
        <w:widowControl w:val="0"/>
        <w:rPr>
          <w:lang w:val="en-US"/>
        </w:rPr>
      </w:pPr>
    </w:p>
    <w:p w:rsidR="00FE692E" w:rsidRPr="00FE692E" w:rsidRDefault="00FE692E" w:rsidP="00233573">
      <w:pPr>
        <w:pStyle w:val="Citation-AltC"/>
        <w:widowControl w:val="0"/>
        <w:ind w:firstLine="274"/>
        <w:rPr>
          <w:lang w:val="en-US"/>
        </w:rPr>
      </w:pPr>
      <w:r w:rsidRPr="00FE692E">
        <w:rPr>
          <w:lang w:val="en-US"/>
        </w:rPr>
        <w:t>Rights produce their effects between the parties even if they are not published, unless the law expressly provides otherwise.</w:t>
      </w:r>
    </w:p>
    <w:p w:rsidR="00FE692E" w:rsidRPr="00FE692E" w:rsidRDefault="00FE692E" w:rsidP="00233573">
      <w:pPr>
        <w:pStyle w:val="Citation-AltC"/>
        <w:widowControl w:val="0"/>
        <w:tabs>
          <w:tab w:val="left" w:pos="4159"/>
        </w:tabs>
        <w:rPr>
          <w:b/>
          <w:lang w:val="en-US"/>
        </w:rPr>
      </w:pPr>
      <w:r w:rsidRPr="00FE692E">
        <w:rPr>
          <w:b/>
          <w:lang w:val="en-US"/>
        </w:rPr>
        <w:tab/>
      </w:r>
    </w:p>
    <w:p w:rsidR="00FE692E" w:rsidRPr="00FE692E" w:rsidRDefault="00FE692E" w:rsidP="00233573">
      <w:pPr>
        <w:pStyle w:val="Citation-AltC"/>
        <w:widowControl w:val="0"/>
        <w:ind w:firstLine="274"/>
        <w:rPr>
          <w:u w:val="single"/>
          <w:lang w:val="en-US"/>
        </w:rPr>
      </w:pPr>
      <w:r w:rsidRPr="00FE692E">
        <w:rPr>
          <w:b/>
          <w:lang w:val="en-US"/>
        </w:rPr>
        <w:t>2943.</w:t>
      </w:r>
      <w:r w:rsidRPr="00FE692E">
        <w:rPr>
          <w:lang w:val="en-US"/>
        </w:rPr>
        <w:t xml:space="preserve"> </w:t>
      </w:r>
      <w:r w:rsidRPr="00FE692E">
        <w:rPr>
          <w:u w:val="single"/>
          <w:lang w:val="en-US"/>
        </w:rPr>
        <w:t xml:space="preserve">A right registered in a register in regard to property is presumed known to any person acquiring or publishing a right in the same property. </w:t>
      </w:r>
    </w:p>
    <w:p w:rsidR="00FE692E" w:rsidRPr="00FE692E" w:rsidRDefault="00FE692E" w:rsidP="00233573">
      <w:pPr>
        <w:pStyle w:val="Citation-AltC"/>
        <w:widowControl w:val="0"/>
        <w:rPr>
          <w:lang w:val="en-US"/>
        </w:rPr>
      </w:pPr>
    </w:p>
    <w:p w:rsidR="00FE692E" w:rsidRPr="00FE692E" w:rsidRDefault="00FE692E" w:rsidP="00233573">
      <w:pPr>
        <w:pStyle w:val="Citation-AltC"/>
        <w:widowControl w:val="0"/>
        <w:ind w:firstLine="274"/>
        <w:rPr>
          <w:lang w:val="en-US"/>
        </w:rPr>
      </w:pPr>
      <w:r w:rsidRPr="00FE692E">
        <w:rPr>
          <w:lang w:val="en-US"/>
        </w:rPr>
        <w:t>A person who does not consult the appropriate register and, in the case of a right registered in the land register, the application to which the registration refers, as well as the accompanying document if the application is in the form of a summary, may not invoke good faith to rebut the presumption.</w:t>
      </w:r>
    </w:p>
    <w:p w:rsidR="00FE692E" w:rsidRPr="00FE692E" w:rsidRDefault="00FE692E" w:rsidP="00233573">
      <w:pPr>
        <w:pStyle w:val="Citation-AltC"/>
        <w:widowControl w:val="0"/>
        <w:ind w:left="0"/>
        <w:rPr>
          <w:lang w:val="en-US"/>
        </w:rPr>
      </w:pPr>
    </w:p>
    <w:p w:rsidR="00FE692E" w:rsidRPr="00FE692E" w:rsidRDefault="00FE692E" w:rsidP="00233573">
      <w:pPr>
        <w:pStyle w:val="Citation-AltC"/>
        <w:widowControl w:val="0"/>
        <w:ind w:firstLine="274"/>
        <w:rPr>
          <w:u w:val="single"/>
          <w:lang w:val="en-US"/>
        </w:rPr>
      </w:pPr>
      <w:r w:rsidRPr="00FE692E">
        <w:rPr>
          <w:b/>
          <w:bCs/>
          <w:lang w:val="en-US"/>
        </w:rPr>
        <w:t>2944.</w:t>
      </w:r>
      <w:r w:rsidRPr="00FE692E">
        <w:rPr>
          <w:lang w:val="en-US"/>
        </w:rPr>
        <w:t xml:space="preserve"> </w:t>
      </w:r>
      <w:r w:rsidRPr="00FE692E">
        <w:rPr>
          <w:u w:val="single"/>
          <w:lang w:val="en-US"/>
        </w:rPr>
        <w:t xml:space="preserve">Registration of a right in the register of personal and movable real rights or the land register entails, as against all persons, a simple presumption of the existence of that right. </w:t>
      </w:r>
    </w:p>
    <w:p w:rsidR="00FE692E" w:rsidRPr="00FE692E" w:rsidRDefault="00FE692E" w:rsidP="00233573">
      <w:pPr>
        <w:pStyle w:val="Citation-AltC"/>
        <w:widowControl w:val="0"/>
        <w:rPr>
          <w:lang w:val="en-US"/>
        </w:rPr>
      </w:pPr>
    </w:p>
    <w:p w:rsidR="00FE692E" w:rsidRPr="00FE692E" w:rsidRDefault="00FE692E" w:rsidP="00233573">
      <w:pPr>
        <w:pStyle w:val="Citation-AltC"/>
        <w:widowControl w:val="0"/>
        <w:ind w:firstLine="274"/>
        <w:rPr>
          <w:lang w:val="en-US"/>
        </w:rPr>
      </w:pPr>
      <w:r w:rsidRPr="00FE692E">
        <w:rPr>
          <w:b/>
          <w:bCs/>
          <w:lang w:val="en-US"/>
        </w:rPr>
        <w:t>2945.</w:t>
      </w:r>
      <w:r w:rsidRPr="00FE692E">
        <w:rPr>
          <w:lang w:val="en-US"/>
        </w:rPr>
        <w:t xml:space="preserve"> Unless otherwise provided by law, </w:t>
      </w:r>
      <w:r w:rsidRPr="00FE692E">
        <w:rPr>
          <w:u w:val="single"/>
          <w:lang w:val="en-US"/>
        </w:rPr>
        <w:t>rights rank according to the date, hour and minute entered on the memorial of presentation</w:t>
      </w:r>
      <w:r w:rsidRPr="00FE692E">
        <w:rPr>
          <w:lang w:val="en-US"/>
        </w:rPr>
        <w:t xml:space="preserve"> or, if the application concerning them is presented for registration in the land register, entered in the book of presentation, provided that the entries have been made in the appropriate registers. </w:t>
      </w:r>
    </w:p>
    <w:p w:rsidR="00FE692E" w:rsidRPr="00FE692E" w:rsidRDefault="00FE692E" w:rsidP="00233573">
      <w:pPr>
        <w:pStyle w:val="Citation-AltC"/>
        <w:widowControl w:val="0"/>
        <w:rPr>
          <w:lang w:val="en-US"/>
        </w:rPr>
      </w:pPr>
    </w:p>
    <w:p w:rsidR="00FE692E" w:rsidRPr="00FE692E" w:rsidRDefault="00FE692E" w:rsidP="00233573">
      <w:pPr>
        <w:pStyle w:val="Citation-AltC"/>
        <w:widowControl w:val="0"/>
        <w:ind w:firstLine="274"/>
        <w:rPr>
          <w:lang w:val="en-US"/>
        </w:rPr>
      </w:pPr>
      <w:r w:rsidRPr="00FE692E">
        <w:rPr>
          <w:lang w:val="en-US"/>
        </w:rPr>
        <w:t xml:space="preserve">Where publication by delivery is authorized by law, rights rank according to the time at which the property or title is delivered to the creditor.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Under art. 2918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00F21279">
        <w:rPr>
          <w:rFonts w:cs="Times New Roman"/>
          <w:i/>
          <w:lang w:val="en-US"/>
        </w:rPr>
        <w:t>.</w:t>
      </w:r>
      <w:r w:rsidRPr="00FE692E">
        <w:rPr>
          <w:rFonts w:cs="Times New Roman"/>
          <w:lang w:val="en-US"/>
        </w:rPr>
        <w:t xml:space="preserve">, the prescriptive acquisition of ownership of an </w:t>
      </w:r>
      <w:r w:rsidRPr="00FE692E">
        <w:rPr>
          <w:rFonts w:cs="Times New Roman"/>
          <w:lang w:val="en-US"/>
        </w:rPr>
        <w:lastRenderedPageBreak/>
        <w:t xml:space="preserve">immovable is conditional on first obtaining a judgment following a judicial application by the possessor. In this case, the respondent did not make such an application before the appellants acquired title to the property in July 2011. In fact, the respondent waited until the appellants brought an action against her for a permanent injunction before filing her counterclaim asking for a declaration of ownership. Given that the trial court’s judgment in the respondent’s </w:t>
      </w:r>
      <w:proofErr w:type="spellStart"/>
      <w:r w:rsidRPr="00FE692E">
        <w:rPr>
          <w:rFonts w:cs="Times New Roman"/>
          <w:lang w:val="en-US"/>
        </w:rPr>
        <w:t>favour</w:t>
      </w:r>
      <w:proofErr w:type="spellEnd"/>
      <w:r w:rsidRPr="00FE692E">
        <w:rPr>
          <w:rFonts w:cs="Times New Roman"/>
          <w:lang w:val="en-US"/>
        </w:rPr>
        <w:t xml:space="preserve"> was rendered on October 22, 2013, the appellants are, with respect to the immovable in question, prior in time and — as revealed by the register — prior in rank. Therefore, the respondent’s possession cannot be set up against the appellants’ title.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I would add the following. Contrary to what my colleague suggests, the equities of this case do not weigh in </w:t>
      </w:r>
      <w:proofErr w:type="spellStart"/>
      <w:r w:rsidRPr="00FE692E">
        <w:rPr>
          <w:rFonts w:cs="Times New Roman"/>
          <w:lang w:val="en-US"/>
        </w:rPr>
        <w:t>favour</w:t>
      </w:r>
      <w:proofErr w:type="spellEnd"/>
      <w:r w:rsidRPr="00FE692E">
        <w:rPr>
          <w:rFonts w:cs="Times New Roman"/>
          <w:lang w:val="en-US"/>
        </w:rPr>
        <w:t xml:space="preserve"> of awarding the contested immovable to the respondent. The respondent is not a possessor who happened to have acquired a defective title. The respondent was encroaching on the immovable when the appellants acquired it by </w:t>
      </w:r>
      <w:proofErr w:type="spellStart"/>
      <w:r w:rsidRPr="00FE692E">
        <w:rPr>
          <w:rFonts w:cs="Times New Roman"/>
          <w:lang w:val="en-US"/>
        </w:rPr>
        <w:t>translatory</w:t>
      </w:r>
      <w:proofErr w:type="spellEnd"/>
      <w:r w:rsidRPr="00FE692E">
        <w:rPr>
          <w:rFonts w:cs="Times New Roman"/>
          <w:lang w:val="en-US"/>
        </w:rPr>
        <w:t xml:space="preserve"> act. And the appellants acquired a real right through that act, not a personal claim against their vendor. Even if we assume, as my colleague does, that the appellants have a claim against their predecessor in title under art. 1724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00F21279">
        <w:rPr>
          <w:rFonts w:cs="Times New Roman"/>
          <w:i/>
          <w:lang w:val="en-US"/>
        </w:rPr>
        <w:t>.</w:t>
      </w:r>
      <w:r w:rsidRPr="00FE692E">
        <w:rPr>
          <w:rFonts w:cs="Times New Roman"/>
          <w:lang w:val="en-US"/>
        </w:rPr>
        <w:t xml:space="preserve"> — such assumption being far from borne out on the facts of this case — there is no equivalence between real rights and personal rights under the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Pr="00FE692E">
        <w:rPr>
          <w:rFonts w:cs="Times New Roman"/>
          <w:lang w:val="en-US"/>
        </w:rPr>
        <w:t xml:space="preserve">. Unlike personal rights, real rights are fundamentally enforceable </w:t>
      </w:r>
      <w:proofErr w:type="spellStart"/>
      <w:r w:rsidRPr="00FE692E">
        <w:rPr>
          <w:rFonts w:cs="Times New Roman"/>
          <w:i/>
          <w:lang w:val="en-US"/>
        </w:rPr>
        <w:t>erga</w:t>
      </w:r>
      <w:proofErr w:type="spellEnd"/>
      <w:r w:rsidRPr="00FE692E">
        <w:rPr>
          <w:rFonts w:cs="Times New Roman"/>
          <w:i/>
          <w:lang w:val="en-US"/>
        </w:rPr>
        <w:t xml:space="preserve"> </w:t>
      </w:r>
      <w:proofErr w:type="spellStart"/>
      <w:r w:rsidRPr="00FE692E">
        <w:rPr>
          <w:rFonts w:cs="Times New Roman"/>
          <w:i/>
          <w:lang w:val="en-US"/>
        </w:rPr>
        <w:t>omnes</w:t>
      </w:r>
      <w:proofErr w:type="spellEnd"/>
      <w:r w:rsidRPr="00FE692E">
        <w:rPr>
          <w:rFonts w:cs="Times New Roman"/>
          <w:lang w:val="en-US"/>
        </w:rPr>
        <w:t xml:space="preserve"> (enforceable against all). It is this essential feature of real rights that underlies the logic of art. 2938, which is central to the</w:t>
      </w:r>
      <w:r w:rsidRPr="00FE692E">
        <w:rPr>
          <w:rFonts w:cs="Times New Roman"/>
          <w:i/>
          <w:lang w:val="en-US"/>
        </w:rPr>
        <w:t xml:space="preserve"> 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00F21279">
        <w:rPr>
          <w:rFonts w:cs="Times New Roman"/>
          <w:i/>
          <w:lang w:val="en-US"/>
        </w:rPr>
        <w:t>.</w:t>
      </w:r>
      <w:r w:rsidRPr="00FE692E">
        <w:rPr>
          <w:rFonts w:cs="Times New Roman"/>
          <w:lang w:val="en-US"/>
        </w:rPr>
        <w:t xml:space="preserve">’s publication regime: </w:t>
      </w:r>
    </w:p>
    <w:p w:rsidR="00FE692E" w:rsidRPr="00FE692E" w:rsidRDefault="00FE692E" w:rsidP="00233573">
      <w:pPr>
        <w:pStyle w:val="Citation-AltC"/>
        <w:widowControl w:val="0"/>
        <w:ind w:firstLine="274"/>
        <w:rPr>
          <w:lang w:val="en-US"/>
        </w:rPr>
      </w:pPr>
      <w:r w:rsidRPr="00FE692E">
        <w:rPr>
          <w:b/>
          <w:lang w:val="en-US"/>
        </w:rPr>
        <w:lastRenderedPageBreak/>
        <w:t>2938.</w:t>
      </w:r>
      <w:r w:rsidRPr="00FE692E">
        <w:rPr>
          <w:lang w:val="en-US"/>
        </w:rPr>
        <w:t xml:space="preserve"> </w:t>
      </w:r>
      <w:r w:rsidRPr="00FE692E">
        <w:rPr>
          <w:u w:val="single"/>
          <w:lang w:val="en-US"/>
        </w:rPr>
        <w:t>The acquisition, creation, recognition, modification, transmission or extinction of an immovable real right</w:t>
      </w:r>
      <w:r w:rsidR="002B18F0">
        <w:rPr>
          <w:u w:val="single"/>
          <w:lang w:val="en-US"/>
        </w:rPr>
        <w:t xml:space="preserve"> requires publication.</w:t>
      </w:r>
    </w:p>
    <w:p w:rsidR="00FE692E" w:rsidRPr="00FE692E" w:rsidRDefault="00FE692E" w:rsidP="00233573">
      <w:pPr>
        <w:pStyle w:val="Citation-AltC"/>
        <w:widowControl w:val="0"/>
        <w:rPr>
          <w:lang w:val="en-US"/>
        </w:rPr>
      </w:pPr>
    </w:p>
    <w:p w:rsidR="00FE692E" w:rsidRPr="00FE692E" w:rsidRDefault="00FE692E" w:rsidP="00233573">
      <w:pPr>
        <w:pStyle w:val="Citation-AltC"/>
        <w:widowControl w:val="0"/>
        <w:ind w:firstLine="274"/>
        <w:rPr>
          <w:lang w:val="en-US"/>
        </w:rPr>
      </w:pPr>
      <w:r w:rsidRPr="00FE692E">
        <w:rPr>
          <w:lang w:val="en-US"/>
        </w:rPr>
        <w:t xml:space="preserve">Renunciation of a succession, legacy, community of property, partition of the value of </w:t>
      </w:r>
      <w:proofErr w:type="spellStart"/>
      <w:r w:rsidRPr="00FE692E">
        <w:rPr>
          <w:lang w:val="en-US"/>
        </w:rPr>
        <w:t>acquests</w:t>
      </w:r>
      <w:proofErr w:type="spellEnd"/>
      <w:r w:rsidRPr="00FE692E">
        <w:rPr>
          <w:lang w:val="en-US"/>
        </w:rPr>
        <w:t xml:space="preserve"> or of the family patrimony, and the judgment annulling renunciation, also require publication. </w:t>
      </w:r>
    </w:p>
    <w:p w:rsidR="00FE692E" w:rsidRPr="00FE692E" w:rsidRDefault="00FE692E" w:rsidP="00233573">
      <w:pPr>
        <w:pStyle w:val="Citation-AltC"/>
        <w:widowControl w:val="0"/>
        <w:rPr>
          <w:lang w:val="en-US"/>
        </w:rPr>
      </w:pPr>
    </w:p>
    <w:p w:rsidR="00FE692E" w:rsidRPr="00FE692E" w:rsidRDefault="00FE692E" w:rsidP="00233573">
      <w:pPr>
        <w:pStyle w:val="Citation-AltC"/>
        <w:widowControl w:val="0"/>
        <w:ind w:firstLine="274"/>
        <w:rPr>
          <w:lang w:val="en-US"/>
        </w:rPr>
      </w:pPr>
      <w:r w:rsidRPr="00FE692E">
        <w:rPr>
          <w:lang w:val="en-US"/>
        </w:rPr>
        <w:t xml:space="preserve">Other personal rights and movable real rights require publication to the extent prescribed or expressly authorized by law. Modification or extinction of a published right shall also be published.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As Justice Jacques recognized, this same feature of enforceability against third parties — notably third party purchasers and creditors — underscores the importance of the land register in a modern society: </w:t>
      </w:r>
    </w:p>
    <w:p w:rsidR="00FE692E" w:rsidRPr="006847A4" w:rsidRDefault="00FE692E" w:rsidP="00233573">
      <w:pPr>
        <w:pStyle w:val="Citation-AltC"/>
        <w:widowControl w:val="0"/>
      </w:pPr>
      <w:r w:rsidRPr="00FE692E">
        <w:rPr>
          <w:lang w:val="en-US"/>
        </w:rPr>
        <w:t>[</w:t>
      </w:r>
      <w:r w:rsidRPr="00FE692E">
        <w:rPr>
          <w:smallCaps/>
          <w:lang w:val="en-US"/>
        </w:rPr>
        <w:t>translation</w:t>
      </w:r>
      <w:r w:rsidRPr="00FE692E">
        <w:rPr>
          <w:lang w:val="en-US"/>
        </w:rPr>
        <w:t xml:space="preserve">] By providing information on which acquirers, </w:t>
      </w:r>
      <w:proofErr w:type="spellStart"/>
      <w:r w:rsidRPr="00FE692E">
        <w:rPr>
          <w:lang w:val="en-US"/>
        </w:rPr>
        <w:t>hypothecary</w:t>
      </w:r>
      <w:proofErr w:type="spellEnd"/>
      <w:r w:rsidRPr="00FE692E">
        <w:rPr>
          <w:lang w:val="en-US"/>
        </w:rPr>
        <w:t xml:space="preserve"> creditors and others rely in assessing the validity of a title of ownership, the land register promotes the security of transactions and the exploitation of the economic value of </w:t>
      </w:r>
      <w:proofErr w:type="spellStart"/>
      <w:r w:rsidRPr="00FE692E">
        <w:rPr>
          <w:lang w:val="en-US"/>
        </w:rPr>
        <w:t>immovables</w:t>
      </w:r>
      <w:proofErr w:type="spellEnd"/>
      <w:r w:rsidRPr="00FE692E">
        <w:rPr>
          <w:lang w:val="en-US"/>
        </w:rPr>
        <w:t xml:space="preserve">. No one, for example, would be interested in acquiring an immovable if there were no way to verify that the person claiming to own it has a valid title of ownership. The land registration system therefore has a </w:t>
      </w:r>
      <w:r w:rsidRPr="00FE692E">
        <w:rPr>
          <w:u w:val="single"/>
          <w:lang w:val="en-US"/>
        </w:rPr>
        <w:t>vital importance</w:t>
      </w:r>
      <w:r w:rsidRPr="00FE692E">
        <w:rPr>
          <w:lang w:val="en-US"/>
        </w:rPr>
        <w:t>, although non</w:t>
      </w:r>
      <w:r w:rsidRPr="00FE692E">
        <w:rPr>
          <w:lang w:val="en-US"/>
        </w:rPr>
        <w:noBreakHyphen/>
        <w:t xml:space="preserve">specialists are unaware of that </w:t>
      </w:r>
      <w:proofErr w:type="gramStart"/>
      <w:r w:rsidRPr="00FE692E">
        <w:rPr>
          <w:lang w:val="en-US"/>
        </w:rPr>
        <w:t>importance, that</w:t>
      </w:r>
      <w:proofErr w:type="gramEnd"/>
      <w:r w:rsidRPr="00FE692E">
        <w:rPr>
          <w:lang w:val="en-US"/>
        </w:rPr>
        <w:t xml:space="preserve"> makes it central to the state’s mission. </w:t>
      </w:r>
      <w:r w:rsidRPr="006847A4">
        <w:t>[</w:t>
      </w:r>
      <w:proofErr w:type="spellStart"/>
      <w:r w:rsidRPr="006847A4">
        <w:t>Emphasis</w:t>
      </w:r>
      <w:proofErr w:type="spellEnd"/>
      <w:r w:rsidRPr="006847A4">
        <w:t xml:space="preserve"> </w:t>
      </w:r>
      <w:proofErr w:type="spellStart"/>
      <w:r w:rsidRPr="006847A4">
        <w:t>added</w:t>
      </w:r>
      <w:proofErr w:type="spellEnd"/>
      <w:r w:rsidRPr="006847A4">
        <w:t xml:space="preserve">; </w:t>
      </w:r>
      <w:proofErr w:type="spellStart"/>
      <w:r w:rsidRPr="006847A4">
        <w:t>footnotes</w:t>
      </w:r>
      <w:proofErr w:type="spellEnd"/>
      <w:r w:rsidRPr="006847A4">
        <w:t xml:space="preserve"> </w:t>
      </w:r>
      <w:proofErr w:type="spellStart"/>
      <w:r w:rsidRPr="006847A4">
        <w:t>omitted</w:t>
      </w:r>
      <w:proofErr w:type="spellEnd"/>
      <w:r w:rsidRPr="006847A4">
        <w:t>.]</w:t>
      </w:r>
    </w:p>
    <w:p w:rsidR="00FE692E" w:rsidRPr="006847A4" w:rsidRDefault="00FE692E" w:rsidP="00233573">
      <w:pPr>
        <w:pStyle w:val="Citation-AltC"/>
        <w:widowControl w:val="0"/>
        <w:rPr>
          <w:lang w:val="fr-FR"/>
        </w:rPr>
      </w:pPr>
    </w:p>
    <w:p w:rsidR="00FE692E" w:rsidRPr="006847A4" w:rsidRDefault="00FE692E" w:rsidP="00233573">
      <w:pPr>
        <w:pStyle w:val="Citation-AltC"/>
        <w:widowControl w:val="0"/>
        <w:ind w:left="0"/>
        <w:rPr>
          <w:lang w:val="fr-FR"/>
        </w:rPr>
      </w:pPr>
      <w:r w:rsidRPr="006847A4">
        <w:rPr>
          <w:lang w:val="fr-FR"/>
        </w:rPr>
        <w:t xml:space="preserve">(F. Brochu, </w:t>
      </w:r>
      <w:r w:rsidR="00F21279">
        <w:rPr>
          <w:i/>
          <w:lang w:val="fr-FR"/>
        </w:rPr>
        <w:t>Mémoire portant sur le P</w:t>
      </w:r>
      <w:r w:rsidRPr="006847A4">
        <w:rPr>
          <w:i/>
          <w:lang w:val="fr-FR"/>
        </w:rPr>
        <w:t>rojet de loi n</w:t>
      </w:r>
      <w:r w:rsidRPr="006847A4">
        <w:rPr>
          <w:i/>
          <w:vertAlign w:val="superscript"/>
          <w:lang w:val="fr-FR"/>
        </w:rPr>
        <w:t>o</w:t>
      </w:r>
      <w:r w:rsidRPr="006847A4">
        <w:rPr>
          <w:i/>
          <w:lang w:val="fr-FR"/>
        </w:rPr>
        <w:t xml:space="preserve"> 35, Loi modifiant le Code civil en matière d’état civil, de succession et de publicité des droits</w:t>
      </w:r>
      <w:r w:rsidRPr="006847A4">
        <w:rPr>
          <w:lang w:val="fr-FR"/>
        </w:rPr>
        <w:t>, Commission des institutions, May 23, 2013 (online), at p. 4)</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When the plain wording and structure of the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00F21279">
        <w:rPr>
          <w:rFonts w:cs="Times New Roman"/>
          <w:i/>
          <w:lang w:val="en-US"/>
        </w:rPr>
        <w:t>.</w:t>
      </w:r>
      <w:r w:rsidRPr="00FE692E">
        <w:rPr>
          <w:rFonts w:cs="Times New Roman"/>
          <w:lang w:val="en-US"/>
        </w:rPr>
        <w:t xml:space="preserve"> cohere with these modern realities, it is difficult to see why we should be eager to equate the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00F21279">
        <w:rPr>
          <w:rFonts w:cs="Times New Roman"/>
          <w:i/>
          <w:lang w:val="en-US"/>
        </w:rPr>
        <w:t>.</w:t>
      </w:r>
      <w:r w:rsidRPr="00FE692E">
        <w:rPr>
          <w:rFonts w:cs="Times New Roman"/>
          <w:lang w:val="en-US"/>
        </w:rPr>
        <w:t xml:space="preserve">’s regimes with those that existed under the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L</w:t>
      </w:r>
      <w:r w:rsidR="00F21279">
        <w:rPr>
          <w:rFonts w:cs="Times New Roman"/>
          <w:i/>
          <w:lang w:val="en-US"/>
        </w:rPr>
        <w:t>.</w:t>
      </w:r>
      <w:r w:rsidRPr="00FE692E">
        <w:rPr>
          <w:rFonts w:cs="Times New Roman"/>
          <w:i/>
          <w:lang w:val="en-US"/>
        </w:rPr>
        <w:t>C</w:t>
      </w:r>
      <w:r w:rsidRPr="00FE692E">
        <w:rPr>
          <w:rFonts w:cs="Times New Roman"/>
          <w:lang w:val="en-US"/>
        </w:rPr>
        <w:t>.  Indeed, this is all the more difficult to see in light of the interpretive principle that “the will of the legislature must be interpreted in light of prevailing, rather than historical, circumstances” (</w:t>
      </w:r>
      <w:r w:rsidRPr="00FE692E">
        <w:rPr>
          <w:rFonts w:cs="Times New Roman"/>
          <w:i/>
          <w:lang w:val="en-US"/>
        </w:rPr>
        <w:t xml:space="preserve">R. v. 974649 </w:t>
      </w:r>
      <w:r w:rsidRPr="00FE692E">
        <w:rPr>
          <w:rFonts w:cs="Times New Roman"/>
          <w:i/>
          <w:lang w:val="en-US"/>
        </w:rPr>
        <w:lastRenderedPageBreak/>
        <w:t>Ontario Inc.</w:t>
      </w:r>
      <w:r w:rsidRPr="00FE692E">
        <w:rPr>
          <w:rFonts w:cs="Times New Roman"/>
          <w:lang w:val="en-US"/>
        </w:rPr>
        <w:t xml:space="preserve">, 2001 SCC 81, [2001] 3 S.C.R. 575, at para. 38). </w:t>
      </w:r>
      <w:r w:rsidRPr="00FE692E">
        <w:rPr>
          <w:rFonts w:cs="Times New Roman"/>
          <w:i/>
          <w:lang w:val="en-US"/>
        </w:rPr>
        <w:t>A fortiori</w:t>
      </w:r>
      <w:r w:rsidRPr="00FE692E">
        <w:rPr>
          <w:rFonts w:cs="Times New Roman"/>
          <w:lang w:val="en-US"/>
        </w:rPr>
        <w:t xml:space="preserve">, I would think that a court should exercise caution before retrograding legislative amendments, like the judicial application requirement in art. 2918, or the publication regime in Book Nine of the </w:t>
      </w:r>
      <w:r w:rsidRPr="00FE692E">
        <w:rPr>
          <w:rFonts w:cs="Times New Roman"/>
          <w:i/>
          <w:lang w:val="en-US"/>
        </w:rPr>
        <w:t>C</w:t>
      </w:r>
      <w:r w:rsidR="00F21279">
        <w:rPr>
          <w:rFonts w:cs="Times New Roman"/>
          <w:i/>
          <w:lang w:val="en-US"/>
        </w:rPr>
        <w:t>.</w:t>
      </w:r>
      <w:r w:rsidRPr="00FE692E">
        <w:rPr>
          <w:rFonts w:cs="Times New Roman"/>
          <w:i/>
          <w:lang w:val="en-US"/>
        </w:rPr>
        <w:t>C</w:t>
      </w:r>
      <w:r w:rsidR="00F21279">
        <w:rPr>
          <w:rFonts w:cs="Times New Roman"/>
          <w:i/>
          <w:lang w:val="en-US"/>
        </w:rPr>
        <w:t>.</w:t>
      </w:r>
      <w:r w:rsidRPr="00FE692E">
        <w:rPr>
          <w:rFonts w:cs="Times New Roman"/>
          <w:i/>
          <w:lang w:val="en-US"/>
        </w:rPr>
        <w:t>Q</w:t>
      </w:r>
      <w:r w:rsidRPr="00FE692E">
        <w:rPr>
          <w:rFonts w:cs="Times New Roman"/>
          <w:lang w:val="en-US"/>
        </w:rPr>
        <w:t xml:space="preserve">. </w:t>
      </w:r>
    </w:p>
    <w:p w:rsidR="00FE692E" w:rsidRPr="00FE692E" w:rsidRDefault="00FE692E" w:rsidP="00233573">
      <w:pPr>
        <w:pStyle w:val="ParaNoNdepar-AltN"/>
        <w:widowControl w:val="0"/>
        <w:numPr>
          <w:ilvl w:val="0"/>
          <w:numId w:val="1"/>
        </w:numPr>
        <w:tabs>
          <w:tab w:val="clear" w:pos="1242"/>
          <w:tab w:val="num" w:pos="1152"/>
        </w:tabs>
        <w:ind w:left="0"/>
        <w:rPr>
          <w:rFonts w:cs="Times New Roman"/>
          <w:lang w:val="en-US"/>
        </w:rPr>
      </w:pPr>
      <w:r w:rsidRPr="00FE692E">
        <w:rPr>
          <w:rFonts w:cs="Times New Roman"/>
          <w:lang w:val="en-US"/>
        </w:rPr>
        <w:t xml:space="preserve">For these reasons, I would allow the appeal. </w:t>
      </w:r>
    </w:p>
    <w:p w:rsidR="009B57B3" w:rsidRPr="00C070BC" w:rsidRDefault="000B4105" w:rsidP="00233573">
      <w:pPr>
        <w:pStyle w:val="SCCNormalDoubleSpacing"/>
        <w:widowControl w:val="0"/>
        <w:spacing w:before="480" w:after="480"/>
      </w:pPr>
      <w:r w:rsidRPr="00FE692E">
        <w:rPr>
          <w:lang w:val="en-US"/>
        </w:rPr>
        <w:tab/>
      </w:r>
      <w:r w:rsidR="00656313" w:rsidRPr="00C070BC">
        <w:rPr>
          <w:i/>
        </w:rPr>
        <w:t>Appeal</w:t>
      </w:r>
      <w:r w:rsidRPr="00C070BC">
        <w:rPr>
          <w:i/>
        </w:rPr>
        <w:t xml:space="preserve"> </w:t>
      </w:r>
      <w:r w:rsidR="00A71866" w:rsidRPr="00C070BC">
        <w:rPr>
          <w:i/>
        </w:rPr>
        <w:t>dismissed</w:t>
      </w:r>
      <w:r w:rsidR="00A30F4C" w:rsidRPr="00C070BC">
        <w:rPr>
          <w:i/>
        </w:rPr>
        <w:t xml:space="preserve"> with costs</w:t>
      </w:r>
      <w:r w:rsidR="00A71866" w:rsidRPr="00C070BC">
        <w:rPr>
          <w:i/>
        </w:rPr>
        <w:t xml:space="preserve">, </w:t>
      </w:r>
      <w:proofErr w:type="spellStart"/>
      <w:r w:rsidR="00A71866" w:rsidRPr="00C070BC">
        <w:rPr>
          <w:smallCaps/>
        </w:rPr>
        <w:t>Côté</w:t>
      </w:r>
      <w:proofErr w:type="spellEnd"/>
      <w:r w:rsidR="004B5EE9" w:rsidRPr="00C070BC">
        <w:rPr>
          <w:smallCaps/>
        </w:rPr>
        <w:t> </w:t>
      </w:r>
      <w:r w:rsidR="00A71866" w:rsidRPr="00C070BC">
        <w:rPr>
          <w:smallCaps/>
        </w:rPr>
        <w:t>J.</w:t>
      </w:r>
      <w:r w:rsidR="00A71866" w:rsidRPr="00C070BC">
        <w:rPr>
          <w:i/>
        </w:rPr>
        <w:t xml:space="preserve"> dissenting</w:t>
      </w:r>
      <w:r w:rsidRPr="00C070BC">
        <w:rPr>
          <w:i/>
        </w:rPr>
        <w:t>.</w:t>
      </w:r>
    </w:p>
    <w:p w:rsidR="000B4105" w:rsidRPr="00C070BC" w:rsidRDefault="000B4105" w:rsidP="00233573">
      <w:pPr>
        <w:pStyle w:val="SCCLawFirm"/>
        <w:widowControl w:val="0"/>
        <w:spacing w:before="480" w:after="480"/>
        <w:rPr>
          <w:lang w:val="fr-CA"/>
        </w:rPr>
      </w:pPr>
      <w:r w:rsidRPr="00C070BC">
        <w:tab/>
      </w:r>
      <w:r w:rsidRPr="00C070BC">
        <w:rPr>
          <w:lang w:val="fr-CA"/>
        </w:rPr>
        <w:t xml:space="preserve">Solicitors for the </w:t>
      </w:r>
      <w:proofErr w:type="spellStart"/>
      <w:r w:rsidRPr="00C070BC">
        <w:rPr>
          <w:lang w:val="fr-CA"/>
        </w:rPr>
        <w:t>appellants</w:t>
      </w:r>
      <w:proofErr w:type="spellEnd"/>
      <w:r w:rsidR="002D255B" w:rsidRPr="00C070BC">
        <w:rPr>
          <w:lang w:val="fr-CA"/>
        </w:rPr>
        <w:t>: </w:t>
      </w:r>
      <w:r w:rsidRPr="00C070BC">
        <w:rPr>
          <w:lang w:val="fr-CA"/>
        </w:rPr>
        <w:t xml:space="preserve">De </w:t>
      </w:r>
      <w:proofErr w:type="spellStart"/>
      <w:r w:rsidRPr="00C070BC">
        <w:rPr>
          <w:lang w:val="fr-CA"/>
        </w:rPr>
        <w:t>Grandpré</w:t>
      </w:r>
      <w:proofErr w:type="spellEnd"/>
      <w:r w:rsidRPr="00C070BC">
        <w:rPr>
          <w:lang w:val="fr-CA"/>
        </w:rPr>
        <w:t xml:space="preserve"> </w:t>
      </w:r>
      <w:proofErr w:type="spellStart"/>
      <w:r w:rsidRPr="00C070BC">
        <w:rPr>
          <w:lang w:val="fr-CA"/>
        </w:rPr>
        <w:t>Chait</w:t>
      </w:r>
      <w:proofErr w:type="spellEnd"/>
      <w:r w:rsidRPr="00C070BC">
        <w:rPr>
          <w:lang w:val="fr-CA"/>
        </w:rPr>
        <w:t>, Montréal.</w:t>
      </w:r>
    </w:p>
    <w:p w:rsidR="009B57B3" w:rsidRPr="00C070BC" w:rsidRDefault="000B4105" w:rsidP="00233573">
      <w:pPr>
        <w:pStyle w:val="SCCLawFirm"/>
        <w:widowControl w:val="0"/>
        <w:spacing w:before="480" w:after="480"/>
        <w:rPr>
          <w:lang w:val="fr-CA"/>
        </w:rPr>
      </w:pPr>
      <w:r w:rsidRPr="00C070BC">
        <w:rPr>
          <w:lang w:val="fr-CA"/>
        </w:rPr>
        <w:tab/>
        <w:t xml:space="preserve">Solicitors for the </w:t>
      </w:r>
      <w:proofErr w:type="spellStart"/>
      <w:r w:rsidRPr="00C070BC">
        <w:rPr>
          <w:lang w:val="fr-CA"/>
        </w:rPr>
        <w:t>respondent</w:t>
      </w:r>
      <w:proofErr w:type="spellEnd"/>
      <w:r w:rsidR="002D255B" w:rsidRPr="00C070BC">
        <w:rPr>
          <w:lang w:val="fr-CA"/>
        </w:rPr>
        <w:t>: </w:t>
      </w:r>
      <w:r w:rsidRPr="00C070BC">
        <w:rPr>
          <w:lang w:val="fr-CA"/>
        </w:rPr>
        <w:t xml:space="preserve">Lapointe </w:t>
      </w:r>
      <w:proofErr w:type="spellStart"/>
      <w:r w:rsidRPr="00C070BC">
        <w:rPr>
          <w:lang w:val="fr-CA"/>
        </w:rPr>
        <w:t>Rosenstein</w:t>
      </w:r>
      <w:proofErr w:type="spellEnd"/>
      <w:r w:rsidRPr="00C070BC">
        <w:rPr>
          <w:lang w:val="fr-CA"/>
        </w:rPr>
        <w:t xml:space="preserve"> Marchand </w:t>
      </w:r>
      <w:proofErr w:type="spellStart"/>
      <w:r w:rsidRPr="00C070BC">
        <w:rPr>
          <w:lang w:val="fr-CA"/>
        </w:rPr>
        <w:t>Melançon</w:t>
      </w:r>
      <w:proofErr w:type="spellEnd"/>
      <w:r w:rsidRPr="00C070BC">
        <w:rPr>
          <w:lang w:val="fr-CA"/>
        </w:rPr>
        <w:t>, Montréal.</w:t>
      </w:r>
      <w:r w:rsidR="00510D9E">
        <w:rPr>
          <w:lang w:val="fr-CA"/>
        </w:rPr>
        <w:t xml:space="preserve"> </w:t>
      </w:r>
    </w:p>
    <w:sectPr w:rsidR="009B57B3" w:rsidRPr="00C070BC" w:rsidSect="0085189C">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79" w:rsidRDefault="00F21279">
      <w:r>
        <w:separator/>
      </w:r>
    </w:p>
  </w:endnote>
  <w:endnote w:type="continuationSeparator" w:id="0">
    <w:p w:rsidR="00F21279" w:rsidRDefault="00F2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79" w:rsidRDefault="00F21279">
      <w:r>
        <w:separator/>
      </w:r>
    </w:p>
  </w:footnote>
  <w:footnote w:type="continuationSeparator" w:id="0">
    <w:p w:rsidR="00F21279" w:rsidRDefault="00F21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566066"/>
      <w:docPartObj>
        <w:docPartGallery w:val="Page Numbers (Top of Page)"/>
        <w:docPartUnique/>
      </w:docPartObj>
    </w:sdtPr>
    <w:sdtEndPr>
      <w:rPr>
        <w:noProof/>
      </w:rPr>
    </w:sdtEndPr>
    <w:sdtContent>
      <w:p w:rsidR="00F21279" w:rsidRDefault="00F21279">
        <w:pPr>
          <w:pStyle w:val="Header"/>
          <w:jc w:val="center"/>
        </w:pPr>
        <w:r>
          <w:fldChar w:fldCharType="begin"/>
        </w:r>
        <w:r>
          <w:instrText xml:space="preserve"> PAGE   \* MERGEFORMAT </w:instrText>
        </w:r>
        <w:r>
          <w:fldChar w:fldCharType="separate"/>
        </w:r>
        <w:r w:rsidR="00153C75">
          <w:rPr>
            <w:noProof/>
          </w:rPr>
          <w:t>16</w:t>
        </w:r>
        <w:r>
          <w:rPr>
            <w:noProof/>
          </w:rPr>
          <w:fldChar w:fldCharType="end"/>
        </w:r>
      </w:p>
    </w:sdtContent>
  </w:sdt>
  <w:p w:rsidR="00F21279" w:rsidRPr="00450352" w:rsidRDefault="00F21279"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1018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AC90BE5C"/>
    <w:lvl w:ilvl="0">
      <w:start w:val="1"/>
      <w:numFmt w:val="decimal"/>
      <w:lvlText w:val="[%1]"/>
      <w:lvlJc w:val="left"/>
      <w:pPr>
        <w:tabs>
          <w:tab w:val="num" w:pos="1242"/>
        </w:tabs>
        <w:ind w:left="9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7"/>
  </w:num>
  <w:num w:numId="4">
    <w:abstractNumId w:val="2"/>
  </w:num>
  <w:num w:numId="5">
    <w:abstractNumId w:val="1"/>
  </w:num>
  <w:num w:numId="6">
    <w:abstractNumId w:val="4"/>
  </w:num>
  <w:num w:numId="7">
    <w:abstractNumId w:val="5"/>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53B"/>
    <w:rsid w:val="00025198"/>
    <w:rsid w:val="000262C2"/>
    <w:rsid w:val="000375E2"/>
    <w:rsid w:val="000378D7"/>
    <w:rsid w:val="00045383"/>
    <w:rsid w:val="00050013"/>
    <w:rsid w:val="000578A3"/>
    <w:rsid w:val="000648CC"/>
    <w:rsid w:val="000B4105"/>
    <w:rsid w:val="000C59B8"/>
    <w:rsid w:val="000C6AF0"/>
    <w:rsid w:val="000D2E38"/>
    <w:rsid w:val="000D54F5"/>
    <w:rsid w:val="00104F33"/>
    <w:rsid w:val="001067B2"/>
    <w:rsid w:val="001072C5"/>
    <w:rsid w:val="00111DE2"/>
    <w:rsid w:val="00111F28"/>
    <w:rsid w:val="00115301"/>
    <w:rsid w:val="00116B38"/>
    <w:rsid w:val="00135406"/>
    <w:rsid w:val="00135972"/>
    <w:rsid w:val="0014062F"/>
    <w:rsid w:val="001426A9"/>
    <w:rsid w:val="00153C75"/>
    <w:rsid w:val="00154D7C"/>
    <w:rsid w:val="001570B0"/>
    <w:rsid w:val="0015752C"/>
    <w:rsid w:val="00157737"/>
    <w:rsid w:val="00165277"/>
    <w:rsid w:val="00170592"/>
    <w:rsid w:val="00181FC0"/>
    <w:rsid w:val="001850C9"/>
    <w:rsid w:val="00186351"/>
    <w:rsid w:val="00195D83"/>
    <w:rsid w:val="001A00C1"/>
    <w:rsid w:val="001B33E0"/>
    <w:rsid w:val="001B4573"/>
    <w:rsid w:val="001B45F7"/>
    <w:rsid w:val="001C779F"/>
    <w:rsid w:val="001D0C93"/>
    <w:rsid w:val="001D2AC1"/>
    <w:rsid w:val="001D4E88"/>
    <w:rsid w:val="001E560D"/>
    <w:rsid w:val="001E63A0"/>
    <w:rsid w:val="00202209"/>
    <w:rsid w:val="00220FC2"/>
    <w:rsid w:val="002222F4"/>
    <w:rsid w:val="00224FC0"/>
    <w:rsid w:val="00225EA4"/>
    <w:rsid w:val="00226EAF"/>
    <w:rsid w:val="002318FB"/>
    <w:rsid w:val="00231F3A"/>
    <w:rsid w:val="00233573"/>
    <w:rsid w:val="00234199"/>
    <w:rsid w:val="002406EE"/>
    <w:rsid w:val="00243EC8"/>
    <w:rsid w:val="00261D41"/>
    <w:rsid w:val="00267A3F"/>
    <w:rsid w:val="00270D93"/>
    <w:rsid w:val="002745CC"/>
    <w:rsid w:val="002751A3"/>
    <w:rsid w:val="00285540"/>
    <w:rsid w:val="00286717"/>
    <w:rsid w:val="0029255B"/>
    <w:rsid w:val="002A5A28"/>
    <w:rsid w:val="002A7145"/>
    <w:rsid w:val="002B18F0"/>
    <w:rsid w:val="002B7924"/>
    <w:rsid w:val="002C3C64"/>
    <w:rsid w:val="002D212F"/>
    <w:rsid w:val="002D255B"/>
    <w:rsid w:val="002D28C3"/>
    <w:rsid w:val="002D39A4"/>
    <w:rsid w:val="002E2F26"/>
    <w:rsid w:val="002E6705"/>
    <w:rsid w:val="00301D08"/>
    <w:rsid w:val="0030329A"/>
    <w:rsid w:val="003064FB"/>
    <w:rsid w:val="0031086F"/>
    <w:rsid w:val="0031414C"/>
    <w:rsid w:val="00314E01"/>
    <w:rsid w:val="0032089D"/>
    <w:rsid w:val="00321A44"/>
    <w:rsid w:val="003310DE"/>
    <w:rsid w:val="003323B0"/>
    <w:rsid w:val="003378DA"/>
    <w:rsid w:val="003415DD"/>
    <w:rsid w:val="00346952"/>
    <w:rsid w:val="00347812"/>
    <w:rsid w:val="0035169A"/>
    <w:rsid w:val="0035259D"/>
    <w:rsid w:val="00364B18"/>
    <w:rsid w:val="00367DBD"/>
    <w:rsid w:val="00391314"/>
    <w:rsid w:val="003A125D"/>
    <w:rsid w:val="003A2E94"/>
    <w:rsid w:val="003A4C70"/>
    <w:rsid w:val="003B215F"/>
    <w:rsid w:val="003B7C75"/>
    <w:rsid w:val="003C799C"/>
    <w:rsid w:val="003D0399"/>
    <w:rsid w:val="003D4946"/>
    <w:rsid w:val="003E0A2B"/>
    <w:rsid w:val="003E1C71"/>
    <w:rsid w:val="003F327B"/>
    <w:rsid w:val="00406166"/>
    <w:rsid w:val="0040704B"/>
    <w:rsid w:val="00410A55"/>
    <w:rsid w:val="00411300"/>
    <w:rsid w:val="00415417"/>
    <w:rsid w:val="00426659"/>
    <w:rsid w:val="00435107"/>
    <w:rsid w:val="004402C6"/>
    <w:rsid w:val="004416DE"/>
    <w:rsid w:val="004434A0"/>
    <w:rsid w:val="00450352"/>
    <w:rsid w:val="00454BDB"/>
    <w:rsid w:val="00456D0B"/>
    <w:rsid w:val="00464800"/>
    <w:rsid w:val="00465132"/>
    <w:rsid w:val="00480C90"/>
    <w:rsid w:val="0048396F"/>
    <w:rsid w:val="00485C28"/>
    <w:rsid w:val="00493C18"/>
    <w:rsid w:val="00495B13"/>
    <w:rsid w:val="004A600C"/>
    <w:rsid w:val="004A6118"/>
    <w:rsid w:val="004B3C8A"/>
    <w:rsid w:val="004B5EE9"/>
    <w:rsid w:val="004C1DC4"/>
    <w:rsid w:val="004C478D"/>
    <w:rsid w:val="004E2C26"/>
    <w:rsid w:val="004E72A9"/>
    <w:rsid w:val="004F36FF"/>
    <w:rsid w:val="0050519B"/>
    <w:rsid w:val="00510D9E"/>
    <w:rsid w:val="005125A8"/>
    <w:rsid w:val="00521216"/>
    <w:rsid w:val="00521AE8"/>
    <w:rsid w:val="00524E3C"/>
    <w:rsid w:val="00525F8E"/>
    <w:rsid w:val="00527180"/>
    <w:rsid w:val="005321EB"/>
    <w:rsid w:val="0054087A"/>
    <w:rsid w:val="0054201E"/>
    <w:rsid w:val="00543DCF"/>
    <w:rsid w:val="00555291"/>
    <w:rsid w:val="0055609E"/>
    <w:rsid w:val="00566AD1"/>
    <w:rsid w:val="00583EDE"/>
    <w:rsid w:val="00597F93"/>
    <w:rsid w:val="005A5FA7"/>
    <w:rsid w:val="005A6079"/>
    <w:rsid w:val="005A7102"/>
    <w:rsid w:val="005D6AC1"/>
    <w:rsid w:val="005E4698"/>
    <w:rsid w:val="005E60E6"/>
    <w:rsid w:val="00610539"/>
    <w:rsid w:val="00613969"/>
    <w:rsid w:val="00625C35"/>
    <w:rsid w:val="00633F02"/>
    <w:rsid w:val="00656313"/>
    <w:rsid w:val="006565F4"/>
    <w:rsid w:val="006847A9"/>
    <w:rsid w:val="00684EEA"/>
    <w:rsid w:val="0068738B"/>
    <w:rsid w:val="0069689B"/>
    <w:rsid w:val="006A1551"/>
    <w:rsid w:val="006B5FF5"/>
    <w:rsid w:val="006E0DB1"/>
    <w:rsid w:val="006F0D5E"/>
    <w:rsid w:val="006F30AF"/>
    <w:rsid w:val="00701759"/>
    <w:rsid w:val="00705C15"/>
    <w:rsid w:val="00711213"/>
    <w:rsid w:val="0071600E"/>
    <w:rsid w:val="007208D1"/>
    <w:rsid w:val="007449CE"/>
    <w:rsid w:val="00747288"/>
    <w:rsid w:val="00747DD3"/>
    <w:rsid w:val="0075073D"/>
    <w:rsid w:val="007549C8"/>
    <w:rsid w:val="00754A0B"/>
    <w:rsid w:val="0075538C"/>
    <w:rsid w:val="007606DD"/>
    <w:rsid w:val="00761330"/>
    <w:rsid w:val="00766D14"/>
    <w:rsid w:val="00767A0F"/>
    <w:rsid w:val="00790A8A"/>
    <w:rsid w:val="00792519"/>
    <w:rsid w:val="007A05F6"/>
    <w:rsid w:val="007B6F4A"/>
    <w:rsid w:val="007C74E6"/>
    <w:rsid w:val="007D23AE"/>
    <w:rsid w:val="007E1C47"/>
    <w:rsid w:val="007E29AC"/>
    <w:rsid w:val="007E337A"/>
    <w:rsid w:val="007E5C70"/>
    <w:rsid w:val="007F2FF5"/>
    <w:rsid w:val="007F3173"/>
    <w:rsid w:val="007F3F08"/>
    <w:rsid w:val="00804CC6"/>
    <w:rsid w:val="00805323"/>
    <w:rsid w:val="00817190"/>
    <w:rsid w:val="00820EE5"/>
    <w:rsid w:val="008260E2"/>
    <w:rsid w:val="00830ED7"/>
    <w:rsid w:val="008322BD"/>
    <w:rsid w:val="00833E0A"/>
    <w:rsid w:val="00834F73"/>
    <w:rsid w:val="0085189C"/>
    <w:rsid w:val="00856815"/>
    <w:rsid w:val="00860FF9"/>
    <w:rsid w:val="00864CF8"/>
    <w:rsid w:val="00870DD5"/>
    <w:rsid w:val="00872819"/>
    <w:rsid w:val="00874914"/>
    <w:rsid w:val="00891422"/>
    <w:rsid w:val="00891F09"/>
    <w:rsid w:val="00892E1A"/>
    <w:rsid w:val="00897C6F"/>
    <w:rsid w:val="008A3F29"/>
    <w:rsid w:val="008A599E"/>
    <w:rsid w:val="008B660A"/>
    <w:rsid w:val="008C01DA"/>
    <w:rsid w:val="008C77D7"/>
    <w:rsid w:val="008D631E"/>
    <w:rsid w:val="008F0AED"/>
    <w:rsid w:val="008F2359"/>
    <w:rsid w:val="008F354C"/>
    <w:rsid w:val="008F78E9"/>
    <w:rsid w:val="00911989"/>
    <w:rsid w:val="009179F9"/>
    <w:rsid w:val="00923D45"/>
    <w:rsid w:val="00933E5E"/>
    <w:rsid w:val="00935218"/>
    <w:rsid w:val="009403F3"/>
    <w:rsid w:val="0094188F"/>
    <w:rsid w:val="009555B7"/>
    <w:rsid w:val="009567AA"/>
    <w:rsid w:val="009666EE"/>
    <w:rsid w:val="00967374"/>
    <w:rsid w:val="00967D01"/>
    <w:rsid w:val="00982D77"/>
    <w:rsid w:val="00985DE6"/>
    <w:rsid w:val="009902AB"/>
    <w:rsid w:val="00994A83"/>
    <w:rsid w:val="009A343A"/>
    <w:rsid w:val="009B2F23"/>
    <w:rsid w:val="009B57B3"/>
    <w:rsid w:val="009C5B92"/>
    <w:rsid w:val="009D2920"/>
    <w:rsid w:val="009D5AEB"/>
    <w:rsid w:val="009E219E"/>
    <w:rsid w:val="009F0E33"/>
    <w:rsid w:val="00A0130F"/>
    <w:rsid w:val="00A030CE"/>
    <w:rsid w:val="00A149DF"/>
    <w:rsid w:val="00A1755C"/>
    <w:rsid w:val="00A21B90"/>
    <w:rsid w:val="00A30F4C"/>
    <w:rsid w:val="00A41805"/>
    <w:rsid w:val="00A42DCD"/>
    <w:rsid w:val="00A52AFB"/>
    <w:rsid w:val="00A548CB"/>
    <w:rsid w:val="00A5521C"/>
    <w:rsid w:val="00A643E7"/>
    <w:rsid w:val="00A71866"/>
    <w:rsid w:val="00A73C38"/>
    <w:rsid w:val="00A9047E"/>
    <w:rsid w:val="00AB65CB"/>
    <w:rsid w:val="00AB670D"/>
    <w:rsid w:val="00AE4535"/>
    <w:rsid w:val="00AF03C5"/>
    <w:rsid w:val="00AF1F73"/>
    <w:rsid w:val="00B000D8"/>
    <w:rsid w:val="00B00F75"/>
    <w:rsid w:val="00B054E2"/>
    <w:rsid w:val="00B145B6"/>
    <w:rsid w:val="00B279EB"/>
    <w:rsid w:val="00B50C81"/>
    <w:rsid w:val="00B534B5"/>
    <w:rsid w:val="00B557F8"/>
    <w:rsid w:val="00B80A45"/>
    <w:rsid w:val="00B815FC"/>
    <w:rsid w:val="00B93FBC"/>
    <w:rsid w:val="00BA7DA0"/>
    <w:rsid w:val="00BB2EE4"/>
    <w:rsid w:val="00BB3C75"/>
    <w:rsid w:val="00BC2108"/>
    <w:rsid w:val="00BD0E9E"/>
    <w:rsid w:val="00BD1BEC"/>
    <w:rsid w:val="00BD32FF"/>
    <w:rsid w:val="00BD48E3"/>
    <w:rsid w:val="00BF11E5"/>
    <w:rsid w:val="00C02092"/>
    <w:rsid w:val="00C070BC"/>
    <w:rsid w:val="00C12E66"/>
    <w:rsid w:val="00C24D91"/>
    <w:rsid w:val="00C46B09"/>
    <w:rsid w:val="00C53F14"/>
    <w:rsid w:val="00C600CF"/>
    <w:rsid w:val="00C6084F"/>
    <w:rsid w:val="00C60BCB"/>
    <w:rsid w:val="00C62A66"/>
    <w:rsid w:val="00C71458"/>
    <w:rsid w:val="00C7732D"/>
    <w:rsid w:val="00C77613"/>
    <w:rsid w:val="00C828E7"/>
    <w:rsid w:val="00C86719"/>
    <w:rsid w:val="00C921DD"/>
    <w:rsid w:val="00CA6391"/>
    <w:rsid w:val="00CC0161"/>
    <w:rsid w:val="00CC34BD"/>
    <w:rsid w:val="00CC7C4D"/>
    <w:rsid w:val="00CE161A"/>
    <w:rsid w:val="00CE3171"/>
    <w:rsid w:val="00CF1601"/>
    <w:rsid w:val="00CF4DB4"/>
    <w:rsid w:val="00CF6F29"/>
    <w:rsid w:val="00D0172F"/>
    <w:rsid w:val="00D02C60"/>
    <w:rsid w:val="00D068A7"/>
    <w:rsid w:val="00D17476"/>
    <w:rsid w:val="00D219F5"/>
    <w:rsid w:val="00D27DC7"/>
    <w:rsid w:val="00D32086"/>
    <w:rsid w:val="00D37A3F"/>
    <w:rsid w:val="00D4431D"/>
    <w:rsid w:val="00D4667A"/>
    <w:rsid w:val="00D63A1C"/>
    <w:rsid w:val="00D7516F"/>
    <w:rsid w:val="00D81B41"/>
    <w:rsid w:val="00D8579F"/>
    <w:rsid w:val="00D93C9B"/>
    <w:rsid w:val="00D95F8E"/>
    <w:rsid w:val="00DA0590"/>
    <w:rsid w:val="00DA795F"/>
    <w:rsid w:val="00DB2CA3"/>
    <w:rsid w:val="00DB7BEA"/>
    <w:rsid w:val="00DC0916"/>
    <w:rsid w:val="00DC1739"/>
    <w:rsid w:val="00DC1788"/>
    <w:rsid w:val="00DC3D95"/>
    <w:rsid w:val="00DE319C"/>
    <w:rsid w:val="00DF0CA8"/>
    <w:rsid w:val="00DF2B48"/>
    <w:rsid w:val="00DF426A"/>
    <w:rsid w:val="00DF49A7"/>
    <w:rsid w:val="00E06914"/>
    <w:rsid w:val="00E07EE2"/>
    <w:rsid w:val="00E07FD1"/>
    <w:rsid w:val="00E176D8"/>
    <w:rsid w:val="00E24573"/>
    <w:rsid w:val="00E25E1E"/>
    <w:rsid w:val="00E27EE7"/>
    <w:rsid w:val="00E35404"/>
    <w:rsid w:val="00E37C0B"/>
    <w:rsid w:val="00E41BAD"/>
    <w:rsid w:val="00E45109"/>
    <w:rsid w:val="00E47B7A"/>
    <w:rsid w:val="00E56A44"/>
    <w:rsid w:val="00E60269"/>
    <w:rsid w:val="00E760FE"/>
    <w:rsid w:val="00E77932"/>
    <w:rsid w:val="00E914DB"/>
    <w:rsid w:val="00E92673"/>
    <w:rsid w:val="00E93C6A"/>
    <w:rsid w:val="00E97830"/>
    <w:rsid w:val="00EE1D37"/>
    <w:rsid w:val="00EE643C"/>
    <w:rsid w:val="00EF0683"/>
    <w:rsid w:val="00EF69D2"/>
    <w:rsid w:val="00EF766E"/>
    <w:rsid w:val="00EF7E21"/>
    <w:rsid w:val="00F0070C"/>
    <w:rsid w:val="00F00EB7"/>
    <w:rsid w:val="00F061FC"/>
    <w:rsid w:val="00F136CB"/>
    <w:rsid w:val="00F211D8"/>
    <w:rsid w:val="00F21279"/>
    <w:rsid w:val="00F2139D"/>
    <w:rsid w:val="00F36AB6"/>
    <w:rsid w:val="00F37A09"/>
    <w:rsid w:val="00F409CE"/>
    <w:rsid w:val="00F4379D"/>
    <w:rsid w:val="00F50660"/>
    <w:rsid w:val="00F50D2D"/>
    <w:rsid w:val="00F55247"/>
    <w:rsid w:val="00F55760"/>
    <w:rsid w:val="00F56C8B"/>
    <w:rsid w:val="00F66810"/>
    <w:rsid w:val="00F74A50"/>
    <w:rsid w:val="00F846D9"/>
    <w:rsid w:val="00F84DF4"/>
    <w:rsid w:val="00F85C97"/>
    <w:rsid w:val="00F96B69"/>
    <w:rsid w:val="00FB37D2"/>
    <w:rsid w:val="00FB3F58"/>
    <w:rsid w:val="00FC4EFB"/>
    <w:rsid w:val="00FD068D"/>
    <w:rsid w:val="00FD4276"/>
    <w:rsid w:val="00FD4F28"/>
    <w:rsid w:val="00FE4E54"/>
    <w:rsid w:val="00FE6784"/>
    <w:rsid w:val="00FE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495B13"/>
    <w:rPr>
      <w:color w:val="0000FF" w:themeColor="hyperlink"/>
      <w:u w:val="single"/>
    </w:rPr>
  </w:style>
  <w:style w:type="paragraph" w:customStyle="1" w:styleId="ParaNoNdepar-AltN">
    <w:name w:val="Para. No. / Nº de par. - Alt N"/>
    <w:qFormat/>
    <w:rsid w:val="005D6AC1"/>
    <w:p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Normal"/>
    <w:uiPriority w:val="4"/>
    <w:qFormat/>
    <w:rsid w:val="001D0C93"/>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Normal"/>
    <w:uiPriority w:val="4"/>
    <w:qFormat/>
    <w:rsid w:val="001D0C93"/>
    <w:pPr>
      <w:numPr>
        <w:ilvl w:val="1"/>
      </w:numPr>
      <w:outlineLvl w:val="1"/>
    </w:pPr>
    <w:rPr>
      <w:i/>
      <w:u w:val="none"/>
    </w:rPr>
  </w:style>
  <w:style w:type="paragraph" w:customStyle="1" w:styleId="Title3LevelTitre3Niveau">
    <w:name w:val="Title 3 Level / Titre 3 Niveau"/>
    <w:basedOn w:val="Title1LevelTitre1Niveau-AltL"/>
    <w:next w:val="Normal"/>
    <w:uiPriority w:val="4"/>
    <w:qFormat/>
    <w:rsid w:val="001D0C93"/>
    <w:pPr>
      <w:numPr>
        <w:ilvl w:val="2"/>
      </w:numPr>
      <w:outlineLvl w:val="2"/>
    </w:pPr>
  </w:style>
  <w:style w:type="paragraph" w:customStyle="1" w:styleId="Title4LevelTitre4Niveau">
    <w:name w:val="Title 4 Level / Titre 4 Niveau"/>
    <w:basedOn w:val="Title3LevelTitre3Niveau"/>
    <w:next w:val="Normal"/>
    <w:uiPriority w:val="4"/>
    <w:qFormat/>
    <w:rsid w:val="001D0C93"/>
    <w:pPr>
      <w:numPr>
        <w:ilvl w:val="3"/>
      </w:numPr>
      <w:outlineLvl w:val="3"/>
    </w:pPr>
    <w:rPr>
      <w:i/>
      <w:u w:val="none"/>
    </w:rPr>
  </w:style>
  <w:style w:type="paragraph" w:customStyle="1" w:styleId="Title5LevelTitre5Niveau">
    <w:name w:val="Title 5 Level / Titre 5 Niveau"/>
    <w:basedOn w:val="Title1LevelTitre1Niveau-AltL"/>
    <w:next w:val="Normal"/>
    <w:uiPriority w:val="4"/>
    <w:qFormat/>
    <w:rsid w:val="001D0C93"/>
    <w:pPr>
      <w:numPr>
        <w:ilvl w:val="4"/>
      </w:numPr>
      <w:outlineLvl w:val="4"/>
    </w:pPr>
  </w:style>
  <w:style w:type="paragraph" w:customStyle="1" w:styleId="Title6LevelTitre6Niveau">
    <w:name w:val="Title 6 Level / Titre 6 Niveau"/>
    <w:basedOn w:val="Title5LevelTitre5Niveau"/>
    <w:next w:val="Normal"/>
    <w:uiPriority w:val="4"/>
    <w:qFormat/>
    <w:rsid w:val="001D0C93"/>
    <w:pPr>
      <w:numPr>
        <w:ilvl w:val="5"/>
      </w:numPr>
      <w:outlineLvl w:val="5"/>
    </w:pPr>
    <w:rPr>
      <w:i/>
      <w:u w:val="none"/>
    </w:rPr>
  </w:style>
  <w:style w:type="character" w:styleId="FollowedHyperlink">
    <w:name w:val="FollowedHyperlink"/>
    <w:basedOn w:val="DefaultParagraphFont"/>
    <w:uiPriority w:val="99"/>
    <w:semiHidden/>
    <w:unhideWhenUsed/>
    <w:rsid w:val="00F136CB"/>
    <w:rPr>
      <w:color w:val="800080" w:themeColor="followedHyperlink"/>
      <w:u w:val="single"/>
    </w:rPr>
  </w:style>
  <w:style w:type="paragraph" w:styleId="NoSpacing">
    <w:name w:val="No Spacing"/>
    <w:uiPriority w:val="1"/>
    <w:rsid w:val="00FE692E"/>
    <w:rPr>
      <w:sz w:val="24"/>
    </w:rPr>
  </w:style>
  <w:style w:type="paragraph" w:customStyle="1" w:styleId="SCCLsocOtherPartyRoleSeparator">
    <w:name w:val="SCC.Lsoc.OtherPartyRoleSeparator"/>
    <w:basedOn w:val="Normal"/>
    <w:next w:val="Normal"/>
    <w:link w:val="SCCLsocOtherPartyRoleSeparatorChar"/>
    <w:rsid w:val="00FE692E"/>
    <w:pPr>
      <w:spacing w:after="480"/>
    </w:pPr>
    <w:rPr>
      <w:rFonts w:eastAsiaTheme="minorHAnsi" w:cstheme="minorBidi"/>
      <w:szCs w:val="22"/>
      <w:lang w:eastAsia="en-US"/>
    </w:rPr>
  </w:style>
  <w:style w:type="paragraph" w:customStyle="1" w:styleId="SCCCoram">
    <w:name w:val="SCC.Coram"/>
    <w:basedOn w:val="Normal"/>
    <w:next w:val="Normal"/>
    <w:link w:val="SCCCoramChar"/>
    <w:rsid w:val="00FE692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E692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E692E"/>
    <w:rPr>
      <w:rFonts w:eastAsiaTheme="minorHAnsi" w:cstheme="minorBidi"/>
      <w:sz w:val="24"/>
      <w:szCs w:val="22"/>
      <w:lang w:eastAsia="en-US"/>
    </w:rPr>
  </w:style>
  <w:style w:type="character" w:customStyle="1" w:styleId="SCCBanSummaryChar">
    <w:name w:val="SCC.BanSummary Char"/>
    <w:basedOn w:val="DefaultParagraphFont"/>
    <w:link w:val="SCCBanSummary"/>
    <w:rsid w:val="00FE692E"/>
    <w:rPr>
      <w:b/>
      <w:sz w:val="24"/>
    </w:rPr>
  </w:style>
  <w:style w:type="table" w:styleId="TableGrid">
    <w:name w:val="Table Grid"/>
    <w:basedOn w:val="TableNormal"/>
    <w:uiPriority w:val="59"/>
    <w:rsid w:val="00FE6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E692E"/>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FE692E"/>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FE692E"/>
    <w:pPr>
      <w:tabs>
        <w:tab w:val="left" w:pos="1166"/>
      </w:tabs>
      <w:spacing w:after="480" w:line="480" w:lineRule="auto"/>
    </w:pPr>
    <w:rPr>
      <w:smallCaps/>
      <w:sz w:val="24"/>
      <w:lang w:val="fr-CA"/>
    </w:rPr>
  </w:style>
  <w:style w:type="paragraph" w:customStyle="1" w:styleId="TitleTitre-AltT">
    <w:name w:val="Title / Titre - Alt T"/>
    <w:next w:val="ParaNoNdepar-AltN"/>
    <w:uiPriority w:val="3"/>
    <w:qFormat/>
    <w:rsid w:val="00FE692E"/>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FE692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E692E"/>
  </w:style>
  <w:style w:type="character" w:styleId="FootnoteReference">
    <w:name w:val="footnote reference"/>
    <w:basedOn w:val="DefaultParagraphFont"/>
    <w:uiPriority w:val="99"/>
    <w:semiHidden/>
    <w:unhideWhenUsed/>
    <w:rsid w:val="00FE692E"/>
    <w:rPr>
      <w:vertAlign w:val="superscript"/>
    </w:rPr>
  </w:style>
  <w:style w:type="paragraph" w:styleId="ListParagraph">
    <w:name w:val="List Paragraph"/>
    <w:basedOn w:val="Normal"/>
    <w:uiPriority w:val="34"/>
    <w:rsid w:val="00FE692E"/>
    <w:pPr>
      <w:ind w:left="720"/>
      <w:contextualSpacing/>
    </w:pPr>
  </w:style>
  <w:style w:type="character" w:styleId="CommentReference">
    <w:name w:val="annotation reference"/>
    <w:basedOn w:val="DefaultParagraphFont"/>
    <w:uiPriority w:val="99"/>
    <w:semiHidden/>
    <w:unhideWhenUsed/>
    <w:rsid w:val="00FE692E"/>
    <w:rPr>
      <w:sz w:val="16"/>
      <w:szCs w:val="16"/>
    </w:rPr>
  </w:style>
  <w:style w:type="paragraph" w:styleId="CommentText">
    <w:name w:val="annotation text"/>
    <w:basedOn w:val="Normal"/>
    <w:link w:val="CommentTextChar"/>
    <w:uiPriority w:val="99"/>
    <w:semiHidden/>
    <w:unhideWhenUsed/>
    <w:rsid w:val="00FE692E"/>
    <w:rPr>
      <w:sz w:val="20"/>
    </w:rPr>
  </w:style>
  <w:style w:type="character" w:customStyle="1" w:styleId="CommentTextChar">
    <w:name w:val="Comment Text Char"/>
    <w:basedOn w:val="DefaultParagraphFont"/>
    <w:link w:val="CommentText"/>
    <w:uiPriority w:val="99"/>
    <w:semiHidden/>
    <w:rsid w:val="00FE692E"/>
  </w:style>
  <w:style w:type="paragraph" w:styleId="CommentSubject">
    <w:name w:val="annotation subject"/>
    <w:basedOn w:val="CommentText"/>
    <w:next w:val="CommentText"/>
    <w:link w:val="CommentSubjectChar"/>
    <w:uiPriority w:val="99"/>
    <w:semiHidden/>
    <w:unhideWhenUsed/>
    <w:rsid w:val="00FE692E"/>
    <w:rPr>
      <w:b/>
      <w:bCs/>
    </w:rPr>
  </w:style>
  <w:style w:type="character" w:customStyle="1" w:styleId="CommentSubjectChar">
    <w:name w:val="Comment Subject Char"/>
    <w:basedOn w:val="CommentTextChar"/>
    <w:link w:val="CommentSubject"/>
    <w:uiPriority w:val="99"/>
    <w:semiHidden/>
    <w:rsid w:val="00FE692E"/>
    <w:rPr>
      <w:b/>
      <w:bCs/>
    </w:rPr>
  </w:style>
  <w:style w:type="paragraph" w:styleId="EndnoteText">
    <w:name w:val="endnote text"/>
    <w:basedOn w:val="Normal"/>
    <w:link w:val="EndnoteTextChar"/>
    <w:uiPriority w:val="99"/>
    <w:semiHidden/>
    <w:unhideWhenUsed/>
    <w:rsid w:val="00FE692E"/>
    <w:rPr>
      <w:sz w:val="20"/>
    </w:rPr>
  </w:style>
  <w:style w:type="character" w:customStyle="1" w:styleId="EndnoteTextChar">
    <w:name w:val="Endnote Text Char"/>
    <w:basedOn w:val="DefaultParagraphFont"/>
    <w:link w:val="EndnoteText"/>
    <w:uiPriority w:val="99"/>
    <w:semiHidden/>
    <w:rsid w:val="00FE692E"/>
  </w:style>
  <w:style w:type="character" w:styleId="EndnoteReference">
    <w:name w:val="endnote reference"/>
    <w:basedOn w:val="DefaultParagraphFont"/>
    <w:uiPriority w:val="99"/>
    <w:semiHidden/>
    <w:unhideWhenUsed/>
    <w:rsid w:val="00FE692E"/>
    <w:rPr>
      <w:vertAlign w:val="superscript"/>
    </w:rPr>
  </w:style>
  <w:style w:type="character" w:customStyle="1" w:styleId="label-section">
    <w:name w:val="label-section"/>
    <w:basedOn w:val="DefaultParagraphFont"/>
    <w:rsid w:val="00FE692E"/>
  </w:style>
  <w:style w:type="character" w:customStyle="1" w:styleId="texte-courant">
    <w:name w:val="texte-courant"/>
    <w:basedOn w:val="DefaultParagraphFont"/>
    <w:rsid w:val="00FE692E"/>
  </w:style>
  <w:style w:type="character" w:customStyle="1" w:styleId="label-z">
    <w:name w:val="label-z"/>
    <w:basedOn w:val="DefaultParagraphFont"/>
    <w:rsid w:val="00FE692E"/>
  </w:style>
  <w:style w:type="character" w:customStyle="1" w:styleId="widthfixforlabel">
    <w:name w:val="widthfixforlabel"/>
    <w:basedOn w:val="DefaultParagraphFont"/>
    <w:rsid w:val="00FE692E"/>
  </w:style>
  <w:style w:type="paragraph" w:styleId="ListBullet">
    <w:name w:val="List Bullet"/>
    <w:basedOn w:val="Normal"/>
    <w:uiPriority w:val="99"/>
    <w:unhideWhenUsed/>
    <w:rsid w:val="00FE692E"/>
    <w:pPr>
      <w:numPr>
        <w:numId w:val="9"/>
      </w:numPr>
      <w:contextualSpacing/>
    </w:pPr>
  </w:style>
  <w:style w:type="paragraph" w:styleId="TOC1">
    <w:name w:val="toc 1"/>
    <w:basedOn w:val="Normal"/>
    <w:next w:val="Normal"/>
    <w:autoRedefine/>
    <w:uiPriority w:val="39"/>
    <w:unhideWhenUsed/>
    <w:rsid w:val="00FE692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E692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E692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E692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E692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E692E"/>
    <w:pPr>
      <w:tabs>
        <w:tab w:val="left" w:pos="2160"/>
        <w:tab w:val="right" w:leader="dot" w:pos="8270"/>
      </w:tabs>
      <w:spacing w:after="100"/>
      <w:ind w:left="1800"/>
    </w:pPr>
    <w:rPr>
      <w:noProof/>
    </w:rPr>
  </w:style>
  <w:style w:type="table" w:customStyle="1" w:styleId="TableGrid1">
    <w:name w:val="Table Grid1"/>
    <w:basedOn w:val="TableNormal"/>
    <w:uiPriority w:val="59"/>
    <w:rsid w:val="00FE692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FE692E"/>
    <w:rPr>
      <w:szCs w:val="24"/>
    </w:rPr>
  </w:style>
  <w:style w:type="table" w:customStyle="1" w:styleId="TableGrid2">
    <w:name w:val="Table Grid2"/>
    <w:basedOn w:val="TableNormal"/>
    <w:next w:val="TableGrid"/>
    <w:uiPriority w:val="59"/>
    <w:rsid w:val="00FE692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locked/>
    <w:rsid w:val="003B7C75"/>
  </w:style>
  <w:style w:type="character" w:customStyle="1" w:styleId="SCCLsocPrefixChar">
    <w:name w:val="SCC.Lsoc.Prefix Char"/>
    <w:basedOn w:val="DefaultParagraphFont"/>
    <w:link w:val="SCCLsocPrefix"/>
    <w:locked/>
    <w:rsid w:val="003B7C75"/>
    <w:rPr>
      <w:b/>
      <w:smallCaps/>
    </w:rPr>
  </w:style>
  <w:style w:type="paragraph" w:customStyle="1" w:styleId="SCCLsocPrefix">
    <w:name w:val="SCC.Lsoc.Prefix"/>
    <w:basedOn w:val="Normal"/>
    <w:next w:val="Normal"/>
    <w:link w:val="SCCLsocPrefixChar"/>
    <w:rsid w:val="003B7C75"/>
    <w:rPr>
      <w:b/>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47448">
      <w:bodyDiv w:val="1"/>
      <w:marLeft w:val="0"/>
      <w:marRight w:val="0"/>
      <w:marTop w:val="0"/>
      <w:marBottom w:val="0"/>
      <w:divBdr>
        <w:top w:val="none" w:sz="0" w:space="0" w:color="auto"/>
        <w:left w:val="none" w:sz="0" w:space="0" w:color="auto"/>
        <w:bottom w:val="none" w:sz="0" w:space="0" w:color="auto"/>
        <w:right w:val="none" w:sz="0" w:space="0" w:color="auto"/>
      </w:divBdr>
    </w:div>
    <w:div w:id="1793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E7AB-D387-4468-827B-E080EDEB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23579</Words>
  <Characters>119746</Characters>
  <Application>Microsoft Office Word</Application>
  <DocSecurity>0</DocSecurity>
  <Lines>997</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2017-04-06T18:41:00Z</dcterms:created>
  <dcterms:modified xsi:type="dcterms:W3CDTF">2018-03-02T17:13:00Z</dcterms:modified>
</cp:coreProperties>
</file>