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E41" w:rsidRDefault="00744E41" w:rsidP="00744E41">
      <w:pPr>
        <w:pStyle w:val="En-tte"/>
      </w:pPr>
      <w:r>
        <w:ptab w:relativeTo="margin" w:alignment="center" w:leader="none"/>
      </w:r>
      <w:r>
        <w:t xml:space="preserve"> </w:t>
      </w:r>
      <w:r>
        <w:rPr>
          <w:rFonts w:eastAsiaTheme="minorHAnsi" w:cstheme="minorBidi"/>
          <w:szCs w:val="24"/>
          <w:lang w:eastAsia="en-US"/>
        </w:rPr>
        <w:object w:dxaOrig="1236"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3pt" o:ole="">
            <v:imagedata r:id="rId7" o:title=""/>
          </v:shape>
          <o:OLEObject Type="Embed" ProgID="Presentations.Drawing.17" ShapeID="_x0000_i1025" DrawAspect="Content" ObjectID="_1581507005" r:id="rId8"/>
        </w:object>
      </w:r>
      <w:r>
        <w:t xml:space="preserve"> </w:t>
      </w:r>
      <w:r>
        <w:ptab w:relativeTo="margin" w:alignment="right" w:leader="none"/>
      </w:r>
      <w:r>
        <w:t xml:space="preserve"> </w:t>
      </w:r>
    </w:p>
    <w:p w:rsidR="00744E41" w:rsidRDefault="00744E41" w:rsidP="00744E41">
      <w:pPr>
        <w:pStyle w:val="En-tte"/>
      </w:pPr>
    </w:p>
    <w:p w:rsidR="00744E41" w:rsidRDefault="00744E41" w:rsidP="00744E41">
      <w:pPr>
        <w:jc w:val="center"/>
        <w:rPr>
          <w:b/>
        </w:rPr>
      </w:pPr>
      <w:r>
        <w:rPr>
          <w:b/>
        </w:rPr>
        <w:t>SUPREME COURT OF CANADA</w:t>
      </w:r>
    </w:p>
    <w:p w:rsidR="00744E41" w:rsidRDefault="00744E41" w:rsidP="00744E41"/>
    <w:tbl>
      <w:tblPr>
        <w:tblStyle w:val="Grilledutableau"/>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744E41" w:rsidTr="00744E41">
        <w:trPr>
          <w:cantSplit/>
        </w:trPr>
        <w:tc>
          <w:tcPr>
            <w:tcW w:w="5130" w:type="dxa"/>
            <w:hideMark/>
          </w:tcPr>
          <w:p w:rsidR="00744E41" w:rsidRDefault="00744E41">
            <w:r>
              <w:rPr>
                <w:b/>
                <w:smallCaps/>
              </w:rPr>
              <w:t>Citation:</w:t>
            </w:r>
            <w:r>
              <w:t xml:space="preserve"> Pintea </w:t>
            </w:r>
            <w:r>
              <w:rPr>
                <w:i/>
              </w:rPr>
              <w:t>v.</w:t>
            </w:r>
            <w:r>
              <w:t xml:space="preserve"> Johns, 2017 SCC 23, [2017] 1 S.C.R. 470</w:t>
            </w:r>
          </w:p>
        </w:tc>
        <w:tc>
          <w:tcPr>
            <w:tcW w:w="4446" w:type="dxa"/>
            <w:hideMark/>
          </w:tcPr>
          <w:p w:rsidR="00744E41" w:rsidRDefault="00744E41">
            <w:pPr>
              <w:ind w:left="302"/>
            </w:pPr>
            <w:r>
              <w:rPr>
                <w:b/>
                <w:smallCaps/>
              </w:rPr>
              <w:t>Appeal heard:</w:t>
            </w:r>
            <w:r>
              <w:t xml:space="preserve"> April 18, 2017</w:t>
            </w:r>
          </w:p>
          <w:p w:rsidR="00744E41" w:rsidRDefault="00744E41">
            <w:pPr>
              <w:ind w:left="392" w:hanging="90"/>
            </w:pPr>
            <w:r>
              <w:rPr>
                <w:b/>
                <w:smallCaps/>
              </w:rPr>
              <w:t>Judgment rendered:</w:t>
            </w:r>
            <w:r>
              <w:t xml:space="preserve"> April 18, 2017</w:t>
            </w:r>
          </w:p>
          <w:p w:rsidR="00744E41" w:rsidRDefault="00744E41">
            <w:pPr>
              <w:ind w:left="302"/>
            </w:pPr>
            <w:r>
              <w:rPr>
                <w:b/>
                <w:smallCaps/>
              </w:rPr>
              <w:t>Docket:</w:t>
            </w:r>
            <w:r>
              <w:t xml:space="preserve"> 37109</w:t>
            </w:r>
          </w:p>
        </w:tc>
      </w:tr>
    </w:tbl>
    <w:p w:rsidR="00744E41" w:rsidRDefault="00744E41" w:rsidP="00744E41">
      <w:pPr>
        <w:pStyle w:val="SCCLsocPrefix"/>
        <w:rPr>
          <w:rFonts w:cstheme="minorBidi"/>
          <w:lang w:eastAsia="en-US"/>
        </w:rPr>
      </w:pPr>
    </w:p>
    <w:p w:rsidR="00744E41" w:rsidRDefault="00744E41" w:rsidP="00744E41">
      <w:pPr>
        <w:pStyle w:val="SCCLsocPrefix"/>
      </w:pPr>
    </w:p>
    <w:p w:rsidR="00744E41" w:rsidRDefault="00744E41" w:rsidP="00744E41">
      <w:pPr>
        <w:pStyle w:val="SCCLsocPrefix"/>
      </w:pPr>
    </w:p>
    <w:p w:rsidR="00744E41" w:rsidRPr="00A24D0C" w:rsidRDefault="00744E41" w:rsidP="00744E41">
      <w:pPr>
        <w:pStyle w:val="SCCLsocPrefix"/>
        <w:rPr>
          <w:sz w:val="24"/>
          <w:szCs w:val="24"/>
        </w:rPr>
      </w:pPr>
      <w:r w:rsidRPr="00A24D0C">
        <w:rPr>
          <w:sz w:val="24"/>
          <w:szCs w:val="24"/>
        </w:rPr>
        <w:t>Between:</w:t>
      </w:r>
    </w:p>
    <w:p w:rsidR="00744E41" w:rsidRDefault="00744E41" w:rsidP="00744E41">
      <w:pPr>
        <w:jc w:val="center"/>
        <w:rPr>
          <w:b/>
        </w:rPr>
      </w:pPr>
      <w:r>
        <w:rPr>
          <w:b/>
        </w:rPr>
        <w:t>Valentin Pintea</w:t>
      </w:r>
    </w:p>
    <w:p w:rsidR="00744E41" w:rsidRDefault="00744E41" w:rsidP="00744E41">
      <w:pPr>
        <w:jc w:val="center"/>
      </w:pPr>
      <w:r>
        <w:t>Appellant</w:t>
      </w:r>
    </w:p>
    <w:p w:rsidR="00744E41" w:rsidRDefault="00744E41" w:rsidP="00744E41">
      <w:pPr>
        <w:jc w:val="center"/>
      </w:pPr>
    </w:p>
    <w:p w:rsidR="00744E41" w:rsidRPr="00744E41" w:rsidRDefault="00744E41" w:rsidP="00744E41">
      <w:pPr>
        <w:pStyle w:val="SCCLsocVersus"/>
        <w:spacing w:after="0"/>
        <w:jc w:val="center"/>
        <w:rPr>
          <w:i w:val="0"/>
        </w:rPr>
      </w:pPr>
      <w:r w:rsidRPr="00744E41">
        <w:rPr>
          <w:i w:val="0"/>
        </w:rPr>
        <w:t>and</w:t>
      </w:r>
    </w:p>
    <w:p w:rsidR="00744E41" w:rsidRDefault="00744E41" w:rsidP="00744E41">
      <w:pPr>
        <w:jc w:val="center"/>
      </w:pPr>
    </w:p>
    <w:p w:rsidR="00A24D0C" w:rsidRDefault="00744E41" w:rsidP="00744E41">
      <w:pPr>
        <w:pStyle w:val="SCCLsocParty"/>
        <w:widowControl w:val="0"/>
        <w:jc w:val="center"/>
      </w:pPr>
      <w:r>
        <w:t xml:space="preserve">Dale Johns and </w:t>
      </w:r>
    </w:p>
    <w:p w:rsidR="00744E41" w:rsidRDefault="00744E41" w:rsidP="00744E41">
      <w:pPr>
        <w:pStyle w:val="SCCLsocParty"/>
        <w:widowControl w:val="0"/>
        <w:jc w:val="center"/>
      </w:pPr>
      <w:r>
        <w:t>Dylan Johns</w:t>
      </w:r>
    </w:p>
    <w:p w:rsidR="00744E41" w:rsidRDefault="00744E41" w:rsidP="00744E41">
      <w:pPr>
        <w:jc w:val="center"/>
      </w:pPr>
      <w:r>
        <w:t>Respondents</w:t>
      </w:r>
    </w:p>
    <w:p w:rsidR="00744E41" w:rsidRDefault="00744E41" w:rsidP="00744E41">
      <w:pPr>
        <w:jc w:val="center"/>
      </w:pPr>
    </w:p>
    <w:p w:rsidR="00744E41" w:rsidRDefault="00744E41" w:rsidP="00744E41">
      <w:pPr>
        <w:jc w:val="center"/>
      </w:pPr>
      <w:r>
        <w:t>- and -</w:t>
      </w:r>
    </w:p>
    <w:p w:rsidR="00744E41" w:rsidRDefault="00744E41" w:rsidP="00744E41">
      <w:pPr>
        <w:jc w:val="center"/>
      </w:pPr>
    </w:p>
    <w:p w:rsidR="00A24D0C" w:rsidRDefault="00744E41" w:rsidP="00744E41">
      <w:pPr>
        <w:jc w:val="center"/>
        <w:rPr>
          <w:b/>
        </w:rPr>
      </w:pPr>
      <w:r>
        <w:rPr>
          <w:b/>
        </w:rPr>
        <w:t xml:space="preserve">National Self-Represented Litigants Project, </w:t>
      </w:r>
    </w:p>
    <w:p w:rsidR="00A24D0C" w:rsidRDefault="00744E41" w:rsidP="00744E41">
      <w:pPr>
        <w:jc w:val="center"/>
        <w:rPr>
          <w:b/>
        </w:rPr>
      </w:pPr>
      <w:r>
        <w:rPr>
          <w:b/>
        </w:rPr>
        <w:t xml:space="preserve">Pro Bono Ontario and </w:t>
      </w:r>
    </w:p>
    <w:p w:rsidR="00744E41" w:rsidRDefault="00744E41" w:rsidP="00744E41">
      <w:pPr>
        <w:jc w:val="center"/>
        <w:rPr>
          <w:b/>
        </w:rPr>
      </w:pPr>
      <w:r>
        <w:rPr>
          <w:b/>
        </w:rPr>
        <w:t>Access Pro Bono</w:t>
      </w:r>
    </w:p>
    <w:p w:rsidR="00744E41" w:rsidRDefault="00744E41" w:rsidP="00744E41">
      <w:pPr>
        <w:jc w:val="center"/>
      </w:pPr>
      <w:r>
        <w:t>Interveners</w:t>
      </w:r>
    </w:p>
    <w:p w:rsidR="00744E41" w:rsidRDefault="00744E41" w:rsidP="00744E41"/>
    <w:p w:rsidR="00744E41" w:rsidRDefault="00744E41" w:rsidP="00744E41"/>
    <w:p w:rsidR="00744E41" w:rsidRDefault="00744E41" w:rsidP="00744E41">
      <w:r>
        <w:rPr>
          <w:b/>
          <w:smallCaps/>
        </w:rPr>
        <w:t>Coram:</w:t>
      </w:r>
      <w:r>
        <w:t xml:space="preserve"> McLachlin C.J. and Abella, Moldaver, Karakatsanis, Wagner, Gascon, Côté, Brown and Rowe JJ.</w:t>
      </w:r>
    </w:p>
    <w:p w:rsidR="00744E41" w:rsidRDefault="00744E41" w:rsidP="00744E41"/>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44E41" w:rsidRPr="00744E41" w:rsidTr="00744E41">
        <w:trPr>
          <w:cantSplit/>
        </w:trPr>
        <w:tc>
          <w:tcPr>
            <w:tcW w:w="3618" w:type="dxa"/>
            <w:hideMark/>
          </w:tcPr>
          <w:p w:rsidR="00744E41" w:rsidRDefault="00744E41">
            <w:pPr>
              <w:rPr>
                <w:b/>
                <w:smallCaps/>
              </w:rPr>
            </w:pPr>
            <w:r>
              <w:rPr>
                <w:b/>
                <w:smallCaps/>
              </w:rPr>
              <w:t>Reasons for Judgment:</w:t>
            </w:r>
          </w:p>
          <w:p w:rsidR="00744E41" w:rsidRDefault="00744E41">
            <w:r>
              <w:t>(paras. 1 to 5)</w:t>
            </w:r>
          </w:p>
        </w:tc>
        <w:tc>
          <w:tcPr>
            <w:tcW w:w="5958" w:type="dxa"/>
            <w:hideMark/>
          </w:tcPr>
          <w:p w:rsidR="00744E41" w:rsidRDefault="00744E41">
            <w:r>
              <w:t>Karakatsanis J. (McLachlin C.J. and Abella, Moldaver, Wagner, Gascon, Côté, Brown and Rowe JJ. concurring)</w:t>
            </w:r>
          </w:p>
        </w:tc>
      </w:tr>
    </w:tbl>
    <w:p w:rsidR="00744E41" w:rsidRDefault="00744E41" w:rsidP="00744E41">
      <w:pPr>
        <w:rPr>
          <w:rFonts w:cstheme="minorBidi"/>
          <w:lang w:eastAsia="en-US"/>
        </w:rPr>
      </w:pPr>
    </w:p>
    <w:p w:rsidR="00744E41" w:rsidRDefault="00744E41" w:rsidP="00744E41">
      <w:r>
        <w:rPr>
          <w:noProof/>
          <w:lang w:val="fr-CA" w:eastAsia="fr-CA"/>
        </w:rPr>
        <mc:AlternateContent>
          <mc:Choice Requires="wps">
            <w:drawing>
              <wp:anchor distT="0" distB="0" distL="114300" distR="114300" simplePos="0" relativeHeight="251658240"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66F65" id="_x0000_t32" coordsize="21600,21600" o:spt="32" o:oned="t" path="m,l21600,21600e" filled="f">
                <v:path arrowok="t" fillok="f" o:connecttype="none"/>
                <o:lock v:ext="edit" shapetype="t"/>
              </v:shapetype>
              <v:shape id="Connecteur droit avec flèche 1" o:spid="_x0000_s1026" type="#_x0000_t32" style="position:absolute;margin-left:126.75pt;margin-top:14.5pt;width:1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"/>
            </w:pict>
          </mc:Fallback>
        </mc:AlternateContent>
      </w:r>
    </w:p>
    <w:p w:rsidR="00744E41" w:rsidRDefault="00744E41" w:rsidP="0043712F">
      <w:pPr>
        <w:widowControl w:val="0"/>
        <w:spacing w:line="480" w:lineRule="auto"/>
        <w:jc w:val="both"/>
        <w:rPr>
          <w:rStyle w:val="SCCAppellantForRunningHeadChar"/>
          <w:smallCaps w:val="0"/>
        </w:rPr>
      </w:pPr>
    </w:p>
    <w:p w:rsidR="008322BD" w:rsidRPr="00587A43" w:rsidRDefault="00587A43" w:rsidP="0043712F">
      <w:pPr>
        <w:widowControl w:val="0"/>
        <w:spacing w:line="480" w:lineRule="auto"/>
        <w:jc w:val="both"/>
        <w:rPr>
          <w:smallCaps/>
          <w:lang w:val="en-US"/>
        </w:rPr>
      </w:pPr>
      <w:r>
        <w:rPr>
          <w:rStyle w:val="SCCAppellantForRunningHeadChar"/>
          <w:smallCaps w:val="0"/>
          <w:lang w:val="en-US"/>
        </w:rPr>
        <w:t xml:space="preserve">Pintea </w:t>
      </w:r>
      <w:r w:rsidRPr="00587A43">
        <w:rPr>
          <w:rStyle w:val="SCCAppellantForRunningHeadChar"/>
          <w:i/>
          <w:smallCaps w:val="0"/>
          <w:lang w:val="en-US"/>
        </w:rPr>
        <w:t>v.</w:t>
      </w:r>
      <w:r>
        <w:rPr>
          <w:rStyle w:val="SCCAppellantForRunningHeadChar"/>
          <w:smallCaps w:val="0"/>
          <w:lang w:val="en-US"/>
        </w:rPr>
        <w:t xml:space="preserve"> Johns, 2017 SCC 23, [2017] 1 S.C.R. 470</w:t>
      </w:r>
    </w:p>
    <w:p w:rsidR="00766D14" w:rsidRPr="00B91300" w:rsidRDefault="00766D14" w:rsidP="0043712F">
      <w:pPr>
        <w:widowControl w:val="0"/>
        <w:jc w:val="both"/>
        <w:rPr>
          <w:lang w:val="en-US"/>
        </w:rPr>
      </w:pPr>
    </w:p>
    <w:p w:rsidR="00BC75A7" w:rsidRPr="00B91300" w:rsidRDefault="002B6F77" w:rsidP="0043712F">
      <w:pPr>
        <w:pStyle w:val="SCCLsocLastPartyInRole"/>
        <w:widowControl w:val="0"/>
        <w:rPr>
          <w:lang w:val="en-US"/>
        </w:rPr>
      </w:pPr>
      <w:r w:rsidRPr="00B91300">
        <w:rPr>
          <w:lang w:val="en-US"/>
        </w:rPr>
        <w:t>Valentin Pintea</w:t>
      </w:r>
      <w:r w:rsidRPr="00B91300">
        <w:rPr>
          <w:rStyle w:val="SCCLsocPartyRole"/>
          <w:lang w:val="en-US"/>
        </w:rPr>
        <w:tab/>
        <w:t>Appellant</w:t>
      </w:r>
    </w:p>
    <w:p w:rsidR="00BC75A7" w:rsidRPr="00B91300" w:rsidRDefault="002B6F77" w:rsidP="0043712F">
      <w:pPr>
        <w:pStyle w:val="SCCLsocVersus"/>
        <w:widowControl w:val="0"/>
        <w:rPr>
          <w:lang w:val="en-US"/>
        </w:rPr>
      </w:pPr>
      <w:r w:rsidRPr="00B91300">
        <w:rPr>
          <w:lang w:val="en-US"/>
        </w:rPr>
        <w:t>v.</w:t>
      </w:r>
    </w:p>
    <w:p w:rsidR="00BC75A7" w:rsidRPr="00B91300" w:rsidRDefault="00290AA5" w:rsidP="0043712F">
      <w:pPr>
        <w:pStyle w:val="SCCLsocParty"/>
        <w:widowControl w:val="0"/>
        <w:rPr>
          <w:lang w:val="en-US"/>
        </w:rPr>
      </w:pPr>
      <w:r>
        <w:rPr>
          <w:lang w:val="en-US"/>
        </w:rPr>
        <w:lastRenderedPageBreak/>
        <w:t>Dale Johns and</w:t>
      </w:r>
    </w:p>
    <w:p w:rsidR="00BC75A7" w:rsidRDefault="002B6F77" w:rsidP="0043712F">
      <w:pPr>
        <w:pStyle w:val="SCCLsocLastPartyInRole"/>
        <w:widowControl w:val="0"/>
      </w:pPr>
      <w:r>
        <w:t>Dylan Johns</w:t>
      </w:r>
      <w:r>
        <w:rPr>
          <w:rStyle w:val="SCCLsocPartyRole"/>
        </w:rPr>
        <w:tab/>
        <w:t>Respondents</w:t>
      </w:r>
    </w:p>
    <w:p w:rsidR="00BC75A7" w:rsidRDefault="002B6F77" w:rsidP="0043712F">
      <w:pPr>
        <w:pStyle w:val="SCCLsocOtherPartySeparator"/>
        <w:widowControl w:val="0"/>
      </w:pPr>
      <w:r>
        <w:t>and</w:t>
      </w:r>
    </w:p>
    <w:p w:rsidR="00BC75A7" w:rsidRDefault="002B6F77" w:rsidP="0043712F">
      <w:pPr>
        <w:pStyle w:val="SCCLsocParty"/>
        <w:widowControl w:val="0"/>
      </w:pPr>
      <w:r>
        <w:t>National Self-Represented Litigants Project,</w:t>
      </w:r>
    </w:p>
    <w:p w:rsidR="00BC75A7" w:rsidRDefault="00290AA5" w:rsidP="0043712F">
      <w:pPr>
        <w:pStyle w:val="SCCLsocParty"/>
        <w:widowControl w:val="0"/>
      </w:pPr>
      <w:r>
        <w:t>Pro Bono Ontario and</w:t>
      </w:r>
    </w:p>
    <w:p w:rsidR="00BC75A7" w:rsidRDefault="002B6F77" w:rsidP="0043712F">
      <w:pPr>
        <w:pStyle w:val="SCCLsocLastPartyInRole"/>
        <w:widowControl w:val="0"/>
      </w:pPr>
      <w:r>
        <w:t>Access Pro Bono</w:t>
      </w:r>
      <w:r>
        <w:rPr>
          <w:rStyle w:val="SCCLsocPartyRole"/>
        </w:rPr>
        <w:tab/>
        <w:t>Interveners</w:t>
      </w:r>
    </w:p>
    <w:p w:rsidR="00426659" w:rsidRPr="00426659" w:rsidRDefault="00426659" w:rsidP="0043712F">
      <w:pPr>
        <w:widowControl w:val="0"/>
        <w:jc w:val="both"/>
        <w:rPr>
          <w:b/>
        </w:rPr>
      </w:pPr>
      <w:r w:rsidRPr="00426659">
        <w:rPr>
          <w:b/>
        </w:rPr>
        <w:t>Indexed as:</w:t>
      </w:r>
      <w:r>
        <w:rPr>
          <w:b/>
        </w:rPr>
        <w:t xml:space="preserve"> </w:t>
      </w:r>
      <w:r w:rsidR="00D3772C">
        <w:rPr>
          <w:b/>
        </w:rPr>
        <w:t xml:space="preserve"> </w:t>
      </w:r>
      <w:r>
        <w:rPr>
          <w:rStyle w:val="SCCAppellantForIndexChar"/>
        </w:rPr>
        <w:t>Pintea</w:t>
      </w:r>
      <w:r w:rsidRPr="00426659">
        <w:rPr>
          <w:b/>
        </w:rPr>
        <w:t xml:space="preserve"> </w:t>
      </w:r>
      <w:r w:rsidRPr="00426659">
        <w:rPr>
          <w:b/>
          <w:i/>
        </w:rPr>
        <w:t>v.</w:t>
      </w:r>
      <w:r w:rsidRPr="00426659">
        <w:rPr>
          <w:b/>
        </w:rPr>
        <w:t xml:space="preserve"> </w:t>
      </w:r>
      <w:r w:rsidR="00D3772C">
        <w:rPr>
          <w:rStyle w:val="SCCRespondentForIndexChar"/>
        </w:rPr>
        <w:t>Johns</w:t>
      </w:r>
    </w:p>
    <w:p w:rsidR="00A149DF" w:rsidRDefault="00A149DF" w:rsidP="0043712F">
      <w:pPr>
        <w:widowControl w:val="0"/>
        <w:jc w:val="both"/>
      </w:pPr>
    </w:p>
    <w:p w:rsidR="00426659" w:rsidRPr="00C02092" w:rsidRDefault="00AE4535" w:rsidP="0043712F">
      <w:pPr>
        <w:pStyle w:val="SCCSystemYear"/>
        <w:widowControl w:val="0"/>
        <w:jc w:val="both"/>
      </w:pPr>
      <w:r>
        <w:t>2017</w:t>
      </w:r>
      <w:r w:rsidR="003D0399">
        <w:t xml:space="preserve"> </w:t>
      </w:r>
      <w:r w:rsidR="00D3772C">
        <w:t>SCC 23</w:t>
      </w:r>
    </w:p>
    <w:p w:rsidR="00A149DF" w:rsidRDefault="00A149DF" w:rsidP="0043712F">
      <w:pPr>
        <w:widowControl w:val="0"/>
        <w:jc w:val="both"/>
      </w:pPr>
    </w:p>
    <w:p w:rsidR="008322BD" w:rsidRDefault="009B57B3" w:rsidP="0043712F">
      <w:pPr>
        <w:widowControl w:val="0"/>
        <w:jc w:val="both"/>
      </w:pPr>
      <w:r w:rsidRPr="001426A9">
        <w:t xml:space="preserve">File No.:  </w:t>
      </w:r>
      <w:r>
        <w:t>37109</w:t>
      </w:r>
      <w:r w:rsidRPr="001426A9">
        <w:t>.</w:t>
      </w:r>
    </w:p>
    <w:p w:rsidR="00A149DF" w:rsidRDefault="00A149DF" w:rsidP="0043712F">
      <w:pPr>
        <w:widowControl w:val="0"/>
        <w:jc w:val="both"/>
      </w:pPr>
    </w:p>
    <w:p w:rsidR="008322BD" w:rsidRDefault="00AE4535" w:rsidP="0043712F">
      <w:pPr>
        <w:widowControl w:val="0"/>
        <w:jc w:val="both"/>
      </w:pPr>
      <w:r>
        <w:t>2017:  April 18</w:t>
      </w:r>
      <w:r w:rsidR="009B57B3" w:rsidRPr="001426A9">
        <w:t>.</w:t>
      </w:r>
    </w:p>
    <w:p w:rsidR="00E97830" w:rsidRDefault="00E97830" w:rsidP="0043712F">
      <w:pPr>
        <w:widowControl w:val="0"/>
        <w:jc w:val="both"/>
      </w:pPr>
    </w:p>
    <w:p w:rsidR="008322BD" w:rsidRDefault="009B57B3" w:rsidP="0043712F">
      <w:pPr>
        <w:widowControl w:val="0"/>
        <w:jc w:val="both"/>
      </w:pPr>
      <w:r w:rsidRPr="001426A9">
        <w:t xml:space="preserve">Present:  </w:t>
      </w:r>
      <w:r>
        <w:t>McLachlin C.J. and Abella, Moldaver, Karakatsanis, Wagner, Gascon, Côté, Brown and Rowe JJ.</w:t>
      </w:r>
    </w:p>
    <w:p w:rsidR="00E97830" w:rsidRDefault="00E97830" w:rsidP="0043712F">
      <w:pPr>
        <w:widowControl w:val="0"/>
        <w:jc w:val="both"/>
      </w:pPr>
    </w:p>
    <w:p w:rsidR="008322BD" w:rsidRDefault="00656313" w:rsidP="0043712F">
      <w:pPr>
        <w:pStyle w:val="SCCLowerCourtNameLowercase"/>
        <w:widowControl w:val="0"/>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of alberta </w:t>
      </w:r>
    </w:p>
    <w:p w:rsidR="00610539" w:rsidRPr="005E277F" w:rsidRDefault="005E277F" w:rsidP="0043712F">
      <w:pPr>
        <w:pStyle w:val="SCCNormalDoubleSpacing"/>
        <w:widowControl w:val="0"/>
        <w:rPr>
          <w:i/>
        </w:rPr>
      </w:pPr>
      <w:r>
        <w:tab/>
      </w:r>
      <w:r>
        <w:rPr>
          <w:i/>
        </w:rPr>
        <w:t xml:space="preserve">Civil procedure </w:t>
      </w:r>
      <w:r w:rsidR="0043712F" w:rsidRPr="0043712F">
        <w:rPr>
          <w:i/>
        </w:rPr>
        <w:t>—</w:t>
      </w:r>
      <w:r>
        <w:rPr>
          <w:i/>
        </w:rPr>
        <w:t xml:space="preserve"> Contempt of court </w:t>
      </w:r>
      <w:r w:rsidR="0043712F" w:rsidRPr="0043712F">
        <w:rPr>
          <w:i/>
        </w:rPr>
        <w:t>—</w:t>
      </w:r>
      <w:r>
        <w:rPr>
          <w:i/>
        </w:rPr>
        <w:t xml:space="preserve"> </w:t>
      </w:r>
      <w:r w:rsidR="008711C5">
        <w:rPr>
          <w:i/>
        </w:rPr>
        <w:t>Required knowledge</w:t>
      </w:r>
      <w:r>
        <w:rPr>
          <w:i/>
        </w:rPr>
        <w:t xml:space="preserve"> </w:t>
      </w:r>
      <w:r w:rsidR="0043712F" w:rsidRPr="0043712F">
        <w:rPr>
          <w:i/>
        </w:rPr>
        <w:t>—</w:t>
      </w:r>
      <w:r>
        <w:rPr>
          <w:i/>
        </w:rPr>
        <w:t xml:space="preserve"> </w:t>
      </w:r>
      <w:r w:rsidR="006E624E">
        <w:rPr>
          <w:i/>
        </w:rPr>
        <w:t xml:space="preserve">Self-represented plaintiff failing to comply with case management orders and failing to </w:t>
      </w:r>
      <w:r w:rsidR="00993907">
        <w:rPr>
          <w:i/>
        </w:rPr>
        <w:t xml:space="preserve">attend case management </w:t>
      </w:r>
      <w:r w:rsidR="006E624E">
        <w:rPr>
          <w:i/>
        </w:rPr>
        <w:t>meetings after having moved without filing change of address with court as required</w:t>
      </w:r>
      <w:r w:rsidR="00FF0936">
        <w:rPr>
          <w:i/>
        </w:rPr>
        <w:t xml:space="preserve"> </w:t>
      </w:r>
      <w:r w:rsidR="0043712F" w:rsidRPr="0043712F">
        <w:rPr>
          <w:i/>
        </w:rPr>
        <w:t>—</w:t>
      </w:r>
      <w:r w:rsidR="006E624E">
        <w:rPr>
          <w:i/>
        </w:rPr>
        <w:t xml:space="preserve"> </w:t>
      </w:r>
      <w:r w:rsidR="00993907">
        <w:rPr>
          <w:i/>
        </w:rPr>
        <w:t xml:space="preserve">Case management judge striking claim, finding plaintiff in contempt of court and awarding costs to defendants </w:t>
      </w:r>
      <w:r w:rsidR="0043712F" w:rsidRPr="0043712F">
        <w:rPr>
          <w:i/>
        </w:rPr>
        <w:t>—</w:t>
      </w:r>
      <w:r w:rsidR="00993907">
        <w:rPr>
          <w:i/>
        </w:rPr>
        <w:t xml:space="preserve"> Majority of Court of Appeal affirming decision </w:t>
      </w:r>
      <w:r w:rsidR="0043712F" w:rsidRPr="0043712F">
        <w:rPr>
          <w:i/>
        </w:rPr>
        <w:t>—</w:t>
      </w:r>
      <w:r w:rsidR="00993907">
        <w:rPr>
          <w:i/>
        </w:rPr>
        <w:t xml:space="preserve"> Dissenting judge finding that plaintiff’s failure to atte</w:t>
      </w:r>
      <w:r w:rsidR="00267568">
        <w:rPr>
          <w:i/>
        </w:rPr>
        <w:t>nd case management meetings not</w:t>
      </w:r>
      <w:r w:rsidR="00993907">
        <w:rPr>
          <w:i/>
        </w:rPr>
        <w:t xml:space="preserve"> act of contempt and that cost</w:t>
      </w:r>
      <w:r w:rsidR="00A97431">
        <w:rPr>
          <w:i/>
        </w:rPr>
        <w:t>s</w:t>
      </w:r>
      <w:r w:rsidR="00993907">
        <w:rPr>
          <w:i/>
        </w:rPr>
        <w:t xml:space="preserve"> award significantly disproportionate consequence for failing to file change of address </w:t>
      </w:r>
      <w:r w:rsidR="0043712F" w:rsidRPr="0043712F">
        <w:rPr>
          <w:i/>
        </w:rPr>
        <w:t>—</w:t>
      </w:r>
      <w:r w:rsidR="00993907">
        <w:rPr>
          <w:i/>
        </w:rPr>
        <w:t xml:space="preserve"> </w:t>
      </w:r>
      <w:r w:rsidR="008711C5">
        <w:rPr>
          <w:i/>
        </w:rPr>
        <w:t xml:space="preserve">Actual knowledge of impugned orders necessary </w:t>
      </w:r>
      <w:r w:rsidR="00B234C9">
        <w:rPr>
          <w:i/>
        </w:rPr>
        <w:t>for</w:t>
      </w:r>
      <w:r w:rsidR="008711C5">
        <w:rPr>
          <w:i/>
        </w:rPr>
        <w:t xml:space="preserve"> plaintiff </w:t>
      </w:r>
      <w:r w:rsidR="00B234C9">
        <w:rPr>
          <w:i/>
        </w:rPr>
        <w:t xml:space="preserve">to be found </w:t>
      </w:r>
      <w:r w:rsidR="008711C5">
        <w:rPr>
          <w:i/>
        </w:rPr>
        <w:t xml:space="preserve">in contempt </w:t>
      </w:r>
      <w:r w:rsidR="0043712F" w:rsidRPr="0043712F">
        <w:rPr>
          <w:i/>
        </w:rPr>
        <w:t>—</w:t>
      </w:r>
      <w:r w:rsidR="008711C5">
        <w:rPr>
          <w:i/>
        </w:rPr>
        <w:t xml:space="preserve"> </w:t>
      </w:r>
      <w:r w:rsidR="003B6BDA">
        <w:rPr>
          <w:i/>
        </w:rPr>
        <w:t>Action</w:t>
      </w:r>
      <w:r w:rsidR="008711C5">
        <w:rPr>
          <w:i/>
        </w:rPr>
        <w:t xml:space="preserve"> </w:t>
      </w:r>
      <w:r w:rsidR="003B6BDA">
        <w:rPr>
          <w:i/>
        </w:rPr>
        <w:t>r</w:t>
      </w:r>
      <w:r w:rsidR="008711C5">
        <w:rPr>
          <w:i/>
        </w:rPr>
        <w:t xml:space="preserve">estored and costs award vacated </w:t>
      </w:r>
      <w:r w:rsidR="0043712F" w:rsidRPr="0043712F">
        <w:rPr>
          <w:i/>
        </w:rPr>
        <w:t>—</w:t>
      </w:r>
      <w:r w:rsidR="008711C5">
        <w:rPr>
          <w:i/>
        </w:rPr>
        <w:t xml:space="preserve"> Alberta Rules of Court, Alta. Reg. 124/2010, r. 10.52(3)(a)(iii).</w:t>
      </w:r>
    </w:p>
    <w:p w:rsidR="00A149DF" w:rsidRDefault="00A149DF" w:rsidP="0043712F">
      <w:pPr>
        <w:pStyle w:val="SCCNormalDoubleSpacing"/>
        <w:widowControl w:val="0"/>
      </w:pPr>
    </w:p>
    <w:p w:rsidR="003B215F" w:rsidRDefault="002E6705" w:rsidP="0043712F">
      <w:pPr>
        <w:pStyle w:val="SCCNormalDoubleSpacing"/>
        <w:widowControl w:val="0"/>
        <w:spacing w:line="240" w:lineRule="auto"/>
        <w:rPr>
          <w:b/>
        </w:rPr>
      </w:pPr>
      <w:r w:rsidRPr="00314E01">
        <w:rPr>
          <w:b/>
        </w:rPr>
        <w:lastRenderedPageBreak/>
        <w:t>Statutes and Regulations Cite</w:t>
      </w:r>
      <w:r w:rsidR="00A41805">
        <w:rPr>
          <w:b/>
        </w:rPr>
        <w:t>d</w:t>
      </w:r>
    </w:p>
    <w:p w:rsidR="00DC5BC0" w:rsidRDefault="00DC5BC0" w:rsidP="0043712F">
      <w:pPr>
        <w:pStyle w:val="SCCNormalDoubleSpacing"/>
        <w:widowControl w:val="0"/>
        <w:spacing w:line="240" w:lineRule="auto"/>
      </w:pPr>
    </w:p>
    <w:p w:rsidR="00A41805" w:rsidRDefault="00A41805" w:rsidP="0043712F">
      <w:pPr>
        <w:pStyle w:val="SCCNormalDoubleSpacing"/>
        <w:widowControl w:val="0"/>
        <w:spacing w:line="240" w:lineRule="auto"/>
        <w:ind w:left="540" w:hanging="540"/>
      </w:pPr>
    </w:p>
    <w:p w:rsidR="00A149DF" w:rsidRDefault="00DC5BC0" w:rsidP="0043712F">
      <w:pPr>
        <w:pStyle w:val="SCCNormalDoubleSpacing"/>
        <w:widowControl w:val="0"/>
        <w:spacing w:line="240" w:lineRule="auto"/>
        <w:ind w:left="540" w:hanging="540"/>
      </w:pPr>
      <w:r w:rsidRPr="005138EA">
        <w:rPr>
          <w:i/>
          <w:lang w:val="en-US"/>
        </w:rPr>
        <w:t>Alberta Rules of Court</w:t>
      </w:r>
      <w:r w:rsidRPr="005138EA">
        <w:rPr>
          <w:lang w:val="en-US"/>
        </w:rPr>
        <w:t>, Alta. Reg. 124/2010,</w:t>
      </w:r>
      <w:r>
        <w:rPr>
          <w:lang w:val="en-US"/>
        </w:rPr>
        <w:t xml:space="preserve"> r. </w:t>
      </w:r>
      <w:r w:rsidRPr="005138EA">
        <w:rPr>
          <w:lang w:val="en-US"/>
        </w:rPr>
        <w:t>10.52(3)(a)(iii)</w:t>
      </w:r>
      <w:r>
        <w:rPr>
          <w:lang w:val="en-US"/>
        </w:rPr>
        <w:t>.</w:t>
      </w:r>
    </w:p>
    <w:p w:rsidR="00A149DF" w:rsidRDefault="00A149DF" w:rsidP="0043712F">
      <w:pPr>
        <w:pStyle w:val="SCCNormalDoubleSpacing"/>
        <w:widowControl w:val="0"/>
        <w:spacing w:line="240" w:lineRule="auto"/>
        <w:ind w:left="540" w:hanging="540"/>
      </w:pPr>
    </w:p>
    <w:p w:rsidR="00DC5BC0" w:rsidRDefault="00DC5BC0" w:rsidP="0043712F">
      <w:pPr>
        <w:pStyle w:val="SCCNormalDoubleSpacing"/>
        <w:widowControl w:val="0"/>
        <w:spacing w:line="240" w:lineRule="auto"/>
        <w:ind w:left="540" w:hanging="540"/>
      </w:pPr>
    </w:p>
    <w:p w:rsidR="00DC5BC0" w:rsidRDefault="00DC5BC0" w:rsidP="0043712F">
      <w:pPr>
        <w:pStyle w:val="SCCNormalDoubleSpacing"/>
        <w:widowControl w:val="0"/>
        <w:spacing w:line="240" w:lineRule="auto"/>
        <w:ind w:left="540" w:hanging="540"/>
      </w:pPr>
    </w:p>
    <w:p w:rsidR="00DC5BC0" w:rsidRPr="00DC5BC0" w:rsidRDefault="00DC5BC0" w:rsidP="0043712F">
      <w:pPr>
        <w:pStyle w:val="SCCNormalDoubleSpacing"/>
        <w:widowControl w:val="0"/>
        <w:spacing w:line="240" w:lineRule="auto"/>
        <w:ind w:left="540" w:hanging="540"/>
        <w:rPr>
          <w:b/>
        </w:rPr>
      </w:pPr>
      <w:r w:rsidRPr="00DC5BC0">
        <w:rPr>
          <w:b/>
        </w:rPr>
        <w:t>Authors Cited</w:t>
      </w:r>
    </w:p>
    <w:p w:rsidR="00DC5BC0" w:rsidRDefault="00DC5BC0" w:rsidP="0043712F">
      <w:pPr>
        <w:pStyle w:val="SCCNormalDoubleSpacing"/>
        <w:widowControl w:val="0"/>
        <w:spacing w:line="240" w:lineRule="auto"/>
        <w:ind w:left="540" w:hanging="540"/>
      </w:pPr>
    </w:p>
    <w:p w:rsidR="00DC5BC0" w:rsidRDefault="00C27D9D" w:rsidP="0043712F">
      <w:pPr>
        <w:pStyle w:val="SCCNormalDoubleSpacing"/>
        <w:widowControl w:val="0"/>
        <w:spacing w:line="240" w:lineRule="auto"/>
        <w:ind w:left="540" w:hanging="540"/>
      </w:pPr>
      <w:r>
        <w:t xml:space="preserve">Canadian Judicial Council.  </w:t>
      </w:r>
      <w:r w:rsidRPr="00F879CD">
        <w:rPr>
          <w:i/>
          <w:lang w:val="en-US"/>
        </w:rPr>
        <w:t>Statement of Principles on Self-represented Litigants and Accused Persons</w:t>
      </w:r>
      <w:r w:rsidR="00A227B1" w:rsidRPr="00A227B1">
        <w:rPr>
          <w:lang w:val="en-US"/>
        </w:rPr>
        <w:t>, September 2006</w:t>
      </w:r>
      <w:r w:rsidRPr="00A227B1">
        <w:rPr>
          <w:lang w:val="en-US"/>
        </w:rPr>
        <w:t xml:space="preserve"> </w:t>
      </w:r>
      <w:r>
        <w:rPr>
          <w:lang w:val="en-US"/>
        </w:rPr>
        <w:t xml:space="preserve">(online: </w:t>
      </w:r>
      <w:r w:rsidR="00943808" w:rsidRPr="00943808">
        <w:rPr>
          <w:lang w:val="en-US"/>
        </w:rPr>
        <w:t xml:space="preserve">https://www.cjc-ccm.gc.ca/cmslib/general/news_pub_other_PrinciplesStatement_2006_en.pdf; archived version: </w:t>
      </w:r>
      <w:hyperlink r:id="rId9" w:history="1">
        <w:r w:rsidR="007046B7" w:rsidRPr="00A92D21">
          <w:rPr>
            <w:rStyle w:val="Lienhypertexte"/>
            <w:lang w:val="en-US"/>
          </w:rPr>
          <w:t>http://www.scc-csc.ca/cso-dce/</w:t>
        </w:r>
        <w:r w:rsidR="007046B7" w:rsidRPr="00A92D21">
          <w:rPr>
            <w:rStyle w:val="Lienhypertexte"/>
            <w:lang w:val="en-US"/>
          </w:rPr>
          <w:t>2</w:t>
        </w:r>
        <w:r w:rsidR="007046B7" w:rsidRPr="00A92D21">
          <w:rPr>
            <w:rStyle w:val="Lienhypertexte"/>
            <w:lang w:val="en-US"/>
          </w:rPr>
          <w:t>0</w:t>
        </w:r>
        <w:r w:rsidR="007046B7" w:rsidRPr="00A92D21">
          <w:rPr>
            <w:rStyle w:val="Lienhypertexte"/>
            <w:lang w:val="en-US"/>
          </w:rPr>
          <w:t>17SCC-CSC23_1_eng.pdf</w:t>
        </w:r>
      </w:hyperlink>
      <w:r w:rsidR="00EE230B">
        <w:rPr>
          <w:lang w:val="en-US"/>
        </w:rPr>
        <w:t>)</w:t>
      </w:r>
      <w:r>
        <w:rPr>
          <w:lang w:val="en-US"/>
        </w:rPr>
        <w:t>.</w:t>
      </w:r>
    </w:p>
    <w:p w:rsidR="00BA5E71" w:rsidRDefault="00BA5E71" w:rsidP="0043712F">
      <w:pPr>
        <w:pStyle w:val="SCCNormalDoubleSpacing"/>
        <w:widowControl w:val="0"/>
        <w:spacing w:line="240" w:lineRule="auto"/>
        <w:ind w:left="540" w:hanging="540"/>
      </w:pPr>
    </w:p>
    <w:p w:rsidR="00656313" w:rsidRDefault="009B57B3" w:rsidP="0043712F">
      <w:pPr>
        <w:pStyle w:val="SCCNormalDoubleSpacing"/>
        <w:widowControl w:val="0"/>
      </w:pPr>
      <w:r w:rsidRPr="001426A9">
        <w:tab/>
        <w:t xml:space="preserve">APPEAL from a judgment of the </w:t>
      </w:r>
      <w:r w:rsidR="00BA5E71">
        <w:t xml:space="preserve">Alberta </w:t>
      </w:r>
      <w:r>
        <w:t>Court of Appeal</w:t>
      </w:r>
      <w:bookmarkStart w:id="0" w:name="_GoBack"/>
      <w:bookmarkEnd w:id="0"/>
      <w:r>
        <w:t xml:space="preserve"> </w:t>
      </w:r>
      <w:r w:rsidR="00BA5E71">
        <w:t>(Martin, McDonald and Veldhuis</w:t>
      </w:r>
      <w:r w:rsidR="00290AA5">
        <w:t xml:space="preserve"> JJ.A.</w:t>
      </w:r>
      <w:r w:rsidR="00BA5E71">
        <w:t xml:space="preserve">), </w:t>
      </w:r>
      <w:r w:rsidR="00684458" w:rsidRPr="00684458">
        <w:rPr>
          <w:lang w:val="en-US"/>
        </w:rPr>
        <w:t>2016 ABCA 99,</w:t>
      </w:r>
      <w:r w:rsidR="00684458">
        <w:rPr>
          <w:lang w:val="en-US"/>
        </w:rPr>
        <w:t xml:space="preserve"> </w:t>
      </w:r>
      <w:r w:rsidR="00C2641A">
        <w:rPr>
          <w:lang w:val="en-US"/>
        </w:rPr>
        <w:t xml:space="preserve">[2016] A.J. No. 432 (QL), </w:t>
      </w:r>
      <w:r w:rsidR="00041CF2">
        <w:rPr>
          <w:lang w:val="en-US"/>
        </w:rPr>
        <w:t>2016 CarswellAlta 772 (WL Can.),</w:t>
      </w:r>
      <w:r w:rsidR="00684458" w:rsidRPr="00684458">
        <w:rPr>
          <w:lang w:val="en-US"/>
        </w:rPr>
        <w:t xml:space="preserve"> </w:t>
      </w:r>
      <w:r w:rsidR="00290AA5">
        <w:t xml:space="preserve">affirming a decision of the Court of Queen’s Bench (Kenny J.). </w:t>
      </w:r>
      <w:r w:rsidR="00684458">
        <w:t xml:space="preserve">Appeal </w:t>
      </w:r>
      <w:r w:rsidR="005B6605">
        <w:t>allowed.</w:t>
      </w:r>
    </w:p>
    <w:p w:rsidR="00656313" w:rsidRDefault="00656313" w:rsidP="0043712F">
      <w:pPr>
        <w:pStyle w:val="SCCNormalDoubleSpacing"/>
        <w:widowControl w:val="0"/>
      </w:pPr>
    </w:p>
    <w:p w:rsidR="00BC75A7" w:rsidRDefault="002B6F77" w:rsidP="0043712F">
      <w:pPr>
        <w:pStyle w:val="SCCNormalDoubleSpacing"/>
        <w:widowControl w:val="0"/>
      </w:pPr>
      <w:r>
        <w:rPr>
          <w:rStyle w:val="SCCCounselNameChar"/>
        </w:rPr>
        <w:tab/>
        <w:t>Colin Feasby</w:t>
      </w:r>
      <w:r>
        <w:rPr>
          <w:rStyle w:val="SCCCounselSeparatorChar"/>
        </w:rPr>
        <w:t xml:space="preserve">, </w:t>
      </w:r>
      <w:r>
        <w:rPr>
          <w:rStyle w:val="SCCCounselNameChar"/>
        </w:rPr>
        <w:t>Sean Sutherland</w:t>
      </w:r>
      <w:r>
        <w:rPr>
          <w:rStyle w:val="SCCCounselSeparatorChar"/>
        </w:rPr>
        <w:t xml:space="preserve"> and </w:t>
      </w:r>
      <w:r>
        <w:rPr>
          <w:rStyle w:val="SCCCounselNameChar"/>
        </w:rPr>
        <w:t>Adam LaRoche</w:t>
      </w:r>
      <w:r>
        <w:rPr>
          <w:rStyle w:val="SCCCounselPartyRoleChar"/>
        </w:rPr>
        <w:t>, for the appellant.</w:t>
      </w:r>
    </w:p>
    <w:p w:rsidR="00BC75A7" w:rsidRDefault="00BC75A7" w:rsidP="0043712F">
      <w:pPr>
        <w:pStyle w:val="SCCNormalDoubleSpacing"/>
        <w:widowControl w:val="0"/>
      </w:pPr>
    </w:p>
    <w:p w:rsidR="00BC75A7" w:rsidRDefault="002B6F77" w:rsidP="0043712F">
      <w:pPr>
        <w:pStyle w:val="SCCNormalDoubleSpacing"/>
        <w:widowControl w:val="0"/>
      </w:pPr>
      <w:r>
        <w:rPr>
          <w:rStyle w:val="SCCCounselNameChar"/>
        </w:rPr>
        <w:tab/>
        <w:t>Duncan C. Boswel</w:t>
      </w:r>
      <w:r w:rsidR="005B6605">
        <w:rPr>
          <w:rStyle w:val="SCCCounselNameChar"/>
        </w:rPr>
        <w:t xml:space="preserve">l </w:t>
      </w:r>
      <w:r w:rsidR="005B6605" w:rsidRPr="005B6605">
        <w:rPr>
          <w:rStyle w:val="SCCCounselNameChar"/>
          <w:i w:val="0"/>
        </w:rPr>
        <w:t xml:space="preserve">and </w:t>
      </w:r>
      <w:r w:rsidR="005B6605">
        <w:rPr>
          <w:rStyle w:val="SCCCounselNameChar"/>
        </w:rPr>
        <w:t>Alyssa J. Duke</w:t>
      </w:r>
      <w:r>
        <w:rPr>
          <w:rStyle w:val="SCCCounselPartyRoleChar"/>
        </w:rPr>
        <w:t>, for the respondent</w:t>
      </w:r>
      <w:r w:rsidR="00882D97">
        <w:rPr>
          <w:rStyle w:val="SCCCounselPartyRoleChar"/>
        </w:rPr>
        <w:t>s</w:t>
      </w:r>
      <w:r>
        <w:rPr>
          <w:rStyle w:val="SCCCounselPartyRoleChar"/>
        </w:rPr>
        <w:t>.</w:t>
      </w:r>
    </w:p>
    <w:p w:rsidR="00BC75A7" w:rsidRDefault="00BC75A7" w:rsidP="0043712F">
      <w:pPr>
        <w:pStyle w:val="SCCNormalDoubleSpacing"/>
        <w:widowControl w:val="0"/>
      </w:pPr>
    </w:p>
    <w:p w:rsidR="0043712F" w:rsidRDefault="002B6F77" w:rsidP="0043712F">
      <w:pPr>
        <w:pStyle w:val="SCCNormalDoubleSpacing"/>
        <w:widowControl w:val="0"/>
        <w:rPr>
          <w:rStyle w:val="SCCCounselPartyRoleChar"/>
        </w:rPr>
      </w:pPr>
      <w:r>
        <w:rPr>
          <w:rStyle w:val="SCCCounselNameChar"/>
        </w:rPr>
        <w:tab/>
      </w:r>
      <w:r w:rsidR="005B6605">
        <w:rPr>
          <w:rStyle w:val="SCCCounselNameChar"/>
        </w:rPr>
        <w:t xml:space="preserve">Ilan Ishai </w:t>
      </w:r>
      <w:r w:rsidR="005B6605" w:rsidRPr="005B6605">
        <w:rPr>
          <w:rStyle w:val="SCCCounselNameChar"/>
          <w:i w:val="0"/>
        </w:rPr>
        <w:t xml:space="preserve">and </w:t>
      </w:r>
      <w:r>
        <w:rPr>
          <w:rStyle w:val="SCCCounselNameChar"/>
        </w:rPr>
        <w:t>Ranjan Agarwal</w:t>
      </w:r>
      <w:r>
        <w:rPr>
          <w:rStyle w:val="SCCCounselPartyRoleChar"/>
        </w:rPr>
        <w:t>, for the intervener</w:t>
      </w:r>
      <w:r w:rsidR="00882D97">
        <w:rPr>
          <w:rStyle w:val="SCCCounselPartyRoleChar"/>
        </w:rPr>
        <w:t xml:space="preserve"> the</w:t>
      </w:r>
      <w:r>
        <w:rPr>
          <w:rStyle w:val="SCCCounselPartyRoleChar"/>
        </w:rPr>
        <w:t xml:space="preserve"> National Self-Represented Litigants Project.</w:t>
      </w:r>
    </w:p>
    <w:p w:rsidR="0043712F" w:rsidRDefault="0043712F" w:rsidP="0043712F">
      <w:pPr>
        <w:pStyle w:val="SCCNormalDoubleSpacing"/>
        <w:widowControl w:val="0"/>
      </w:pPr>
    </w:p>
    <w:p w:rsidR="00BC75A7" w:rsidRDefault="002B6F77" w:rsidP="0043712F">
      <w:pPr>
        <w:pStyle w:val="SCCNormalDoubleSpacing"/>
        <w:widowControl w:val="0"/>
      </w:pPr>
      <w:r>
        <w:rPr>
          <w:rStyle w:val="SCCCounselNameChar"/>
        </w:rPr>
        <w:tab/>
        <w:t>Andrew Bernstein</w:t>
      </w:r>
      <w:r>
        <w:rPr>
          <w:rStyle w:val="SCCCounselSeparatorChar"/>
        </w:rPr>
        <w:t xml:space="preserve">, </w:t>
      </w:r>
      <w:r>
        <w:rPr>
          <w:rStyle w:val="SCCCounselNameChar"/>
        </w:rPr>
        <w:t>Jeremy Opolsky</w:t>
      </w:r>
      <w:r>
        <w:rPr>
          <w:rStyle w:val="SCCCounselSeparatorChar"/>
        </w:rPr>
        <w:t xml:space="preserve"> and </w:t>
      </w:r>
      <w:r>
        <w:rPr>
          <w:rStyle w:val="SCCCounselNameChar"/>
        </w:rPr>
        <w:t>Leora Jackson</w:t>
      </w:r>
      <w:r>
        <w:rPr>
          <w:rStyle w:val="SCCCounselPartyRoleChar"/>
        </w:rPr>
        <w:t>, for the intervener</w:t>
      </w:r>
      <w:r w:rsidR="00882D97">
        <w:rPr>
          <w:rStyle w:val="SCCCounselPartyRoleChar"/>
        </w:rPr>
        <w:t>s</w:t>
      </w:r>
      <w:r>
        <w:rPr>
          <w:rStyle w:val="SCCCounselPartyRoleChar"/>
        </w:rPr>
        <w:t xml:space="preserve"> Pro Bono Ontario</w:t>
      </w:r>
      <w:r w:rsidR="00882D97">
        <w:rPr>
          <w:rStyle w:val="SCCCounselPartyRoleChar"/>
        </w:rPr>
        <w:t xml:space="preserve"> and </w:t>
      </w:r>
      <w:r w:rsidR="002E1DA7">
        <w:rPr>
          <w:rStyle w:val="SCCCounselPartyRoleChar"/>
        </w:rPr>
        <w:t xml:space="preserve">Access </w:t>
      </w:r>
      <w:r w:rsidR="00882D97">
        <w:rPr>
          <w:rStyle w:val="SCCCounselPartyRoleChar"/>
        </w:rPr>
        <w:t>Pro Bono</w:t>
      </w:r>
      <w:r>
        <w:rPr>
          <w:rStyle w:val="SCCCounselPartyRoleChar"/>
        </w:rPr>
        <w:t>.</w:t>
      </w:r>
    </w:p>
    <w:p w:rsidR="00041CF2" w:rsidRDefault="00041CF2" w:rsidP="0043712F">
      <w:pPr>
        <w:pStyle w:val="SCCLawFirm"/>
        <w:widowControl w:val="0"/>
      </w:pPr>
    </w:p>
    <w:p w:rsidR="005B6605" w:rsidRDefault="005B6605" w:rsidP="0043712F">
      <w:pPr>
        <w:pStyle w:val="SCCNormalDoubleSpacing"/>
        <w:widowControl w:val="0"/>
      </w:pPr>
      <w:r>
        <w:tab/>
        <w:t>The judgment of the Court was delivered orally by</w:t>
      </w:r>
    </w:p>
    <w:p w:rsidR="005B6605" w:rsidRPr="005138EA" w:rsidRDefault="005B6605" w:rsidP="0043712F">
      <w:pPr>
        <w:pStyle w:val="ParaNoNdepar-AltN"/>
        <w:widowControl w:val="0"/>
        <w:numPr>
          <w:ilvl w:val="0"/>
          <w:numId w:val="1"/>
        </w:numPr>
        <w:tabs>
          <w:tab w:val="left" w:pos="1170"/>
        </w:tabs>
        <w:ind w:left="0" w:firstLine="0"/>
        <w:rPr>
          <w:lang w:val="en-US" w:eastAsia="en-CA"/>
        </w:rPr>
      </w:pPr>
      <w:r w:rsidRPr="005138EA">
        <w:rPr>
          <w:smallCaps/>
        </w:rPr>
        <w:t>Karakatsanis</w:t>
      </w:r>
      <w:r w:rsidRPr="005138EA">
        <w:t xml:space="preserve"> </w:t>
      </w:r>
      <w:r w:rsidRPr="005138EA">
        <w:rPr>
          <w:smallCaps/>
        </w:rPr>
        <w:t>J</w:t>
      </w:r>
      <w:r w:rsidRPr="005138EA">
        <w:t xml:space="preserve">. </w:t>
      </w:r>
      <w:r w:rsidRPr="005138EA">
        <w:rPr>
          <w:rFonts w:cs="Times New Roman"/>
        </w:rPr>
        <w:t>—</w:t>
      </w:r>
      <w:r w:rsidRPr="005138EA">
        <w:t xml:space="preserve"> </w:t>
      </w:r>
      <w:r w:rsidRPr="005138EA">
        <w:rPr>
          <w:lang w:val="en-US"/>
        </w:rPr>
        <w:t xml:space="preserve">The </w:t>
      </w:r>
      <w:r w:rsidRPr="005B6605">
        <w:t>common</w:t>
      </w:r>
      <w:r w:rsidRPr="005B6605">
        <w:rPr>
          <w:lang w:val="en-US"/>
        </w:rPr>
        <w:t xml:space="preserve"> </w:t>
      </w:r>
      <w:r w:rsidRPr="005138EA">
        <w:rPr>
          <w:lang w:val="en-US"/>
        </w:rPr>
        <w:t xml:space="preserve">law of civil contempt requires that the </w:t>
      </w:r>
      <w:r w:rsidRPr="005138EA">
        <w:rPr>
          <w:lang w:val="en-US"/>
        </w:rPr>
        <w:lastRenderedPageBreak/>
        <w:t xml:space="preserve">respondents prove beyond a reasonable doubt that Mr. Pintea had actual knowledge of the Orders for the case management meetings he failed to attend. </w:t>
      </w:r>
    </w:p>
    <w:p w:rsidR="005B6605" w:rsidRPr="005138EA" w:rsidRDefault="005B6605" w:rsidP="0043712F">
      <w:pPr>
        <w:pStyle w:val="ParaNoNdepar-AltN"/>
        <w:widowControl w:val="0"/>
        <w:numPr>
          <w:ilvl w:val="0"/>
          <w:numId w:val="1"/>
        </w:numPr>
        <w:tabs>
          <w:tab w:val="left" w:pos="1170"/>
        </w:tabs>
        <w:ind w:left="0" w:firstLine="0"/>
        <w:rPr>
          <w:lang w:val="en-US"/>
        </w:rPr>
      </w:pPr>
      <w:r w:rsidRPr="005138EA">
        <w:rPr>
          <w:lang w:val="en-US"/>
        </w:rPr>
        <w:t xml:space="preserve">The case </w:t>
      </w:r>
      <w:r w:rsidRPr="005B6605">
        <w:t>management</w:t>
      </w:r>
      <w:r w:rsidRPr="005138EA">
        <w:rPr>
          <w:lang w:val="en-US"/>
        </w:rPr>
        <w:t xml:space="preserve"> judge failed to consider whether Mr. Pintea had actual knowledge of two of the three Orders upon which she based her decision. The respondents concede that the requirements of Rule 10.52(3)(a)(iii) of the </w:t>
      </w:r>
      <w:r w:rsidRPr="005138EA">
        <w:rPr>
          <w:i/>
          <w:lang w:val="en-US"/>
        </w:rPr>
        <w:t>Alberta Rules of Court</w:t>
      </w:r>
      <w:r w:rsidRPr="005138EA">
        <w:rPr>
          <w:lang w:val="en-US"/>
        </w:rPr>
        <w:t xml:space="preserve">, Alta. Reg. 124/2010, were not met with respect to these two Orders. </w:t>
      </w:r>
    </w:p>
    <w:p w:rsidR="005B6605" w:rsidRPr="005138EA" w:rsidRDefault="005B6605" w:rsidP="0043712F">
      <w:pPr>
        <w:pStyle w:val="ParaNoNdepar-AltN"/>
        <w:widowControl w:val="0"/>
        <w:numPr>
          <w:ilvl w:val="0"/>
          <w:numId w:val="1"/>
        </w:numPr>
        <w:tabs>
          <w:tab w:val="left" w:pos="1170"/>
        </w:tabs>
        <w:ind w:left="0" w:firstLine="0"/>
        <w:rPr>
          <w:szCs w:val="24"/>
          <w:lang w:val="en-US"/>
        </w:rPr>
      </w:pPr>
      <w:r w:rsidRPr="005138EA">
        <w:rPr>
          <w:lang w:val="en-US"/>
        </w:rPr>
        <w:t xml:space="preserve">As a result, the </w:t>
      </w:r>
      <w:r w:rsidRPr="005B6605">
        <w:t>finding</w:t>
      </w:r>
      <w:r w:rsidRPr="005138EA">
        <w:rPr>
          <w:lang w:val="en-US"/>
        </w:rPr>
        <w:t xml:space="preserve"> of contempt cannot stand.</w:t>
      </w:r>
    </w:p>
    <w:p w:rsidR="005B6605" w:rsidRPr="001848AF" w:rsidRDefault="005B6605" w:rsidP="0043712F">
      <w:pPr>
        <w:pStyle w:val="ParaNoNdepar-AltN"/>
        <w:widowControl w:val="0"/>
        <w:numPr>
          <w:ilvl w:val="0"/>
          <w:numId w:val="1"/>
        </w:numPr>
        <w:tabs>
          <w:tab w:val="left" w:pos="1170"/>
        </w:tabs>
        <w:ind w:left="0" w:firstLine="0"/>
        <w:rPr>
          <w:lang w:val="en-US"/>
        </w:rPr>
      </w:pPr>
      <w:r w:rsidRPr="005138EA">
        <w:rPr>
          <w:lang w:val="en-US"/>
        </w:rPr>
        <w:t xml:space="preserve">We would add </w:t>
      </w:r>
      <w:r w:rsidRPr="005B6605">
        <w:t>that</w:t>
      </w:r>
      <w:r w:rsidRPr="005B6605">
        <w:rPr>
          <w:lang w:val="en-US"/>
        </w:rPr>
        <w:t xml:space="preserve"> </w:t>
      </w:r>
      <w:r w:rsidRPr="005138EA">
        <w:rPr>
          <w:lang w:val="en-US"/>
        </w:rPr>
        <w:t xml:space="preserve">we endorse the </w:t>
      </w:r>
      <w:r w:rsidRPr="005138EA">
        <w:rPr>
          <w:i/>
          <w:lang w:val="en-US"/>
        </w:rPr>
        <w:t>Statement of Principles on Self-represented Litigants and Accused Persons</w:t>
      </w:r>
      <w:r w:rsidRPr="005138EA">
        <w:rPr>
          <w:lang w:val="en-US"/>
        </w:rPr>
        <w:t xml:space="preserve"> (2006) </w:t>
      </w:r>
      <w:r w:rsidR="00FE1E82">
        <w:rPr>
          <w:lang w:val="en-US"/>
        </w:rPr>
        <w:t xml:space="preserve">(online) </w:t>
      </w:r>
      <w:r w:rsidRPr="005138EA">
        <w:rPr>
          <w:lang w:val="en-US"/>
        </w:rPr>
        <w:t>established by the Canadian Judicial Council.</w:t>
      </w:r>
      <w:r w:rsidRPr="001848AF">
        <w:rPr>
          <w:lang w:val="en-US"/>
        </w:rPr>
        <w:t xml:space="preserve"> </w:t>
      </w:r>
    </w:p>
    <w:p w:rsidR="005B6605" w:rsidRDefault="005B6605" w:rsidP="0043712F">
      <w:pPr>
        <w:pStyle w:val="ParaNoNdepar-AltN"/>
        <w:widowControl w:val="0"/>
        <w:numPr>
          <w:ilvl w:val="0"/>
          <w:numId w:val="1"/>
        </w:numPr>
        <w:tabs>
          <w:tab w:val="left" w:pos="1170"/>
        </w:tabs>
        <w:ind w:left="0" w:firstLine="0"/>
      </w:pPr>
      <w:r w:rsidRPr="005B6605">
        <w:t>The</w:t>
      </w:r>
      <w:r w:rsidRPr="001848AF">
        <w:rPr>
          <w:lang w:val="en-US"/>
        </w:rPr>
        <w:t xml:space="preserve"> appeal is </w:t>
      </w:r>
      <w:r w:rsidRPr="00605AA8">
        <w:t>allowed</w:t>
      </w:r>
      <w:r w:rsidRPr="001848AF">
        <w:rPr>
          <w:lang w:val="en-US"/>
        </w:rPr>
        <w:t>, the action is restored and the costs award vacated.</w:t>
      </w:r>
    </w:p>
    <w:p w:rsidR="00041CF2" w:rsidRDefault="00041CF2" w:rsidP="0043712F">
      <w:pPr>
        <w:pStyle w:val="SCCLawFirm"/>
        <w:widowControl w:val="0"/>
        <w:spacing w:before="480" w:after="480"/>
      </w:pPr>
      <w:r>
        <w:tab/>
        <w:t>Judgment accordingly.</w:t>
      </w:r>
    </w:p>
    <w:p w:rsidR="00BC75A7" w:rsidRDefault="007C7774" w:rsidP="0043712F">
      <w:pPr>
        <w:pStyle w:val="SCCLawFirm"/>
        <w:widowControl w:val="0"/>
      </w:pPr>
      <w:r>
        <w:tab/>
        <w:t>Solicitors</w:t>
      </w:r>
      <w:r w:rsidR="002B6F77">
        <w:t xml:space="preserve"> for the appellant:  Osler, Hoskin &amp; Harcourt, Calgary.</w:t>
      </w:r>
    </w:p>
    <w:p w:rsidR="00BC75A7" w:rsidRDefault="00BC75A7" w:rsidP="0043712F">
      <w:pPr>
        <w:pStyle w:val="SCCLawFirm"/>
        <w:widowControl w:val="0"/>
      </w:pPr>
    </w:p>
    <w:p w:rsidR="00BC75A7" w:rsidRDefault="00612BAC" w:rsidP="0043712F">
      <w:pPr>
        <w:pStyle w:val="SCCLawFirm"/>
        <w:widowControl w:val="0"/>
      </w:pPr>
      <w:r>
        <w:tab/>
        <w:t>Solicitors</w:t>
      </w:r>
      <w:r w:rsidR="002B6F77">
        <w:t xml:space="preserve"> for the respondent</w:t>
      </w:r>
      <w:r>
        <w:t>s</w:t>
      </w:r>
      <w:r w:rsidR="002B6F77">
        <w:t xml:space="preserve">: </w:t>
      </w:r>
      <w:r w:rsidR="00290AA5">
        <w:t xml:space="preserve"> Gowling WLG (Canada), Calgary.</w:t>
      </w:r>
    </w:p>
    <w:p w:rsidR="00BC75A7" w:rsidRDefault="00BC75A7" w:rsidP="0043712F">
      <w:pPr>
        <w:pStyle w:val="SCCLawFirm"/>
        <w:widowControl w:val="0"/>
      </w:pPr>
    </w:p>
    <w:p w:rsidR="00BC75A7" w:rsidRDefault="002B6F77" w:rsidP="0043712F">
      <w:pPr>
        <w:pStyle w:val="SCCLawFirm"/>
        <w:widowControl w:val="0"/>
      </w:pPr>
      <w:r>
        <w:tab/>
        <w:t>S</w:t>
      </w:r>
      <w:r w:rsidR="00612BAC">
        <w:t>olicitors</w:t>
      </w:r>
      <w:r>
        <w:t xml:space="preserve"> for the intervener</w:t>
      </w:r>
      <w:r w:rsidR="00612BAC">
        <w:t xml:space="preserve"> the</w:t>
      </w:r>
      <w:r>
        <w:t xml:space="preserve"> National Self-Represented Litigants Project:  Bennett Jones, Toronto.</w:t>
      </w:r>
    </w:p>
    <w:p w:rsidR="00BC75A7" w:rsidRDefault="00BC75A7" w:rsidP="0043712F">
      <w:pPr>
        <w:pStyle w:val="SCCLawFirm"/>
        <w:widowControl w:val="0"/>
      </w:pPr>
    </w:p>
    <w:p w:rsidR="00BC75A7" w:rsidRDefault="00612BAC" w:rsidP="0043712F">
      <w:pPr>
        <w:pStyle w:val="SCCLawFirm"/>
        <w:widowControl w:val="0"/>
      </w:pPr>
      <w:r>
        <w:tab/>
        <w:t>Solicitors</w:t>
      </w:r>
      <w:r w:rsidR="002B6F77">
        <w:t xml:space="preserve"> for the intervener</w:t>
      </w:r>
      <w:r w:rsidR="002E1DA7">
        <w:t>s</w:t>
      </w:r>
      <w:r w:rsidR="002B6F77">
        <w:t xml:space="preserve"> Pro Bono Ontario</w:t>
      </w:r>
      <w:r w:rsidR="002E1DA7">
        <w:t xml:space="preserve"> and Access Pro Bono</w:t>
      </w:r>
      <w:r w:rsidR="002B6F77">
        <w:t xml:space="preserve">:  </w:t>
      </w:r>
      <w:r w:rsidR="002B6F77">
        <w:lastRenderedPageBreak/>
        <w:t>Torys, Toronto.</w:t>
      </w:r>
    </w:p>
    <w:p w:rsidR="00BC75A7" w:rsidRDefault="00BC75A7" w:rsidP="0043712F">
      <w:pPr>
        <w:pStyle w:val="SCCLawFirm"/>
        <w:widowControl w:val="0"/>
      </w:pPr>
    </w:p>
    <w:sectPr w:rsidR="00BC75A7"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95E71"/>
    <w:multiLevelType w:val="hybridMultilevel"/>
    <w:tmpl w:val="CCBCCE4E"/>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41CF2"/>
    <w:rsid w:val="000578A3"/>
    <w:rsid w:val="000648CC"/>
    <w:rsid w:val="000C59B8"/>
    <w:rsid w:val="000C6AF0"/>
    <w:rsid w:val="00104F33"/>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67568"/>
    <w:rsid w:val="00270D93"/>
    <w:rsid w:val="002745CC"/>
    <w:rsid w:val="00290AA5"/>
    <w:rsid w:val="002B6F77"/>
    <w:rsid w:val="002B7924"/>
    <w:rsid w:val="002D28C3"/>
    <w:rsid w:val="002D3006"/>
    <w:rsid w:val="002D39A4"/>
    <w:rsid w:val="002E1DA7"/>
    <w:rsid w:val="002E6705"/>
    <w:rsid w:val="00301D08"/>
    <w:rsid w:val="0030329A"/>
    <w:rsid w:val="0031086F"/>
    <w:rsid w:val="0031414C"/>
    <w:rsid w:val="00314E01"/>
    <w:rsid w:val="0032089D"/>
    <w:rsid w:val="003310DE"/>
    <w:rsid w:val="003323B0"/>
    <w:rsid w:val="003451CF"/>
    <w:rsid w:val="0035169A"/>
    <w:rsid w:val="0035259D"/>
    <w:rsid w:val="00364B18"/>
    <w:rsid w:val="003A125D"/>
    <w:rsid w:val="003A4C70"/>
    <w:rsid w:val="003B215F"/>
    <w:rsid w:val="003B6BDA"/>
    <w:rsid w:val="003C799C"/>
    <w:rsid w:val="003D0399"/>
    <w:rsid w:val="003E1C71"/>
    <w:rsid w:val="003F327B"/>
    <w:rsid w:val="00406166"/>
    <w:rsid w:val="0040704B"/>
    <w:rsid w:val="00410A55"/>
    <w:rsid w:val="00411300"/>
    <w:rsid w:val="00415417"/>
    <w:rsid w:val="00426659"/>
    <w:rsid w:val="0043712F"/>
    <w:rsid w:val="00450352"/>
    <w:rsid w:val="00454BDB"/>
    <w:rsid w:val="00464800"/>
    <w:rsid w:val="00465132"/>
    <w:rsid w:val="00480C90"/>
    <w:rsid w:val="0048396F"/>
    <w:rsid w:val="00493C18"/>
    <w:rsid w:val="004A600C"/>
    <w:rsid w:val="004A6118"/>
    <w:rsid w:val="004C478D"/>
    <w:rsid w:val="004E2C26"/>
    <w:rsid w:val="004F36FF"/>
    <w:rsid w:val="005125A8"/>
    <w:rsid w:val="00521AE8"/>
    <w:rsid w:val="00527180"/>
    <w:rsid w:val="0054201E"/>
    <w:rsid w:val="00555291"/>
    <w:rsid w:val="00566AD1"/>
    <w:rsid w:val="00583EDE"/>
    <w:rsid w:val="00587A43"/>
    <w:rsid w:val="005A6079"/>
    <w:rsid w:val="005B6605"/>
    <w:rsid w:val="005E277F"/>
    <w:rsid w:val="005E4698"/>
    <w:rsid w:val="00605AA8"/>
    <w:rsid w:val="00610539"/>
    <w:rsid w:val="00612BAC"/>
    <w:rsid w:val="00613969"/>
    <w:rsid w:val="00625C35"/>
    <w:rsid w:val="006470EA"/>
    <w:rsid w:val="00656313"/>
    <w:rsid w:val="006565F4"/>
    <w:rsid w:val="00684458"/>
    <w:rsid w:val="00684EEA"/>
    <w:rsid w:val="0069689B"/>
    <w:rsid w:val="006A1551"/>
    <w:rsid w:val="006B5FF5"/>
    <w:rsid w:val="006E624E"/>
    <w:rsid w:val="006F30AF"/>
    <w:rsid w:val="00701759"/>
    <w:rsid w:val="007046B7"/>
    <w:rsid w:val="00705C15"/>
    <w:rsid w:val="0071600E"/>
    <w:rsid w:val="007178B7"/>
    <w:rsid w:val="007208D1"/>
    <w:rsid w:val="00744E41"/>
    <w:rsid w:val="00747288"/>
    <w:rsid w:val="00747DD3"/>
    <w:rsid w:val="007549C8"/>
    <w:rsid w:val="00754A0B"/>
    <w:rsid w:val="00766D14"/>
    <w:rsid w:val="00767A0F"/>
    <w:rsid w:val="007A05F6"/>
    <w:rsid w:val="007A2B30"/>
    <w:rsid w:val="007B6F4A"/>
    <w:rsid w:val="007C7774"/>
    <w:rsid w:val="007E1C47"/>
    <w:rsid w:val="007E337A"/>
    <w:rsid w:val="007E5C70"/>
    <w:rsid w:val="007F2FF5"/>
    <w:rsid w:val="007F3F08"/>
    <w:rsid w:val="00804CC6"/>
    <w:rsid w:val="00817190"/>
    <w:rsid w:val="00820EE5"/>
    <w:rsid w:val="008260E2"/>
    <w:rsid w:val="008322BD"/>
    <w:rsid w:val="00833E0A"/>
    <w:rsid w:val="00834F73"/>
    <w:rsid w:val="00864CF8"/>
    <w:rsid w:val="008711C5"/>
    <w:rsid w:val="00872819"/>
    <w:rsid w:val="00874914"/>
    <w:rsid w:val="00882D97"/>
    <w:rsid w:val="00891422"/>
    <w:rsid w:val="00892E1A"/>
    <w:rsid w:val="008A3F29"/>
    <w:rsid w:val="008B660A"/>
    <w:rsid w:val="008C01DA"/>
    <w:rsid w:val="008F78E9"/>
    <w:rsid w:val="00911989"/>
    <w:rsid w:val="009179F9"/>
    <w:rsid w:val="00933E5E"/>
    <w:rsid w:val="00935218"/>
    <w:rsid w:val="009403F3"/>
    <w:rsid w:val="00943808"/>
    <w:rsid w:val="009555B7"/>
    <w:rsid w:val="009567AA"/>
    <w:rsid w:val="00967374"/>
    <w:rsid w:val="00993907"/>
    <w:rsid w:val="009A343A"/>
    <w:rsid w:val="009B2F23"/>
    <w:rsid w:val="009B57B3"/>
    <w:rsid w:val="009C5B92"/>
    <w:rsid w:val="009D2920"/>
    <w:rsid w:val="009D5AEB"/>
    <w:rsid w:val="009F0E33"/>
    <w:rsid w:val="00A030CE"/>
    <w:rsid w:val="00A149DF"/>
    <w:rsid w:val="00A1755C"/>
    <w:rsid w:val="00A21B90"/>
    <w:rsid w:val="00A227B1"/>
    <w:rsid w:val="00A24D0C"/>
    <w:rsid w:val="00A41805"/>
    <w:rsid w:val="00A42DCD"/>
    <w:rsid w:val="00A52AFB"/>
    <w:rsid w:val="00A548CB"/>
    <w:rsid w:val="00A5521C"/>
    <w:rsid w:val="00A643E7"/>
    <w:rsid w:val="00A73C38"/>
    <w:rsid w:val="00A97431"/>
    <w:rsid w:val="00AB670D"/>
    <w:rsid w:val="00AE4535"/>
    <w:rsid w:val="00AF03C5"/>
    <w:rsid w:val="00B000D8"/>
    <w:rsid w:val="00B00F75"/>
    <w:rsid w:val="00B145B6"/>
    <w:rsid w:val="00B234C9"/>
    <w:rsid w:val="00B279EB"/>
    <w:rsid w:val="00B50C81"/>
    <w:rsid w:val="00B557F8"/>
    <w:rsid w:val="00B815FC"/>
    <w:rsid w:val="00B91300"/>
    <w:rsid w:val="00B93FBC"/>
    <w:rsid w:val="00BA5E71"/>
    <w:rsid w:val="00BA7DA0"/>
    <w:rsid w:val="00BB2EE4"/>
    <w:rsid w:val="00BC2108"/>
    <w:rsid w:val="00BC75A7"/>
    <w:rsid w:val="00BD0E9E"/>
    <w:rsid w:val="00BD1BEC"/>
    <w:rsid w:val="00BD32FF"/>
    <w:rsid w:val="00C02092"/>
    <w:rsid w:val="00C24D91"/>
    <w:rsid w:val="00C2641A"/>
    <w:rsid w:val="00C27D9D"/>
    <w:rsid w:val="00C53F14"/>
    <w:rsid w:val="00C600CF"/>
    <w:rsid w:val="00C6084F"/>
    <w:rsid w:val="00C62A66"/>
    <w:rsid w:val="00C71458"/>
    <w:rsid w:val="00C77613"/>
    <w:rsid w:val="00C828E7"/>
    <w:rsid w:val="00C86719"/>
    <w:rsid w:val="00C921DD"/>
    <w:rsid w:val="00CA6391"/>
    <w:rsid w:val="00CC34BD"/>
    <w:rsid w:val="00CE161A"/>
    <w:rsid w:val="00CE3171"/>
    <w:rsid w:val="00CF1601"/>
    <w:rsid w:val="00D0172F"/>
    <w:rsid w:val="00D068A7"/>
    <w:rsid w:val="00D17476"/>
    <w:rsid w:val="00D32086"/>
    <w:rsid w:val="00D3772C"/>
    <w:rsid w:val="00D37A3F"/>
    <w:rsid w:val="00D4431D"/>
    <w:rsid w:val="00D4667A"/>
    <w:rsid w:val="00D63A1C"/>
    <w:rsid w:val="00D67ACC"/>
    <w:rsid w:val="00D7516F"/>
    <w:rsid w:val="00D8579F"/>
    <w:rsid w:val="00D95F8E"/>
    <w:rsid w:val="00DA0590"/>
    <w:rsid w:val="00DB7BEA"/>
    <w:rsid w:val="00DC1739"/>
    <w:rsid w:val="00DC1788"/>
    <w:rsid w:val="00DC5BC0"/>
    <w:rsid w:val="00DE319C"/>
    <w:rsid w:val="00DF0CA8"/>
    <w:rsid w:val="00DF2B48"/>
    <w:rsid w:val="00DF49A7"/>
    <w:rsid w:val="00E07EE2"/>
    <w:rsid w:val="00E07FD1"/>
    <w:rsid w:val="00E176D8"/>
    <w:rsid w:val="00E24573"/>
    <w:rsid w:val="00E25E1E"/>
    <w:rsid w:val="00E27EE7"/>
    <w:rsid w:val="00E35404"/>
    <w:rsid w:val="00E45109"/>
    <w:rsid w:val="00E47B7A"/>
    <w:rsid w:val="00E56A44"/>
    <w:rsid w:val="00E60269"/>
    <w:rsid w:val="00E77932"/>
    <w:rsid w:val="00E97830"/>
    <w:rsid w:val="00EE230B"/>
    <w:rsid w:val="00EE643C"/>
    <w:rsid w:val="00EF0683"/>
    <w:rsid w:val="00EF69D2"/>
    <w:rsid w:val="00EF766E"/>
    <w:rsid w:val="00F0070C"/>
    <w:rsid w:val="00F00EB7"/>
    <w:rsid w:val="00F36AB6"/>
    <w:rsid w:val="00F37A09"/>
    <w:rsid w:val="00F40615"/>
    <w:rsid w:val="00F409CE"/>
    <w:rsid w:val="00F4379D"/>
    <w:rsid w:val="00F50D2D"/>
    <w:rsid w:val="00F56C8B"/>
    <w:rsid w:val="00F66810"/>
    <w:rsid w:val="00F846D9"/>
    <w:rsid w:val="00F84DF4"/>
    <w:rsid w:val="00F85C97"/>
    <w:rsid w:val="00F879CD"/>
    <w:rsid w:val="00FB37D2"/>
    <w:rsid w:val="00FC4EFB"/>
    <w:rsid w:val="00FD068D"/>
    <w:rsid w:val="00FD4F28"/>
    <w:rsid w:val="00FE1E82"/>
    <w:rsid w:val="00FE6784"/>
    <w:rsid w:val="00FF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Titre1">
    <w:name w:val="heading 1"/>
    <w:basedOn w:val="Normal"/>
    <w:next w:val="Normal"/>
    <w:link w:val="Titre1C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Policepardfaut"/>
    <w:link w:val="SCCNormalDoubleSpacing"/>
    <w:rsid w:val="00104F33"/>
    <w:rPr>
      <w:sz w:val="24"/>
    </w:rPr>
  </w:style>
  <w:style w:type="character" w:styleId="lev">
    <w:name w:val="Strong"/>
    <w:basedOn w:val="Policepardfaut"/>
    <w:uiPriority w:val="22"/>
    <w:qFormat/>
    <w:rsid w:val="00C53F14"/>
    <w:rPr>
      <w:b/>
      <w:bCs/>
    </w:rPr>
  </w:style>
  <w:style w:type="paragraph" w:styleId="Citation">
    <w:name w:val="Quote"/>
    <w:basedOn w:val="Normal"/>
    <w:next w:val="Normal"/>
    <w:link w:val="CitationCar"/>
    <w:uiPriority w:val="29"/>
    <w:qFormat/>
    <w:rsid w:val="00A548CB"/>
    <w:rPr>
      <w:i/>
      <w:iCs/>
      <w:color w:val="000000" w:themeColor="text1"/>
    </w:rPr>
  </w:style>
  <w:style w:type="character" w:customStyle="1" w:styleId="CitationCar">
    <w:name w:val="Citation Car"/>
    <w:basedOn w:val="Policepardfaut"/>
    <w:link w:val="Citation"/>
    <w:uiPriority w:val="29"/>
    <w:rsid w:val="00A548CB"/>
    <w:rPr>
      <w:i/>
      <w:iCs/>
      <w:color w:val="000000" w:themeColor="text1"/>
      <w:sz w:val="24"/>
      <w:lang w:val="en-US"/>
    </w:rPr>
  </w:style>
  <w:style w:type="character" w:styleId="Textedelespacerserv">
    <w:name w:val="Placeholder Text"/>
    <w:basedOn w:val="Policepardfaut"/>
    <w:uiPriority w:val="99"/>
    <w:semiHidden/>
    <w:rsid w:val="00CE3171"/>
    <w:rPr>
      <w:color w:val="808080"/>
    </w:rPr>
  </w:style>
  <w:style w:type="paragraph" w:styleId="Textedebulles">
    <w:name w:val="Balloon Text"/>
    <w:basedOn w:val="Normal"/>
    <w:link w:val="TextedebullesCar"/>
    <w:uiPriority w:val="99"/>
    <w:semiHidden/>
    <w:unhideWhenUsed/>
    <w:rsid w:val="00CE3171"/>
    <w:rPr>
      <w:rFonts w:ascii="Tahoma" w:hAnsi="Tahoma" w:cs="Tahoma"/>
      <w:sz w:val="16"/>
      <w:szCs w:val="16"/>
    </w:rPr>
  </w:style>
  <w:style w:type="character" w:customStyle="1" w:styleId="TextedebullesCar">
    <w:name w:val="Texte de bulles Car"/>
    <w:basedOn w:val="Policepardfaut"/>
    <w:link w:val="Textedebulles"/>
    <w:uiPriority w:val="99"/>
    <w:semiHidden/>
    <w:rsid w:val="00CE3171"/>
    <w:rPr>
      <w:rFonts w:ascii="Tahoma" w:hAnsi="Tahoma" w:cs="Tahoma"/>
      <w:sz w:val="16"/>
      <w:szCs w:val="16"/>
      <w:lang w:val="en-US"/>
    </w:rPr>
  </w:style>
  <w:style w:type="paragraph" w:styleId="En-tte">
    <w:name w:val="header"/>
    <w:basedOn w:val="Normal"/>
    <w:link w:val="En-tteCar"/>
    <w:uiPriority w:val="99"/>
    <w:unhideWhenUsed/>
    <w:rsid w:val="000C59B8"/>
    <w:pPr>
      <w:tabs>
        <w:tab w:val="center" w:pos="4680"/>
        <w:tab w:val="right" w:pos="9360"/>
      </w:tabs>
    </w:pPr>
  </w:style>
  <w:style w:type="character" w:customStyle="1" w:styleId="En-tteCar">
    <w:name w:val="En-tête Car"/>
    <w:basedOn w:val="Policepardfaut"/>
    <w:link w:val="En-tte"/>
    <w:uiPriority w:val="99"/>
    <w:rsid w:val="000C59B8"/>
    <w:rPr>
      <w:sz w:val="24"/>
      <w:lang w:val="en-US"/>
    </w:rPr>
  </w:style>
  <w:style w:type="paragraph" w:styleId="Pieddepage">
    <w:name w:val="footer"/>
    <w:basedOn w:val="Normal"/>
    <w:link w:val="PieddepageCar"/>
    <w:uiPriority w:val="99"/>
    <w:semiHidden/>
    <w:unhideWhenUsed/>
    <w:rsid w:val="000C59B8"/>
    <w:pPr>
      <w:tabs>
        <w:tab w:val="center" w:pos="4680"/>
        <w:tab w:val="right" w:pos="9360"/>
      </w:tabs>
    </w:pPr>
  </w:style>
  <w:style w:type="character" w:customStyle="1" w:styleId="PieddepageCar">
    <w:name w:val="Pied de page Car"/>
    <w:basedOn w:val="Policepardfaut"/>
    <w:link w:val="Pieddepage"/>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Policepardfau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Policepardfau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Policepardfau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Policepardfaut"/>
    <w:link w:val="SCCLsocOtherPartySeparator"/>
    <w:rsid w:val="003323B0"/>
    <w:rPr>
      <w:sz w:val="24"/>
    </w:rPr>
  </w:style>
  <w:style w:type="character" w:customStyle="1" w:styleId="Titre1Car">
    <w:name w:val="Titre 1 Car"/>
    <w:basedOn w:val="Policepardfaut"/>
    <w:link w:val="Titre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Policepardfau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Policepardfau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Policepardfau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Policepardfau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Policepardfau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Policepardfau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Policepardfau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link w:val="ParaNoNdepar-AltNChar"/>
    <w:qFormat/>
    <w:rsid w:val="005B6605"/>
    <w:p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Policepardfaut"/>
    <w:link w:val="ParaNoNdepar-AltN"/>
    <w:locked/>
    <w:rsid w:val="005B6605"/>
    <w:rPr>
      <w:rFonts w:eastAsiaTheme="minorEastAsia" w:cstheme="minorBidi"/>
      <w:sz w:val="24"/>
      <w:szCs w:val="22"/>
      <w:lang w:eastAsia="en-US"/>
    </w:rPr>
  </w:style>
  <w:style w:type="character" w:styleId="Lienhypertexte">
    <w:name w:val="Hyperlink"/>
    <w:basedOn w:val="Policepardfaut"/>
    <w:uiPriority w:val="99"/>
    <w:unhideWhenUsed/>
    <w:rsid w:val="00943808"/>
    <w:rPr>
      <w:color w:val="0000FF" w:themeColor="hyperlink"/>
      <w:u w:val="single"/>
    </w:rPr>
  </w:style>
  <w:style w:type="character" w:customStyle="1" w:styleId="SCCLsocPartyRoleChar">
    <w:name w:val="SCC.Lsoc.PartyRole Char"/>
    <w:basedOn w:val="Policepardfaut"/>
    <w:locked/>
    <w:rsid w:val="00744E41"/>
  </w:style>
  <w:style w:type="character" w:customStyle="1" w:styleId="SCCLsocPrefixChar">
    <w:name w:val="SCC.Lsoc.Prefix Char"/>
    <w:basedOn w:val="Policepardfaut"/>
    <w:link w:val="SCCLsocPrefix"/>
    <w:locked/>
    <w:rsid w:val="00744E41"/>
    <w:rPr>
      <w:b/>
      <w:smallCaps/>
    </w:rPr>
  </w:style>
  <w:style w:type="paragraph" w:customStyle="1" w:styleId="SCCLsocPrefix">
    <w:name w:val="SCC.Lsoc.Prefix"/>
    <w:basedOn w:val="Normal"/>
    <w:next w:val="Normal"/>
    <w:link w:val="SCCLsocPrefixChar"/>
    <w:rsid w:val="00744E41"/>
    <w:rPr>
      <w:b/>
      <w:smallCaps/>
      <w:sz w:val="20"/>
    </w:rPr>
  </w:style>
  <w:style w:type="table" w:styleId="Grilledutableau">
    <w:name w:val="Table Grid"/>
    <w:basedOn w:val="TableauNormal"/>
    <w:uiPriority w:val="59"/>
    <w:rsid w:val="00744E41"/>
    <w:rPr>
      <w:rFonts w:eastAsiaTheme="minorHAnsi" w:cstheme="minorBidi"/>
      <w:sz w:val="24"/>
      <w:szCs w:val="24"/>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uiPriority w:val="99"/>
    <w:semiHidden/>
    <w:unhideWhenUsed/>
    <w:rsid w:val="007046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0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cso-dce/2017SCC-CSC23_1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590</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2017-04-24T12:42:00Z</dcterms:created>
  <dcterms:modified xsi:type="dcterms:W3CDTF">2018-03-02T19:43:00Z</dcterms:modified>
</cp:coreProperties>
</file>