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F5" w:rsidRDefault="00F41EF5" w:rsidP="001D2975">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615030691" r:id="rId8"/>
        </w:object>
      </w:r>
      <w:bookmarkEnd w:id="0"/>
      <w:r>
        <w:t xml:space="preserve"> </w:t>
      </w:r>
      <w:r>
        <w:ptab w:relativeTo="margin" w:alignment="right" w:leader="none"/>
      </w:r>
    </w:p>
    <w:p w:rsidR="00F41EF5" w:rsidRDefault="00F41EF5" w:rsidP="00F41EF5">
      <w:pPr>
        <w:pStyle w:val="Header"/>
      </w:pPr>
    </w:p>
    <w:p w:rsidR="00F41EF5" w:rsidRPr="006B210C" w:rsidRDefault="00F41EF5" w:rsidP="00F41EF5">
      <w:pPr>
        <w:jc w:val="center"/>
        <w:rPr>
          <w:b/>
        </w:rPr>
      </w:pPr>
      <w:r w:rsidRPr="006B210C">
        <w:rPr>
          <w:b/>
        </w:rPr>
        <w:t>SUPREME COURT OF CANADA</w:t>
      </w:r>
    </w:p>
    <w:p w:rsidR="00F41EF5" w:rsidRDefault="00F41EF5" w:rsidP="00F41EF5"/>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320"/>
      </w:tblGrid>
      <w:tr w:rsidR="00F41EF5" w:rsidRPr="006B210C" w:rsidTr="006C6770">
        <w:trPr>
          <w:cantSplit/>
        </w:trPr>
        <w:tc>
          <w:tcPr>
            <w:tcW w:w="5490" w:type="dxa"/>
          </w:tcPr>
          <w:p w:rsidR="00F41EF5" w:rsidRPr="006B210C" w:rsidRDefault="00F41EF5" w:rsidP="006C6770">
            <w:r w:rsidRPr="006B210C">
              <w:rPr>
                <w:b/>
                <w:smallCaps/>
              </w:rPr>
              <w:t>Citation</w:t>
            </w:r>
            <w:r>
              <w:rPr>
                <w:b/>
                <w:smallCaps/>
              </w:rPr>
              <w:t>:</w:t>
            </w:r>
            <w:r w:rsidRPr="006B210C">
              <w:t xml:space="preserve"> </w:t>
            </w:r>
            <w:r w:rsidRPr="00F41EF5">
              <w:rPr>
                <w:rStyle w:val="SCCAppellantForIndexChar"/>
                <w:b w:val="0"/>
              </w:rPr>
              <w:t>Valard Construction Ltd.</w:t>
            </w:r>
            <w:r w:rsidRPr="00F41EF5">
              <w:rPr>
                <w:b/>
              </w:rPr>
              <w:t xml:space="preserve"> </w:t>
            </w:r>
            <w:r w:rsidRPr="00BF6782">
              <w:rPr>
                <w:i/>
              </w:rPr>
              <w:t>v.</w:t>
            </w:r>
            <w:r w:rsidRPr="00F41EF5">
              <w:rPr>
                <w:b/>
              </w:rPr>
              <w:t xml:space="preserve"> </w:t>
            </w:r>
            <w:r w:rsidRPr="00F41EF5">
              <w:rPr>
                <w:rStyle w:val="SCCRespondentForIndexChar"/>
                <w:b w:val="0"/>
              </w:rPr>
              <w:t>Bird Construction Co., 2018 SCC 8</w:t>
            </w:r>
            <w:r>
              <w:rPr>
                <w:rStyle w:val="SCCRespondentForIndexChar"/>
                <w:b w:val="0"/>
              </w:rPr>
              <w:t>, [2018] 1 S.C.R. 224</w:t>
            </w:r>
          </w:p>
        </w:tc>
        <w:tc>
          <w:tcPr>
            <w:tcW w:w="4320" w:type="dxa"/>
          </w:tcPr>
          <w:p w:rsidR="00F41EF5" w:rsidRDefault="00F41EF5" w:rsidP="006C6770">
            <w:pPr>
              <w:rPr>
                <w:b/>
                <w:smallCaps/>
              </w:rPr>
            </w:pPr>
            <w:r>
              <w:rPr>
                <w:b/>
                <w:smallCaps/>
              </w:rPr>
              <w:t xml:space="preserve">Appeal Heard: </w:t>
            </w:r>
            <w:r w:rsidRPr="001E1200">
              <w:t>November 7, 2017</w:t>
            </w:r>
          </w:p>
          <w:p w:rsidR="00F41EF5" w:rsidRPr="006B210C" w:rsidRDefault="00F41EF5" w:rsidP="006C6770">
            <w:r>
              <w:rPr>
                <w:b/>
                <w:smallCaps/>
              </w:rPr>
              <w:t>Judgment Rendered:</w:t>
            </w:r>
            <w:r w:rsidRPr="006B210C">
              <w:t xml:space="preserve"> </w:t>
            </w:r>
            <w:r>
              <w:t>February 15, 2018</w:t>
            </w:r>
          </w:p>
          <w:p w:rsidR="00F41EF5" w:rsidRPr="006B210C" w:rsidRDefault="00F41EF5" w:rsidP="006C6770">
            <w:r w:rsidRPr="006B210C">
              <w:rPr>
                <w:b/>
                <w:smallCaps/>
              </w:rPr>
              <w:t>Docket</w:t>
            </w:r>
            <w:r>
              <w:rPr>
                <w:b/>
                <w:smallCaps/>
              </w:rPr>
              <w:t>:</w:t>
            </w:r>
            <w:r w:rsidRPr="006B210C">
              <w:t xml:space="preserve"> </w:t>
            </w:r>
            <w:r>
              <w:t>37272</w:t>
            </w:r>
          </w:p>
        </w:tc>
      </w:tr>
    </w:tbl>
    <w:p w:rsidR="00F41EF5" w:rsidRPr="006B210C" w:rsidRDefault="00F41EF5" w:rsidP="00F41EF5"/>
    <w:p w:rsidR="00F41EF5" w:rsidRDefault="00F41EF5" w:rsidP="00F41EF5">
      <w:pPr>
        <w:pStyle w:val="SCCLsocPrefix"/>
      </w:pPr>
      <w:r>
        <w:t>Between:</w:t>
      </w:r>
    </w:p>
    <w:p w:rsidR="00F41EF5" w:rsidRPr="00F41EF5" w:rsidRDefault="00F41EF5" w:rsidP="00F41EF5">
      <w:pPr>
        <w:pStyle w:val="SCCLsocParty"/>
        <w:spacing w:after="0"/>
        <w:jc w:val="center"/>
        <w:rPr>
          <w:b/>
        </w:rPr>
      </w:pPr>
      <w:r w:rsidRPr="00F41EF5">
        <w:rPr>
          <w:b/>
        </w:rPr>
        <w:t>Valard Construction Ltd.</w:t>
      </w:r>
    </w:p>
    <w:p w:rsidR="00F41EF5" w:rsidRDefault="00F41EF5" w:rsidP="00F41EF5">
      <w:pPr>
        <w:jc w:val="center"/>
      </w:pPr>
      <w:r>
        <w:t>Appellant</w:t>
      </w:r>
    </w:p>
    <w:p w:rsidR="00F41EF5" w:rsidRPr="001E1200" w:rsidRDefault="00F41EF5" w:rsidP="00F41EF5">
      <w:pPr>
        <w:jc w:val="center"/>
      </w:pPr>
    </w:p>
    <w:p w:rsidR="00F41EF5" w:rsidRDefault="00F41EF5" w:rsidP="00F41EF5">
      <w:pPr>
        <w:pStyle w:val="SCCLsocVersus"/>
        <w:spacing w:after="0"/>
        <w:jc w:val="center"/>
      </w:pPr>
      <w:r>
        <w:t>and</w:t>
      </w:r>
    </w:p>
    <w:p w:rsidR="00F41EF5" w:rsidRPr="001E1200" w:rsidRDefault="00F41EF5" w:rsidP="00F41EF5">
      <w:pPr>
        <w:jc w:val="center"/>
      </w:pPr>
    </w:p>
    <w:p w:rsidR="00F41EF5" w:rsidRPr="00F41EF5" w:rsidRDefault="00F41EF5" w:rsidP="00F41EF5">
      <w:pPr>
        <w:pStyle w:val="SCCLsocParty"/>
        <w:spacing w:after="0"/>
        <w:jc w:val="center"/>
        <w:rPr>
          <w:b/>
        </w:rPr>
      </w:pPr>
      <w:r w:rsidRPr="00F41EF5">
        <w:rPr>
          <w:b/>
        </w:rPr>
        <w:t>Bird Construction Company</w:t>
      </w:r>
    </w:p>
    <w:p w:rsidR="00F41EF5" w:rsidRDefault="00F41EF5" w:rsidP="00F41EF5">
      <w:pPr>
        <w:jc w:val="center"/>
      </w:pPr>
      <w:r>
        <w:t>Respondent</w:t>
      </w:r>
    </w:p>
    <w:p w:rsidR="00F41EF5" w:rsidRPr="001E1200" w:rsidRDefault="00F41EF5" w:rsidP="00F41EF5">
      <w:pPr>
        <w:jc w:val="center"/>
      </w:pPr>
    </w:p>
    <w:p w:rsidR="00F41EF5" w:rsidRDefault="00F41EF5" w:rsidP="00F41EF5">
      <w:pPr>
        <w:pStyle w:val="SCCLsocOtherPartySeparator"/>
        <w:spacing w:after="0"/>
        <w:jc w:val="center"/>
      </w:pPr>
      <w:r>
        <w:t>- and -</w:t>
      </w:r>
    </w:p>
    <w:p w:rsidR="00F41EF5" w:rsidRPr="001E1200" w:rsidRDefault="00F41EF5" w:rsidP="00F41EF5">
      <w:pPr>
        <w:jc w:val="center"/>
      </w:pPr>
    </w:p>
    <w:p w:rsidR="00F41EF5" w:rsidRPr="00F41EF5" w:rsidRDefault="00F41EF5" w:rsidP="00F41EF5">
      <w:pPr>
        <w:pStyle w:val="SCCLsocParty"/>
        <w:spacing w:after="0"/>
        <w:jc w:val="center"/>
        <w:rPr>
          <w:b/>
        </w:rPr>
      </w:pPr>
      <w:r w:rsidRPr="00F41EF5">
        <w:rPr>
          <w:b/>
        </w:rPr>
        <w:t>Surety Association of Canada</w:t>
      </w:r>
    </w:p>
    <w:p w:rsidR="00F41EF5" w:rsidRDefault="00F41EF5" w:rsidP="00F41EF5">
      <w:pPr>
        <w:jc w:val="center"/>
      </w:pPr>
      <w:r>
        <w:t>Intervener</w:t>
      </w:r>
    </w:p>
    <w:p w:rsidR="00F41EF5" w:rsidRDefault="00F41EF5" w:rsidP="00F41EF5"/>
    <w:p w:rsidR="00F41EF5" w:rsidRPr="006B210C" w:rsidRDefault="00F41EF5" w:rsidP="00F41EF5"/>
    <w:p w:rsidR="00F41EF5" w:rsidRPr="006B210C" w:rsidRDefault="00F41EF5" w:rsidP="00F41EF5">
      <w:r w:rsidRPr="006B210C">
        <w:rPr>
          <w:b/>
          <w:smallCaps/>
        </w:rPr>
        <w:t>Coram</w:t>
      </w:r>
      <w:r>
        <w:rPr>
          <w:b/>
          <w:smallCaps/>
        </w:rPr>
        <w:t>:</w:t>
      </w:r>
      <w:r w:rsidRPr="006B210C">
        <w:t xml:space="preserve"> </w:t>
      </w:r>
      <w:r>
        <w:t>McLachlin C.J. and Abella, Moldaver, Karakatsanis, Côté, Brown and Rowe JJ.</w:t>
      </w:r>
    </w:p>
    <w:p w:rsidR="00F41EF5" w:rsidRPr="006B210C" w:rsidRDefault="00F41EF5" w:rsidP="00F41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41EF5" w:rsidRPr="00B42E66" w:rsidTr="006C6770">
        <w:trPr>
          <w:cantSplit/>
          <w:trHeight w:val="464"/>
        </w:trPr>
        <w:tc>
          <w:tcPr>
            <w:tcW w:w="3618" w:type="dxa"/>
          </w:tcPr>
          <w:p w:rsidR="00F41EF5" w:rsidRPr="00B42E66" w:rsidRDefault="00F41EF5" w:rsidP="006C6770">
            <w:pPr>
              <w:rPr>
                <w:b/>
                <w:smallCaps/>
              </w:rPr>
            </w:pPr>
            <w:r w:rsidRPr="00B42E66">
              <w:rPr>
                <w:b/>
                <w:smallCaps/>
              </w:rPr>
              <w:t>Reasons for Judgment:</w:t>
            </w:r>
          </w:p>
          <w:p w:rsidR="00F41EF5" w:rsidRPr="00B42E66" w:rsidRDefault="00F41EF5" w:rsidP="006C6770">
            <w:r w:rsidRPr="00B42E66">
              <w:t>(paras. 1 to 32)</w:t>
            </w:r>
          </w:p>
        </w:tc>
        <w:tc>
          <w:tcPr>
            <w:tcW w:w="5958" w:type="dxa"/>
          </w:tcPr>
          <w:p w:rsidR="00F41EF5" w:rsidRPr="00B42E66" w:rsidRDefault="00F41EF5" w:rsidP="006C6770">
            <w:r w:rsidRPr="00B42E66">
              <w:t>Brown J. (McLachlin C.J. and Abella, Moldaver and Rowe JJ. concurring)</w:t>
            </w:r>
          </w:p>
        </w:tc>
      </w:tr>
    </w:tbl>
    <w:p w:rsidR="00F41EF5" w:rsidRPr="00B42E66" w:rsidRDefault="00F41EF5" w:rsidP="00F41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41EF5" w:rsidRPr="00B42E66" w:rsidTr="006C6770">
        <w:trPr>
          <w:cantSplit/>
        </w:trPr>
        <w:tc>
          <w:tcPr>
            <w:tcW w:w="3618" w:type="dxa"/>
          </w:tcPr>
          <w:p w:rsidR="00F41EF5" w:rsidRPr="00B42E66" w:rsidRDefault="00F41EF5" w:rsidP="006C6770">
            <w:r w:rsidRPr="00B42E66">
              <w:rPr>
                <w:b/>
                <w:smallCaps/>
              </w:rPr>
              <w:t>Reasons Concurring in the Result:</w:t>
            </w:r>
            <w:r w:rsidRPr="00B42E66">
              <w:t xml:space="preserve"> </w:t>
            </w:r>
          </w:p>
          <w:p w:rsidR="00F41EF5" w:rsidRPr="00B42E66" w:rsidRDefault="00F41EF5" w:rsidP="006C6770">
            <w:r w:rsidRPr="00B42E66">
              <w:t xml:space="preserve">(paras. </w:t>
            </w:r>
            <w:r w:rsidRPr="00B42E66">
              <w:rPr>
                <w:lang w:val="fr-CA"/>
              </w:rPr>
              <w:t>33 to 41)</w:t>
            </w:r>
          </w:p>
        </w:tc>
        <w:tc>
          <w:tcPr>
            <w:tcW w:w="5958" w:type="dxa"/>
          </w:tcPr>
          <w:p w:rsidR="00F41EF5" w:rsidRPr="00B42E66" w:rsidRDefault="00F41EF5" w:rsidP="006C6770">
            <w:pPr>
              <w:rPr>
                <w:lang w:val="fr-CA"/>
              </w:rPr>
            </w:pPr>
            <w:r w:rsidRPr="00B42E66">
              <w:rPr>
                <w:lang w:val="fr-CA"/>
              </w:rPr>
              <w:t>Côté J.</w:t>
            </w:r>
          </w:p>
        </w:tc>
      </w:tr>
    </w:tbl>
    <w:p w:rsidR="00F41EF5" w:rsidRPr="00B42E66" w:rsidRDefault="00F41EF5" w:rsidP="00F41EF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41EF5" w:rsidRPr="006B210C" w:rsidTr="006C6770">
        <w:trPr>
          <w:cantSplit/>
        </w:trPr>
        <w:tc>
          <w:tcPr>
            <w:tcW w:w="3618" w:type="dxa"/>
          </w:tcPr>
          <w:p w:rsidR="00F41EF5" w:rsidRPr="00B42E66" w:rsidRDefault="00F41EF5" w:rsidP="006C6770">
            <w:pPr>
              <w:rPr>
                <w:b/>
                <w:smallCaps/>
              </w:rPr>
            </w:pPr>
            <w:r w:rsidRPr="00B42E66">
              <w:rPr>
                <w:b/>
                <w:smallCaps/>
              </w:rPr>
              <w:t>Dissenting reasons:</w:t>
            </w:r>
          </w:p>
          <w:p w:rsidR="00F41EF5" w:rsidRPr="00B42E66" w:rsidRDefault="00F41EF5" w:rsidP="006C6770">
            <w:r w:rsidRPr="00B42E66">
              <w:t>(paras. 42 to 72)</w:t>
            </w:r>
          </w:p>
        </w:tc>
        <w:tc>
          <w:tcPr>
            <w:tcW w:w="5958" w:type="dxa"/>
          </w:tcPr>
          <w:p w:rsidR="00F41EF5" w:rsidRPr="006B210C" w:rsidRDefault="00F41EF5" w:rsidP="006C6770">
            <w:r w:rsidRPr="00B42E66">
              <w:t>Karakatsanis J.</w:t>
            </w:r>
          </w:p>
        </w:tc>
      </w:tr>
    </w:tbl>
    <w:p w:rsidR="00F41EF5" w:rsidRPr="006B210C" w:rsidRDefault="00F41EF5" w:rsidP="00F41EF5"/>
    <w:p w:rsidR="00F41EF5" w:rsidRPr="006B210C" w:rsidRDefault="00F41EF5" w:rsidP="00F41EF5">
      <w:r>
        <w:rPr>
          <w:noProof/>
          <w:lang w:bidi="ar-SA"/>
        </w:rPr>
        <mc:AlternateContent>
          <mc:Choice Requires="wps">
            <w:drawing>
              <wp:anchor distT="0" distB="0" distL="114300" distR="114300" simplePos="0" relativeHeight="251659264" behindDoc="0" locked="0" layoutInCell="1" allowOverlap="1" wp14:anchorId="1A30E88F" wp14:editId="6156821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B38D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41EF5" w:rsidRDefault="00F41EF5" w:rsidP="00D52823">
      <w:pPr>
        <w:widowControl w:val="0"/>
        <w:spacing w:after="720"/>
        <w:jc w:val="both"/>
        <w:rPr>
          <w:rStyle w:val="SCCAppellantForRunningHeadChar"/>
          <w:rFonts w:cs="Times New Roman"/>
          <w:smallCaps w:val="0"/>
        </w:rPr>
      </w:pPr>
    </w:p>
    <w:p w:rsidR="008322BD" w:rsidRPr="000176EF" w:rsidRDefault="006A30DE" w:rsidP="00D52823">
      <w:pPr>
        <w:widowControl w:val="0"/>
        <w:spacing w:after="720"/>
        <w:jc w:val="both"/>
        <w:rPr>
          <w:rFonts w:cs="Times New Roman"/>
        </w:rPr>
      </w:pPr>
      <w:r>
        <w:rPr>
          <w:rStyle w:val="SCCAppellantForRunningHeadChar"/>
          <w:rFonts w:cs="Times New Roman"/>
          <w:smallCaps w:val="0"/>
        </w:rPr>
        <w:lastRenderedPageBreak/>
        <w:t>V</w:t>
      </w:r>
      <w:r w:rsidR="00215B5E" w:rsidRPr="006A30DE">
        <w:rPr>
          <w:rStyle w:val="SCCAppellantForRunningHeadChar"/>
          <w:rFonts w:cs="Times New Roman"/>
          <w:smallCaps w:val="0"/>
        </w:rPr>
        <w:t>alard</w:t>
      </w:r>
      <w:r w:rsidR="00C8527E">
        <w:rPr>
          <w:rStyle w:val="SCCAppellantForRunningHeadChar"/>
          <w:rFonts w:cs="Times New Roman"/>
          <w:smallCaps w:val="0"/>
        </w:rPr>
        <w:t xml:space="preserve"> Construction Ltd.</w:t>
      </w:r>
      <w:r w:rsidR="00215B5E" w:rsidRPr="000176EF">
        <w:rPr>
          <w:rStyle w:val="SCCAppellantForRunningHeadChar"/>
          <w:rFonts w:cs="Times New Roman"/>
        </w:rPr>
        <w:t xml:space="preserve"> </w:t>
      </w:r>
      <w:r w:rsidR="009B57B3" w:rsidRPr="000176EF">
        <w:rPr>
          <w:rFonts w:cs="Times New Roman"/>
          <w:i/>
        </w:rPr>
        <w:t>v.</w:t>
      </w:r>
      <w:r w:rsidR="00B000D8" w:rsidRPr="000176EF">
        <w:rPr>
          <w:rFonts w:cs="Times New Roman"/>
        </w:rPr>
        <w:t xml:space="preserve"> </w:t>
      </w:r>
      <w:r w:rsidR="00A26F6B">
        <w:rPr>
          <w:rStyle w:val="SCCRespondentForRunningHeadChar"/>
          <w:rFonts w:cs="Times New Roman"/>
          <w:smallCaps w:val="0"/>
        </w:rPr>
        <w:t>Bird</w:t>
      </w:r>
      <w:r w:rsidR="00C8527E">
        <w:rPr>
          <w:rStyle w:val="SCCRespondentForRunningHeadChar"/>
          <w:rFonts w:cs="Times New Roman"/>
          <w:smallCaps w:val="0"/>
        </w:rPr>
        <w:t xml:space="preserve"> Construction Co.,</w:t>
      </w:r>
      <w:r>
        <w:rPr>
          <w:rStyle w:val="SCCRespondentForRunningHeadChar"/>
          <w:rFonts w:cs="Times New Roman"/>
          <w:smallCaps w:val="0"/>
        </w:rPr>
        <w:t xml:space="preserve"> </w:t>
      </w:r>
      <w:r w:rsidRPr="000176EF">
        <w:rPr>
          <w:rFonts w:cs="Times New Roman"/>
        </w:rPr>
        <w:t>2018 SCC 8</w:t>
      </w:r>
      <w:r>
        <w:rPr>
          <w:rFonts w:cs="Times New Roman"/>
        </w:rPr>
        <w:t>, [2018] 1 S.C.R. 224</w:t>
      </w:r>
    </w:p>
    <w:p w:rsidR="009E3451" w:rsidRPr="001D2975" w:rsidRDefault="00EA77FF" w:rsidP="00D52823">
      <w:pPr>
        <w:pStyle w:val="SCCLsocLastPartyInRole"/>
        <w:widowControl w:val="0"/>
        <w:rPr>
          <w:rFonts w:cs="Times New Roman"/>
          <w:b w:val="0"/>
          <w:lang w:val="fr-CA"/>
        </w:rPr>
      </w:pPr>
      <w:r w:rsidRPr="001D2975">
        <w:rPr>
          <w:rFonts w:cs="Times New Roman"/>
          <w:lang w:val="fr-CA"/>
        </w:rPr>
        <w:t>Valard Construction Ltd.</w:t>
      </w:r>
      <w:r w:rsidRPr="001D2975">
        <w:rPr>
          <w:rStyle w:val="SCCLsocPartyRole"/>
          <w:rFonts w:cs="Times New Roman"/>
          <w:lang w:val="fr-CA"/>
        </w:rPr>
        <w:tab/>
      </w:r>
      <w:r w:rsidRPr="001D2975">
        <w:rPr>
          <w:rStyle w:val="SCCLsocPartyRole"/>
          <w:rFonts w:cs="Times New Roman"/>
          <w:b w:val="0"/>
          <w:lang w:val="fr-CA"/>
        </w:rPr>
        <w:t>Appellant</w:t>
      </w:r>
    </w:p>
    <w:p w:rsidR="009E3451" w:rsidRPr="001D2975" w:rsidRDefault="00EA77FF" w:rsidP="00D52823">
      <w:pPr>
        <w:pStyle w:val="SCCLsocVersus"/>
        <w:widowControl w:val="0"/>
        <w:rPr>
          <w:rFonts w:cs="Times New Roman"/>
          <w:i/>
          <w:lang w:val="fr-CA"/>
        </w:rPr>
      </w:pPr>
      <w:r w:rsidRPr="001D2975">
        <w:rPr>
          <w:rFonts w:cs="Times New Roman"/>
          <w:i/>
          <w:lang w:val="fr-CA"/>
        </w:rPr>
        <w:t>v.</w:t>
      </w:r>
    </w:p>
    <w:p w:rsidR="009E3451" w:rsidRPr="000176EF" w:rsidRDefault="00EA77FF" w:rsidP="00D52823">
      <w:pPr>
        <w:pStyle w:val="SCCLsocLastPartyInRole"/>
        <w:widowControl w:val="0"/>
        <w:rPr>
          <w:rFonts w:cs="Times New Roman"/>
        </w:rPr>
      </w:pPr>
      <w:r w:rsidRPr="000176EF">
        <w:rPr>
          <w:rFonts w:cs="Times New Roman"/>
        </w:rPr>
        <w:t>Bird Construction Company</w:t>
      </w:r>
      <w:r w:rsidRPr="000176EF">
        <w:rPr>
          <w:rStyle w:val="SCCLsocPartyRole"/>
          <w:rFonts w:cs="Times New Roman"/>
        </w:rPr>
        <w:tab/>
      </w:r>
      <w:r w:rsidRPr="000176EF">
        <w:rPr>
          <w:rStyle w:val="SCCLsocPartyRole"/>
          <w:rFonts w:cs="Times New Roman"/>
          <w:b w:val="0"/>
        </w:rPr>
        <w:t>Respondent</w:t>
      </w:r>
    </w:p>
    <w:p w:rsidR="009E3451" w:rsidRPr="000176EF" w:rsidRDefault="00EA77FF" w:rsidP="00D52823">
      <w:pPr>
        <w:pStyle w:val="SCCLsocOtherPartySeparator"/>
        <w:widowControl w:val="0"/>
        <w:spacing w:after="720"/>
        <w:rPr>
          <w:rFonts w:cs="Times New Roman"/>
        </w:rPr>
      </w:pPr>
      <w:r w:rsidRPr="000176EF">
        <w:rPr>
          <w:rFonts w:cs="Times New Roman"/>
        </w:rPr>
        <w:t>and</w:t>
      </w:r>
    </w:p>
    <w:p w:rsidR="009E3451" w:rsidRPr="000176EF" w:rsidRDefault="00EA77FF" w:rsidP="00D52823">
      <w:pPr>
        <w:pStyle w:val="SCCLsocLastPartyInRole"/>
        <w:widowControl w:val="0"/>
        <w:rPr>
          <w:rFonts w:cs="Times New Roman"/>
        </w:rPr>
      </w:pPr>
      <w:r w:rsidRPr="000176EF">
        <w:rPr>
          <w:rFonts w:cs="Times New Roman"/>
        </w:rPr>
        <w:t>Surety Association of Canada</w:t>
      </w:r>
      <w:r w:rsidRPr="000176EF">
        <w:rPr>
          <w:rStyle w:val="SCCLsocPartyRole"/>
          <w:rFonts w:cs="Times New Roman"/>
        </w:rPr>
        <w:tab/>
      </w:r>
      <w:r w:rsidRPr="000176EF">
        <w:rPr>
          <w:rStyle w:val="SCCLsocPartyRole"/>
          <w:rFonts w:cs="Times New Roman"/>
          <w:b w:val="0"/>
        </w:rPr>
        <w:t>Intervener</w:t>
      </w:r>
    </w:p>
    <w:p w:rsidR="00426659" w:rsidRPr="000176EF" w:rsidRDefault="00426659" w:rsidP="00D52823">
      <w:pPr>
        <w:widowControl w:val="0"/>
        <w:spacing w:after="720"/>
        <w:jc w:val="both"/>
        <w:rPr>
          <w:rFonts w:cs="Times New Roman"/>
          <w:b/>
        </w:rPr>
      </w:pPr>
      <w:r w:rsidRPr="000176EF">
        <w:rPr>
          <w:rFonts w:cs="Times New Roman"/>
          <w:b/>
        </w:rPr>
        <w:t>Indexed as:</w:t>
      </w:r>
      <w:r w:rsidR="00AE2F0F" w:rsidRPr="000176EF">
        <w:rPr>
          <w:rFonts w:cs="Times New Roman"/>
          <w:b/>
        </w:rPr>
        <w:t xml:space="preserve"> </w:t>
      </w:r>
      <w:r w:rsidRPr="000176EF">
        <w:rPr>
          <w:rStyle w:val="SCCAppellantForIndexChar"/>
          <w:rFonts w:cs="Times New Roman"/>
        </w:rPr>
        <w:t>Valard Construction Ltd.</w:t>
      </w:r>
      <w:r w:rsidRPr="000176EF">
        <w:rPr>
          <w:rFonts w:cs="Times New Roman"/>
          <w:b/>
        </w:rPr>
        <w:t xml:space="preserve"> </w:t>
      </w:r>
      <w:r w:rsidRPr="000176EF">
        <w:rPr>
          <w:rFonts w:cs="Times New Roman"/>
          <w:b/>
          <w:i/>
        </w:rPr>
        <w:t>v.</w:t>
      </w:r>
      <w:r w:rsidRPr="000176EF">
        <w:rPr>
          <w:rFonts w:cs="Times New Roman"/>
          <w:b/>
        </w:rPr>
        <w:t xml:space="preserve"> </w:t>
      </w:r>
      <w:r w:rsidRPr="000176EF">
        <w:rPr>
          <w:rStyle w:val="SCCRespondentForIndexChar"/>
          <w:rFonts w:cs="Times New Roman"/>
        </w:rPr>
        <w:t>Bird Construction Co</w:t>
      </w:r>
      <w:r w:rsidR="00176112" w:rsidRPr="000176EF">
        <w:rPr>
          <w:rStyle w:val="SCCRespondentForIndexChar"/>
          <w:rFonts w:cs="Times New Roman"/>
        </w:rPr>
        <w:t>.</w:t>
      </w:r>
    </w:p>
    <w:p w:rsidR="00426659" w:rsidRPr="000176EF" w:rsidRDefault="00AE4535" w:rsidP="00D52823">
      <w:pPr>
        <w:pStyle w:val="SCCSystemYear"/>
        <w:widowControl w:val="0"/>
        <w:spacing w:after="720"/>
        <w:jc w:val="both"/>
        <w:rPr>
          <w:rFonts w:cs="Times New Roman"/>
        </w:rPr>
      </w:pPr>
      <w:r w:rsidRPr="000176EF">
        <w:rPr>
          <w:rFonts w:cs="Times New Roman"/>
        </w:rPr>
        <w:t>2018</w:t>
      </w:r>
      <w:r w:rsidR="003D0399" w:rsidRPr="000176EF">
        <w:rPr>
          <w:rFonts w:cs="Times New Roman"/>
        </w:rPr>
        <w:t xml:space="preserve"> </w:t>
      </w:r>
      <w:r w:rsidR="00426659" w:rsidRPr="000176EF">
        <w:rPr>
          <w:rFonts w:cs="Times New Roman"/>
        </w:rPr>
        <w:t>SCC </w:t>
      </w:r>
      <w:r w:rsidR="00860604" w:rsidRPr="000176EF">
        <w:rPr>
          <w:rFonts w:cs="Times New Roman"/>
        </w:rPr>
        <w:t>8</w:t>
      </w:r>
    </w:p>
    <w:p w:rsidR="008322BD" w:rsidRPr="000176EF" w:rsidRDefault="009B57B3" w:rsidP="00D52823">
      <w:pPr>
        <w:widowControl w:val="0"/>
        <w:spacing w:after="720"/>
        <w:jc w:val="both"/>
        <w:rPr>
          <w:rFonts w:cs="Times New Roman"/>
        </w:rPr>
      </w:pPr>
      <w:r w:rsidRPr="000176EF">
        <w:rPr>
          <w:rFonts w:cs="Times New Roman"/>
        </w:rPr>
        <w:t>File No.:</w:t>
      </w:r>
      <w:r w:rsidR="00AE2F0F" w:rsidRPr="000176EF">
        <w:rPr>
          <w:rFonts w:cs="Times New Roman"/>
        </w:rPr>
        <w:t xml:space="preserve"> </w:t>
      </w:r>
      <w:r w:rsidRPr="000176EF">
        <w:rPr>
          <w:rFonts w:cs="Times New Roman"/>
        </w:rPr>
        <w:t>37272.</w:t>
      </w:r>
    </w:p>
    <w:p w:rsidR="008322BD" w:rsidRPr="000176EF" w:rsidRDefault="00AE4535" w:rsidP="00D52823">
      <w:pPr>
        <w:widowControl w:val="0"/>
        <w:spacing w:after="720"/>
        <w:jc w:val="both"/>
        <w:rPr>
          <w:rFonts w:cs="Times New Roman"/>
        </w:rPr>
      </w:pPr>
      <w:r w:rsidRPr="000176EF">
        <w:rPr>
          <w:rFonts w:cs="Times New Roman"/>
        </w:rPr>
        <w:t>2017:</w:t>
      </w:r>
      <w:r w:rsidR="00AE2F0F" w:rsidRPr="000176EF">
        <w:rPr>
          <w:rFonts w:cs="Times New Roman"/>
        </w:rPr>
        <w:t> November </w:t>
      </w:r>
      <w:r w:rsidRPr="000176EF">
        <w:rPr>
          <w:rFonts w:cs="Times New Roman"/>
        </w:rPr>
        <w:t>7</w:t>
      </w:r>
      <w:r w:rsidR="009B57B3" w:rsidRPr="000176EF">
        <w:rPr>
          <w:rFonts w:cs="Times New Roman"/>
        </w:rPr>
        <w:t xml:space="preserve">; </w:t>
      </w:r>
      <w:r w:rsidR="00176112" w:rsidRPr="000176EF">
        <w:rPr>
          <w:rFonts w:cs="Times New Roman"/>
        </w:rPr>
        <w:t>2018:</w:t>
      </w:r>
      <w:r w:rsidR="00AE2F0F" w:rsidRPr="000176EF">
        <w:rPr>
          <w:rFonts w:cs="Times New Roman"/>
        </w:rPr>
        <w:t> </w:t>
      </w:r>
      <w:r w:rsidR="00A02E33" w:rsidRPr="000176EF">
        <w:rPr>
          <w:rFonts w:cs="Times New Roman"/>
        </w:rPr>
        <w:t>February </w:t>
      </w:r>
      <w:r w:rsidR="00104263" w:rsidRPr="000176EF">
        <w:rPr>
          <w:rFonts w:cs="Times New Roman"/>
        </w:rPr>
        <w:t>15.</w:t>
      </w:r>
    </w:p>
    <w:p w:rsidR="008322BD" w:rsidRPr="000176EF" w:rsidRDefault="009B57B3" w:rsidP="00D52823">
      <w:pPr>
        <w:widowControl w:val="0"/>
        <w:spacing w:after="720"/>
        <w:jc w:val="both"/>
        <w:rPr>
          <w:rFonts w:cs="Times New Roman"/>
        </w:rPr>
      </w:pPr>
      <w:r w:rsidRPr="000176EF">
        <w:rPr>
          <w:rFonts w:cs="Times New Roman"/>
        </w:rPr>
        <w:t>Present:</w:t>
      </w:r>
      <w:r w:rsidR="00AE2F0F" w:rsidRPr="000176EF">
        <w:rPr>
          <w:rFonts w:cs="Times New Roman"/>
        </w:rPr>
        <w:t xml:space="preserve"> </w:t>
      </w:r>
      <w:r w:rsidRPr="000176EF">
        <w:rPr>
          <w:rFonts w:cs="Times New Roman"/>
        </w:rPr>
        <w:t>McLachlin C.J. and Abella, Moldaver, Karakatsanis, Côté, Brown and Rowe JJ.</w:t>
      </w:r>
    </w:p>
    <w:p w:rsidR="008322BD" w:rsidRPr="000176EF" w:rsidRDefault="00656313" w:rsidP="00D52823">
      <w:pPr>
        <w:pStyle w:val="SCCLowerCourtNameLowercase"/>
        <w:widowControl w:val="0"/>
        <w:spacing w:after="720" w:line="240" w:lineRule="auto"/>
        <w:rPr>
          <w:rFonts w:cs="Times New Roman"/>
        </w:rPr>
      </w:pPr>
      <w:r w:rsidRPr="000176EF">
        <w:rPr>
          <w:rFonts w:cs="Times New Roman"/>
        </w:rPr>
        <w:t>o</w:t>
      </w:r>
      <w:r w:rsidR="00170592" w:rsidRPr="000176EF">
        <w:rPr>
          <w:rFonts w:cs="Times New Roman"/>
        </w:rPr>
        <w:t>n</w:t>
      </w:r>
      <w:r w:rsidR="00224FC0" w:rsidRPr="000176EF">
        <w:rPr>
          <w:rFonts w:cs="Times New Roman"/>
        </w:rPr>
        <w:t xml:space="preserve"> </w:t>
      </w:r>
      <w:r w:rsidRPr="000176EF">
        <w:rPr>
          <w:rFonts w:cs="Times New Roman"/>
        </w:rPr>
        <w:t>a</w:t>
      </w:r>
      <w:r w:rsidR="00170592" w:rsidRPr="000176EF">
        <w:rPr>
          <w:rFonts w:cs="Times New Roman"/>
        </w:rPr>
        <w:t>ppeal</w:t>
      </w:r>
      <w:r w:rsidR="00224FC0" w:rsidRPr="000176EF">
        <w:rPr>
          <w:rFonts w:cs="Times New Roman"/>
        </w:rPr>
        <w:t xml:space="preserve"> </w:t>
      </w:r>
      <w:r w:rsidR="00170592" w:rsidRPr="000176EF">
        <w:rPr>
          <w:rFonts w:cs="Times New Roman"/>
        </w:rPr>
        <w:t>from</w:t>
      </w:r>
      <w:r w:rsidR="009567AA" w:rsidRPr="000176EF">
        <w:rPr>
          <w:rFonts w:cs="Times New Roman"/>
        </w:rPr>
        <w:t xml:space="preserve"> the</w:t>
      </w:r>
      <w:r w:rsidR="00224FC0" w:rsidRPr="000176EF">
        <w:rPr>
          <w:rFonts w:cs="Times New Roman"/>
        </w:rPr>
        <w:t xml:space="preserve"> </w:t>
      </w:r>
      <w:r w:rsidR="00176112" w:rsidRPr="000176EF">
        <w:rPr>
          <w:rFonts w:cs="Times New Roman"/>
        </w:rPr>
        <w:t>court of appeal for</w:t>
      </w:r>
      <w:r w:rsidR="009B57B3" w:rsidRPr="000176EF">
        <w:rPr>
          <w:rFonts w:cs="Times New Roman"/>
        </w:rPr>
        <w:t xml:space="preserve"> alberta </w:t>
      </w:r>
    </w:p>
    <w:p w:rsidR="004A6DEE" w:rsidRPr="000176EF" w:rsidRDefault="009B57B3" w:rsidP="00D52823">
      <w:pPr>
        <w:pStyle w:val="SCCNormalDoubleSpacing"/>
        <w:widowControl w:val="0"/>
        <w:spacing w:after="480"/>
        <w:rPr>
          <w:rFonts w:cs="Times New Roman"/>
          <w:i/>
        </w:rPr>
      </w:pPr>
      <w:r w:rsidRPr="000176EF">
        <w:rPr>
          <w:rFonts w:cs="Times New Roman"/>
        </w:rPr>
        <w:tab/>
      </w:r>
      <w:r w:rsidR="004A6DEE" w:rsidRPr="000176EF">
        <w:rPr>
          <w:rFonts w:eastAsia="Times New Roman" w:cs="Times New Roman"/>
          <w:i/>
          <w:szCs w:val="20"/>
          <w:lang w:val="en-CA" w:eastAsia="en-CA" w:bidi="ar-SA"/>
        </w:rPr>
        <w:t>Trusts</w:t>
      </w:r>
      <w:r w:rsidR="004A6DEE" w:rsidRPr="000176EF">
        <w:rPr>
          <w:rFonts w:cs="Times New Roman"/>
          <w:i/>
        </w:rPr>
        <w:t xml:space="preserve"> — </w:t>
      </w:r>
      <w:r w:rsidR="00EB7CC6" w:rsidRPr="000176EF">
        <w:rPr>
          <w:rFonts w:eastAsia="Times New Roman" w:cs="Times New Roman"/>
          <w:i/>
          <w:szCs w:val="20"/>
          <w:lang w:val="en-CA" w:eastAsia="en-CA" w:bidi="ar-SA"/>
        </w:rPr>
        <w:t xml:space="preserve">Fiduciary duty — Bonds — </w:t>
      </w:r>
      <w:r w:rsidR="004A6DEE" w:rsidRPr="000176EF">
        <w:rPr>
          <w:rFonts w:eastAsia="Times New Roman" w:cs="Times New Roman"/>
          <w:i/>
          <w:szCs w:val="20"/>
          <w:lang w:val="en-CA" w:eastAsia="en-CA" w:bidi="ar-SA"/>
        </w:rPr>
        <w:t xml:space="preserve">Whether trustee of trust contained in </w:t>
      </w:r>
      <w:r w:rsidR="004A6DEE" w:rsidRPr="000176EF">
        <w:rPr>
          <w:rFonts w:eastAsia="Times New Roman" w:cs="Times New Roman"/>
          <w:i/>
          <w:szCs w:val="20"/>
          <w:lang w:val="en-CA" w:eastAsia="en-CA" w:bidi="ar-SA"/>
        </w:rPr>
        <w:lastRenderedPageBreak/>
        <w:t>labour and material payment bond owes duty to disclose existence of bond to potential beneficiari</w:t>
      </w:r>
      <w:r w:rsidR="004A6DEE" w:rsidRPr="000176EF">
        <w:rPr>
          <w:rFonts w:cs="Times New Roman"/>
          <w:i/>
        </w:rPr>
        <w:t xml:space="preserve">es of trust </w:t>
      </w:r>
      <w:r w:rsidR="00EB7CC6" w:rsidRPr="000176EF">
        <w:rPr>
          <w:rFonts w:cs="Times New Roman"/>
          <w:i/>
        </w:rPr>
        <w:t>— If</w:t>
      </w:r>
      <w:r w:rsidR="004A6DEE" w:rsidRPr="000176EF">
        <w:rPr>
          <w:rFonts w:cs="Times New Roman"/>
          <w:i/>
        </w:rPr>
        <w:t xml:space="preserve"> duty is owed, whether conduct of trustee discharged it.</w:t>
      </w:r>
    </w:p>
    <w:p w:rsidR="004A6DEE" w:rsidRPr="000176EF" w:rsidRDefault="00EB7CC6" w:rsidP="00D52823">
      <w:pPr>
        <w:pStyle w:val="SCCNormalDoubleSpacing"/>
        <w:widowControl w:val="0"/>
        <w:spacing w:after="480"/>
        <w:rPr>
          <w:rFonts w:cs="Times New Roman"/>
        </w:rPr>
      </w:pPr>
      <w:r w:rsidRPr="000176EF">
        <w:rPr>
          <w:rFonts w:cs="Times New Roman"/>
        </w:rPr>
        <w:tab/>
      </w:r>
      <w:r w:rsidR="004A6DEE" w:rsidRPr="000176EF">
        <w:rPr>
          <w:rFonts w:cs="Times New Roman"/>
        </w:rPr>
        <w:t xml:space="preserve">Bird was a </w:t>
      </w:r>
      <w:r w:rsidR="004A6DEE" w:rsidRPr="000176EF">
        <w:rPr>
          <w:rFonts w:eastAsia="Times New Roman" w:cs="Times New Roman"/>
          <w:szCs w:val="20"/>
          <w:lang w:val="en-CA" w:eastAsia="en-CA" w:bidi="ar-SA"/>
        </w:rPr>
        <w:t>general</w:t>
      </w:r>
      <w:r w:rsidR="004A6DEE" w:rsidRPr="000176EF">
        <w:rPr>
          <w:rFonts w:cs="Times New Roman"/>
        </w:rPr>
        <w:t xml:space="preserve"> contractor for a construction project </w:t>
      </w:r>
      <w:r w:rsidRPr="000176EF">
        <w:rPr>
          <w:rFonts w:cs="Times New Roman"/>
        </w:rPr>
        <w:t>in the oilsands</w:t>
      </w:r>
      <w:r w:rsidR="004A6DEE" w:rsidRPr="000176EF">
        <w:rPr>
          <w:rFonts w:cs="Times New Roman"/>
        </w:rPr>
        <w:t>.</w:t>
      </w:r>
      <w:r w:rsidR="00A02E33" w:rsidRPr="000176EF">
        <w:rPr>
          <w:rFonts w:cs="Times New Roman"/>
        </w:rPr>
        <w:t xml:space="preserve"> </w:t>
      </w:r>
      <w:r w:rsidR="004A6DEE" w:rsidRPr="000176EF">
        <w:rPr>
          <w:rFonts w:cs="Times New Roman"/>
        </w:rPr>
        <w:t xml:space="preserve">Bird subcontracted with Langford </w:t>
      </w:r>
      <w:r w:rsidRPr="000176EF">
        <w:rPr>
          <w:rFonts w:cs="Times New Roman"/>
        </w:rPr>
        <w:t>and</w:t>
      </w:r>
      <w:r w:rsidR="004A6DEE" w:rsidRPr="000176EF">
        <w:rPr>
          <w:rFonts w:cs="Times New Roman"/>
        </w:rPr>
        <w:t xml:space="preserve"> required</w:t>
      </w:r>
      <w:r w:rsidRPr="000176EF">
        <w:rPr>
          <w:rFonts w:cs="Times New Roman"/>
        </w:rPr>
        <w:t xml:space="preserve"> </w:t>
      </w:r>
      <w:r w:rsidR="004A6DEE" w:rsidRPr="000176EF">
        <w:rPr>
          <w:rFonts w:cs="Times New Roman"/>
        </w:rPr>
        <w:t xml:space="preserve">Langford </w:t>
      </w:r>
      <w:r w:rsidRPr="000176EF">
        <w:rPr>
          <w:rFonts w:cs="Times New Roman"/>
        </w:rPr>
        <w:t>to obtain</w:t>
      </w:r>
      <w:r w:rsidR="004A6DEE" w:rsidRPr="000176EF">
        <w:rPr>
          <w:rFonts w:cs="Times New Roman"/>
        </w:rPr>
        <w:t xml:space="preserve"> a labour and material payment bond</w:t>
      </w:r>
      <w:r w:rsidRPr="000176EF">
        <w:rPr>
          <w:rFonts w:cs="Times New Roman"/>
        </w:rPr>
        <w:t xml:space="preserve"> </w:t>
      </w:r>
      <w:r w:rsidR="004A6DEE" w:rsidRPr="000176EF">
        <w:rPr>
          <w:rFonts w:cs="Times New Roman"/>
        </w:rPr>
        <w:t>naming Bird as</w:t>
      </w:r>
      <w:r w:rsidRPr="000176EF">
        <w:rPr>
          <w:rFonts w:cs="Times New Roman"/>
        </w:rPr>
        <w:t xml:space="preserve"> trustee</w:t>
      </w:r>
      <w:r w:rsidR="004A6DEE" w:rsidRPr="000176EF">
        <w:rPr>
          <w:rFonts w:cs="Times New Roman"/>
        </w:rPr>
        <w:t>. The bond allows for a provider of work</w:t>
      </w:r>
      <w:r w:rsidRPr="000176EF">
        <w:rPr>
          <w:rFonts w:cs="Times New Roman"/>
        </w:rPr>
        <w:t xml:space="preserve"> </w:t>
      </w:r>
      <w:r w:rsidR="004A6DEE" w:rsidRPr="000176EF">
        <w:rPr>
          <w:rFonts w:cs="Times New Roman"/>
        </w:rPr>
        <w:t xml:space="preserve">who has not received payment from Langford to sue </w:t>
      </w:r>
      <w:r w:rsidRPr="000176EF">
        <w:rPr>
          <w:rFonts w:cs="Times New Roman"/>
        </w:rPr>
        <w:t>a company acting as a surety</w:t>
      </w:r>
      <w:r w:rsidR="004A6DEE" w:rsidRPr="000176EF">
        <w:rPr>
          <w:rFonts w:cs="Times New Roman"/>
        </w:rPr>
        <w:t xml:space="preserve"> for that unpaid sum</w:t>
      </w:r>
      <w:r w:rsidRPr="000176EF">
        <w:rPr>
          <w:rFonts w:cs="Times New Roman"/>
        </w:rPr>
        <w:t>,</w:t>
      </w:r>
      <w:r w:rsidR="004A6DEE" w:rsidRPr="000176EF">
        <w:rPr>
          <w:rFonts w:cs="Times New Roman"/>
        </w:rPr>
        <w:t xml:space="preserve"> subject to a condition that it give notice</w:t>
      </w:r>
      <w:r w:rsidRPr="000176EF">
        <w:rPr>
          <w:rFonts w:cs="Times New Roman"/>
        </w:rPr>
        <w:t xml:space="preserve"> of its claim </w:t>
      </w:r>
      <w:r w:rsidR="004A6DEE" w:rsidRPr="000176EF">
        <w:rPr>
          <w:rFonts w:cs="Times New Roman"/>
        </w:rPr>
        <w:t>within 120</w:t>
      </w:r>
      <w:r w:rsidR="00A02E33" w:rsidRPr="000176EF">
        <w:rPr>
          <w:rFonts w:cs="Times New Roman"/>
        </w:rPr>
        <w:t> </w:t>
      </w:r>
      <w:r w:rsidR="004A6DEE" w:rsidRPr="000176EF">
        <w:rPr>
          <w:rFonts w:cs="Times New Roman"/>
        </w:rPr>
        <w:t>days of its last provision of work.</w:t>
      </w:r>
      <w:r w:rsidRPr="000176EF">
        <w:rPr>
          <w:rFonts w:cs="Times New Roman"/>
        </w:rPr>
        <w:t xml:space="preserve"> </w:t>
      </w:r>
      <w:r w:rsidR="004A6DEE" w:rsidRPr="000176EF">
        <w:rPr>
          <w:rFonts w:cs="Times New Roman"/>
        </w:rPr>
        <w:t>Langford contracted with Valard to provide work</w:t>
      </w:r>
      <w:r w:rsidRPr="000176EF">
        <w:rPr>
          <w:rFonts w:cs="Times New Roman"/>
        </w:rPr>
        <w:t xml:space="preserve"> on the project. Langford became</w:t>
      </w:r>
      <w:r w:rsidR="004A6DEE" w:rsidRPr="000176EF">
        <w:rPr>
          <w:rFonts w:cs="Times New Roman"/>
        </w:rPr>
        <w:t xml:space="preserve"> insolvent </w:t>
      </w:r>
      <w:r w:rsidRPr="000176EF">
        <w:rPr>
          <w:rFonts w:cs="Times New Roman"/>
        </w:rPr>
        <w:t>and</w:t>
      </w:r>
      <w:r w:rsidR="004A6DEE" w:rsidRPr="000176EF">
        <w:rPr>
          <w:rFonts w:cs="Times New Roman"/>
        </w:rPr>
        <w:t xml:space="preserve"> some of Valard</w:t>
      </w:r>
      <w:r w:rsidR="00A074E0">
        <w:rPr>
          <w:rFonts w:cs="Times New Roman"/>
        </w:rPr>
        <w:t>’</w:t>
      </w:r>
      <w:r w:rsidR="004A6DEE" w:rsidRPr="000176EF">
        <w:rPr>
          <w:rFonts w:cs="Times New Roman"/>
        </w:rPr>
        <w:t xml:space="preserve">s invoices went unpaid. Valard </w:t>
      </w:r>
      <w:r w:rsidRPr="000176EF">
        <w:rPr>
          <w:rFonts w:cs="Times New Roman"/>
        </w:rPr>
        <w:t>was never</w:t>
      </w:r>
      <w:r w:rsidR="004A6DEE" w:rsidRPr="000176EF">
        <w:rPr>
          <w:rFonts w:cs="Times New Roman"/>
        </w:rPr>
        <w:t xml:space="preserve"> notified of the bond</w:t>
      </w:r>
      <w:r w:rsidR="00A074E0">
        <w:rPr>
          <w:rFonts w:cs="Times New Roman"/>
        </w:rPr>
        <w:t>’</w:t>
      </w:r>
      <w:r w:rsidR="004A6DEE" w:rsidRPr="000176EF">
        <w:rPr>
          <w:rFonts w:cs="Times New Roman"/>
        </w:rPr>
        <w:t xml:space="preserve">s existence. </w:t>
      </w:r>
      <w:r w:rsidRPr="000176EF">
        <w:rPr>
          <w:rFonts w:cs="Times New Roman"/>
        </w:rPr>
        <w:t>A</w:t>
      </w:r>
      <w:r w:rsidR="004A6DEE" w:rsidRPr="000176EF">
        <w:rPr>
          <w:rFonts w:cs="Times New Roman"/>
        </w:rPr>
        <w:t>fter the 120</w:t>
      </w:r>
      <w:r w:rsidRPr="000176EF">
        <w:rPr>
          <w:rFonts w:cs="Times New Roman"/>
        </w:rPr>
        <w:t>-day notice period had expired</w:t>
      </w:r>
      <w:r w:rsidR="002650AD">
        <w:rPr>
          <w:rFonts w:cs="Times New Roman"/>
        </w:rPr>
        <w:t>,</w:t>
      </w:r>
      <w:r w:rsidRPr="000176EF">
        <w:rPr>
          <w:rFonts w:cs="Times New Roman"/>
        </w:rPr>
        <w:t xml:space="preserve"> it</w:t>
      </w:r>
      <w:r w:rsidR="004A6DEE" w:rsidRPr="000176EF">
        <w:rPr>
          <w:rFonts w:cs="Times New Roman"/>
        </w:rPr>
        <w:t xml:space="preserve"> asked Bird whether a bond had been obtain</w:t>
      </w:r>
      <w:r w:rsidRPr="000176EF">
        <w:rPr>
          <w:rFonts w:cs="Times New Roman"/>
        </w:rPr>
        <w:t xml:space="preserve">ed. Bird replied affirmatively and Valard </w:t>
      </w:r>
      <w:r w:rsidR="004A6DEE" w:rsidRPr="000176EF">
        <w:rPr>
          <w:rFonts w:cs="Times New Roman"/>
        </w:rPr>
        <w:t xml:space="preserve">filed a claim. The </w:t>
      </w:r>
      <w:r w:rsidRPr="000176EF">
        <w:rPr>
          <w:rFonts w:cs="Times New Roman"/>
        </w:rPr>
        <w:t>surety</w:t>
      </w:r>
      <w:r w:rsidR="004A6DEE" w:rsidRPr="000176EF">
        <w:rPr>
          <w:rFonts w:cs="Times New Roman"/>
        </w:rPr>
        <w:t xml:space="preserve"> denied </w:t>
      </w:r>
      <w:r w:rsidRPr="000176EF">
        <w:rPr>
          <w:rFonts w:cs="Times New Roman"/>
        </w:rPr>
        <w:t>the</w:t>
      </w:r>
      <w:r w:rsidR="004A6DEE" w:rsidRPr="000176EF">
        <w:rPr>
          <w:rFonts w:cs="Times New Roman"/>
        </w:rPr>
        <w:t xml:space="preserve"> claim</w:t>
      </w:r>
      <w:r w:rsidRPr="000176EF">
        <w:rPr>
          <w:rFonts w:cs="Times New Roman"/>
        </w:rPr>
        <w:t xml:space="preserve">. Valard </w:t>
      </w:r>
      <w:r w:rsidR="004A6DEE" w:rsidRPr="000176EF">
        <w:rPr>
          <w:rFonts w:cs="Times New Roman"/>
        </w:rPr>
        <w:t>sued Bird for breach of trust.</w:t>
      </w:r>
      <w:r w:rsidR="00A02E33" w:rsidRPr="000176EF">
        <w:rPr>
          <w:rFonts w:cs="Times New Roman"/>
        </w:rPr>
        <w:t xml:space="preserve"> </w:t>
      </w:r>
      <w:r w:rsidR="004A6DEE" w:rsidRPr="000176EF">
        <w:rPr>
          <w:rFonts w:cs="Times New Roman"/>
        </w:rPr>
        <w:t>The trial judge dismissed Valard</w:t>
      </w:r>
      <w:r w:rsidR="00A074E0">
        <w:rPr>
          <w:rFonts w:cs="Times New Roman"/>
        </w:rPr>
        <w:t>’</w:t>
      </w:r>
      <w:r w:rsidR="004A6DEE" w:rsidRPr="000176EF">
        <w:rPr>
          <w:rFonts w:cs="Times New Roman"/>
        </w:rPr>
        <w:t>s action.</w:t>
      </w:r>
      <w:r w:rsidR="00A02E33" w:rsidRPr="000176EF">
        <w:rPr>
          <w:rFonts w:cs="Times New Roman"/>
        </w:rPr>
        <w:t xml:space="preserve"> </w:t>
      </w:r>
      <w:r w:rsidR="004A6DEE" w:rsidRPr="000176EF">
        <w:rPr>
          <w:rFonts w:cs="Times New Roman"/>
        </w:rPr>
        <w:t xml:space="preserve">A majority </w:t>
      </w:r>
      <w:r w:rsidRPr="000176EF">
        <w:rPr>
          <w:rFonts w:cs="Times New Roman"/>
        </w:rPr>
        <w:t>of the</w:t>
      </w:r>
      <w:r w:rsidR="004A6DEE" w:rsidRPr="000176EF">
        <w:rPr>
          <w:rFonts w:cs="Times New Roman"/>
        </w:rPr>
        <w:t xml:space="preserve"> Court of Appeal dismissed Valard</w:t>
      </w:r>
      <w:r w:rsidR="00A074E0">
        <w:rPr>
          <w:rFonts w:cs="Times New Roman"/>
        </w:rPr>
        <w:t>’</w:t>
      </w:r>
      <w:r w:rsidR="004A6DEE" w:rsidRPr="000176EF">
        <w:rPr>
          <w:rFonts w:cs="Times New Roman"/>
        </w:rPr>
        <w:t xml:space="preserve">s appeal. </w:t>
      </w:r>
    </w:p>
    <w:p w:rsidR="004A6DEE" w:rsidRPr="000176EF" w:rsidRDefault="004F3747" w:rsidP="00D52823">
      <w:pPr>
        <w:pStyle w:val="SCCNormalDoubleSpacing"/>
        <w:widowControl w:val="0"/>
        <w:spacing w:after="480"/>
        <w:rPr>
          <w:rFonts w:cs="Times New Roman"/>
          <w:sz w:val="28"/>
        </w:rPr>
      </w:pPr>
      <w:r w:rsidRPr="000176EF">
        <w:rPr>
          <w:rFonts w:cs="Times New Roman"/>
          <w:i/>
        </w:rPr>
        <w:tab/>
      </w:r>
      <w:r w:rsidR="004A6DEE" w:rsidRPr="000176EF">
        <w:rPr>
          <w:rFonts w:cs="Times New Roman"/>
          <w:i/>
        </w:rPr>
        <w:t>Held</w:t>
      </w:r>
      <w:r w:rsidR="00A02E33" w:rsidRPr="000176EF">
        <w:rPr>
          <w:rFonts w:cs="Times New Roman"/>
        </w:rPr>
        <w:t xml:space="preserve"> (Karakatsanis </w:t>
      </w:r>
      <w:r w:rsidR="004A6DEE" w:rsidRPr="000176EF">
        <w:rPr>
          <w:rFonts w:cs="Times New Roman"/>
        </w:rPr>
        <w:t>J. dissenting): The appeal should be allowed and th</w:t>
      </w:r>
      <w:r w:rsidR="00EB7CC6" w:rsidRPr="000176EF">
        <w:rPr>
          <w:rFonts w:cs="Times New Roman"/>
        </w:rPr>
        <w:t>e matter of quantum of damages should</w:t>
      </w:r>
      <w:r w:rsidR="004A6DEE" w:rsidRPr="000176EF">
        <w:rPr>
          <w:rFonts w:cs="Times New Roman"/>
        </w:rPr>
        <w:t xml:space="preserve"> be remitted to the trial judge for adjudication.</w:t>
      </w:r>
      <w:r w:rsidR="004A6DEE" w:rsidRPr="000176EF">
        <w:rPr>
          <w:rFonts w:cs="Times New Roman"/>
          <w:sz w:val="28"/>
        </w:rPr>
        <w:t xml:space="preserve"> </w:t>
      </w:r>
    </w:p>
    <w:p w:rsidR="004A6DEE" w:rsidRPr="000176EF" w:rsidRDefault="004F3747" w:rsidP="00D52823">
      <w:pPr>
        <w:pStyle w:val="SCCNormalDoubleSpacing"/>
        <w:widowControl w:val="0"/>
        <w:spacing w:after="480"/>
        <w:rPr>
          <w:rFonts w:cs="Times New Roman"/>
        </w:rPr>
      </w:pPr>
      <w:r w:rsidRPr="000176EF">
        <w:rPr>
          <w:rFonts w:cs="Times New Roman"/>
          <w:i/>
        </w:rPr>
        <w:tab/>
      </w:r>
      <w:r w:rsidR="004A6DEE" w:rsidRPr="000176EF">
        <w:rPr>
          <w:rFonts w:cs="Times New Roman"/>
          <w:i/>
        </w:rPr>
        <w:t>Per</w:t>
      </w:r>
      <w:r w:rsidR="004A6DEE" w:rsidRPr="000176EF">
        <w:rPr>
          <w:rFonts w:cs="Times New Roman"/>
        </w:rPr>
        <w:t xml:space="preserve"> </w:t>
      </w:r>
      <w:r w:rsidR="004A6DEE" w:rsidRPr="000176EF">
        <w:rPr>
          <w:rFonts w:cs="Times New Roman"/>
          <w:lang w:val="en"/>
        </w:rPr>
        <w:t xml:space="preserve">McLachlin C.J. and Abella, </w:t>
      </w:r>
      <w:r w:rsidR="004A6DEE" w:rsidRPr="000176EF">
        <w:rPr>
          <w:rFonts w:cs="Times New Roman"/>
        </w:rPr>
        <w:t xml:space="preserve">Moldaver, </w:t>
      </w:r>
      <w:r w:rsidR="004A6DEE" w:rsidRPr="002650AD">
        <w:rPr>
          <w:rFonts w:cs="Times New Roman"/>
          <w:lang w:val="en"/>
        </w:rPr>
        <w:t>Brown</w:t>
      </w:r>
      <w:r w:rsidR="004A6DEE" w:rsidRPr="000176EF">
        <w:rPr>
          <w:rFonts w:cs="Times New Roman"/>
          <w:lang w:val="en"/>
        </w:rPr>
        <w:t xml:space="preserve"> and Rowe JJ.: </w:t>
      </w:r>
      <w:r w:rsidR="00EB7CC6" w:rsidRPr="000176EF">
        <w:rPr>
          <w:rFonts w:cs="Times New Roman"/>
        </w:rPr>
        <w:t>W</w:t>
      </w:r>
      <w:r w:rsidR="004A6DEE" w:rsidRPr="000176EF">
        <w:rPr>
          <w:rFonts w:cs="Times New Roman"/>
        </w:rPr>
        <w:t>herever a beneficiary would be unreasonably disadvantaged not to be informed of a trust</w:t>
      </w:r>
      <w:r w:rsidR="00A074E0">
        <w:rPr>
          <w:rFonts w:cs="Times New Roman"/>
        </w:rPr>
        <w:t>’</w:t>
      </w:r>
      <w:r w:rsidR="004A6DEE" w:rsidRPr="000176EF">
        <w:rPr>
          <w:rFonts w:cs="Times New Roman"/>
        </w:rPr>
        <w:t>s existence, the trustee</w:t>
      </w:r>
      <w:r w:rsidR="00A074E0">
        <w:rPr>
          <w:rFonts w:cs="Times New Roman"/>
        </w:rPr>
        <w:t>’</w:t>
      </w:r>
      <w:r w:rsidR="004A6DEE" w:rsidRPr="000176EF">
        <w:rPr>
          <w:rFonts w:cs="Times New Roman"/>
        </w:rPr>
        <w:t>s fiduciary duty includes an obligation to disclose the existence of the trust.</w:t>
      </w:r>
      <w:r w:rsidR="00A02E33" w:rsidRPr="000176EF">
        <w:rPr>
          <w:rFonts w:cs="Times New Roman"/>
        </w:rPr>
        <w:t xml:space="preserve"> </w:t>
      </w:r>
      <w:r w:rsidR="004A6DEE" w:rsidRPr="000176EF">
        <w:rPr>
          <w:rFonts w:cs="Times New Roman"/>
        </w:rPr>
        <w:t>In the circumstances of this appeal, where the evidence was that labour and material payment bonds were uncommon in the pertinent sector and where the trustee</w:t>
      </w:r>
      <w:r w:rsidR="00A074E0">
        <w:rPr>
          <w:rFonts w:cs="Times New Roman"/>
        </w:rPr>
        <w:t>’</w:t>
      </w:r>
      <w:r w:rsidR="004A6DEE" w:rsidRPr="000176EF">
        <w:rPr>
          <w:rFonts w:cs="Times New Roman"/>
        </w:rPr>
        <w:t xml:space="preserve">s </w:t>
      </w:r>
      <w:r w:rsidR="004A6DEE" w:rsidRPr="000176EF">
        <w:rPr>
          <w:rFonts w:cs="Times New Roman"/>
        </w:rPr>
        <w:lastRenderedPageBreak/>
        <w:t>failure to disclose the existence of the trust prevented the beneficiary from making a claim within the prescribed notice period, that duty was breached. The bond create</w:t>
      </w:r>
      <w:r w:rsidR="00EB7CC6" w:rsidRPr="000176EF">
        <w:rPr>
          <w:rFonts w:cs="Times New Roman"/>
        </w:rPr>
        <w:t>d</w:t>
      </w:r>
      <w:r w:rsidR="004A6DEE" w:rsidRPr="000176EF">
        <w:rPr>
          <w:rFonts w:cs="Times New Roman"/>
        </w:rPr>
        <w:t xml:space="preserve"> an express trust.</w:t>
      </w:r>
      <w:r w:rsidR="00A02E33" w:rsidRPr="000176EF">
        <w:rPr>
          <w:rFonts w:cs="Times New Roman"/>
        </w:rPr>
        <w:t xml:space="preserve"> </w:t>
      </w:r>
      <w:r w:rsidR="00EB7CC6" w:rsidRPr="000176EF">
        <w:rPr>
          <w:rFonts w:cs="Times New Roman"/>
        </w:rPr>
        <w:t>T</w:t>
      </w:r>
      <w:r w:rsidR="004A6DEE" w:rsidRPr="000176EF">
        <w:rPr>
          <w:rFonts w:cs="Times New Roman"/>
        </w:rPr>
        <w:t>he beneficiary of a trust has a right to hold the trustee to account for its administration of the trust property and to enforce the terms of the trust</w:t>
      </w:r>
      <w:r w:rsidR="00EB7CC6" w:rsidRPr="000176EF">
        <w:rPr>
          <w:rFonts w:cs="Times New Roman"/>
        </w:rPr>
        <w:t xml:space="preserve">. </w:t>
      </w:r>
      <w:r w:rsidR="004A6DEE" w:rsidRPr="000176EF">
        <w:rPr>
          <w:rFonts w:cs="Times New Roman"/>
        </w:rPr>
        <w:t>In some cases, the beneficiary</w:t>
      </w:r>
      <w:r w:rsidR="00A074E0">
        <w:rPr>
          <w:rFonts w:cs="Times New Roman"/>
        </w:rPr>
        <w:t>’</w:t>
      </w:r>
      <w:r w:rsidR="004A6DEE" w:rsidRPr="000176EF">
        <w:rPr>
          <w:rFonts w:cs="Times New Roman"/>
        </w:rPr>
        <w:t>s right to enforce the trust can be meaningfully exercised only if he or she is first informed of the trust</w:t>
      </w:r>
      <w:r w:rsidR="00A074E0">
        <w:rPr>
          <w:rFonts w:cs="Times New Roman"/>
        </w:rPr>
        <w:t>’</w:t>
      </w:r>
      <w:r w:rsidR="004A6DEE" w:rsidRPr="000176EF">
        <w:rPr>
          <w:rFonts w:cs="Times New Roman"/>
        </w:rPr>
        <w:t>s existence</w:t>
      </w:r>
      <w:r w:rsidR="00A074E0">
        <w:rPr>
          <w:rFonts w:cs="Times New Roman"/>
        </w:rPr>
        <w:t xml:space="preserve">. </w:t>
      </w:r>
      <w:r w:rsidR="004A6DEE" w:rsidRPr="000176EF">
        <w:rPr>
          <w:rFonts w:cs="Times New Roman"/>
        </w:rPr>
        <w:t xml:space="preserve">In general, wherever </w:t>
      </w:r>
      <w:r w:rsidR="00EB7CC6" w:rsidRPr="000176EF">
        <w:rPr>
          <w:rFonts w:cs="Times New Roman"/>
        </w:rPr>
        <w:t>i</w:t>
      </w:r>
      <w:r w:rsidR="004A6DEE" w:rsidRPr="000176EF">
        <w:rPr>
          <w:rFonts w:cs="Times New Roman"/>
        </w:rPr>
        <w:t>t could be said to be to the unreasonable disadvantage of th</w:t>
      </w:r>
      <w:r w:rsidR="00EB7CC6" w:rsidRPr="000176EF">
        <w:rPr>
          <w:rFonts w:cs="Times New Roman"/>
        </w:rPr>
        <w:t>e beneficiary not to be informed</w:t>
      </w:r>
      <w:r w:rsidR="004A6DEE" w:rsidRPr="000176EF">
        <w:rPr>
          <w:rFonts w:cs="Times New Roman"/>
        </w:rPr>
        <w:t xml:space="preserve"> of the trust</w:t>
      </w:r>
      <w:r w:rsidR="00A074E0">
        <w:rPr>
          <w:rFonts w:cs="Times New Roman"/>
        </w:rPr>
        <w:t>’</w:t>
      </w:r>
      <w:r w:rsidR="004A6DEE" w:rsidRPr="000176EF">
        <w:rPr>
          <w:rFonts w:cs="Times New Roman"/>
        </w:rPr>
        <w:t>s existence, the trustee</w:t>
      </w:r>
      <w:r w:rsidR="00A074E0">
        <w:rPr>
          <w:rFonts w:cs="Times New Roman"/>
        </w:rPr>
        <w:t>’</w:t>
      </w:r>
      <w:r w:rsidR="004A6DEE" w:rsidRPr="000176EF">
        <w:rPr>
          <w:rFonts w:cs="Times New Roman"/>
        </w:rPr>
        <w:t>s fiduciary duty includes an obligation to disclose the existence of the trust.</w:t>
      </w:r>
      <w:r w:rsidR="00A02E33" w:rsidRPr="000176EF">
        <w:rPr>
          <w:rFonts w:cs="Times New Roman"/>
        </w:rPr>
        <w:t xml:space="preserve"> </w:t>
      </w:r>
      <w:r w:rsidR="004A6DEE" w:rsidRPr="000176EF">
        <w:rPr>
          <w:rFonts w:cs="Times New Roman"/>
        </w:rPr>
        <w:t>Whether a particular disadvantage is unreasonable must be considered in light of the nature and terms of the trust and the social or business environment in which it operates, and in light of the beneficiary</w:t>
      </w:r>
      <w:r w:rsidR="00A074E0">
        <w:rPr>
          <w:rFonts w:cs="Times New Roman"/>
        </w:rPr>
        <w:t>’</w:t>
      </w:r>
      <w:r w:rsidR="004A6DEE" w:rsidRPr="000176EF">
        <w:rPr>
          <w:rFonts w:cs="Times New Roman"/>
        </w:rPr>
        <w:t>s entitlement thereunder.</w:t>
      </w:r>
      <w:r w:rsidR="00A02E33" w:rsidRPr="000176EF">
        <w:rPr>
          <w:rFonts w:cs="Times New Roman"/>
        </w:rPr>
        <w:t xml:space="preserve"> </w:t>
      </w:r>
      <w:r w:rsidR="004A6DEE" w:rsidRPr="000176EF">
        <w:rPr>
          <w:rFonts w:cs="Times New Roman"/>
        </w:rPr>
        <w:t>Valard was unreasonably disadvantaged by Bird</w:t>
      </w:r>
      <w:r w:rsidR="00A074E0">
        <w:rPr>
          <w:rFonts w:cs="Times New Roman"/>
        </w:rPr>
        <w:t>’</w:t>
      </w:r>
      <w:r w:rsidR="004A6DEE" w:rsidRPr="000176EF">
        <w:rPr>
          <w:rFonts w:cs="Times New Roman"/>
        </w:rPr>
        <w:t>s failure to inform it of the trust</w:t>
      </w:r>
      <w:r w:rsidR="00A074E0">
        <w:rPr>
          <w:rFonts w:cs="Times New Roman"/>
        </w:rPr>
        <w:t>’</w:t>
      </w:r>
      <w:r w:rsidR="004A6DEE" w:rsidRPr="000176EF">
        <w:rPr>
          <w:rFonts w:cs="Times New Roman"/>
        </w:rPr>
        <w:t>s existence.</w:t>
      </w:r>
      <w:r w:rsidR="00A02E33" w:rsidRPr="000176EF">
        <w:rPr>
          <w:rFonts w:cs="Times New Roman"/>
        </w:rPr>
        <w:t xml:space="preserve"> </w:t>
      </w:r>
      <w:r w:rsidR="00EB7CC6" w:rsidRPr="000176EF">
        <w:rPr>
          <w:rFonts w:cs="Times New Roman"/>
        </w:rPr>
        <w:t>T</w:t>
      </w:r>
      <w:r w:rsidR="004A6DEE" w:rsidRPr="000176EF">
        <w:rPr>
          <w:rFonts w:cs="Times New Roman"/>
        </w:rPr>
        <w:t xml:space="preserve">he expiry of the notice period before Valard learned of the bond effectively prevented it from enforcing the trust. </w:t>
      </w:r>
    </w:p>
    <w:p w:rsidR="004A6DEE" w:rsidRPr="000176EF" w:rsidRDefault="004F3747" w:rsidP="00D52823">
      <w:pPr>
        <w:pStyle w:val="SCCNormalDoubleSpacing"/>
        <w:widowControl w:val="0"/>
        <w:spacing w:after="480"/>
        <w:rPr>
          <w:rFonts w:cs="Times New Roman"/>
        </w:rPr>
      </w:pPr>
      <w:r w:rsidRPr="000176EF">
        <w:rPr>
          <w:rFonts w:cs="Times New Roman"/>
        </w:rPr>
        <w:tab/>
      </w:r>
      <w:r w:rsidR="00EB7CC6" w:rsidRPr="000176EF">
        <w:rPr>
          <w:rFonts w:cs="Times New Roman"/>
        </w:rPr>
        <w:t>T</w:t>
      </w:r>
      <w:r w:rsidR="004A6DEE" w:rsidRPr="000176EF">
        <w:rPr>
          <w:rFonts w:cs="Times New Roman"/>
        </w:rPr>
        <w:t>he standard to be met by a trustee in respect of the duty to disclose the trust</w:t>
      </w:r>
      <w:r w:rsidR="00A074E0">
        <w:rPr>
          <w:rFonts w:cs="Times New Roman"/>
        </w:rPr>
        <w:t>’</w:t>
      </w:r>
      <w:r w:rsidR="00EB7CC6" w:rsidRPr="000176EF">
        <w:rPr>
          <w:rFonts w:cs="Times New Roman"/>
        </w:rPr>
        <w:t>s existence is</w:t>
      </w:r>
      <w:r w:rsidR="004A6DEE" w:rsidRPr="000176EF">
        <w:rPr>
          <w:rFonts w:cs="Times New Roman"/>
        </w:rPr>
        <w:t xml:space="preserve"> that of honesty, and reasonable skill and prudence</w:t>
      </w:r>
      <w:r w:rsidR="00EB7CC6" w:rsidRPr="000176EF">
        <w:rPr>
          <w:rFonts w:cs="Times New Roman"/>
        </w:rPr>
        <w:t>. T</w:t>
      </w:r>
      <w:r w:rsidR="004A6DEE" w:rsidRPr="000176EF">
        <w:rPr>
          <w:rFonts w:cs="Times New Roman"/>
        </w:rPr>
        <w:t xml:space="preserve">he specific demands of that standard are informed by the facts and circumstances of which the trustee ought reasonably to have known at the material time. </w:t>
      </w:r>
      <w:r w:rsidR="00EB7CC6" w:rsidRPr="000176EF">
        <w:rPr>
          <w:rFonts w:cs="Times New Roman"/>
        </w:rPr>
        <w:t>W</w:t>
      </w:r>
      <w:r w:rsidR="004A6DEE" w:rsidRPr="000176EF">
        <w:rPr>
          <w:rFonts w:cs="Times New Roman"/>
        </w:rPr>
        <w:t>hat a trustee must do to discharge it is highly sensitive to the context in which the particular trust relationship arises</w:t>
      </w:r>
      <w:r w:rsidR="00EB7CC6" w:rsidRPr="000176EF">
        <w:rPr>
          <w:rFonts w:cs="Times New Roman"/>
        </w:rPr>
        <w:t>. An honest,</w:t>
      </w:r>
      <w:r w:rsidR="004A6DEE" w:rsidRPr="000176EF">
        <w:rPr>
          <w:rFonts w:cs="Times New Roman"/>
        </w:rPr>
        <w:t xml:space="preserve"> reasonably skillful and prudent trustee would have known that labour </w:t>
      </w:r>
      <w:r w:rsidR="002650AD">
        <w:rPr>
          <w:rFonts w:cs="Times New Roman"/>
        </w:rPr>
        <w:t xml:space="preserve">and </w:t>
      </w:r>
      <w:r w:rsidR="004A6DEE" w:rsidRPr="000176EF">
        <w:rPr>
          <w:rFonts w:cs="Times New Roman"/>
        </w:rPr>
        <w:t xml:space="preserve">material payment bonds were uncommon on private oilsands construction projects. Conversely, Bird could not have known of all potential beneficiaries when the bond </w:t>
      </w:r>
      <w:r w:rsidR="004A6DEE" w:rsidRPr="000176EF">
        <w:rPr>
          <w:rFonts w:cs="Times New Roman"/>
        </w:rPr>
        <w:lastRenderedPageBreak/>
        <w:t>was procured. Its obligation extend</w:t>
      </w:r>
      <w:r w:rsidR="00EB7CC6" w:rsidRPr="000176EF">
        <w:rPr>
          <w:rFonts w:cs="Times New Roman"/>
        </w:rPr>
        <w:t>ed</w:t>
      </w:r>
      <w:r w:rsidR="004A6DEE" w:rsidRPr="000176EF">
        <w:rPr>
          <w:rFonts w:cs="Times New Roman"/>
        </w:rPr>
        <w:t xml:space="preserve"> only to taking reasonable steps to notify potential beneficiaries of the trust.</w:t>
      </w:r>
      <w:r w:rsidR="00A02E33" w:rsidRPr="000176EF">
        <w:rPr>
          <w:rFonts w:cs="Times New Roman"/>
        </w:rPr>
        <w:t xml:space="preserve"> </w:t>
      </w:r>
      <w:r w:rsidR="004A6DEE" w:rsidRPr="000176EF">
        <w:rPr>
          <w:rFonts w:cs="Times New Roman"/>
        </w:rPr>
        <w:t>Bird had an on-site trailer in which notices were normally</w:t>
      </w:r>
      <w:r w:rsidR="00EB7CC6" w:rsidRPr="000176EF">
        <w:rPr>
          <w:rFonts w:cs="Times New Roman"/>
        </w:rPr>
        <w:t xml:space="preserve"> posted </w:t>
      </w:r>
      <w:r w:rsidR="004A6DEE" w:rsidRPr="000176EF">
        <w:rPr>
          <w:rFonts w:cs="Times New Roman"/>
        </w:rPr>
        <w:t>and where Valard</w:t>
      </w:r>
      <w:r w:rsidR="00EB7CC6" w:rsidRPr="000176EF">
        <w:rPr>
          <w:rFonts w:cs="Times New Roman"/>
        </w:rPr>
        <w:t xml:space="preserve"> was</w:t>
      </w:r>
      <w:r w:rsidR="004A6DEE" w:rsidRPr="000176EF">
        <w:rPr>
          <w:rFonts w:cs="Times New Roman"/>
        </w:rPr>
        <w:t xml:space="preserve"> required to attend daily meetings.</w:t>
      </w:r>
      <w:r w:rsidR="00A02E33" w:rsidRPr="000176EF">
        <w:rPr>
          <w:rFonts w:cs="Times New Roman"/>
        </w:rPr>
        <w:t xml:space="preserve"> </w:t>
      </w:r>
      <w:r w:rsidR="00EB7CC6" w:rsidRPr="000176EF">
        <w:rPr>
          <w:rFonts w:cs="Times New Roman"/>
        </w:rPr>
        <w:t>It could have posted</w:t>
      </w:r>
      <w:r w:rsidR="004A6DEE" w:rsidRPr="000176EF">
        <w:rPr>
          <w:rFonts w:cs="Times New Roman"/>
        </w:rPr>
        <w:t xml:space="preserve"> a notice of the bond in its trailer.</w:t>
      </w:r>
      <w:r w:rsidR="00A02E33" w:rsidRPr="000176EF">
        <w:rPr>
          <w:rFonts w:cs="Times New Roman"/>
        </w:rPr>
        <w:t xml:space="preserve"> </w:t>
      </w:r>
      <w:r w:rsidR="004A6DEE" w:rsidRPr="000176EF">
        <w:rPr>
          <w:rFonts w:cs="Times New Roman"/>
        </w:rPr>
        <w:t xml:space="preserve">Instead, </w:t>
      </w:r>
      <w:r w:rsidR="00EB7CC6" w:rsidRPr="000176EF">
        <w:rPr>
          <w:rFonts w:cs="Times New Roman"/>
        </w:rPr>
        <w:t>it</w:t>
      </w:r>
      <w:r w:rsidR="004A6DEE" w:rsidRPr="000176EF">
        <w:rPr>
          <w:rFonts w:cs="Times New Roman"/>
        </w:rPr>
        <w:t xml:space="preserve"> did nothing.</w:t>
      </w:r>
      <w:r w:rsidR="00A02E33" w:rsidRPr="000176EF">
        <w:rPr>
          <w:rFonts w:cs="Times New Roman"/>
        </w:rPr>
        <w:t xml:space="preserve"> </w:t>
      </w:r>
      <w:r w:rsidR="00EB7CC6" w:rsidRPr="000176EF">
        <w:rPr>
          <w:rFonts w:cs="Times New Roman"/>
        </w:rPr>
        <w:t>S</w:t>
      </w:r>
      <w:r w:rsidR="004A6DEE" w:rsidRPr="000176EF">
        <w:rPr>
          <w:rFonts w:cs="Times New Roman"/>
        </w:rPr>
        <w:t>omething more than nothing was required.</w:t>
      </w:r>
      <w:r w:rsidR="00A02E33" w:rsidRPr="000176EF">
        <w:rPr>
          <w:rFonts w:cs="Times New Roman"/>
        </w:rPr>
        <w:t xml:space="preserve"> </w:t>
      </w:r>
      <w:r w:rsidR="004A6DEE" w:rsidRPr="000176EF">
        <w:rPr>
          <w:rFonts w:cs="Times New Roman"/>
        </w:rPr>
        <w:t xml:space="preserve">Bird therefore committed a breach of trust. </w:t>
      </w:r>
    </w:p>
    <w:p w:rsidR="0076665F" w:rsidRPr="000176EF" w:rsidRDefault="004F3747" w:rsidP="00D52823">
      <w:pPr>
        <w:pStyle w:val="SCCNormalDoubleSpacing"/>
        <w:widowControl w:val="0"/>
        <w:spacing w:after="480"/>
        <w:rPr>
          <w:rFonts w:cs="Times New Roman"/>
        </w:rPr>
      </w:pPr>
      <w:r w:rsidRPr="000176EF">
        <w:rPr>
          <w:rFonts w:cs="Times New Roman"/>
          <w:i/>
        </w:rPr>
        <w:tab/>
      </w:r>
      <w:r w:rsidR="004A6DEE" w:rsidRPr="000176EF">
        <w:rPr>
          <w:rFonts w:cs="Times New Roman"/>
          <w:i/>
        </w:rPr>
        <w:t xml:space="preserve">Per </w:t>
      </w:r>
      <w:r w:rsidR="002E61C3" w:rsidRPr="00786AA8">
        <w:rPr>
          <w:rFonts w:cs="Times New Roman"/>
        </w:rPr>
        <w:t>Côté</w:t>
      </w:r>
      <w:r w:rsidR="002E61C3" w:rsidRPr="000176EF">
        <w:rPr>
          <w:rFonts w:cs="Times New Roman"/>
          <w:b/>
        </w:rPr>
        <w:t> </w:t>
      </w:r>
      <w:r w:rsidR="004A6DEE" w:rsidRPr="000176EF">
        <w:rPr>
          <w:rFonts w:cs="Times New Roman"/>
        </w:rPr>
        <w:t xml:space="preserve">J.: </w:t>
      </w:r>
      <w:r w:rsidR="00EB7CC6" w:rsidRPr="000176EF">
        <w:rPr>
          <w:rFonts w:cs="Times New Roman"/>
        </w:rPr>
        <w:t>I</w:t>
      </w:r>
      <w:r w:rsidR="0076665F" w:rsidRPr="000176EF">
        <w:rPr>
          <w:rFonts w:cs="Times New Roman"/>
        </w:rPr>
        <w:t>n general</w:t>
      </w:r>
      <w:r w:rsidR="00EB7CC6" w:rsidRPr="000176EF">
        <w:rPr>
          <w:rFonts w:cs="Times New Roman"/>
        </w:rPr>
        <w:t>, there is</w:t>
      </w:r>
      <w:r w:rsidR="0076665F" w:rsidRPr="000176EF">
        <w:rPr>
          <w:rFonts w:cs="Times New Roman"/>
        </w:rPr>
        <w:t xml:space="preserve"> no proactive duty on the part of a trustee to take steps to inform potential claimants of a bond</w:t>
      </w:r>
      <w:r w:rsidR="00A074E0">
        <w:rPr>
          <w:rFonts w:cs="Times New Roman"/>
        </w:rPr>
        <w:t>’</w:t>
      </w:r>
      <w:r w:rsidR="0076665F" w:rsidRPr="000176EF">
        <w:rPr>
          <w:rFonts w:cs="Times New Roman"/>
        </w:rPr>
        <w:t>s existence, although a trustee does have an equitable obligation to accurately answer all requests from potential claimants for information pertaining to the existence and particulars of any labo</w:t>
      </w:r>
      <w:r w:rsidR="00EB7CC6" w:rsidRPr="000176EF">
        <w:rPr>
          <w:rFonts w:cs="Times New Roman"/>
        </w:rPr>
        <w:t>ur and materials payment bond.</w:t>
      </w:r>
      <w:r w:rsidR="0076665F" w:rsidRPr="000176EF">
        <w:rPr>
          <w:rFonts w:cs="Times New Roman"/>
        </w:rPr>
        <w:t xml:space="preserve"> </w:t>
      </w:r>
    </w:p>
    <w:p w:rsidR="0076665F" w:rsidRPr="000176EF" w:rsidRDefault="0076665F" w:rsidP="00D52823">
      <w:pPr>
        <w:pStyle w:val="SCCNormalDoubleSpacing"/>
        <w:widowControl w:val="0"/>
        <w:spacing w:after="480"/>
        <w:rPr>
          <w:rFonts w:cs="Times New Roman"/>
        </w:rPr>
      </w:pPr>
      <w:r w:rsidRPr="000176EF">
        <w:rPr>
          <w:rFonts w:cs="Times New Roman"/>
          <w:b/>
        </w:rPr>
        <w:tab/>
      </w:r>
      <w:r w:rsidRPr="000176EF">
        <w:rPr>
          <w:rFonts w:cs="Times New Roman"/>
        </w:rPr>
        <w:t>On the facts of the present case,</w:t>
      </w:r>
      <w:r w:rsidRPr="000176EF">
        <w:rPr>
          <w:rFonts w:cs="Times New Roman"/>
          <w:b/>
        </w:rPr>
        <w:t xml:space="preserve"> </w:t>
      </w:r>
      <w:r w:rsidRPr="000176EF">
        <w:rPr>
          <w:rFonts w:cs="Times New Roman"/>
        </w:rPr>
        <w:t xml:space="preserve">Bird had a duty to inform Valard of the </w:t>
      </w:r>
      <w:r w:rsidR="00EB7CC6" w:rsidRPr="000176EF">
        <w:rPr>
          <w:rFonts w:cs="Times New Roman"/>
        </w:rPr>
        <w:t>b</w:t>
      </w:r>
      <w:r w:rsidRPr="000176EF">
        <w:rPr>
          <w:rFonts w:cs="Times New Roman"/>
        </w:rPr>
        <w:t>ond</w:t>
      </w:r>
      <w:r w:rsidR="00A074E0">
        <w:rPr>
          <w:rFonts w:cs="Times New Roman"/>
        </w:rPr>
        <w:t>’</w:t>
      </w:r>
      <w:r w:rsidRPr="000176EF">
        <w:rPr>
          <w:rFonts w:cs="Times New Roman"/>
        </w:rPr>
        <w:t xml:space="preserve">s existence when it was first notified by email of problems Valard was experiencing in </w:t>
      </w:r>
      <w:r w:rsidR="00EB7CC6" w:rsidRPr="000176EF">
        <w:rPr>
          <w:rFonts w:cs="Times New Roman"/>
        </w:rPr>
        <w:t>obtaining payment from Langford.</w:t>
      </w:r>
      <w:r w:rsidR="00A02E33" w:rsidRPr="000176EF">
        <w:rPr>
          <w:rFonts w:cs="Times New Roman"/>
        </w:rPr>
        <w:t xml:space="preserve"> </w:t>
      </w:r>
      <w:r w:rsidR="00EB7CC6" w:rsidRPr="000176EF">
        <w:rPr>
          <w:rFonts w:cs="Times New Roman"/>
        </w:rPr>
        <w:t>That email</w:t>
      </w:r>
      <w:r w:rsidRPr="000176EF">
        <w:rPr>
          <w:rFonts w:cs="Times New Roman"/>
        </w:rPr>
        <w:t>, from</w:t>
      </w:r>
      <w:r w:rsidR="00EB7CC6" w:rsidRPr="000176EF">
        <w:rPr>
          <w:rFonts w:cs="Times New Roman"/>
        </w:rPr>
        <w:t xml:space="preserve"> Langford and copied to Valard,</w:t>
      </w:r>
      <w:r w:rsidRPr="000176EF">
        <w:rPr>
          <w:rFonts w:cs="Times New Roman"/>
        </w:rPr>
        <w:t xml:space="preserve"> ended with a clear</w:t>
      </w:r>
      <w:r w:rsidR="00EB7CC6" w:rsidRPr="000176EF">
        <w:rPr>
          <w:rFonts w:cs="Times New Roman"/>
        </w:rPr>
        <w:t xml:space="preserve"> request for guidance from Bird.</w:t>
      </w:r>
      <w:r w:rsidR="00A02E33" w:rsidRPr="000176EF">
        <w:rPr>
          <w:rFonts w:cs="Times New Roman"/>
        </w:rPr>
        <w:t xml:space="preserve"> </w:t>
      </w:r>
      <w:r w:rsidR="00EB7CC6" w:rsidRPr="000176EF">
        <w:rPr>
          <w:rFonts w:cs="Times New Roman"/>
        </w:rPr>
        <w:t xml:space="preserve">At this point, </w:t>
      </w:r>
      <w:r w:rsidRPr="000176EF">
        <w:rPr>
          <w:rFonts w:cs="Times New Roman"/>
        </w:rPr>
        <w:t>Bird was alive to the very real possibility of Valard not being paid</w:t>
      </w:r>
      <w:r w:rsidR="00A074E0">
        <w:rPr>
          <w:rFonts w:cs="Times New Roman"/>
        </w:rPr>
        <w:t xml:space="preserve">. </w:t>
      </w:r>
      <w:r w:rsidRPr="000176EF">
        <w:rPr>
          <w:rFonts w:cs="Times New Roman"/>
        </w:rPr>
        <w:t>As one of the recipients of this email (and part of this conversation), Valard was entitled to expect that, if a bond were available, its existence would have been disclosed by Bird at this time</w:t>
      </w:r>
      <w:r w:rsidR="00A074E0">
        <w:rPr>
          <w:rFonts w:cs="Times New Roman"/>
        </w:rPr>
        <w:t xml:space="preserve">. </w:t>
      </w:r>
    </w:p>
    <w:p w:rsidR="0076665F" w:rsidRPr="000176EF" w:rsidRDefault="0076665F" w:rsidP="00D52823">
      <w:pPr>
        <w:pStyle w:val="SCCNormalDoubleSpacing"/>
        <w:widowControl w:val="0"/>
        <w:spacing w:after="480"/>
        <w:rPr>
          <w:rFonts w:cs="Times New Roman"/>
        </w:rPr>
      </w:pPr>
      <w:r w:rsidRPr="000176EF">
        <w:rPr>
          <w:rFonts w:cs="Times New Roman"/>
          <w:b/>
        </w:rPr>
        <w:tab/>
      </w:r>
      <w:r w:rsidR="00EB7CC6" w:rsidRPr="000176EF">
        <w:rPr>
          <w:rFonts w:cs="Times New Roman"/>
        </w:rPr>
        <w:t xml:space="preserve">Rather than </w:t>
      </w:r>
      <w:r w:rsidRPr="000176EF">
        <w:rPr>
          <w:rFonts w:cs="Times New Roman"/>
        </w:rPr>
        <w:t xml:space="preserve">disclosing the </w:t>
      </w:r>
      <w:r w:rsidR="00EB7CC6" w:rsidRPr="000176EF">
        <w:rPr>
          <w:rFonts w:cs="Times New Roman"/>
        </w:rPr>
        <w:t>existence of the bond, however, Bird instead</w:t>
      </w:r>
      <w:r w:rsidRPr="000176EF">
        <w:rPr>
          <w:rFonts w:cs="Times New Roman"/>
        </w:rPr>
        <w:t xml:space="preserve"> remov</w:t>
      </w:r>
      <w:r w:rsidR="00EB7CC6" w:rsidRPr="000176EF">
        <w:rPr>
          <w:rFonts w:cs="Times New Roman"/>
        </w:rPr>
        <w:t xml:space="preserve">ed Valard from the email chain </w:t>
      </w:r>
      <w:r w:rsidRPr="000176EF">
        <w:rPr>
          <w:rFonts w:cs="Times New Roman"/>
        </w:rPr>
        <w:t>a</w:t>
      </w:r>
      <w:r w:rsidR="00EB7CC6" w:rsidRPr="000176EF">
        <w:rPr>
          <w:rFonts w:cs="Times New Roman"/>
        </w:rPr>
        <w:t>nd replied directly to Langford</w:t>
      </w:r>
      <w:r w:rsidRPr="000176EF">
        <w:rPr>
          <w:rFonts w:cs="Times New Roman"/>
        </w:rPr>
        <w:t xml:space="preserve">. </w:t>
      </w:r>
      <w:r w:rsidR="00EB7CC6" w:rsidRPr="000176EF">
        <w:rPr>
          <w:rFonts w:cs="Times New Roman"/>
        </w:rPr>
        <w:t>Bird therefore</w:t>
      </w:r>
      <w:r w:rsidRPr="000176EF">
        <w:rPr>
          <w:rFonts w:cs="Times New Roman"/>
        </w:rPr>
        <w:t xml:space="preserve"> breached the equitable duty it owed to Valard.</w:t>
      </w:r>
      <w:r w:rsidR="00A02E33" w:rsidRPr="000176EF">
        <w:rPr>
          <w:rFonts w:cs="Times New Roman"/>
        </w:rPr>
        <w:t xml:space="preserve"> </w:t>
      </w:r>
      <w:r w:rsidR="00EB7CC6" w:rsidRPr="000176EF">
        <w:rPr>
          <w:rFonts w:cs="Times New Roman"/>
        </w:rPr>
        <w:t>Had Valard been</w:t>
      </w:r>
      <w:r w:rsidRPr="000176EF">
        <w:rPr>
          <w:rFonts w:cs="Times New Roman"/>
        </w:rPr>
        <w:t xml:space="preserve"> informed </w:t>
      </w:r>
      <w:r w:rsidR="00EB7CC6" w:rsidRPr="000176EF">
        <w:rPr>
          <w:rFonts w:cs="Times New Roman"/>
        </w:rPr>
        <w:t xml:space="preserve">of the </w:t>
      </w:r>
      <w:r w:rsidRPr="000176EF">
        <w:rPr>
          <w:rFonts w:cs="Times New Roman"/>
        </w:rPr>
        <w:t>available bond, it wo</w:t>
      </w:r>
      <w:r w:rsidR="00EB7CC6" w:rsidRPr="000176EF">
        <w:rPr>
          <w:rFonts w:cs="Times New Roman"/>
        </w:rPr>
        <w:t>uld</w:t>
      </w:r>
      <w:r w:rsidR="00786AA8">
        <w:rPr>
          <w:rFonts w:cs="Times New Roman"/>
        </w:rPr>
        <w:t xml:space="preserve"> still have been within the 120-</w:t>
      </w:r>
      <w:r w:rsidR="00EB7CC6" w:rsidRPr="000176EF">
        <w:rPr>
          <w:rFonts w:cs="Times New Roman"/>
        </w:rPr>
        <w:t>day</w:t>
      </w:r>
      <w:r w:rsidRPr="000176EF">
        <w:rPr>
          <w:rFonts w:cs="Times New Roman"/>
        </w:rPr>
        <w:t xml:space="preserve"> window within which to </w:t>
      </w:r>
      <w:r w:rsidRPr="000176EF">
        <w:rPr>
          <w:rFonts w:cs="Times New Roman"/>
        </w:rPr>
        <w:lastRenderedPageBreak/>
        <w:t>make a claim against the surety.</w:t>
      </w:r>
      <w:r w:rsidR="00A02E33" w:rsidRPr="000176EF">
        <w:rPr>
          <w:rFonts w:cs="Times New Roman"/>
        </w:rPr>
        <w:t xml:space="preserve"> </w:t>
      </w:r>
    </w:p>
    <w:p w:rsidR="004A6DEE" w:rsidRPr="000176EF" w:rsidRDefault="004F3747" w:rsidP="00D52823">
      <w:pPr>
        <w:pStyle w:val="SCCNormalDoubleSpacing"/>
        <w:widowControl w:val="0"/>
        <w:spacing w:after="480"/>
        <w:rPr>
          <w:rFonts w:cs="Times New Roman"/>
        </w:rPr>
      </w:pPr>
      <w:r w:rsidRPr="000176EF">
        <w:rPr>
          <w:rFonts w:cs="Times New Roman"/>
          <w:i/>
        </w:rPr>
        <w:tab/>
      </w:r>
      <w:r w:rsidR="004A6DEE" w:rsidRPr="000176EF">
        <w:rPr>
          <w:rFonts w:cs="Times New Roman"/>
          <w:i/>
        </w:rPr>
        <w:t>Per</w:t>
      </w:r>
      <w:r w:rsidR="004A6DEE" w:rsidRPr="000176EF">
        <w:rPr>
          <w:rFonts w:cs="Times New Roman"/>
        </w:rPr>
        <w:t xml:space="preserve"> </w:t>
      </w:r>
      <w:r w:rsidR="002E61C3" w:rsidRPr="002469C6">
        <w:rPr>
          <w:rFonts w:cs="Times New Roman"/>
        </w:rPr>
        <w:t>Karakatsanis </w:t>
      </w:r>
      <w:r w:rsidR="004A6DEE" w:rsidRPr="002469C6">
        <w:rPr>
          <w:rFonts w:cs="Times New Roman"/>
        </w:rPr>
        <w:t>J.</w:t>
      </w:r>
      <w:r w:rsidR="004A6DEE" w:rsidRPr="000004AD">
        <w:rPr>
          <w:rFonts w:cs="Times New Roman"/>
        </w:rPr>
        <w:t xml:space="preserve"> </w:t>
      </w:r>
      <w:r w:rsidR="004A6DEE" w:rsidRPr="000176EF">
        <w:rPr>
          <w:rFonts w:cs="Times New Roman"/>
        </w:rPr>
        <w:t xml:space="preserve">(dissenting): </w:t>
      </w:r>
      <w:r w:rsidR="00EB7CC6" w:rsidRPr="000176EF">
        <w:rPr>
          <w:rFonts w:cs="Times New Roman"/>
        </w:rPr>
        <w:t xml:space="preserve">Bird </w:t>
      </w:r>
      <w:r w:rsidR="004A6DEE" w:rsidRPr="000176EF">
        <w:rPr>
          <w:rFonts w:cs="Times New Roman"/>
        </w:rPr>
        <w:t xml:space="preserve">was not under an obligation to inform potential claimants of the existence of the bond. For over 45 years, labour and material payment bonds have been commonly used </w:t>
      </w:r>
      <w:r w:rsidR="00EB7CC6" w:rsidRPr="000176EF">
        <w:rPr>
          <w:rFonts w:cs="Times New Roman"/>
        </w:rPr>
        <w:t>in the construction industry. T</w:t>
      </w:r>
      <w:r w:rsidR="004A6DEE" w:rsidRPr="000176EF">
        <w:rPr>
          <w:rFonts w:cs="Times New Roman"/>
        </w:rPr>
        <w:t xml:space="preserve">he industry understanding and practice </w:t>
      </w:r>
      <w:r w:rsidR="00EB7CC6" w:rsidRPr="000176EF">
        <w:rPr>
          <w:rFonts w:cs="Times New Roman"/>
        </w:rPr>
        <w:t>is</w:t>
      </w:r>
      <w:r w:rsidR="004A6DEE" w:rsidRPr="000176EF">
        <w:rPr>
          <w:rFonts w:cs="Times New Roman"/>
        </w:rPr>
        <w:t xml:space="preserve"> that claimants are expected to enquire as to the existence of a bond. </w:t>
      </w:r>
      <w:r w:rsidR="00EB7CC6" w:rsidRPr="000176EF">
        <w:rPr>
          <w:rFonts w:cs="Times New Roman"/>
        </w:rPr>
        <w:t>G</w:t>
      </w:r>
      <w:r w:rsidR="004A6DEE" w:rsidRPr="000176EF">
        <w:rPr>
          <w:rFonts w:cs="Times New Roman"/>
        </w:rPr>
        <w:t>eneral trust law principles do not imply the obligation to notify potential claimants in this commercial context.</w:t>
      </w:r>
    </w:p>
    <w:p w:rsidR="004A6DEE" w:rsidRPr="000176EF" w:rsidRDefault="004F3747" w:rsidP="00D52823">
      <w:pPr>
        <w:pStyle w:val="SCCNormalDoubleSpacing"/>
        <w:widowControl w:val="0"/>
        <w:spacing w:after="480"/>
        <w:rPr>
          <w:rFonts w:cs="Times New Roman"/>
        </w:rPr>
      </w:pPr>
      <w:r w:rsidRPr="000176EF">
        <w:rPr>
          <w:rFonts w:cs="Times New Roman"/>
        </w:rPr>
        <w:tab/>
      </w:r>
      <w:r w:rsidR="004A6DEE" w:rsidRPr="000176EF">
        <w:rPr>
          <w:rFonts w:cs="Times New Roman"/>
        </w:rPr>
        <w:t xml:space="preserve">Trust language is used in the labour and material bond to avoid the third-party beneficiary rule. </w:t>
      </w:r>
      <w:r w:rsidR="00EB7CC6" w:rsidRPr="000176EF">
        <w:rPr>
          <w:rFonts w:cs="Times New Roman"/>
        </w:rPr>
        <w:t>In light of this</w:t>
      </w:r>
      <w:r w:rsidR="004A6DEE" w:rsidRPr="000176EF">
        <w:rPr>
          <w:rFonts w:cs="Times New Roman"/>
        </w:rPr>
        <w:t xml:space="preserve">, the bond itself narrowly defines the obligations placed on the trustee. Bird is not obliged to do or take any act, action or proceeding </w:t>
      </w:r>
      <w:r w:rsidR="00EB7CC6" w:rsidRPr="000176EF">
        <w:rPr>
          <w:rFonts w:cs="Times New Roman"/>
        </w:rPr>
        <w:t>against the s</w:t>
      </w:r>
      <w:r w:rsidR="004A6DEE" w:rsidRPr="000176EF">
        <w:rPr>
          <w:rFonts w:cs="Times New Roman"/>
        </w:rPr>
        <w:t xml:space="preserve">urety to enforce the </w:t>
      </w:r>
      <w:r w:rsidR="00EB7CC6" w:rsidRPr="000176EF">
        <w:rPr>
          <w:rFonts w:cs="Times New Roman"/>
        </w:rPr>
        <w:t>b</w:t>
      </w:r>
      <w:r w:rsidR="004A6DEE" w:rsidRPr="000176EF">
        <w:rPr>
          <w:rFonts w:cs="Times New Roman"/>
        </w:rPr>
        <w:t>ond. Bird is under an obligation to maintain and deliver the trust property,</w:t>
      </w:r>
      <w:r w:rsidR="00EB7CC6" w:rsidRPr="000176EF">
        <w:rPr>
          <w:rFonts w:cs="Times New Roman"/>
        </w:rPr>
        <w:t xml:space="preserve"> the right to claim on the bond, but this does not necessarily imply</w:t>
      </w:r>
      <w:r w:rsidR="004A6DEE" w:rsidRPr="000176EF">
        <w:rPr>
          <w:rFonts w:cs="Times New Roman"/>
        </w:rPr>
        <w:t xml:space="preserve"> the obligation to provide notice to potential claimants. </w:t>
      </w:r>
      <w:r w:rsidR="004A6DEE" w:rsidRPr="000176EF" w:rsidDel="00367371">
        <w:rPr>
          <w:rFonts w:cs="Times New Roman"/>
        </w:rPr>
        <w:t xml:space="preserve">Given the narrow purpose and scope of the trust, the limited obligations of the trustee, and industry use of these trusts, it is sufficient if the trustee responds to any enquiries about a bond. </w:t>
      </w:r>
    </w:p>
    <w:p w:rsidR="004A6DEE" w:rsidRPr="000176EF" w:rsidRDefault="004F3747" w:rsidP="00D52823">
      <w:pPr>
        <w:pStyle w:val="SCCNormalDoubleSpacing"/>
        <w:widowControl w:val="0"/>
        <w:spacing w:after="480"/>
        <w:rPr>
          <w:rFonts w:cs="Times New Roman"/>
        </w:rPr>
      </w:pPr>
      <w:r w:rsidRPr="000176EF">
        <w:rPr>
          <w:rFonts w:cs="Times New Roman"/>
        </w:rPr>
        <w:tab/>
      </w:r>
      <w:r w:rsidR="004A6DEE" w:rsidRPr="000176EF">
        <w:rPr>
          <w:rFonts w:cs="Times New Roman"/>
        </w:rPr>
        <w:t xml:space="preserve">The obligations imposed upon a trustee are first and foremost determined by the terms of the trust instrument itself, but can be supplemented or modified by general principles of equity. Equity imposes different obligations depending on the particular context. In determining the duties of a trustee, it is important to consider the nature and terms of the trust and the social or business environment in which the trust operates. Given the narrow purpose of the trust created here, and the practice in the </w:t>
      </w:r>
      <w:r w:rsidR="004A6DEE" w:rsidRPr="000176EF">
        <w:rPr>
          <w:rFonts w:cs="Times New Roman"/>
        </w:rPr>
        <w:lastRenderedPageBreak/>
        <w:t xml:space="preserve">construction industry, Bird was entitled to assume that such bonds were sufficiently known in the industry and it was therefore under no duty to determine whether potential claimants required notice and how to provide reasonable notice. </w:t>
      </w:r>
    </w:p>
    <w:p w:rsidR="004A6DEE" w:rsidRPr="000176EF" w:rsidRDefault="004F3747" w:rsidP="00D52823">
      <w:pPr>
        <w:pStyle w:val="SCCNormalDoubleSpacing"/>
        <w:widowControl w:val="0"/>
        <w:spacing w:after="480"/>
        <w:rPr>
          <w:rFonts w:cs="Times New Roman"/>
        </w:rPr>
      </w:pPr>
      <w:r w:rsidRPr="000176EF">
        <w:rPr>
          <w:rFonts w:cs="Times New Roman"/>
        </w:rPr>
        <w:tab/>
      </w:r>
      <w:r w:rsidR="00EB7CC6" w:rsidRPr="000176EF">
        <w:rPr>
          <w:rFonts w:cs="Times New Roman"/>
        </w:rPr>
        <w:t>The chambers judge did not make</w:t>
      </w:r>
      <w:r w:rsidR="004A6DEE" w:rsidRPr="000176EF">
        <w:rPr>
          <w:rFonts w:cs="Times New Roman"/>
        </w:rPr>
        <w:t xml:space="preserve"> a finding that labour and material payment bonds </w:t>
      </w:r>
      <w:r w:rsidR="00EB7CC6" w:rsidRPr="000176EF">
        <w:rPr>
          <w:rFonts w:cs="Times New Roman"/>
        </w:rPr>
        <w:t>were uncommon in the oilsands. Further, i</w:t>
      </w:r>
      <w:r w:rsidR="004A6DEE" w:rsidRPr="000176EF">
        <w:rPr>
          <w:rFonts w:cs="Times New Roman"/>
        </w:rPr>
        <w:t>mposing different obligations depending on the particular sector or geographic region within the construction industry introduces uncertainty and instability where there was none.</w:t>
      </w:r>
      <w:r w:rsidR="00A02E33" w:rsidRPr="000176EF">
        <w:rPr>
          <w:rFonts w:cs="Times New Roman"/>
        </w:rPr>
        <w:t xml:space="preserve"> </w:t>
      </w:r>
    </w:p>
    <w:p w:rsidR="007E1C47" w:rsidRPr="000176EF" w:rsidRDefault="002E6705" w:rsidP="00D52823">
      <w:pPr>
        <w:pStyle w:val="SCCNormalDoubleSpacing"/>
        <w:widowControl w:val="0"/>
        <w:spacing w:after="720" w:line="240" w:lineRule="auto"/>
        <w:rPr>
          <w:rFonts w:cs="Times New Roman"/>
          <w:b/>
        </w:rPr>
      </w:pPr>
      <w:r w:rsidRPr="000176EF">
        <w:rPr>
          <w:rFonts w:cs="Times New Roman"/>
          <w:b/>
        </w:rPr>
        <w:t>Cases Cited</w:t>
      </w:r>
    </w:p>
    <w:p w:rsidR="00A149DF" w:rsidRPr="000176EF" w:rsidRDefault="00800667" w:rsidP="00D52823">
      <w:pPr>
        <w:pStyle w:val="SCCNormalDoubleSpacing"/>
        <w:widowControl w:val="0"/>
        <w:spacing w:after="720" w:line="240" w:lineRule="auto"/>
        <w:rPr>
          <w:rFonts w:cs="Times New Roman"/>
        </w:rPr>
      </w:pPr>
      <w:r w:rsidRPr="000176EF">
        <w:rPr>
          <w:rFonts w:cs="Times New Roman"/>
        </w:rPr>
        <w:t xml:space="preserve">By </w:t>
      </w:r>
      <w:r w:rsidR="00AE2F0F" w:rsidRPr="000176EF">
        <w:rPr>
          <w:rFonts w:cs="Times New Roman"/>
        </w:rPr>
        <w:t>Brown </w:t>
      </w:r>
      <w:r w:rsidRPr="000176EF">
        <w:rPr>
          <w:rFonts w:cs="Times New Roman"/>
        </w:rPr>
        <w:t xml:space="preserve">J. </w:t>
      </w:r>
    </w:p>
    <w:p w:rsidR="004E2C26" w:rsidRPr="000176EF" w:rsidRDefault="002E6705" w:rsidP="00D52823">
      <w:pPr>
        <w:pStyle w:val="SCCNormalDoubleSpacing"/>
        <w:widowControl w:val="0"/>
        <w:spacing w:before="480" w:after="480"/>
        <w:rPr>
          <w:rFonts w:cs="Times New Roman"/>
        </w:rPr>
      </w:pPr>
      <w:r w:rsidRPr="000176EF">
        <w:rPr>
          <w:rFonts w:cs="Times New Roman"/>
        </w:rPr>
        <w:tab/>
      </w:r>
      <w:r w:rsidRPr="000176EF">
        <w:rPr>
          <w:rFonts w:cs="Times New Roman"/>
          <w:b/>
        </w:rPr>
        <w:t>Referred to:</w:t>
      </w:r>
      <w:r w:rsidR="00BD0E9E" w:rsidRPr="000176EF">
        <w:rPr>
          <w:rFonts w:cs="Times New Roman"/>
        </w:rPr>
        <w:t xml:space="preserve"> </w:t>
      </w:r>
      <w:r w:rsidR="00AE5ABB" w:rsidRPr="000176EF">
        <w:rPr>
          <w:rFonts w:cs="Times New Roman"/>
          <w:i/>
        </w:rPr>
        <w:t>Dominion Bridge Co. v. Marla Construction Co.</w:t>
      </w:r>
      <w:r w:rsidR="00AE5ABB" w:rsidRPr="000176EF">
        <w:rPr>
          <w:rFonts w:cs="Times New Roman"/>
        </w:rPr>
        <w:t xml:space="preserve">, [1970] 3 O.R. 125; </w:t>
      </w:r>
      <w:r w:rsidR="00AE5ABB" w:rsidRPr="000176EF">
        <w:rPr>
          <w:rFonts w:cs="Times New Roman"/>
          <w:i/>
        </w:rPr>
        <w:t>Dolvin Mechanical Contractors Ltd. v. Trisura Guarantee Insurance Co.</w:t>
      </w:r>
      <w:r w:rsidR="00AE5ABB" w:rsidRPr="000176EF">
        <w:rPr>
          <w:rFonts w:cs="Times New Roman"/>
        </w:rPr>
        <w:t>, [2014] I.L.R. I</w:t>
      </w:r>
      <w:r w:rsidR="00AE2F0F" w:rsidRPr="000176EF">
        <w:rPr>
          <w:rFonts w:cs="Times New Roman"/>
        </w:rPr>
        <w:noBreakHyphen/>
      </w:r>
      <w:r w:rsidR="00AE5ABB" w:rsidRPr="000176EF">
        <w:rPr>
          <w:rFonts w:cs="Times New Roman"/>
        </w:rPr>
        <w:t xml:space="preserve">5595; </w:t>
      </w:r>
      <w:r w:rsidR="005715CE" w:rsidRPr="000176EF">
        <w:rPr>
          <w:rFonts w:cs="Times New Roman"/>
          <w:i/>
          <w:szCs w:val="24"/>
        </w:rPr>
        <w:t>Beaudette Estate, Re</w:t>
      </w:r>
      <w:r w:rsidR="005715CE" w:rsidRPr="000176EF">
        <w:rPr>
          <w:rFonts w:cs="Times New Roman"/>
          <w:szCs w:val="24"/>
        </w:rPr>
        <w:t>, 1998 ABQB 689, 229 A.R. 259</w:t>
      </w:r>
      <w:r w:rsidR="005926EC" w:rsidRPr="000176EF">
        <w:rPr>
          <w:rFonts w:cs="Times New Roman"/>
          <w:szCs w:val="24"/>
        </w:rPr>
        <w:t xml:space="preserve">; </w:t>
      </w:r>
      <w:r w:rsidR="00332F4D" w:rsidRPr="000176EF">
        <w:rPr>
          <w:rFonts w:cs="Times New Roman"/>
          <w:i/>
          <w:szCs w:val="24"/>
        </w:rPr>
        <w:t>In re</w:t>
      </w:r>
      <w:r w:rsidR="00332F4D" w:rsidRPr="000176EF">
        <w:rPr>
          <w:rFonts w:cs="Times New Roman"/>
          <w:szCs w:val="24"/>
          <w:vertAlign w:val="superscript"/>
        </w:rPr>
        <w:t xml:space="preserve"> </w:t>
      </w:r>
      <w:r w:rsidR="00332F4D" w:rsidRPr="000176EF">
        <w:rPr>
          <w:rFonts w:cs="Times New Roman"/>
          <w:i/>
          <w:szCs w:val="24"/>
        </w:rPr>
        <w:t>Londonderry</w:t>
      </w:r>
      <w:r w:rsidR="00A074E0">
        <w:rPr>
          <w:rFonts w:cs="Times New Roman"/>
          <w:i/>
          <w:szCs w:val="24"/>
        </w:rPr>
        <w:t>’</w:t>
      </w:r>
      <w:r w:rsidR="00332F4D" w:rsidRPr="000176EF">
        <w:rPr>
          <w:rFonts w:cs="Times New Roman"/>
          <w:i/>
          <w:szCs w:val="24"/>
        </w:rPr>
        <w:t>s Settlement</w:t>
      </w:r>
      <w:r w:rsidR="00332F4D" w:rsidRPr="000176EF">
        <w:rPr>
          <w:rFonts w:cs="Times New Roman"/>
          <w:szCs w:val="24"/>
        </w:rPr>
        <w:t xml:space="preserve">, [1965] 1 </w:t>
      </w:r>
      <w:r w:rsidR="00AE2F0F" w:rsidRPr="000176EF">
        <w:rPr>
          <w:rFonts w:cs="Times New Roman"/>
          <w:szCs w:val="24"/>
        </w:rPr>
        <w:t>Ch. </w:t>
      </w:r>
      <w:r w:rsidR="00332F4D" w:rsidRPr="000176EF">
        <w:rPr>
          <w:rFonts w:cs="Times New Roman"/>
          <w:szCs w:val="24"/>
        </w:rPr>
        <w:t>918</w:t>
      </w:r>
      <w:r w:rsidR="00DD14A5" w:rsidRPr="000176EF">
        <w:rPr>
          <w:rFonts w:cs="Times New Roman"/>
          <w:szCs w:val="24"/>
        </w:rPr>
        <w:t xml:space="preserve">; </w:t>
      </w:r>
      <w:r w:rsidR="00332F4D" w:rsidRPr="000176EF">
        <w:rPr>
          <w:rFonts w:cs="Times New Roman"/>
          <w:i/>
          <w:szCs w:val="24"/>
        </w:rPr>
        <w:t>Schmidt v. Rosewood Trust Ltd.</w:t>
      </w:r>
      <w:r w:rsidR="00332F4D" w:rsidRPr="000176EF">
        <w:rPr>
          <w:rFonts w:cs="Times New Roman"/>
          <w:szCs w:val="24"/>
        </w:rPr>
        <w:t>, [2003] UKPC 26, [2003] 2 A.C. 709</w:t>
      </w:r>
      <w:r w:rsidR="00DD14A5" w:rsidRPr="000176EF">
        <w:rPr>
          <w:rFonts w:cs="Times New Roman"/>
          <w:szCs w:val="24"/>
        </w:rPr>
        <w:t xml:space="preserve">; </w:t>
      </w:r>
      <w:r w:rsidR="00332F4D" w:rsidRPr="000176EF">
        <w:rPr>
          <w:rFonts w:cs="Times New Roman"/>
          <w:i/>
          <w:szCs w:val="24"/>
        </w:rPr>
        <w:t>Breakspear v. Ackland</w:t>
      </w:r>
      <w:r w:rsidR="00332F4D" w:rsidRPr="000176EF">
        <w:rPr>
          <w:rFonts w:cs="Times New Roman"/>
          <w:szCs w:val="24"/>
        </w:rPr>
        <w:t xml:space="preserve">, [2008] EWHC 220, [2009] </w:t>
      </w:r>
      <w:r w:rsidR="00AE2F0F" w:rsidRPr="000176EF">
        <w:rPr>
          <w:rFonts w:cs="Times New Roman"/>
          <w:szCs w:val="24"/>
        </w:rPr>
        <w:t>Ch. </w:t>
      </w:r>
      <w:r w:rsidR="00332F4D" w:rsidRPr="000176EF">
        <w:rPr>
          <w:rFonts w:cs="Times New Roman"/>
          <w:szCs w:val="24"/>
        </w:rPr>
        <w:t>32</w:t>
      </w:r>
      <w:r w:rsidR="00DD14A5" w:rsidRPr="000176EF">
        <w:rPr>
          <w:rFonts w:cs="Times New Roman"/>
          <w:szCs w:val="24"/>
        </w:rPr>
        <w:t xml:space="preserve">; </w:t>
      </w:r>
      <w:r w:rsidR="002F52EC" w:rsidRPr="000176EF">
        <w:rPr>
          <w:rFonts w:cs="Times New Roman"/>
          <w:i/>
          <w:szCs w:val="24"/>
        </w:rPr>
        <w:t>Ballard Estate (Re)</w:t>
      </w:r>
      <w:r w:rsidR="002F52EC" w:rsidRPr="000176EF">
        <w:rPr>
          <w:rFonts w:cs="Times New Roman"/>
          <w:szCs w:val="24"/>
        </w:rPr>
        <w:t xml:space="preserve"> (1994), 20 O.R. (3d) 350</w:t>
      </w:r>
      <w:r w:rsidR="00DD14A5" w:rsidRPr="000176EF">
        <w:rPr>
          <w:rFonts w:cs="Times New Roman"/>
          <w:szCs w:val="24"/>
        </w:rPr>
        <w:t xml:space="preserve">; </w:t>
      </w:r>
      <w:r w:rsidR="002F52EC" w:rsidRPr="000176EF">
        <w:rPr>
          <w:rFonts w:cs="Times New Roman"/>
          <w:i/>
          <w:szCs w:val="24"/>
        </w:rPr>
        <w:t>Hawkesley v. May</w:t>
      </w:r>
      <w:r w:rsidR="0080747C" w:rsidRPr="000176EF">
        <w:rPr>
          <w:rFonts w:cs="Times New Roman"/>
          <w:szCs w:val="24"/>
        </w:rPr>
        <w:t>, [1956] 1 Q.B. 3</w:t>
      </w:r>
      <w:r w:rsidR="002F52EC" w:rsidRPr="000176EF">
        <w:rPr>
          <w:rFonts w:cs="Times New Roman"/>
          <w:szCs w:val="24"/>
        </w:rPr>
        <w:t>04</w:t>
      </w:r>
      <w:r w:rsidR="0080747C" w:rsidRPr="000176EF">
        <w:rPr>
          <w:rFonts w:cs="Times New Roman"/>
          <w:szCs w:val="24"/>
        </w:rPr>
        <w:t>;</w:t>
      </w:r>
      <w:r w:rsidR="002F52EC" w:rsidRPr="000176EF">
        <w:rPr>
          <w:rFonts w:cs="Times New Roman"/>
          <w:i/>
          <w:szCs w:val="24"/>
        </w:rPr>
        <w:t xml:space="preserve"> Brittlebank v. Goodwin</w:t>
      </w:r>
      <w:r w:rsidR="002F52EC" w:rsidRPr="000176EF">
        <w:rPr>
          <w:rFonts w:cs="Times New Roman"/>
          <w:szCs w:val="24"/>
        </w:rPr>
        <w:t xml:space="preserve"> (1868), L.R. 5 Eq. 545</w:t>
      </w:r>
      <w:r w:rsidR="00DD14A5" w:rsidRPr="000176EF">
        <w:rPr>
          <w:rFonts w:cs="Times New Roman"/>
          <w:szCs w:val="24"/>
        </w:rPr>
        <w:t xml:space="preserve">; </w:t>
      </w:r>
      <w:r w:rsidR="002F52EC" w:rsidRPr="000176EF">
        <w:rPr>
          <w:rFonts w:cs="Times New Roman"/>
          <w:i/>
          <w:szCs w:val="24"/>
        </w:rPr>
        <w:t>In re Short Estate</w:t>
      </w:r>
      <w:r w:rsidR="002F52EC" w:rsidRPr="000176EF">
        <w:rPr>
          <w:rFonts w:cs="Times New Roman"/>
          <w:szCs w:val="24"/>
        </w:rPr>
        <w:t>, [1941] 1 W.W.R. 593</w:t>
      </w:r>
      <w:r w:rsidR="00DD14A5" w:rsidRPr="000176EF">
        <w:rPr>
          <w:rFonts w:cs="Times New Roman"/>
          <w:szCs w:val="24"/>
        </w:rPr>
        <w:t xml:space="preserve">; </w:t>
      </w:r>
      <w:r w:rsidR="00DD14A5" w:rsidRPr="000176EF">
        <w:rPr>
          <w:rFonts w:cs="Times New Roman"/>
          <w:i/>
          <w:szCs w:val="24"/>
        </w:rPr>
        <w:t>Hamar v. The Pensions Ombudsman</w:t>
      </w:r>
      <w:r w:rsidR="00DD14A5" w:rsidRPr="000176EF">
        <w:rPr>
          <w:rFonts w:cs="Times New Roman"/>
          <w:szCs w:val="24"/>
        </w:rPr>
        <w:t xml:space="preserve">, [1996] IDS P.L.R. 1; </w:t>
      </w:r>
      <w:r w:rsidR="002F52EC" w:rsidRPr="000176EF">
        <w:rPr>
          <w:rFonts w:cs="Times New Roman"/>
          <w:i/>
          <w:szCs w:val="24"/>
        </w:rPr>
        <w:t>Segelov v. Ernst &amp; Young Services Pty. Ltd.</w:t>
      </w:r>
      <w:r w:rsidR="002F52EC" w:rsidRPr="000176EF">
        <w:rPr>
          <w:rFonts w:cs="Times New Roman"/>
          <w:szCs w:val="24"/>
        </w:rPr>
        <w:t>, [2015] NSWCA 156</w:t>
      </w:r>
      <w:r w:rsidR="002469C6">
        <w:rPr>
          <w:rFonts w:cs="Times New Roman"/>
          <w:szCs w:val="24"/>
        </w:rPr>
        <w:t>, 89 N.S.W.L.R. 431</w:t>
      </w:r>
      <w:r w:rsidR="00DD14A5" w:rsidRPr="000176EF">
        <w:rPr>
          <w:rFonts w:cs="Times New Roman"/>
          <w:szCs w:val="24"/>
        </w:rPr>
        <w:t xml:space="preserve">; </w:t>
      </w:r>
      <w:r w:rsidR="005926EC" w:rsidRPr="000176EF">
        <w:rPr>
          <w:rFonts w:cs="Times New Roman"/>
          <w:i/>
          <w:szCs w:val="24"/>
        </w:rPr>
        <w:t>Citadel General Assurance Co. v. Johns</w:t>
      </w:r>
      <w:r w:rsidR="00AE2F0F" w:rsidRPr="000176EF">
        <w:rPr>
          <w:rFonts w:cs="Times New Roman"/>
          <w:i/>
          <w:szCs w:val="24"/>
        </w:rPr>
        <w:noBreakHyphen/>
      </w:r>
      <w:r w:rsidR="005926EC" w:rsidRPr="000176EF">
        <w:rPr>
          <w:rFonts w:cs="Times New Roman"/>
          <w:i/>
          <w:szCs w:val="24"/>
        </w:rPr>
        <w:t>Manville Canada Inc.</w:t>
      </w:r>
      <w:r w:rsidR="005926EC" w:rsidRPr="000176EF">
        <w:rPr>
          <w:rFonts w:cs="Times New Roman"/>
          <w:szCs w:val="24"/>
        </w:rPr>
        <w:t>, [1983] 1 S.C.R. 513</w:t>
      </w:r>
      <w:r w:rsidR="00800667" w:rsidRPr="000176EF">
        <w:rPr>
          <w:rFonts w:cs="Times New Roman"/>
          <w:szCs w:val="24"/>
        </w:rPr>
        <w:t xml:space="preserve">; </w:t>
      </w:r>
      <w:r w:rsidR="00800667" w:rsidRPr="000176EF">
        <w:rPr>
          <w:rFonts w:cs="Times New Roman"/>
          <w:i/>
          <w:szCs w:val="24"/>
        </w:rPr>
        <w:t>Ironside v. Smith</w:t>
      </w:r>
      <w:r w:rsidR="00800667" w:rsidRPr="000176EF">
        <w:rPr>
          <w:rFonts w:cs="Times New Roman"/>
          <w:szCs w:val="24"/>
        </w:rPr>
        <w:t xml:space="preserve">, 1998 ABCA 366, 223 A.R. 379; </w:t>
      </w:r>
      <w:r w:rsidR="00800667" w:rsidRPr="000176EF">
        <w:rPr>
          <w:rFonts w:cs="Times New Roman"/>
          <w:i/>
          <w:szCs w:val="24"/>
        </w:rPr>
        <w:t>Fales v. Canada Permanent Trust Co.</w:t>
      </w:r>
      <w:r w:rsidR="00800667" w:rsidRPr="000176EF">
        <w:rPr>
          <w:rFonts w:cs="Times New Roman"/>
          <w:szCs w:val="24"/>
        </w:rPr>
        <w:t xml:space="preserve">, [1977] </w:t>
      </w:r>
      <w:r w:rsidR="00800667" w:rsidRPr="000176EF">
        <w:rPr>
          <w:rFonts w:cs="Times New Roman"/>
          <w:szCs w:val="24"/>
        </w:rPr>
        <w:lastRenderedPageBreak/>
        <w:t>2 S.C.R. 302</w:t>
      </w:r>
      <w:r w:rsidR="00EE52FA" w:rsidRPr="000176EF">
        <w:rPr>
          <w:rFonts w:cs="Times New Roman"/>
          <w:szCs w:val="24"/>
        </w:rPr>
        <w:t xml:space="preserve">; </w:t>
      </w:r>
      <w:r w:rsidR="00EE52FA" w:rsidRPr="000176EF">
        <w:rPr>
          <w:rFonts w:cs="Times New Roman"/>
          <w:i/>
          <w:szCs w:val="24"/>
        </w:rPr>
        <w:t>In re Manisty</w:t>
      </w:r>
      <w:r w:rsidR="00A074E0">
        <w:rPr>
          <w:rFonts w:cs="Times New Roman"/>
          <w:i/>
          <w:szCs w:val="24"/>
        </w:rPr>
        <w:t>’</w:t>
      </w:r>
      <w:r w:rsidR="00EE52FA" w:rsidRPr="000176EF">
        <w:rPr>
          <w:rFonts w:cs="Times New Roman"/>
          <w:i/>
          <w:szCs w:val="24"/>
        </w:rPr>
        <w:t>s Settlement</w:t>
      </w:r>
      <w:r w:rsidR="00EE52FA" w:rsidRPr="000176EF">
        <w:rPr>
          <w:rFonts w:cs="Times New Roman"/>
          <w:szCs w:val="24"/>
        </w:rPr>
        <w:t>,</w:t>
      </w:r>
      <w:r w:rsidR="00EE52FA" w:rsidRPr="000176EF">
        <w:rPr>
          <w:rFonts w:cs="Times New Roman"/>
          <w:i/>
          <w:szCs w:val="24"/>
        </w:rPr>
        <w:t xml:space="preserve"> </w:t>
      </w:r>
      <w:r w:rsidR="00EE52FA" w:rsidRPr="000176EF">
        <w:rPr>
          <w:rFonts w:cs="Times New Roman"/>
          <w:szCs w:val="24"/>
        </w:rPr>
        <w:t xml:space="preserve">[1974] 1 </w:t>
      </w:r>
      <w:r w:rsidR="00AE2F0F" w:rsidRPr="000176EF">
        <w:rPr>
          <w:rFonts w:cs="Times New Roman"/>
          <w:szCs w:val="24"/>
        </w:rPr>
        <w:t>Ch. </w:t>
      </w:r>
      <w:r w:rsidR="00EE52FA" w:rsidRPr="000176EF">
        <w:rPr>
          <w:rFonts w:cs="Times New Roman"/>
          <w:szCs w:val="24"/>
        </w:rPr>
        <w:t xml:space="preserve">17; </w:t>
      </w:r>
      <w:r w:rsidR="00D920CB">
        <w:rPr>
          <w:rFonts w:cs="Times New Roman"/>
          <w:i/>
          <w:szCs w:val="24"/>
        </w:rPr>
        <w:t>Hartigan Nomine</w:t>
      </w:r>
      <w:r w:rsidR="00EE52FA" w:rsidRPr="000176EF">
        <w:rPr>
          <w:rFonts w:cs="Times New Roman"/>
          <w:i/>
          <w:szCs w:val="24"/>
        </w:rPr>
        <w:t>es Pty. Ltd</w:t>
      </w:r>
      <w:r w:rsidR="00D95513">
        <w:rPr>
          <w:rFonts w:cs="Times New Roman"/>
          <w:i/>
          <w:szCs w:val="24"/>
        </w:rPr>
        <w:t>.</w:t>
      </w:r>
      <w:r w:rsidR="00EE52FA" w:rsidRPr="000176EF">
        <w:rPr>
          <w:rFonts w:cs="Times New Roman"/>
          <w:i/>
          <w:szCs w:val="24"/>
        </w:rPr>
        <w:t xml:space="preserve"> v. Rydge</w:t>
      </w:r>
      <w:r w:rsidR="00EE52FA" w:rsidRPr="000176EF">
        <w:rPr>
          <w:rFonts w:cs="Times New Roman"/>
          <w:szCs w:val="24"/>
        </w:rPr>
        <w:t xml:space="preserve"> (1992)</w:t>
      </w:r>
      <w:r w:rsidR="009C5110" w:rsidRPr="000176EF">
        <w:rPr>
          <w:rFonts w:cs="Times New Roman"/>
          <w:szCs w:val="24"/>
        </w:rPr>
        <w:t>,</w:t>
      </w:r>
      <w:r w:rsidR="00EE52FA" w:rsidRPr="000176EF">
        <w:rPr>
          <w:rFonts w:cs="Times New Roman"/>
          <w:szCs w:val="24"/>
        </w:rPr>
        <w:t xml:space="preserve"> 29 N.S.W.L.R. 405; </w:t>
      </w:r>
      <w:r w:rsidR="00EE52FA" w:rsidRPr="000176EF">
        <w:rPr>
          <w:rFonts w:cs="Times New Roman"/>
          <w:i/>
          <w:szCs w:val="24"/>
        </w:rPr>
        <w:t>In re Baden</w:t>
      </w:r>
      <w:r w:rsidR="00A074E0">
        <w:rPr>
          <w:rFonts w:cs="Times New Roman"/>
          <w:i/>
          <w:szCs w:val="24"/>
        </w:rPr>
        <w:t>’</w:t>
      </w:r>
      <w:r w:rsidR="00EE52FA" w:rsidRPr="000176EF">
        <w:rPr>
          <w:rFonts w:cs="Times New Roman"/>
          <w:i/>
          <w:szCs w:val="24"/>
        </w:rPr>
        <w:t>s Deed Trusts (</w:t>
      </w:r>
      <w:r w:rsidR="00AE2F0F" w:rsidRPr="000176EF">
        <w:rPr>
          <w:rFonts w:cs="Times New Roman"/>
          <w:i/>
          <w:szCs w:val="24"/>
        </w:rPr>
        <w:t>No. </w:t>
      </w:r>
      <w:r w:rsidR="00EE52FA" w:rsidRPr="000176EF">
        <w:rPr>
          <w:rFonts w:cs="Times New Roman"/>
          <w:i/>
          <w:szCs w:val="24"/>
        </w:rPr>
        <w:t>2)</w:t>
      </w:r>
      <w:r w:rsidR="00EE52FA" w:rsidRPr="000176EF">
        <w:rPr>
          <w:rFonts w:cs="Times New Roman"/>
          <w:szCs w:val="24"/>
        </w:rPr>
        <w:t xml:space="preserve">, [1973] 1 </w:t>
      </w:r>
      <w:r w:rsidR="00AE2F0F" w:rsidRPr="000176EF">
        <w:rPr>
          <w:rFonts w:cs="Times New Roman"/>
          <w:szCs w:val="24"/>
        </w:rPr>
        <w:t>Ch. </w:t>
      </w:r>
      <w:r w:rsidR="008F268A" w:rsidRPr="000176EF">
        <w:rPr>
          <w:rFonts w:cs="Times New Roman"/>
          <w:szCs w:val="24"/>
        </w:rPr>
        <w:t>9.</w:t>
      </w:r>
      <w:r w:rsidR="00EE52FA" w:rsidRPr="000176EF">
        <w:rPr>
          <w:rFonts w:cs="Times New Roman"/>
          <w:szCs w:val="24"/>
        </w:rPr>
        <w:t xml:space="preserve"> </w:t>
      </w:r>
    </w:p>
    <w:p w:rsidR="00935D3E" w:rsidRPr="000176EF" w:rsidRDefault="00AE2F0F" w:rsidP="00D52823">
      <w:pPr>
        <w:pStyle w:val="SCCNormalDoubleSpacing"/>
        <w:widowControl w:val="0"/>
        <w:spacing w:after="720" w:line="240" w:lineRule="auto"/>
        <w:rPr>
          <w:rFonts w:cs="Times New Roman"/>
        </w:rPr>
      </w:pPr>
      <w:r w:rsidRPr="000176EF">
        <w:rPr>
          <w:rFonts w:cs="Times New Roman"/>
        </w:rPr>
        <w:t>By Karakatsanis </w:t>
      </w:r>
      <w:r w:rsidR="00935D3E" w:rsidRPr="000176EF">
        <w:rPr>
          <w:rFonts w:cs="Times New Roman"/>
        </w:rPr>
        <w:t>J.</w:t>
      </w:r>
      <w:r w:rsidR="00DD0495" w:rsidRPr="000176EF">
        <w:rPr>
          <w:rFonts w:cs="Times New Roman"/>
        </w:rPr>
        <w:t xml:space="preserve"> (dissenting)</w:t>
      </w:r>
    </w:p>
    <w:p w:rsidR="00935D3E" w:rsidRPr="000176EF" w:rsidRDefault="00935D3E" w:rsidP="00D52823">
      <w:pPr>
        <w:pStyle w:val="SCCNormalDoubleSpacing"/>
        <w:widowControl w:val="0"/>
        <w:spacing w:before="480" w:after="480"/>
        <w:rPr>
          <w:rFonts w:cs="Times New Roman"/>
        </w:rPr>
      </w:pPr>
      <w:r w:rsidRPr="000176EF">
        <w:rPr>
          <w:rFonts w:cs="Times New Roman"/>
        </w:rPr>
        <w:tab/>
      </w:r>
      <w:r w:rsidRPr="000176EF">
        <w:rPr>
          <w:rFonts w:cs="Times New Roman"/>
          <w:i/>
        </w:rPr>
        <w:t>Dominion Bridge Co. v. Marla Construction Co.</w:t>
      </w:r>
      <w:r w:rsidRPr="000176EF">
        <w:rPr>
          <w:rFonts w:cs="Times New Roman"/>
        </w:rPr>
        <w:t xml:space="preserve">, [1970] 3 O.R. 125; </w:t>
      </w:r>
      <w:r w:rsidRPr="000176EF">
        <w:rPr>
          <w:rFonts w:cs="Times New Roman"/>
          <w:i/>
        </w:rPr>
        <w:t>Tobin Tractor (1957) Ltd. v. Western Surety Co.</w:t>
      </w:r>
      <w:r w:rsidRPr="000176EF">
        <w:rPr>
          <w:rFonts w:cs="Times New Roman"/>
        </w:rPr>
        <w:t xml:space="preserve"> (1963), 40 D.L.R. (2d) 231; </w:t>
      </w:r>
      <w:r w:rsidRPr="000176EF">
        <w:rPr>
          <w:rFonts w:cs="Times New Roman"/>
          <w:i/>
        </w:rPr>
        <w:t>Citadel General Assurance Co. v. Johns</w:t>
      </w:r>
      <w:r w:rsidR="00AE2F0F" w:rsidRPr="000176EF">
        <w:rPr>
          <w:rFonts w:cs="Times New Roman"/>
          <w:i/>
        </w:rPr>
        <w:noBreakHyphen/>
      </w:r>
      <w:r w:rsidRPr="000176EF">
        <w:rPr>
          <w:rFonts w:cs="Times New Roman"/>
          <w:i/>
        </w:rPr>
        <w:t>Manville Canada Inc.</w:t>
      </w:r>
      <w:r w:rsidRPr="000176EF">
        <w:rPr>
          <w:rFonts w:cs="Times New Roman"/>
        </w:rPr>
        <w:t xml:space="preserve">, [1983] 1 S.C.R. 513; </w:t>
      </w:r>
      <w:r w:rsidRPr="000176EF">
        <w:rPr>
          <w:rFonts w:cs="Times New Roman"/>
          <w:i/>
        </w:rPr>
        <w:t>Harris Steel Ltd. v. Alta Surety Co.</w:t>
      </w:r>
      <w:r w:rsidRPr="000176EF">
        <w:rPr>
          <w:rFonts w:cs="Times New Roman"/>
        </w:rPr>
        <w:t xml:space="preserve"> (1993), 119 N.S.R. (2d) 61; </w:t>
      </w:r>
      <w:r w:rsidRPr="000176EF">
        <w:rPr>
          <w:rFonts w:cs="Times New Roman"/>
          <w:i/>
        </w:rPr>
        <w:t>Hodgkinson v. Simms</w:t>
      </w:r>
      <w:r w:rsidRPr="000176EF">
        <w:rPr>
          <w:rFonts w:cs="Times New Roman"/>
        </w:rPr>
        <w:t xml:space="preserve">, [1994] 3 S.C.R. 377; </w:t>
      </w:r>
      <w:r w:rsidR="00E12472" w:rsidRPr="000176EF">
        <w:rPr>
          <w:rFonts w:cs="Times New Roman"/>
          <w:i/>
          <w:szCs w:val="24"/>
        </w:rPr>
        <w:t>Segelov v. Ernst &amp; Young Services Pty. Ltd.</w:t>
      </w:r>
      <w:r w:rsidR="00E12472" w:rsidRPr="000176EF">
        <w:rPr>
          <w:rFonts w:cs="Times New Roman"/>
          <w:szCs w:val="24"/>
        </w:rPr>
        <w:t>, [2015] NSWCA 156</w:t>
      </w:r>
      <w:r w:rsidR="00D95513">
        <w:rPr>
          <w:rFonts w:cs="Times New Roman"/>
          <w:szCs w:val="24"/>
        </w:rPr>
        <w:t>, 89 N.S.W.L.R. 431</w:t>
      </w:r>
      <w:r w:rsidR="00E12472" w:rsidRPr="000176EF">
        <w:rPr>
          <w:rFonts w:cs="Times New Roman"/>
          <w:szCs w:val="24"/>
        </w:rPr>
        <w:t xml:space="preserve">; </w:t>
      </w:r>
      <w:r w:rsidRPr="000176EF">
        <w:rPr>
          <w:rFonts w:cs="Times New Roman"/>
          <w:i/>
        </w:rPr>
        <w:t>Hawkesley v. May</w:t>
      </w:r>
      <w:r w:rsidRPr="000176EF">
        <w:rPr>
          <w:rFonts w:cs="Times New Roman"/>
        </w:rPr>
        <w:t xml:space="preserve">, [1956] 1 Q.B. 304; </w:t>
      </w:r>
      <w:r w:rsidRPr="000176EF">
        <w:rPr>
          <w:rFonts w:cs="Times New Roman"/>
          <w:i/>
        </w:rPr>
        <w:t>Brittlebank v. Goodwin</w:t>
      </w:r>
      <w:r w:rsidRPr="000176EF">
        <w:rPr>
          <w:rFonts w:cs="Times New Roman"/>
        </w:rPr>
        <w:t xml:space="preserve"> (1868), L.R. 5 Eq. 545; </w:t>
      </w:r>
      <w:r w:rsidRPr="000176EF">
        <w:rPr>
          <w:rFonts w:cs="Times New Roman"/>
          <w:i/>
        </w:rPr>
        <w:t>In re Short Estate</w:t>
      </w:r>
      <w:r w:rsidRPr="000176EF">
        <w:rPr>
          <w:rFonts w:cs="Times New Roman"/>
        </w:rPr>
        <w:t xml:space="preserve">, [1941] 1 W.W.R. 593; </w:t>
      </w:r>
      <w:r w:rsidRPr="000176EF">
        <w:rPr>
          <w:rFonts w:cs="Times New Roman"/>
          <w:i/>
        </w:rPr>
        <w:t>Dolvin Mechanical Contractors Ltd. v. Trisura Guarantee Insurance Co.</w:t>
      </w:r>
      <w:r w:rsidRPr="000176EF">
        <w:rPr>
          <w:rFonts w:cs="Times New Roman"/>
        </w:rPr>
        <w:t>, 2014 ONSC 918, 36 C.L.R. (4th) 126.</w:t>
      </w:r>
    </w:p>
    <w:p w:rsidR="003B215F" w:rsidRPr="000176EF" w:rsidRDefault="002E6705" w:rsidP="00D52823">
      <w:pPr>
        <w:pStyle w:val="SCCNormalDoubleSpacing"/>
        <w:widowControl w:val="0"/>
        <w:spacing w:after="720" w:line="240" w:lineRule="auto"/>
        <w:rPr>
          <w:rFonts w:cs="Times New Roman"/>
        </w:rPr>
      </w:pPr>
      <w:r w:rsidRPr="000176EF">
        <w:rPr>
          <w:rFonts w:cs="Times New Roman"/>
          <w:b/>
        </w:rPr>
        <w:t>Statutes and Regulations Cite</w:t>
      </w:r>
      <w:r w:rsidR="00A41805" w:rsidRPr="000176EF">
        <w:rPr>
          <w:rFonts w:cs="Times New Roman"/>
          <w:b/>
        </w:rPr>
        <w:t>d</w:t>
      </w:r>
    </w:p>
    <w:p w:rsidR="00254307" w:rsidRPr="000176EF" w:rsidRDefault="00254307" w:rsidP="00D52823">
      <w:pPr>
        <w:pStyle w:val="SCCNormalDoubleSpacing"/>
        <w:widowControl w:val="0"/>
        <w:spacing w:after="240" w:line="240" w:lineRule="auto"/>
        <w:ind w:left="547" w:hanging="547"/>
        <w:rPr>
          <w:rFonts w:cs="Times New Roman"/>
        </w:rPr>
      </w:pPr>
      <w:r w:rsidRPr="000176EF">
        <w:rPr>
          <w:rFonts w:cs="Times New Roman"/>
          <w:i/>
        </w:rPr>
        <w:t>Builders</w:t>
      </w:r>
      <w:r w:rsidR="00A074E0">
        <w:rPr>
          <w:rFonts w:cs="Times New Roman"/>
          <w:i/>
        </w:rPr>
        <w:t>’</w:t>
      </w:r>
      <w:r w:rsidRPr="000176EF">
        <w:rPr>
          <w:rFonts w:cs="Times New Roman"/>
          <w:i/>
        </w:rPr>
        <w:t xml:space="preserve"> Lien Act</w:t>
      </w:r>
      <w:r w:rsidRPr="000176EF">
        <w:rPr>
          <w:rFonts w:cs="Times New Roman"/>
        </w:rPr>
        <w:t>, R.S.</w:t>
      </w:r>
      <w:r w:rsidR="009D6D2C" w:rsidRPr="000176EF">
        <w:rPr>
          <w:rFonts w:cs="Times New Roman"/>
        </w:rPr>
        <w:t>A</w:t>
      </w:r>
      <w:r w:rsidRPr="000176EF">
        <w:rPr>
          <w:rFonts w:cs="Times New Roman"/>
        </w:rPr>
        <w:t>. 2000, c.</w:t>
      </w:r>
      <w:r w:rsidR="00AE2F0F" w:rsidRPr="000176EF">
        <w:rPr>
          <w:rFonts w:cs="Times New Roman"/>
        </w:rPr>
        <w:t> </w:t>
      </w:r>
      <w:r w:rsidRPr="000176EF">
        <w:rPr>
          <w:rFonts w:cs="Times New Roman"/>
        </w:rPr>
        <w:t>B</w:t>
      </w:r>
      <w:r w:rsidR="00AE2F0F" w:rsidRPr="000176EF">
        <w:rPr>
          <w:rFonts w:cs="Times New Roman"/>
        </w:rPr>
        <w:noBreakHyphen/>
        <w:t>7, s. </w:t>
      </w:r>
      <w:r w:rsidRPr="000176EF">
        <w:rPr>
          <w:rFonts w:cs="Times New Roman"/>
        </w:rPr>
        <w:t>33.</w:t>
      </w:r>
    </w:p>
    <w:p w:rsidR="00935D3E" w:rsidRPr="000176EF" w:rsidRDefault="00935D3E" w:rsidP="00D52823">
      <w:pPr>
        <w:pStyle w:val="SCCNormalDoubleSpacing"/>
        <w:widowControl w:val="0"/>
        <w:spacing w:after="240" w:line="240" w:lineRule="auto"/>
        <w:ind w:left="547" w:hanging="547"/>
        <w:rPr>
          <w:rFonts w:cs="Times New Roman"/>
        </w:rPr>
      </w:pPr>
      <w:r w:rsidRPr="000176EF">
        <w:rPr>
          <w:rFonts w:cs="Times New Roman"/>
          <w:i/>
        </w:rPr>
        <w:t>Construction Lien Act</w:t>
      </w:r>
      <w:r w:rsidR="00033B41" w:rsidRPr="000176EF">
        <w:rPr>
          <w:rFonts w:cs="Times New Roman"/>
        </w:rPr>
        <w:t>, R.S.O. 1990, c.</w:t>
      </w:r>
      <w:r w:rsidR="00AE2F0F" w:rsidRPr="000176EF">
        <w:rPr>
          <w:rFonts w:cs="Times New Roman"/>
        </w:rPr>
        <w:t> </w:t>
      </w:r>
      <w:r w:rsidR="00033B41" w:rsidRPr="000176EF">
        <w:rPr>
          <w:rFonts w:cs="Times New Roman"/>
        </w:rPr>
        <w:t>C.30, s</w:t>
      </w:r>
      <w:r w:rsidR="00AE2F0F" w:rsidRPr="000176EF">
        <w:rPr>
          <w:rFonts w:cs="Times New Roman"/>
        </w:rPr>
        <w:t>. </w:t>
      </w:r>
      <w:r w:rsidR="00033B41" w:rsidRPr="000176EF">
        <w:rPr>
          <w:rFonts w:cs="Times New Roman"/>
        </w:rPr>
        <w:t>69(1).</w:t>
      </w:r>
    </w:p>
    <w:p w:rsidR="00935D3E" w:rsidRPr="000176EF" w:rsidRDefault="00935D3E" w:rsidP="00D52823">
      <w:pPr>
        <w:pStyle w:val="SCCNormalDoubleSpacing"/>
        <w:widowControl w:val="0"/>
        <w:spacing w:after="240" w:line="240" w:lineRule="auto"/>
        <w:ind w:left="547" w:hanging="547"/>
        <w:rPr>
          <w:rFonts w:cs="Times New Roman"/>
        </w:rPr>
      </w:pPr>
      <w:r w:rsidRPr="000176EF">
        <w:rPr>
          <w:rFonts w:cs="Times New Roman"/>
          <w:i/>
        </w:rPr>
        <w:t>Financial Administration Act</w:t>
      </w:r>
      <w:r w:rsidR="00AE2F0F" w:rsidRPr="000176EF">
        <w:rPr>
          <w:rFonts w:cs="Times New Roman"/>
        </w:rPr>
        <w:t>, R.S.C. 1985, c. </w:t>
      </w:r>
      <w:r w:rsidRPr="000176EF">
        <w:rPr>
          <w:rFonts w:cs="Times New Roman"/>
        </w:rPr>
        <w:t>F</w:t>
      </w:r>
      <w:r w:rsidR="00AE2F0F" w:rsidRPr="000176EF">
        <w:rPr>
          <w:rFonts w:cs="Times New Roman"/>
        </w:rPr>
        <w:noBreakHyphen/>
      </w:r>
      <w:r w:rsidRPr="000176EF">
        <w:rPr>
          <w:rFonts w:cs="Times New Roman"/>
        </w:rPr>
        <w:t xml:space="preserve">11. </w:t>
      </w:r>
    </w:p>
    <w:p w:rsidR="00935D3E" w:rsidRPr="000176EF" w:rsidRDefault="00935D3E" w:rsidP="00D52823">
      <w:pPr>
        <w:pStyle w:val="SCCNormalDoubleSpacing"/>
        <w:widowControl w:val="0"/>
        <w:spacing w:after="240" w:line="240" w:lineRule="auto"/>
        <w:ind w:left="547" w:hanging="547"/>
        <w:rPr>
          <w:rFonts w:cs="Times New Roman"/>
        </w:rPr>
      </w:pPr>
      <w:r w:rsidRPr="000176EF">
        <w:rPr>
          <w:rFonts w:cs="Times New Roman"/>
          <w:i/>
        </w:rPr>
        <w:t>Law and Equity Act</w:t>
      </w:r>
      <w:r w:rsidR="00AE2F0F" w:rsidRPr="000176EF">
        <w:rPr>
          <w:rFonts w:cs="Times New Roman"/>
        </w:rPr>
        <w:t>, R.S.B.C. 1996, c. 253, s. </w:t>
      </w:r>
      <w:r w:rsidRPr="000176EF">
        <w:rPr>
          <w:rFonts w:cs="Times New Roman"/>
        </w:rPr>
        <w:t xml:space="preserve">48. </w:t>
      </w:r>
    </w:p>
    <w:p w:rsidR="009D6D2C" w:rsidRPr="000176EF" w:rsidRDefault="009D6D2C" w:rsidP="00D52823">
      <w:pPr>
        <w:pStyle w:val="SCCNormalDoubleSpacing"/>
        <w:widowControl w:val="0"/>
        <w:spacing w:after="720" w:line="240" w:lineRule="auto"/>
        <w:ind w:left="547" w:hanging="547"/>
        <w:rPr>
          <w:rFonts w:cs="Times New Roman"/>
        </w:rPr>
      </w:pPr>
      <w:r w:rsidRPr="000176EF">
        <w:rPr>
          <w:rFonts w:cs="Times New Roman"/>
          <w:i/>
        </w:rPr>
        <w:t>Public Works Act</w:t>
      </w:r>
      <w:r w:rsidR="00AE2F0F" w:rsidRPr="000176EF">
        <w:rPr>
          <w:rFonts w:cs="Times New Roman"/>
        </w:rPr>
        <w:t>, R.S.A. 2000, c. </w:t>
      </w:r>
      <w:r w:rsidRPr="000176EF">
        <w:rPr>
          <w:rFonts w:cs="Times New Roman"/>
        </w:rPr>
        <w:t>P</w:t>
      </w:r>
      <w:r w:rsidR="00AE2F0F" w:rsidRPr="000176EF">
        <w:rPr>
          <w:rFonts w:cs="Times New Roman"/>
        </w:rPr>
        <w:noBreakHyphen/>
        <w:t>46, s. </w:t>
      </w:r>
      <w:r w:rsidRPr="000176EF">
        <w:rPr>
          <w:rFonts w:cs="Times New Roman"/>
        </w:rPr>
        <w:t xml:space="preserve">17. </w:t>
      </w:r>
    </w:p>
    <w:p w:rsidR="002E6705" w:rsidRPr="000176EF" w:rsidRDefault="002E6705" w:rsidP="00D52823">
      <w:pPr>
        <w:pStyle w:val="SCCNormalDoubleSpacing"/>
        <w:widowControl w:val="0"/>
        <w:spacing w:after="720" w:line="240" w:lineRule="auto"/>
        <w:rPr>
          <w:rFonts w:cs="Times New Roman"/>
          <w:b/>
        </w:rPr>
      </w:pPr>
      <w:r w:rsidRPr="000176EF">
        <w:rPr>
          <w:rFonts w:cs="Times New Roman"/>
          <w:b/>
        </w:rPr>
        <w:t>Authors Cited</w:t>
      </w:r>
    </w:p>
    <w:p w:rsidR="00935D3E" w:rsidRPr="000176EF" w:rsidRDefault="00935D3E" w:rsidP="00D52823">
      <w:pPr>
        <w:pStyle w:val="SCCNormalDoubleSpacing"/>
        <w:widowControl w:val="0"/>
        <w:spacing w:after="240" w:line="240" w:lineRule="auto"/>
        <w:ind w:left="547" w:hanging="547"/>
        <w:rPr>
          <w:rFonts w:cs="Times New Roman"/>
          <w:szCs w:val="24"/>
        </w:rPr>
      </w:pPr>
      <w:r w:rsidRPr="000176EF">
        <w:rPr>
          <w:rFonts w:cs="Times New Roman"/>
          <w:szCs w:val="24"/>
        </w:rPr>
        <w:lastRenderedPageBreak/>
        <w:t xml:space="preserve">Flannigan, Robert. “Business Applications of the Express Trust” (1998), 36 </w:t>
      </w:r>
      <w:r w:rsidRPr="000176EF">
        <w:rPr>
          <w:rFonts w:cs="Times New Roman"/>
          <w:i/>
          <w:szCs w:val="24"/>
        </w:rPr>
        <w:t>Alta. L. Rev.</w:t>
      </w:r>
      <w:r w:rsidRPr="000176EF">
        <w:rPr>
          <w:rFonts w:cs="Times New Roman"/>
          <w:szCs w:val="24"/>
        </w:rPr>
        <w:t xml:space="preserve"> 630.</w:t>
      </w:r>
    </w:p>
    <w:p w:rsidR="00935D3E" w:rsidRPr="000176EF" w:rsidRDefault="00AE2F0F" w:rsidP="00D52823">
      <w:pPr>
        <w:pStyle w:val="SCCNormalDoubleSpacing"/>
        <w:widowControl w:val="0"/>
        <w:spacing w:after="240" w:line="240" w:lineRule="auto"/>
        <w:ind w:left="547" w:hanging="547"/>
        <w:rPr>
          <w:rFonts w:cs="Times New Roman"/>
          <w:szCs w:val="24"/>
        </w:rPr>
      </w:pPr>
      <w:r w:rsidRPr="000176EF">
        <w:rPr>
          <w:rFonts w:cs="Times New Roman"/>
          <w:szCs w:val="24"/>
        </w:rPr>
        <w:t>Glaholt, Duncan </w:t>
      </w:r>
      <w:r w:rsidR="00935D3E" w:rsidRPr="000176EF">
        <w:rPr>
          <w:rFonts w:cs="Times New Roman"/>
          <w:szCs w:val="24"/>
        </w:rPr>
        <w:t xml:space="preserve">W. </w:t>
      </w:r>
      <w:r w:rsidR="00935D3E" w:rsidRPr="000176EF">
        <w:rPr>
          <w:rFonts w:cs="Times New Roman"/>
          <w:i/>
          <w:szCs w:val="24"/>
        </w:rPr>
        <w:t>Construction Trusts: Law &amp; Practice</w:t>
      </w:r>
      <w:r w:rsidR="00935D3E" w:rsidRPr="000176EF">
        <w:rPr>
          <w:rFonts w:cs="Times New Roman"/>
          <w:szCs w:val="24"/>
        </w:rPr>
        <w:t>. Scarborough, Ont.: Carswell, 1999.</w:t>
      </w:r>
    </w:p>
    <w:p w:rsidR="00935D3E" w:rsidRPr="000176EF" w:rsidRDefault="00935D3E" w:rsidP="00D52823">
      <w:pPr>
        <w:pStyle w:val="SCCNormalDoubleSpacing"/>
        <w:widowControl w:val="0"/>
        <w:spacing w:after="240" w:line="240" w:lineRule="auto"/>
        <w:ind w:left="547" w:hanging="547"/>
        <w:rPr>
          <w:rFonts w:cs="Times New Roman"/>
          <w:szCs w:val="24"/>
        </w:rPr>
      </w:pPr>
      <w:r w:rsidRPr="000176EF">
        <w:rPr>
          <w:rFonts w:cs="Times New Roman"/>
          <w:szCs w:val="24"/>
        </w:rPr>
        <w:t>Hayton, David. “The Irreducible Core Content of Tru</w:t>
      </w:r>
      <w:r w:rsidR="0039005C" w:rsidRPr="000176EF">
        <w:rPr>
          <w:rFonts w:cs="Times New Roman"/>
          <w:szCs w:val="24"/>
        </w:rPr>
        <w:t>steeship”, in A. J. Oakley, ed.,</w:t>
      </w:r>
      <w:r w:rsidRPr="000176EF">
        <w:rPr>
          <w:rFonts w:cs="Times New Roman"/>
          <w:szCs w:val="24"/>
        </w:rPr>
        <w:t xml:space="preserve"> </w:t>
      </w:r>
      <w:r w:rsidRPr="000176EF">
        <w:rPr>
          <w:rFonts w:cs="Times New Roman"/>
          <w:i/>
          <w:szCs w:val="24"/>
        </w:rPr>
        <w:t>Trends in Contemporary Trust Law</w:t>
      </w:r>
      <w:r w:rsidRPr="000176EF">
        <w:rPr>
          <w:rFonts w:cs="Times New Roman"/>
          <w:szCs w:val="24"/>
        </w:rPr>
        <w:t>.</w:t>
      </w:r>
      <w:r w:rsidRPr="000176EF">
        <w:rPr>
          <w:rFonts w:cs="Times New Roman"/>
          <w:i/>
          <w:szCs w:val="24"/>
        </w:rPr>
        <w:t xml:space="preserve"> </w:t>
      </w:r>
      <w:r w:rsidRPr="000176EF">
        <w:rPr>
          <w:rFonts w:cs="Times New Roman"/>
          <w:szCs w:val="24"/>
        </w:rPr>
        <w:t xml:space="preserve">Oxford: Clarendon Press, 1996, 47. </w:t>
      </w:r>
    </w:p>
    <w:p w:rsidR="005715CE" w:rsidRPr="000176EF" w:rsidRDefault="005715CE" w:rsidP="00D52823">
      <w:pPr>
        <w:pStyle w:val="SCCNormalDoubleSpacing"/>
        <w:widowControl w:val="0"/>
        <w:spacing w:after="240" w:line="240" w:lineRule="auto"/>
        <w:ind w:left="547" w:hanging="547"/>
        <w:rPr>
          <w:rFonts w:cs="Times New Roman"/>
          <w:szCs w:val="24"/>
        </w:rPr>
      </w:pPr>
      <w:r w:rsidRPr="000176EF">
        <w:rPr>
          <w:rFonts w:cs="Times New Roman"/>
          <w:i/>
          <w:szCs w:val="24"/>
        </w:rPr>
        <w:t>Lewin on Trusts</w:t>
      </w:r>
      <w:r w:rsidRPr="000176EF">
        <w:rPr>
          <w:rFonts w:cs="Times New Roman"/>
          <w:szCs w:val="24"/>
        </w:rPr>
        <w:t xml:space="preserve">, 19th ed. by </w:t>
      </w:r>
      <w:r w:rsidR="000D76B6" w:rsidRPr="000176EF">
        <w:rPr>
          <w:rFonts w:cs="Times New Roman"/>
          <w:szCs w:val="24"/>
        </w:rPr>
        <w:t xml:space="preserve">Lynton Tucker, Nicholas </w:t>
      </w:r>
      <w:r w:rsidRPr="000176EF">
        <w:rPr>
          <w:rFonts w:cs="Times New Roman"/>
          <w:szCs w:val="24"/>
        </w:rPr>
        <w:t>Le Poidevin and</w:t>
      </w:r>
      <w:r w:rsidR="000D76B6" w:rsidRPr="000176EF">
        <w:rPr>
          <w:rFonts w:cs="Times New Roman"/>
          <w:szCs w:val="24"/>
        </w:rPr>
        <w:t xml:space="preserve"> James</w:t>
      </w:r>
      <w:r w:rsidRPr="000176EF">
        <w:rPr>
          <w:rFonts w:cs="Times New Roman"/>
          <w:szCs w:val="24"/>
        </w:rPr>
        <w:t xml:space="preserve"> Brightwell. London: Sweet &amp; Maxwell, 2015. </w:t>
      </w:r>
    </w:p>
    <w:p w:rsidR="002F5F7D" w:rsidRDefault="002F5F7D" w:rsidP="00D52823">
      <w:pPr>
        <w:pStyle w:val="SCCNormalDoubleSpacing"/>
        <w:widowControl w:val="0"/>
        <w:spacing w:after="240" w:line="240" w:lineRule="auto"/>
        <w:ind w:left="547" w:hanging="547"/>
        <w:rPr>
          <w:rFonts w:cs="Times New Roman"/>
          <w:szCs w:val="24"/>
        </w:rPr>
      </w:pPr>
      <w:r w:rsidRPr="000176EF">
        <w:rPr>
          <w:rFonts w:cs="Times New Roman"/>
          <w:szCs w:val="24"/>
        </w:rPr>
        <w:t>Lightman, Gavin. “The Trustees</w:t>
      </w:r>
      <w:r w:rsidR="00A074E0">
        <w:rPr>
          <w:rFonts w:cs="Times New Roman"/>
          <w:szCs w:val="24"/>
        </w:rPr>
        <w:t>’</w:t>
      </w:r>
      <w:r w:rsidRPr="000176EF">
        <w:rPr>
          <w:rFonts w:cs="Times New Roman"/>
          <w:szCs w:val="24"/>
        </w:rPr>
        <w:t xml:space="preserve"> Duty to Provide Information to Beneficiaries”, [2004] P.C.B. 23</w:t>
      </w:r>
      <w:r w:rsidR="003A0DBD">
        <w:rPr>
          <w:rFonts w:cs="Times New Roman"/>
          <w:szCs w:val="24"/>
        </w:rPr>
        <w:t>.</w:t>
      </w:r>
    </w:p>
    <w:p w:rsidR="003A0DBD" w:rsidRPr="003A0DBD" w:rsidRDefault="003A0DBD" w:rsidP="003A0DBD">
      <w:pPr>
        <w:pStyle w:val="SCCNormalDoubleSpacing"/>
        <w:widowControl w:val="0"/>
        <w:spacing w:after="240" w:line="240" w:lineRule="auto"/>
        <w:ind w:left="547" w:hanging="547"/>
        <w:rPr>
          <w:rFonts w:cs="Times New Roman"/>
        </w:rPr>
      </w:pPr>
      <w:r w:rsidRPr="000176EF">
        <w:rPr>
          <w:rFonts w:cs="Times New Roman"/>
        </w:rPr>
        <w:t>O</w:t>
      </w:r>
      <w:r>
        <w:rPr>
          <w:rFonts w:cs="Times New Roman"/>
        </w:rPr>
        <w:t>’</w:t>
      </w:r>
      <w:r w:rsidRPr="000176EF">
        <w:rPr>
          <w:rFonts w:cs="Times New Roman"/>
        </w:rPr>
        <w:t>Donnell, J. Vincent, Louise Poudrier</w:t>
      </w:r>
      <w:r w:rsidRPr="000176EF">
        <w:rPr>
          <w:rFonts w:cs="Times New Roman"/>
        </w:rPr>
        <w:noBreakHyphen/>
        <w:t xml:space="preserve">LeBel and Kenneth W. Scott. “Construction Bonds in Canada” (1985), 52 </w:t>
      </w:r>
      <w:r>
        <w:rPr>
          <w:rFonts w:cs="Times New Roman"/>
          <w:i/>
        </w:rPr>
        <w:t>Ins. Counsel </w:t>
      </w:r>
      <w:r w:rsidRPr="000176EF">
        <w:rPr>
          <w:rFonts w:cs="Times New Roman"/>
          <w:i/>
        </w:rPr>
        <w:t xml:space="preserve">J. </w:t>
      </w:r>
      <w:r w:rsidRPr="000176EF">
        <w:rPr>
          <w:rFonts w:cs="Times New Roman"/>
        </w:rPr>
        <w:t>482.</w:t>
      </w:r>
    </w:p>
    <w:p w:rsidR="008D1A90" w:rsidRPr="000176EF" w:rsidRDefault="008D1A90" w:rsidP="00D52823">
      <w:pPr>
        <w:pStyle w:val="SCCNormalDoubleSpacing"/>
        <w:widowControl w:val="0"/>
        <w:spacing w:after="240" w:line="240" w:lineRule="auto"/>
        <w:ind w:left="547" w:hanging="547"/>
        <w:rPr>
          <w:rFonts w:cs="Times New Roman"/>
          <w:szCs w:val="24"/>
        </w:rPr>
      </w:pPr>
      <w:r w:rsidRPr="000176EF">
        <w:rPr>
          <w:rFonts w:cs="Times New Roman"/>
          <w:i/>
          <w:szCs w:val="24"/>
        </w:rPr>
        <w:t>Oosterhoff on Trusts: Text, Commentary and Materials</w:t>
      </w:r>
      <w:r w:rsidRPr="000176EF">
        <w:rPr>
          <w:rFonts w:cs="Times New Roman"/>
          <w:szCs w:val="24"/>
        </w:rPr>
        <w:t>,</w:t>
      </w:r>
      <w:r w:rsidR="001158B5" w:rsidRPr="000176EF">
        <w:rPr>
          <w:rFonts w:cs="Times New Roman"/>
          <w:szCs w:val="24"/>
        </w:rPr>
        <w:t xml:space="preserve"> 7th ed.</w:t>
      </w:r>
      <w:r w:rsidRPr="000176EF">
        <w:rPr>
          <w:rFonts w:cs="Times New Roman"/>
          <w:szCs w:val="24"/>
        </w:rPr>
        <w:t xml:space="preserve"> by A.</w:t>
      </w:r>
      <w:r w:rsidR="00AE2F0F" w:rsidRPr="000176EF">
        <w:rPr>
          <w:rFonts w:cs="Times New Roman"/>
          <w:szCs w:val="24"/>
        </w:rPr>
        <w:t> </w:t>
      </w:r>
      <w:r w:rsidRPr="000176EF">
        <w:rPr>
          <w:rFonts w:cs="Times New Roman"/>
          <w:szCs w:val="24"/>
        </w:rPr>
        <w:t>H.</w:t>
      </w:r>
      <w:r w:rsidR="00AE2F0F" w:rsidRPr="000176EF">
        <w:rPr>
          <w:rFonts w:cs="Times New Roman"/>
          <w:szCs w:val="24"/>
        </w:rPr>
        <w:t> </w:t>
      </w:r>
      <w:r w:rsidRPr="000176EF">
        <w:rPr>
          <w:rFonts w:cs="Times New Roman"/>
          <w:szCs w:val="24"/>
        </w:rPr>
        <w:t>Ooste</w:t>
      </w:r>
      <w:r w:rsidR="001158B5" w:rsidRPr="000176EF">
        <w:rPr>
          <w:rFonts w:cs="Times New Roman"/>
          <w:szCs w:val="24"/>
        </w:rPr>
        <w:t xml:space="preserve">rhoff et </w:t>
      </w:r>
      <w:r w:rsidR="00AE2F0F" w:rsidRPr="000176EF">
        <w:rPr>
          <w:rFonts w:cs="Times New Roman"/>
          <w:szCs w:val="24"/>
        </w:rPr>
        <w:t>al. </w:t>
      </w:r>
      <w:r w:rsidR="001158B5" w:rsidRPr="000176EF">
        <w:rPr>
          <w:rFonts w:cs="Times New Roman"/>
          <w:szCs w:val="24"/>
        </w:rPr>
        <w:t>Toronto: Carswell, 2009.</w:t>
      </w:r>
      <w:r w:rsidR="00AE2F0F" w:rsidRPr="000176EF">
        <w:rPr>
          <w:rFonts w:cs="Times New Roman"/>
          <w:szCs w:val="24"/>
        </w:rPr>
        <w:t xml:space="preserve"> </w:t>
      </w:r>
    </w:p>
    <w:p w:rsidR="00935D3E" w:rsidRPr="000176EF" w:rsidRDefault="00935D3E" w:rsidP="00D52823">
      <w:pPr>
        <w:pStyle w:val="SCCNormalDoubleSpacing"/>
        <w:widowControl w:val="0"/>
        <w:spacing w:after="240" w:line="240" w:lineRule="auto"/>
        <w:ind w:left="547" w:hanging="547"/>
        <w:rPr>
          <w:rFonts w:cs="Times New Roman"/>
          <w:szCs w:val="24"/>
        </w:rPr>
      </w:pPr>
      <w:r w:rsidRPr="000176EF">
        <w:rPr>
          <w:rFonts w:cs="Times New Roman"/>
          <w:i/>
          <w:szCs w:val="24"/>
        </w:rPr>
        <w:t>Oosterhoff on Trusts: Text, Commentary and Materials</w:t>
      </w:r>
      <w:r w:rsidRPr="000176EF">
        <w:rPr>
          <w:rFonts w:cs="Times New Roman"/>
          <w:szCs w:val="24"/>
        </w:rPr>
        <w:t>, 8th ed. by A.</w:t>
      </w:r>
      <w:r w:rsidR="00AE2F0F" w:rsidRPr="000176EF">
        <w:rPr>
          <w:rFonts w:cs="Times New Roman"/>
          <w:szCs w:val="24"/>
        </w:rPr>
        <w:t> H. </w:t>
      </w:r>
      <w:r w:rsidRPr="000176EF">
        <w:rPr>
          <w:rFonts w:cs="Times New Roman"/>
          <w:szCs w:val="24"/>
        </w:rPr>
        <w:t xml:space="preserve">Oosterhoff, Robert Chambers and Mitchell McInnes. Toronto: Carswell, 2014. </w:t>
      </w:r>
    </w:p>
    <w:p w:rsidR="00935D3E" w:rsidRPr="000176EF" w:rsidRDefault="00AE2F0F" w:rsidP="00D52823">
      <w:pPr>
        <w:pStyle w:val="SCCNormalDoubleSpacing"/>
        <w:widowControl w:val="0"/>
        <w:spacing w:after="240" w:line="240" w:lineRule="auto"/>
        <w:ind w:left="547" w:hanging="547"/>
        <w:rPr>
          <w:rFonts w:cs="Times New Roman"/>
        </w:rPr>
      </w:pPr>
      <w:r w:rsidRPr="000176EF">
        <w:rPr>
          <w:rFonts w:cs="Times New Roman"/>
        </w:rPr>
        <w:t>Ricchetti, Leonard, and Timothy </w:t>
      </w:r>
      <w:r w:rsidR="00935D3E" w:rsidRPr="000176EF">
        <w:rPr>
          <w:rFonts w:cs="Times New Roman"/>
        </w:rPr>
        <w:t xml:space="preserve">J. Murphy. </w:t>
      </w:r>
      <w:r w:rsidR="00935D3E" w:rsidRPr="000176EF">
        <w:rPr>
          <w:rFonts w:cs="Times New Roman"/>
          <w:i/>
        </w:rPr>
        <w:t>Construction Law in Canada</w:t>
      </w:r>
      <w:r w:rsidR="00935D3E" w:rsidRPr="000176EF">
        <w:rPr>
          <w:rFonts w:cs="Times New Roman"/>
        </w:rPr>
        <w:t xml:space="preserve">. Markham, Ont.: LexisNexis, 2010. </w:t>
      </w:r>
    </w:p>
    <w:p w:rsidR="00935D3E" w:rsidRPr="000176EF" w:rsidRDefault="00AE2F0F" w:rsidP="00D52823">
      <w:pPr>
        <w:pStyle w:val="SCCNormalDoubleSpacing"/>
        <w:widowControl w:val="0"/>
        <w:spacing w:after="240" w:line="240" w:lineRule="auto"/>
        <w:ind w:left="547" w:hanging="547"/>
        <w:rPr>
          <w:rFonts w:cs="Times New Roman"/>
        </w:rPr>
      </w:pPr>
      <w:r w:rsidRPr="000176EF">
        <w:rPr>
          <w:rFonts w:cs="Times New Roman"/>
        </w:rPr>
        <w:t>Scott, Kenneth W., and R. </w:t>
      </w:r>
      <w:r w:rsidR="00935D3E" w:rsidRPr="000176EF">
        <w:rPr>
          <w:rFonts w:cs="Times New Roman"/>
        </w:rPr>
        <w:t xml:space="preserve">Bruce Reynolds. </w:t>
      </w:r>
      <w:r w:rsidR="00935D3E" w:rsidRPr="000176EF">
        <w:rPr>
          <w:rFonts w:cs="Times New Roman"/>
          <w:i/>
        </w:rPr>
        <w:t>Scott and Reynolds on Surety Bonds</w:t>
      </w:r>
      <w:r w:rsidR="00935D3E" w:rsidRPr="000176EF">
        <w:rPr>
          <w:rFonts w:cs="Times New Roman"/>
        </w:rPr>
        <w:t>. Scarborough, Ont.: Carswell, 1993 (loose</w:t>
      </w:r>
      <w:r w:rsidRPr="000176EF">
        <w:rPr>
          <w:rFonts w:cs="Times New Roman"/>
        </w:rPr>
        <w:noBreakHyphen/>
        <w:t>leaf updated 2008, release </w:t>
      </w:r>
      <w:r w:rsidR="00935D3E" w:rsidRPr="000176EF">
        <w:rPr>
          <w:rFonts w:cs="Times New Roman"/>
        </w:rPr>
        <w:t xml:space="preserve">2). </w:t>
      </w:r>
    </w:p>
    <w:p w:rsidR="00DF49A0" w:rsidRPr="000176EF" w:rsidRDefault="008D1A90" w:rsidP="00D52823">
      <w:pPr>
        <w:pStyle w:val="SCCNormalDoubleSpacing"/>
        <w:widowControl w:val="0"/>
        <w:spacing w:after="240" w:line="240" w:lineRule="auto"/>
        <w:ind w:left="547" w:hanging="547"/>
        <w:rPr>
          <w:rFonts w:cs="Times New Roman"/>
        </w:rPr>
      </w:pPr>
      <w:r w:rsidRPr="000176EF">
        <w:rPr>
          <w:rFonts w:cs="Times New Roman"/>
        </w:rPr>
        <w:t>Sheridan, L.</w:t>
      </w:r>
      <w:r w:rsidR="00AE2F0F" w:rsidRPr="000176EF">
        <w:rPr>
          <w:rFonts w:cs="Times New Roman"/>
        </w:rPr>
        <w:t> </w:t>
      </w:r>
      <w:r w:rsidRPr="000176EF">
        <w:rPr>
          <w:rFonts w:cs="Times New Roman"/>
        </w:rPr>
        <w:t xml:space="preserve">A. </w:t>
      </w:r>
      <w:r w:rsidRPr="000176EF">
        <w:rPr>
          <w:rFonts w:cs="Times New Roman"/>
          <w:i/>
        </w:rPr>
        <w:t>The Law of Trusts</w:t>
      </w:r>
      <w:r w:rsidRPr="000176EF">
        <w:rPr>
          <w:rFonts w:cs="Times New Roman"/>
        </w:rPr>
        <w:t>, 12th ed. London: Barry Rose Law, 1993.</w:t>
      </w:r>
    </w:p>
    <w:p w:rsidR="00DF49A0" w:rsidRPr="000176EF" w:rsidRDefault="00DF49A0" w:rsidP="00D52823">
      <w:pPr>
        <w:pStyle w:val="SCCNormalDoubleSpacing"/>
        <w:widowControl w:val="0"/>
        <w:spacing w:after="240" w:line="240" w:lineRule="auto"/>
        <w:ind w:left="547" w:hanging="547"/>
        <w:rPr>
          <w:rFonts w:cs="Times New Roman"/>
        </w:rPr>
      </w:pPr>
      <w:r w:rsidRPr="000176EF">
        <w:rPr>
          <w:rFonts w:cs="Times New Roman"/>
          <w:i/>
        </w:rPr>
        <w:t>Snell</w:t>
      </w:r>
      <w:r w:rsidR="00A074E0">
        <w:rPr>
          <w:rFonts w:cs="Times New Roman"/>
          <w:i/>
        </w:rPr>
        <w:t>’</w:t>
      </w:r>
      <w:r w:rsidRPr="000176EF">
        <w:rPr>
          <w:rFonts w:cs="Times New Roman"/>
          <w:i/>
        </w:rPr>
        <w:t>s Equity</w:t>
      </w:r>
      <w:r w:rsidRPr="000176EF">
        <w:rPr>
          <w:rFonts w:cs="Times New Roman"/>
        </w:rPr>
        <w:t>, 33</w:t>
      </w:r>
      <w:r w:rsidR="005715CE" w:rsidRPr="000176EF">
        <w:rPr>
          <w:rFonts w:cs="Times New Roman"/>
        </w:rPr>
        <w:t>rd ed.</w:t>
      </w:r>
      <w:r w:rsidRPr="000176EF">
        <w:rPr>
          <w:rFonts w:cs="Times New Roman"/>
        </w:rPr>
        <w:t xml:space="preserve"> by John McGhee. London: Sweet &amp; Maxwell, 2015.</w:t>
      </w:r>
    </w:p>
    <w:p w:rsidR="001158B5" w:rsidRPr="000176EF" w:rsidRDefault="001158B5" w:rsidP="00D52823">
      <w:pPr>
        <w:pStyle w:val="SCCNormalDoubleSpacing"/>
        <w:widowControl w:val="0"/>
        <w:spacing w:after="240" w:line="240" w:lineRule="auto"/>
        <w:ind w:left="547" w:hanging="547"/>
        <w:rPr>
          <w:rFonts w:cs="Times New Roman"/>
          <w:i/>
          <w:szCs w:val="24"/>
        </w:rPr>
      </w:pPr>
      <w:r w:rsidRPr="000176EF">
        <w:rPr>
          <w:rFonts w:cs="Times New Roman"/>
          <w:i/>
          <w:szCs w:val="24"/>
        </w:rPr>
        <w:t>Underhill and Hayton: Law Relating to Trusts and Trustees</w:t>
      </w:r>
      <w:r w:rsidRPr="000176EF">
        <w:rPr>
          <w:rFonts w:cs="Times New Roman"/>
          <w:szCs w:val="24"/>
        </w:rPr>
        <w:t xml:space="preserve">, 18th ed. </w:t>
      </w:r>
      <w:r w:rsidR="000D76B6" w:rsidRPr="000176EF">
        <w:rPr>
          <w:rFonts w:cs="Times New Roman"/>
          <w:szCs w:val="24"/>
        </w:rPr>
        <w:t>by David Hayton, Paul</w:t>
      </w:r>
      <w:r w:rsidRPr="000176EF">
        <w:rPr>
          <w:rFonts w:cs="Times New Roman"/>
          <w:szCs w:val="24"/>
        </w:rPr>
        <w:t xml:space="preserve"> Matthews and </w:t>
      </w:r>
      <w:r w:rsidR="000D76B6" w:rsidRPr="000176EF">
        <w:rPr>
          <w:rFonts w:cs="Times New Roman"/>
          <w:szCs w:val="24"/>
        </w:rPr>
        <w:t xml:space="preserve">Charles </w:t>
      </w:r>
      <w:r w:rsidR="00F62600" w:rsidRPr="000176EF">
        <w:rPr>
          <w:rFonts w:cs="Times New Roman"/>
          <w:szCs w:val="24"/>
        </w:rPr>
        <w:t>Mitchell</w:t>
      </w:r>
      <w:r w:rsidRPr="000176EF">
        <w:rPr>
          <w:rFonts w:cs="Times New Roman"/>
          <w:szCs w:val="24"/>
        </w:rPr>
        <w:t>. Markham, Ont</w:t>
      </w:r>
      <w:r w:rsidR="00935D3E" w:rsidRPr="000176EF">
        <w:rPr>
          <w:rFonts w:cs="Times New Roman"/>
          <w:szCs w:val="24"/>
        </w:rPr>
        <w:t>.</w:t>
      </w:r>
      <w:r w:rsidRPr="000176EF">
        <w:rPr>
          <w:rFonts w:cs="Times New Roman"/>
          <w:szCs w:val="24"/>
        </w:rPr>
        <w:t>: LexisNexis, 2010.</w:t>
      </w:r>
    </w:p>
    <w:p w:rsidR="00A149DF" w:rsidRPr="000176EF" w:rsidRDefault="00DF49A0" w:rsidP="00D52823">
      <w:pPr>
        <w:pStyle w:val="SCCNormalDoubleSpacing"/>
        <w:widowControl w:val="0"/>
        <w:spacing w:after="720" w:line="240" w:lineRule="auto"/>
        <w:ind w:left="547" w:hanging="547"/>
        <w:rPr>
          <w:rFonts w:cs="Times New Roman"/>
        </w:rPr>
      </w:pPr>
      <w:r w:rsidRPr="000176EF">
        <w:rPr>
          <w:rFonts w:cs="Times New Roman"/>
          <w:i/>
        </w:rPr>
        <w:t>Waters</w:t>
      </w:r>
      <w:r w:rsidR="00A074E0">
        <w:rPr>
          <w:rFonts w:cs="Times New Roman"/>
          <w:i/>
        </w:rPr>
        <w:t>’</w:t>
      </w:r>
      <w:r w:rsidRPr="000176EF">
        <w:rPr>
          <w:rFonts w:cs="Times New Roman"/>
          <w:i/>
        </w:rPr>
        <w:t xml:space="preserve"> Law of Trusts in Canada</w:t>
      </w:r>
      <w:r w:rsidRPr="000176EF">
        <w:rPr>
          <w:rFonts w:cs="Times New Roman"/>
        </w:rPr>
        <w:t>, 4th ed. by Donovan</w:t>
      </w:r>
      <w:r w:rsidR="00AE2F0F" w:rsidRPr="000176EF">
        <w:rPr>
          <w:rFonts w:cs="Times New Roman"/>
        </w:rPr>
        <w:t> W. M. Waters, Mark </w:t>
      </w:r>
      <w:r w:rsidRPr="000176EF">
        <w:rPr>
          <w:rFonts w:cs="Times New Roman"/>
        </w:rPr>
        <w:t>R.</w:t>
      </w:r>
      <w:r w:rsidR="00AE2F0F" w:rsidRPr="000176EF">
        <w:rPr>
          <w:rFonts w:cs="Times New Roman"/>
        </w:rPr>
        <w:t xml:space="preserve"> Gillen and Lionel </w:t>
      </w:r>
      <w:r w:rsidR="001158B5" w:rsidRPr="000176EF">
        <w:rPr>
          <w:rFonts w:cs="Times New Roman"/>
        </w:rPr>
        <w:t>D. Smith</w:t>
      </w:r>
      <w:r w:rsidRPr="000176EF">
        <w:rPr>
          <w:rFonts w:cs="Times New Roman"/>
        </w:rPr>
        <w:t>.</w:t>
      </w:r>
      <w:r w:rsidR="00AE2F0F" w:rsidRPr="000176EF">
        <w:rPr>
          <w:rFonts w:cs="Times New Roman"/>
        </w:rPr>
        <w:t xml:space="preserve"> </w:t>
      </w:r>
      <w:r w:rsidRPr="000176EF">
        <w:rPr>
          <w:rFonts w:cs="Times New Roman"/>
        </w:rPr>
        <w:t>Toronto:</w:t>
      </w:r>
      <w:r w:rsidR="00AE2F0F" w:rsidRPr="000176EF">
        <w:rPr>
          <w:rFonts w:cs="Times New Roman"/>
        </w:rPr>
        <w:t xml:space="preserve"> </w:t>
      </w:r>
      <w:r w:rsidRPr="000176EF">
        <w:rPr>
          <w:rFonts w:cs="Times New Roman"/>
        </w:rPr>
        <w:t>Carswell, 2012.</w:t>
      </w:r>
    </w:p>
    <w:p w:rsidR="00656313" w:rsidRPr="000176EF" w:rsidRDefault="00176112" w:rsidP="00D52823">
      <w:pPr>
        <w:pStyle w:val="SCCNormalDoubleSpacing"/>
        <w:widowControl w:val="0"/>
        <w:spacing w:before="480" w:after="480"/>
        <w:rPr>
          <w:rFonts w:cs="Times New Roman"/>
        </w:rPr>
      </w:pPr>
      <w:r w:rsidRPr="000176EF">
        <w:rPr>
          <w:rFonts w:cs="Times New Roman"/>
        </w:rPr>
        <w:tab/>
      </w:r>
      <w:r w:rsidR="009B57B3" w:rsidRPr="000176EF">
        <w:rPr>
          <w:rFonts w:cs="Times New Roman"/>
        </w:rPr>
        <w:t xml:space="preserve">APPEAL from a judgment of the </w:t>
      </w:r>
      <w:r w:rsidRPr="000176EF">
        <w:rPr>
          <w:rFonts w:cs="Times New Roman"/>
        </w:rPr>
        <w:t xml:space="preserve">Alberta </w:t>
      </w:r>
      <w:r w:rsidR="009B57B3" w:rsidRPr="000176EF">
        <w:rPr>
          <w:rFonts w:cs="Times New Roman"/>
        </w:rPr>
        <w:t xml:space="preserve">Court of Appeal </w:t>
      </w:r>
      <w:r w:rsidR="007118BD" w:rsidRPr="000176EF">
        <w:rPr>
          <w:rFonts w:cs="Times New Roman"/>
        </w:rPr>
        <w:t>(</w:t>
      </w:r>
      <w:r w:rsidR="00AE2F0F" w:rsidRPr="000176EF">
        <w:rPr>
          <w:rFonts w:cs="Times New Roman"/>
        </w:rPr>
        <w:t>Rowbotham, Wakeling and Schutz </w:t>
      </w:r>
      <w:r w:rsidR="008A349C" w:rsidRPr="000176EF">
        <w:rPr>
          <w:rFonts w:cs="Times New Roman"/>
        </w:rPr>
        <w:t xml:space="preserve">JJ.A.), 2016 ABCA 249, [2017] 2 W.W.R. 46, 57 C.L.R. (4th) 171, 42 Alta. L.R. (6th) 223, [2016] A.J. </w:t>
      </w:r>
      <w:r w:rsidR="00AE2F0F" w:rsidRPr="000176EF">
        <w:rPr>
          <w:rFonts w:cs="Times New Roman"/>
        </w:rPr>
        <w:t>No. </w:t>
      </w:r>
      <w:r w:rsidR="008A349C" w:rsidRPr="000176EF">
        <w:rPr>
          <w:rFonts w:cs="Times New Roman"/>
        </w:rPr>
        <w:t>859 (QL), 2016 CarswellAlta 1584</w:t>
      </w:r>
      <w:r w:rsidR="00E858AC" w:rsidRPr="000176EF">
        <w:rPr>
          <w:rFonts w:cs="Times New Roman"/>
        </w:rPr>
        <w:t xml:space="preserve"> (WL </w:t>
      </w:r>
      <w:r w:rsidR="00E858AC" w:rsidRPr="000176EF">
        <w:rPr>
          <w:rFonts w:cs="Times New Roman"/>
        </w:rPr>
        <w:lastRenderedPageBreak/>
        <w:t>Can.)</w:t>
      </w:r>
      <w:r w:rsidR="008A349C" w:rsidRPr="000176EF">
        <w:rPr>
          <w:rFonts w:cs="Times New Roman"/>
        </w:rPr>
        <w:t>,</w:t>
      </w:r>
      <w:r w:rsidR="00713C84" w:rsidRPr="000176EF">
        <w:rPr>
          <w:rFonts w:cs="Times New Roman"/>
        </w:rPr>
        <w:t xml:space="preserve"> setting aside the dec</w:t>
      </w:r>
      <w:r w:rsidR="00AE2F0F" w:rsidRPr="000176EF">
        <w:rPr>
          <w:rFonts w:cs="Times New Roman"/>
        </w:rPr>
        <w:t>ision of Verville </w:t>
      </w:r>
      <w:r w:rsidR="00713C84" w:rsidRPr="000176EF">
        <w:rPr>
          <w:rFonts w:cs="Times New Roman"/>
        </w:rPr>
        <w:t>J.,</w:t>
      </w:r>
      <w:r w:rsidR="008A349C" w:rsidRPr="000176EF">
        <w:rPr>
          <w:rFonts w:cs="Times New Roman"/>
        </w:rPr>
        <w:t xml:space="preserve"> </w:t>
      </w:r>
      <w:r w:rsidR="00E858AC" w:rsidRPr="000176EF">
        <w:rPr>
          <w:rFonts w:cs="Times New Roman"/>
        </w:rPr>
        <w:t xml:space="preserve">2015 ABQB 141, 41 C.L.R. (4th) 51, [2015] A.J. </w:t>
      </w:r>
      <w:r w:rsidR="00AE2F0F" w:rsidRPr="000176EF">
        <w:rPr>
          <w:rFonts w:cs="Times New Roman"/>
        </w:rPr>
        <w:t>No. </w:t>
      </w:r>
      <w:r w:rsidR="00E858AC" w:rsidRPr="000176EF">
        <w:rPr>
          <w:rFonts w:cs="Times New Roman"/>
        </w:rPr>
        <w:t>237 (QL), 2015 CarswellAlta 342 (WL Can.)</w:t>
      </w:r>
      <w:r w:rsidR="00713C84" w:rsidRPr="000176EF">
        <w:rPr>
          <w:rFonts w:cs="Times New Roman"/>
        </w:rPr>
        <w:t>.</w:t>
      </w:r>
      <w:r w:rsidR="00304D6B" w:rsidRPr="000176EF">
        <w:rPr>
          <w:rFonts w:cs="Times New Roman"/>
        </w:rPr>
        <w:t xml:space="preserve"> Appeal </w:t>
      </w:r>
      <w:r w:rsidR="004E2058" w:rsidRPr="000176EF">
        <w:rPr>
          <w:rFonts w:cs="Times New Roman"/>
        </w:rPr>
        <w:t>allowed</w:t>
      </w:r>
      <w:r w:rsidR="00243E8F">
        <w:rPr>
          <w:rFonts w:cs="Times New Roman"/>
        </w:rPr>
        <w:t>,</w:t>
      </w:r>
      <w:r w:rsidR="004E2058" w:rsidRPr="000176EF">
        <w:rPr>
          <w:rFonts w:cs="Times New Roman"/>
        </w:rPr>
        <w:t xml:space="preserve"> </w:t>
      </w:r>
      <w:r w:rsidR="003B30B7" w:rsidRPr="00243E8F">
        <w:rPr>
          <w:rFonts w:cs="Times New Roman"/>
        </w:rPr>
        <w:t>Karakatsanis J. dissenting</w:t>
      </w:r>
      <w:r w:rsidR="00304D6B" w:rsidRPr="003B30B7">
        <w:rPr>
          <w:rFonts w:cs="Times New Roman"/>
        </w:rPr>
        <w:t>.</w:t>
      </w:r>
    </w:p>
    <w:p w:rsidR="009E3451" w:rsidRPr="000176EF" w:rsidRDefault="00EA77FF" w:rsidP="00D52823">
      <w:pPr>
        <w:pStyle w:val="SCCNormalDoubleSpacing"/>
        <w:widowControl w:val="0"/>
        <w:spacing w:before="480" w:after="480"/>
        <w:rPr>
          <w:rFonts w:cs="Times New Roman"/>
        </w:rPr>
      </w:pPr>
      <w:r w:rsidRPr="000176EF">
        <w:rPr>
          <w:rStyle w:val="SCCCounselNameChar"/>
          <w:rFonts w:cs="Times New Roman"/>
        </w:rPr>
        <w:tab/>
        <w:t>Mike Preston</w:t>
      </w:r>
      <w:r w:rsidR="00FF49C0" w:rsidRPr="000176EF">
        <w:rPr>
          <w:rStyle w:val="SCCCounselNameChar"/>
          <w:rFonts w:cs="Times New Roman"/>
          <w:i w:val="0"/>
        </w:rPr>
        <w:t xml:space="preserve">, </w:t>
      </w:r>
      <w:r w:rsidR="00FF49C0" w:rsidRPr="000176EF">
        <w:rPr>
          <w:rStyle w:val="SCCCounselNameChar"/>
          <w:rFonts w:cs="Times New Roman"/>
        </w:rPr>
        <w:t>Chris Moore</w:t>
      </w:r>
      <w:r w:rsidRPr="000176EF">
        <w:rPr>
          <w:rStyle w:val="SCCCounselSeparatorChar"/>
          <w:rFonts w:cs="Times New Roman"/>
        </w:rPr>
        <w:t xml:space="preserve"> and </w:t>
      </w:r>
      <w:r w:rsidRPr="000176EF">
        <w:rPr>
          <w:rStyle w:val="SCCCounselNameChar"/>
          <w:rFonts w:cs="Times New Roman"/>
        </w:rPr>
        <w:t>Chris Armstrong</w:t>
      </w:r>
      <w:r w:rsidRPr="000176EF">
        <w:rPr>
          <w:rStyle w:val="SCCCounselPartyRoleChar"/>
          <w:rFonts w:cs="Times New Roman"/>
        </w:rPr>
        <w:t>, for the appellant.</w:t>
      </w:r>
    </w:p>
    <w:p w:rsidR="009E3451" w:rsidRPr="000176EF" w:rsidRDefault="00AE2F0F" w:rsidP="00D52823">
      <w:pPr>
        <w:pStyle w:val="SCCNormalDoubleSpacing"/>
        <w:widowControl w:val="0"/>
        <w:spacing w:before="480" w:after="480"/>
        <w:rPr>
          <w:rFonts w:cs="Times New Roman"/>
        </w:rPr>
      </w:pPr>
      <w:r w:rsidRPr="000176EF">
        <w:rPr>
          <w:rStyle w:val="SCCCounselNameChar"/>
          <w:rFonts w:cs="Times New Roman"/>
        </w:rPr>
        <w:tab/>
        <w:t>Paul </w:t>
      </w:r>
      <w:r w:rsidR="00EA77FF" w:rsidRPr="000176EF">
        <w:rPr>
          <w:rStyle w:val="SCCCounselNameChar"/>
          <w:rFonts w:cs="Times New Roman"/>
        </w:rPr>
        <w:t>V. Stocco</w:t>
      </w:r>
      <w:r w:rsidR="00FF49C0" w:rsidRPr="000176EF">
        <w:rPr>
          <w:rStyle w:val="SCCCounselPartyRoleChar"/>
          <w:rFonts w:cs="Times New Roman"/>
        </w:rPr>
        <w:t xml:space="preserve"> and </w:t>
      </w:r>
      <w:r w:rsidR="00FF49C0" w:rsidRPr="000176EF">
        <w:rPr>
          <w:rStyle w:val="SCCCounselPartyRoleChar"/>
          <w:rFonts w:cs="Times New Roman"/>
          <w:i/>
        </w:rPr>
        <w:t>Jeffrey Beedell</w:t>
      </w:r>
      <w:r w:rsidR="00FF49C0" w:rsidRPr="000176EF">
        <w:rPr>
          <w:rStyle w:val="SCCCounselPartyRoleChar"/>
          <w:rFonts w:cs="Times New Roman"/>
        </w:rPr>
        <w:t xml:space="preserve">, </w:t>
      </w:r>
      <w:r w:rsidR="00EA77FF" w:rsidRPr="000176EF">
        <w:rPr>
          <w:rStyle w:val="SCCCounselPartyRoleChar"/>
          <w:rFonts w:cs="Times New Roman"/>
        </w:rPr>
        <w:t>for the respondent.</w:t>
      </w:r>
    </w:p>
    <w:p w:rsidR="009E3451" w:rsidRDefault="00AE2F0F" w:rsidP="00D52823">
      <w:pPr>
        <w:pStyle w:val="SCCNormalDoubleSpacing"/>
        <w:widowControl w:val="0"/>
        <w:spacing w:before="480" w:after="480"/>
        <w:rPr>
          <w:rStyle w:val="SCCCounselPartyRoleChar"/>
          <w:rFonts w:cs="Times New Roman"/>
        </w:rPr>
      </w:pPr>
      <w:r w:rsidRPr="000176EF">
        <w:rPr>
          <w:rStyle w:val="SCCCounselNameChar"/>
          <w:rFonts w:cs="Times New Roman"/>
        </w:rPr>
        <w:tab/>
        <w:t>Richard </w:t>
      </w:r>
      <w:r w:rsidR="00EA77FF" w:rsidRPr="000176EF">
        <w:rPr>
          <w:rStyle w:val="SCCCounselNameChar"/>
          <w:rFonts w:cs="Times New Roman"/>
        </w:rPr>
        <w:t>H. Shaban</w:t>
      </w:r>
      <w:r w:rsidR="00EA77FF" w:rsidRPr="000176EF">
        <w:rPr>
          <w:rStyle w:val="SCCCounselSeparatorChar"/>
          <w:rFonts w:cs="Times New Roman"/>
        </w:rPr>
        <w:t xml:space="preserve">, </w:t>
      </w:r>
      <w:r w:rsidRPr="000176EF">
        <w:rPr>
          <w:rStyle w:val="SCCCounselNameChar"/>
          <w:rFonts w:cs="Times New Roman"/>
        </w:rPr>
        <w:t>James </w:t>
      </w:r>
      <w:r w:rsidR="00EA77FF" w:rsidRPr="000176EF">
        <w:rPr>
          <w:rStyle w:val="SCCCounselNameChar"/>
          <w:rFonts w:cs="Times New Roman"/>
        </w:rPr>
        <w:t>W. MacLellan</w:t>
      </w:r>
      <w:r w:rsidR="00EA77FF" w:rsidRPr="000176EF">
        <w:rPr>
          <w:rStyle w:val="SCCCounselSeparatorChar"/>
          <w:rFonts w:cs="Times New Roman"/>
        </w:rPr>
        <w:t xml:space="preserve"> and </w:t>
      </w:r>
      <w:r w:rsidR="00FF49C0" w:rsidRPr="000176EF">
        <w:rPr>
          <w:rStyle w:val="SCCCounselNameChar"/>
          <w:rFonts w:cs="Times New Roman"/>
        </w:rPr>
        <w:t>G.</w:t>
      </w:r>
      <w:r w:rsidR="00A02AC6">
        <w:rPr>
          <w:rStyle w:val="SCCCounselNameChar"/>
          <w:rFonts w:cs="Times New Roman"/>
        </w:rPr>
        <w:t xml:space="preserve"> </w:t>
      </w:r>
      <w:r w:rsidR="00FF49C0" w:rsidRPr="000176EF">
        <w:rPr>
          <w:rStyle w:val="SCCCounselNameChar"/>
          <w:rFonts w:cs="Times New Roman"/>
        </w:rPr>
        <w:t>L</w:t>
      </w:r>
      <w:r w:rsidR="00091B8F" w:rsidRPr="000176EF">
        <w:rPr>
          <w:rStyle w:val="SCCCounselNameChar"/>
          <w:rFonts w:cs="Times New Roman"/>
        </w:rPr>
        <w:t>.</w:t>
      </w:r>
      <w:r w:rsidRPr="000176EF">
        <w:rPr>
          <w:rStyle w:val="SCCCounselNameChar"/>
          <w:rFonts w:cs="Times New Roman"/>
        </w:rPr>
        <w:t> </w:t>
      </w:r>
      <w:r w:rsidR="00FF49C0" w:rsidRPr="000176EF">
        <w:rPr>
          <w:rStyle w:val="SCCCounselNameChar"/>
          <w:rFonts w:cs="Times New Roman"/>
        </w:rPr>
        <w:t>Sonny Ingram</w:t>
      </w:r>
      <w:r w:rsidR="00A02AC6" w:rsidRPr="00A02AC6">
        <w:rPr>
          <w:rStyle w:val="SCCCounselNameChar"/>
          <w:rFonts w:cs="Times New Roman"/>
          <w:i w:val="0"/>
        </w:rPr>
        <w:t>,</w:t>
      </w:r>
      <w:r w:rsidR="0070720A" w:rsidRPr="000176EF">
        <w:rPr>
          <w:rStyle w:val="SCCCounselPartyRoleChar"/>
          <w:rFonts w:cs="Times New Roman"/>
        </w:rPr>
        <w:t xml:space="preserve"> for the intervener</w:t>
      </w:r>
      <w:r w:rsidR="00EA77FF" w:rsidRPr="000176EF">
        <w:rPr>
          <w:rStyle w:val="SCCCounselPartyRoleChar"/>
          <w:rFonts w:cs="Times New Roman"/>
        </w:rPr>
        <w:t>.</w:t>
      </w:r>
    </w:p>
    <w:p w:rsidR="00E130AF" w:rsidRPr="00A02AC6" w:rsidRDefault="000C3479" w:rsidP="00D52823">
      <w:pPr>
        <w:pStyle w:val="SCCNormalDoubleSpacing"/>
        <w:widowControl w:val="0"/>
        <w:spacing w:before="480" w:after="480"/>
        <w:rPr>
          <w:rFonts w:cs="Times New Roman"/>
        </w:rPr>
      </w:pPr>
      <w:r>
        <w:rPr>
          <w:rStyle w:val="SCCCounselPartyRoleChar"/>
          <w:rFonts w:cs="Times New Roman"/>
        </w:rPr>
        <w:tab/>
      </w:r>
      <w:r w:rsidR="00E130AF" w:rsidRPr="000C3479">
        <w:rPr>
          <w:rStyle w:val="SCCCounselPartyRoleChar"/>
          <w:rFonts w:cs="Times New Roman"/>
        </w:rPr>
        <w:t>The judgment of McLachlin C.J. and Abella, Moldaver, Brown and Rowe JJ. was delivered by</w:t>
      </w:r>
    </w:p>
    <w:p w:rsidR="00E130AF" w:rsidRPr="00685201" w:rsidRDefault="00E130AF" w:rsidP="00D52823">
      <w:pPr>
        <w:pStyle w:val="JudgeJuge"/>
        <w:widowControl w:val="0"/>
      </w:pPr>
      <w:r w:rsidRPr="00685201">
        <w:tab/>
        <w:t xml:space="preserve">Brown J. — </w:t>
      </w:r>
    </w:p>
    <w:p w:rsidR="00E130AF" w:rsidRPr="00685201" w:rsidRDefault="00E130AF" w:rsidP="00D52823">
      <w:pPr>
        <w:pStyle w:val="Title1LevelTitre1Niveau-AltL"/>
        <w:widowControl w:val="0"/>
        <w:numPr>
          <w:ilvl w:val="0"/>
          <w:numId w:val="19"/>
        </w:numPr>
        <w:jc w:val="both"/>
        <w:rPr>
          <w:rFonts w:cs="Times New Roman"/>
        </w:rPr>
      </w:pPr>
      <w:r w:rsidRPr="00685201">
        <w:rPr>
          <w:rFonts w:cs="Times New Roman"/>
        </w:rPr>
        <w:t>Introduction</w:t>
      </w:r>
    </w:p>
    <w:p w:rsidR="00E130AF" w:rsidRPr="00685201" w:rsidRDefault="00E130AF" w:rsidP="00D52823">
      <w:pPr>
        <w:pStyle w:val="ParaNoNdepar-AltN"/>
        <w:widowControl w:val="0"/>
        <w:rPr>
          <w:rFonts w:cs="Times New Roman"/>
        </w:rPr>
      </w:pPr>
      <w:r w:rsidRPr="00685201">
        <w:rPr>
          <w:rFonts w:cs="Times New Roman"/>
        </w:rPr>
        <w:t>The questions presented by this appeal are (1) whether a trustee of a trust contained in a labour and material payment bond owes a duty to disclose the existence of the bond to potential beneficiaries of the trust; and (2) if such a duty is owed, what conduct by the trustee would discharge it, and w</w:t>
      </w:r>
      <w:r w:rsidR="00A02AC6">
        <w:rPr>
          <w:rFonts w:cs="Times New Roman"/>
        </w:rPr>
        <w:t xml:space="preserve">hether it was discharged here. </w:t>
      </w:r>
      <w:r w:rsidRPr="00685201">
        <w:rPr>
          <w:rFonts w:cs="Times New Roman"/>
        </w:rPr>
        <w:t xml:space="preserve">The trial judge concluded that no duty to disclose exists in such a case, and the majority at the Court of Appeal of Alberta agreed. </w:t>
      </w:r>
    </w:p>
    <w:p w:rsidR="00E130AF" w:rsidRPr="00685201" w:rsidRDefault="00E130AF" w:rsidP="00D52823">
      <w:pPr>
        <w:pStyle w:val="ParaNoNdepar-AltN"/>
        <w:widowControl w:val="0"/>
        <w:rPr>
          <w:rFonts w:cs="Times New Roman"/>
        </w:rPr>
      </w:pPr>
      <w:r w:rsidRPr="00685201">
        <w:rPr>
          <w:rFonts w:cs="Times New Roman"/>
        </w:rPr>
        <w:lastRenderedPageBreak/>
        <w:t>For the reasons that follow, I respectfully disagree with the courts below. In general, wherever a beneficiary would be unreasonably disadvantaged not to be informed of a trust’s existence, the trustee’s fiduciary duty includes an obligation to disclo</w:t>
      </w:r>
      <w:r w:rsidR="00A02AC6">
        <w:rPr>
          <w:rFonts w:cs="Times New Roman"/>
        </w:rPr>
        <w:t xml:space="preserve">se the existence of the trust. </w:t>
      </w:r>
      <w:r w:rsidRPr="00685201">
        <w:rPr>
          <w:rFonts w:cs="Times New Roman"/>
        </w:rPr>
        <w:t>In the circumstances of this appeal, where the evidence was that labour and material payment bonds were uncommon in the pertinent sector (private oilsands construction), and where the trustee’s failure to disclose the existence of the trust prevented the beneficiary from making a claim within the prescribed notice p</w:t>
      </w:r>
      <w:r w:rsidR="00030DB9">
        <w:rPr>
          <w:rFonts w:cs="Times New Roman"/>
        </w:rPr>
        <w:t xml:space="preserve">eriod, that duty was breached. </w:t>
      </w:r>
      <w:r w:rsidRPr="00685201">
        <w:rPr>
          <w:rFonts w:cs="Times New Roman"/>
        </w:rPr>
        <w:t xml:space="preserve">I would therefore allow the appeal. </w:t>
      </w:r>
    </w:p>
    <w:p w:rsidR="00E130AF" w:rsidRPr="00685201" w:rsidRDefault="00E130AF" w:rsidP="00D52823">
      <w:pPr>
        <w:pStyle w:val="Title1LevelTitre1Niveau-AltL"/>
        <w:widowControl w:val="0"/>
        <w:numPr>
          <w:ilvl w:val="0"/>
          <w:numId w:val="19"/>
        </w:numPr>
        <w:jc w:val="both"/>
        <w:rPr>
          <w:rFonts w:cs="Times New Roman"/>
        </w:rPr>
      </w:pPr>
      <w:r w:rsidRPr="00685201">
        <w:rPr>
          <w:rFonts w:cs="Times New Roman"/>
        </w:rPr>
        <w:t>Facts and Judicial History</w:t>
      </w:r>
    </w:p>
    <w:p w:rsidR="00E130AF" w:rsidRPr="00685201" w:rsidRDefault="00E130AF" w:rsidP="00D52823">
      <w:pPr>
        <w:pStyle w:val="ParaNoNdepar-AltN"/>
        <w:widowControl w:val="0"/>
        <w:tabs>
          <w:tab w:val="clear" w:pos="1152"/>
          <w:tab w:val="left" w:pos="1166"/>
        </w:tabs>
        <w:rPr>
          <w:rFonts w:cs="Times New Roman"/>
        </w:rPr>
      </w:pPr>
      <w:r w:rsidRPr="00685201">
        <w:rPr>
          <w:rFonts w:cs="Times New Roman"/>
        </w:rPr>
        <w:t>Suncor Energy Inc. hired the respondent, Bird Construction Company, as a general contractor for a construction project on one of Suncor’s worksite</w:t>
      </w:r>
      <w:r w:rsidR="007F3E30">
        <w:rPr>
          <w:rFonts w:cs="Times New Roman"/>
        </w:rPr>
        <w:t xml:space="preserve">s near Fort McMurray, Alberta. </w:t>
      </w:r>
      <w:r w:rsidRPr="00685201">
        <w:rPr>
          <w:rFonts w:cs="Times New Roman"/>
        </w:rPr>
        <w:t>Bird subcontracted with Langford Electric Ltd. for certain electrical work. As required by its contract with Bird, Langford obtained a labour and material payment bond, issued by the Guarantee Company of North America for $659,671, naming Bird as Obligee, Langford as Principal, and the Guarantee Company as Surety. Upon receiving its copy of the bond, Bird immediately “filed it” at its offices in Edmonton, Alberta.</w:t>
      </w:r>
      <w:r w:rsidRPr="009144E7">
        <w:rPr>
          <w:rStyle w:val="Hyperlink"/>
          <w:u w:val="none"/>
          <w:vertAlign w:val="superscript"/>
        </w:rPr>
        <w:footnoteReference w:id="1"/>
      </w:r>
      <w:r w:rsidRPr="009144E7">
        <w:rPr>
          <w:rFonts w:cs="Times New Roman"/>
        </w:rPr>
        <w:t xml:space="preserve"> </w:t>
      </w:r>
    </w:p>
    <w:p w:rsidR="00E130AF" w:rsidRPr="00685201" w:rsidRDefault="00E130AF" w:rsidP="00D52823">
      <w:pPr>
        <w:pStyle w:val="ParaNoNdepar-AltN"/>
        <w:widowControl w:val="0"/>
        <w:tabs>
          <w:tab w:val="clear" w:pos="1152"/>
          <w:tab w:val="left" w:pos="1166"/>
        </w:tabs>
        <w:rPr>
          <w:rFonts w:cs="Times New Roman"/>
        </w:rPr>
      </w:pPr>
      <w:r w:rsidRPr="00685201">
        <w:rPr>
          <w:rFonts w:cs="Times New Roman"/>
        </w:rPr>
        <w:t>The text of the relevant terms of the bond are attached as</w:t>
      </w:r>
      <w:r w:rsidR="000004AD">
        <w:rPr>
          <w:rFonts w:cs="Times New Roman"/>
        </w:rPr>
        <w:t xml:space="preserve"> an appendix to this judgment. </w:t>
      </w:r>
      <w:r w:rsidRPr="00685201">
        <w:rPr>
          <w:rFonts w:cs="Times New Roman"/>
        </w:rPr>
        <w:t xml:space="preserve">It is common ground between the parties that, by those terms, the bond </w:t>
      </w:r>
      <w:r w:rsidRPr="00685201">
        <w:rPr>
          <w:rFonts w:cs="Times New Roman"/>
        </w:rPr>
        <w:lastRenderedPageBreak/>
        <w:t>allows for a “beneficiary”, being a provider of work/labour or materials who has not received payment from Langford within 90 days of the last day upon which it provided work/labour or materials, to sue the Guarantee Company on</w:t>
      </w:r>
      <w:r w:rsidR="009144E7">
        <w:rPr>
          <w:rFonts w:cs="Times New Roman"/>
        </w:rPr>
        <w:t xml:space="preserve"> the bond for that unpaid sum. </w:t>
      </w:r>
      <w:r w:rsidRPr="00685201">
        <w:rPr>
          <w:rFonts w:cs="Times New Roman"/>
        </w:rPr>
        <w:t>This is achieved by designating Bird as a trustee, holding in trust for the beneficiaries their right to claim against and recov</w:t>
      </w:r>
      <w:r w:rsidR="000004AD">
        <w:rPr>
          <w:rFonts w:cs="Times New Roman"/>
        </w:rPr>
        <w:t xml:space="preserve">er from the Guarantee Company. </w:t>
      </w:r>
      <w:r w:rsidRPr="00685201">
        <w:rPr>
          <w:rFonts w:cs="Times New Roman"/>
        </w:rPr>
        <w:t>A beneficiary’s ability to exercise that right is, however, subject to a condition that it give notice of its claim to Langford, the Guarantee Company and Bird within 120 days of its last provision of work/labour or materials.</w:t>
      </w:r>
    </w:p>
    <w:p w:rsidR="00E130AF" w:rsidRPr="00685201" w:rsidRDefault="00E130AF" w:rsidP="00D52823">
      <w:pPr>
        <w:pStyle w:val="ParaNoNdepar-AltN"/>
        <w:widowControl w:val="0"/>
        <w:tabs>
          <w:tab w:val="clear" w:pos="1152"/>
          <w:tab w:val="left" w:pos="1166"/>
        </w:tabs>
        <w:rPr>
          <w:rFonts w:cs="Times New Roman"/>
        </w:rPr>
      </w:pPr>
      <w:r w:rsidRPr="00685201">
        <w:rPr>
          <w:rFonts w:cs="Times New Roman"/>
        </w:rPr>
        <w:t>On March 2, 2009, Langford contracted with the appellant</w:t>
      </w:r>
      <w:r w:rsidR="009144E7">
        <w:rPr>
          <w:rFonts w:cs="Times New Roman"/>
        </w:rPr>
        <w:t>,</w:t>
      </w:r>
      <w:r w:rsidRPr="00685201">
        <w:rPr>
          <w:rFonts w:cs="Times New Roman"/>
        </w:rPr>
        <w:t xml:space="preserve"> Valard Construction Ltd.</w:t>
      </w:r>
      <w:r w:rsidR="009144E7">
        <w:rPr>
          <w:rFonts w:cs="Times New Roman"/>
        </w:rPr>
        <w:t>,</w:t>
      </w:r>
      <w:r w:rsidRPr="00685201">
        <w:rPr>
          <w:rFonts w:cs="Times New Roman"/>
        </w:rPr>
        <w:t xml:space="preserve"> to provide directional drilling work on the project. Valard began its work on March 17, 2009 and finished on May 20, 2009. </w:t>
      </w:r>
    </w:p>
    <w:p w:rsidR="00E130AF" w:rsidRPr="00685201" w:rsidRDefault="00E130AF" w:rsidP="00D52823">
      <w:pPr>
        <w:pStyle w:val="ParaNoNdepar-AltN"/>
        <w:widowControl w:val="0"/>
        <w:tabs>
          <w:tab w:val="clear" w:pos="1152"/>
          <w:tab w:val="left" w:pos="1166"/>
        </w:tabs>
        <w:rPr>
          <w:rFonts w:cs="Times New Roman"/>
        </w:rPr>
      </w:pPr>
      <w:r w:rsidRPr="00685201">
        <w:rPr>
          <w:rFonts w:cs="Times New Roman"/>
        </w:rPr>
        <w:t>The evidence of Bird’s interaction with Val</w:t>
      </w:r>
      <w:r w:rsidR="009144E7">
        <w:rPr>
          <w:rFonts w:cs="Times New Roman"/>
        </w:rPr>
        <w:t xml:space="preserve">ard is sparse. </w:t>
      </w:r>
      <w:r w:rsidRPr="00685201">
        <w:rPr>
          <w:rFonts w:cs="Times New Roman"/>
        </w:rPr>
        <w:t>While working on the project, Bird required a Valard representative to attend daily “toolbox meetings” in Bird’s on-site trailer, where Bird kept a bulletin board displaying various not</w:t>
      </w:r>
      <w:r w:rsidR="00583901">
        <w:rPr>
          <w:rFonts w:cs="Times New Roman"/>
        </w:rPr>
        <w:t xml:space="preserve">ices that it would post there. </w:t>
      </w:r>
      <w:r w:rsidRPr="00685201">
        <w:rPr>
          <w:rFonts w:cs="Times New Roman"/>
        </w:rPr>
        <w:t>The parties agree that neither the bond, nor n</w:t>
      </w:r>
      <w:r w:rsidR="00583901">
        <w:rPr>
          <w:rFonts w:cs="Times New Roman"/>
        </w:rPr>
        <w:t xml:space="preserve">otice of it, was posted there. </w:t>
      </w:r>
      <w:r w:rsidRPr="00685201">
        <w:rPr>
          <w:rFonts w:cs="Times New Roman"/>
        </w:rPr>
        <w:t>Further, during Valard’s work on the project and the ensuing 120-day notice period, neither Bird nor anyone on its behalf notified V</w:t>
      </w:r>
      <w:r w:rsidR="00583901">
        <w:rPr>
          <w:rFonts w:cs="Times New Roman"/>
        </w:rPr>
        <w:t xml:space="preserve">alard of the bond’s existence. </w:t>
      </w:r>
      <w:r w:rsidRPr="00685201">
        <w:rPr>
          <w:rFonts w:cs="Times New Roman"/>
        </w:rPr>
        <w:t>Valard was, therefore, unaware of the bond throughout the entire window of time during which it would have benefitted</w:t>
      </w:r>
      <w:r>
        <w:rPr>
          <w:rFonts w:cs="Times New Roman"/>
        </w:rPr>
        <w:t xml:space="preserve"> from it.</w:t>
      </w:r>
    </w:p>
    <w:p w:rsidR="00E130AF" w:rsidRPr="00685201" w:rsidRDefault="00E130AF" w:rsidP="00D52823">
      <w:pPr>
        <w:pStyle w:val="ParaNoNdepar-AltN"/>
        <w:widowControl w:val="0"/>
        <w:tabs>
          <w:tab w:val="clear" w:pos="1152"/>
          <w:tab w:val="left" w:pos="1166"/>
        </w:tabs>
        <w:rPr>
          <w:rFonts w:cs="Times New Roman"/>
        </w:rPr>
      </w:pPr>
      <w:r w:rsidRPr="00685201">
        <w:rPr>
          <w:rFonts w:cs="Times New Roman"/>
        </w:rPr>
        <w:t xml:space="preserve">Ultimately, some of Valard’s invoices went unpaid by Langford and, on March 9, 2010, it was granted default judgment against Langford for $660,000.17. As </w:t>
      </w:r>
      <w:r w:rsidRPr="00685201">
        <w:rPr>
          <w:rFonts w:cs="Times New Roman"/>
        </w:rPr>
        <w:lastRenderedPageBreak/>
        <w:t xml:space="preserve">Langford was by then insolvent, Valard has not been paid. </w:t>
      </w:r>
    </w:p>
    <w:p w:rsidR="00E130AF" w:rsidRPr="00685201" w:rsidRDefault="00E130AF" w:rsidP="00D52823">
      <w:pPr>
        <w:pStyle w:val="ParaNoNdepar-AltN"/>
        <w:widowControl w:val="0"/>
        <w:rPr>
          <w:rFonts w:cs="Times New Roman"/>
        </w:rPr>
      </w:pPr>
      <w:r w:rsidRPr="00685201">
        <w:rPr>
          <w:rFonts w:cs="Times New Roman"/>
        </w:rPr>
        <w:t>In April 2010 — approximately seven months after the 120-day notice period had expired — Valard’s project manager</w:t>
      </w:r>
      <w:r w:rsidR="00E04FDD">
        <w:rPr>
          <w:rFonts w:cs="Times New Roman"/>
        </w:rPr>
        <w:t>,</w:t>
      </w:r>
      <w:r w:rsidRPr="00685201">
        <w:rPr>
          <w:rFonts w:cs="Times New Roman"/>
        </w:rPr>
        <w:t xml:space="preserve"> John Cameron Wemyss</w:t>
      </w:r>
      <w:r w:rsidR="00583901">
        <w:rPr>
          <w:rFonts w:cs="Times New Roman"/>
        </w:rPr>
        <w:t>,</w:t>
      </w:r>
      <w:r w:rsidRPr="00685201">
        <w:rPr>
          <w:rFonts w:cs="Times New Roman"/>
        </w:rPr>
        <w:t xml:space="preserve"> learned that Bird had recently required a labour and material payment bond on a different project. Mr. Wemyss asked Bird whether a labour and material payment bond had been obtained for the project on which Valard had not been paid. Bird replied affirmatively and directed Mr. Wemyss to the Guarantee Company. Mr. Wemyss was “surpr</w:t>
      </w:r>
      <w:r w:rsidR="00583901">
        <w:rPr>
          <w:rFonts w:cs="Times New Roman"/>
        </w:rPr>
        <w:t>ised” by this response.</w:t>
      </w:r>
      <w:r w:rsidRPr="00685201">
        <w:rPr>
          <w:rFonts w:cs="Times New Roman"/>
        </w:rPr>
        <w:t xml:space="preserve"> In his </w:t>
      </w:r>
      <w:r w:rsidR="00583901">
        <w:rPr>
          <w:rFonts w:cs="Times New Roman"/>
        </w:rPr>
        <w:t>10</w:t>
      </w:r>
      <w:r w:rsidRPr="00685201">
        <w:rPr>
          <w:rFonts w:cs="Times New Roman"/>
        </w:rPr>
        <w:t xml:space="preserve"> years of experience, he had never encountered a labour and material payment bond on a privately owned oilsands project. On Valard’s behalf, he immediately filed a claim with the Guarantee Company for the full amount of the bond. </w:t>
      </w:r>
    </w:p>
    <w:p w:rsidR="00E130AF" w:rsidRPr="00685201" w:rsidRDefault="00E130AF" w:rsidP="00D52823">
      <w:pPr>
        <w:pStyle w:val="ParaNoNdepar-AltN"/>
        <w:widowControl w:val="0"/>
        <w:rPr>
          <w:rFonts w:cs="Times New Roman"/>
        </w:rPr>
      </w:pPr>
      <w:r w:rsidRPr="00685201">
        <w:rPr>
          <w:rFonts w:cs="Times New Roman"/>
        </w:rPr>
        <w:t>The Guarantee Company denied Valard’s claim, citing Valard’s failure to give timely notice. Valard sued (</w:t>
      </w:r>
      <w:r w:rsidRPr="00685201">
        <w:rPr>
          <w:rFonts w:cs="Times New Roman"/>
          <w:i/>
        </w:rPr>
        <w:t>inter alia</w:t>
      </w:r>
      <w:r w:rsidRPr="00685201">
        <w:rPr>
          <w:rFonts w:cs="Times New Roman"/>
        </w:rPr>
        <w:t>) Bird for breach of trust, alleging that it had breached its duty as a trustee “to fully inform the [b]ond beneficiaries of the existence of the [b]ond and its terms [and of] their right of action provided by the [b]ond”.</w:t>
      </w:r>
      <w:r w:rsidRPr="00583901">
        <w:rPr>
          <w:rStyle w:val="Hyperlink"/>
          <w:u w:val="none"/>
          <w:vertAlign w:val="superscript"/>
        </w:rPr>
        <w:footnoteReference w:id="2"/>
      </w:r>
    </w:p>
    <w:p w:rsidR="00E130AF" w:rsidRPr="00685201" w:rsidRDefault="00E130AF" w:rsidP="00D52823">
      <w:pPr>
        <w:pStyle w:val="Title2LevelTitre2Niveau"/>
        <w:widowControl w:val="0"/>
        <w:numPr>
          <w:ilvl w:val="1"/>
          <w:numId w:val="19"/>
        </w:numPr>
        <w:jc w:val="both"/>
        <w:rPr>
          <w:rFonts w:cs="Times New Roman"/>
        </w:rPr>
      </w:pPr>
      <w:r w:rsidRPr="00685201">
        <w:rPr>
          <w:rFonts w:cs="Times New Roman"/>
        </w:rPr>
        <w:t>Court of Queen’s Bench of Alberta, 2015 ABQB 141, 41 C.L.R. (4th) 51</w:t>
      </w:r>
    </w:p>
    <w:p w:rsidR="00E130AF" w:rsidRPr="00685201" w:rsidRDefault="00E130AF" w:rsidP="00D52823">
      <w:pPr>
        <w:pStyle w:val="ParaNoNdepar-AltN"/>
        <w:widowControl w:val="0"/>
        <w:spacing w:before="0"/>
        <w:rPr>
          <w:rFonts w:cs="Times New Roman"/>
        </w:rPr>
      </w:pPr>
      <w:r w:rsidRPr="00685201">
        <w:rPr>
          <w:rFonts w:cs="Times New Roman"/>
        </w:rPr>
        <w:t xml:space="preserve">The trial judge dismissed Valard’s action, finding Bird owed no duty to notify Valard of the </w:t>
      </w:r>
      <w:r w:rsidR="00583901">
        <w:rPr>
          <w:rFonts w:cs="Times New Roman"/>
        </w:rPr>
        <w:t xml:space="preserve">existence of the bond. </w:t>
      </w:r>
      <w:r w:rsidRPr="00685201">
        <w:rPr>
          <w:rFonts w:cs="Times New Roman"/>
        </w:rPr>
        <w:t>The purpose of the b</w:t>
      </w:r>
      <w:r w:rsidR="00583901">
        <w:rPr>
          <w:rFonts w:cs="Times New Roman"/>
        </w:rPr>
        <w:t xml:space="preserve">ond was for Bird’s protection. </w:t>
      </w:r>
      <w:r w:rsidRPr="00685201">
        <w:rPr>
          <w:rFonts w:cs="Times New Roman"/>
        </w:rPr>
        <w:t xml:space="preserve">“Unlike other trust relationships”, he observed, “there is no suggestion in </w:t>
      </w:r>
      <w:r w:rsidRPr="00685201">
        <w:rPr>
          <w:rFonts w:cs="Times New Roman"/>
        </w:rPr>
        <w:lastRenderedPageBreak/>
        <w:t>the standard wording, or in the case law, that the [b]ond creates duties on [Bird as Obligee] to protect the in</w:t>
      </w:r>
      <w:r w:rsidR="00583901">
        <w:rPr>
          <w:rFonts w:cs="Times New Roman"/>
        </w:rPr>
        <w:t>terests of potential claimants.”</w:t>
      </w:r>
      <w:r w:rsidRPr="00685201">
        <w:rPr>
          <w:rFonts w:cs="Times New Roman"/>
        </w:rPr>
        <w:t xml:space="preserve"> Rather, the “sole purpose of the trust wording” employed in the bond was to permit beneficiaries, whose identities may be unknown at the time that the bond was obtained, to overcome the third-party beneficiary rule which would otherwise prevent them from suing on it.</w:t>
      </w:r>
      <w:r w:rsidRPr="001F77FE">
        <w:rPr>
          <w:rStyle w:val="Hyperlink"/>
          <w:u w:val="none"/>
          <w:vertAlign w:val="superscript"/>
        </w:rPr>
        <w:t xml:space="preserve"> </w:t>
      </w:r>
      <w:r w:rsidRPr="00583901">
        <w:rPr>
          <w:rStyle w:val="Hyperlink"/>
          <w:u w:val="none"/>
          <w:vertAlign w:val="superscript"/>
        </w:rPr>
        <w:footnoteReference w:id="3"/>
      </w:r>
      <w:r w:rsidRPr="00685201">
        <w:rPr>
          <w:rFonts w:cs="Times New Roman"/>
        </w:rPr>
        <w:t xml:space="preserve"> </w:t>
      </w:r>
    </w:p>
    <w:p w:rsidR="00E130AF" w:rsidRPr="00685201" w:rsidRDefault="00E130AF" w:rsidP="00D52823">
      <w:pPr>
        <w:pStyle w:val="ParaNoNdepar-AltN"/>
        <w:widowControl w:val="0"/>
        <w:spacing w:before="0" w:after="0"/>
        <w:rPr>
          <w:rFonts w:cs="Times New Roman"/>
        </w:rPr>
      </w:pPr>
      <w:r w:rsidRPr="00685201">
        <w:rPr>
          <w:rFonts w:cs="Times New Roman"/>
        </w:rPr>
        <w:t>In so finding, the trial judge relied upon two Ontario trial decisions.</w:t>
      </w:r>
      <w:r w:rsidRPr="00583901">
        <w:rPr>
          <w:rStyle w:val="Hyperlink"/>
          <w:u w:val="none"/>
          <w:vertAlign w:val="superscript"/>
        </w:rPr>
        <w:footnoteReference w:id="4"/>
      </w:r>
      <w:r w:rsidRPr="00685201">
        <w:rPr>
          <w:rFonts w:cs="Times New Roman"/>
        </w:rPr>
        <w:t xml:space="preserve"> Further, he found that a “simple standard inquiry” by Valard would be a “more reliable means” of learning of the bond’s existence.</w:t>
      </w:r>
      <w:r w:rsidRPr="00583901">
        <w:rPr>
          <w:rStyle w:val="Hyperlink"/>
          <w:u w:val="none"/>
          <w:vertAlign w:val="superscript"/>
        </w:rPr>
        <w:footnoteReference w:id="5"/>
      </w:r>
    </w:p>
    <w:p w:rsidR="00E130AF" w:rsidRPr="00685201" w:rsidRDefault="00E130AF" w:rsidP="00D52823">
      <w:pPr>
        <w:pStyle w:val="Title2LevelTitre2Niveau"/>
        <w:widowControl w:val="0"/>
        <w:numPr>
          <w:ilvl w:val="1"/>
          <w:numId w:val="19"/>
        </w:numPr>
        <w:jc w:val="both"/>
        <w:rPr>
          <w:rFonts w:cs="Times New Roman"/>
        </w:rPr>
      </w:pPr>
      <w:r w:rsidRPr="00685201">
        <w:rPr>
          <w:rFonts w:cs="Times New Roman"/>
        </w:rPr>
        <w:t>Court of Appeal of Alberta, 2016 ABCA 249, [2017] 2 W.W.R. 46</w:t>
      </w:r>
    </w:p>
    <w:p w:rsidR="00E130AF" w:rsidRPr="00685201" w:rsidRDefault="00E130AF" w:rsidP="00D52823">
      <w:pPr>
        <w:pStyle w:val="ParaNoNdepar-AltN"/>
        <w:widowControl w:val="0"/>
        <w:rPr>
          <w:rFonts w:cs="Times New Roman"/>
        </w:rPr>
      </w:pPr>
      <w:r w:rsidRPr="00685201">
        <w:rPr>
          <w:rFonts w:cs="Times New Roman"/>
        </w:rPr>
        <w:t>A majority at the Alberta Court of Appeal dismissed Valard’s appeal, affirming that Bird had “no legal duty to inform any potential claimant about the existence of a labour and material payment bond, unless and until a clear and unequivocal request for information about the bond is made”.</w:t>
      </w:r>
      <w:r w:rsidRPr="00583901">
        <w:rPr>
          <w:rStyle w:val="Hyperlink"/>
          <w:u w:val="none"/>
          <w:vertAlign w:val="superscript"/>
        </w:rPr>
        <w:footnoteReference w:id="6"/>
      </w:r>
      <w:r w:rsidRPr="00685201">
        <w:rPr>
          <w:rFonts w:cs="Times New Roman"/>
        </w:rPr>
        <w:t xml:space="preserve"> Valard could, it held, have demanded such information under s. 33 of Alberta’s </w:t>
      </w:r>
      <w:r w:rsidRPr="00685201">
        <w:rPr>
          <w:rFonts w:cs="Times New Roman"/>
          <w:i/>
        </w:rPr>
        <w:t>Builders’ Lien Act</w:t>
      </w:r>
      <w:r w:rsidRPr="00685201">
        <w:rPr>
          <w:rFonts w:cs="Times New Roman"/>
        </w:rPr>
        <w:t>, R.S.A. 2000, c. B-7. This distinguishes Valard from other trust beneficiaries who have no way to compel trustees to disclose the existence of a trust, and therefore distinguishes this case from other cases in which a duty to disclose the existence o</w:t>
      </w:r>
      <w:r>
        <w:rPr>
          <w:rFonts w:cs="Times New Roman"/>
        </w:rPr>
        <w:t xml:space="preserve">f a trust has been </w:t>
      </w:r>
      <w:r>
        <w:rPr>
          <w:rFonts w:cs="Times New Roman"/>
        </w:rPr>
        <w:lastRenderedPageBreak/>
        <w:t>recognized.</w:t>
      </w:r>
    </w:p>
    <w:p w:rsidR="00E130AF" w:rsidRPr="00685201" w:rsidRDefault="00E130AF" w:rsidP="00D52823">
      <w:pPr>
        <w:pStyle w:val="ParaNoNdepar-AltN"/>
        <w:widowControl w:val="0"/>
        <w:rPr>
          <w:rFonts w:cs="Times New Roman"/>
        </w:rPr>
      </w:pPr>
      <w:r w:rsidRPr="00685201">
        <w:rPr>
          <w:rFonts w:cs="Times New Roman"/>
        </w:rPr>
        <w:t>Justice Wakeling, in dissent, would have allowed the appeal. Bird, as a trustee, owed fiduciary duties to potential beneficiaries, which duties required Bird to protect their interests without being asked to do so. As a general rule, Wakeling J.A. found that if potential beneficiaries would derive a benefit from knowing about the existence of the trust, the trustee must undertake reasonable measures to disclose the trust’s existence to a sufficiently large segment of the class of potential beneficiaries. While this duty may be abridged by the terms of the trust document, nothing in the text of the bond indicated an intention do so. Therefore, Bird should have taken reasonable measures to inform Valard about the existence of the trust. As it did not, it is liable to pay Valard $659,671, being the amount which it would have recovered under the bond had it known about the bond’s existence in time to give notice of its claim within the 120-day notice period.</w:t>
      </w:r>
    </w:p>
    <w:p w:rsidR="00E130AF" w:rsidRPr="00685201" w:rsidRDefault="00E130AF" w:rsidP="00D52823">
      <w:pPr>
        <w:pStyle w:val="Title1LevelTitre1Niveau-AltL"/>
        <w:widowControl w:val="0"/>
        <w:numPr>
          <w:ilvl w:val="0"/>
          <w:numId w:val="19"/>
        </w:numPr>
        <w:jc w:val="both"/>
        <w:rPr>
          <w:rFonts w:cs="Times New Roman"/>
        </w:rPr>
      </w:pPr>
      <w:r w:rsidRPr="00685201">
        <w:rPr>
          <w:rFonts w:cs="Times New Roman"/>
        </w:rPr>
        <w:t>Analysis</w:t>
      </w:r>
    </w:p>
    <w:p w:rsidR="00E130AF" w:rsidRPr="00685201" w:rsidRDefault="00E130AF" w:rsidP="00D52823">
      <w:pPr>
        <w:pStyle w:val="Title2LevelTitre2Niveau"/>
        <w:widowControl w:val="0"/>
        <w:numPr>
          <w:ilvl w:val="1"/>
          <w:numId w:val="19"/>
        </w:numPr>
        <w:jc w:val="both"/>
        <w:rPr>
          <w:rFonts w:cs="Times New Roman"/>
        </w:rPr>
      </w:pPr>
      <w:r w:rsidRPr="00685201">
        <w:rPr>
          <w:rFonts w:cs="Times New Roman"/>
        </w:rPr>
        <w:t>The Duty to Disclose the Existence of the Trust</w:t>
      </w:r>
    </w:p>
    <w:p w:rsidR="00E130AF" w:rsidRPr="00685201" w:rsidRDefault="00E130AF" w:rsidP="00D52823">
      <w:pPr>
        <w:pStyle w:val="ParaNoNdepar-AltN"/>
        <w:widowControl w:val="0"/>
        <w:rPr>
          <w:rFonts w:cs="Times New Roman"/>
        </w:rPr>
      </w:pPr>
      <w:r w:rsidRPr="00685201">
        <w:rPr>
          <w:rFonts w:cs="Times New Roman"/>
        </w:rPr>
        <w:t xml:space="preserve">The bond was issued in standard form CCDC 222-2002, which was published by the Canadian Construction Documents Committee. </w:t>
      </w:r>
      <w:r w:rsidR="000A22D0">
        <w:rPr>
          <w:rFonts w:cs="Times New Roman"/>
        </w:rPr>
        <w:t xml:space="preserve">It has been in use since 2002. </w:t>
      </w:r>
      <w:r w:rsidRPr="00685201">
        <w:rPr>
          <w:rFonts w:cs="Times New Roman"/>
        </w:rPr>
        <w:t xml:space="preserve">Its text creates an express trust, naming Bird as trustee of the trust property, which is the beneficiaries’ ability to claim and recover from the Guarantee Company such sums owed to them under a contract with Langford. </w:t>
      </w:r>
    </w:p>
    <w:p w:rsidR="00E130AF" w:rsidRPr="00685201" w:rsidRDefault="00E130AF" w:rsidP="00D52823">
      <w:pPr>
        <w:pStyle w:val="ParaNoNdepar-AltN"/>
        <w:widowControl w:val="0"/>
        <w:rPr>
          <w:rFonts w:cs="Times New Roman"/>
        </w:rPr>
      </w:pPr>
      <w:r w:rsidRPr="00685201">
        <w:rPr>
          <w:rFonts w:cs="Times New Roman"/>
        </w:rPr>
        <w:lastRenderedPageBreak/>
        <w:t>It is true, as the trial judge observed, and as the Ontario cases upon which he relied emphasized, that the bond did not expressly impose a duty on Bird as trustee “to protect the interests of [beneficiaries]” by, for example, disclosing the bond’s existence to them. The absence of an express term imposing a duty on Bird to disclose the trust’s existence is not, howe</w:t>
      </w:r>
      <w:r w:rsidR="000A22D0">
        <w:rPr>
          <w:rFonts w:cs="Times New Roman"/>
        </w:rPr>
        <w:t xml:space="preserve">ver, fatal to Valard’s appeal. </w:t>
      </w:r>
      <w:r w:rsidRPr="00685201">
        <w:rPr>
          <w:rFonts w:cs="Times New Roman"/>
        </w:rPr>
        <w:t>While the “main source” of a trustee’s duties is the trust instrument, the “general law” which sets out a trustee’s duties, rights and obligations continues to govern where the trust instrument is silent.</w:t>
      </w:r>
      <w:r w:rsidRPr="000A22D0">
        <w:rPr>
          <w:rStyle w:val="Hyperlink"/>
          <w:u w:val="none"/>
          <w:vertAlign w:val="superscript"/>
        </w:rPr>
        <w:footnoteReference w:id="7"/>
      </w:r>
      <w:r w:rsidRPr="00685201">
        <w:rPr>
          <w:rFonts w:cs="Times New Roman"/>
        </w:rPr>
        <w:t xml:space="preserve"> </w:t>
      </w:r>
    </w:p>
    <w:p w:rsidR="00E130AF" w:rsidRPr="00685201" w:rsidRDefault="00E130AF" w:rsidP="00D52823">
      <w:pPr>
        <w:pStyle w:val="ParaNoNdepar-AltN"/>
        <w:widowControl w:val="0"/>
        <w:rPr>
          <w:rFonts w:cs="Times New Roman"/>
        </w:rPr>
      </w:pPr>
      <w:r w:rsidRPr="00685201">
        <w:rPr>
          <w:rFonts w:cs="Times New Roman"/>
        </w:rPr>
        <w:t>As to that general law, fir</w:t>
      </w:r>
      <w:r w:rsidR="000004AD">
        <w:rPr>
          <w:rFonts w:cs="Times New Roman"/>
        </w:rPr>
        <w:t xml:space="preserve">st principles are instructive. </w:t>
      </w:r>
      <w:r w:rsidRPr="00685201">
        <w:rPr>
          <w:rFonts w:cs="Times New Roman"/>
        </w:rPr>
        <w:t>At its core, a “trust” refers to:</w:t>
      </w:r>
    </w:p>
    <w:p w:rsidR="00E130AF" w:rsidRPr="00685201" w:rsidRDefault="00E130AF" w:rsidP="00D52823">
      <w:pPr>
        <w:pStyle w:val="ParaNoNdepar-AltN"/>
        <w:widowControl w:val="0"/>
        <w:numPr>
          <w:ilvl w:val="0"/>
          <w:numId w:val="0"/>
        </w:numPr>
        <w:spacing w:line="240" w:lineRule="auto"/>
        <w:ind w:left="1440"/>
        <w:rPr>
          <w:rFonts w:cs="Times New Roman"/>
        </w:rPr>
      </w:pPr>
      <w:r w:rsidRPr="00685201">
        <w:rPr>
          <w:rFonts w:cs="Times New Roman"/>
        </w:rPr>
        <w:t>. . . the relationship which arises whenever a person (called the trustee) is compelled in equity to hold property . . . for the benefit of some persons . . . or for some object permitted by law, in such a way that the real benefit of the property accrues, not to the truste[e], but to the beneficiaries or other objects of the trust.</w:t>
      </w:r>
      <w:r w:rsidRPr="000A22D0">
        <w:rPr>
          <w:rStyle w:val="Hyperlink"/>
          <w:u w:val="none"/>
          <w:vertAlign w:val="superscript"/>
        </w:rPr>
        <w:footnoteReference w:id="8"/>
      </w:r>
    </w:p>
    <w:p w:rsidR="00E130AF" w:rsidRPr="00685201" w:rsidRDefault="00E130AF" w:rsidP="00D52823">
      <w:pPr>
        <w:pStyle w:val="ParaNoNdepar-AltN"/>
        <w:widowControl w:val="0"/>
        <w:rPr>
          <w:rFonts w:cs="Times New Roman"/>
        </w:rPr>
      </w:pPr>
      <w:r w:rsidRPr="00685201">
        <w:rPr>
          <w:rFonts w:cs="Times New Roman"/>
        </w:rPr>
        <w:t>Because a trust divides legal and beneficial title to property between a trustee and a beneficiary, respectively, the “hallmark” characteristic of a trust is the fiduciary relationship existing between the trustee and the beneficiary, by which the trustee is to hold the trust property solely for the beneficiary’s enjoyment.</w:t>
      </w:r>
      <w:r w:rsidRPr="00A86A0A">
        <w:rPr>
          <w:rStyle w:val="Hyperlink"/>
          <w:u w:val="none"/>
          <w:vertAlign w:val="superscript"/>
        </w:rPr>
        <w:footnoteReference w:id="9"/>
      </w:r>
      <w:r w:rsidRPr="00685201">
        <w:rPr>
          <w:rFonts w:cs="Times New Roman"/>
        </w:rPr>
        <w:t xml:space="preserve"> As a matter </w:t>
      </w:r>
      <w:r w:rsidRPr="00685201">
        <w:rPr>
          <w:rFonts w:cs="Times New Roman"/>
        </w:rPr>
        <w:lastRenderedPageBreak/>
        <w:t>of law, this fiduciary relationship, in turn, impresses the office of trustee with certain duties. In particular, three duties have been recognized in Canadian law as fundamental. First, a trustee must act honestly and with that level of skill and prudence which would be expected of the reasonable person of business administering his or her own affairs. Secondly, a trustee cannot delegate the office to another. And thirdly, a trustee cannot profit personally from its dealings with the trust property or with the beneficiaries of the trust.</w:t>
      </w:r>
      <w:r w:rsidRPr="00A86A0A">
        <w:rPr>
          <w:rStyle w:val="Hyperlink"/>
          <w:u w:val="none"/>
          <w:vertAlign w:val="superscript"/>
        </w:rPr>
        <w:footnoteReference w:id="10"/>
      </w:r>
    </w:p>
    <w:p w:rsidR="00E130AF" w:rsidRPr="00685201" w:rsidRDefault="00E130AF" w:rsidP="00D52823">
      <w:pPr>
        <w:pStyle w:val="ParaNoNdepar-AltN"/>
        <w:widowControl w:val="0"/>
        <w:rPr>
          <w:rFonts w:cs="Times New Roman"/>
        </w:rPr>
      </w:pPr>
      <w:r w:rsidRPr="00685201">
        <w:rPr>
          <w:rFonts w:cs="Times New Roman"/>
        </w:rPr>
        <w:t>Correspondingly, the beneficiary of a trust has a right to hold the trustee to account for its administration of the trust property and to enforce the terms of the trust.</w:t>
      </w:r>
      <w:r w:rsidRPr="000A22D0">
        <w:rPr>
          <w:rStyle w:val="Hyperlink"/>
          <w:u w:val="none"/>
          <w:vertAlign w:val="superscript"/>
        </w:rPr>
        <w:footnoteReference w:id="11"/>
      </w:r>
      <w:r w:rsidRPr="00685201">
        <w:rPr>
          <w:rFonts w:cs="Times New Roman"/>
        </w:rPr>
        <w:t xml:space="preserve"> Absent such a right, both the trustee’s obligation to act in accordance with its fiduciary duty and the terms of the trust itself would </w:t>
      </w:r>
      <w:r w:rsidR="000004AD">
        <w:rPr>
          <w:rFonts w:cs="Times New Roman"/>
        </w:rPr>
        <w:t>be substantially unenforceable.</w:t>
      </w:r>
      <w:r w:rsidRPr="00685201">
        <w:rPr>
          <w:rFonts w:cs="Times New Roman"/>
        </w:rPr>
        <w:t xml:space="preserve"> In effect, the trustee would hold beneficial as well as legal ownership of the trust property</w:t>
      </w:r>
      <w:r w:rsidRPr="000A22D0">
        <w:rPr>
          <w:rStyle w:val="Hyperlink"/>
          <w:u w:val="none"/>
          <w:vertAlign w:val="superscript"/>
        </w:rPr>
        <w:footnoteReference w:id="12"/>
      </w:r>
      <w:r w:rsidRPr="00685201">
        <w:rPr>
          <w:rFonts w:cs="Times New Roman"/>
        </w:rPr>
        <w:t xml:space="preserve"> — which would, of course, be contrary to the division of legal and beneficial ownership upon which the trust relationship is premised.</w:t>
      </w:r>
      <w:r w:rsidRPr="000A22D0">
        <w:rPr>
          <w:rStyle w:val="Hyperlink"/>
          <w:u w:val="none"/>
          <w:vertAlign w:val="superscript"/>
        </w:rPr>
        <w:footnoteReference w:id="13"/>
      </w:r>
    </w:p>
    <w:p w:rsidR="00E130AF" w:rsidRPr="00685201" w:rsidRDefault="00E130AF" w:rsidP="00D52823">
      <w:pPr>
        <w:pStyle w:val="ParaNoNdepar-AltN"/>
        <w:widowControl w:val="0"/>
        <w:rPr>
          <w:rFonts w:cs="Times New Roman"/>
        </w:rPr>
      </w:pPr>
      <w:r w:rsidRPr="00685201">
        <w:rPr>
          <w:rFonts w:cs="Times New Roman"/>
        </w:rPr>
        <w:t xml:space="preserve">The extent of a trustee’s duty to account is usually considered in circumstances where a beneficiary who is </w:t>
      </w:r>
      <w:r w:rsidRPr="00685201">
        <w:rPr>
          <w:rFonts w:cs="Times New Roman"/>
          <w:i/>
        </w:rPr>
        <w:t>already aware</w:t>
      </w:r>
      <w:r w:rsidRPr="00685201">
        <w:rPr>
          <w:rFonts w:cs="Times New Roman"/>
        </w:rPr>
        <w:t xml:space="preserve"> of the trust’s existence requests disclosure of information pertaining to the terms or administration of the </w:t>
      </w:r>
      <w:r w:rsidRPr="00685201">
        <w:rPr>
          <w:rFonts w:cs="Times New Roman"/>
        </w:rPr>
        <w:lastRenderedPageBreak/>
        <w:t>trust.</w:t>
      </w:r>
      <w:r w:rsidRPr="00B22552">
        <w:rPr>
          <w:rStyle w:val="Hyperlink"/>
          <w:u w:val="none"/>
          <w:vertAlign w:val="superscript"/>
        </w:rPr>
        <w:footnoteReference w:id="14"/>
      </w:r>
      <w:r w:rsidRPr="00B22552">
        <w:rPr>
          <w:rFonts w:cs="Times New Roman"/>
        </w:rPr>
        <w:t xml:space="preserve"> </w:t>
      </w:r>
      <w:r w:rsidRPr="00685201">
        <w:rPr>
          <w:rFonts w:cs="Times New Roman"/>
        </w:rPr>
        <w:t>In some cases, however, the beneficiary’s right to enforce the terms of the trust can be meaningfully exercised only if he or she is first informed of the trust’s existence. While this arises most frequently in cases where the beneficiary’s interest under the trust is conditional upon attaining the age of majority,</w:t>
      </w:r>
      <w:r w:rsidRPr="00D57440">
        <w:rPr>
          <w:rStyle w:val="Hyperlink"/>
          <w:u w:val="none"/>
          <w:vertAlign w:val="superscript"/>
        </w:rPr>
        <w:footnoteReference w:id="15"/>
      </w:r>
      <w:r w:rsidRPr="00685201">
        <w:rPr>
          <w:rFonts w:cs="Times New Roman"/>
        </w:rPr>
        <w:t xml:space="preserve"> equity imposes upon trustees a duty to disclose to beneficiaries the existence of the trust in a variety of circumstances.</w:t>
      </w:r>
      <w:r w:rsidRPr="00D57440">
        <w:rPr>
          <w:rStyle w:val="Hyperlink"/>
          <w:u w:val="none"/>
          <w:vertAlign w:val="superscript"/>
        </w:rPr>
        <w:footnoteReference w:id="16"/>
      </w:r>
      <w:r w:rsidRPr="00685201">
        <w:rPr>
          <w:rFonts w:cs="Times New Roman"/>
        </w:rPr>
        <w:t xml:space="preserve"> In general, wherever “it could be said to be to the unreasonable disadvantage of the beneficiary not to be informed” of the trust’s existence,</w:t>
      </w:r>
      <w:r w:rsidRPr="00D57440">
        <w:rPr>
          <w:rStyle w:val="Hyperlink"/>
          <w:u w:val="none"/>
          <w:vertAlign w:val="superscript"/>
        </w:rPr>
        <w:footnoteReference w:id="17"/>
      </w:r>
      <w:r w:rsidRPr="00685201">
        <w:rPr>
          <w:rFonts w:cs="Times New Roman"/>
        </w:rPr>
        <w:t xml:space="preserve"> the trustee’s fiduciary duty includes an obligation to disclose the existence of the trust. Whether a particular disadvantage is </w:t>
      </w:r>
      <w:r w:rsidRPr="00685201">
        <w:rPr>
          <w:rFonts w:cs="Times New Roman"/>
          <w:i/>
        </w:rPr>
        <w:t xml:space="preserve">unreasonable </w:t>
      </w:r>
      <w:r w:rsidRPr="00685201">
        <w:rPr>
          <w:rFonts w:cs="Times New Roman"/>
        </w:rPr>
        <w:t>must be considered in light of the nature and terms of the trust and the social or business environment in which it operates,</w:t>
      </w:r>
      <w:r w:rsidRPr="00D57440">
        <w:rPr>
          <w:rStyle w:val="Hyperlink"/>
          <w:u w:val="none"/>
          <w:vertAlign w:val="superscript"/>
        </w:rPr>
        <w:footnoteReference w:id="18"/>
      </w:r>
      <w:r w:rsidRPr="00685201">
        <w:rPr>
          <w:rFonts w:cs="Times New Roman"/>
        </w:rPr>
        <w:t xml:space="preserve"> and in light of the beneficiary’s entitlement thereunder. For example, </w:t>
      </w:r>
      <w:r w:rsidRPr="00685201">
        <w:rPr>
          <w:rFonts w:cs="Times New Roman"/>
          <w:szCs w:val="24"/>
        </w:rPr>
        <w:t>where the enforcement of the trust requires that the beneficiary receive notice of the trust’s existence, and the beneficiary would not otherwise have such knowledge, a duty to disclose will arise.</w:t>
      </w:r>
      <w:r w:rsidRPr="00D57440">
        <w:rPr>
          <w:rStyle w:val="Hyperlink"/>
          <w:u w:val="none"/>
          <w:vertAlign w:val="superscript"/>
        </w:rPr>
        <w:footnoteReference w:id="19"/>
      </w:r>
      <w:r w:rsidRPr="00D57440">
        <w:rPr>
          <w:rFonts w:cs="Times New Roman"/>
        </w:rPr>
        <w:t xml:space="preserve"> </w:t>
      </w:r>
      <w:r w:rsidRPr="00685201">
        <w:rPr>
          <w:rFonts w:cs="Times New Roman"/>
        </w:rPr>
        <w:t>On the other hand, “where the interest of the beneficiary is remote in the sense that vesting is most unlikely, or the opportunity for the power or discretion to be exercised is equally unlikely”,</w:t>
      </w:r>
      <w:r w:rsidRPr="00C845A2">
        <w:rPr>
          <w:rStyle w:val="Hyperlink"/>
          <w:u w:val="none"/>
          <w:vertAlign w:val="superscript"/>
        </w:rPr>
        <w:footnoteReference w:id="20"/>
      </w:r>
      <w:r w:rsidRPr="00685201">
        <w:rPr>
          <w:rFonts w:cs="Times New Roman"/>
        </w:rPr>
        <w:t xml:space="preserve"> it would be rare to find that the beneficiary could be said to suffer </w:t>
      </w:r>
      <w:r w:rsidRPr="00685201">
        <w:rPr>
          <w:rFonts w:cs="Times New Roman"/>
        </w:rPr>
        <w:lastRenderedPageBreak/>
        <w:t>unreasonable disadvantage if uninformed of the trust’s existence.</w:t>
      </w:r>
    </w:p>
    <w:p w:rsidR="00E130AF" w:rsidRPr="00685201" w:rsidRDefault="00E130AF" w:rsidP="00D52823">
      <w:pPr>
        <w:pStyle w:val="ParaNoNdepar-AltN"/>
        <w:widowControl w:val="0"/>
        <w:rPr>
          <w:rFonts w:cs="Times New Roman"/>
        </w:rPr>
      </w:pPr>
      <w:r w:rsidRPr="00685201">
        <w:rPr>
          <w:rFonts w:cs="Times New Roman"/>
        </w:rPr>
        <w:t>In my view, Valard was unreasonably disadvantaged by Bird’s failure to info</w:t>
      </w:r>
      <w:r w:rsidR="00C845A2">
        <w:rPr>
          <w:rFonts w:cs="Times New Roman"/>
        </w:rPr>
        <w:t>rm it of the trust’s existence.</w:t>
      </w:r>
      <w:r w:rsidRPr="00685201">
        <w:rPr>
          <w:rFonts w:cs="Times New Roman"/>
        </w:rPr>
        <w:t xml:space="preserve"> Valard’s interest under the trust was not so “remote” that vesting was unlikely — indeed, Valard’s interest vested 90 days after its final day of work on the project. And, Valard required knowledge of the trust in order to enforce it. The expiry of the 120-day notice period before Valard learned of the bond effectively prevented it from enforcing the trust by making a claim against the Guarantee Company and recovering sums owed under its contract with Langford. I would therefore find that Bird, as trustee, had a duty to disclose the bond’s existence to Valard. </w:t>
      </w:r>
    </w:p>
    <w:p w:rsidR="00E130AF" w:rsidRPr="00685201" w:rsidRDefault="00E130AF" w:rsidP="00D52823">
      <w:pPr>
        <w:pStyle w:val="ParaNoNdepar-AltN"/>
        <w:widowControl w:val="0"/>
        <w:rPr>
          <w:rFonts w:cs="Times New Roman"/>
        </w:rPr>
      </w:pPr>
      <w:r w:rsidRPr="00685201">
        <w:rPr>
          <w:rFonts w:cs="Times New Roman"/>
        </w:rPr>
        <w:t xml:space="preserve">Throughout these proceedings, however, Bird has maintained that, while it is a trustee with fiduciary duties to beneficiaries, those duties do not require Bird to disclose the existence of the bond containing the trust. In support of its position, Bird says that the sole purpose of labour and material payment bonds is to protect </w:t>
      </w:r>
      <w:r w:rsidRPr="00685201">
        <w:rPr>
          <w:rFonts w:cs="Times New Roman"/>
          <w:i/>
        </w:rPr>
        <w:t xml:space="preserve">the trustee </w:t>
      </w:r>
      <w:r w:rsidRPr="00685201">
        <w:rPr>
          <w:rFonts w:cs="Times New Roman"/>
        </w:rPr>
        <w:t xml:space="preserve">— be it an owner or a general contractor — from the risk and expense of liens and work stoppages. A duty to disclose the existence of the bond to potential trust beneficiaries would therefore be inconsistent with its sole purpose of protecting Bird. </w:t>
      </w:r>
    </w:p>
    <w:p w:rsidR="00E130AF" w:rsidRPr="00685201" w:rsidRDefault="00E130AF" w:rsidP="00D52823">
      <w:pPr>
        <w:pStyle w:val="ParaNoNdepar-AltN"/>
        <w:widowControl w:val="0"/>
        <w:rPr>
          <w:rFonts w:cs="Times New Roman"/>
        </w:rPr>
      </w:pPr>
      <w:r w:rsidRPr="00685201">
        <w:rPr>
          <w:rFonts w:cs="Times New Roman"/>
        </w:rPr>
        <w:t>I acknowledge that labour and material payment bonds serve the purpose of protecting owners and general contractors such as Bird from the risk of work stoppages, liens and litigation over payment.</w:t>
      </w:r>
      <w:r w:rsidRPr="00C845A2">
        <w:rPr>
          <w:rStyle w:val="Hyperlink"/>
          <w:u w:val="none"/>
          <w:vertAlign w:val="superscript"/>
        </w:rPr>
        <w:footnoteReference w:id="21"/>
      </w:r>
      <w:r w:rsidR="000004AD">
        <w:rPr>
          <w:rFonts w:cs="Times New Roman"/>
        </w:rPr>
        <w:t xml:space="preserve"> </w:t>
      </w:r>
      <w:r w:rsidRPr="00685201">
        <w:rPr>
          <w:rFonts w:cs="Times New Roman"/>
        </w:rPr>
        <w:t xml:space="preserve">For that purpose to be properly realized, </w:t>
      </w:r>
      <w:r w:rsidRPr="00685201">
        <w:rPr>
          <w:rFonts w:cs="Times New Roman"/>
        </w:rPr>
        <w:lastRenderedPageBreak/>
        <w:t>however, a beneficiary such as Valard must be capable of enforcing the bond by claiming against the surety to recover for unpaid invoices. Put another way, where a beneficiary is unaware of its right to claim under the bond within the notice period, the bond’s trustee is susceptible to the very risks which Bird says the bond was intended to avoid. At the risk of stating the obvious, a general contractor who “has taken the benefit of the goods and the services provided by the subtrades does . . . have a genuine interest in ensuring that suppliers are compensated and the labour and material payment bond is intended to serve this purpose”.</w:t>
      </w:r>
      <w:r w:rsidRPr="00C845A2">
        <w:rPr>
          <w:rStyle w:val="Hyperlink"/>
          <w:u w:val="none"/>
          <w:vertAlign w:val="superscript"/>
        </w:rPr>
        <w:footnoteReference w:id="22"/>
      </w:r>
      <w:r w:rsidRPr="00685201">
        <w:rPr>
          <w:rFonts w:cs="Times New Roman"/>
        </w:rPr>
        <w:t xml:space="preserve"> While, therefore, I do not dispute that labour and material payment bonds may be secured for the protection of the trustee, their proper operation tends to affirm rather than negate the necessity of disclosing their existence. </w:t>
      </w:r>
    </w:p>
    <w:p w:rsidR="00E130AF" w:rsidRPr="00685201" w:rsidRDefault="00E130AF" w:rsidP="00D52823">
      <w:pPr>
        <w:pStyle w:val="ParaNoNdepar-AltN"/>
        <w:widowControl w:val="0"/>
        <w:rPr>
          <w:rFonts w:cs="Times New Roman"/>
        </w:rPr>
      </w:pPr>
      <w:r w:rsidRPr="00685201">
        <w:rPr>
          <w:rFonts w:cs="Times New Roman"/>
        </w:rPr>
        <w:t xml:space="preserve">In disputing the foregoing, my colleague Karakatsanis J. says that “for over 45 years, the </w:t>
      </w:r>
      <w:r w:rsidRPr="00685201">
        <w:rPr>
          <w:rFonts w:cs="Times New Roman"/>
          <w:u w:val="single"/>
        </w:rPr>
        <w:t>understanding</w:t>
      </w:r>
      <w:r w:rsidRPr="00685201">
        <w:rPr>
          <w:rFonts w:cs="Times New Roman"/>
        </w:rPr>
        <w:t xml:space="preserve"> and </w:t>
      </w:r>
      <w:r w:rsidRPr="00685201">
        <w:rPr>
          <w:rFonts w:cs="Times New Roman"/>
          <w:u w:val="single"/>
        </w:rPr>
        <w:t>practice</w:t>
      </w:r>
      <w:r w:rsidRPr="00685201">
        <w:rPr>
          <w:rFonts w:cs="Times New Roman"/>
        </w:rPr>
        <w:t xml:space="preserve"> in the construction industry in Canada has been that the trustee of a labour and material payment bond is not required to take steps to notify potential claimants of the existence of the bond”</w:t>
      </w:r>
      <w:r w:rsidRPr="005C2395">
        <w:rPr>
          <w:rStyle w:val="Hyperlink"/>
          <w:u w:val="none"/>
          <w:vertAlign w:val="superscript"/>
        </w:rPr>
        <w:t xml:space="preserve"> </w:t>
      </w:r>
      <w:r w:rsidRPr="00C845A2">
        <w:rPr>
          <w:rStyle w:val="Hyperlink"/>
          <w:u w:val="none"/>
          <w:vertAlign w:val="superscript"/>
        </w:rPr>
        <w:footnoteReference w:id="23"/>
      </w:r>
      <w:r w:rsidRPr="00685201">
        <w:rPr>
          <w:rFonts w:cs="Times New Roman"/>
        </w:rPr>
        <w:t xml:space="preserve"> and that “claimants are </w:t>
      </w:r>
      <w:r w:rsidRPr="00685201">
        <w:rPr>
          <w:rFonts w:cs="Times New Roman"/>
          <w:u w:val="single"/>
        </w:rPr>
        <w:t>expected</w:t>
      </w:r>
      <w:r w:rsidRPr="00685201">
        <w:rPr>
          <w:rFonts w:cs="Times New Roman"/>
        </w:rPr>
        <w:t xml:space="preserve"> to enquire as to the [bond’s] existence”.</w:t>
      </w:r>
      <w:r w:rsidRPr="00C845A2">
        <w:rPr>
          <w:rStyle w:val="Hyperlink"/>
          <w:u w:val="none"/>
          <w:vertAlign w:val="superscript"/>
        </w:rPr>
        <w:footnoteReference w:id="24"/>
      </w:r>
      <w:r w:rsidRPr="00685201">
        <w:rPr>
          <w:rFonts w:cs="Times New Roman"/>
        </w:rPr>
        <w:t xml:space="preserve"> Questions of industry understanding, practice, and expectations are, however, matters of </w:t>
      </w:r>
      <w:r w:rsidRPr="00685201">
        <w:rPr>
          <w:rFonts w:cs="Times New Roman"/>
          <w:i/>
        </w:rPr>
        <w:t>fact</w:t>
      </w:r>
      <w:r w:rsidRPr="00685201">
        <w:rPr>
          <w:rFonts w:cs="Times New Roman"/>
        </w:rPr>
        <w:t xml:space="preserve">. And as I discuss below, the </w:t>
      </w:r>
      <w:r w:rsidRPr="00685201">
        <w:rPr>
          <w:rFonts w:cs="Times New Roman"/>
          <w:i/>
        </w:rPr>
        <w:t>fact</w:t>
      </w:r>
      <w:r w:rsidRPr="00685201">
        <w:rPr>
          <w:rFonts w:cs="Times New Roman"/>
        </w:rPr>
        <w:t xml:space="preserve"> here was that labour </w:t>
      </w:r>
      <w:r w:rsidR="00C845A2">
        <w:rPr>
          <w:rFonts w:cs="Times New Roman"/>
        </w:rPr>
        <w:t xml:space="preserve">and </w:t>
      </w:r>
      <w:r w:rsidRPr="00685201">
        <w:rPr>
          <w:rFonts w:cs="Times New Roman"/>
        </w:rPr>
        <w:t>material payment bonds were uncommon on private oilsands construction projects. To the extent my colleague relies</w:t>
      </w:r>
      <w:r w:rsidRPr="00C845A2">
        <w:rPr>
          <w:rStyle w:val="Hyperlink"/>
          <w:u w:val="none"/>
          <w:vertAlign w:val="superscript"/>
        </w:rPr>
        <w:footnoteReference w:id="25"/>
      </w:r>
      <w:r w:rsidRPr="00685201">
        <w:rPr>
          <w:rFonts w:cs="Times New Roman"/>
        </w:rPr>
        <w:t xml:space="preserve"> on the oral reasons given from the bench at the York County Court in </w:t>
      </w:r>
      <w:r w:rsidRPr="00685201">
        <w:rPr>
          <w:rFonts w:cs="Times New Roman"/>
          <w:i/>
        </w:rPr>
        <w:t xml:space="preserve">Dominion Bridge Co. v. </w:t>
      </w:r>
      <w:r w:rsidRPr="00685201">
        <w:rPr>
          <w:rFonts w:cs="Times New Roman"/>
          <w:i/>
        </w:rPr>
        <w:lastRenderedPageBreak/>
        <w:t>Marla Construction Co.</w:t>
      </w:r>
      <w:r w:rsidRPr="00685201">
        <w:rPr>
          <w:rFonts w:cs="Times New Roman"/>
        </w:rPr>
        <w:t>,</w:t>
      </w:r>
      <w:r w:rsidRPr="00685201">
        <w:rPr>
          <w:rFonts w:cs="Times New Roman"/>
          <w:i/>
        </w:rPr>
        <w:t xml:space="preserve"> </w:t>
      </w:r>
      <w:r w:rsidRPr="00685201">
        <w:rPr>
          <w:rFonts w:cs="Times New Roman"/>
        </w:rPr>
        <w:t xml:space="preserve">and on </w:t>
      </w:r>
      <w:r w:rsidRPr="00685201">
        <w:rPr>
          <w:rFonts w:cs="Times New Roman"/>
          <w:i/>
        </w:rPr>
        <w:t xml:space="preserve">Dolvin Mechanical Contractors Ltd. v. Trisura Guarantee Insurance Co. </w:t>
      </w:r>
      <w:r w:rsidRPr="00685201">
        <w:rPr>
          <w:rFonts w:cs="Times New Roman"/>
        </w:rPr>
        <w:t xml:space="preserve">(which relied on </w:t>
      </w:r>
      <w:r w:rsidRPr="00685201">
        <w:rPr>
          <w:rFonts w:cs="Times New Roman"/>
          <w:i/>
        </w:rPr>
        <w:t>Dominion Bridge</w:t>
      </w:r>
      <w:r w:rsidRPr="00685201">
        <w:rPr>
          <w:rFonts w:cs="Times New Roman"/>
        </w:rPr>
        <w:t>), as somehow establishing the “understanding and practice in the construction industry in Canada”,</w:t>
      </w:r>
      <w:r w:rsidRPr="003A0DBD">
        <w:rPr>
          <w:rStyle w:val="Hyperlink"/>
          <w:u w:val="none"/>
          <w:vertAlign w:val="superscript"/>
        </w:rPr>
        <w:footnoteReference w:id="26"/>
      </w:r>
      <w:r w:rsidRPr="00685201">
        <w:rPr>
          <w:rFonts w:cs="Times New Roman"/>
        </w:rPr>
        <w:t xml:space="preserve"> I say respectfully that these case authorities from a single province neither displace the uncontradicted evidence of Mr. Wemyss nor support my colleague’s broad factual claims. </w:t>
      </w:r>
    </w:p>
    <w:p w:rsidR="00E130AF" w:rsidRPr="00685201" w:rsidRDefault="00E130AF" w:rsidP="00D52823">
      <w:pPr>
        <w:pStyle w:val="ParaNoNdepar-AltN"/>
        <w:widowControl w:val="0"/>
        <w:rPr>
          <w:rFonts w:cs="Times New Roman"/>
        </w:rPr>
      </w:pPr>
      <w:r w:rsidRPr="00685201">
        <w:rPr>
          <w:rFonts w:cs="Times New Roman"/>
        </w:rPr>
        <w:t xml:space="preserve">Additionally, I do not agree with Bird that the existence of s. 33 of Alberta’s </w:t>
      </w:r>
      <w:r w:rsidRPr="00685201">
        <w:rPr>
          <w:rFonts w:cs="Times New Roman"/>
          <w:i/>
        </w:rPr>
        <w:t>Builders’ Lien Act</w:t>
      </w:r>
      <w:r w:rsidRPr="00685201">
        <w:rPr>
          <w:rFonts w:cs="Times New Roman"/>
        </w:rPr>
        <w:t xml:space="preserve"> eliminates the unreasonable disadvantage that arises from beneficiaries being uninformed about the trust. Section 33 provides that a lienholder, being any individual who has provided work or materials on a project, may at any reasonable time request a copy of a contract between an owner and a contractor or a contractor and subcontractor. While a trustee’s duties may be abridged or modified by statute,</w:t>
      </w:r>
      <w:r w:rsidRPr="00C845A2">
        <w:rPr>
          <w:rStyle w:val="Hyperlink"/>
          <w:u w:val="none"/>
          <w:vertAlign w:val="superscript"/>
        </w:rPr>
        <w:footnoteReference w:id="27"/>
      </w:r>
      <w:r w:rsidRPr="00685201">
        <w:rPr>
          <w:rFonts w:cs="Times New Roman"/>
        </w:rPr>
        <w:t xml:space="preserve"> nothing in s. 33 indicates that Alberta’s Legislature intended to do so here. The ability of a lienholder to request a copy of a contract between two parties on any project, including those projects which do not involve labour and material payment bonds, is hardly tantamount to a statement that a trustee is absolved of its fiduciary duty to disclose the existence of a trust contained within the bond. </w:t>
      </w:r>
    </w:p>
    <w:p w:rsidR="00E130AF" w:rsidRPr="00685201" w:rsidRDefault="00E130AF" w:rsidP="00D52823">
      <w:pPr>
        <w:pStyle w:val="ParaNoNdepar-AltN"/>
        <w:widowControl w:val="0"/>
        <w:spacing w:before="240"/>
        <w:rPr>
          <w:rFonts w:cs="Times New Roman"/>
        </w:rPr>
      </w:pPr>
      <w:r w:rsidRPr="00685201">
        <w:rPr>
          <w:rFonts w:cs="Times New Roman"/>
        </w:rPr>
        <w:t xml:space="preserve">I would also reject Bird’s suggestion that it was merely a “bare trustee” and that, as such, it had no obligation to disclose the existence of the trust until expressly </w:t>
      </w:r>
      <w:r w:rsidRPr="00685201">
        <w:rPr>
          <w:rFonts w:cs="Times New Roman"/>
        </w:rPr>
        <w:lastRenderedPageBreak/>
        <w:t>requested to do so.</w:t>
      </w:r>
      <w:r w:rsidRPr="00C845A2">
        <w:rPr>
          <w:rStyle w:val="Hyperlink"/>
          <w:u w:val="none"/>
          <w:vertAlign w:val="superscript"/>
        </w:rPr>
        <w:footnoteReference w:id="28"/>
      </w:r>
      <w:r w:rsidRPr="00685201">
        <w:rPr>
          <w:rFonts w:cs="Times New Roman"/>
        </w:rPr>
        <w:t xml:space="preserve"> At law, a bare trust arises where the trustee holds property “without any duty to perform except to convey it to the beneficiary or beneficiaries upon demand”.</w:t>
      </w:r>
      <w:r w:rsidRPr="00C845A2">
        <w:rPr>
          <w:rStyle w:val="Hyperlink"/>
          <w:u w:val="none"/>
          <w:vertAlign w:val="superscript"/>
        </w:rPr>
        <w:footnoteReference w:id="29"/>
      </w:r>
      <w:r w:rsidRPr="00685201">
        <w:rPr>
          <w:rFonts w:cs="Times New Roman"/>
        </w:rPr>
        <w:t xml:space="preserve"> This definition assumes, </w:t>
      </w:r>
      <w:r w:rsidRPr="00685201">
        <w:rPr>
          <w:rFonts w:cs="Times New Roman"/>
          <w:i/>
        </w:rPr>
        <w:t>inter alia</w:t>
      </w:r>
      <w:r w:rsidRPr="00685201">
        <w:rPr>
          <w:rFonts w:cs="Times New Roman"/>
        </w:rPr>
        <w:t>, “that the beneficiary or beneficiaries are able to call for the property on demand”.</w:t>
      </w:r>
      <w:r w:rsidRPr="00C845A2">
        <w:rPr>
          <w:rStyle w:val="Hyperlink"/>
          <w:u w:val="none"/>
          <w:vertAlign w:val="superscript"/>
        </w:rPr>
        <w:footnoteReference w:id="30"/>
      </w:r>
      <w:r w:rsidRPr="00685201">
        <w:rPr>
          <w:rFonts w:cs="Times New Roman"/>
        </w:rPr>
        <w:t xml:space="preserve"> In my view, a finding that a beneficiary is able to call for the trust property on demand assumes that the beneficiary </w:t>
      </w:r>
      <w:r w:rsidRPr="00685201">
        <w:rPr>
          <w:rFonts w:cs="Times New Roman"/>
          <w:i/>
        </w:rPr>
        <w:t>knows</w:t>
      </w:r>
      <w:r w:rsidR="000004AD">
        <w:rPr>
          <w:rFonts w:cs="Times New Roman"/>
        </w:rPr>
        <w:t xml:space="preserve"> of the trust’s existence. </w:t>
      </w:r>
      <w:r w:rsidRPr="00685201">
        <w:rPr>
          <w:rFonts w:cs="Times New Roman"/>
        </w:rPr>
        <w:t xml:space="preserve">As Valard had no such knowledge until the notice period had expired, it is obvious that Valard was unable to call for the trust </w:t>
      </w:r>
      <w:r w:rsidR="00C845A2">
        <w:rPr>
          <w:rFonts w:cs="Times New Roman"/>
        </w:rPr>
        <w:t xml:space="preserve">property at the material time. </w:t>
      </w:r>
      <w:r w:rsidRPr="00685201">
        <w:rPr>
          <w:rFonts w:cs="Times New Roman"/>
        </w:rPr>
        <w:t>This trust was not, therefore, a bare trust.</w:t>
      </w:r>
    </w:p>
    <w:p w:rsidR="00E130AF" w:rsidRPr="00685201" w:rsidRDefault="00E130AF" w:rsidP="00D52823">
      <w:pPr>
        <w:pStyle w:val="Title2LevelTitre2Niveau"/>
        <w:widowControl w:val="0"/>
        <w:numPr>
          <w:ilvl w:val="1"/>
          <w:numId w:val="19"/>
        </w:numPr>
        <w:jc w:val="both"/>
        <w:rPr>
          <w:rFonts w:cs="Times New Roman"/>
        </w:rPr>
      </w:pPr>
      <w:r w:rsidRPr="00685201">
        <w:rPr>
          <w:rFonts w:cs="Times New Roman"/>
        </w:rPr>
        <w:t>The Content of the Duty Generally, and in the Circumstances of This Appeal</w:t>
      </w:r>
    </w:p>
    <w:p w:rsidR="00E130AF" w:rsidRPr="00685201" w:rsidRDefault="00E130AF" w:rsidP="00D52823">
      <w:pPr>
        <w:pStyle w:val="ParaNoNdepar-AltN"/>
        <w:widowControl w:val="0"/>
        <w:rPr>
          <w:rFonts w:cs="Times New Roman"/>
        </w:rPr>
      </w:pPr>
      <w:r w:rsidRPr="00685201">
        <w:rPr>
          <w:rFonts w:cs="Times New Roman"/>
        </w:rPr>
        <w:t>Having found that Bird, as trustee, had a duty to disclose the existence of the trust to its beneficiaries, I must now consider what action on Bird’s part wo</w:t>
      </w:r>
      <w:r w:rsidR="00C845A2">
        <w:rPr>
          <w:rFonts w:cs="Times New Roman"/>
        </w:rPr>
        <w:t xml:space="preserve">uld have discharged that duty. </w:t>
      </w:r>
      <w:r w:rsidRPr="00685201">
        <w:rPr>
          <w:rFonts w:cs="Times New Roman"/>
        </w:rPr>
        <w:t>Like all duties imposed upon trustees, the standard to be met in respect of this particular duty is not perfection, but rather that of honesty, and reasonable skill and prudence.</w:t>
      </w:r>
      <w:r w:rsidRPr="00C845A2">
        <w:rPr>
          <w:rStyle w:val="Hyperlink"/>
          <w:u w:val="none"/>
          <w:vertAlign w:val="superscript"/>
        </w:rPr>
        <w:footnoteReference w:id="31"/>
      </w:r>
      <w:r w:rsidRPr="00685201">
        <w:rPr>
          <w:rFonts w:cs="Times New Roman"/>
        </w:rPr>
        <w:t xml:space="preserve"> And the specific demands of that standard, so far as they arise from the duty to disclose the existence of a trust, are informed by the facts and circumstances of which the trustee ought reasonably to have known at the material time.</w:t>
      </w:r>
      <w:r w:rsidRPr="00C845A2">
        <w:rPr>
          <w:rStyle w:val="Hyperlink"/>
          <w:u w:val="none"/>
          <w:vertAlign w:val="superscript"/>
        </w:rPr>
        <w:footnoteReference w:id="32"/>
      </w:r>
      <w:r w:rsidRPr="00685201">
        <w:rPr>
          <w:rFonts w:cs="Times New Roman"/>
        </w:rPr>
        <w:t xml:space="preserve"> In considering what was required in a given case, therefore, a reviewing court should be careful not to ask, in hindsight, what could </w:t>
      </w:r>
      <w:r w:rsidRPr="00685201">
        <w:rPr>
          <w:rFonts w:cs="Times New Roman"/>
          <w:i/>
        </w:rPr>
        <w:t>ideally</w:t>
      </w:r>
      <w:r w:rsidRPr="00685201">
        <w:rPr>
          <w:rFonts w:cs="Times New Roman"/>
        </w:rPr>
        <w:t xml:space="preserve"> have been done to inform </w:t>
      </w:r>
      <w:r w:rsidRPr="00685201">
        <w:rPr>
          <w:rFonts w:cs="Times New Roman"/>
        </w:rPr>
        <w:lastRenderedPageBreak/>
        <w:t>potenti</w:t>
      </w:r>
      <w:r w:rsidR="000004AD">
        <w:rPr>
          <w:rFonts w:cs="Times New Roman"/>
        </w:rPr>
        <w:t xml:space="preserve">al beneficiaries of the trust. </w:t>
      </w:r>
      <w:r w:rsidRPr="00685201">
        <w:rPr>
          <w:rFonts w:cs="Times New Roman"/>
        </w:rPr>
        <w:t xml:space="preserve">Rather, the proper inquiry is into what steps, </w:t>
      </w:r>
      <w:r w:rsidRPr="00685201">
        <w:rPr>
          <w:rFonts w:cs="Times New Roman"/>
          <w:i/>
        </w:rPr>
        <w:t>in the particular circumstances</w:t>
      </w:r>
      <w:r w:rsidRPr="00685201">
        <w:rPr>
          <w:rFonts w:cs="Times New Roman"/>
        </w:rPr>
        <w:t xml:space="preserve"> of the case — including the trust terms, the identity of the trustee and of the beneficiaries, the size of the class of potential beneficiaries and pertinent industrial practices — an honest and reasonably skillful and prudent trustee would have taken in order to notify potential beneficiaries of the existence of the trust. But, where a trustee can reasonably assume that the beneficiaries knew of the trust’s existence, or where practical exigencies would make notification entirely impractical,</w:t>
      </w:r>
      <w:r w:rsidRPr="00C845A2">
        <w:rPr>
          <w:rStyle w:val="Hyperlink"/>
          <w:u w:val="none"/>
          <w:vertAlign w:val="superscript"/>
        </w:rPr>
        <w:footnoteReference w:id="33"/>
      </w:r>
      <w:r w:rsidRPr="00685201">
        <w:rPr>
          <w:rFonts w:cs="Times New Roman"/>
        </w:rPr>
        <w:t xml:space="preserve"> few, if any, steps may be required by a trustee.</w:t>
      </w:r>
    </w:p>
    <w:p w:rsidR="00E130AF" w:rsidRPr="00685201" w:rsidRDefault="00E130AF" w:rsidP="00D52823">
      <w:pPr>
        <w:pStyle w:val="ParaNoNdepar-AltN"/>
        <w:widowControl w:val="0"/>
        <w:rPr>
          <w:rFonts w:cs="Times New Roman"/>
        </w:rPr>
      </w:pPr>
      <w:r w:rsidRPr="00685201">
        <w:rPr>
          <w:rFonts w:cs="Times New Roman"/>
        </w:rPr>
        <w:t>It will be readily apparent that what a trustee must do to discharge its duty to disclose the existence of the trust to beneficiaries is highly sensitive to the context in which the particular trust relationship arises. In this case, an honest and reasonably skillful and prudent trustee would have known, as recounted in the uncontradicted evidence of Mr. Wemyss, that labour</w:t>
      </w:r>
      <w:r w:rsidR="00C845A2">
        <w:rPr>
          <w:rFonts w:cs="Times New Roman"/>
        </w:rPr>
        <w:t xml:space="preserve"> and</w:t>
      </w:r>
      <w:r w:rsidRPr="00685201">
        <w:rPr>
          <w:rFonts w:cs="Times New Roman"/>
        </w:rPr>
        <w:t xml:space="preserve"> material payment bonds were uncommon on private oilsands construction projects. Conversely, Bird could not have known of all potential beneficiaries when the bond was procured, since (1) Valard (and presumably other subcontractors) had not yet contracted with Langford, and (2) under the terms of this particular trust, a beneficiary’s interest would not vest until 90 days after the last day upon which it provided labour or materials on the project. It is well established that, where all potential beneficiaries cannot be identified at the time of the trust’s creation, the trustee’s obligation to disclose the existence of the trust extends </w:t>
      </w:r>
      <w:r w:rsidRPr="00685201">
        <w:rPr>
          <w:rFonts w:cs="Times New Roman"/>
          <w:i/>
        </w:rPr>
        <w:t>not</w:t>
      </w:r>
      <w:r w:rsidRPr="00685201">
        <w:rPr>
          <w:rFonts w:cs="Times New Roman"/>
        </w:rPr>
        <w:t xml:space="preserve"> to </w:t>
      </w:r>
      <w:r w:rsidRPr="00685201">
        <w:rPr>
          <w:rFonts w:cs="Times New Roman"/>
          <w:i/>
        </w:rPr>
        <w:t>ensuring</w:t>
      </w:r>
      <w:r w:rsidRPr="00685201">
        <w:rPr>
          <w:rFonts w:cs="Times New Roman"/>
        </w:rPr>
        <w:t xml:space="preserve"> that every potential beneficiary knows of the trust, but only to taking </w:t>
      </w:r>
      <w:r w:rsidRPr="00685201">
        <w:rPr>
          <w:rFonts w:cs="Times New Roman"/>
        </w:rPr>
        <w:lastRenderedPageBreak/>
        <w:t>reasonable steps to that end.</w:t>
      </w:r>
      <w:r w:rsidRPr="00C845A2">
        <w:rPr>
          <w:rStyle w:val="Hyperlink"/>
          <w:u w:val="none"/>
          <w:vertAlign w:val="superscript"/>
        </w:rPr>
        <w:footnoteReference w:id="34"/>
      </w:r>
      <w:r w:rsidRPr="00685201">
        <w:rPr>
          <w:rFonts w:cs="Times New Roman"/>
        </w:rPr>
        <w:t xml:space="preserve"> </w:t>
      </w:r>
    </w:p>
    <w:p w:rsidR="00E130AF" w:rsidRPr="00685201" w:rsidRDefault="00E130AF" w:rsidP="00D52823">
      <w:pPr>
        <w:pStyle w:val="ParaNoNdepar-AltN"/>
        <w:widowControl w:val="0"/>
        <w:rPr>
          <w:rFonts w:cs="Times New Roman"/>
        </w:rPr>
      </w:pPr>
      <w:r w:rsidRPr="00685201">
        <w:rPr>
          <w:rFonts w:cs="Times New Roman"/>
        </w:rPr>
        <w:t>As Wakeling J.A. observed in this regard, the evidence before the trial judge was that Bird had an on-site trailer in which notices were normally posted.</w:t>
      </w:r>
      <w:r w:rsidRPr="00E53FD0">
        <w:rPr>
          <w:rStyle w:val="Hyperlink"/>
          <w:u w:val="none"/>
          <w:vertAlign w:val="superscript"/>
        </w:rPr>
        <w:footnoteReference w:id="35"/>
      </w:r>
      <w:r w:rsidRPr="00685201">
        <w:rPr>
          <w:rFonts w:cs="Times New Roman"/>
        </w:rPr>
        <w:t xml:space="preserve"> The evidence also indicated that at least some of the potential beneficiaries (such as Valard) worked on-site and were required to attend daily “toolbox meetings” in Bird’s trailer.</w:t>
      </w:r>
      <w:r w:rsidRPr="00E53FD0">
        <w:rPr>
          <w:rStyle w:val="Hyperlink"/>
          <w:u w:val="none"/>
          <w:vertAlign w:val="superscript"/>
        </w:rPr>
        <w:footnoteReference w:id="36"/>
      </w:r>
      <w:r w:rsidRPr="00685201">
        <w:rPr>
          <w:rFonts w:cs="Times New Roman"/>
        </w:rPr>
        <w:t xml:space="preserve"> I agree with him that, in the circumstances of this appeal, Bird could have satisfied its duty to inform beneficiaries of the trust by posting a notice of th</w:t>
      </w:r>
      <w:r w:rsidR="000004AD">
        <w:rPr>
          <w:rFonts w:cs="Times New Roman"/>
        </w:rPr>
        <w:t xml:space="preserve">e bond in its on-site trailer. </w:t>
      </w:r>
      <w:r w:rsidRPr="00685201">
        <w:rPr>
          <w:rFonts w:cs="Times New Roman"/>
        </w:rPr>
        <w:t>This would have provided a significant portion of potential beneficiaries with n</w:t>
      </w:r>
      <w:r w:rsidR="00C845A2">
        <w:rPr>
          <w:rFonts w:cs="Times New Roman"/>
        </w:rPr>
        <w:t xml:space="preserve">otice of the bond’s existence. </w:t>
      </w:r>
      <w:r w:rsidRPr="00685201">
        <w:rPr>
          <w:rFonts w:cs="Times New Roman"/>
        </w:rPr>
        <w:t>The cost of doing so would have been negligible to Bird, and this method of notice would no</w:t>
      </w:r>
      <w:r w:rsidR="00C845A2">
        <w:rPr>
          <w:rFonts w:cs="Times New Roman"/>
        </w:rPr>
        <w:t xml:space="preserve">t have been otherwise onerous. </w:t>
      </w:r>
      <w:r w:rsidRPr="00685201">
        <w:rPr>
          <w:rFonts w:cs="Times New Roman"/>
        </w:rPr>
        <w:t xml:space="preserve">I note that this method of notice is already statutorily required </w:t>
      </w:r>
      <w:r w:rsidR="00C845A2">
        <w:rPr>
          <w:rFonts w:cs="Times New Roman"/>
        </w:rPr>
        <w:t>on public worksites in Alberta:</w:t>
      </w:r>
      <w:r w:rsidRPr="00685201">
        <w:rPr>
          <w:rFonts w:cs="Times New Roman"/>
        </w:rPr>
        <w:t xml:space="preserve"> </w:t>
      </w:r>
      <w:r w:rsidRPr="00685201">
        <w:rPr>
          <w:rFonts w:cs="Times New Roman"/>
          <w:i/>
        </w:rPr>
        <w:t>Public Works Act</w:t>
      </w:r>
      <w:r w:rsidR="00C845A2">
        <w:rPr>
          <w:rFonts w:cs="Times New Roman"/>
        </w:rPr>
        <w:t>, R.S.A. 2000, c. P-46, s. 17.</w:t>
      </w:r>
      <w:r w:rsidRPr="00685201">
        <w:rPr>
          <w:rFonts w:cs="Times New Roman"/>
        </w:rPr>
        <w:t xml:space="preserve"> </w:t>
      </w:r>
    </w:p>
    <w:p w:rsidR="00E130AF" w:rsidRPr="00685201" w:rsidRDefault="00E130AF" w:rsidP="00D52823">
      <w:pPr>
        <w:pStyle w:val="ParaNoNdepar-AltN"/>
        <w:widowControl w:val="0"/>
        <w:rPr>
          <w:rFonts w:cs="Times New Roman"/>
        </w:rPr>
      </w:pPr>
      <w:r w:rsidRPr="00685201">
        <w:rPr>
          <w:rFonts w:cs="Times New Roman"/>
        </w:rPr>
        <w:t>This does not mean, however, that taking such steps will always be necessary in order to resist every claim for breach of trust made by a disappointed beneficiary of a labour and material payment bond. It is also possible that some other method of giving notice — had the evidence disclosed it — migh</w:t>
      </w:r>
      <w:r w:rsidR="000004AD">
        <w:rPr>
          <w:rFonts w:cs="Times New Roman"/>
        </w:rPr>
        <w:t xml:space="preserve">t have sufficed. To reiterate: </w:t>
      </w:r>
      <w:r w:rsidRPr="00685201">
        <w:rPr>
          <w:rFonts w:cs="Times New Roman"/>
        </w:rPr>
        <w:t xml:space="preserve">the question is not what Bird </w:t>
      </w:r>
      <w:r w:rsidRPr="00685201">
        <w:rPr>
          <w:rFonts w:cs="Times New Roman"/>
          <w:i/>
        </w:rPr>
        <w:t>could</w:t>
      </w:r>
      <w:r w:rsidRPr="00685201">
        <w:rPr>
          <w:rFonts w:cs="Times New Roman"/>
        </w:rPr>
        <w:t xml:space="preserve"> have done in this case, but what Bird should </w:t>
      </w:r>
      <w:r w:rsidRPr="00685201">
        <w:rPr>
          <w:rFonts w:cs="Times New Roman"/>
          <w:i/>
        </w:rPr>
        <w:t>reasonably</w:t>
      </w:r>
      <w:r w:rsidRPr="00685201">
        <w:rPr>
          <w:rFonts w:cs="Times New Roman"/>
        </w:rPr>
        <w:t xml:space="preserve"> have done in the circumstances of this case to notify beneficiaries </w:t>
      </w:r>
      <w:r w:rsidRPr="00685201">
        <w:rPr>
          <w:rFonts w:cs="Times New Roman"/>
        </w:rPr>
        <w:lastRenderedPageBreak/>
        <w:t xml:space="preserve">such as Valard of the existence of the </w:t>
      </w:r>
      <w:r w:rsidR="00E53FD0">
        <w:rPr>
          <w:rFonts w:cs="Times New Roman"/>
        </w:rPr>
        <w:t xml:space="preserve">bond. Here, Bird did nothing. </w:t>
      </w:r>
      <w:r w:rsidRPr="00685201">
        <w:rPr>
          <w:rFonts w:cs="Times New Roman"/>
        </w:rPr>
        <w:t>It filed the bond offsite, did not pos</w:t>
      </w:r>
      <w:r w:rsidR="00E53FD0">
        <w:rPr>
          <w:rFonts w:cs="Times New Roman"/>
        </w:rPr>
        <w:t>t it, and told nobody about it.</w:t>
      </w:r>
      <w:r w:rsidRPr="00685201">
        <w:rPr>
          <w:rFonts w:cs="Times New Roman"/>
        </w:rPr>
        <w:t xml:space="preserve"> In some circumstances (where, for example, the industrial practice is such that the use of labour and material payment bonds to offset the risks arising from unpaid subcontractors are common), it may well be that very little, or even nothing, will be required on the part of a trustee to notify potential benefici</w:t>
      </w:r>
      <w:r w:rsidR="00E53FD0">
        <w:rPr>
          <w:rFonts w:cs="Times New Roman"/>
        </w:rPr>
        <w:t>aries of the trust’s existence.</w:t>
      </w:r>
      <w:r w:rsidRPr="00685201">
        <w:rPr>
          <w:rFonts w:cs="Times New Roman"/>
        </w:rPr>
        <w:t xml:space="preserve"> In the circumstances of this appeal, however, where the evidence was that labour and material payment bonds were uncommon, something more than nothing was required from Bird to discharge its duty. Bird therefore committed a breach of trust.</w:t>
      </w:r>
    </w:p>
    <w:p w:rsidR="00E130AF" w:rsidRPr="00685201" w:rsidRDefault="00E130AF" w:rsidP="00D52823">
      <w:pPr>
        <w:pStyle w:val="Title1LevelTitre1Niveau-AltL"/>
        <w:widowControl w:val="0"/>
        <w:numPr>
          <w:ilvl w:val="0"/>
          <w:numId w:val="19"/>
        </w:numPr>
        <w:jc w:val="both"/>
        <w:rPr>
          <w:rFonts w:cs="Times New Roman"/>
        </w:rPr>
      </w:pPr>
      <w:r w:rsidRPr="00685201">
        <w:rPr>
          <w:rFonts w:cs="Times New Roman"/>
        </w:rPr>
        <w:t>Conclusion and Remedy</w:t>
      </w:r>
    </w:p>
    <w:p w:rsidR="00E130AF" w:rsidRPr="00685201" w:rsidRDefault="00E130AF" w:rsidP="00D52823">
      <w:pPr>
        <w:pStyle w:val="ParaNoNdepar-AltN"/>
        <w:widowControl w:val="0"/>
        <w:rPr>
          <w:rFonts w:cs="Times New Roman"/>
        </w:rPr>
      </w:pPr>
      <w:r w:rsidRPr="00685201">
        <w:rPr>
          <w:rFonts w:cs="Times New Roman"/>
        </w:rPr>
        <w:t xml:space="preserve">It follows from the foregoing that I would allow the appeal, with costs in this Court and in the courts below. </w:t>
      </w:r>
    </w:p>
    <w:p w:rsidR="00E130AF" w:rsidRPr="00685201" w:rsidRDefault="00E130AF" w:rsidP="00D52823">
      <w:pPr>
        <w:pStyle w:val="ParaNoNdepar-AltN"/>
        <w:widowControl w:val="0"/>
        <w:rPr>
          <w:rFonts w:cs="Times New Roman"/>
        </w:rPr>
      </w:pPr>
      <w:r w:rsidRPr="00685201">
        <w:rPr>
          <w:rFonts w:cs="Times New Roman"/>
        </w:rPr>
        <w:t>Normally, where a trustee breaches a duty in the course of its administration of the trust, it will be “liable to pay monetary compensation for the losses caused [to the trust] by his breach of duty”.</w:t>
      </w:r>
      <w:r w:rsidRPr="00E53FD0">
        <w:rPr>
          <w:rStyle w:val="Hyperlink"/>
          <w:u w:val="none"/>
          <w:vertAlign w:val="superscript"/>
        </w:rPr>
        <w:footnoteReference w:id="37"/>
      </w:r>
      <w:r w:rsidRPr="00685201">
        <w:rPr>
          <w:rFonts w:cs="Times New Roman"/>
        </w:rPr>
        <w:t xml:space="preserve"> This generally entails the trustee making restitution for the loss suffered by the trust itself, not paying damages for the loss suffered by individual beneficiaries. Where, however, the breach of trust “is not likely to result in any loss to the trust fund”, an individual beneficiary may “recover </w:t>
      </w:r>
      <w:r w:rsidRPr="00685201">
        <w:rPr>
          <w:rFonts w:cs="Times New Roman"/>
        </w:rPr>
        <w:lastRenderedPageBreak/>
        <w:t>compensation for [the] breach of an equitable duty [owed] to himself”.</w:t>
      </w:r>
      <w:r w:rsidRPr="00E53FD0">
        <w:rPr>
          <w:rStyle w:val="Hyperlink"/>
          <w:u w:val="none"/>
          <w:vertAlign w:val="superscript"/>
        </w:rPr>
        <w:footnoteReference w:id="38"/>
      </w:r>
    </w:p>
    <w:p w:rsidR="00E130AF" w:rsidRPr="000C3479" w:rsidRDefault="00E130AF" w:rsidP="00D52823">
      <w:pPr>
        <w:pStyle w:val="ParaNoNdepar-AltN"/>
        <w:widowControl w:val="0"/>
        <w:rPr>
          <w:rFonts w:cs="Times New Roman"/>
        </w:rPr>
      </w:pPr>
      <w:r w:rsidRPr="00685201">
        <w:rPr>
          <w:rFonts w:cs="Times New Roman"/>
        </w:rPr>
        <w:t xml:space="preserve">Such an order is clearly appropriate here. Valard is entitled to be compensated for the sum that it could have obtained under the terms of the trust had it been aware of </w:t>
      </w:r>
      <w:r w:rsidR="00BA7462">
        <w:rPr>
          <w:rFonts w:cs="Times New Roman"/>
        </w:rPr>
        <w:t xml:space="preserve">its right to claim thereunder. </w:t>
      </w:r>
      <w:r w:rsidRPr="00685201">
        <w:rPr>
          <w:rFonts w:cs="Times New Roman"/>
        </w:rPr>
        <w:t>The record, however, does not disclose the sum of money that was available on the bond at any time during Valard’s 120-day notice period which followed its last day on the project — or even whether other claims had been made against that sum.</w:t>
      </w:r>
      <w:r w:rsidRPr="00E53FD0">
        <w:rPr>
          <w:rStyle w:val="Hyperlink"/>
          <w:u w:val="none"/>
          <w:vertAlign w:val="superscript"/>
        </w:rPr>
        <w:footnoteReference w:id="39"/>
      </w:r>
      <w:r w:rsidRPr="00685201">
        <w:rPr>
          <w:rFonts w:cs="Times New Roman"/>
        </w:rPr>
        <w:t xml:space="preserve"> I would therefore direct that the matter of quantum of damages be remitted to the trial judge for adjudication.</w:t>
      </w:r>
    </w:p>
    <w:p w:rsidR="00E130AF" w:rsidRPr="000C3479" w:rsidRDefault="00BA7462" w:rsidP="00D52823">
      <w:pPr>
        <w:pStyle w:val="ParaNoNdepar-AltN"/>
        <w:widowControl w:val="0"/>
        <w:numPr>
          <w:ilvl w:val="0"/>
          <w:numId w:val="0"/>
        </w:numPr>
        <w:tabs>
          <w:tab w:val="left" w:pos="1170"/>
        </w:tabs>
        <w:rPr>
          <w:rFonts w:cs="Times New Roman"/>
        </w:rPr>
      </w:pPr>
      <w:r>
        <w:rPr>
          <w:rFonts w:cs="Times New Roman"/>
        </w:rPr>
        <w:tab/>
      </w:r>
      <w:r w:rsidR="00E130AF" w:rsidRPr="000C3479">
        <w:rPr>
          <w:rFonts w:cs="Times New Roman"/>
        </w:rPr>
        <w:t>The following are the reasons delivered by</w:t>
      </w:r>
    </w:p>
    <w:p w:rsidR="00E130AF" w:rsidRPr="005448EA" w:rsidRDefault="000C3479" w:rsidP="00D52823">
      <w:pPr>
        <w:pStyle w:val="ParaNoNdepar-AltN"/>
        <w:widowControl w:val="0"/>
      </w:pPr>
      <w:r w:rsidRPr="000C3479">
        <w:rPr>
          <w:smallCaps/>
        </w:rPr>
        <w:t>Côté J.</w:t>
      </w:r>
      <w:r w:rsidRPr="000C3479">
        <w:t xml:space="preserve"> —</w:t>
      </w:r>
      <w:r>
        <w:t xml:space="preserve"> </w:t>
      </w:r>
      <w:r w:rsidR="00E130AF" w:rsidRPr="005448EA">
        <w:t>I agree with the</w:t>
      </w:r>
      <w:r w:rsidR="00BA7462">
        <w:t xml:space="preserve"> position taken by my colleague Justice Karakatsanis</w:t>
      </w:r>
      <w:r w:rsidR="00E130AF" w:rsidRPr="005448EA">
        <w:t xml:space="preserve"> with respect to the duties that a trustee under a labour and materials payment bond owes to po</w:t>
      </w:r>
      <w:r w:rsidR="00BA7462">
        <w:t>tential claimants.</w:t>
      </w:r>
      <w:r w:rsidR="00E130AF" w:rsidRPr="005448EA">
        <w:t xml:space="preserve"> My colleague would hold that there is, in general, no proactive duty on the part of a trustee to take steps to inform potential cl</w:t>
      </w:r>
      <w:r w:rsidR="00BA7462">
        <w:t xml:space="preserve">aimants of a bond’s existence. </w:t>
      </w:r>
      <w:r w:rsidR="00E130AF" w:rsidRPr="005448EA">
        <w:t xml:space="preserve">While such a trustee “is under an obligation to respond accurately” to enquiries made by potential claimants, “equity does not generally demand more in the context of the construction industry” (reasons of Justice </w:t>
      </w:r>
      <w:r w:rsidR="00E130AF" w:rsidRPr="005448EA">
        <w:lastRenderedPageBreak/>
        <w:t xml:space="preserve">Karakatsanis, at para. </w:t>
      </w:r>
      <w:r w:rsidR="00E130AF">
        <w:t>66</w:t>
      </w:r>
      <w:r w:rsidR="0088028B">
        <w:t xml:space="preserve">). </w:t>
      </w:r>
      <w:r w:rsidR="00E130AF" w:rsidRPr="005448EA">
        <w:t>I concur.</w:t>
      </w:r>
    </w:p>
    <w:p w:rsidR="00E130AF" w:rsidRPr="005448EA" w:rsidRDefault="00E130AF" w:rsidP="00D52823">
      <w:pPr>
        <w:pStyle w:val="ParaNoNdepar-AltN"/>
        <w:widowControl w:val="0"/>
        <w:rPr>
          <w:rFonts w:cs="Times New Roman"/>
        </w:rPr>
      </w:pPr>
      <w:r w:rsidRPr="005448EA">
        <w:rPr>
          <w:rFonts w:cs="Times New Roman"/>
        </w:rPr>
        <w:t>Applying the law to the facts of the present case, my view is that Bird Construction Company — as obligee/trustee under the Labour and Materials Payment Bond (“L&amp;M Bond”) — had a duty to inform Valard Construction Ltd. of the L&amp;M Bond’s existence when it was first notified by email of the problems Valard was experiencing in obtaining payment from Langford Electric Ltd. for the wor</w:t>
      </w:r>
      <w:r w:rsidR="0088028B">
        <w:rPr>
          <w:rFonts w:cs="Times New Roman"/>
        </w:rPr>
        <w:t xml:space="preserve">k it performed on the jobsite. </w:t>
      </w:r>
      <w:r w:rsidRPr="005448EA">
        <w:rPr>
          <w:rFonts w:cs="Times New Roman"/>
        </w:rPr>
        <w:t>That email ended with a clear request for guidance from Bird on how Langford and Valard shou</w:t>
      </w:r>
      <w:r w:rsidR="0088028B">
        <w:rPr>
          <w:rFonts w:cs="Times New Roman"/>
        </w:rPr>
        <w:t xml:space="preserve">ld proceed with their dispute. </w:t>
      </w:r>
      <w:r w:rsidRPr="005448EA">
        <w:rPr>
          <w:rFonts w:cs="Times New Roman"/>
        </w:rPr>
        <w:t>I would conclude that, by failing to inform Valard of the L&amp;M Bond’s existence at that time,</w:t>
      </w:r>
      <w:r>
        <w:rPr>
          <w:rFonts w:cs="Times New Roman"/>
        </w:rPr>
        <w:t xml:space="preserve"> </w:t>
      </w:r>
      <w:r w:rsidRPr="005448EA">
        <w:rPr>
          <w:rFonts w:cs="Times New Roman"/>
        </w:rPr>
        <w:t xml:space="preserve">Bird breached the fiduciary obligation that it owed to Valard, and I would allow the appeal on this basis. </w:t>
      </w:r>
    </w:p>
    <w:p w:rsidR="00E130AF" w:rsidRPr="005448EA" w:rsidRDefault="00E130AF" w:rsidP="00D52823">
      <w:pPr>
        <w:pStyle w:val="ParaNoNdepar-AltN"/>
        <w:widowControl w:val="0"/>
        <w:rPr>
          <w:rFonts w:cs="Times New Roman"/>
        </w:rPr>
      </w:pPr>
      <w:r w:rsidRPr="005448EA">
        <w:rPr>
          <w:rFonts w:cs="Times New Roman"/>
        </w:rPr>
        <w:t>On August 10, 2009, an employee of Langford sent an email to Bird’s project manager, advising him of a “serious problem” that Langford was havin</w:t>
      </w:r>
      <w:r w:rsidR="0088028B">
        <w:rPr>
          <w:rFonts w:cs="Times New Roman"/>
        </w:rPr>
        <w:t xml:space="preserve">g in paying Valard’s invoices. </w:t>
      </w:r>
      <w:r w:rsidRPr="005448EA">
        <w:rPr>
          <w:rFonts w:cs="Times New Roman"/>
        </w:rPr>
        <w:t xml:space="preserve">This email, which was also sent to Valard’s project manager, reads as follows: </w:t>
      </w:r>
    </w:p>
    <w:p w:rsidR="00E130AF" w:rsidRPr="005448EA" w:rsidRDefault="00E130AF" w:rsidP="00D52823">
      <w:pPr>
        <w:pStyle w:val="Citation-AltC"/>
        <w:widowControl w:val="0"/>
      </w:pPr>
      <w:r w:rsidRPr="005448EA">
        <w:t>H</w:t>
      </w:r>
      <w:r w:rsidR="00B22786">
        <w:t>i</w:t>
      </w:r>
      <w:r w:rsidRPr="005448EA">
        <w:t xml:space="preserve"> Chris</w:t>
      </w:r>
    </w:p>
    <w:p w:rsidR="00E130AF" w:rsidRPr="005448EA" w:rsidRDefault="00E130AF" w:rsidP="00D52823">
      <w:pPr>
        <w:pStyle w:val="Citation-AltC"/>
        <w:widowControl w:val="0"/>
      </w:pPr>
    </w:p>
    <w:p w:rsidR="00E130AF" w:rsidRPr="005448EA" w:rsidRDefault="00E130AF" w:rsidP="00D52823">
      <w:pPr>
        <w:pStyle w:val="Citation-AltC"/>
        <w:widowControl w:val="0"/>
      </w:pPr>
      <w:r w:rsidRPr="005448EA">
        <w:t xml:space="preserve">We have a serious problem with Valard. </w:t>
      </w:r>
    </w:p>
    <w:p w:rsidR="00E130AF" w:rsidRPr="005448EA" w:rsidRDefault="00E130AF" w:rsidP="00D52823">
      <w:pPr>
        <w:pStyle w:val="Citation-AltC"/>
        <w:widowControl w:val="0"/>
      </w:pPr>
    </w:p>
    <w:p w:rsidR="00E130AF" w:rsidRPr="005448EA" w:rsidRDefault="00E130AF" w:rsidP="00D52823">
      <w:pPr>
        <w:pStyle w:val="Citation-AltC"/>
        <w:widowControl w:val="0"/>
      </w:pPr>
      <w:r w:rsidRPr="005448EA">
        <w:t xml:space="preserve">After we sent in the summary indicating the $258,000.00 costs for the limestone work we thought that </w:t>
      </w:r>
      <w:r w:rsidR="0088028B">
        <w:t>was the total for the billings.</w:t>
      </w:r>
      <w:r w:rsidRPr="005448EA">
        <w:t xml:space="preserve"> When I spoke to Cameron from Valard this AM, regarding the payment Suncor offered he indicated the payment Suncor offered of $215,000.00 was not adequate as he had further invoices totaling another $190,000.00 which they incurred from April 19th to April 30th which never appeared on the summary</w:t>
      </w:r>
      <w:r w:rsidR="000004AD">
        <w:t xml:space="preserve"> sheet and were never sent on. </w:t>
      </w:r>
      <w:r w:rsidRPr="005448EA">
        <w:t xml:space="preserve">I had never received an email from </w:t>
      </w:r>
      <w:r w:rsidRPr="005448EA">
        <w:lastRenderedPageBreak/>
        <w:t xml:space="preserve">him with these costs and I have just received copies of all these invoices this afternoon and am trying to access how this happened. </w:t>
      </w:r>
    </w:p>
    <w:p w:rsidR="00E130AF" w:rsidRPr="005448EA" w:rsidRDefault="00E130AF" w:rsidP="00D52823">
      <w:pPr>
        <w:pStyle w:val="Citation-AltC"/>
        <w:widowControl w:val="0"/>
      </w:pPr>
    </w:p>
    <w:p w:rsidR="00E130AF" w:rsidRPr="005448EA" w:rsidRDefault="00E130AF" w:rsidP="00D52823">
      <w:pPr>
        <w:pStyle w:val="Citation-AltC"/>
        <w:widowControl w:val="0"/>
      </w:pPr>
      <w:r w:rsidRPr="005448EA">
        <w:t xml:space="preserve">Chris let me know how you think we should proceed. </w:t>
      </w:r>
    </w:p>
    <w:p w:rsidR="00E130AF" w:rsidRPr="005448EA" w:rsidRDefault="00E130AF" w:rsidP="00D52823">
      <w:pPr>
        <w:pStyle w:val="Citation-AltC"/>
        <w:widowControl w:val="0"/>
      </w:pPr>
    </w:p>
    <w:p w:rsidR="00E130AF" w:rsidRPr="005448EA" w:rsidRDefault="00E130AF" w:rsidP="00D52823">
      <w:pPr>
        <w:pStyle w:val="Citation-AltC"/>
        <w:widowControl w:val="0"/>
      </w:pPr>
      <w:r w:rsidRPr="005448EA">
        <w:t xml:space="preserve">-- </w:t>
      </w:r>
    </w:p>
    <w:p w:rsidR="00E130AF" w:rsidRPr="005448EA" w:rsidRDefault="00E130AF" w:rsidP="00D52823">
      <w:pPr>
        <w:pStyle w:val="Citation-AltC"/>
        <w:widowControl w:val="0"/>
      </w:pPr>
      <w:r w:rsidRPr="005448EA">
        <w:t xml:space="preserve">Sincerely, </w:t>
      </w:r>
    </w:p>
    <w:p w:rsidR="00E130AF" w:rsidRPr="005448EA" w:rsidRDefault="00E130AF" w:rsidP="00D52823">
      <w:pPr>
        <w:pStyle w:val="Citation-AltC"/>
        <w:widowControl w:val="0"/>
      </w:pPr>
      <w:r w:rsidRPr="005448EA">
        <w:t xml:space="preserve">Milt Sterling </w:t>
      </w:r>
    </w:p>
    <w:p w:rsidR="00E130AF" w:rsidRPr="005448EA" w:rsidRDefault="00E130AF" w:rsidP="00D52823">
      <w:pPr>
        <w:pStyle w:val="Citation-AltC"/>
        <w:widowControl w:val="0"/>
      </w:pPr>
    </w:p>
    <w:p w:rsidR="00E130AF" w:rsidRPr="005448EA" w:rsidRDefault="00E130AF" w:rsidP="00D52823">
      <w:pPr>
        <w:pStyle w:val="Citation-AltC"/>
        <w:widowControl w:val="0"/>
      </w:pPr>
      <w:r w:rsidRPr="005448EA">
        <w:t>LANGFORD ELECTRIC</w:t>
      </w:r>
    </w:p>
    <w:p w:rsidR="00E130AF" w:rsidRPr="005448EA" w:rsidRDefault="00E130AF" w:rsidP="00D52823">
      <w:pPr>
        <w:pStyle w:val="ParaNoNdepar-AltN"/>
        <w:widowControl w:val="0"/>
        <w:rPr>
          <w:rFonts w:cs="Times New Roman"/>
        </w:rPr>
      </w:pPr>
      <w:r w:rsidRPr="005448EA">
        <w:rPr>
          <w:rFonts w:cs="Times New Roman"/>
        </w:rPr>
        <w:t>Bird’s project manager replied to the Langford employee on that same day, but removed Valard’s project</w:t>
      </w:r>
      <w:r w:rsidR="0088028B">
        <w:rPr>
          <w:rFonts w:cs="Times New Roman"/>
        </w:rPr>
        <w:t xml:space="preserve"> manager from the email chain. </w:t>
      </w:r>
      <w:r w:rsidRPr="005448EA">
        <w:rPr>
          <w:rFonts w:cs="Times New Roman"/>
        </w:rPr>
        <w:t xml:space="preserve">The reply email reads as follows: </w:t>
      </w:r>
    </w:p>
    <w:p w:rsidR="00E130AF" w:rsidRPr="005448EA" w:rsidRDefault="00E130AF" w:rsidP="00D52823">
      <w:pPr>
        <w:pStyle w:val="Citation-AltC"/>
        <w:widowControl w:val="0"/>
      </w:pPr>
      <w:r w:rsidRPr="005448EA">
        <w:t xml:space="preserve">Milt, </w:t>
      </w:r>
    </w:p>
    <w:p w:rsidR="00E130AF" w:rsidRPr="005448EA" w:rsidRDefault="00E130AF" w:rsidP="00D52823">
      <w:pPr>
        <w:pStyle w:val="Citation-AltC"/>
        <w:widowControl w:val="0"/>
      </w:pPr>
    </w:p>
    <w:p w:rsidR="00E130AF" w:rsidRPr="005448EA" w:rsidRDefault="00E130AF" w:rsidP="00D52823">
      <w:pPr>
        <w:pStyle w:val="Citation-AltC"/>
        <w:widowControl w:val="0"/>
      </w:pPr>
      <w:r w:rsidRPr="005448EA">
        <w:t>Suncor is already upset with us about the extra costs and it took months to get this first $215,000 approved on</w:t>
      </w:r>
      <w:r w:rsidR="0088028B">
        <w:t>ly as a favor to Bird.</w:t>
      </w:r>
      <w:r w:rsidRPr="005448EA">
        <w:t xml:space="preserve"> Anyone else wouldn’t h</w:t>
      </w:r>
      <w:r w:rsidR="0088028B">
        <w:t xml:space="preserve">ave received near that amount. </w:t>
      </w:r>
      <w:r w:rsidRPr="005448EA">
        <w:t>It is impossible f</w:t>
      </w:r>
      <w:r w:rsidR="0088028B">
        <w:t xml:space="preserve">or us to go back to the owner. </w:t>
      </w:r>
      <w:r w:rsidRPr="005448EA">
        <w:t>I’m not sure how Valard could rack up a bill like this, even being as diso</w:t>
      </w:r>
      <w:r w:rsidR="0088028B">
        <w:t xml:space="preserve">rganized as they were on site. </w:t>
      </w:r>
      <w:r w:rsidRPr="005448EA">
        <w:t xml:space="preserve">We would help you if we could, but Suncor was already upset with our last claim. </w:t>
      </w:r>
    </w:p>
    <w:p w:rsidR="00E130AF" w:rsidRPr="005448EA" w:rsidRDefault="00E130AF" w:rsidP="00D52823">
      <w:pPr>
        <w:pStyle w:val="Citation-AltC"/>
        <w:widowControl w:val="0"/>
      </w:pPr>
    </w:p>
    <w:p w:rsidR="00E130AF" w:rsidRDefault="00E130AF" w:rsidP="00D52823">
      <w:pPr>
        <w:pStyle w:val="Citation-AltC"/>
        <w:widowControl w:val="0"/>
      </w:pPr>
      <w:r w:rsidRPr="005448EA">
        <w:t xml:space="preserve">Regards, </w:t>
      </w:r>
    </w:p>
    <w:p w:rsidR="0088028B" w:rsidRPr="005448EA" w:rsidRDefault="0088028B" w:rsidP="00D52823">
      <w:pPr>
        <w:pStyle w:val="Citation-AltC"/>
        <w:widowControl w:val="0"/>
      </w:pPr>
    </w:p>
    <w:p w:rsidR="00E130AF" w:rsidRPr="005448EA" w:rsidRDefault="00E130AF" w:rsidP="00D52823">
      <w:pPr>
        <w:pStyle w:val="Citation-AltC"/>
        <w:widowControl w:val="0"/>
      </w:pPr>
      <w:r w:rsidRPr="005448EA">
        <w:t xml:space="preserve">Chris von Klitzing </w:t>
      </w:r>
    </w:p>
    <w:p w:rsidR="00E130AF" w:rsidRPr="005448EA" w:rsidRDefault="00E130AF" w:rsidP="00D52823">
      <w:pPr>
        <w:pStyle w:val="Citation-AltC"/>
        <w:widowControl w:val="0"/>
      </w:pPr>
      <w:r w:rsidRPr="005448EA">
        <w:t xml:space="preserve">Project Manager </w:t>
      </w:r>
    </w:p>
    <w:p w:rsidR="00E130AF" w:rsidRPr="005448EA" w:rsidRDefault="00E130AF" w:rsidP="00D52823">
      <w:pPr>
        <w:pStyle w:val="ParaNoNdepar-AltN"/>
        <w:widowControl w:val="0"/>
        <w:rPr>
          <w:rFonts w:cs="Times New Roman"/>
        </w:rPr>
      </w:pPr>
      <w:r w:rsidRPr="005448EA">
        <w:rPr>
          <w:rFonts w:cs="Times New Roman"/>
        </w:rPr>
        <w:t>The trial j</w:t>
      </w:r>
      <w:r w:rsidR="0088028B">
        <w:rPr>
          <w:rFonts w:cs="Times New Roman"/>
        </w:rPr>
        <w:t xml:space="preserve">udge considered this evidence. </w:t>
      </w:r>
      <w:r w:rsidRPr="005448EA">
        <w:rPr>
          <w:rFonts w:cs="Times New Roman"/>
        </w:rPr>
        <w:t>He found that Bird had no knowledge of the fact that Valard was a claimant that had not been paid by Langford until it was notified of this by Valard on April 19, 2010 (</w:t>
      </w:r>
      <w:r w:rsidRPr="005448EA">
        <w:rPr>
          <w:rFonts w:cs="Times New Roman"/>
          <w:lang w:val="en"/>
        </w:rPr>
        <w:t>2015 ABQB 141, 41 C.L.R. (4th) 51, at para. 87</w:t>
      </w:r>
      <w:r w:rsidRPr="005448EA">
        <w:rPr>
          <w:rFonts w:cs="Times New Roman"/>
        </w:rPr>
        <w:t>), and that Bird’s employees had acted honestly at all material times (</w:t>
      </w:r>
      <w:r w:rsidRPr="005448EA">
        <w:rPr>
          <w:rFonts w:cs="Times New Roman"/>
          <w:i/>
        </w:rPr>
        <w:t>ibid.</w:t>
      </w:r>
      <w:r w:rsidRPr="005448EA">
        <w:rPr>
          <w:rFonts w:cs="Times New Roman"/>
        </w:rPr>
        <w:t xml:space="preserve">). </w:t>
      </w:r>
    </w:p>
    <w:p w:rsidR="00E130AF" w:rsidRPr="005448EA" w:rsidRDefault="00E130AF" w:rsidP="00D52823">
      <w:pPr>
        <w:pStyle w:val="ParaNoNdepar-AltN"/>
        <w:widowControl w:val="0"/>
        <w:rPr>
          <w:rFonts w:cs="Times New Roman"/>
        </w:rPr>
      </w:pPr>
      <w:r w:rsidRPr="005448EA">
        <w:rPr>
          <w:rFonts w:cs="Times New Roman"/>
        </w:rPr>
        <w:lastRenderedPageBreak/>
        <w:t>While I accept the factual finding of the trial judge that Bird’s employees had acted honestly at all material times, my view is that this is</w:t>
      </w:r>
      <w:r w:rsidR="0088028B">
        <w:rPr>
          <w:rFonts w:cs="Times New Roman"/>
        </w:rPr>
        <w:t xml:space="preserve"> not dispositive of the issue. </w:t>
      </w:r>
      <w:r w:rsidRPr="005448EA">
        <w:rPr>
          <w:rFonts w:cs="Times New Roman"/>
        </w:rPr>
        <w:t>Upon receiving Langford’s email, Bird was informed of “serious problem[s]” between Valard and Langford Electric, and was alive to the very real possibility of Valard not being paid in full for its services — especially since it knew that additional funds from Suncor Energy</w:t>
      </w:r>
      <w:r w:rsidR="0088028B">
        <w:rPr>
          <w:rFonts w:cs="Times New Roman"/>
        </w:rPr>
        <w:t xml:space="preserve"> Inc. would not be forthcoming.</w:t>
      </w:r>
      <w:r w:rsidRPr="005448EA">
        <w:rPr>
          <w:rFonts w:cs="Times New Roman"/>
        </w:rPr>
        <w:t xml:space="preserve"> Moreover, Bird was expressly asked to advise on how the parties should proceed with their dispute</w:t>
      </w:r>
      <w:r w:rsidR="0088028B">
        <w:rPr>
          <w:rFonts w:cs="Times New Roman"/>
        </w:rPr>
        <w:t xml:space="preserve">. </w:t>
      </w:r>
      <w:r w:rsidRPr="005448EA">
        <w:rPr>
          <w:rFonts w:cs="Times New Roman"/>
        </w:rPr>
        <w:t>Valard, as a recipient of the emai</w:t>
      </w:r>
      <w:r w:rsidR="0088028B">
        <w:rPr>
          <w:rFonts w:cs="Times New Roman"/>
        </w:rPr>
        <w:t xml:space="preserve">l, had full knowledge of this. </w:t>
      </w:r>
      <w:r w:rsidRPr="005448EA">
        <w:rPr>
          <w:rFonts w:cs="Times New Roman"/>
        </w:rPr>
        <w:t xml:space="preserve">Indeed, it was Valard’s issue with the payment offered by Langford up to that point which prompted Langford to email Bird in the first place. </w:t>
      </w:r>
    </w:p>
    <w:p w:rsidR="00E130AF" w:rsidRPr="005448EA" w:rsidRDefault="00E130AF" w:rsidP="00D52823">
      <w:pPr>
        <w:pStyle w:val="ParaNoNdepar-AltN"/>
        <w:widowControl w:val="0"/>
        <w:rPr>
          <w:rFonts w:cs="Times New Roman"/>
        </w:rPr>
      </w:pPr>
      <w:r w:rsidRPr="005448EA">
        <w:rPr>
          <w:rFonts w:cs="Times New Roman"/>
        </w:rPr>
        <w:t>As noted above, I accept that a trustee has an equitable obligation to accurately answer all requests from potential claimants for information pertaining to the existence and particulars of any lab</w:t>
      </w:r>
      <w:r w:rsidR="0088028B">
        <w:rPr>
          <w:rFonts w:cs="Times New Roman"/>
        </w:rPr>
        <w:t>our and materials payment bond.</w:t>
      </w:r>
      <w:r w:rsidRPr="005448EA">
        <w:rPr>
          <w:rFonts w:cs="Times New Roman"/>
        </w:rPr>
        <w:t xml:space="preserve"> As I see it, the August 10, 2009 email effectively amounted to such a</w:t>
      </w:r>
      <w:r w:rsidR="0088028B">
        <w:rPr>
          <w:rFonts w:cs="Times New Roman"/>
        </w:rPr>
        <w:t xml:space="preserve"> request.</w:t>
      </w:r>
      <w:r w:rsidRPr="005448EA">
        <w:rPr>
          <w:rFonts w:cs="Times New Roman"/>
        </w:rPr>
        <w:t xml:space="preserve"> Although the email was not sent by Valard, and did not </w:t>
      </w:r>
      <w:r w:rsidRPr="005448EA">
        <w:rPr>
          <w:rFonts w:cs="Times New Roman"/>
          <w:i/>
        </w:rPr>
        <w:t>explicitly</w:t>
      </w:r>
      <w:r w:rsidRPr="005448EA">
        <w:rPr>
          <w:rFonts w:cs="Times New Roman"/>
        </w:rPr>
        <w:t xml:space="preserve"> raise questions regarding the existence of any bond, I do not see th</w:t>
      </w:r>
      <w:r w:rsidR="0088028B">
        <w:rPr>
          <w:rFonts w:cs="Times New Roman"/>
        </w:rPr>
        <w:t>is as particularly significant.</w:t>
      </w:r>
      <w:r w:rsidRPr="005448EA">
        <w:rPr>
          <w:rFonts w:cs="Times New Roman"/>
        </w:rPr>
        <w:t xml:space="preserve"> In my view, it is not necessary that a potential claimant articulate a particular set of words before being entitled to information about any </w:t>
      </w:r>
      <w:r w:rsidR="0088028B">
        <w:rPr>
          <w:rFonts w:cs="Times New Roman"/>
        </w:rPr>
        <w:t>existing bond from the trustee.</w:t>
      </w:r>
      <w:r w:rsidRPr="005448EA">
        <w:rPr>
          <w:rFonts w:cs="Times New Roman"/>
        </w:rPr>
        <w:t xml:space="preserve"> </w:t>
      </w:r>
      <w:r w:rsidRPr="005448EA">
        <w:rPr>
          <w:rFonts w:cs="Times New Roman"/>
          <w:lang w:val="en-US"/>
        </w:rPr>
        <w:t xml:space="preserve">Similarly, it was not necessary for Bird’s employees to have known conclusively that Valard “was a claimant who had not been paid as provided for under the terms of its contract with Langford” (2015 ABQB 141, </w:t>
      </w:r>
      <w:r w:rsidR="0088028B">
        <w:rPr>
          <w:rFonts w:cs="Times New Roman"/>
          <w:lang w:val="en-US"/>
        </w:rPr>
        <w:t xml:space="preserve">at </w:t>
      </w:r>
      <w:r w:rsidRPr="005448EA">
        <w:rPr>
          <w:rFonts w:cs="Times New Roman"/>
          <w:lang w:val="en-US"/>
        </w:rPr>
        <w:t xml:space="preserve">para. 87). </w:t>
      </w:r>
      <w:r w:rsidRPr="005448EA">
        <w:rPr>
          <w:rFonts w:cs="Times New Roman"/>
        </w:rPr>
        <w:t xml:space="preserve">On the facts of this case, it is sufficient that Langford’s email alerted Bird to the payment problems between Valard and Langford, and ended with a </w:t>
      </w:r>
      <w:r w:rsidRPr="005448EA">
        <w:rPr>
          <w:rFonts w:cs="Times New Roman"/>
        </w:rPr>
        <w:lastRenderedPageBreak/>
        <w:t>clear request that Bird outline how the parties should proc</w:t>
      </w:r>
      <w:r w:rsidR="0088028B">
        <w:rPr>
          <w:rFonts w:cs="Times New Roman"/>
        </w:rPr>
        <w:t xml:space="preserve">eed with this payment dispute. </w:t>
      </w:r>
      <w:r w:rsidRPr="005448EA">
        <w:rPr>
          <w:rFonts w:cs="Times New Roman"/>
        </w:rPr>
        <w:t xml:space="preserve">As one of the recipients of this email (and part of this conversation), Valard was entitled to expect that, if a labour and materials payment bond were available, its existence would have been disclosed by Bird (as trustee/obligee) at this time. </w:t>
      </w:r>
    </w:p>
    <w:p w:rsidR="00E130AF" w:rsidRPr="005448EA" w:rsidRDefault="00E130AF" w:rsidP="00D52823">
      <w:pPr>
        <w:pStyle w:val="ParaNoNdepar-AltN"/>
        <w:widowControl w:val="0"/>
        <w:rPr>
          <w:rFonts w:cs="Times New Roman"/>
        </w:rPr>
      </w:pPr>
      <w:r w:rsidRPr="005448EA">
        <w:rPr>
          <w:rFonts w:cs="Times New Roman"/>
        </w:rPr>
        <w:t>Rather than doing so, Bird removed Valard from the email chain and informed Langford that additional funds from Su</w:t>
      </w:r>
      <w:r w:rsidR="0088028B">
        <w:rPr>
          <w:rFonts w:cs="Times New Roman"/>
        </w:rPr>
        <w:t xml:space="preserve">ncor would not be forthcoming. </w:t>
      </w:r>
      <w:r w:rsidRPr="005448EA">
        <w:rPr>
          <w:rFonts w:cs="Times New Roman"/>
        </w:rPr>
        <w:t>It is my view that, by failing to notify Valard of the L&amp;M Bond’s existence upon receiving what effectively amounted to a request for guidance as to how this payment dispute could be resolved and with knowledge that additional money from Suncor was unavailable, Bird breached the equ</w:t>
      </w:r>
      <w:r w:rsidR="0088028B">
        <w:rPr>
          <w:rFonts w:cs="Times New Roman"/>
        </w:rPr>
        <w:t xml:space="preserve">itable duty it owed to Valard. </w:t>
      </w:r>
      <w:r w:rsidRPr="005448EA">
        <w:rPr>
          <w:rFonts w:cs="Times New Roman"/>
        </w:rPr>
        <w:t xml:space="preserve">Valard was entitled to assume that this request would have triggered a duty on the part of the trustee to advise it of any available bond, and that it therefore did not need to make any further requests in this regard. </w:t>
      </w:r>
    </w:p>
    <w:p w:rsidR="00E130AF" w:rsidRPr="005448EA" w:rsidRDefault="00E130AF" w:rsidP="00D52823">
      <w:pPr>
        <w:pStyle w:val="ParaNoNdepar-AltN"/>
        <w:widowControl w:val="0"/>
      </w:pPr>
      <w:r w:rsidRPr="005448EA">
        <w:rPr>
          <w:rFonts w:cs="Times New Roman"/>
        </w:rPr>
        <w:t>Had Valard been so informed, it would still have been within the 120-day window within which to ma</w:t>
      </w:r>
      <w:r w:rsidR="0088028B">
        <w:rPr>
          <w:rFonts w:cs="Times New Roman"/>
        </w:rPr>
        <w:t xml:space="preserve">ke a claim against the surety. </w:t>
      </w:r>
      <w:r w:rsidRPr="005448EA">
        <w:rPr>
          <w:rFonts w:cs="Times New Roman"/>
        </w:rPr>
        <w:t>I would therefore allow the appeal and direct that the matter be remitted to the trial judge for adjudication on the quantum of damages, as ordered by Justice Brown.</w:t>
      </w:r>
    </w:p>
    <w:p w:rsidR="00E130AF" w:rsidRDefault="0088028B" w:rsidP="00D52823">
      <w:pPr>
        <w:pStyle w:val="ParaNoNdepar-AltN"/>
        <w:widowControl w:val="0"/>
        <w:numPr>
          <w:ilvl w:val="0"/>
          <w:numId w:val="0"/>
        </w:numPr>
        <w:tabs>
          <w:tab w:val="left" w:pos="1170"/>
        </w:tabs>
      </w:pPr>
      <w:r>
        <w:tab/>
      </w:r>
      <w:r w:rsidR="00E130AF" w:rsidRPr="001D0005">
        <w:t>The following are the reasons delivered by</w:t>
      </w:r>
    </w:p>
    <w:p w:rsidR="00E130AF" w:rsidRPr="008772F7" w:rsidRDefault="000C3479" w:rsidP="00D52823">
      <w:pPr>
        <w:pStyle w:val="ParaNoNdepar-AltN"/>
        <w:widowControl w:val="0"/>
      </w:pPr>
      <w:r w:rsidRPr="000C3479">
        <w:rPr>
          <w:smallCaps/>
        </w:rPr>
        <w:t>Karakatsanis J.</w:t>
      </w:r>
      <w:r>
        <w:t xml:space="preserve"> (dissenting) </w:t>
      </w:r>
      <w:r w:rsidRPr="000C3479">
        <w:t>—</w:t>
      </w:r>
      <w:r>
        <w:t xml:space="preserve"> </w:t>
      </w:r>
      <w:r w:rsidR="00E130AF" w:rsidRPr="008772F7">
        <w:t xml:space="preserve">For over 45 years, labour and material payment bonds have been commonly used to secure contractual obligations in the </w:t>
      </w:r>
      <w:r w:rsidR="00E130AF" w:rsidRPr="008772F7">
        <w:lastRenderedPageBreak/>
        <w:t xml:space="preserve">construction industry. Owners (and their general contractors) often seek to protect their projects by requiring subcontractors to obtain such bonds. By guaranteeing that suppliers of labour and material will be paid (up to the limit of the bond), the bonds help ensure that construction work will be completed without interruption and without liens being filed on the project. </w:t>
      </w:r>
    </w:p>
    <w:p w:rsidR="00E130AF" w:rsidRPr="008772F7" w:rsidRDefault="00E130AF" w:rsidP="00D52823">
      <w:pPr>
        <w:pStyle w:val="ParaNoNdepar-AltN"/>
        <w:widowControl w:val="0"/>
        <w:rPr>
          <w:rFonts w:cs="Times New Roman"/>
        </w:rPr>
      </w:pPr>
      <w:r w:rsidRPr="008772F7">
        <w:rPr>
          <w:rFonts w:cs="Times New Roman"/>
        </w:rPr>
        <w:t xml:space="preserve">The standard form bond published by the Canadian Construction Documents Committee (CCDC) uses trust language in order to avoid problems associated with the third-party beneficiary rule. This gives unknown future claimants the right to sue on a bond to which they are not a party. Essentially, the bond provides that the owner (or general contractor) holds the right to claim under the bond as trustee for future claimants (the labour and material suppliers). The obligations of the owner under the terms of the bond are narrowly directed solely to that purpose. </w:t>
      </w:r>
    </w:p>
    <w:p w:rsidR="00E130AF" w:rsidRPr="008772F7" w:rsidRDefault="00E130AF" w:rsidP="00D52823">
      <w:pPr>
        <w:pStyle w:val="ParaNoNdepar-AltN"/>
        <w:widowControl w:val="0"/>
        <w:rPr>
          <w:rFonts w:cs="Times New Roman"/>
        </w:rPr>
      </w:pPr>
      <w:r w:rsidRPr="008772F7">
        <w:rPr>
          <w:rFonts w:cs="Times New Roman"/>
        </w:rPr>
        <w:t>For decades, the industry understanding and practice has been that the trustee is under no obligation to inform the beneficiaries of the existence of the trust and that claimants are expected to enquire as to the existence of a bond. My colleague would hold otherwise. I cannot agree.</w:t>
      </w:r>
    </w:p>
    <w:p w:rsidR="00E130AF" w:rsidRPr="008772F7" w:rsidRDefault="00E130AF" w:rsidP="00D52823">
      <w:pPr>
        <w:pStyle w:val="ParaNoNdepar-AltN"/>
        <w:widowControl w:val="0"/>
        <w:rPr>
          <w:rFonts w:cs="Times New Roman"/>
        </w:rPr>
      </w:pPr>
      <w:r w:rsidRPr="008772F7">
        <w:rPr>
          <w:rFonts w:cs="Times New Roman"/>
        </w:rPr>
        <w:t xml:space="preserve">In my view, general trust law principles do not imply the obligation to notify potential claimants in this commercial context. Equity imposes different obligations depending on the context. In the circumstances of the construction industry, Bird Construction Company was not under an obligation to inform potential claimants of the existence of the bond. Rather, it was required to respond accurately when asked. </w:t>
      </w:r>
      <w:r w:rsidRPr="008772F7">
        <w:rPr>
          <w:rFonts w:cs="Times New Roman"/>
        </w:rPr>
        <w:lastRenderedPageBreak/>
        <w:t xml:space="preserve">Imposing a mandatory obligation on the trustee to inform potential claimants of the bond’s existence transforms what was a beneficial risk-management tool into a significant liability. </w:t>
      </w:r>
      <w:r w:rsidR="006455CD">
        <w:rPr>
          <w:rFonts w:cs="Times New Roman"/>
        </w:rPr>
        <w:t>I would dismiss the appeal.</w:t>
      </w:r>
    </w:p>
    <w:p w:rsidR="00E130AF" w:rsidRPr="006455CD" w:rsidRDefault="00E130AF" w:rsidP="00D52823">
      <w:pPr>
        <w:pStyle w:val="Title1LevelTitre1Niveau-AltL"/>
        <w:widowControl w:val="0"/>
        <w:numPr>
          <w:ilvl w:val="0"/>
          <w:numId w:val="22"/>
        </w:numPr>
        <w:jc w:val="both"/>
        <w:rPr>
          <w:rFonts w:cs="Times New Roman"/>
        </w:rPr>
      </w:pPr>
      <w:r w:rsidRPr="006455CD">
        <w:rPr>
          <w:rFonts w:cs="Times New Roman"/>
        </w:rPr>
        <w:t>Background</w:t>
      </w:r>
    </w:p>
    <w:p w:rsidR="00E130AF" w:rsidRPr="008772F7" w:rsidRDefault="00E130AF" w:rsidP="00D52823">
      <w:pPr>
        <w:pStyle w:val="Title2LevelTitre2Niveau"/>
        <w:widowControl w:val="0"/>
        <w:numPr>
          <w:ilvl w:val="1"/>
          <w:numId w:val="19"/>
        </w:numPr>
        <w:jc w:val="both"/>
        <w:rPr>
          <w:rFonts w:cs="Times New Roman"/>
        </w:rPr>
      </w:pPr>
      <w:r w:rsidRPr="008772F7">
        <w:rPr>
          <w:rFonts w:cs="Times New Roman"/>
        </w:rPr>
        <w:t>Facts and Decisions Below</w:t>
      </w:r>
    </w:p>
    <w:p w:rsidR="00E130AF" w:rsidRPr="008772F7" w:rsidRDefault="00E130AF" w:rsidP="00D52823">
      <w:pPr>
        <w:pStyle w:val="ParaNoNdepar-AltN"/>
        <w:widowControl w:val="0"/>
        <w:rPr>
          <w:rFonts w:cs="Times New Roman"/>
        </w:rPr>
      </w:pPr>
      <w:r w:rsidRPr="008772F7">
        <w:rPr>
          <w:rFonts w:cs="Times New Roman"/>
        </w:rPr>
        <w:t>Bird was the general contractor for Suncor Energy Inc. on a project in the Alberta oilsands, near Fort McMurray. Bird entered into a contract with Langford Electric Ltd. for some electrical work. The contract required Langford to obtain a labour and material payment bond.</w:t>
      </w:r>
    </w:p>
    <w:p w:rsidR="00E130AF" w:rsidRPr="008772F7" w:rsidRDefault="00E130AF" w:rsidP="00D52823">
      <w:pPr>
        <w:pStyle w:val="ParaNoNdepar-AltN"/>
        <w:widowControl w:val="0"/>
        <w:rPr>
          <w:rFonts w:cs="Times New Roman"/>
        </w:rPr>
      </w:pPr>
      <w:r w:rsidRPr="008772F7">
        <w:rPr>
          <w:rFonts w:cs="Times New Roman"/>
        </w:rPr>
        <w:t xml:space="preserve">The bond was issued in the amount of nearly $660,000. It was a standard form bond published by the CCDC (Standard Construction Document 222-2002). The bond provided that Bird was a “trustee” for every claimant who had not been paid under their contract with Langford. A claimant was required to provide notice of its claim within 120 days of completing its work or last furnishing materials. </w:t>
      </w:r>
    </w:p>
    <w:p w:rsidR="00E130AF" w:rsidRPr="008772F7" w:rsidRDefault="00E130AF" w:rsidP="00D52823">
      <w:pPr>
        <w:pStyle w:val="ParaNoNdepar-AltN"/>
        <w:widowControl w:val="0"/>
        <w:rPr>
          <w:rFonts w:cs="Times New Roman"/>
        </w:rPr>
      </w:pPr>
      <w:r w:rsidRPr="008772F7">
        <w:rPr>
          <w:rFonts w:cs="Times New Roman"/>
        </w:rPr>
        <w:t xml:space="preserve">One of Langford’s subcontractors, Valard Construction Ltd., was not paid for its work and obtained a default judgment against Langford for approximately $660,000. </w:t>
      </w:r>
    </w:p>
    <w:p w:rsidR="00E130AF" w:rsidRPr="008772F7" w:rsidRDefault="00E130AF" w:rsidP="00D52823">
      <w:pPr>
        <w:pStyle w:val="ParaNoNdepar-AltN"/>
        <w:widowControl w:val="0"/>
        <w:rPr>
          <w:rFonts w:cs="Times New Roman"/>
        </w:rPr>
      </w:pPr>
      <w:r w:rsidRPr="008772F7">
        <w:rPr>
          <w:rFonts w:cs="Times New Roman"/>
        </w:rPr>
        <w:t xml:space="preserve">Valard’s project manager subsequently asked Bird whether there was a </w:t>
      </w:r>
      <w:r w:rsidRPr="008772F7">
        <w:rPr>
          <w:rFonts w:cs="Times New Roman"/>
        </w:rPr>
        <w:lastRenderedPageBreak/>
        <w:t xml:space="preserve">labour and material payment bond. When Bird confirmed the existence of the bond, Valard sought recourse from the bond issuer. Its claim was denied on the basis that the 120-day notice period had expired. In the action before us, Valard seeks compensation from Bird, on the basis that Bird, as a trustee, was obligated to fully inform the bond beneficiaries of the existence of the bond and its terms. </w:t>
      </w:r>
    </w:p>
    <w:p w:rsidR="00E130AF" w:rsidRPr="008772F7" w:rsidRDefault="00E130AF" w:rsidP="00D52823">
      <w:pPr>
        <w:pStyle w:val="ParaNoNdepar-AltN"/>
        <w:widowControl w:val="0"/>
        <w:rPr>
          <w:rFonts w:cs="Times New Roman"/>
        </w:rPr>
      </w:pPr>
      <w:r w:rsidRPr="008772F7">
        <w:rPr>
          <w:rFonts w:cs="Times New Roman"/>
        </w:rPr>
        <w:t xml:space="preserve">The chambers judge dismissed Valard’s claim against Bird, holding that Bird had no such obligation: 2015 ABQB 141, 41 C.L.R. (4th) 51. The majority of the Court of Appeal of Alberta agreed with the chambers judge, concluding that Bird did not owe a duty to inform Valard of the existence of the bond until Valard specifically asked Bird about the existence of a bond: 2016 ABCA 249, 57 C.L.R. (4th) 171. </w:t>
      </w:r>
    </w:p>
    <w:p w:rsidR="00E130AF" w:rsidRPr="008772F7" w:rsidRDefault="00E130AF" w:rsidP="00D52823">
      <w:pPr>
        <w:pStyle w:val="Title2LevelTitre2Niveau"/>
        <w:widowControl w:val="0"/>
        <w:numPr>
          <w:ilvl w:val="1"/>
          <w:numId w:val="19"/>
        </w:numPr>
        <w:jc w:val="both"/>
        <w:rPr>
          <w:rFonts w:cs="Times New Roman"/>
        </w:rPr>
      </w:pPr>
      <w:r w:rsidRPr="008772F7">
        <w:rPr>
          <w:rFonts w:cs="Times New Roman"/>
        </w:rPr>
        <w:t>Labour and Material Payment Bonds</w:t>
      </w:r>
    </w:p>
    <w:p w:rsidR="00E130AF" w:rsidRPr="008772F7" w:rsidRDefault="00E130AF" w:rsidP="00D52823">
      <w:pPr>
        <w:pStyle w:val="ParaNoNdepar-AltN"/>
        <w:widowControl w:val="0"/>
        <w:rPr>
          <w:rFonts w:cs="Times New Roman"/>
        </w:rPr>
      </w:pPr>
      <w:r w:rsidRPr="008772F7">
        <w:rPr>
          <w:rFonts w:cs="Times New Roman"/>
        </w:rPr>
        <w:t xml:space="preserve">Labour and material payment bonds have been used in the construction industry in Canada for at least 45 years: see, e.g., </w:t>
      </w:r>
      <w:r w:rsidRPr="008772F7">
        <w:rPr>
          <w:rFonts w:cs="Times New Roman"/>
          <w:i/>
        </w:rPr>
        <w:t>Dominion Bridge Co. v. Marla Construction Co.</w:t>
      </w:r>
      <w:r w:rsidRPr="008772F7">
        <w:rPr>
          <w:rFonts w:cs="Times New Roman"/>
        </w:rPr>
        <w:t xml:space="preserve">, [1970] 3 O.R. 125 (Co. Ct.). They are usually required by governments and are increasingly common in the private sector: L. Ricchetti and T. J. Murphy, </w:t>
      </w:r>
      <w:r w:rsidRPr="008772F7">
        <w:rPr>
          <w:rFonts w:cs="Times New Roman"/>
          <w:i/>
        </w:rPr>
        <w:t xml:space="preserve">Construction Law in Canada </w:t>
      </w:r>
      <w:r w:rsidRPr="008772F7">
        <w:rPr>
          <w:rFonts w:cs="Times New Roman"/>
        </w:rPr>
        <w:t xml:space="preserve">(2010), at p. 171, and K. W. Scott and R. B. Reynolds, </w:t>
      </w:r>
      <w:r w:rsidRPr="008772F7">
        <w:rPr>
          <w:rFonts w:cs="Times New Roman"/>
          <w:i/>
        </w:rPr>
        <w:t xml:space="preserve">Scott and Reynolds on Surety Bonds </w:t>
      </w:r>
      <w:r w:rsidRPr="008772F7">
        <w:rPr>
          <w:rFonts w:cs="Times New Roman"/>
        </w:rPr>
        <w:t xml:space="preserve">(loose-leaf), at p. 11-10.8. </w:t>
      </w:r>
    </w:p>
    <w:p w:rsidR="00E130AF" w:rsidRPr="008772F7" w:rsidRDefault="00E130AF" w:rsidP="00D52823">
      <w:pPr>
        <w:pStyle w:val="ParaNoNdepar-AltN"/>
        <w:widowControl w:val="0"/>
        <w:rPr>
          <w:rFonts w:cs="Times New Roman"/>
        </w:rPr>
      </w:pPr>
      <w:r w:rsidRPr="008772F7">
        <w:rPr>
          <w:rFonts w:cs="Times New Roman"/>
        </w:rPr>
        <w:t xml:space="preserve">Labour and material payment bonds require the surety to pay the labour and material suppliers on a project if the principal (usually the general contractor or a subcontractor) does not: Scott and Reynolds, at p. 11-10.8. These bonds benefit owners </w:t>
      </w:r>
      <w:r w:rsidRPr="008772F7">
        <w:rPr>
          <w:rFonts w:cs="Times New Roman"/>
        </w:rPr>
        <w:lastRenderedPageBreak/>
        <w:t xml:space="preserve">(or general contractors) by ensuring they do not need to spend time and money dealing with a defaulting contractor’s unpaid labour and material suppliers. They also reduce the number of liens against a project and may help ensure the project’s timely completion: Ricchetti and Murphy, at p. 172. Bird’s project manager testified that Bird, primarily for its own protection, required labour and material payment bonds for all contracts over $100,000. </w:t>
      </w:r>
    </w:p>
    <w:p w:rsidR="00E130AF" w:rsidRPr="008772F7" w:rsidRDefault="00E130AF" w:rsidP="00D52823">
      <w:pPr>
        <w:pStyle w:val="ParaNoNdepar-AltN"/>
        <w:widowControl w:val="0"/>
        <w:rPr>
          <w:rFonts w:cs="Times New Roman"/>
        </w:rPr>
      </w:pPr>
      <w:r w:rsidRPr="008772F7">
        <w:rPr>
          <w:rFonts w:cs="Times New Roman"/>
        </w:rPr>
        <w:t xml:space="preserve">Prior to the use of trust language, there was a legal obstacle that prevented labour and material payments bonds from serving their intended purpose. Since the unknown potential claimants were not parties to the bond, they were not entitled to enforce it under the traditional third-party beneficiary rule: see, e.g., </w:t>
      </w:r>
      <w:r w:rsidRPr="008772F7">
        <w:rPr>
          <w:rFonts w:cs="Times New Roman"/>
          <w:i/>
        </w:rPr>
        <w:t>Tobin Tractor (1957) Ltd. v. Western Surety Co.</w:t>
      </w:r>
      <w:r w:rsidRPr="008772F7">
        <w:rPr>
          <w:rFonts w:cs="Times New Roman"/>
        </w:rPr>
        <w:t xml:space="preserve"> (1963), 40 D.L.R. (2d) 231 (Sask. Q.B.). To avoid this problem, modern labour and material payment bonds frequently use trust language: Ricchetti and Murphy, at p. 171; Scott and Reynolds, at p. 11-10.8;</w:t>
      </w:r>
      <w:r w:rsidRPr="008772F7">
        <w:rPr>
          <w:rFonts w:cs="Times New Roman"/>
          <w:i/>
        </w:rPr>
        <w:t xml:space="preserve"> Citadel General Assurance Co. v. Johns-Manville Canada Inc.</w:t>
      </w:r>
      <w:r w:rsidRPr="008772F7">
        <w:rPr>
          <w:rFonts w:cs="Times New Roman"/>
        </w:rPr>
        <w:t xml:space="preserve">, [1983] 1 S.C.R. 513, and </w:t>
      </w:r>
      <w:r w:rsidRPr="008772F7">
        <w:rPr>
          <w:rFonts w:cs="Times New Roman"/>
          <w:i/>
        </w:rPr>
        <w:t>Harris Steel Ltd. v. Alta Surety Co.</w:t>
      </w:r>
      <w:r w:rsidRPr="008772F7">
        <w:rPr>
          <w:rFonts w:cs="Times New Roman"/>
        </w:rPr>
        <w:t xml:space="preserve"> (1993), 119 N.S.R. (2d) 61 (S.C. (App. Div.)); see also R. Flannigan, “Business Applications of the Express Trust” (1998), 36 </w:t>
      </w:r>
      <w:r w:rsidRPr="008772F7">
        <w:rPr>
          <w:rFonts w:cs="Times New Roman"/>
          <w:i/>
        </w:rPr>
        <w:t>Alta. L. Rev.</w:t>
      </w:r>
      <w:r w:rsidRPr="008772F7">
        <w:rPr>
          <w:rFonts w:cs="Times New Roman"/>
        </w:rPr>
        <w:t xml:space="preserve"> 630, at pp. 631-32. </w:t>
      </w:r>
    </w:p>
    <w:p w:rsidR="00E130AF" w:rsidRPr="008772F7" w:rsidRDefault="00E130AF" w:rsidP="00D52823">
      <w:pPr>
        <w:pStyle w:val="ParaNoNdepar-AltN"/>
        <w:widowControl w:val="0"/>
        <w:rPr>
          <w:rFonts w:cs="Times New Roman"/>
        </w:rPr>
      </w:pPr>
      <w:r w:rsidRPr="008772F7">
        <w:rPr>
          <w:rFonts w:cs="Times New Roman"/>
        </w:rPr>
        <w:t xml:space="preserve">As another way of avoiding this problem, some legislatures have chosen to create a statutory right of action. In Ontario, s. 69(1) of the </w:t>
      </w:r>
      <w:r w:rsidRPr="008772F7">
        <w:rPr>
          <w:rFonts w:cs="Times New Roman"/>
          <w:bCs/>
          <w:i/>
          <w:szCs w:val="24"/>
        </w:rPr>
        <w:t>Construction Lien Act</w:t>
      </w:r>
      <w:r w:rsidRPr="008772F7">
        <w:rPr>
          <w:rFonts w:cs="Times New Roman"/>
          <w:bCs/>
          <w:szCs w:val="24"/>
        </w:rPr>
        <w:t>, R.</w:t>
      </w:r>
      <w:r w:rsidRPr="008772F7">
        <w:rPr>
          <w:rFonts w:cs="Times New Roman"/>
        </w:rPr>
        <w:t xml:space="preserve">S.O. 1990, c. C.30, creates the right of a claimant to sue directly on the labour and material bond. British Columbia has a similar provision: </w:t>
      </w:r>
      <w:r w:rsidRPr="008772F7">
        <w:rPr>
          <w:rFonts w:cs="Times New Roman"/>
          <w:i/>
        </w:rPr>
        <w:t>Law and Equity Act</w:t>
      </w:r>
      <w:r w:rsidRPr="008772F7">
        <w:rPr>
          <w:rFonts w:cs="Times New Roman"/>
        </w:rPr>
        <w:t xml:space="preserve">, R.S.B.C. </w:t>
      </w:r>
      <w:r w:rsidRPr="008772F7">
        <w:rPr>
          <w:rFonts w:cs="Times New Roman"/>
        </w:rPr>
        <w:lastRenderedPageBreak/>
        <w:t xml:space="preserve">1996, c. 253, s. 48. Similarly, the federal </w:t>
      </w:r>
      <w:r w:rsidRPr="008772F7">
        <w:rPr>
          <w:rFonts w:cs="Times New Roman"/>
          <w:i/>
        </w:rPr>
        <w:t>Financial Administration Act</w:t>
      </w:r>
      <w:r w:rsidRPr="008772F7">
        <w:rPr>
          <w:rFonts w:cs="Times New Roman"/>
        </w:rPr>
        <w:t xml:space="preserve">, R.S.C. 1985, c. F-11, assigns to claimants the right of the Crown to recover under a labour and material payment bond. As result of this legislation, the federal government uses its own standard form labour and material payment bond. Unlike the CCDC 222-2002 bond, the federal government’s bond does not provide that the Crown is a trustee for potential claimants: Scott and Reynolds, at p. 3-4. </w:t>
      </w:r>
    </w:p>
    <w:p w:rsidR="00E130AF" w:rsidRPr="008772F7" w:rsidRDefault="00E130AF" w:rsidP="00D52823">
      <w:pPr>
        <w:pStyle w:val="ParaNoNdepar-AltN"/>
        <w:widowControl w:val="0"/>
        <w:rPr>
          <w:rFonts w:cs="Times New Roman"/>
        </w:rPr>
      </w:pPr>
      <w:r w:rsidRPr="008772F7">
        <w:rPr>
          <w:rFonts w:cs="Times New Roman"/>
        </w:rPr>
        <w:t>In light of the fact that the trust language was only used to circumvent the third-party beneficiary rule, the bond itself narrowly defines the obligations placed on the trustee. Under the generic terms of the CCDC 222-2002 bond, Bird, as trustee, “is not obliged to do or take any act, action or proceeding against the Surety on behalf of the Claimants, or any of them, to enforce the provisions of this Bond”. Further, if an action is taken in Bird’s name or by joining Bird as a party, then the claimants are required to indemnify Bird for “all costs, charges and expenses or liabilities incurred thereon and any loss or damage resulting to [Bird] by reason thereof”.</w:t>
      </w:r>
    </w:p>
    <w:p w:rsidR="00E130AF" w:rsidRPr="008772F7" w:rsidRDefault="00E130AF" w:rsidP="00D52823">
      <w:pPr>
        <w:pStyle w:val="Title1LevelTitre1Niveau-AltL"/>
        <w:widowControl w:val="0"/>
        <w:numPr>
          <w:ilvl w:val="0"/>
          <w:numId w:val="19"/>
        </w:numPr>
        <w:jc w:val="both"/>
        <w:rPr>
          <w:rFonts w:cs="Times New Roman"/>
        </w:rPr>
      </w:pPr>
      <w:r w:rsidRPr="008772F7">
        <w:rPr>
          <w:rFonts w:cs="Times New Roman"/>
        </w:rPr>
        <w:t>Analysis</w:t>
      </w:r>
    </w:p>
    <w:p w:rsidR="00E130AF" w:rsidRPr="008772F7" w:rsidRDefault="00E130AF" w:rsidP="00D52823">
      <w:pPr>
        <w:pStyle w:val="ParaNoNdepar-AltN"/>
        <w:widowControl w:val="0"/>
        <w:rPr>
          <w:rFonts w:cs="Times New Roman"/>
        </w:rPr>
      </w:pPr>
      <w:r w:rsidRPr="008772F7">
        <w:rPr>
          <w:rFonts w:cs="Times New Roman"/>
        </w:rPr>
        <w:t xml:space="preserve">As a trustee under the bond, Bird is under an obligation to maintain and deliver the trust property — here, the right to claim on the bond. As I shall explain, I do not agree with my colleague that, under trust law principles, that obligation </w:t>
      </w:r>
      <w:r w:rsidRPr="008772F7">
        <w:rPr>
          <w:rFonts w:cs="Times New Roman"/>
          <w:i/>
        </w:rPr>
        <w:t>necessarily implies</w:t>
      </w:r>
      <w:r w:rsidRPr="008772F7">
        <w:rPr>
          <w:rFonts w:cs="Times New Roman"/>
        </w:rPr>
        <w:t xml:space="preserve"> the obligation to provide notice to potential claimants. Such a result in this case means that Bird, who obtained the bond to protect itself from claims and construction delays, is liable for a claim by virtue of the bond. There is no compelling </w:t>
      </w:r>
      <w:r w:rsidRPr="008772F7">
        <w:rPr>
          <w:rFonts w:cs="Times New Roman"/>
        </w:rPr>
        <w:lastRenderedPageBreak/>
        <w:t xml:space="preserve">reason to interpret the trustee’s narrowly drawn obligations under a labour and material payment bond in such a way. Doing so would run counter to how these routine bonds have been understood and used by the construction industry for many decades. Given the narrow purpose and scope of the trust, the limited obligations of the trustee, and industry use of these trusts, it is sufficient if the trustee responds to any enquiries about a bond. </w:t>
      </w:r>
    </w:p>
    <w:p w:rsidR="00E130AF" w:rsidRPr="008772F7" w:rsidRDefault="00E130AF" w:rsidP="00D52823">
      <w:pPr>
        <w:pStyle w:val="Title2LevelTitre2Niveau"/>
        <w:widowControl w:val="0"/>
        <w:numPr>
          <w:ilvl w:val="1"/>
          <w:numId w:val="19"/>
        </w:numPr>
        <w:jc w:val="both"/>
        <w:rPr>
          <w:rFonts w:cs="Times New Roman"/>
        </w:rPr>
      </w:pPr>
      <w:r w:rsidRPr="008772F7">
        <w:rPr>
          <w:rFonts w:cs="Times New Roman"/>
        </w:rPr>
        <w:t>Does the Use of Trust Language in the Bond Necessarily Impose an Obligation on Bird to Inform Potential Beneficiaries of the Bond?</w:t>
      </w:r>
    </w:p>
    <w:p w:rsidR="00E130AF" w:rsidRPr="008772F7" w:rsidRDefault="00E130AF" w:rsidP="00D52823">
      <w:pPr>
        <w:pStyle w:val="ParaNoNdepar-AltN"/>
        <w:widowControl w:val="0"/>
        <w:rPr>
          <w:rFonts w:cs="Times New Roman"/>
        </w:rPr>
      </w:pPr>
      <w:r w:rsidRPr="008772F7">
        <w:rPr>
          <w:rFonts w:cs="Times New Roman"/>
        </w:rPr>
        <w:t xml:space="preserve">Valard submits that because the fundamental core of a trust is the right of beneficiaries to enforce it, the trustee is necessarily obliged to inform beneficiaries of the existence of the trust. Since, as Valard submits, this obligation is fundamental to a trust, the settlor cannot oust this duty: D. Hayton, “The Irreducible Core Content of Trusteeship”, in A. J. Oakley, ed., </w:t>
      </w:r>
      <w:r w:rsidRPr="008772F7">
        <w:rPr>
          <w:rFonts w:cs="Times New Roman"/>
          <w:i/>
        </w:rPr>
        <w:t>Trends in Contemporary Trust Law</w:t>
      </w:r>
      <w:r w:rsidRPr="008772F7">
        <w:rPr>
          <w:rFonts w:cs="Times New Roman"/>
        </w:rPr>
        <w:t xml:space="preserve"> (1996), 47, at p. 49. In response, Bird submits that the bond is a bare trust, and the bare obligation to convey the trust property (the right to claim under the bond) does not entail an obligation to give notice of the bond to potential claimants. </w:t>
      </w:r>
    </w:p>
    <w:p w:rsidR="00E130AF" w:rsidRPr="008772F7" w:rsidRDefault="00E130AF" w:rsidP="00D52823">
      <w:pPr>
        <w:pStyle w:val="ParaNoNdepar-AltN"/>
        <w:widowControl w:val="0"/>
        <w:rPr>
          <w:rFonts w:cs="Times New Roman"/>
        </w:rPr>
      </w:pPr>
      <w:r w:rsidRPr="008772F7">
        <w:rPr>
          <w:rFonts w:cs="Times New Roman"/>
        </w:rPr>
        <w:t xml:space="preserve">A trust is a relationship whereby the trustee holds property and owes obligations to the beneficiaries of the trust with respect to that property: </w:t>
      </w:r>
      <w:r w:rsidRPr="008772F7">
        <w:rPr>
          <w:rFonts w:cs="Times New Roman"/>
          <w:i/>
        </w:rPr>
        <w:t>Oosterhoff on Trusts: Text, Commentary and Materials</w:t>
      </w:r>
      <w:r w:rsidRPr="008772F7">
        <w:rPr>
          <w:rFonts w:cs="Times New Roman"/>
        </w:rPr>
        <w:t xml:space="preserve"> (8th ed. 2014), by A. H. Oosterhoff, R. Chambers and M. McInnes, at p. 19; </w:t>
      </w:r>
      <w:r w:rsidRPr="008772F7">
        <w:rPr>
          <w:rFonts w:cs="Times New Roman"/>
          <w:i/>
        </w:rPr>
        <w:t>Underhill and Hayton: Law Relating to Trusts and Trustees</w:t>
      </w:r>
      <w:r w:rsidRPr="008772F7">
        <w:rPr>
          <w:rFonts w:cs="Times New Roman"/>
        </w:rPr>
        <w:t xml:space="preserve"> (18th ed. 2010), by D. Hayton, P. Matthews and C. Mitchell, at para. 1.1. </w:t>
      </w:r>
      <w:r w:rsidRPr="008772F7">
        <w:rPr>
          <w:rFonts w:cs="Times New Roman"/>
        </w:rPr>
        <w:lastRenderedPageBreak/>
        <w:t xml:space="preserve">The obligations imposed upon a trustee are first and foremost determined by the terms of the trust instrument itself, but can be supplemented or modified by general principles of equity: </w:t>
      </w:r>
      <w:r w:rsidRPr="008772F7">
        <w:rPr>
          <w:rFonts w:cs="Times New Roman"/>
          <w:i/>
        </w:rPr>
        <w:t xml:space="preserve">Waters’ Law of Trusts in Canada </w:t>
      </w:r>
      <w:r w:rsidRPr="008772F7">
        <w:rPr>
          <w:rFonts w:cs="Times New Roman"/>
        </w:rPr>
        <w:t>(4th ed. 2012), by D. W. M. Waters, M. R. Gillen and L. D. Smith, at p. 912. Under general trust principles, trustees must act with honesty and competence and are required to obey the terms of the trust, preserve the trust assets for the benefit of the beneficiaries and account to them for their performance of the trust: Oosterhoff et al., at p. 123; Waters et al., at p. 906. In the case of a bare trust, the trustee’s only obligation is to dispose of the trust property as directed by the beneficiary: Oosterhoff et al., at p. 20; Waters et al., at p. 33. The question in this appeal is whether the beneficiaries’ right</w:t>
      </w:r>
      <w:r w:rsidR="0088028B">
        <w:rPr>
          <w:rFonts w:cs="Times New Roman"/>
        </w:rPr>
        <w:t>s</w:t>
      </w:r>
      <w:r w:rsidRPr="008772F7">
        <w:rPr>
          <w:rFonts w:cs="Times New Roman"/>
        </w:rPr>
        <w:t xml:space="preserve"> to hold the trustee to account for its administration of the trust property and to enforce the terms of the trust necessarily imply an obligation on the trustee to notify potential claimants of the trust’s existence. </w:t>
      </w:r>
    </w:p>
    <w:p w:rsidR="00E130AF" w:rsidRPr="008772F7" w:rsidRDefault="00E130AF" w:rsidP="00D52823">
      <w:pPr>
        <w:pStyle w:val="ParaNoNdepar-AltN"/>
        <w:widowControl w:val="0"/>
        <w:rPr>
          <w:rFonts w:cs="Times New Roman"/>
        </w:rPr>
      </w:pPr>
      <w:r w:rsidRPr="008772F7">
        <w:rPr>
          <w:rFonts w:cs="Times New Roman"/>
        </w:rPr>
        <w:t>In my view, it is not necessary to determine whether the bond is a bare trust.</w:t>
      </w:r>
      <w:r w:rsidRPr="008772F7" w:rsidDel="006221A2">
        <w:rPr>
          <w:rFonts w:cs="Times New Roman"/>
        </w:rPr>
        <w:t xml:space="preserve"> </w:t>
      </w:r>
      <w:r w:rsidRPr="008772F7">
        <w:rPr>
          <w:rFonts w:cs="Times New Roman"/>
        </w:rPr>
        <w:t>As I shall explain, this is not a case where the beneficiary’s right to enforce the terms of the trust can be meaningfully exercised only if he or she is first in</w:t>
      </w:r>
      <w:r w:rsidR="0088028B">
        <w:rPr>
          <w:rFonts w:cs="Times New Roman"/>
        </w:rPr>
        <w:t>formed of the trust’s existence,</w:t>
      </w:r>
      <w:r w:rsidRPr="008772F7">
        <w:rPr>
          <w:rFonts w:cs="Times New Roman"/>
        </w:rPr>
        <w:t xml:space="preserve"> nor where the potential beneficiaries would be unreasonably disadvantaged were they not informed of the bond’s existence. </w:t>
      </w:r>
    </w:p>
    <w:p w:rsidR="00E130AF" w:rsidRPr="008772F7" w:rsidRDefault="00E130AF" w:rsidP="00D52823">
      <w:pPr>
        <w:pStyle w:val="ParaNoNdepar-AltN"/>
        <w:widowControl w:val="0"/>
        <w:rPr>
          <w:rFonts w:cs="Times New Roman"/>
        </w:rPr>
      </w:pPr>
      <w:r w:rsidRPr="008772F7">
        <w:rPr>
          <w:rFonts w:cs="Times New Roman"/>
        </w:rPr>
        <w:t xml:space="preserve">Equity imposes different obligations depending on the particular context. As this Court recognized in </w:t>
      </w:r>
      <w:r w:rsidRPr="008772F7">
        <w:rPr>
          <w:rFonts w:cs="Times New Roman"/>
          <w:i/>
        </w:rPr>
        <w:t>Hodgkinson v. Simms</w:t>
      </w:r>
      <w:r w:rsidRPr="008772F7">
        <w:rPr>
          <w:rFonts w:cs="Times New Roman"/>
        </w:rPr>
        <w:t xml:space="preserve">, [1994] 3 S.C.R. 377, at p. 413, “the precise legal or equitable duties the law will enforce in any given relationship are tailored to the legal and practical incidents of a particular relationship”. </w:t>
      </w:r>
      <w:r w:rsidRPr="008772F7">
        <w:rPr>
          <w:rFonts w:cs="Times New Roman"/>
          <w:lang w:val="en-US"/>
        </w:rPr>
        <w:t xml:space="preserve">In determining </w:t>
      </w:r>
      <w:r w:rsidRPr="008772F7">
        <w:rPr>
          <w:rFonts w:cs="Times New Roman"/>
          <w:lang w:val="en-US"/>
        </w:rPr>
        <w:lastRenderedPageBreak/>
        <w:t>the duties of a trustee, it is important to consider “the nature and terms of the relevant trust and the social or business environme</w:t>
      </w:r>
      <w:r w:rsidR="0088028B">
        <w:rPr>
          <w:rFonts w:cs="Times New Roman"/>
          <w:lang w:val="en-US"/>
        </w:rPr>
        <w:t>nt in which the trust operates”:</w:t>
      </w:r>
      <w:r w:rsidRPr="008772F7">
        <w:rPr>
          <w:rFonts w:cs="Times New Roman"/>
          <w:lang w:val="en-US"/>
        </w:rPr>
        <w:t xml:space="preserve"> </w:t>
      </w:r>
      <w:r w:rsidRPr="008772F7">
        <w:rPr>
          <w:rFonts w:cs="Times New Roman"/>
          <w:i/>
          <w:szCs w:val="24"/>
        </w:rPr>
        <w:t>Segelov v. Ernst &amp; Young Services Pty. Ltd.</w:t>
      </w:r>
      <w:r w:rsidRPr="008772F7">
        <w:rPr>
          <w:rFonts w:cs="Times New Roman"/>
          <w:szCs w:val="24"/>
        </w:rPr>
        <w:t xml:space="preserve">, [2015] NSWCA 156, </w:t>
      </w:r>
      <w:r w:rsidR="0088028B">
        <w:rPr>
          <w:rFonts w:cs="Times New Roman"/>
          <w:szCs w:val="24"/>
        </w:rPr>
        <w:t xml:space="preserve">89 N.S.W.L.R. 431, </w:t>
      </w:r>
      <w:r w:rsidR="00B22552">
        <w:rPr>
          <w:rFonts w:cs="Times New Roman"/>
          <w:szCs w:val="24"/>
        </w:rPr>
        <w:t>at para. 130</w:t>
      </w:r>
      <w:r w:rsidRPr="008772F7">
        <w:rPr>
          <w:rFonts w:cs="Times New Roman"/>
          <w:szCs w:val="24"/>
        </w:rPr>
        <w:t>.</w:t>
      </w:r>
    </w:p>
    <w:p w:rsidR="00E130AF" w:rsidRPr="008772F7" w:rsidRDefault="00E130AF" w:rsidP="00D52823">
      <w:pPr>
        <w:pStyle w:val="ParaNoNdepar-AltN"/>
        <w:widowControl w:val="0"/>
        <w:rPr>
          <w:rFonts w:cs="Times New Roman"/>
        </w:rPr>
      </w:pPr>
      <w:r w:rsidRPr="008772F7">
        <w:rPr>
          <w:rFonts w:cs="Times New Roman"/>
        </w:rPr>
        <w:t xml:space="preserve">Courts have imposed an obligation on a trustee to notify beneficiaries of the trust’s existence in the context of a family trust or a trust for minors: see, e.g., </w:t>
      </w:r>
      <w:r w:rsidRPr="008772F7">
        <w:rPr>
          <w:rFonts w:cs="Times New Roman"/>
          <w:i/>
        </w:rPr>
        <w:t>Hawkesley v. May</w:t>
      </w:r>
      <w:r w:rsidRPr="008772F7">
        <w:rPr>
          <w:rFonts w:cs="Times New Roman"/>
        </w:rPr>
        <w:t xml:space="preserve">, [1956] 1 Q.B. 304; </w:t>
      </w:r>
      <w:r w:rsidRPr="008772F7">
        <w:rPr>
          <w:rFonts w:cs="Times New Roman"/>
          <w:i/>
        </w:rPr>
        <w:t>Brittlebank v. Goodwin</w:t>
      </w:r>
      <w:r w:rsidRPr="008772F7">
        <w:rPr>
          <w:rFonts w:cs="Times New Roman"/>
        </w:rPr>
        <w:t xml:space="preserve"> (1868), L.R. 5 Eq. 545; and </w:t>
      </w:r>
      <w:r w:rsidRPr="008772F7">
        <w:rPr>
          <w:rFonts w:cs="Times New Roman"/>
          <w:i/>
        </w:rPr>
        <w:t>In re Short Estate</w:t>
      </w:r>
      <w:r w:rsidRPr="008772F7">
        <w:rPr>
          <w:rFonts w:cs="Times New Roman"/>
        </w:rPr>
        <w:t>, [1941] 1 W.W.R. 593 (B.C.S.C.). The dual rationales offered for imposing such a duty on the trustee are that absent this duty, the beneficiaries would have no way of knowing of their entitlement under the trust and they could not ensure the trustee respected the obligations and terms of the trust. See also D. Hayton (1996), at p. 49, and G. Lightman, “The Trustees’ Duty to Provide Information to Beneficiaries”, [2004] P.C.B. 23, at pp. 24-25 and 34-37.</w:t>
      </w:r>
    </w:p>
    <w:p w:rsidR="00E130AF" w:rsidRPr="008772F7" w:rsidRDefault="00E130AF" w:rsidP="00D52823">
      <w:pPr>
        <w:pStyle w:val="ParaNoNdepar-AltN"/>
        <w:widowControl w:val="0"/>
        <w:rPr>
          <w:rFonts w:cs="Times New Roman"/>
        </w:rPr>
      </w:pPr>
      <w:r w:rsidRPr="008772F7">
        <w:rPr>
          <w:rFonts w:cs="Times New Roman"/>
        </w:rPr>
        <w:t>Neither rationale for imposing such a duty on a trustee exists with the same force here. Unlike an infant beneficiary who has no idea that a trust may exist, labour and material payment bonds are regularly used in the construction industry.</w:t>
      </w:r>
      <w:r w:rsidRPr="008772F7" w:rsidDel="00DB3B25">
        <w:rPr>
          <w:rFonts w:cs="Times New Roman"/>
        </w:rPr>
        <w:t xml:space="preserve"> </w:t>
      </w:r>
      <w:r w:rsidRPr="008772F7">
        <w:rPr>
          <w:rFonts w:cs="Times New Roman"/>
        </w:rPr>
        <w:t xml:space="preserve">Further, the terms of the trust and obligations of the trustee are very narrow and do not require oversight by a beneficiary. The trust property is simply the right of suit under the bond: D. W. Glaholt, </w:t>
      </w:r>
      <w:r w:rsidRPr="008772F7">
        <w:rPr>
          <w:rFonts w:cs="Times New Roman"/>
          <w:i/>
        </w:rPr>
        <w:t xml:space="preserve">Construction Trusts: Law &amp; Practice </w:t>
      </w:r>
      <w:r w:rsidRPr="008772F7">
        <w:rPr>
          <w:rFonts w:cs="Times New Roman"/>
        </w:rPr>
        <w:t xml:space="preserve">(1999), at p. 83. The text of the bond itself does not impose any obligations on the trustee. Under the CCDC 222-2002 bond, the trustee has no obligation to commence an action on behalf of the claimants. </w:t>
      </w:r>
    </w:p>
    <w:p w:rsidR="00E130AF" w:rsidRPr="008772F7" w:rsidRDefault="00E130AF" w:rsidP="00D52823">
      <w:pPr>
        <w:pStyle w:val="ParaNoNdepar-AltN"/>
        <w:widowControl w:val="0"/>
        <w:rPr>
          <w:rFonts w:cs="Times New Roman"/>
        </w:rPr>
      </w:pPr>
      <w:r w:rsidRPr="008772F7">
        <w:rPr>
          <w:rFonts w:cs="Times New Roman"/>
        </w:rPr>
        <w:lastRenderedPageBreak/>
        <w:t>The issue of whether a trustee under a labour and material bond is required to notify claimants of the existence of the bond was first considered in 1970: the Ontario County Court held that there was no duty on the trustee to notify claimants of the existence of the labour and material payment bond (</w:t>
      </w:r>
      <w:r w:rsidRPr="008772F7">
        <w:rPr>
          <w:rFonts w:cs="Times New Roman"/>
          <w:i/>
        </w:rPr>
        <w:t>Dominion Bridge</w:t>
      </w:r>
      <w:r w:rsidRPr="008772F7">
        <w:rPr>
          <w:rFonts w:cs="Times New Roman"/>
        </w:rPr>
        <w:t xml:space="preserve">). This decision was recently followed by the Ontario Superior Court: </w:t>
      </w:r>
      <w:r w:rsidRPr="008772F7">
        <w:rPr>
          <w:rFonts w:cs="Times New Roman"/>
          <w:i/>
        </w:rPr>
        <w:t>Dolvin Mechanical Contractors Ltd. v. Trisura Guarantee Insurance Co.</w:t>
      </w:r>
      <w:r w:rsidRPr="008772F7">
        <w:rPr>
          <w:rFonts w:cs="Times New Roman"/>
        </w:rPr>
        <w:t xml:space="preserve">, 2014 ONSC 918, 36 C.L.R. (4th) 126. We were referred to no other cases in Canada addressing this issue. </w:t>
      </w:r>
    </w:p>
    <w:p w:rsidR="00E130AF" w:rsidRPr="008772F7" w:rsidRDefault="00E130AF" w:rsidP="00D52823">
      <w:pPr>
        <w:pStyle w:val="ParaNoNdepar-AltN"/>
        <w:widowControl w:val="0"/>
        <w:rPr>
          <w:rFonts w:cs="Times New Roman"/>
        </w:rPr>
      </w:pPr>
      <w:r w:rsidRPr="008772F7">
        <w:rPr>
          <w:rFonts w:cs="Times New Roman"/>
        </w:rPr>
        <w:t xml:space="preserve">Thus, for over 45 years, the understanding and practice in the construction industry in Canada has been that the trustee of a labour and material payment bond is not required to take steps to notify potential claimants of the existence of the bond. The authors of a leading treatise on surety bonds advise potential claimants accordingly, writing that “it is critical for either the potential claimant or their solicitors to demand a copy of any labour and material payment bond posted by the contractor with the owner”: Scott and Reynolds, at pp. 11-10.8 and 11-10.9. </w:t>
      </w:r>
    </w:p>
    <w:p w:rsidR="00E130AF" w:rsidRPr="008772F7" w:rsidRDefault="00E130AF" w:rsidP="00D52823">
      <w:pPr>
        <w:pStyle w:val="ParaNoNdepar-AltN"/>
        <w:widowControl w:val="0"/>
        <w:rPr>
          <w:rFonts w:cs="Times New Roman"/>
        </w:rPr>
      </w:pPr>
      <w:r w:rsidRPr="008772F7">
        <w:rPr>
          <w:rFonts w:cs="Times New Roman"/>
        </w:rPr>
        <w:t xml:space="preserve">Finally, although Valard submits and my colleague accepts that notice is not an onerous obligation and could easily be satisfied by displaying a copy of the bond in Bird’s on-site work trailer, I am not persuaded that this is the case. What would Bird be required to do if there were multiple worksites? How could Bird satisfy its obligations to those labour and material suppliers who may not be on the worksite? My colleague suggests that what is reasonable will depend on the circumstances (including the particular sector of the construction industry or geographic area), but in my view, </w:t>
      </w:r>
      <w:r w:rsidRPr="008772F7">
        <w:rPr>
          <w:rFonts w:cs="Times New Roman"/>
        </w:rPr>
        <w:lastRenderedPageBreak/>
        <w:t xml:space="preserve">this introduces unnecessary uncertainty and may well undermine the value of having such a bond in the first place. </w:t>
      </w:r>
    </w:p>
    <w:p w:rsidR="00E130AF" w:rsidRPr="008772F7" w:rsidRDefault="00E130AF" w:rsidP="00D52823">
      <w:pPr>
        <w:pStyle w:val="ParaNoNdepar-AltN"/>
        <w:widowControl w:val="0"/>
        <w:rPr>
          <w:rFonts w:cs="Times New Roman"/>
        </w:rPr>
      </w:pPr>
      <w:r w:rsidRPr="008772F7">
        <w:rPr>
          <w:rFonts w:cs="Times New Roman"/>
        </w:rPr>
        <w:t>Given the narrow purpose of the trust created here, and the practice in the construction industry in using these bonds for more than 45 years, Bird was entitled to assume that such bonds were sufficiently known in the industry and it was therefore under no duty to determine whether potential claimants required notice and how to provide reasonable notice. In this context, it would not be to the unreasonable disadvantage of potential claimants not to be informed of the trust’s existence. Knowledge of the bond is available through general knowledge about industry practice or by the claimant making enquiries. The trustee is under an obligation to respond accurately to these enquiries. I conclude that equity does not generally demand more in the context of the construction industry. That being said, I do not foreclose the possibility that a trustee may breach its equitable duty if it receives actual notice of the claim within the time permitted for a claim under the bond and does not advise the claimant of the bond. In this case, the chambers judge specifically found that at all material times, the employees of Bird did not know that Valard was a claimant who had not been paid under its contract with Langford (para. 87). I see no palpable and overriding error that would permit me to disturb this finding.</w:t>
      </w:r>
    </w:p>
    <w:p w:rsidR="00E130AF" w:rsidRPr="008772F7" w:rsidRDefault="00E130AF" w:rsidP="00D52823">
      <w:pPr>
        <w:pStyle w:val="Title2LevelTitre2Niveau"/>
        <w:widowControl w:val="0"/>
        <w:numPr>
          <w:ilvl w:val="1"/>
          <w:numId w:val="19"/>
        </w:numPr>
        <w:jc w:val="both"/>
        <w:rPr>
          <w:rFonts w:cs="Times New Roman"/>
        </w:rPr>
      </w:pPr>
      <w:r w:rsidRPr="008772F7">
        <w:rPr>
          <w:rFonts w:cs="Times New Roman"/>
        </w:rPr>
        <w:t>Does the Fact That This Labour and Material Payment Bond Was for an Oilsands Project Change the Analysis?</w:t>
      </w:r>
    </w:p>
    <w:p w:rsidR="00E130AF" w:rsidRPr="008772F7" w:rsidRDefault="00E130AF" w:rsidP="00D52823">
      <w:pPr>
        <w:pStyle w:val="ParaNoNdepar-AltN"/>
        <w:widowControl w:val="0"/>
        <w:rPr>
          <w:rFonts w:cs="Times New Roman"/>
        </w:rPr>
      </w:pPr>
      <w:r w:rsidRPr="008772F7">
        <w:rPr>
          <w:rFonts w:cs="Times New Roman"/>
        </w:rPr>
        <w:t xml:space="preserve">My colleague writes that “an honest and reasonably skillful and prudent </w:t>
      </w:r>
      <w:r w:rsidRPr="008772F7">
        <w:rPr>
          <w:rFonts w:cs="Times New Roman"/>
        </w:rPr>
        <w:lastRenderedPageBreak/>
        <w:t xml:space="preserve">trustee would have known . . . that labour </w:t>
      </w:r>
      <w:r w:rsidR="000004AD">
        <w:rPr>
          <w:rFonts w:cs="Times New Roman"/>
        </w:rPr>
        <w:t xml:space="preserve">and </w:t>
      </w:r>
      <w:r w:rsidRPr="008772F7">
        <w:rPr>
          <w:rFonts w:cs="Times New Roman"/>
        </w:rPr>
        <w:t xml:space="preserve">material payment bonds were uncommon on private oilsands construction projects” (para. 27). He concludes that Bird was obligated to do something to satisfy its duty (for instance, posting a notice of the bond in the on-site trailer), but in other circumstances, a trustee may be able to satisfy its duty by doing nothing (paras. 28-29). I have several serious concerns about such an approach. </w:t>
      </w:r>
    </w:p>
    <w:p w:rsidR="00E130AF" w:rsidRPr="008772F7" w:rsidRDefault="00E130AF" w:rsidP="00D52823">
      <w:pPr>
        <w:pStyle w:val="ParaNoNdepar-AltN"/>
        <w:widowControl w:val="0"/>
        <w:rPr>
          <w:rFonts w:cs="Times New Roman"/>
        </w:rPr>
      </w:pPr>
      <w:r w:rsidRPr="008772F7">
        <w:rPr>
          <w:rFonts w:cs="Times New Roman"/>
        </w:rPr>
        <w:t xml:space="preserve">First, requiring a trustee to take positive steps in only some sectors of the construction industry has the potential to create instability and uncertainty. Claimants in different sectors, or geographic regions, would argue that bonds are not commonly used or known to be used in their segment of the construction industry or region. </w:t>
      </w:r>
    </w:p>
    <w:p w:rsidR="00E130AF" w:rsidRPr="008772F7" w:rsidRDefault="00E130AF" w:rsidP="00D52823">
      <w:pPr>
        <w:pStyle w:val="ParaNoNdepar-AltN"/>
        <w:widowControl w:val="0"/>
        <w:rPr>
          <w:rFonts w:cs="Times New Roman"/>
        </w:rPr>
      </w:pPr>
      <w:r w:rsidRPr="008772F7">
        <w:rPr>
          <w:rFonts w:cs="Times New Roman"/>
        </w:rPr>
        <w:t xml:space="preserve">Second, I am not convinced that the chambers judge made a finding that labour and material payment bonds were uncommon in the oilsands. Instead, the chambers judge noted the evidence of Valard’s project manager that he had not encountered a bond on any oilsands project in his 10 years of experience in the oilsands and commented that such belief may have been due to the fact that the project manager never asked (para. 86). Obviously, despite the project manager’s failure to enquire in this case, such a bond existed. </w:t>
      </w:r>
    </w:p>
    <w:p w:rsidR="00E130AF" w:rsidRPr="008772F7" w:rsidRDefault="00E130AF" w:rsidP="00D52823">
      <w:pPr>
        <w:pStyle w:val="ParaNoNdepar-AltN"/>
        <w:widowControl w:val="0"/>
        <w:rPr>
          <w:rFonts w:cs="Times New Roman"/>
        </w:rPr>
      </w:pPr>
      <w:r w:rsidRPr="008772F7">
        <w:rPr>
          <w:rFonts w:cs="Times New Roman"/>
        </w:rPr>
        <w:t xml:space="preserve">Thus, I cannot accept that it was necessary for Bird to take steps to inform labour and material suppliers of the bond’s existence because this bond was obtained for an oilsands construction project. </w:t>
      </w:r>
    </w:p>
    <w:p w:rsidR="00E130AF" w:rsidRPr="008772F7" w:rsidRDefault="00E130AF" w:rsidP="00D52823">
      <w:pPr>
        <w:pStyle w:val="Title1LevelTitre1Niveau-AltL"/>
        <w:widowControl w:val="0"/>
        <w:numPr>
          <w:ilvl w:val="0"/>
          <w:numId w:val="19"/>
        </w:numPr>
        <w:jc w:val="both"/>
        <w:rPr>
          <w:rFonts w:cs="Times New Roman"/>
        </w:rPr>
      </w:pPr>
      <w:r w:rsidRPr="008772F7">
        <w:rPr>
          <w:rFonts w:cs="Times New Roman"/>
        </w:rPr>
        <w:lastRenderedPageBreak/>
        <w:t>Conclusion</w:t>
      </w:r>
    </w:p>
    <w:p w:rsidR="00E130AF" w:rsidRPr="008772F7" w:rsidRDefault="00E130AF" w:rsidP="00D52823">
      <w:pPr>
        <w:pStyle w:val="ParaNoNdepar-AltN"/>
        <w:widowControl w:val="0"/>
        <w:rPr>
          <w:rFonts w:cs="Times New Roman"/>
        </w:rPr>
      </w:pPr>
      <w:r w:rsidRPr="008772F7">
        <w:rPr>
          <w:rFonts w:cs="Times New Roman"/>
        </w:rPr>
        <w:t xml:space="preserve">The trust at issue here is very different from a normal family or other trust — it was created solely to circumvent the third-party beneficiary rule and, accordingly, has a very narrow scope. For decades, labour and material payment bonds have been frequently used in the construction industry on the understanding (based upon the jurisprudence) that notice was not necessary. My colleague’s position holds Bird — a general contractor that obtained a bond for its own benefit — liable for perhaps the full amount of the bond. The result of his decision is to undermine the value of labour and material payment bonds for owners and general contractors. Further, imposing different obligations depending on the particular sector or geographic region within the construction industry introduces uncertainty and instability where there was none. </w:t>
      </w:r>
    </w:p>
    <w:p w:rsidR="00E130AF" w:rsidRPr="008772F7" w:rsidRDefault="00E130AF" w:rsidP="00D52823">
      <w:pPr>
        <w:pStyle w:val="ParaNoNdepar-AltN"/>
        <w:widowControl w:val="0"/>
        <w:rPr>
          <w:rFonts w:cs="Times New Roman"/>
        </w:rPr>
      </w:pPr>
      <w:r w:rsidRPr="008772F7">
        <w:rPr>
          <w:rFonts w:cs="Times New Roman"/>
        </w:rPr>
        <w:t xml:space="preserve">For these reasons, I would dismiss the appeal. </w:t>
      </w:r>
    </w:p>
    <w:p w:rsidR="00E130AF" w:rsidRPr="000004AD" w:rsidRDefault="00E130AF" w:rsidP="00D52823">
      <w:pPr>
        <w:pStyle w:val="ParaNoNdepar-AltN"/>
        <w:widowControl w:val="0"/>
        <w:numPr>
          <w:ilvl w:val="0"/>
          <w:numId w:val="0"/>
        </w:numPr>
        <w:spacing w:before="0" w:after="0" w:line="240" w:lineRule="auto"/>
        <w:jc w:val="center"/>
        <w:rPr>
          <w:rFonts w:cs="Times New Roman"/>
          <w:b/>
        </w:rPr>
      </w:pPr>
      <w:r w:rsidRPr="000004AD">
        <w:rPr>
          <w:rFonts w:cs="Times New Roman"/>
          <w:b/>
        </w:rPr>
        <w:t>APPENDIX</w:t>
      </w:r>
    </w:p>
    <w:p w:rsidR="00E130AF" w:rsidRPr="00685201" w:rsidRDefault="00E130AF" w:rsidP="00D52823">
      <w:pPr>
        <w:pStyle w:val="ParaNoNdepar-AltN"/>
        <w:widowControl w:val="0"/>
        <w:numPr>
          <w:ilvl w:val="0"/>
          <w:numId w:val="0"/>
        </w:numPr>
        <w:spacing w:before="0" w:after="0" w:line="240" w:lineRule="auto"/>
        <w:jc w:val="center"/>
        <w:rPr>
          <w:rFonts w:cs="Times New Roman"/>
        </w:rPr>
      </w:pPr>
    </w:p>
    <w:p w:rsidR="00E130AF" w:rsidRPr="00685201" w:rsidRDefault="00E130AF" w:rsidP="00D52823">
      <w:pPr>
        <w:pStyle w:val="ParaNoNdepar-AltN"/>
        <w:widowControl w:val="0"/>
        <w:numPr>
          <w:ilvl w:val="0"/>
          <w:numId w:val="0"/>
        </w:numPr>
        <w:spacing w:before="0" w:after="0" w:line="240" w:lineRule="auto"/>
        <w:jc w:val="center"/>
        <w:rPr>
          <w:rFonts w:cs="Times New Roman"/>
        </w:rPr>
      </w:pPr>
      <w:r w:rsidRPr="00685201">
        <w:rPr>
          <w:rFonts w:cs="Times New Roman"/>
        </w:rPr>
        <w:t>LABOUR AND MATERIAL PAYMENT</w:t>
      </w:r>
      <w:r w:rsidR="000004AD">
        <w:rPr>
          <w:rFonts w:cs="Times New Roman"/>
        </w:rPr>
        <w:t xml:space="preserve"> </w:t>
      </w:r>
      <w:r w:rsidR="000004AD" w:rsidRPr="00E04FDD">
        <w:rPr>
          <w:lang w:val="en-US"/>
        </w:rPr>
        <w:t>BOND</w:t>
      </w:r>
    </w:p>
    <w:p w:rsidR="00E130AF" w:rsidRPr="00685201" w:rsidRDefault="00E130AF" w:rsidP="00D52823">
      <w:pPr>
        <w:pStyle w:val="ParaNoNdepar-AltN"/>
        <w:widowControl w:val="0"/>
        <w:numPr>
          <w:ilvl w:val="0"/>
          <w:numId w:val="0"/>
        </w:numPr>
        <w:spacing w:before="0" w:after="0" w:line="240" w:lineRule="auto"/>
        <w:jc w:val="center"/>
        <w:rPr>
          <w:rFonts w:cs="Times New Roman"/>
        </w:rPr>
      </w:pPr>
    </w:p>
    <w:p w:rsidR="00E130AF" w:rsidRPr="00685201" w:rsidRDefault="00E130AF" w:rsidP="00D52823">
      <w:pPr>
        <w:pStyle w:val="ParaNoNdepar-AltN"/>
        <w:widowControl w:val="0"/>
        <w:numPr>
          <w:ilvl w:val="0"/>
          <w:numId w:val="0"/>
        </w:numPr>
        <w:spacing w:before="0" w:after="0" w:line="240" w:lineRule="auto"/>
        <w:jc w:val="center"/>
        <w:rPr>
          <w:rFonts w:cs="Times New Roman"/>
        </w:rPr>
      </w:pPr>
      <w:r w:rsidRPr="00685201">
        <w:rPr>
          <w:rFonts w:cs="Times New Roman"/>
        </w:rPr>
        <w:t>. . .</w:t>
      </w:r>
    </w:p>
    <w:p w:rsidR="00E130AF" w:rsidRPr="00685201" w:rsidRDefault="00E130AF" w:rsidP="00D52823">
      <w:pPr>
        <w:pStyle w:val="ParaNoNdepar-AltN"/>
        <w:widowControl w:val="0"/>
        <w:numPr>
          <w:ilvl w:val="0"/>
          <w:numId w:val="0"/>
        </w:numPr>
        <w:spacing w:before="0" w:after="0" w:line="240" w:lineRule="auto"/>
        <w:jc w:val="center"/>
        <w:rPr>
          <w:rFonts w:cs="Times New Roman"/>
        </w:rPr>
      </w:pPr>
    </w:p>
    <w:p w:rsidR="00E130AF" w:rsidRPr="00685201" w:rsidRDefault="00E130AF" w:rsidP="00D52823">
      <w:pPr>
        <w:pStyle w:val="Citation-AltC"/>
        <w:widowControl w:val="0"/>
      </w:pPr>
      <w:r w:rsidRPr="00685201">
        <w:t xml:space="preserve">2. </w:t>
      </w:r>
      <w:r w:rsidR="000004AD">
        <w:tab/>
      </w:r>
      <w:r w:rsidRPr="00685201">
        <w:t xml:space="preserve">The Principal and the Surety, hereby jointly and severally agree with the Obligee, as Trustee, that every Claimant who has not been paid as provided for under the terms of its contract with the Principal, before the expiration of a period of ninety (90) days after the date on which the last of such Claimant’s work or labour was done or performed or materials were furnished by such Claimant, may as a beneficiary of the trust herein provided for, sue on this Bond, prosecute the suit to final judgment for such sum or sums as may be justly due to such Claimant under the terms of its contract with the Principal and have execution thereon. Provided that the Obligee is not obliged to do or take any act, action or proceeding against the Surety on behalf of the Claimants, or any of them, to enforce the </w:t>
      </w:r>
      <w:r w:rsidRPr="00685201">
        <w:lastRenderedPageBreak/>
        <w:t>provisions of this Bond. If any act, action or proceeding is taken either in the name of the Obligee or by joining the Obligee as a party to such proceeding, then such act, action or proceeding, shall be taken on the understanding and basis that the Claimants, or any of them, who take such act, action or proceeding shall indemnify and save harmless the Obligee against all costs, charges and expenses or liabilities incurred thereon and any loss or damage resulting to the Obligee by reason thereof. Provided still further that, subject to the foregoing terms and conditions, the Claimants, or any of them may use the name of the Obligee to sue on and enforce the provisions of this Bond.</w:t>
      </w:r>
    </w:p>
    <w:p w:rsidR="00E130AF" w:rsidRPr="00685201" w:rsidRDefault="00E130AF" w:rsidP="00D52823">
      <w:pPr>
        <w:pStyle w:val="Citation-AltC"/>
        <w:widowControl w:val="0"/>
      </w:pPr>
    </w:p>
    <w:p w:rsidR="00E130AF" w:rsidRPr="00685201" w:rsidRDefault="000004AD" w:rsidP="00D52823">
      <w:pPr>
        <w:pStyle w:val="Citation-AltC"/>
        <w:widowControl w:val="0"/>
      </w:pPr>
      <w:r>
        <w:t xml:space="preserve">3. </w:t>
      </w:r>
      <w:r>
        <w:tab/>
      </w:r>
      <w:r w:rsidR="00E130AF" w:rsidRPr="00685201">
        <w:t>It is a condition precedent to the liability of the Surety under this Bond that such Claimant shall have given written notice . . . . Accordingly, no suit or action shall be commenced hereunder by any Claimant;</w:t>
      </w:r>
    </w:p>
    <w:p w:rsidR="00E130AF" w:rsidRPr="00685201" w:rsidRDefault="00E130AF" w:rsidP="00D52823">
      <w:pPr>
        <w:pStyle w:val="Citation-AltC"/>
        <w:widowControl w:val="0"/>
      </w:pPr>
    </w:p>
    <w:p w:rsidR="00E130AF" w:rsidRPr="00685201" w:rsidRDefault="000004AD" w:rsidP="00D52823">
      <w:pPr>
        <w:pStyle w:val="Citation-AltC"/>
        <w:widowControl w:val="0"/>
        <w:tabs>
          <w:tab w:val="left" w:pos="1710"/>
        </w:tabs>
        <w:ind w:left="1710" w:hanging="540"/>
      </w:pPr>
      <w:r>
        <w:t>(a)</w:t>
      </w:r>
      <w:r>
        <w:tab/>
      </w:r>
      <w:r w:rsidR="00E130AF" w:rsidRPr="00685201">
        <w:t xml:space="preserve">unless such notice shall be served by </w:t>
      </w:r>
      <w:r>
        <w:t>mailing the same by registered</w:t>
      </w:r>
      <w:r w:rsidR="00B22552">
        <w:t xml:space="preserve"> </w:t>
      </w:r>
      <w:r w:rsidR="00E130AF" w:rsidRPr="00685201">
        <w:t>mail to the Principal, the Surety and the Obligee . . . .</w:t>
      </w:r>
    </w:p>
    <w:p w:rsidR="00E130AF" w:rsidRPr="00685201" w:rsidRDefault="00E130AF" w:rsidP="00D52823">
      <w:pPr>
        <w:pStyle w:val="Citation-AltC"/>
        <w:widowControl w:val="0"/>
        <w:ind w:left="1440" w:hanging="270"/>
      </w:pPr>
    </w:p>
    <w:p w:rsidR="00E130AF" w:rsidRPr="00685201" w:rsidRDefault="00E130AF" w:rsidP="00D52823">
      <w:pPr>
        <w:pStyle w:val="Citation-AltC"/>
        <w:widowControl w:val="0"/>
        <w:ind w:left="1440" w:hanging="270"/>
        <w:jc w:val="center"/>
      </w:pPr>
      <w:r w:rsidRPr="00685201">
        <w:t>. . .</w:t>
      </w:r>
    </w:p>
    <w:p w:rsidR="00E130AF" w:rsidRPr="00685201" w:rsidRDefault="00E130AF" w:rsidP="00D52823">
      <w:pPr>
        <w:pStyle w:val="Citation-AltC"/>
        <w:widowControl w:val="0"/>
        <w:ind w:left="1440"/>
      </w:pPr>
    </w:p>
    <w:p w:rsidR="00E130AF" w:rsidRPr="00685201" w:rsidRDefault="00E130AF" w:rsidP="00D52823">
      <w:pPr>
        <w:pStyle w:val="Citation-AltC"/>
        <w:widowControl w:val="0"/>
        <w:ind w:left="2520" w:hanging="360"/>
        <w:rPr>
          <w:rFonts w:eastAsiaTheme="minorEastAsia"/>
          <w:sz w:val="28"/>
          <w:szCs w:val="22"/>
          <w:lang w:eastAsia="en-US"/>
        </w:rPr>
      </w:pPr>
      <w:r w:rsidRPr="00685201">
        <w:t xml:space="preserve">ii. </w:t>
      </w:r>
      <w:r w:rsidR="000004AD">
        <w:tab/>
      </w:r>
      <w:r w:rsidRPr="00685201">
        <w:t>in respect of any claim other than for the holdback, or portion thereof, referred to above, within one hundred and twenty (120) days after the date upon which such Claimant did, or performed, the last of the work or labour or furnished the last of the materials for which such c</w:t>
      </w:r>
      <w:r w:rsidR="000004AD">
        <w:t>laim is made under the Claimant’</w:t>
      </w:r>
      <w:r w:rsidRPr="00685201">
        <w:t>s contract with the Principal;</w:t>
      </w:r>
    </w:p>
    <w:p w:rsidR="009B57B3" w:rsidRPr="000176EF" w:rsidRDefault="009B57B3" w:rsidP="00D52823">
      <w:pPr>
        <w:pStyle w:val="SCCNormalDoubleSpacing"/>
        <w:widowControl w:val="0"/>
        <w:spacing w:before="480" w:after="480"/>
        <w:rPr>
          <w:rFonts w:cs="Times New Roman"/>
          <w:i/>
        </w:rPr>
      </w:pPr>
      <w:r w:rsidRPr="000176EF">
        <w:rPr>
          <w:rFonts w:cs="Times New Roman"/>
        </w:rPr>
        <w:tab/>
      </w:r>
      <w:r w:rsidR="00656313" w:rsidRPr="000176EF">
        <w:rPr>
          <w:rFonts w:cs="Times New Roman"/>
          <w:i/>
        </w:rPr>
        <w:t>Appeal</w:t>
      </w:r>
      <w:r w:rsidR="00215B5E" w:rsidRPr="000176EF">
        <w:rPr>
          <w:rFonts w:cs="Times New Roman"/>
        </w:rPr>
        <w:t xml:space="preserve"> </w:t>
      </w:r>
      <w:r w:rsidR="004E2058" w:rsidRPr="000176EF">
        <w:rPr>
          <w:rFonts w:cs="Times New Roman"/>
          <w:i/>
        </w:rPr>
        <w:t>allowed</w:t>
      </w:r>
      <w:r w:rsidR="003B30B7">
        <w:rPr>
          <w:rFonts w:cs="Times New Roman"/>
          <w:i/>
        </w:rPr>
        <w:t xml:space="preserve">, </w:t>
      </w:r>
      <w:r w:rsidR="003B30B7" w:rsidRPr="0030284F">
        <w:rPr>
          <w:rFonts w:cs="Times New Roman"/>
          <w:smallCaps/>
        </w:rPr>
        <w:t>Karakatsanis J.</w:t>
      </w:r>
      <w:r w:rsidR="003B30B7" w:rsidRPr="00243E8F">
        <w:rPr>
          <w:rFonts w:cs="Times New Roman"/>
          <w:i/>
        </w:rPr>
        <w:t xml:space="preserve"> dissenting.</w:t>
      </w:r>
    </w:p>
    <w:p w:rsidR="009E3451" w:rsidRPr="000176EF" w:rsidRDefault="00215B5E" w:rsidP="00D52823">
      <w:pPr>
        <w:pStyle w:val="SCCLawFirm"/>
        <w:widowControl w:val="0"/>
        <w:spacing w:before="480" w:after="480"/>
        <w:rPr>
          <w:rFonts w:cs="Times New Roman"/>
        </w:rPr>
      </w:pPr>
      <w:r w:rsidRPr="000176EF">
        <w:rPr>
          <w:rFonts w:cs="Times New Roman"/>
        </w:rPr>
        <w:tab/>
        <w:t>Solicitors</w:t>
      </w:r>
      <w:r w:rsidR="00EA77FF" w:rsidRPr="000176EF">
        <w:rPr>
          <w:rFonts w:cs="Times New Roman"/>
        </w:rPr>
        <w:t xml:space="preserve"> for the appellant</w:t>
      </w:r>
      <w:r w:rsidR="00AE2F0F" w:rsidRPr="000176EF">
        <w:rPr>
          <w:rFonts w:cs="Times New Roman"/>
        </w:rPr>
        <w:t>: </w:t>
      </w:r>
      <w:r w:rsidR="00EA77FF" w:rsidRPr="000176EF">
        <w:rPr>
          <w:rFonts w:cs="Times New Roman"/>
        </w:rPr>
        <w:t>McLean &amp; Armstrong, West Vancouver.</w:t>
      </w:r>
    </w:p>
    <w:p w:rsidR="009E3451" w:rsidRPr="000176EF" w:rsidRDefault="00215B5E" w:rsidP="00D52823">
      <w:pPr>
        <w:pStyle w:val="SCCLawFirm"/>
        <w:widowControl w:val="0"/>
        <w:spacing w:before="480" w:after="480"/>
        <w:rPr>
          <w:rFonts w:cs="Times New Roman"/>
        </w:rPr>
      </w:pPr>
      <w:r w:rsidRPr="000176EF">
        <w:rPr>
          <w:rFonts w:cs="Times New Roman"/>
        </w:rPr>
        <w:tab/>
        <w:t>Solicitors</w:t>
      </w:r>
      <w:r w:rsidR="00C96355" w:rsidRPr="000176EF">
        <w:rPr>
          <w:rFonts w:cs="Times New Roman"/>
        </w:rPr>
        <w:t xml:space="preserve"> for the respondent</w:t>
      </w:r>
      <w:r w:rsidR="00AE2F0F" w:rsidRPr="000176EF">
        <w:rPr>
          <w:rFonts w:cs="Times New Roman"/>
        </w:rPr>
        <w:t>: </w:t>
      </w:r>
      <w:r w:rsidR="00C96355" w:rsidRPr="000176EF">
        <w:rPr>
          <w:rFonts w:cs="Times New Roman"/>
        </w:rPr>
        <w:t>Brownlee</w:t>
      </w:r>
      <w:r w:rsidR="007F1CFC" w:rsidRPr="000176EF">
        <w:rPr>
          <w:rFonts w:cs="Times New Roman"/>
        </w:rPr>
        <w:t>, Edmonton; Gowling WLG, Ottawa.</w:t>
      </w:r>
    </w:p>
    <w:p w:rsidR="009E3451" w:rsidRPr="000176EF" w:rsidRDefault="00215B5E" w:rsidP="00D52823">
      <w:pPr>
        <w:pStyle w:val="SCCLawFirm"/>
        <w:widowControl w:val="0"/>
        <w:rPr>
          <w:rFonts w:cs="Times New Roman"/>
        </w:rPr>
      </w:pPr>
      <w:r w:rsidRPr="000176EF">
        <w:rPr>
          <w:rFonts w:cs="Times New Roman"/>
        </w:rPr>
        <w:tab/>
        <w:t>Solicitors</w:t>
      </w:r>
      <w:r w:rsidR="00EA77FF" w:rsidRPr="000176EF">
        <w:rPr>
          <w:rFonts w:cs="Times New Roman"/>
        </w:rPr>
        <w:t xml:space="preserve"> for the intervener</w:t>
      </w:r>
      <w:r w:rsidR="00AE2F0F" w:rsidRPr="000176EF">
        <w:rPr>
          <w:rFonts w:cs="Times New Roman"/>
        </w:rPr>
        <w:t>: </w:t>
      </w:r>
      <w:r w:rsidR="00EA77FF" w:rsidRPr="000176EF">
        <w:rPr>
          <w:rFonts w:cs="Times New Roman"/>
        </w:rPr>
        <w:t>Borden Ladner Gervais, Toronto.</w:t>
      </w:r>
    </w:p>
    <w:sectPr w:rsidR="009E3451" w:rsidRPr="000176EF"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76" w:rsidRDefault="00E15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76" w:rsidRDefault="00E15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76" w:rsidRDefault="00E15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E130AF" w:rsidRDefault="00E130AF" w:rsidP="00E130AF">
      <w:pPr>
        <w:pStyle w:val="FootnoteText"/>
      </w:pPr>
      <w:r>
        <w:rPr>
          <w:rStyle w:val="FootnoteReference"/>
        </w:rPr>
        <w:footnoteRef/>
      </w:r>
      <w:r>
        <w:t xml:space="preserve"> Trial reasons, 2015 ABQB 141, 41 C.L.R. (4th) 51, at para. 34.</w:t>
      </w:r>
    </w:p>
  </w:footnote>
  <w:footnote w:id="2">
    <w:p w:rsidR="00E130AF" w:rsidRDefault="00E130AF" w:rsidP="00E130AF">
      <w:pPr>
        <w:pStyle w:val="FootnoteText"/>
      </w:pPr>
      <w:r>
        <w:rPr>
          <w:rStyle w:val="FootnoteReference"/>
        </w:rPr>
        <w:footnoteRef/>
      </w:r>
      <w:r>
        <w:t xml:space="preserve"> Further Amended Statement of Claim, A.R., at p. 74, at para. 19.</w:t>
      </w:r>
    </w:p>
  </w:footnote>
  <w:footnote w:id="3">
    <w:p w:rsidR="00E130AF" w:rsidRDefault="00E130AF" w:rsidP="00E130AF">
      <w:pPr>
        <w:pStyle w:val="FootnoteText"/>
      </w:pPr>
      <w:r>
        <w:rPr>
          <w:rStyle w:val="FootnoteReference"/>
        </w:rPr>
        <w:footnoteRef/>
      </w:r>
      <w:r>
        <w:t xml:space="preserve"> </w:t>
      </w:r>
      <w:r w:rsidR="00583901">
        <w:tab/>
      </w:r>
      <w:r>
        <w:t>Trial reasons, at paras. 79-80.</w:t>
      </w:r>
    </w:p>
  </w:footnote>
  <w:footnote w:id="4">
    <w:p w:rsidR="00E130AF" w:rsidRDefault="00E130AF" w:rsidP="00E130AF">
      <w:pPr>
        <w:pStyle w:val="FootnoteText"/>
        <w:tabs>
          <w:tab w:val="clear" w:pos="180"/>
        </w:tabs>
        <w:ind w:left="180" w:hanging="180"/>
      </w:pPr>
      <w:r>
        <w:rPr>
          <w:rStyle w:val="FootnoteReference"/>
        </w:rPr>
        <w:footnoteRef/>
      </w:r>
      <w:r>
        <w:t xml:space="preserve"> </w:t>
      </w:r>
      <w:r w:rsidR="00583901">
        <w:tab/>
      </w:r>
      <w:r w:rsidRPr="00217A93">
        <w:rPr>
          <w:i/>
        </w:rPr>
        <w:t>Dominion Bridge Co. v. Marla Construction Co.</w:t>
      </w:r>
      <w:r>
        <w:t>, [1970] 3 O.R. 125 (Co. Ct.)</w:t>
      </w:r>
      <w:r w:rsidR="00583901">
        <w:t>;</w:t>
      </w:r>
      <w:r>
        <w:t xml:space="preserve"> </w:t>
      </w:r>
      <w:r>
        <w:rPr>
          <w:i/>
        </w:rPr>
        <w:t xml:space="preserve">Dolvin Mechanical </w:t>
      </w:r>
      <w:r w:rsidRPr="00217A93">
        <w:rPr>
          <w:i/>
        </w:rPr>
        <w:t xml:space="preserve">Contractors Ltd. v. Trisura Guarantee </w:t>
      </w:r>
      <w:r w:rsidRPr="002D0E2F">
        <w:rPr>
          <w:i/>
        </w:rPr>
        <w:t>Insurance</w:t>
      </w:r>
      <w:r>
        <w:t xml:space="preserve"> </w:t>
      </w:r>
      <w:r w:rsidRPr="002D0E2F">
        <w:rPr>
          <w:i/>
        </w:rPr>
        <w:t>Co.</w:t>
      </w:r>
      <w:r>
        <w:t>, [2014] I.L.R. I-5595 (Ont. S.C.J.).</w:t>
      </w:r>
    </w:p>
  </w:footnote>
  <w:footnote w:id="5">
    <w:p w:rsidR="00E130AF" w:rsidRDefault="00E130AF" w:rsidP="00E130AF">
      <w:pPr>
        <w:pStyle w:val="FootnoteText"/>
      </w:pPr>
      <w:r>
        <w:rPr>
          <w:rStyle w:val="FootnoteReference"/>
        </w:rPr>
        <w:footnoteRef/>
      </w:r>
      <w:r>
        <w:t xml:space="preserve"> </w:t>
      </w:r>
      <w:r w:rsidR="00583901">
        <w:tab/>
      </w:r>
      <w:r>
        <w:t>Trial reasons, at para. 85.</w:t>
      </w:r>
    </w:p>
  </w:footnote>
  <w:footnote w:id="6">
    <w:p w:rsidR="00E130AF" w:rsidRDefault="00E130AF" w:rsidP="00E130AF">
      <w:pPr>
        <w:pStyle w:val="FootnoteText"/>
      </w:pPr>
      <w:r>
        <w:rPr>
          <w:rStyle w:val="FootnoteReference"/>
        </w:rPr>
        <w:footnoteRef/>
      </w:r>
      <w:r>
        <w:t xml:space="preserve"> </w:t>
      </w:r>
      <w:r w:rsidR="00583901">
        <w:tab/>
      </w:r>
      <w:r>
        <w:t>C.A. reasons, at para. 28.</w:t>
      </w:r>
    </w:p>
  </w:footnote>
  <w:footnote w:id="7">
    <w:p w:rsidR="00E130AF" w:rsidRDefault="00E130AF" w:rsidP="00E130AF">
      <w:pPr>
        <w:pStyle w:val="FootnoteText"/>
      </w:pPr>
      <w:r>
        <w:rPr>
          <w:rStyle w:val="FootnoteReference"/>
        </w:rPr>
        <w:footnoteRef/>
      </w:r>
      <w:r>
        <w:t xml:space="preserve">  </w:t>
      </w:r>
      <w:r>
        <w:rPr>
          <w:i/>
        </w:rPr>
        <w:t xml:space="preserve">Snell’s Equity </w:t>
      </w:r>
      <w:r>
        <w:t>(33rd ed. 2015), by J. McGhee, at para. 21-004.</w:t>
      </w:r>
    </w:p>
  </w:footnote>
  <w:footnote w:id="8">
    <w:p w:rsidR="00E130AF" w:rsidRPr="00DB3F1C" w:rsidRDefault="00E130AF" w:rsidP="00E130AF">
      <w:pPr>
        <w:pStyle w:val="FootnoteText"/>
      </w:pPr>
      <w:r>
        <w:rPr>
          <w:rStyle w:val="FootnoteReference"/>
        </w:rPr>
        <w:footnoteRef/>
      </w:r>
      <w:r>
        <w:t xml:space="preserve">  </w:t>
      </w:r>
      <w:r w:rsidRPr="001602F1">
        <w:rPr>
          <w:i/>
        </w:rPr>
        <w:t xml:space="preserve">Waters’ Law of Trusts in Canada </w:t>
      </w:r>
      <w:r>
        <w:t xml:space="preserve">(4th ed. 2012), by D. W. M. Waters, M. R. Gillen and L. D. Smith, at </w:t>
      </w:r>
      <w:r w:rsidRPr="001602F1">
        <w:t>p.</w:t>
      </w:r>
      <w:r>
        <w:t xml:space="preserve"> 3, citing L. A. Sheridan, </w:t>
      </w:r>
      <w:r>
        <w:rPr>
          <w:i/>
        </w:rPr>
        <w:t>The Law of Trusts</w:t>
      </w:r>
      <w:r>
        <w:t xml:space="preserve"> (12</w:t>
      </w:r>
      <w:r w:rsidRPr="00520805">
        <w:t>th</w:t>
      </w:r>
      <w:r>
        <w:t xml:space="preserve"> ed. 1993), at p. 3.</w:t>
      </w:r>
    </w:p>
  </w:footnote>
  <w:footnote w:id="9">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Pr>
          <w:i/>
        </w:rPr>
        <w:t>Waters’ Law of Trusts</w:t>
      </w:r>
      <w:r>
        <w:t xml:space="preserve">, at </w:t>
      </w:r>
      <w:r w:rsidRPr="001602F1">
        <w:t>p</w:t>
      </w:r>
      <w:r>
        <w:t>p</w:t>
      </w:r>
      <w:r w:rsidRPr="001602F1">
        <w:t>. 9</w:t>
      </w:r>
      <w:r>
        <w:t xml:space="preserve"> and 42</w:t>
      </w:r>
      <w:r w:rsidRPr="001602F1">
        <w:t xml:space="preserve">; </w:t>
      </w:r>
      <w:r w:rsidRPr="001602F1">
        <w:rPr>
          <w:i/>
        </w:rPr>
        <w:t>Oosterhoff on Trusts: Text, Commentary and Materials</w:t>
      </w:r>
      <w:r w:rsidRPr="00520805">
        <w:t xml:space="preserve"> </w:t>
      </w:r>
      <w:r w:rsidRPr="001602F1">
        <w:t>(7th ed. 200</w:t>
      </w:r>
      <w:r>
        <w:t>9</w:t>
      </w:r>
      <w:r w:rsidRPr="001602F1">
        <w:t xml:space="preserve">), </w:t>
      </w:r>
      <w:r>
        <w:t xml:space="preserve">by A. H. Oosterhoff et al., </w:t>
      </w:r>
      <w:r w:rsidRPr="001602F1">
        <w:t xml:space="preserve">at p. 1047; </w:t>
      </w:r>
      <w:r w:rsidRPr="001602F1">
        <w:rPr>
          <w:i/>
        </w:rPr>
        <w:t>Snell’s Equity</w:t>
      </w:r>
      <w:r w:rsidRPr="00520805">
        <w:t>,</w:t>
      </w:r>
      <w:r w:rsidRPr="001602F1">
        <w:rPr>
          <w:i/>
        </w:rPr>
        <w:t xml:space="preserve"> </w:t>
      </w:r>
      <w:r>
        <w:t xml:space="preserve">at paras. 21-001 and 21-002; </w:t>
      </w:r>
      <w:r w:rsidRPr="001602F1">
        <w:rPr>
          <w:i/>
        </w:rPr>
        <w:t xml:space="preserve">Underhill and Hayton: Law </w:t>
      </w:r>
      <w:r>
        <w:rPr>
          <w:i/>
        </w:rPr>
        <w:t>Relating to</w:t>
      </w:r>
      <w:r w:rsidRPr="001602F1">
        <w:rPr>
          <w:i/>
        </w:rPr>
        <w:t xml:space="preserve"> Trusts and Trustees</w:t>
      </w:r>
      <w:r>
        <w:t xml:space="preserve"> (18th ed. 2010), by D. Hayton, P. Matthews and C. Mitchell, at paras. 1.50 and 2.1; </w:t>
      </w:r>
      <w:r w:rsidRPr="001602F1">
        <w:rPr>
          <w:i/>
        </w:rPr>
        <w:t>Lewin on Trusts</w:t>
      </w:r>
      <w:r>
        <w:t xml:space="preserve"> (19th ed. 2015), by</w:t>
      </w:r>
      <w:r w:rsidRPr="00DA3BEB">
        <w:t xml:space="preserve"> </w:t>
      </w:r>
      <w:r w:rsidR="000A22D0">
        <w:t xml:space="preserve">L. Tucker, N. Le Poidevin </w:t>
      </w:r>
      <w:r>
        <w:t xml:space="preserve">and J. Brightwell, at paras. 1-001 to 1-004; </w:t>
      </w:r>
      <w:r w:rsidRPr="009C5114">
        <w:rPr>
          <w:i/>
        </w:rPr>
        <w:t>Beaudette Estate</w:t>
      </w:r>
      <w:r>
        <w:rPr>
          <w:i/>
        </w:rPr>
        <w:t>,</w:t>
      </w:r>
      <w:r w:rsidRPr="009C5114">
        <w:rPr>
          <w:i/>
        </w:rPr>
        <w:t xml:space="preserve"> Re</w:t>
      </w:r>
      <w:r>
        <w:t>, 1998 ABQB 689, 229 A.R. 259, at para. 26.</w:t>
      </w:r>
    </w:p>
  </w:footnote>
  <w:footnote w:id="10">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sidRPr="009C5114">
        <w:rPr>
          <w:i/>
        </w:rPr>
        <w:t>Beaudette Estate</w:t>
      </w:r>
      <w:r>
        <w:t xml:space="preserve">, at para. 26; </w:t>
      </w:r>
      <w:r w:rsidRPr="009904FA">
        <w:rPr>
          <w:i/>
        </w:rPr>
        <w:t>Waters’ Law of Trusts</w:t>
      </w:r>
      <w:r>
        <w:t xml:space="preserve">, at pp. 43-44 and </w:t>
      </w:r>
      <w:r w:rsidRPr="00354B57">
        <w:t>906</w:t>
      </w:r>
      <w:r>
        <w:t xml:space="preserve">; see also </w:t>
      </w:r>
      <w:r>
        <w:rPr>
          <w:i/>
        </w:rPr>
        <w:t>Oosterhoff on Trusts</w:t>
      </w:r>
      <w:r>
        <w:t>, at p. 1049.</w:t>
      </w:r>
    </w:p>
  </w:footnote>
  <w:footnote w:id="11">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sidRPr="009904FA">
        <w:rPr>
          <w:i/>
        </w:rPr>
        <w:t>Waters’ Law of Trusts</w:t>
      </w:r>
      <w:r w:rsidRPr="004C4053">
        <w:t>, at p</w:t>
      </w:r>
      <w:r>
        <w:t>p</w:t>
      </w:r>
      <w:r w:rsidRPr="004C4053">
        <w:t>.</w:t>
      </w:r>
      <w:r>
        <w:t xml:space="preserve"> 43 and</w:t>
      </w:r>
      <w:r w:rsidRPr="004C4053">
        <w:t xml:space="preserve"> 1119</w:t>
      </w:r>
      <w:r>
        <w:t xml:space="preserve">; </w:t>
      </w:r>
      <w:r>
        <w:rPr>
          <w:i/>
        </w:rPr>
        <w:t>Oosterhoff on Trusts</w:t>
      </w:r>
      <w:r w:rsidRPr="00631E30">
        <w:t>,</w:t>
      </w:r>
      <w:r>
        <w:rPr>
          <w:i/>
        </w:rPr>
        <w:t xml:space="preserve"> </w:t>
      </w:r>
      <w:r>
        <w:t xml:space="preserve">at p. 49; </w:t>
      </w:r>
      <w:r w:rsidRPr="009904FA">
        <w:rPr>
          <w:i/>
        </w:rPr>
        <w:t>Snell’s Equity</w:t>
      </w:r>
      <w:r>
        <w:t>, at paras. 22-028 and 22-029;</w:t>
      </w:r>
      <w:r w:rsidRPr="008A1993">
        <w:t xml:space="preserve"> </w:t>
      </w:r>
      <w:r>
        <w:t>D. Hayton, “</w:t>
      </w:r>
      <w:r w:rsidRPr="0027440D">
        <w:t>The Irreducible Core Content of Trusteeship</w:t>
      </w:r>
      <w:r>
        <w:t>”, in A. J. Oakley, ed</w:t>
      </w:r>
      <w:r w:rsidR="00C845A2">
        <w:t>.</w:t>
      </w:r>
      <w:r>
        <w:t xml:space="preserve">, </w:t>
      </w:r>
      <w:r w:rsidRPr="0027440D">
        <w:rPr>
          <w:i/>
        </w:rPr>
        <w:t>Trends in Contemporary Trust Law</w:t>
      </w:r>
      <w:r>
        <w:t xml:space="preserve"> (1996), 47, at p. 47.</w:t>
      </w:r>
    </w:p>
  </w:footnote>
  <w:footnote w:id="12">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sidRPr="009904FA">
        <w:rPr>
          <w:i/>
        </w:rPr>
        <w:t>Snell’s Equity</w:t>
      </w:r>
      <w:r>
        <w:t>, at para. 22-028.</w:t>
      </w:r>
    </w:p>
  </w:footnote>
  <w:footnote w:id="13">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Pr>
          <w:i/>
        </w:rPr>
        <w:t>Waters’ Law of Trusts</w:t>
      </w:r>
      <w:r>
        <w:t>, at p. 1127, f</w:t>
      </w:r>
      <w:r w:rsidR="00A86A0A">
        <w:t>n.</w:t>
      </w:r>
      <w:r>
        <w:t xml:space="preserve"> 580.</w:t>
      </w:r>
    </w:p>
  </w:footnote>
  <w:footnote w:id="14">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sidRPr="005A5DB6">
        <w:rPr>
          <w:i/>
        </w:rPr>
        <w:t>In re</w:t>
      </w:r>
      <w:r>
        <w:t xml:space="preserve"> </w:t>
      </w:r>
      <w:r w:rsidRPr="008A1993">
        <w:rPr>
          <w:i/>
        </w:rPr>
        <w:t>Londonderry</w:t>
      </w:r>
      <w:r>
        <w:rPr>
          <w:i/>
        </w:rPr>
        <w:t>’s Settlement</w:t>
      </w:r>
      <w:r w:rsidRPr="005A5DB6">
        <w:t>,</w:t>
      </w:r>
      <w:r>
        <w:rPr>
          <w:i/>
        </w:rPr>
        <w:t xml:space="preserve"> </w:t>
      </w:r>
      <w:r w:rsidRPr="005A5DB6">
        <w:t xml:space="preserve">[1965] 1 </w:t>
      </w:r>
      <w:r>
        <w:t>C</w:t>
      </w:r>
      <w:r w:rsidRPr="005A5DB6">
        <w:t>h. 918 (C.A.)</w:t>
      </w:r>
      <w:r w:rsidRPr="008A1993">
        <w:t xml:space="preserve">; </w:t>
      </w:r>
      <w:r w:rsidRPr="00CE51AF">
        <w:rPr>
          <w:i/>
        </w:rPr>
        <w:t>Schmidt v. Rosewood Trust Ltd.</w:t>
      </w:r>
      <w:r w:rsidRPr="00CE51AF">
        <w:t>, [2003] UKPC 26</w:t>
      </w:r>
      <w:r>
        <w:t>, [2003] 2 A.C. 709</w:t>
      </w:r>
      <w:r w:rsidRPr="00CE51AF">
        <w:t>;</w:t>
      </w:r>
      <w:r>
        <w:t xml:space="preserve"> </w:t>
      </w:r>
      <w:r w:rsidRPr="00CE51AF">
        <w:rPr>
          <w:i/>
        </w:rPr>
        <w:t>Breakspear v</w:t>
      </w:r>
      <w:r>
        <w:rPr>
          <w:i/>
        </w:rPr>
        <w:t>.</w:t>
      </w:r>
      <w:r w:rsidRPr="00CE51AF">
        <w:rPr>
          <w:i/>
        </w:rPr>
        <w:t xml:space="preserve"> Ackland</w:t>
      </w:r>
      <w:r>
        <w:t>,</w:t>
      </w:r>
      <w:r w:rsidRPr="00CE51AF">
        <w:t xml:space="preserve"> [2008] EWHC 220</w:t>
      </w:r>
      <w:r>
        <w:t>, [2009] Ch. 32</w:t>
      </w:r>
      <w:r w:rsidRPr="00CE51AF">
        <w:t xml:space="preserve">; </w:t>
      </w:r>
      <w:r w:rsidRPr="00CE51AF">
        <w:rPr>
          <w:i/>
        </w:rPr>
        <w:t>Ballard Estate</w:t>
      </w:r>
      <w:r>
        <w:rPr>
          <w:i/>
        </w:rPr>
        <w:t xml:space="preserve"> (Re)</w:t>
      </w:r>
      <w:r w:rsidRPr="00CE51AF">
        <w:t xml:space="preserve"> (1994), 20 O.R. (3d) 350</w:t>
      </w:r>
      <w:r>
        <w:t xml:space="preserve"> (Gen. Div.).</w:t>
      </w:r>
    </w:p>
  </w:footnote>
  <w:footnote w:id="15">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sidRPr="004C4053">
        <w:rPr>
          <w:i/>
        </w:rPr>
        <w:t>Hawk</w:t>
      </w:r>
      <w:r>
        <w:rPr>
          <w:i/>
        </w:rPr>
        <w:t>e</w:t>
      </w:r>
      <w:r w:rsidRPr="004C4053">
        <w:rPr>
          <w:i/>
        </w:rPr>
        <w:t>sley v. May</w:t>
      </w:r>
      <w:r>
        <w:t>,</w:t>
      </w:r>
      <w:r w:rsidRPr="004C4053">
        <w:t xml:space="preserve"> [1956] 1 Q</w:t>
      </w:r>
      <w:r>
        <w:t>.</w:t>
      </w:r>
      <w:r w:rsidRPr="004C4053">
        <w:t>B</w:t>
      </w:r>
      <w:r>
        <w:t>.</w:t>
      </w:r>
      <w:r w:rsidRPr="004C4053">
        <w:t xml:space="preserve"> 304; </w:t>
      </w:r>
      <w:r w:rsidRPr="004C4053">
        <w:rPr>
          <w:i/>
        </w:rPr>
        <w:t>Brittlebank v. Goodwin</w:t>
      </w:r>
      <w:r w:rsidRPr="004C4053">
        <w:t xml:space="preserve"> (1868)</w:t>
      </w:r>
      <w:r>
        <w:t>,</w:t>
      </w:r>
      <w:r w:rsidRPr="004C4053">
        <w:t xml:space="preserve"> L</w:t>
      </w:r>
      <w:r>
        <w:t>.</w:t>
      </w:r>
      <w:r w:rsidRPr="004C4053">
        <w:t>R</w:t>
      </w:r>
      <w:r>
        <w:t>.</w:t>
      </w:r>
      <w:r w:rsidRPr="004C4053">
        <w:t xml:space="preserve"> 5 Eq. 545</w:t>
      </w:r>
      <w:r>
        <w:t xml:space="preserve">; </w:t>
      </w:r>
      <w:r>
        <w:rPr>
          <w:i/>
        </w:rPr>
        <w:t>In re Short Estate</w:t>
      </w:r>
      <w:r>
        <w:t>, [1941] 1 W.W.R. 593 (B.C.S.C.), at pp. 595-96.</w:t>
      </w:r>
    </w:p>
  </w:footnote>
  <w:footnote w:id="16">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Pr>
          <w:i/>
        </w:rPr>
        <w:t>Underhill and Hayton</w:t>
      </w:r>
      <w:r w:rsidRPr="00520805">
        <w:t xml:space="preserve">, </w:t>
      </w:r>
      <w:r>
        <w:t xml:space="preserve">at paras. </w:t>
      </w:r>
      <w:r w:rsidRPr="008A1993">
        <w:t>50.2 and 56.9</w:t>
      </w:r>
      <w:r>
        <w:t xml:space="preserve"> to </w:t>
      </w:r>
      <w:r w:rsidRPr="008A1993">
        <w:t>56.12</w:t>
      </w:r>
      <w:r>
        <w:t xml:space="preserve">; </w:t>
      </w:r>
      <w:r w:rsidRPr="009904FA">
        <w:rPr>
          <w:i/>
        </w:rPr>
        <w:t>Lewin on Trusts</w:t>
      </w:r>
      <w:r>
        <w:t xml:space="preserve">, at paras. </w:t>
      </w:r>
      <w:r w:rsidRPr="004C4053">
        <w:t>23-007</w:t>
      </w:r>
      <w:r>
        <w:t xml:space="preserve"> and 23-008</w:t>
      </w:r>
      <w:r w:rsidRPr="004C4053">
        <w:t xml:space="preserve">; Hayton, </w:t>
      </w:r>
      <w:r>
        <w:t xml:space="preserve">at p. 49; </w:t>
      </w:r>
      <w:r w:rsidRPr="00F02229">
        <w:rPr>
          <w:i/>
        </w:rPr>
        <w:t xml:space="preserve">Hamar v. </w:t>
      </w:r>
      <w:r>
        <w:rPr>
          <w:i/>
        </w:rPr>
        <w:t xml:space="preserve">The </w:t>
      </w:r>
      <w:r w:rsidRPr="00F02229">
        <w:rPr>
          <w:i/>
        </w:rPr>
        <w:t>Pensions Ombudsman</w:t>
      </w:r>
      <w:r>
        <w:t>, [1996] IDS P.L.R. 1 (Q.B.D.).</w:t>
      </w:r>
    </w:p>
  </w:footnote>
  <w:footnote w:id="17">
    <w:p w:rsidR="00E130AF" w:rsidRDefault="00E130AF" w:rsidP="00A86A0A">
      <w:pPr>
        <w:pStyle w:val="FootnoteText"/>
        <w:tabs>
          <w:tab w:val="clear" w:pos="180"/>
          <w:tab w:val="left" w:pos="270"/>
        </w:tabs>
        <w:ind w:left="270" w:hanging="270"/>
      </w:pPr>
      <w:r>
        <w:rPr>
          <w:rStyle w:val="FootnoteReference"/>
        </w:rPr>
        <w:footnoteRef/>
      </w:r>
      <w:r>
        <w:t xml:space="preserve"> </w:t>
      </w:r>
      <w:r w:rsidR="00A86A0A">
        <w:tab/>
      </w:r>
      <w:r w:rsidRPr="009C5114">
        <w:rPr>
          <w:i/>
        </w:rPr>
        <w:t>Waters’ Law of Trusts</w:t>
      </w:r>
      <w:r>
        <w:t>, at</w:t>
      </w:r>
      <w:r w:rsidRPr="004C4053">
        <w:t xml:space="preserve"> p</w:t>
      </w:r>
      <w:r w:rsidRPr="008A1993">
        <w:t>p</w:t>
      </w:r>
      <w:r w:rsidRPr="004C4053">
        <w:t xml:space="preserve">. </w:t>
      </w:r>
      <w:r w:rsidRPr="008A1993">
        <w:t>1125-</w:t>
      </w:r>
      <w:r w:rsidRPr="004C4053">
        <w:t>26</w:t>
      </w:r>
      <w:r>
        <w:t>.</w:t>
      </w:r>
    </w:p>
  </w:footnote>
  <w:footnote w:id="18">
    <w:p w:rsidR="00E130AF" w:rsidRPr="008A1993" w:rsidRDefault="00E130AF" w:rsidP="00A86A0A">
      <w:pPr>
        <w:pStyle w:val="FootnoteText"/>
        <w:tabs>
          <w:tab w:val="clear" w:pos="180"/>
          <w:tab w:val="left" w:pos="270"/>
        </w:tabs>
        <w:ind w:left="270" w:hanging="270"/>
        <w:rPr>
          <w:lang w:val="en-US"/>
        </w:rPr>
      </w:pPr>
      <w:r w:rsidRPr="008A1993">
        <w:rPr>
          <w:rStyle w:val="FootnoteReference"/>
        </w:rPr>
        <w:footnoteRef/>
      </w:r>
      <w:r w:rsidRPr="008A1993">
        <w:t xml:space="preserve"> </w:t>
      </w:r>
      <w:r w:rsidR="00A86A0A">
        <w:tab/>
      </w:r>
      <w:r w:rsidRPr="008A1993">
        <w:rPr>
          <w:i/>
          <w:lang w:val="en-US"/>
        </w:rPr>
        <w:t>Segelov v. Ernst &amp; Young Services Pty</w:t>
      </w:r>
      <w:r>
        <w:rPr>
          <w:i/>
          <w:lang w:val="en-US"/>
        </w:rPr>
        <w:t>.</w:t>
      </w:r>
      <w:r w:rsidRPr="008A1993">
        <w:rPr>
          <w:i/>
          <w:lang w:val="en-US"/>
        </w:rPr>
        <w:t xml:space="preserve"> Ltd</w:t>
      </w:r>
      <w:r>
        <w:rPr>
          <w:i/>
          <w:lang w:val="en-US"/>
        </w:rPr>
        <w:t>.</w:t>
      </w:r>
      <w:r>
        <w:rPr>
          <w:lang w:val="en-US"/>
        </w:rPr>
        <w:t>,</w:t>
      </w:r>
      <w:r w:rsidRPr="008A1993">
        <w:rPr>
          <w:i/>
          <w:lang w:val="en-US"/>
        </w:rPr>
        <w:t xml:space="preserve"> </w:t>
      </w:r>
      <w:r w:rsidRPr="008A1993">
        <w:rPr>
          <w:lang w:val="en-US"/>
        </w:rPr>
        <w:t xml:space="preserve">[2015] </w:t>
      </w:r>
      <w:r w:rsidRPr="00A86A0A">
        <w:t>NSWCA</w:t>
      </w:r>
      <w:r w:rsidRPr="008A1993">
        <w:rPr>
          <w:lang w:val="en-US"/>
        </w:rPr>
        <w:t xml:space="preserve"> 156,</w:t>
      </w:r>
      <w:r w:rsidR="00C845A2">
        <w:rPr>
          <w:lang w:val="en-US"/>
        </w:rPr>
        <w:t xml:space="preserve"> 89 N.S.W.L.R. 431,</w:t>
      </w:r>
      <w:r w:rsidRPr="008A1993">
        <w:rPr>
          <w:lang w:val="en-US"/>
        </w:rPr>
        <w:t xml:space="preserve"> at para. 130.</w:t>
      </w:r>
    </w:p>
  </w:footnote>
  <w:footnote w:id="19">
    <w:p w:rsidR="00E130AF" w:rsidRPr="0002145D" w:rsidRDefault="00E130AF" w:rsidP="00A86A0A">
      <w:pPr>
        <w:pStyle w:val="FootnoteText"/>
        <w:tabs>
          <w:tab w:val="clear" w:pos="180"/>
          <w:tab w:val="left" w:pos="270"/>
        </w:tabs>
        <w:ind w:left="270" w:hanging="270"/>
        <w:rPr>
          <w:lang w:val="en-US"/>
        </w:rPr>
      </w:pPr>
      <w:r w:rsidRPr="0002145D">
        <w:rPr>
          <w:rStyle w:val="FootnoteReference"/>
        </w:rPr>
        <w:footnoteRef/>
      </w:r>
      <w:r w:rsidRPr="0002145D">
        <w:t xml:space="preserve"> </w:t>
      </w:r>
      <w:r w:rsidR="00A86A0A">
        <w:tab/>
      </w:r>
      <w:r w:rsidRPr="0002145D">
        <w:t xml:space="preserve">See </w:t>
      </w:r>
      <w:r w:rsidRPr="0002145D">
        <w:rPr>
          <w:i/>
        </w:rPr>
        <w:t>Hawkesley</w:t>
      </w:r>
      <w:r w:rsidRPr="0002145D">
        <w:t xml:space="preserve">; </w:t>
      </w:r>
      <w:r w:rsidRPr="0002145D">
        <w:rPr>
          <w:i/>
        </w:rPr>
        <w:t>Brittlebank</w:t>
      </w:r>
      <w:r w:rsidRPr="0002145D">
        <w:t xml:space="preserve">; </w:t>
      </w:r>
      <w:r w:rsidRPr="0002145D">
        <w:rPr>
          <w:i/>
        </w:rPr>
        <w:t>In re Short Estate</w:t>
      </w:r>
      <w:r w:rsidRPr="0002145D">
        <w:t>.</w:t>
      </w:r>
    </w:p>
  </w:footnote>
  <w:footnote w:id="20">
    <w:p w:rsidR="00E130AF" w:rsidRPr="008A1993" w:rsidRDefault="00E130AF" w:rsidP="00C845A2">
      <w:pPr>
        <w:pStyle w:val="FootnoteText"/>
        <w:tabs>
          <w:tab w:val="clear" w:pos="180"/>
          <w:tab w:val="left" w:pos="270"/>
        </w:tabs>
        <w:ind w:left="270" w:hanging="270"/>
        <w:rPr>
          <w:lang w:val="en-US"/>
        </w:rPr>
      </w:pPr>
      <w:r w:rsidRPr="008A1993">
        <w:rPr>
          <w:rStyle w:val="FootnoteReference"/>
        </w:rPr>
        <w:footnoteRef/>
      </w:r>
      <w:r w:rsidRPr="008A1993">
        <w:t xml:space="preserve"> </w:t>
      </w:r>
      <w:r w:rsidR="00C845A2">
        <w:tab/>
      </w:r>
      <w:r w:rsidRPr="008A1993">
        <w:rPr>
          <w:i/>
          <w:lang w:val="en-US"/>
        </w:rPr>
        <w:t>Waters’ Law of Trusts</w:t>
      </w:r>
      <w:r w:rsidRPr="008A1993">
        <w:rPr>
          <w:lang w:val="en-US"/>
        </w:rPr>
        <w:t xml:space="preserve">, at p. 1132; see also </w:t>
      </w:r>
      <w:r w:rsidRPr="008A1993">
        <w:rPr>
          <w:i/>
          <w:lang w:val="en-US"/>
        </w:rPr>
        <w:t>Lewin on Trusts</w:t>
      </w:r>
      <w:r w:rsidRPr="008A1993">
        <w:rPr>
          <w:lang w:val="en-US"/>
        </w:rPr>
        <w:t xml:space="preserve">, at </w:t>
      </w:r>
      <w:r>
        <w:rPr>
          <w:lang w:val="en-US"/>
        </w:rPr>
        <w:t xml:space="preserve">para. </w:t>
      </w:r>
      <w:r w:rsidRPr="008A1993">
        <w:rPr>
          <w:lang w:val="en-US"/>
        </w:rPr>
        <w:t xml:space="preserve">23-008; </w:t>
      </w:r>
      <w:r w:rsidRPr="008A1993">
        <w:rPr>
          <w:i/>
          <w:lang w:val="en-US"/>
        </w:rPr>
        <w:t>Underhill and Hayton</w:t>
      </w:r>
      <w:r w:rsidRPr="008A1993">
        <w:rPr>
          <w:lang w:val="en-US"/>
        </w:rPr>
        <w:t>, at para. 50.2.</w:t>
      </w:r>
    </w:p>
  </w:footnote>
  <w:footnote w:id="21">
    <w:p w:rsidR="00E130AF" w:rsidRDefault="00E130AF" w:rsidP="00C845A2">
      <w:pPr>
        <w:pStyle w:val="FootnoteText"/>
        <w:tabs>
          <w:tab w:val="clear" w:pos="180"/>
          <w:tab w:val="left" w:pos="270"/>
        </w:tabs>
        <w:ind w:left="270" w:hanging="270"/>
      </w:pPr>
      <w:r>
        <w:rPr>
          <w:rStyle w:val="FootnoteReference"/>
        </w:rPr>
        <w:footnoteRef/>
      </w:r>
      <w:r>
        <w:t xml:space="preserve"> </w:t>
      </w:r>
      <w:r w:rsidR="00C845A2">
        <w:tab/>
      </w:r>
      <w:r>
        <w:rPr>
          <w:i/>
        </w:rPr>
        <w:t>Citadel General Assurance Co. v. Johns-Manville Canada Inc.</w:t>
      </w:r>
      <w:r>
        <w:t>, [1983] 1 S.C.R. 513, at p. 521.</w:t>
      </w:r>
    </w:p>
  </w:footnote>
  <w:footnote w:id="22">
    <w:p w:rsidR="00E130AF" w:rsidRDefault="00E130AF" w:rsidP="00C845A2">
      <w:pPr>
        <w:pStyle w:val="FootnoteText"/>
        <w:tabs>
          <w:tab w:val="clear" w:pos="180"/>
          <w:tab w:val="left" w:pos="270"/>
        </w:tabs>
        <w:ind w:left="270" w:hanging="270"/>
      </w:pPr>
      <w:r>
        <w:rPr>
          <w:rStyle w:val="FootnoteReference"/>
        </w:rPr>
        <w:footnoteRef/>
      </w:r>
      <w:r>
        <w:t xml:space="preserve"> </w:t>
      </w:r>
      <w:r w:rsidR="00C845A2">
        <w:tab/>
      </w:r>
      <w:r>
        <w:t>J. V. O’Donnell, L. Poudrier-LeBel and K. W. Scott</w:t>
      </w:r>
      <w:r w:rsidRPr="00D2645C">
        <w:t xml:space="preserve">, </w:t>
      </w:r>
      <w:r>
        <w:t>“</w:t>
      </w:r>
      <w:r w:rsidRPr="00D2645C">
        <w:t>Construction Bonds in Canada</w:t>
      </w:r>
      <w:r>
        <w:t xml:space="preserve">” (1985), 52 </w:t>
      </w:r>
      <w:r w:rsidRPr="00DA05F0">
        <w:rPr>
          <w:i/>
        </w:rPr>
        <w:t>Ins. Counsel J.</w:t>
      </w:r>
      <w:r>
        <w:t xml:space="preserve"> 482, at p. 484.</w:t>
      </w:r>
    </w:p>
  </w:footnote>
  <w:footnote w:id="23">
    <w:p w:rsidR="00E130AF" w:rsidRPr="008A1993" w:rsidRDefault="00E130AF" w:rsidP="00C845A2">
      <w:pPr>
        <w:pStyle w:val="FootnoteText"/>
        <w:tabs>
          <w:tab w:val="clear" w:pos="180"/>
          <w:tab w:val="left" w:pos="270"/>
        </w:tabs>
        <w:ind w:left="270" w:hanging="270"/>
        <w:rPr>
          <w:lang w:val="en-US"/>
        </w:rPr>
      </w:pPr>
      <w:r w:rsidRPr="008A1993">
        <w:rPr>
          <w:rStyle w:val="FootnoteReference"/>
        </w:rPr>
        <w:footnoteRef/>
      </w:r>
      <w:r w:rsidRPr="008A1993">
        <w:t xml:space="preserve"> </w:t>
      </w:r>
      <w:r w:rsidR="00C845A2">
        <w:tab/>
      </w:r>
      <w:r w:rsidRPr="008A1993">
        <w:t xml:space="preserve">Reasons of Justice Karakatsanis, at para. </w:t>
      </w:r>
      <w:r>
        <w:t>64</w:t>
      </w:r>
      <w:r w:rsidRPr="008A1993">
        <w:t xml:space="preserve"> (emphasis added), see also paras. </w:t>
      </w:r>
      <w:r>
        <w:t>42</w:t>
      </w:r>
      <w:r w:rsidRPr="008A1993">
        <w:t xml:space="preserve">, </w:t>
      </w:r>
      <w:r>
        <w:t>44</w:t>
      </w:r>
      <w:r w:rsidRPr="008A1993">
        <w:t xml:space="preserve">, </w:t>
      </w:r>
      <w:r>
        <w:t>56, 66</w:t>
      </w:r>
      <w:r w:rsidRPr="008A1993">
        <w:t xml:space="preserve"> and </w:t>
      </w:r>
      <w:r>
        <w:t>71</w:t>
      </w:r>
      <w:r w:rsidRPr="008A1993">
        <w:t>.</w:t>
      </w:r>
    </w:p>
  </w:footnote>
  <w:footnote w:id="24">
    <w:p w:rsidR="00E130AF" w:rsidRPr="008A1993" w:rsidRDefault="00E130AF" w:rsidP="00C845A2">
      <w:pPr>
        <w:pStyle w:val="FootnoteText"/>
        <w:tabs>
          <w:tab w:val="clear" w:pos="180"/>
          <w:tab w:val="left" w:pos="270"/>
        </w:tabs>
        <w:ind w:left="270" w:hanging="270"/>
        <w:rPr>
          <w:lang w:val="en-US"/>
        </w:rPr>
      </w:pPr>
      <w:r w:rsidRPr="008A1993">
        <w:rPr>
          <w:rStyle w:val="FootnoteReference"/>
        </w:rPr>
        <w:footnoteRef/>
      </w:r>
      <w:r w:rsidRPr="008A1993">
        <w:t xml:space="preserve"> </w:t>
      </w:r>
      <w:r w:rsidR="00C845A2">
        <w:tab/>
      </w:r>
      <w:r w:rsidRPr="008A1993">
        <w:rPr>
          <w:lang w:val="en-US"/>
        </w:rPr>
        <w:t xml:space="preserve">Reasons of Justice Karakatsanis, at para. </w:t>
      </w:r>
      <w:r>
        <w:rPr>
          <w:lang w:val="en-US"/>
        </w:rPr>
        <w:t>44</w:t>
      </w:r>
      <w:r w:rsidRPr="008A1993">
        <w:rPr>
          <w:lang w:val="en-US"/>
        </w:rPr>
        <w:t xml:space="preserve"> (emphasis added).</w:t>
      </w:r>
    </w:p>
  </w:footnote>
  <w:footnote w:id="25">
    <w:p w:rsidR="00E130AF" w:rsidRPr="004D22FC" w:rsidRDefault="00E130AF" w:rsidP="00C845A2">
      <w:pPr>
        <w:pStyle w:val="FootnoteText"/>
        <w:tabs>
          <w:tab w:val="clear" w:pos="180"/>
          <w:tab w:val="left" w:pos="270"/>
        </w:tabs>
        <w:ind w:left="270" w:hanging="270"/>
        <w:rPr>
          <w:lang w:val="en-US"/>
        </w:rPr>
      </w:pPr>
      <w:r>
        <w:rPr>
          <w:rStyle w:val="FootnoteReference"/>
        </w:rPr>
        <w:footnoteRef/>
      </w:r>
      <w:r>
        <w:t xml:space="preserve"> </w:t>
      </w:r>
      <w:r w:rsidR="00C845A2">
        <w:tab/>
      </w:r>
      <w:r w:rsidRPr="008A1993">
        <w:t xml:space="preserve">Reasons of Justice Karakatsanis, at para. </w:t>
      </w:r>
      <w:r>
        <w:t>71</w:t>
      </w:r>
      <w:r w:rsidRPr="008A1993">
        <w:t>.</w:t>
      </w:r>
    </w:p>
  </w:footnote>
  <w:footnote w:id="26">
    <w:p w:rsidR="00E130AF" w:rsidRPr="008A1993" w:rsidRDefault="00E130AF" w:rsidP="00C845A2">
      <w:pPr>
        <w:pStyle w:val="FootnoteText"/>
        <w:tabs>
          <w:tab w:val="clear" w:pos="180"/>
          <w:tab w:val="left" w:pos="270"/>
        </w:tabs>
        <w:ind w:left="270" w:hanging="270"/>
        <w:rPr>
          <w:lang w:val="en-US"/>
        </w:rPr>
      </w:pPr>
      <w:r w:rsidRPr="008A1993">
        <w:rPr>
          <w:rStyle w:val="FootnoteReference"/>
        </w:rPr>
        <w:footnoteRef/>
      </w:r>
      <w:r w:rsidRPr="008A1993">
        <w:t xml:space="preserve"> </w:t>
      </w:r>
      <w:r w:rsidR="00B22552">
        <w:tab/>
      </w:r>
      <w:r w:rsidRPr="008A1993">
        <w:t xml:space="preserve">Reasons of Justice Karakatsanis, at para. </w:t>
      </w:r>
      <w:r>
        <w:t>64</w:t>
      </w:r>
      <w:r w:rsidRPr="008A1993">
        <w:t>.</w:t>
      </w:r>
    </w:p>
  </w:footnote>
  <w:footnote w:id="27">
    <w:p w:rsidR="00E130AF" w:rsidRDefault="00E130AF" w:rsidP="00B22552">
      <w:pPr>
        <w:pStyle w:val="FootnoteText"/>
        <w:tabs>
          <w:tab w:val="clear" w:pos="180"/>
          <w:tab w:val="left" w:pos="270"/>
        </w:tabs>
        <w:ind w:left="270" w:hanging="270"/>
      </w:pPr>
      <w:r>
        <w:rPr>
          <w:rStyle w:val="FootnoteReference"/>
        </w:rPr>
        <w:footnoteRef/>
      </w:r>
      <w:r>
        <w:t xml:space="preserve"> </w:t>
      </w:r>
      <w:r w:rsidR="00B22552">
        <w:tab/>
      </w:r>
      <w:r w:rsidRPr="009C5114">
        <w:rPr>
          <w:i/>
        </w:rPr>
        <w:t>Waters’ Law of Trusts</w:t>
      </w:r>
      <w:r>
        <w:t>, at</w:t>
      </w:r>
      <w:r w:rsidRPr="004C4053">
        <w:t xml:space="preserve"> p.</w:t>
      </w:r>
      <w:r>
        <w:t xml:space="preserve"> 912.</w:t>
      </w:r>
    </w:p>
  </w:footnote>
  <w:footnote w:id="28">
    <w:p w:rsidR="00E130AF" w:rsidRDefault="00E130AF" w:rsidP="00C845A2">
      <w:pPr>
        <w:pStyle w:val="FootnoteText"/>
        <w:tabs>
          <w:tab w:val="clear" w:pos="180"/>
          <w:tab w:val="left" w:pos="270"/>
        </w:tabs>
        <w:ind w:left="270" w:hanging="270"/>
      </w:pPr>
      <w:r>
        <w:rPr>
          <w:rStyle w:val="FootnoteReference"/>
        </w:rPr>
        <w:footnoteRef/>
      </w:r>
      <w:r>
        <w:t xml:space="preserve"> </w:t>
      </w:r>
      <w:r w:rsidR="00C845A2">
        <w:tab/>
      </w:r>
      <w:r>
        <w:rPr>
          <w:i/>
        </w:rPr>
        <w:t>Ironside v. Smith</w:t>
      </w:r>
      <w:r>
        <w:t>, 1998 ABCA 366, 223 A.R. 379, at para. 71.</w:t>
      </w:r>
    </w:p>
  </w:footnote>
  <w:footnote w:id="29">
    <w:p w:rsidR="00E130AF" w:rsidRDefault="00E130AF" w:rsidP="00C845A2">
      <w:pPr>
        <w:pStyle w:val="FootnoteText"/>
        <w:tabs>
          <w:tab w:val="clear" w:pos="180"/>
          <w:tab w:val="left" w:pos="270"/>
        </w:tabs>
        <w:ind w:left="270" w:hanging="270"/>
      </w:pPr>
      <w:r>
        <w:rPr>
          <w:rStyle w:val="FootnoteReference"/>
        </w:rPr>
        <w:footnoteRef/>
      </w:r>
      <w:r>
        <w:t xml:space="preserve"> </w:t>
      </w:r>
      <w:r w:rsidR="00C845A2">
        <w:tab/>
      </w:r>
      <w:r w:rsidRPr="00C342C6">
        <w:rPr>
          <w:i/>
        </w:rPr>
        <w:t>Waters’ Law of Trusts</w:t>
      </w:r>
      <w:r w:rsidRPr="00C342C6">
        <w:t xml:space="preserve">, </w:t>
      </w:r>
      <w:r>
        <w:t>at p. 33.</w:t>
      </w:r>
    </w:p>
  </w:footnote>
  <w:footnote w:id="30">
    <w:p w:rsidR="00E130AF" w:rsidRPr="00331827" w:rsidRDefault="00E130AF" w:rsidP="00C845A2">
      <w:pPr>
        <w:pStyle w:val="FootnoteText"/>
        <w:tabs>
          <w:tab w:val="clear" w:pos="180"/>
          <w:tab w:val="left" w:pos="270"/>
        </w:tabs>
        <w:ind w:left="270" w:hanging="270"/>
      </w:pPr>
      <w:r>
        <w:rPr>
          <w:rStyle w:val="FootnoteReference"/>
        </w:rPr>
        <w:footnoteRef/>
      </w:r>
      <w:r>
        <w:t xml:space="preserve"> </w:t>
      </w:r>
      <w:r w:rsidR="00C845A2">
        <w:tab/>
      </w:r>
      <w:r>
        <w:rPr>
          <w:i/>
        </w:rPr>
        <w:t>Ibid.</w:t>
      </w:r>
      <w:r>
        <w:t>, at p. 34.</w:t>
      </w:r>
    </w:p>
  </w:footnote>
  <w:footnote w:id="31">
    <w:p w:rsidR="00E130AF" w:rsidRDefault="00E130AF" w:rsidP="00C845A2">
      <w:pPr>
        <w:pStyle w:val="FootnoteText"/>
        <w:tabs>
          <w:tab w:val="clear" w:pos="180"/>
          <w:tab w:val="left" w:pos="270"/>
        </w:tabs>
        <w:ind w:left="270" w:hanging="270"/>
      </w:pPr>
      <w:r>
        <w:rPr>
          <w:rStyle w:val="FootnoteReference"/>
        </w:rPr>
        <w:footnoteRef/>
      </w:r>
      <w:r>
        <w:t xml:space="preserve"> </w:t>
      </w:r>
      <w:r w:rsidR="00C845A2">
        <w:tab/>
      </w:r>
      <w:r w:rsidR="00C845A2">
        <w:rPr>
          <w:i/>
        </w:rPr>
        <w:t>Ibid.</w:t>
      </w:r>
      <w:r>
        <w:t xml:space="preserve">, at p. </w:t>
      </w:r>
      <w:r w:rsidRPr="00354B57">
        <w:t>906</w:t>
      </w:r>
      <w:r>
        <w:t xml:space="preserve">; see also </w:t>
      </w:r>
      <w:r w:rsidRPr="00037292">
        <w:rPr>
          <w:i/>
        </w:rPr>
        <w:t>Fales v. Canada Permanent Trust Co.</w:t>
      </w:r>
      <w:r>
        <w:t xml:space="preserve">, [1977] 2 S.C.R. 302, at p. 315; </w:t>
      </w:r>
      <w:r w:rsidRPr="00037292">
        <w:rPr>
          <w:i/>
        </w:rPr>
        <w:t>Beaudette Estate</w:t>
      </w:r>
      <w:r>
        <w:t xml:space="preserve">, at para. 26; </w:t>
      </w:r>
      <w:r w:rsidRPr="00037292">
        <w:rPr>
          <w:i/>
        </w:rPr>
        <w:t>Oosterhoff on Trusts</w:t>
      </w:r>
      <w:r>
        <w:t>, at p. 1058.</w:t>
      </w:r>
    </w:p>
  </w:footnote>
  <w:footnote w:id="32">
    <w:p w:rsidR="00E130AF" w:rsidRDefault="00E130AF" w:rsidP="00C845A2">
      <w:pPr>
        <w:pStyle w:val="FootnoteText"/>
        <w:tabs>
          <w:tab w:val="clear" w:pos="180"/>
          <w:tab w:val="left" w:pos="270"/>
        </w:tabs>
        <w:ind w:left="270" w:hanging="270"/>
      </w:pPr>
      <w:r>
        <w:rPr>
          <w:rStyle w:val="FootnoteReference"/>
        </w:rPr>
        <w:footnoteRef/>
      </w:r>
      <w:r>
        <w:t xml:space="preserve"> </w:t>
      </w:r>
      <w:r w:rsidR="00C845A2">
        <w:tab/>
      </w:r>
      <w:r w:rsidRPr="00037292">
        <w:rPr>
          <w:i/>
        </w:rPr>
        <w:t>Fales</w:t>
      </w:r>
      <w:r w:rsidRPr="0094042B">
        <w:t>,</w:t>
      </w:r>
      <w:r w:rsidRPr="00037292">
        <w:rPr>
          <w:i/>
        </w:rPr>
        <w:t xml:space="preserve"> </w:t>
      </w:r>
      <w:r>
        <w:t xml:space="preserve">at p. 317; </w:t>
      </w:r>
      <w:r w:rsidRPr="00037292">
        <w:rPr>
          <w:i/>
        </w:rPr>
        <w:t>Underhill and Hayton</w:t>
      </w:r>
      <w:r w:rsidRPr="0094042B">
        <w:t>,</w:t>
      </w:r>
      <w:r w:rsidRPr="00037292">
        <w:rPr>
          <w:i/>
        </w:rPr>
        <w:t xml:space="preserve"> </w:t>
      </w:r>
      <w:r>
        <w:t xml:space="preserve">at </w:t>
      </w:r>
      <w:r w:rsidRPr="00037292">
        <w:t xml:space="preserve">para. </w:t>
      </w:r>
      <w:r>
        <w:t>48.1.</w:t>
      </w:r>
    </w:p>
  </w:footnote>
  <w:footnote w:id="33">
    <w:p w:rsidR="00E130AF" w:rsidRPr="0002145D" w:rsidRDefault="00E130AF" w:rsidP="00E53FD0">
      <w:pPr>
        <w:pStyle w:val="FootnoteText"/>
        <w:tabs>
          <w:tab w:val="clear" w:pos="180"/>
          <w:tab w:val="left" w:pos="270"/>
        </w:tabs>
        <w:ind w:left="270" w:hanging="270"/>
        <w:rPr>
          <w:lang w:val="en-US"/>
        </w:rPr>
      </w:pPr>
      <w:r w:rsidRPr="0002145D">
        <w:rPr>
          <w:rStyle w:val="FootnoteReference"/>
        </w:rPr>
        <w:footnoteRef/>
      </w:r>
      <w:r w:rsidRPr="0002145D">
        <w:t xml:space="preserve"> </w:t>
      </w:r>
      <w:r w:rsidR="00E53FD0">
        <w:tab/>
      </w:r>
      <w:r w:rsidRPr="0002145D">
        <w:rPr>
          <w:i/>
          <w:lang w:val="en-US"/>
        </w:rPr>
        <w:t>Segelov</w:t>
      </w:r>
      <w:r w:rsidR="00C845A2">
        <w:rPr>
          <w:lang w:val="en-US"/>
        </w:rPr>
        <w:t>, at paras. 138-</w:t>
      </w:r>
      <w:r w:rsidRPr="0002145D">
        <w:rPr>
          <w:lang w:val="en-US"/>
        </w:rPr>
        <w:t>41.</w:t>
      </w:r>
    </w:p>
  </w:footnote>
  <w:footnote w:id="34">
    <w:p w:rsidR="00E130AF" w:rsidRPr="00A050FB" w:rsidRDefault="00E130AF" w:rsidP="00E53FD0">
      <w:pPr>
        <w:pStyle w:val="FootnoteText"/>
        <w:tabs>
          <w:tab w:val="clear" w:pos="180"/>
          <w:tab w:val="left" w:pos="270"/>
        </w:tabs>
        <w:ind w:left="270" w:hanging="270"/>
        <w:rPr>
          <w:i/>
        </w:rPr>
      </w:pPr>
      <w:r>
        <w:rPr>
          <w:rStyle w:val="FootnoteReference"/>
        </w:rPr>
        <w:footnoteRef/>
      </w:r>
      <w:r>
        <w:t xml:space="preserve"> </w:t>
      </w:r>
      <w:r w:rsidR="00E53FD0">
        <w:tab/>
      </w:r>
      <w:r>
        <w:t xml:space="preserve">Hayton, </w:t>
      </w:r>
      <w:r w:rsidRPr="00296369">
        <w:t xml:space="preserve">at p. 49, citing </w:t>
      </w:r>
      <w:r w:rsidRPr="00A050FB">
        <w:rPr>
          <w:i/>
        </w:rPr>
        <w:t>In re</w:t>
      </w:r>
      <w:r w:rsidRPr="00296369">
        <w:rPr>
          <w:i/>
        </w:rPr>
        <w:t xml:space="preserve"> M</w:t>
      </w:r>
      <w:r>
        <w:rPr>
          <w:i/>
        </w:rPr>
        <w:t>a</w:t>
      </w:r>
      <w:r w:rsidRPr="00296369">
        <w:rPr>
          <w:i/>
        </w:rPr>
        <w:t>nisty’s Settlement</w:t>
      </w:r>
      <w:r>
        <w:t>,</w:t>
      </w:r>
      <w:r w:rsidRPr="00296369">
        <w:rPr>
          <w:i/>
        </w:rPr>
        <w:t xml:space="preserve"> </w:t>
      </w:r>
      <w:r w:rsidRPr="00296369">
        <w:t xml:space="preserve">[1974] </w:t>
      </w:r>
      <w:r>
        <w:t xml:space="preserve">1 </w:t>
      </w:r>
      <w:r w:rsidRPr="00296369">
        <w:t>Ch. 17</w:t>
      </w:r>
      <w:r>
        <w:t xml:space="preserve">, at p. </w:t>
      </w:r>
      <w:r w:rsidRPr="00296369">
        <w:t xml:space="preserve">25; </w:t>
      </w:r>
      <w:r w:rsidR="00E53FD0">
        <w:rPr>
          <w:i/>
        </w:rPr>
        <w:t>Hartigan Nomin</w:t>
      </w:r>
      <w:r w:rsidRPr="00296369">
        <w:rPr>
          <w:i/>
        </w:rPr>
        <w:t>ees Pty. Ltd</w:t>
      </w:r>
      <w:r>
        <w:rPr>
          <w:i/>
        </w:rPr>
        <w:t>.</w:t>
      </w:r>
      <w:r w:rsidRPr="00296369">
        <w:rPr>
          <w:i/>
        </w:rPr>
        <w:t xml:space="preserve"> v. Rydge</w:t>
      </w:r>
      <w:r w:rsidRPr="00296369">
        <w:t xml:space="preserve"> (1992)</w:t>
      </w:r>
      <w:r>
        <w:t>,</w:t>
      </w:r>
      <w:r w:rsidRPr="00296369">
        <w:t xml:space="preserve"> 29 N</w:t>
      </w:r>
      <w:r>
        <w:t>.</w:t>
      </w:r>
      <w:r w:rsidRPr="00296369">
        <w:t>S</w:t>
      </w:r>
      <w:r>
        <w:t>.</w:t>
      </w:r>
      <w:r w:rsidRPr="00296369">
        <w:t>W</w:t>
      </w:r>
      <w:r>
        <w:t>.</w:t>
      </w:r>
      <w:r w:rsidRPr="00296369">
        <w:t>L</w:t>
      </w:r>
      <w:r>
        <w:t>.</w:t>
      </w:r>
      <w:r w:rsidRPr="00296369">
        <w:t>R</w:t>
      </w:r>
      <w:r>
        <w:t>.</w:t>
      </w:r>
      <w:r w:rsidRPr="00296369">
        <w:t xml:space="preserve"> 405</w:t>
      </w:r>
      <w:r>
        <w:t xml:space="preserve"> (C.A.)</w:t>
      </w:r>
      <w:r w:rsidRPr="00296369">
        <w:t xml:space="preserve">; </w:t>
      </w:r>
      <w:r>
        <w:rPr>
          <w:i/>
        </w:rPr>
        <w:t>In re</w:t>
      </w:r>
      <w:r w:rsidRPr="00296369">
        <w:rPr>
          <w:i/>
        </w:rPr>
        <w:t xml:space="preserve"> Baden’s Deed Trusts</w:t>
      </w:r>
      <w:r>
        <w:rPr>
          <w:i/>
        </w:rPr>
        <w:t xml:space="preserve"> (No. 2)</w:t>
      </w:r>
      <w:r>
        <w:t>,</w:t>
      </w:r>
      <w:r w:rsidRPr="00296369">
        <w:t xml:space="preserve"> [19</w:t>
      </w:r>
      <w:r>
        <w:t>7</w:t>
      </w:r>
      <w:r w:rsidRPr="00296369">
        <w:t xml:space="preserve">3] </w:t>
      </w:r>
      <w:r>
        <w:t xml:space="preserve">1 </w:t>
      </w:r>
      <w:r w:rsidRPr="00296369">
        <w:t>Ch. 9</w:t>
      </w:r>
      <w:r>
        <w:t xml:space="preserve"> (C.A.), at pp.</w:t>
      </w:r>
      <w:r w:rsidRPr="00296369">
        <w:t xml:space="preserve"> 20</w:t>
      </w:r>
      <w:r>
        <w:t xml:space="preserve"> and</w:t>
      </w:r>
      <w:r w:rsidRPr="00296369">
        <w:t xml:space="preserve"> 27;</w:t>
      </w:r>
      <w:r>
        <w:t xml:space="preserve"> see also</w:t>
      </w:r>
      <w:r w:rsidRPr="00296369">
        <w:t xml:space="preserve"> </w:t>
      </w:r>
      <w:r>
        <w:t>G. </w:t>
      </w:r>
      <w:r w:rsidRPr="00296369">
        <w:t>Lightman</w:t>
      </w:r>
      <w:r>
        <w:t>, “</w:t>
      </w:r>
      <w:r w:rsidRPr="00A050FB">
        <w:t>The Trustees’ Duty to Provide Information to Beneficiaries”</w:t>
      </w:r>
      <w:r>
        <w:t>, [2004] P.C.B. 23, at pp. 37-38.</w:t>
      </w:r>
    </w:p>
  </w:footnote>
  <w:footnote w:id="35">
    <w:p w:rsidR="00E130AF" w:rsidRDefault="00E130AF" w:rsidP="00E53FD0">
      <w:pPr>
        <w:pStyle w:val="FootnoteText"/>
        <w:tabs>
          <w:tab w:val="clear" w:pos="180"/>
          <w:tab w:val="left" w:pos="270"/>
        </w:tabs>
        <w:ind w:left="270" w:hanging="270"/>
      </w:pPr>
      <w:r>
        <w:rPr>
          <w:rStyle w:val="FootnoteReference"/>
        </w:rPr>
        <w:footnoteRef/>
      </w:r>
      <w:r>
        <w:t xml:space="preserve"> </w:t>
      </w:r>
      <w:r w:rsidR="00E53FD0">
        <w:tab/>
      </w:r>
      <w:r>
        <w:t>C.A. reasons, at para. 190.</w:t>
      </w:r>
    </w:p>
  </w:footnote>
  <w:footnote w:id="36">
    <w:p w:rsidR="00E130AF" w:rsidRDefault="00E130AF" w:rsidP="00E53FD0">
      <w:pPr>
        <w:pStyle w:val="FootnoteText"/>
        <w:tabs>
          <w:tab w:val="clear" w:pos="180"/>
          <w:tab w:val="left" w:pos="270"/>
        </w:tabs>
        <w:ind w:left="270" w:hanging="270"/>
      </w:pPr>
      <w:r>
        <w:rPr>
          <w:rStyle w:val="FootnoteReference"/>
        </w:rPr>
        <w:footnoteRef/>
      </w:r>
      <w:r>
        <w:t xml:space="preserve"> </w:t>
      </w:r>
      <w:r w:rsidR="00E53FD0">
        <w:tab/>
      </w:r>
      <w:r>
        <w:t>C.A. reasons, at para. 55.</w:t>
      </w:r>
    </w:p>
  </w:footnote>
  <w:footnote w:id="37">
    <w:p w:rsidR="00E130AF" w:rsidRDefault="00E130AF" w:rsidP="00E53FD0">
      <w:pPr>
        <w:pStyle w:val="FootnoteText"/>
        <w:tabs>
          <w:tab w:val="clear" w:pos="180"/>
          <w:tab w:val="left" w:pos="270"/>
        </w:tabs>
        <w:ind w:left="270" w:hanging="270"/>
      </w:pPr>
      <w:r>
        <w:rPr>
          <w:rStyle w:val="FootnoteReference"/>
        </w:rPr>
        <w:footnoteRef/>
      </w:r>
      <w:r>
        <w:t xml:space="preserve"> </w:t>
      </w:r>
      <w:r w:rsidR="00E53FD0">
        <w:tab/>
      </w:r>
      <w:r w:rsidRPr="00F43D05">
        <w:rPr>
          <w:i/>
        </w:rPr>
        <w:t>Snell’s Equity</w:t>
      </w:r>
      <w:r w:rsidRPr="0094042B">
        <w:t>,</w:t>
      </w:r>
      <w:r w:rsidRPr="00F43D05">
        <w:rPr>
          <w:i/>
        </w:rPr>
        <w:t xml:space="preserve"> </w:t>
      </w:r>
      <w:r w:rsidRPr="006768AA">
        <w:t xml:space="preserve">at </w:t>
      </w:r>
      <w:r>
        <w:t xml:space="preserve">para. </w:t>
      </w:r>
      <w:r w:rsidRPr="006768AA">
        <w:t>30-014</w:t>
      </w:r>
      <w:r>
        <w:t xml:space="preserve">; see also </w:t>
      </w:r>
      <w:r w:rsidRPr="00F43D05">
        <w:rPr>
          <w:i/>
        </w:rPr>
        <w:t>Waters’ Law of Trusts</w:t>
      </w:r>
      <w:r w:rsidRPr="0094042B">
        <w:t>,</w:t>
      </w:r>
      <w:r w:rsidRPr="00F43D05">
        <w:rPr>
          <w:i/>
        </w:rPr>
        <w:t xml:space="preserve"> </w:t>
      </w:r>
      <w:r>
        <w:t xml:space="preserve">at p. 1279; </w:t>
      </w:r>
      <w:r w:rsidRPr="00F43D05">
        <w:rPr>
          <w:i/>
        </w:rPr>
        <w:t>Fales</w:t>
      </w:r>
      <w:r>
        <w:t>, at p. 320.</w:t>
      </w:r>
    </w:p>
  </w:footnote>
  <w:footnote w:id="38">
    <w:p w:rsidR="00E130AF" w:rsidRPr="00FA3B1D" w:rsidRDefault="00E130AF" w:rsidP="0088028B">
      <w:pPr>
        <w:pStyle w:val="FootnoteText"/>
        <w:tabs>
          <w:tab w:val="clear" w:pos="180"/>
          <w:tab w:val="left" w:pos="270"/>
        </w:tabs>
        <w:ind w:left="270" w:hanging="270"/>
        <w:rPr>
          <w:lang w:val="en-US"/>
        </w:rPr>
      </w:pPr>
      <w:r>
        <w:rPr>
          <w:rStyle w:val="FootnoteReference"/>
        </w:rPr>
        <w:footnoteRef/>
      </w:r>
      <w:r>
        <w:t xml:space="preserve"> </w:t>
      </w:r>
      <w:r w:rsidR="0088028B">
        <w:tab/>
      </w:r>
      <w:r>
        <w:rPr>
          <w:i/>
        </w:rPr>
        <w:t>Lewin on Trusts</w:t>
      </w:r>
      <w:r>
        <w:t>, at para. 23-013.</w:t>
      </w:r>
    </w:p>
  </w:footnote>
  <w:footnote w:id="39">
    <w:p w:rsidR="00E130AF" w:rsidRDefault="00E130AF" w:rsidP="0088028B">
      <w:pPr>
        <w:pStyle w:val="FootnoteText"/>
        <w:tabs>
          <w:tab w:val="clear" w:pos="180"/>
          <w:tab w:val="left" w:pos="270"/>
        </w:tabs>
        <w:ind w:left="270" w:hanging="270"/>
      </w:pPr>
      <w:r>
        <w:rPr>
          <w:rStyle w:val="FootnoteReference"/>
        </w:rPr>
        <w:footnoteRef/>
      </w:r>
      <w:r>
        <w:t xml:space="preserve"> </w:t>
      </w:r>
      <w:r w:rsidR="0088028B">
        <w:tab/>
      </w:r>
      <w:r>
        <w:t>Before the trial judge, Valard’s counsel explained that its claim against the Guarantee Company was discontinued because “after the notice period for Valard had expired, more bonds were issued by the surety to Langford, and claims were made on those bonds to the point that the surety was out millions of dollars” (A.R., at p. 195). That does not tell us, however, whether claims were made on the bond before or during the 120-day notice period which followed Valard’s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76" w:rsidRDefault="00E15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76" w:rsidRDefault="00E15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0"/>
  </w:num>
  <w:num w:numId="5">
    <w:abstractNumId w:val="15"/>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3"/>
  </w:num>
  <w:num w:numId="20">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4AD"/>
    <w:rsid w:val="00000ED4"/>
    <w:rsid w:val="000176EF"/>
    <w:rsid w:val="00025198"/>
    <w:rsid w:val="00030DB9"/>
    <w:rsid w:val="00033B41"/>
    <w:rsid w:val="00034F6E"/>
    <w:rsid w:val="000578A3"/>
    <w:rsid w:val="000648CC"/>
    <w:rsid w:val="00091B8F"/>
    <w:rsid w:val="000A22D0"/>
    <w:rsid w:val="000C3479"/>
    <w:rsid w:val="000C59B8"/>
    <w:rsid w:val="000C6AF0"/>
    <w:rsid w:val="000C754C"/>
    <w:rsid w:val="000D76B6"/>
    <w:rsid w:val="00104263"/>
    <w:rsid w:val="00104F33"/>
    <w:rsid w:val="00111DE2"/>
    <w:rsid w:val="001158B5"/>
    <w:rsid w:val="00116B38"/>
    <w:rsid w:val="00135406"/>
    <w:rsid w:val="00135972"/>
    <w:rsid w:val="001426A9"/>
    <w:rsid w:val="00154D7C"/>
    <w:rsid w:val="001570B0"/>
    <w:rsid w:val="0015752C"/>
    <w:rsid w:val="00157737"/>
    <w:rsid w:val="00165277"/>
    <w:rsid w:val="00170592"/>
    <w:rsid w:val="00176112"/>
    <w:rsid w:val="00186351"/>
    <w:rsid w:val="00195D83"/>
    <w:rsid w:val="001A00C1"/>
    <w:rsid w:val="001B33E0"/>
    <w:rsid w:val="001B4573"/>
    <w:rsid w:val="001C779F"/>
    <w:rsid w:val="001D2975"/>
    <w:rsid w:val="001D2AC1"/>
    <w:rsid w:val="001D4E88"/>
    <w:rsid w:val="001F77FE"/>
    <w:rsid w:val="00200B40"/>
    <w:rsid w:val="00215B5E"/>
    <w:rsid w:val="00220FC2"/>
    <w:rsid w:val="002222F4"/>
    <w:rsid w:val="00224FC0"/>
    <w:rsid w:val="00225EA4"/>
    <w:rsid w:val="00226EAF"/>
    <w:rsid w:val="00231F3A"/>
    <w:rsid w:val="00232381"/>
    <w:rsid w:val="00234199"/>
    <w:rsid w:val="002406EE"/>
    <w:rsid w:val="00243E8F"/>
    <w:rsid w:val="00243EC8"/>
    <w:rsid w:val="002469C6"/>
    <w:rsid w:val="00254307"/>
    <w:rsid w:val="002650AD"/>
    <w:rsid w:val="00270D93"/>
    <w:rsid w:val="002745CC"/>
    <w:rsid w:val="002871DD"/>
    <w:rsid w:val="002B7924"/>
    <w:rsid w:val="002D28C3"/>
    <w:rsid w:val="002D39A4"/>
    <w:rsid w:val="002E61C3"/>
    <w:rsid w:val="002E6705"/>
    <w:rsid w:val="002F52EC"/>
    <w:rsid w:val="002F5438"/>
    <w:rsid w:val="002F5F7D"/>
    <w:rsid w:val="00301D08"/>
    <w:rsid w:val="0030284F"/>
    <w:rsid w:val="0030329A"/>
    <w:rsid w:val="00304D6B"/>
    <w:rsid w:val="0031086F"/>
    <w:rsid w:val="0031414C"/>
    <w:rsid w:val="00314E01"/>
    <w:rsid w:val="0032020A"/>
    <w:rsid w:val="0032089D"/>
    <w:rsid w:val="003310DE"/>
    <w:rsid w:val="003323B0"/>
    <w:rsid w:val="00332F4D"/>
    <w:rsid w:val="0035169A"/>
    <w:rsid w:val="0035259D"/>
    <w:rsid w:val="00364B18"/>
    <w:rsid w:val="00385925"/>
    <w:rsid w:val="0039005C"/>
    <w:rsid w:val="003A0DBD"/>
    <w:rsid w:val="003A125D"/>
    <w:rsid w:val="003A4C70"/>
    <w:rsid w:val="003B215F"/>
    <w:rsid w:val="003B30B7"/>
    <w:rsid w:val="003C799C"/>
    <w:rsid w:val="003D0399"/>
    <w:rsid w:val="003E1C71"/>
    <w:rsid w:val="003F327B"/>
    <w:rsid w:val="00406166"/>
    <w:rsid w:val="0040704B"/>
    <w:rsid w:val="00410A55"/>
    <w:rsid w:val="00411300"/>
    <w:rsid w:val="00415417"/>
    <w:rsid w:val="00426659"/>
    <w:rsid w:val="00442D8B"/>
    <w:rsid w:val="00450352"/>
    <w:rsid w:val="00454BDB"/>
    <w:rsid w:val="00464800"/>
    <w:rsid w:val="00465132"/>
    <w:rsid w:val="00480C90"/>
    <w:rsid w:val="0048396F"/>
    <w:rsid w:val="00493C18"/>
    <w:rsid w:val="004A600C"/>
    <w:rsid w:val="004A6118"/>
    <w:rsid w:val="004A6DEE"/>
    <w:rsid w:val="004C478D"/>
    <w:rsid w:val="004E2058"/>
    <w:rsid w:val="004E2C26"/>
    <w:rsid w:val="004F36FF"/>
    <w:rsid w:val="004F3747"/>
    <w:rsid w:val="005125A8"/>
    <w:rsid w:val="005163B2"/>
    <w:rsid w:val="00521AE8"/>
    <w:rsid w:val="00527180"/>
    <w:rsid w:val="0054201E"/>
    <w:rsid w:val="00555291"/>
    <w:rsid w:val="00566AD1"/>
    <w:rsid w:val="005715CE"/>
    <w:rsid w:val="00583901"/>
    <w:rsid w:val="00583EDE"/>
    <w:rsid w:val="005926EC"/>
    <w:rsid w:val="005A6079"/>
    <w:rsid w:val="005C2395"/>
    <w:rsid w:val="005C29C6"/>
    <w:rsid w:val="005C35CA"/>
    <w:rsid w:val="005E4698"/>
    <w:rsid w:val="00610539"/>
    <w:rsid w:val="00613969"/>
    <w:rsid w:val="00625C35"/>
    <w:rsid w:val="006455CD"/>
    <w:rsid w:val="00656313"/>
    <w:rsid w:val="006565F4"/>
    <w:rsid w:val="00684EEA"/>
    <w:rsid w:val="0069689B"/>
    <w:rsid w:val="006A1551"/>
    <w:rsid w:val="006A30DE"/>
    <w:rsid w:val="006B5FF5"/>
    <w:rsid w:val="006C7A68"/>
    <w:rsid w:val="006E6446"/>
    <w:rsid w:val="006F30AF"/>
    <w:rsid w:val="00701759"/>
    <w:rsid w:val="00705C15"/>
    <w:rsid w:val="0070720A"/>
    <w:rsid w:val="007118BD"/>
    <w:rsid w:val="0071205F"/>
    <w:rsid w:val="00713C84"/>
    <w:rsid w:val="0071600E"/>
    <w:rsid w:val="007208D1"/>
    <w:rsid w:val="00747288"/>
    <w:rsid w:val="00747DD3"/>
    <w:rsid w:val="00750C1D"/>
    <w:rsid w:val="00752B7D"/>
    <w:rsid w:val="007549C8"/>
    <w:rsid w:val="00754A0B"/>
    <w:rsid w:val="0076665F"/>
    <w:rsid w:val="00766D14"/>
    <w:rsid w:val="00767A0F"/>
    <w:rsid w:val="00786AA8"/>
    <w:rsid w:val="007A05F6"/>
    <w:rsid w:val="007B6F4A"/>
    <w:rsid w:val="007E1C47"/>
    <w:rsid w:val="007E337A"/>
    <w:rsid w:val="007E5C70"/>
    <w:rsid w:val="007F1CFC"/>
    <w:rsid w:val="007F2FF5"/>
    <w:rsid w:val="007F3E30"/>
    <w:rsid w:val="007F3F08"/>
    <w:rsid w:val="00800667"/>
    <w:rsid w:val="00804CC6"/>
    <w:rsid w:val="0080747C"/>
    <w:rsid w:val="00817190"/>
    <w:rsid w:val="00820EE5"/>
    <w:rsid w:val="008260E2"/>
    <w:rsid w:val="008322BD"/>
    <w:rsid w:val="00833E0A"/>
    <w:rsid w:val="00834F73"/>
    <w:rsid w:val="00837083"/>
    <w:rsid w:val="00860604"/>
    <w:rsid w:val="00864CF8"/>
    <w:rsid w:val="00872819"/>
    <w:rsid w:val="00874914"/>
    <w:rsid w:val="00874974"/>
    <w:rsid w:val="0088028B"/>
    <w:rsid w:val="00891422"/>
    <w:rsid w:val="00892E1A"/>
    <w:rsid w:val="008978A2"/>
    <w:rsid w:val="008A349C"/>
    <w:rsid w:val="008A3F29"/>
    <w:rsid w:val="008B660A"/>
    <w:rsid w:val="008C01DA"/>
    <w:rsid w:val="008D1A90"/>
    <w:rsid w:val="008F268A"/>
    <w:rsid w:val="008F78E9"/>
    <w:rsid w:val="009054A2"/>
    <w:rsid w:val="00911989"/>
    <w:rsid w:val="009144E7"/>
    <w:rsid w:val="009179F9"/>
    <w:rsid w:val="00933E5E"/>
    <w:rsid w:val="00935218"/>
    <w:rsid w:val="00935D3E"/>
    <w:rsid w:val="009403F3"/>
    <w:rsid w:val="00950EA5"/>
    <w:rsid w:val="009555B7"/>
    <w:rsid w:val="009567AA"/>
    <w:rsid w:val="00967374"/>
    <w:rsid w:val="009A11CD"/>
    <w:rsid w:val="009A343A"/>
    <w:rsid w:val="009B2F23"/>
    <w:rsid w:val="009B57B3"/>
    <w:rsid w:val="009C5110"/>
    <w:rsid w:val="009C5B92"/>
    <w:rsid w:val="009D2920"/>
    <w:rsid w:val="009D5AEB"/>
    <w:rsid w:val="009D6D2C"/>
    <w:rsid w:val="009E3451"/>
    <w:rsid w:val="009F0E33"/>
    <w:rsid w:val="009F7218"/>
    <w:rsid w:val="00A02AC6"/>
    <w:rsid w:val="00A02E33"/>
    <w:rsid w:val="00A030CE"/>
    <w:rsid w:val="00A074E0"/>
    <w:rsid w:val="00A149DF"/>
    <w:rsid w:val="00A1755C"/>
    <w:rsid w:val="00A21B90"/>
    <w:rsid w:val="00A24233"/>
    <w:rsid w:val="00A26F6B"/>
    <w:rsid w:val="00A41805"/>
    <w:rsid w:val="00A42DCD"/>
    <w:rsid w:val="00A52AFB"/>
    <w:rsid w:val="00A548CB"/>
    <w:rsid w:val="00A5521C"/>
    <w:rsid w:val="00A643E7"/>
    <w:rsid w:val="00A73C38"/>
    <w:rsid w:val="00A86A0A"/>
    <w:rsid w:val="00AB670D"/>
    <w:rsid w:val="00AD7028"/>
    <w:rsid w:val="00AE2F0F"/>
    <w:rsid w:val="00AE4535"/>
    <w:rsid w:val="00AE5ABB"/>
    <w:rsid w:val="00AF03C5"/>
    <w:rsid w:val="00B000D8"/>
    <w:rsid w:val="00B00F75"/>
    <w:rsid w:val="00B145B6"/>
    <w:rsid w:val="00B22552"/>
    <w:rsid w:val="00B22786"/>
    <w:rsid w:val="00B279EB"/>
    <w:rsid w:val="00B50C81"/>
    <w:rsid w:val="00B557F8"/>
    <w:rsid w:val="00B5736D"/>
    <w:rsid w:val="00B815FC"/>
    <w:rsid w:val="00B9399B"/>
    <w:rsid w:val="00B93FBC"/>
    <w:rsid w:val="00BA7462"/>
    <w:rsid w:val="00BA7DA0"/>
    <w:rsid w:val="00BB2EE4"/>
    <w:rsid w:val="00BC2108"/>
    <w:rsid w:val="00BD0E9E"/>
    <w:rsid w:val="00BD1BEC"/>
    <w:rsid w:val="00BD32FF"/>
    <w:rsid w:val="00BF6782"/>
    <w:rsid w:val="00C02092"/>
    <w:rsid w:val="00C05B3C"/>
    <w:rsid w:val="00C24D91"/>
    <w:rsid w:val="00C40FFF"/>
    <w:rsid w:val="00C53F14"/>
    <w:rsid w:val="00C600CF"/>
    <w:rsid w:val="00C6084F"/>
    <w:rsid w:val="00C62A66"/>
    <w:rsid w:val="00C71458"/>
    <w:rsid w:val="00C77613"/>
    <w:rsid w:val="00C828E7"/>
    <w:rsid w:val="00C845A2"/>
    <w:rsid w:val="00C8527E"/>
    <w:rsid w:val="00C86719"/>
    <w:rsid w:val="00C921DD"/>
    <w:rsid w:val="00C96355"/>
    <w:rsid w:val="00CA552E"/>
    <w:rsid w:val="00CA5A36"/>
    <w:rsid w:val="00CA6391"/>
    <w:rsid w:val="00CC34BD"/>
    <w:rsid w:val="00CE161A"/>
    <w:rsid w:val="00CE3171"/>
    <w:rsid w:val="00CF1601"/>
    <w:rsid w:val="00D0172F"/>
    <w:rsid w:val="00D068A7"/>
    <w:rsid w:val="00D17476"/>
    <w:rsid w:val="00D32086"/>
    <w:rsid w:val="00D377C6"/>
    <w:rsid w:val="00D37A3F"/>
    <w:rsid w:val="00D4431D"/>
    <w:rsid w:val="00D4667A"/>
    <w:rsid w:val="00D52823"/>
    <w:rsid w:val="00D56749"/>
    <w:rsid w:val="00D57440"/>
    <w:rsid w:val="00D63A1C"/>
    <w:rsid w:val="00D7516F"/>
    <w:rsid w:val="00D8579F"/>
    <w:rsid w:val="00D920CB"/>
    <w:rsid w:val="00D95513"/>
    <w:rsid w:val="00D95F8E"/>
    <w:rsid w:val="00DA0590"/>
    <w:rsid w:val="00DB7BEA"/>
    <w:rsid w:val="00DC1739"/>
    <w:rsid w:val="00DC1788"/>
    <w:rsid w:val="00DD0495"/>
    <w:rsid w:val="00DD14A5"/>
    <w:rsid w:val="00DE319C"/>
    <w:rsid w:val="00DF0CA8"/>
    <w:rsid w:val="00DF2B48"/>
    <w:rsid w:val="00DF49A0"/>
    <w:rsid w:val="00DF49A7"/>
    <w:rsid w:val="00E01CAF"/>
    <w:rsid w:val="00E04FDD"/>
    <w:rsid w:val="00E07EE2"/>
    <w:rsid w:val="00E07FD1"/>
    <w:rsid w:val="00E12472"/>
    <w:rsid w:val="00E130AF"/>
    <w:rsid w:val="00E15976"/>
    <w:rsid w:val="00E176D8"/>
    <w:rsid w:val="00E20A65"/>
    <w:rsid w:val="00E24573"/>
    <w:rsid w:val="00E25E1E"/>
    <w:rsid w:val="00E27EE7"/>
    <w:rsid w:val="00E35404"/>
    <w:rsid w:val="00E45109"/>
    <w:rsid w:val="00E47B7A"/>
    <w:rsid w:val="00E53FD0"/>
    <w:rsid w:val="00E56A44"/>
    <w:rsid w:val="00E60269"/>
    <w:rsid w:val="00E77932"/>
    <w:rsid w:val="00E858AC"/>
    <w:rsid w:val="00E922C8"/>
    <w:rsid w:val="00E97830"/>
    <w:rsid w:val="00EA2210"/>
    <w:rsid w:val="00EA77FF"/>
    <w:rsid w:val="00EB7CC6"/>
    <w:rsid w:val="00EE52FA"/>
    <w:rsid w:val="00EE643C"/>
    <w:rsid w:val="00EF0683"/>
    <w:rsid w:val="00EF69D2"/>
    <w:rsid w:val="00EF766E"/>
    <w:rsid w:val="00F0070C"/>
    <w:rsid w:val="00F00EB7"/>
    <w:rsid w:val="00F10D22"/>
    <w:rsid w:val="00F36AB6"/>
    <w:rsid w:val="00F37A09"/>
    <w:rsid w:val="00F409CE"/>
    <w:rsid w:val="00F41EF5"/>
    <w:rsid w:val="00F4379D"/>
    <w:rsid w:val="00F50D2D"/>
    <w:rsid w:val="00F56C8B"/>
    <w:rsid w:val="00F62600"/>
    <w:rsid w:val="00F66810"/>
    <w:rsid w:val="00F846D9"/>
    <w:rsid w:val="00F84DF4"/>
    <w:rsid w:val="00F85C97"/>
    <w:rsid w:val="00FA74E5"/>
    <w:rsid w:val="00FB37D2"/>
    <w:rsid w:val="00FC4EFB"/>
    <w:rsid w:val="00FD068D"/>
    <w:rsid w:val="00FD4F28"/>
    <w:rsid w:val="00FE6784"/>
    <w:rsid w:val="00FF1F74"/>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E130AF"/>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4F3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37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37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37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37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37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374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37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3747"/>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4F3747"/>
    <w:rPr>
      <w:b/>
      <w:bCs/>
    </w:rPr>
  </w:style>
  <w:style w:type="paragraph" w:styleId="Quote">
    <w:name w:val="Quote"/>
    <w:basedOn w:val="Normal"/>
    <w:next w:val="Normal"/>
    <w:link w:val="QuoteChar"/>
    <w:uiPriority w:val="29"/>
    <w:rsid w:val="004F3747"/>
    <w:rPr>
      <w:i/>
      <w:iCs/>
      <w:color w:val="000000" w:themeColor="text1"/>
    </w:rPr>
  </w:style>
  <w:style w:type="character" w:customStyle="1" w:styleId="QuoteChar">
    <w:name w:val="Quote Char"/>
    <w:basedOn w:val="DefaultParagraphFont"/>
    <w:link w:val="Quote"/>
    <w:uiPriority w:val="29"/>
    <w:rsid w:val="004F3747"/>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4F3747"/>
    <w:rPr>
      <w:color w:val="808080"/>
    </w:rPr>
  </w:style>
  <w:style w:type="paragraph" w:styleId="BalloonText">
    <w:name w:val="Balloon Text"/>
    <w:basedOn w:val="Normal"/>
    <w:link w:val="BalloonTextChar"/>
    <w:uiPriority w:val="99"/>
    <w:semiHidden/>
    <w:unhideWhenUsed/>
    <w:rsid w:val="004F3747"/>
    <w:rPr>
      <w:rFonts w:cs="Tahoma"/>
      <w:sz w:val="28"/>
      <w:szCs w:val="16"/>
    </w:rPr>
  </w:style>
  <w:style w:type="character" w:customStyle="1" w:styleId="BalloonTextChar">
    <w:name w:val="Balloon Text Char"/>
    <w:basedOn w:val="DefaultParagraphFont"/>
    <w:link w:val="BalloonText"/>
    <w:uiPriority w:val="99"/>
    <w:semiHidden/>
    <w:rsid w:val="004F3747"/>
    <w:rPr>
      <w:rFonts w:eastAsiaTheme="minorHAnsi" w:cs="Tahoma"/>
      <w:sz w:val="28"/>
      <w:szCs w:val="16"/>
      <w:lang w:val="en-US" w:eastAsia="en-US" w:bidi="en-US"/>
    </w:rPr>
  </w:style>
  <w:style w:type="paragraph" w:styleId="Header">
    <w:name w:val="header"/>
    <w:basedOn w:val="Normal"/>
    <w:link w:val="HeaderChar"/>
    <w:uiPriority w:val="99"/>
    <w:unhideWhenUsed/>
    <w:rsid w:val="004F3747"/>
    <w:pPr>
      <w:tabs>
        <w:tab w:val="center" w:pos="4680"/>
        <w:tab w:val="right" w:pos="9360"/>
      </w:tabs>
    </w:pPr>
  </w:style>
  <w:style w:type="character" w:customStyle="1" w:styleId="HeaderChar">
    <w:name w:val="Header Char"/>
    <w:basedOn w:val="DefaultParagraphFont"/>
    <w:link w:val="Header"/>
    <w:uiPriority w:val="99"/>
    <w:rsid w:val="004F3747"/>
    <w:rPr>
      <w:rFonts w:eastAsiaTheme="minorHAnsi" w:cstheme="minorBidi"/>
      <w:sz w:val="24"/>
      <w:szCs w:val="22"/>
      <w:lang w:val="en-US" w:eastAsia="en-US" w:bidi="en-US"/>
    </w:rPr>
  </w:style>
  <w:style w:type="paragraph" w:styleId="Footer">
    <w:name w:val="footer"/>
    <w:basedOn w:val="Normal"/>
    <w:link w:val="FooterChar"/>
    <w:uiPriority w:val="99"/>
    <w:unhideWhenUsed/>
    <w:rsid w:val="004F3747"/>
    <w:pPr>
      <w:tabs>
        <w:tab w:val="center" w:pos="4680"/>
        <w:tab w:val="right" w:pos="9360"/>
      </w:tabs>
    </w:pPr>
  </w:style>
  <w:style w:type="character" w:customStyle="1" w:styleId="FooterChar">
    <w:name w:val="Footer Char"/>
    <w:basedOn w:val="DefaultParagraphFont"/>
    <w:link w:val="Footer"/>
    <w:uiPriority w:val="99"/>
    <w:rsid w:val="004F3747"/>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4F3747"/>
    <w:pPr>
      <w:spacing w:after="480"/>
      <w:jc w:val="both"/>
    </w:pPr>
  </w:style>
  <w:style w:type="character" w:customStyle="1" w:styleId="SCCLsocPartyChar">
    <w:name w:val="SCC.Lsoc.Party Char"/>
    <w:basedOn w:val="DefaultParagraphFont"/>
    <w:link w:val="SCCLsocParty"/>
    <w:rsid w:val="004F3747"/>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4F3747"/>
    <w:pPr>
      <w:spacing w:after="480"/>
    </w:pPr>
  </w:style>
  <w:style w:type="character" w:customStyle="1" w:styleId="SCCLsocVersusChar">
    <w:name w:val="SCC.Lsoc.Versus Char"/>
    <w:basedOn w:val="DefaultParagraphFont"/>
    <w:link w:val="SCCLsocVersus"/>
    <w:rsid w:val="004F3747"/>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4F3747"/>
    <w:pPr>
      <w:spacing w:after="480"/>
    </w:pPr>
  </w:style>
  <w:style w:type="character" w:customStyle="1" w:styleId="SCCLsocSubfileSeparatorChar">
    <w:name w:val="SCC.Lsoc.SubfileSeparator Char"/>
    <w:basedOn w:val="DefaultParagraphFont"/>
    <w:link w:val="SCCLsocSubfileSeparator"/>
    <w:rsid w:val="004F3747"/>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4F3747"/>
    <w:pPr>
      <w:spacing w:after="480"/>
    </w:pPr>
  </w:style>
  <w:style w:type="character" w:customStyle="1" w:styleId="SCCLsocOtherPartySeparatorChar">
    <w:name w:val="SCC.Lsoc.OtherPartySeparator Char"/>
    <w:basedOn w:val="DefaultParagraphFont"/>
    <w:link w:val="SCCLsocOtherPartySeparator"/>
    <w:rsid w:val="004F3747"/>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4F3747"/>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4F3747"/>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paragraph" w:customStyle="1" w:styleId="ParaNoNdepar-AltN">
    <w:name w:val="Para. No. / Nº de par. - Alt N"/>
    <w:qFormat/>
    <w:rsid w:val="004F3747"/>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4F374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F374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F374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F374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F374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F374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F3747"/>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F3747"/>
    <w:pPr>
      <w:spacing w:after="480"/>
    </w:pPr>
  </w:style>
  <w:style w:type="paragraph" w:customStyle="1" w:styleId="SCCCoram">
    <w:name w:val="SCC.Coram"/>
    <w:basedOn w:val="Normal"/>
    <w:next w:val="Normal"/>
    <w:link w:val="SCCCoramChar"/>
    <w:rsid w:val="004F3747"/>
    <w:pPr>
      <w:pBdr>
        <w:bottom w:val="single" w:sz="4" w:space="1" w:color="auto"/>
      </w:pBdr>
    </w:pPr>
  </w:style>
  <w:style w:type="character" w:customStyle="1" w:styleId="SCCCoramChar">
    <w:name w:val="SCC.Coram Char"/>
    <w:basedOn w:val="DefaultParagraphFont"/>
    <w:link w:val="SCCCoram"/>
    <w:rsid w:val="004F3747"/>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F3747"/>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F3747"/>
    <w:rPr>
      <w:rFonts w:eastAsiaTheme="minorEastAsia" w:cstheme="minorBidi"/>
      <w:b/>
      <w:sz w:val="24"/>
      <w:szCs w:val="24"/>
      <w:lang w:val="en-US" w:eastAsia="en-US" w:bidi="en-US"/>
    </w:rPr>
  </w:style>
  <w:style w:type="table" w:styleId="TableGrid">
    <w:name w:val="Table Grid"/>
    <w:basedOn w:val="TableNormal"/>
    <w:uiPriority w:val="59"/>
    <w:rsid w:val="004F374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4F3747"/>
    <w:pPr>
      <w:tabs>
        <w:tab w:val="left" w:pos="1260"/>
      </w:tabs>
      <w:spacing w:after="480" w:line="480" w:lineRule="auto"/>
    </w:pPr>
    <w:rPr>
      <w:smallCaps/>
      <w:sz w:val="24"/>
    </w:rPr>
  </w:style>
  <w:style w:type="paragraph" w:customStyle="1" w:styleId="Citation-AltC">
    <w:name w:val="Citation - Alt C"/>
    <w:uiPriority w:val="2"/>
    <w:qFormat/>
    <w:rsid w:val="004F3747"/>
    <w:pPr>
      <w:spacing w:after="720"/>
      <w:ind w:left="1166"/>
      <w:contextualSpacing/>
      <w:jc w:val="both"/>
    </w:pPr>
    <w:rPr>
      <w:sz w:val="24"/>
    </w:rPr>
  </w:style>
  <w:style w:type="character" w:styleId="CommentReference">
    <w:name w:val="annotation reference"/>
    <w:basedOn w:val="DefaultParagraphFont"/>
    <w:uiPriority w:val="99"/>
    <w:semiHidden/>
    <w:unhideWhenUsed/>
    <w:rsid w:val="004F3747"/>
    <w:rPr>
      <w:sz w:val="16"/>
      <w:szCs w:val="16"/>
    </w:rPr>
  </w:style>
  <w:style w:type="paragraph" w:styleId="CommentText">
    <w:name w:val="annotation text"/>
    <w:basedOn w:val="Normal"/>
    <w:link w:val="CommentTextChar"/>
    <w:uiPriority w:val="99"/>
    <w:semiHidden/>
    <w:unhideWhenUsed/>
    <w:rsid w:val="004F3747"/>
    <w:rPr>
      <w:sz w:val="20"/>
    </w:rPr>
  </w:style>
  <w:style w:type="character" w:customStyle="1" w:styleId="CommentTextChar">
    <w:name w:val="Comment Text Char"/>
    <w:basedOn w:val="DefaultParagraphFont"/>
    <w:link w:val="CommentText"/>
    <w:uiPriority w:val="99"/>
    <w:semiHidden/>
    <w:rsid w:val="004F374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F3747"/>
    <w:rPr>
      <w:b/>
      <w:bCs/>
    </w:rPr>
  </w:style>
  <w:style w:type="character" w:customStyle="1" w:styleId="CommentSubjectChar">
    <w:name w:val="Comment Subject Char"/>
    <w:basedOn w:val="CommentTextChar"/>
    <w:link w:val="CommentSubject"/>
    <w:uiPriority w:val="99"/>
    <w:semiHidden/>
    <w:rsid w:val="004F3747"/>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4F3747"/>
    <w:pPr>
      <w:spacing w:before="480" w:after="480" w:line="480" w:lineRule="auto"/>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4F3747"/>
    <w:rPr>
      <w:smallCaps/>
      <w:sz w:val="24"/>
    </w:rPr>
  </w:style>
  <w:style w:type="paragraph" w:customStyle="1" w:styleId="Title1LevelTitre1Niveau-AltL">
    <w:name w:val="Title 1 Level / Titre 1 Niveau - Alt L"/>
    <w:next w:val="ParaNoNdepar-AltN"/>
    <w:uiPriority w:val="4"/>
    <w:qFormat/>
    <w:rsid w:val="004F3747"/>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4F374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F3747"/>
    <w:pPr>
      <w:outlineLvl w:val="9"/>
    </w:pPr>
  </w:style>
  <w:style w:type="paragraph" w:styleId="Caption">
    <w:name w:val="caption"/>
    <w:basedOn w:val="Normal"/>
    <w:next w:val="Normal"/>
    <w:uiPriority w:val="35"/>
    <w:semiHidden/>
    <w:unhideWhenUsed/>
    <w:qFormat/>
    <w:rsid w:val="004F3747"/>
    <w:rPr>
      <w:b/>
      <w:bCs/>
      <w:color w:val="4F81BD" w:themeColor="accent1"/>
      <w:sz w:val="18"/>
      <w:szCs w:val="18"/>
    </w:rPr>
  </w:style>
  <w:style w:type="paragraph" w:styleId="Title">
    <w:name w:val="Title"/>
    <w:basedOn w:val="Normal"/>
    <w:next w:val="Normal"/>
    <w:link w:val="TitleChar"/>
    <w:uiPriority w:val="10"/>
    <w:rsid w:val="004F3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74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F374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F3747"/>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F3747"/>
    <w:rPr>
      <w:i/>
      <w:iCs/>
    </w:rPr>
  </w:style>
  <w:style w:type="paragraph" w:styleId="ListParagraph">
    <w:name w:val="List Paragraph"/>
    <w:basedOn w:val="Normal"/>
    <w:uiPriority w:val="34"/>
    <w:rsid w:val="004F3747"/>
    <w:pPr>
      <w:ind w:left="720"/>
      <w:contextualSpacing/>
    </w:pPr>
  </w:style>
  <w:style w:type="paragraph" w:styleId="IntenseQuote">
    <w:name w:val="Intense Quote"/>
    <w:basedOn w:val="Normal"/>
    <w:next w:val="Normal"/>
    <w:link w:val="IntenseQuoteChar"/>
    <w:uiPriority w:val="30"/>
    <w:rsid w:val="004F37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374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F3747"/>
    <w:rPr>
      <w:i/>
      <w:iCs/>
      <w:color w:val="808080" w:themeColor="text1" w:themeTint="7F"/>
    </w:rPr>
  </w:style>
  <w:style w:type="character" w:styleId="IntenseEmphasis">
    <w:name w:val="Intense Emphasis"/>
    <w:basedOn w:val="DefaultParagraphFont"/>
    <w:uiPriority w:val="21"/>
    <w:rsid w:val="004F3747"/>
    <w:rPr>
      <w:b/>
      <w:bCs/>
      <w:i/>
      <w:iCs/>
      <w:color w:val="4F81BD" w:themeColor="accent1"/>
    </w:rPr>
  </w:style>
  <w:style w:type="character" w:styleId="SubtleReference">
    <w:name w:val="Subtle Reference"/>
    <w:basedOn w:val="DefaultParagraphFont"/>
    <w:uiPriority w:val="31"/>
    <w:rsid w:val="004F3747"/>
    <w:rPr>
      <w:smallCaps/>
      <w:color w:val="C0504D" w:themeColor="accent2"/>
      <w:u w:val="single"/>
    </w:rPr>
  </w:style>
  <w:style w:type="character" w:styleId="IntenseReference">
    <w:name w:val="Intense Reference"/>
    <w:basedOn w:val="DefaultParagraphFont"/>
    <w:uiPriority w:val="32"/>
    <w:rsid w:val="004F3747"/>
    <w:rPr>
      <w:b/>
      <w:bCs/>
      <w:smallCaps/>
      <w:color w:val="C0504D" w:themeColor="accent2"/>
      <w:spacing w:val="5"/>
      <w:u w:val="single"/>
    </w:rPr>
  </w:style>
  <w:style w:type="character" w:styleId="BookTitle">
    <w:name w:val="Book Title"/>
    <w:basedOn w:val="DefaultParagraphFont"/>
    <w:uiPriority w:val="33"/>
    <w:rsid w:val="004F3747"/>
    <w:rPr>
      <w:b/>
      <w:bCs/>
      <w:smallCaps/>
      <w:spacing w:val="5"/>
    </w:rPr>
  </w:style>
  <w:style w:type="paragraph" w:styleId="Revision">
    <w:name w:val="Revision"/>
    <w:hidden/>
    <w:uiPriority w:val="99"/>
    <w:semiHidden/>
    <w:rsid w:val="004F3747"/>
    <w:rPr>
      <w:rFonts w:eastAsiaTheme="minorHAnsi" w:cstheme="minorBidi"/>
      <w:sz w:val="24"/>
      <w:szCs w:val="22"/>
      <w:lang w:val="en-US" w:eastAsia="en-US" w:bidi="en-US"/>
    </w:rPr>
  </w:style>
  <w:style w:type="character" w:styleId="Hyperlink">
    <w:name w:val="Hyperlink"/>
    <w:basedOn w:val="DefaultParagraphFont"/>
    <w:uiPriority w:val="99"/>
    <w:unhideWhenUsed/>
    <w:rsid w:val="004F3747"/>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4F374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F3747"/>
    <w:pPr>
      <w:numPr>
        <w:ilvl w:val="2"/>
      </w:numPr>
      <w:outlineLvl w:val="2"/>
    </w:pPr>
  </w:style>
  <w:style w:type="paragraph" w:customStyle="1" w:styleId="Title4LevelTitre4Niveau">
    <w:name w:val="Title 4 Level / Titre 4 Niveau"/>
    <w:basedOn w:val="Title3LevelTitre3Niveau"/>
    <w:next w:val="ParaNoNdepar-AltN"/>
    <w:uiPriority w:val="4"/>
    <w:qFormat/>
    <w:rsid w:val="004F3747"/>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4F3747"/>
    <w:pPr>
      <w:numPr>
        <w:ilvl w:val="4"/>
      </w:numPr>
      <w:tabs>
        <w:tab w:val="clear" w:pos="1728"/>
        <w:tab w:val="num" w:pos="1440"/>
      </w:tabs>
      <w:outlineLvl w:val="4"/>
    </w:pPr>
  </w:style>
  <w:style w:type="paragraph" w:customStyle="1" w:styleId="TitleTitre-AltT">
    <w:name w:val="Title / Titre - Alt T"/>
    <w:next w:val="ParaNoNdepar-AltN"/>
    <w:uiPriority w:val="3"/>
    <w:qFormat/>
    <w:rsid w:val="004F3747"/>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4F3747"/>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4F3747"/>
  </w:style>
  <w:style w:type="paragraph" w:customStyle="1" w:styleId="Title6LevelTitre6Niveau">
    <w:name w:val="Title 6 Level / Titre 6 Niveau"/>
    <w:basedOn w:val="Title5LevelTitre5Niveau"/>
    <w:next w:val="ParaNoNdepar-AltN"/>
    <w:uiPriority w:val="4"/>
    <w:qFormat/>
    <w:rsid w:val="004F3747"/>
    <w:pPr>
      <w:numPr>
        <w:ilvl w:val="5"/>
      </w:numPr>
      <w:jc w:val="both"/>
      <w:outlineLvl w:val="5"/>
    </w:pPr>
    <w:rPr>
      <w:i/>
      <w:u w:val="none"/>
    </w:rPr>
  </w:style>
  <w:style w:type="character" w:styleId="FootnoteReference">
    <w:name w:val="footnote reference"/>
    <w:basedOn w:val="DefaultParagraphFont"/>
    <w:uiPriority w:val="99"/>
    <w:semiHidden/>
    <w:unhideWhenUsed/>
    <w:rsid w:val="00E130AF"/>
    <w:rPr>
      <w:vertAlign w:val="superscript"/>
    </w:rPr>
  </w:style>
  <w:style w:type="table" w:customStyle="1" w:styleId="TableGrid1">
    <w:name w:val="Table Grid1"/>
    <w:basedOn w:val="TableNormal"/>
    <w:next w:val="TableGrid"/>
    <w:uiPriority w:val="59"/>
    <w:rsid w:val="00E130A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41EF5"/>
    <w:rPr>
      <w:lang w:val="en-CA"/>
    </w:rPr>
  </w:style>
  <w:style w:type="paragraph" w:customStyle="1" w:styleId="SCCLsocPrefix">
    <w:name w:val="SCC.Lsoc.Prefix"/>
    <w:basedOn w:val="Normal"/>
    <w:next w:val="Normal"/>
    <w:link w:val="SCCLsocPrefixChar"/>
    <w:rsid w:val="00F41EF5"/>
    <w:rPr>
      <w:b/>
      <w:smallCaps/>
      <w:szCs w:val="24"/>
      <w:lang w:val="en-CA" w:bidi="ar-SA"/>
    </w:rPr>
  </w:style>
  <w:style w:type="character" w:customStyle="1" w:styleId="SCCLsocPrefixChar">
    <w:name w:val="SCC.Lsoc.Prefix Char"/>
    <w:basedOn w:val="DefaultParagraphFont"/>
    <w:link w:val="SCCLsocPrefix"/>
    <w:rsid w:val="00F41EF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10698</Words>
  <Characters>53400</Characters>
  <Application>Microsoft Office Word</Application>
  <DocSecurity>0</DocSecurity>
  <Lines>445</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2018-03-08T16:49:00Z</dcterms:created>
  <dcterms:modified xsi:type="dcterms:W3CDTF">2019-03-25T18:51:00Z</dcterms:modified>
</cp:coreProperties>
</file>