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5F" w:rsidRDefault="0023495F" w:rsidP="009632D6">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3.9pt" o:ole="">
            <v:imagedata r:id="rId8" o:title=""/>
          </v:shape>
          <o:OLEObject Type="Embed" ProgID="Presentations.Drawing.13" ShapeID="_x0000_i1025" DrawAspect="Content" ObjectID="_1615031959" r:id="rId9"/>
        </w:object>
      </w:r>
      <w:bookmarkEnd w:id="0"/>
      <w:r>
        <w:t xml:space="preserve"> </w:t>
      </w:r>
      <w:r>
        <w:ptab w:relativeTo="margin" w:alignment="right" w:leader="none"/>
      </w:r>
    </w:p>
    <w:p w:rsidR="0023495F" w:rsidRDefault="0023495F" w:rsidP="0023495F">
      <w:pPr>
        <w:pStyle w:val="Header"/>
      </w:pPr>
    </w:p>
    <w:p w:rsidR="0023495F" w:rsidRPr="006B210C" w:rsidRDefault="0023495F" w:rsidP="0023495F">
      <w:pPr>
        <w:jc w:val="center"/>
        <w:rPr>
          <w:b/>
        </w:rPr>
      </w:pPr>
      <w:r w:rsidRPr="006B210C">
        <w:rPr>
          <w:b/>
        </w:rPr>
        <w:t>SUPREME COURT OF CANADA</w:t>
      </w:r>
    </w:p>
    <w:p w:rsidR="0023495F" w:rsidRDefault="0023495F" w:rsidP="0023495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3726"/>
      </w:tblGrid>
      <w:tr w:rsidR="0023495F" w:rsidRPr="006B210C" w:rsidTr="002B6BB0">
        <w:trPr>
          <w:cantSplit/>
        </w:trPr>
        <w:tc>
          <w:tcPr>
            <w:tcW w:w="5850" w:type="dxa"/>
          </w:tcPr>
          <w:p w:rsidR="0023495F" w:rsidRPr="006B210C" w:rsidRDefault="0023495F" w:rsidP="002B6BB0">
            <w:r w:rsidRPr="006B210C">
              <w:rPr>
                <w:b/>
                <w:smallCaps/>
              </w:rPr>
              <w:t>Citation</w:t>
            </w:r>
            <w:r>
              <w:rPr>
                <w:b/>
                <w:smallCaps/>
              </w:rPr>
              <w:t>:</w:t>
            </w:r>
            <w:r w:rsidRPr="006B210C">
              <w:t xml:space="preserve"> </w:t>
            </w:r>
            <w:r>
              <w:t xml:space="preserve">Canada (Canadian Human Rights Commission) </w:t>
            </w:r>
            <w:r w:rsidRPr="00F819CA">
              <w:rPr>
                <w:i/>
              </w:rPr>
              <w:t>v.</w:t>
            </w:r>
            <w:r>
              <w:t xml:space="preserve"> Canada (Attorney General), 2018 SCC </w:t>
            </w:r>
            <w:r w:rsidRPr="00627920">
              <w:t>31</w:t>
            </w:r>
            <w:r>
              <w:t>, [2018] 2 S.C.R. 230</w:t>
            </w:r>
          </w:p>
        </w:tc>
        <w:tc>
          <w:tcPr>
            <w:tcW w:w="3726" w:type="dxa"/>
          </w:tcPr>
          <w:p w:rsidR="0023495F" w:rsidRDefault="0023495F" w:rsidP="002B6BB0">
            <w:pPr>
              <w:rPr>
                <w:b/>
                <w:smallCaps/>
              </w:rPr>
            </w:pPr>
            <w:r>
              <w:rPr>
                <w:b/>
                <w:smallCaps/>
              </w:rPr>
              <w:t xml:space="preserve">Appeal Heard: </w:t>
            </w:r>
            <w:r w:rsidRPr="00F819CA">
              <w:t>November 28, 2017</w:t>
            </w:r>
          </w:p>
          <w:p w:rsidR="0023495F" w:rsidRPr="006B210C" w:rsidRDefault="0023495F" w:rsidP="002B6BB0">
            <w:r>
              <w:rPr>
                <w:b/>
                <w:smallCaps/>
              </w:rPr>
              <w:t xml:space="preserve">Judgment Rendered: </w:t>
            </w:r>
            <w:r>
              <w:t>June 14, 2018</w:t>
            </w:r>
          </w:p>
          <w:p w:rsidR="0023495F" w:rsidRPr="006B210C" w:rsidRDefault="0023495F" w:rsidP="002B6BB0">
            <w:r w:rsidRPr="006B210C">
              <w:rPr>
                <w:b/>
                <w:smallCaps/>
              </w:rPr>
              <w:t>Docket</w:t>
            </w:r>
            <w:r>
              <w:rPr>
                <w:b/>
                <w:smallCaps/>
              </w:rPr>
              <w:t>:</w:t>
            </w:r>
            <w:r w:rsidRPr="006B210C">
              <w:t xml:space="preserve"> </w:t>
            </w:r>
            <w:r>
              <w:t>37208</w:t>
            </w:r>
          </w:p>
        </w:tc>
      </w:tr>
    </w:tbl>
    <w:p w:rsidR="0023495F" w:rsidRPr="006B210C" w:rsidRDefault="0023495F" w:rsidP="0023495F"/>
    <w:p w:rsidR="0023495F" w:rsidRDefault="0023495F" w:rsidP="0023495F">
      <w:pPr>
        <w:pStyle w:val="SCCLsocPrefix"/>
      </w:pPr>
      <w:r>
        <w:t>Between:</w:t>
      </w:r>
    </w:p>
    <w:p w:rsidR="0023495F" w:rsidRDefault="0023495F" w:rsidP="0023495F">
      <w:pPr>
        <w:pStyle w:val="SCCLsocParty"/>
        <w:jc w:val="center"/>
      </w:pPr>
      <w:r>
        <w:t>Canadian Human Rights Commission</w:t>
      </w:r>
    </w:p>
    <w:p w:rsidR="0023495F" w:rsidRDefault="0023495F" w:rsidP="0023495F">
      <w:pPr>
        <w:jc w:val="center"/>
      </w:pPr>
      <w:r>
        <w:t>Appellant</w:t>
      </w:r>
    </w:p>
    <w:p w:rsidR="0023495F" w:rsidRDefault="0023495F" w:rsidP="0023495F">
      <w:pPr>
        <w:pStyle w:val="SCCLsocVersus"/>
        <w:spacing w:after="0"/>
        <w:jc w:val="center"/>
      </w:pPr>
    </w:p>
    <w:p w:rsidR="0023495F" w:rsidRDefault="0023495F" w:rsidP="0023495F">
      <w:pPr>
        <w:jc w:val="center"/>
      </w:pPr>
      <w:proofErr w:type="gramStart"/>
      <w:r>
        <w:t>and</w:t>
      </w:r>
      <w:proofErr w:type="gramEnd"/>
    </w:p>
    <w:p w:rsidR="0023495F" w:rsidRPr="00F819CA" w:rsidRDefault="0023495F" w:rsidP="0023495F">
      <w:pPr>
        <w:jc w:val="center"/>
      </w:pPr>
    </w:p>
    <w:p w:rsidR="0023495F" w:rsidRDefault="0023495F" w:rsidP="0023495F">
      <w:pPr>
        <w:pStyle w:val="SCCLsocParty"/>
        <w:jc w:val="center"/>
      </w:pPr>
      <w:r>
        <w:t>Attorney General of Canada</w:t>
      </w:r>
    </w:p>
    <w:p w:rsidR="0023495F" w:rsidRDefault="0023495F" w:rsidP="0023495F">
      <w:pPr>
        <w:jc w:val="center"/>
      </w:pPr>
      <w:r>
        <w:t>Respondent</w:t>
      </w:r>
    </w:p>
    <w:p w:rsidR="0023495F" w:rsidRPr="00F819CA" w:rsidRDefault="0023495F" w:rsidP="0023495F">
      <w:pPr>
        <w:jc w:val="center"/>
      </w:pPr>
    </w:p>
    <w:p w:rsidR="0023495F" w:rsidRDefault="0023495F" w:rsidP="0023495F">
      <w:pPr>
        <w:pStyle w:val="SCCLsocOtherPartySeparator"/>
        <w:spacing w:after="0"/>
        <w:jc w:val="center"/>
      </w:pPr>
      <w:r>
        <w:t xml:space="preserve">- </w:t>
      </w:r>
      <w:proofErr w:type="gramStart"/>
      <w:r>
        <w:t>and</w:t>
      </w:r>
      <w:proofErr w:type="gramEnd"/>
      <w:r>
        <w:t xml:space="preserve"> -</w:t>
      </w:r>
    </w:p>
    <w:p w:rsidR="0023495F" w:rsidRDefault="0023495F" w:rsidP="0023495F">
      <w:pPr>
        <w:pStyle w:val="SCCLsocParty"/>
        <w:jc w:val="center"/>
      </w:pPr>
    </w:p>
    <w:p w:rsidR="0023495F" w:rsidRDefault="0023495F" w:rsidP="0023495F">
      <w:pPr>
        <w:pStyle w:val="SCCLsocParty"/>
        <w:jc w:val="center"/>
      </w:pPr>
      <w:r>
        <w:t xml:space="preserve">Attorney General of Quebec, Tania </w:t>
      </w:r>
      <w:proofErr w:type="spellStart"/>
      <w:r>
        <w:t>Zulkoskey</w:t>
      </w:r>
      <w:proofErr w:type="spellEnd"/>
      <w:r>
        <w:t xml:space="preserve">, Income Security Advocacy Centre, Sudbury Community Legal Clinic, Chinese and Southeast Asian Legal Clinic, Community Legal Assistance Society, HIV &amp; AIDS Legal Clinic Ontario, Canadian Muslim Lawyers Association, Council of Canadians with Disabilities, Women’s Legal Education and Action </w:t>
      </w:r>
      <w:r w:rsidRPr="00D05DE8">
        <w:t>Fund,</w:t>
      </w:r>
      <w:r>
        <w:t xml:space="preserve"> Native Women’s Association of Canada, Amnesty International, First Nations Child and Family Caring Society of Canada, Jeremy E. Matson, African Canadian Legal Clinic, Aboriginal Legal Services and Public Service Alliance of Canada</w:t>
      </w:r>
    </w:p>
    <w:p w:rsidR="0023495F" w:rsidRDefault="0023495F" w:rsidP="0023495F">
      <w:pPr>
        <w:jc w:val="center"/>
      </w:pPr>
      <w:r>
        <w:t>Interveners</w:t>
      </w:r>
    </w:p>
    <w:p w:rsidR="0023495F" w:rsidRDefault="0023495F" w:rsidP="0023495F">
      <w:pPr>
        <w:jc w:val="center"/>
      </w:pPr>
    </w:p>
    <w:p w:rsidR="0023495F" w:rsidRPr="006B210C" w:rsidRDefault="0023495F" w:rsidP="0023495F"/>
    <w:p w:rsidR="0023495F" w:rsidRPr="006B210C" w:rsidRDefault="0023495F" w:rsidP="0023495F">
      <w:r w:rsidRPr="006B210C">
        <w:rPr>
          <w:b/>
          <w:smallCaps/>
        </w:rPr>
        <w:t>Coram</w:t>
      </w:r>
      <w:r>
        <w:rPr>
          <w:b/>
          <w:smallCaps/>
        </w:rPr>
        <w:t>:</w:t>
      </w:r>
      <w:r w:rsidRPr="006B210C">
        <w:t xml:space="preserve"> </w:t>
      </w:r>
      <w:r>
        <w:t>McLachlin C.J. and Abella, Moldaver, Karakatsanis, Wagner, Gascon, Côté, Brown and Rowe JJ.</w:t>
      </w:r>
    </w:p>
    <w:p w:rsidR="0023495F" w:rsidRPr="006B210C" w:rsidRDefault="0023495F" w:rsidP="002349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3495F" w:rsidRPr="006B210C" w:rsidTr="002B6BB0">
        <w:trPr>
          <w:cantSplit/>
        </w:trPr>
        <w:tc>
          <w:tcPr>
            <w:tcW w:w="3618" w:type="dxa"/>
          </w:tcPr>
          <w:p w:rsidR="0023495F" w:rsidRDefault="0023495F" w:rsidP="002B6BB0">
            <w:r w:rsidRPr="006B210C">
              <w:rPr>
                <w:b/>
                <w:smallCaps/>
              </w:rPr>
              <w:t>Reasons for Judgment</w:t>
            </w:r>
            <w:r>
              <w:rPr>
                <w:b/>
                <w:smallCaps/>
              </w:rPr>
              <w:t>:</w:t>
            </w:r>
            <w:r>
              <w:t xml:space="preserve"> </w:t>
            </w:r>
          </w:p>
          <w:p w:rsidR="0023495F" w:rsidRDefault="0023495F" w:rsidP="002B6BB0">
            <w:r>
              <w:t xml:space="preserve">(paras. 1 </w:t>
            </w:r>
            <w:r w:rsidRPr="00346CD1">
              <w:t>to 68)</w:t>
            </w:r>
          </w:p>
          <w:p w:rsidR="0023495F" w:rsidRPr="006B210C" w:rsidRDefault="0023495F" w:rsidP="002B6BB0"/>
        </w:tc>
        <w:tc>
          <w:tcPr>
            <w:tcW w:w="5958" w:type="dxa"/>
          </w:tcPr>
          <w:p w:rsidR="0023495F" w:rsidRPr="006B210C" w:rsidRDefault="0023495F" w:rsidP="002B6BB0">
            <w:r>
              <w:t>Gascon J. (McLachlin C.J. and Abella, Moldaver, Karakatsanis and Wagner JJ. concurring)</w:t>
            </w:r>
          </w:p>
        </w:tc>
      </w:tr>
      <w:tr w:rsidR="0023495F" w:rsidRPr="006B210C" w:rsidTr="002B6BB0">
        <w:trPr>
          <w:cantSplit/>
        </w:trPr>
        <w:tc>
          <w:tcPr>
            <w:tcW w:w="3618" w:type="dxa"/>
          </w:tcPr>
          <w:p w:rsidR="0023495F" w:rsidRDefault="0023495F" w:rsidP="002B6BB0">
            <w:pPr>
              <w:rPr>
                <w:b/>
                <w:smallCaps/>
              </w:rPr>
            </w:pPr>
            <w:r w:rsidRPr="009F54D7">
              <w:rPr>
                <w:b/>
                <w:smallCaps/>
              </w:rPr>
              <w:t>Joint Concurring Reasons:</w:t>
            </w:r>
          </w:p>
          <w:p w:rsidR="0023495F" w:rsidRDefault="0023495F" w:rsidP="002B6BB0">
            <w:r>
              <w:t>(</w:t>
            </w:r>
            <w:r w:rsidRPr="00346CD1">
              <w:t>paras. 69 to 107)</w:t>
            </w:r>
          </w:p>
          <w:p w:rsidR="0023495F" w:rsidRPr="006B210C" w:rsidRDefault="0023495F" w:rsidP="002B6BB0">
            <w:pPr>
              <w:rPr>
                <w:b/>
                <w:smallCaps/>
              </w:rPr>
            </w:pPr>
          </w:p>
        </w:tc>
        <w:tc>
          <w:tcPr>
            <w:tcW w:w="5958" w:type="dxa"/>
          </w:tcPr>
          <w:p w:rsidR="0023495F" w:rsidRDefault="0023495F" w:rsidP="002B6BB0">
            <w:r>
              <w:t>Côté and Rowe JJ.</w:t>
            </w:r>
          </w:p>
        </w:tc>
      </w:tr>
      <w:tr w:rsidR="0023495F" w:rsidRPr="006B210C" w:rsidTr="002B6BB0">
        <w:trPr>
          <w:cantSplit/>
        </w:trPr>
        <w:tc>
          <w:tcPr>
            <w:tcW w:w="3618" w:type="dxa"/>
          </w:tcPr>
          <w:p w:rsidR="0023495F" w:rsidRDefault="0023495F" w:rsidP="002B6BB0">
            <w:pPr>
              <w:rPr>
                <w:b/>
                <w:smallCaps/>
              </w:rPr>
            </w:pPr>
            <w:r w:rsidRPr="009F54D7">
              <w:rPr>
                <w:b/>
                <w:smallCaps/>
              </w:rPr>
              <w:lastRenderedPageBreak/>
              <w:t>Concurring Reasons:</w:t>
            </w:r>
          </w:p>
          <w:p w:rsidR="0023495F" w:rsidRDefault="0023495F" w:rsidP="002B6BB0">
            <w:r>
              <w:t xml:space="preserve">(paras. </w:t>
            </w:r>
            <w:r w:rsidRPr="00346CD1">
              <w:t>108 to 115)</w:t>
            </w:r>
          </w:p>
          <w:p w:rsidR="0023495F" w:rsidRDefault="0023495F" w:rsidP="002B6BB0">
            <w:pPr>
              <w:rPr>
                <w:b/>
                <w:smallCaps/>
              </w:rPr>
            </w:pPr>
          </w:p>
        </w:tc>
        <w:tc>
          <w:tcPr>
            <w:tcW w:w="5958" w:type="dxa"/>
          </w:tcPr>
          <w:p w:rsidR="0023495F" w:rsidRDefault="0023495F" w:rsidP="002B6BB0">
            <w:r>
              <w:t>Brown J.</w:t>
            </w:r>
          </w:p>
        </w:tc>
      </w:tr>
    </w:tbl>
    <w:p w:rsidR="0023495F" w:rsidRPr="006B210C" w:rsidRDefault="0023495F" w:rsidP="0023495F">
      <w:r>
        <w:rPr>
          <w:noProof/>
          <w:lang w:val="en-US" w:eastAsia="en-US"/>
        </w:rPr>
        <mc:AlternateContent>
          <mc:Choice Requires="wps">
            <w:drawing>
              <wp:anchor distT="0" distB="0" distL="114300" distR="114300" simplePos="0" relativeHeight="251659264" behindDoc="0" locked="0" layoutInCell="1" allowOverlap="1" wp14:anchorId="768E4F0D" wp14:editId="4C7BACB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9AB6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3495F" w:rsidRDefault="0023495F" w:rsidP="00A77D6E">
      <w:pPr>
        <w:spacing w:after="720"/>
        <w:jc w:val="both"/>
      </w:pPr>
    </w:p>
    <w:p w:rsidR="008322BD" w:rsidRPr="00DB158C" w:rsidRDefault="00DB158C" w:rsidP="00A77D6E">
      <w:pPr>
        <w:spacing w:after="720"/>
        <w:jc w:val="both"/>
        <w:rPr>
          <w:b/>
        </w:rPr>
      </w:pPr>
      <w:r w:rsidRPr="00DB158C">
        <w:t>Canada (</w:t>
      </w:r>
      <w:r w:rsidRPr="00DB158C">
        <w:rPr>
          <w:rStyle w:val="SCCAppellantForIndexChar"/>
          <w:b w:val="0"/>
        </w:rPr>
        <w:t>Canadian Human Rights Commission)</w:t>
      </w:r>
      <w:r w:rsidRPr="00DB158C">
        <w:rPr>
          <w:b/>
        </w:rPr>
        <w:t xml:space="preserve"> </w:t>
      </w:r>
      <w:r w:rsidRPr="00DB158C">
        <w:rPr>
          <w:i/>
        </w:rPr>
        <w:t>v.</w:t>
      </w:r>
      <w:r w:rsidRPr="00DB158C">
        <w:t xml:space="preserve"> Canada (</w:t>
      </w:r>
      <w:r w:rsidRPr="00DB158C">
        <w:rPr>
          <w:rStyle w:val="SCCRespondentForIndexChar"/>
          <w:b w:val="0"/>
        </w:rPr>
        <w:t>Attorney General)</w:t>
      </w:r>
      <w:r>
        <w:rPr>
          <w:rStyle w:val="SCCRespondentForIndexChar"/>
          <w:b w:val="0"/>
        </w:rPr>
        <w:t xml:space="preserve">, </w:t>
      </w:r>
      <w:r w:rsidRPr="00B6032C">
        <w:t>2018 SCC 31</w:t>
      </w:r>
      <w:r>
        <w:t>, [2018] 2 S.C.R. 230</w:t>
      </w:r>
    </w:p>
    <w:p w:rsidR="00AB06F3" w:rsidRPr="00B6032C" w:rsidRDefault="003A5BBF">
      <w:pPr>
        <w:pStyle w:val="SCCLsocLastPartyInRole"/>
      </w:pPr>
      <w:r w:rsidRPr="00B6032C">
        <w:t>Canadian Human Rights Commission</w:t>
      </w:r>
      <w:r w:rsidRPr="00B6032C">
        <w:rPr>
          <w:rStyle w:val="SCCLsocPartyRole"/>
        </w:rPr>
        <w:tab/>
        <w:t>Appellant</w:t>
      </w:r>
    </w:p>
    <w:p w:rsidR="00AB06F3" w:rsidRPr="00B6032C" w:rsidRDefault="003A5BBF">
      <w:pPr>
        <w:pStyle w:val="SCCLsocVersus"/>
      </w:pPr>
      <w:proofErr w:type="gramStart"/>
      <w:r w:rsidRPr="00B6032C">
        <w:t>v</w:t>
      </w:r>
      <w:proofErr w:type="gramEnd"/>
      <w:r w:rsidRPr="00B6032C">
        <w:t>.</w:t>
      </w:r>
    </w:p>
    <w:p w:rsidR="00AB06F3" w:rsidRPr="00B6032C" w:rsidRDefault="003A5BBF">
      <w:pPr>
        <w:pStyle w:val="SCCLsocLastPartyInRole"/>
      </w:pPr>
      <w:r w:rsidRPr="00B6032C">
        <w:t>Attorney General of Canada</w:t>
      </w:r>
      <w:r w:rsidRPr="00B6032C">
        <w:rPr>
          <w:rStyle w:val="SCCLsocPartyRole"/>
        </w:rPr>
        <w:tab/>
        <w:t>Respondent</w:t>
      </w:r>
    </w:p>
    <w:p w:rsidR="00AB06F3" w:rsidRPr="00B6032C" w:rsidRDefault="003A5BBF">
      <w:pPr>
        <w:pStyle w:val="SCCLsocOtherPartySeparator"/>
      </w:pPr>
      <w:proofErr w:type="gramStart"/>
      <w:r w:rsidRPr="00B6032C">
        <w:t>and</w:t>
      </w:r>
      <w:proofErr w:type="gramEnd"/>
    </w:p>
    <w:p w:rsidR="00AB06F3" w:rsidRPr="00B6032C" w:rsidRDefault="003A5BBF">
      <w:pPr>
        <w:pStyle w:val="SCCLsocParty"/>
      </w:pPr>
      <w:r w:rsidRPr="00B6032C">
        <w:t>Attorney General of Quebec,</w:t>
      </w:r>
    </w:p>
    <w:p w:rsidR="00AB06F3" w:rsidRPr="00B6032C" w:rsidRDefault="003A5BBF">
      <w:pPr>
        <w:pStyle w:val="SCCLsocParty"/>
      </w:pPr>
      <w:r w:rsidRPr="00B6032C">
        <w:t>Tania Zulkoskey,</w:t>
      </w:r>
    </w:p>
    <w:p w:rsidR="00157C4B" w:rsidRPr="00B6032C" w:rsidRDefault="003A5BBF">
      <w:pPr>
        <w:pStyle w:val="SCCLsocParty"/>
      </w:pPr>
      <w:r w:rsidRPr="00B6032C">
        <w:t>Income Security Advocacy Centre,</w:t>
      </w:r>
    </w:p>
    <w:p w:rsidR="00157C4B" w:rsidRPr="00B6032C" w:rsidRDefault="003A5BBF">
      <w:pPr>
        <w:pStyle w:val="SCCLsocParty"/>
      </w:pPr>
      <w:r w:rsidRPr="00B6032C">
        <w:t>Sudbury Community Legal Clinic,</w:t>
      </w:r>
    </w:p>
    <w:p w:rsidR="00157C4B" w:rsidRPr="00B6032C" w:rsidRDefault="003A5BBF">
      <w:pPr>
        <w:pStyle w:val="SCCLsocParty"/>
      </w:pPr>
      <w:r w:rsidRPr="00B6032C">
        <w:t>Chinese and Southeast Asian Legal Clinic,</w:t>
      </w:r>
    </w:p>
    <w:p w:rsidR="00157C4B" w:rsidRPr="00B6032C" w:rsidRDefault="003A5BBF">
      <w:pPr>
        <w:pStyle w:val="SCCLsocParty"/>
      </w:pPr>
      <w:r w:rsidRPr="00B6032C">
        <w:t>Com</w:t>
      </w:r>
      <w:r w:rsidR="00FE3551" w:rsidRPr="00B6032C">
        <w:t>munity Legal Assistance Society,</w:t>
      </w:r>
    </w:p>
    <w:p w:rsidR="00AB06F3" w:rsidRPr="00B6032C" w:rsidRDefault="003A5BBF">
      <w:pPr>
        <w:pStyle w:val="SCCLsocParty"/>
      </w:pPr>
      <w:r w:rsidRPr="00B6032C">
        <w:t>HIV &amp; AIDS Legal Clinic Ontario,</w:t>
      </w:r>
    </w:p>
    <w:p w:rsidR="00AB06F3" w:rsidRPr="00B6032C" w:rsidRDefault="003A5BBF">
      <w:pPr>
        <w:pStyle w:val="SCCLsocParty"/>
      </w:pPr>
      <w:r w:rsidRPr="00B6032C">
        <w:t>Canadian Muslim Lawyers Association,</w:t>
      </w:r>
    </w:p>
    <w:p w:rsidR="00AB06F3" w:rsidRPr="00B6032C" w:rsidRDefault="003A5BBF">
      <w:pPr>
        <w:pStyle w:val="SCCLsocParty"/>
      </w:pPr>
      <w:r w:rsidRPr="00B6032C">
        <w:t>Council of Canadians with Disabilities,</w:t>
      </w:r>
    </w:p>
    <w:p w:rsidR="00157C4B" w:rsidRPr="00B6032C" w:rsidRDefault="003A5BBF">
      <w:pPr>
        <w:pStyle w:val="SCCLsocParty"/>
      </w:pPr>
      <w:r w:rsidRPr="00B6032C">
        <w:t>Women</w:t>
      </w:r>
      <w:r w:rsidR="00157C4B" w:rsidRPr="00B6032C">
        <w:t>’</w:t>
      </w:r>
      <w:r w:rsidRPr="00B6032C">
        <w:t>s Legal Education and Action Fund,</w:t>
      </w:r>
    </w:p>
    <w:p w:rsidR="00AB06F3" w:rsidRPr="00B6032C" w:rsidRDefault="003A5BBF">
      <w:pPr>
        <w:pStyle w:val="SCCLsocParty"/>
      </w:pPr>
      <w:r w:rsidRPr="00B6032C">
        <w:t>Native Women</w:t>
      </w:r>
      <w:r w:rsidR="00157C4B" w:rsidRPr="00B6032C">
        <w:t>’</w:t>
      </w:r>
      <w:r w:rsidRPr="00B6032C">
        <w:t>s Association of Canada,</w:t>
      </w:r>
    </w:p>
    <w:p w:rsidR="00AB06F3" w:rsidRPr="00B6032C" w:rsidRDefault="003A5BBF">
      <w:pPr>
        <w:pStyle w:val="SCCLsocParty"/>
      </w:pPr>
      <w:r w:rsidRPr="00B6032C">
        <w:t>Amnesty International,</w:t>
      </w:r>
    </w:p>
    <w:p w:rsidR="00AB06F3" w:rsidRPr="00B6032C" w:rsidRDefault="003A5BBF">
      <w:pPr>
        <w:pStyle w:val="SCCLsocParty"/>
      </w:pPr>
      <w:r w:rsidRPr="00B6032C">
        <w:t>First Nations Child and Family Caring Society of Canada,</w:t>
      </w:r>
    </w:p>
    <w:p w:rsidR="00AB06F3" w:rsidRPr="00B6032C" w:rsidRDefault="003A5BBF">
      <w:pPr>
        <w:pStyle w:val="SCCLsocParty"/>
      </w:pPr>
      <w:r w:rsidRPr="00B6032C">
        <w:t>Jeremy E.</w:t>
      </w:r>
      <w:r w:rsidR="00C60AE6" w:rsidRPr="00B6032C">
        <w:t> </w:t>
      </w:r>
      <w:r w:rsidRPr="00B6032C">
        <w:t>Matson,</w:t>
      </w:r>
    </w:p>
    <w:p w:rsidR="00AB06F3" w:rsidRPr="00B6032C" w:rsidRDefault="003A5BBF">
      <w:pPr>
        <w:pStyle w:val="SCCLsocParty"/>
      </w:pPr>
      <w:r w:rsidRPr="00B6032C">
        <w:t>African Canadian Legal Clinic,</w:t>
      </w:r>
    </w:p>
    <w:p w:rsidR="00AB06F3" w:rsidRPr="00B6032C" w:rsidRDefault="00157C4B">
      <w:pPr>
        <w:pStyle w:val="SCCLsocParty"/>
      </w:pPr>
      <w:r w:rsidRPr="00B6032C">
        <w:t>Aboriginal Legal Services and</w:t>
      </w:r>
    </w:p>
    <w:p w:rsidR="00AB06F3" w:rsidRPr="00B6032C" w:rsidRDefault="003A5BBF">
      <w:pPr>
        <w:pStyle w:val="SCCLsocLastPartyInRole"/>
      </w:pPr>
      <w:r w:rsidRPr="00B6032C">
        <w:t>Public Service Alliance of Canada</w:t>
      </w:r>
      <w:r w:rsidRPr="00B6032C">
        <w:rPr>
          <w:rStyle w:val="SCCLsocPartyRole"/>
        </w:rPr>
        <w:tab/>
        <w:t>Interveners</w:t>
      </w:r>
    </w:p>
    <w:p w:rsidR="00426659" w:rsidRPr="00B6032C" w:rsidRDefault="00426659" w:rsidP="00A77D6E">
      <w:pPr>
        <w:spacing w:after="720"/>
        <w:rPr>
          <w:b/>
        </w:rPr>
      </w:pPr>
      <w:r w:rsidRPr="00B6032C">
        <w:rPr>
          <w:b/>
        </w:rPr>
        <w:lastRenderedPageBreak/>
        <w:t>Indexed as:</w:t>
      </w:r>
      <w:r w:rsidR="00002418" w:rsidRPr="00B6032C">
        <w:rPr>
          <w:b/>
        </w:rPr>
        <w:t> </w:t>
      </w:r>
      <w:r w:rsidR="007616A5" w:rsidRPr="00B6032C">
        <w:rPr>
          <w:b/>
        </w:rPr>
        <w:t>Canada (</w:t>
      </w:r>
      <w:r w:rsidR="002A7F59" w:rsidRPr="00B6032C">
        <w:rPr>
          <w:rStyle w:val="SCCAppellantForIndexChar"/>
        </w:rPr>
        <w:t>Canadian Human Rights Commission</w:t>
      </w:r>
      <w:r w:rsidR="007616A5" w:rsidRPr="00B6032C">
        <w:rPr>
          <w:rStyle w:val="SCCAppellantForIndexChar"/>
        </w:rPr>
        <w:t>)</w:t>
      </w:r>
      <w:r w:rsidRPr="00B6032C">
        <w:rPr>
          <w:b/>
        </w:rPr>
        <w:t xml:space="preserve"> </w:t>
      </w:r>
      <w:r w:rsidRPr="00B6032C">
        <w:rPr>
          <w:b/>
          <w:i/>
        </w:rPr>
        <w:t>v.</w:t>
      </w:r>
      <w:r w:rsidRPr="00B6032C">
        <w:rPr>
          <w:b/>
        </w:rPr>
        <w:t xml:space="preserve"> </w:t>
      </w:r>
      <w:r w:rsidR="002A7F59" w:rsidRPr="00B6032C">
        <w:rPr>
          <w:b/>
        </w:rPr>
        <w:t>Canada (</w:t>
      </w:r>
      <w:r w:rsidR="002A7F59" w:rsidRPr="00B6032C">
        <w:rPr>
          <w:rStyle w:val="SCCRespondentForIndexChar"/>
        </w:rPr>
        <w:t>Attorney General)</w:t>
      </w:r>
    </w:p>
    <w:p w:rsidR="00426659" w:rsidRPr="00B6032C" w:rsidRDefault="00AE4535" w:rsidP="00A77D6E">
      <w:pPr>
        <w:pStyle w:val="SCCSystemYear"/>
        <w:spacing w:after="720"/>
        <w:jc w:val="both"/>
      </w:pPr>
      <w:r w:rsidRPr="00B6032C">
        <w:t>2018</w:t>
      </w:r>
      <w:r w:rsidR="003D0399" w:rsidRPr="00B6032C">
        <w:t xml:space="preserve"> </w:t>
      </w:r>
      <w:r w:rsidR="00426659" w:rsidRPr="00B6032C">
        <w:t>SCC </w:t>
      </w:r>
      <w:r w:rsidR="008B7A97" w:rsidRPr="00B6032C">
        <w:t>31</w:t>
      </w:r>
    </w:p>
    <w:p w:rsidR="008322BD" w:rsidRPr="00B6032C" w:rsidRDefault="00002418" w:rsidP="00A77D6E">
      <w:pPr>
        <w:spacing w:after="720"/>
        <w:jc w:val="both"/>
      </w:pPr>
      <w:r w:rsidRPr="00B6032C">
        <w:t>File No.: </w:t>
      </w:r>
      <w:r w:rsidR="009B57B3" w:rsidRPr="00B6032C">
        <w:t>37208.</w:t>
      </w:r>
    </w:p>
    <w:p w:rsidR="008322BD" w:rsidRPr="00B6032C" w:rsidRDefault="00A77D6E" w:rsidP="00A77D6E">
      <w:pPr>
        <w:spacing w:after="720"/>
        <w:jc w:val="both"/>
      </w:pPr>
      <w:r w:rsidRPr="00B6032C">
        <w:t>2017: November </w:t>
      </w:r>
      <w:r w:rsidR="00AE4535" w:rsidRPr="00B6032C">
        <w:t>28</w:t>
      </w:r>
      <w:r w:rsidR="009B57B3" w:rsidRPr="00B6032C">
        <w:t xml:space="preserve">; </w:t>
      </w:r>
      <w:r w:rsidRPr="00B6032C">
        <w:t>2018: June </w:t>
      </w:r>
      <w:r w:rsidR="002C5470" w:rsidRPr="00B6032C">
        <w:t>14</w:t>
      </w:r>
      <w:r w:rsidR="009B57B3" w:rsidRPr="00B6032C">
        <w:t>.</w:t>
      </w:r>
    </w:p>
    <w:p w:rsidR="008322BD" w:rsidRPr="00B6032C" w:rsidRDefault="007616A5" w:rsidP="00A77D6E">
      <w:pPr>
        <w:spacing w:after="720"/>
      </w:pPr>
      <w:r w:rsidRPr="00B6032C">
        <w:t xml:space="preserve">Present: </w:t>
      </w:r>
      <w:r w:rsidR="009B57B3" w:rsidRPr="00B6032C">
        <w:t>McLachlin C.J. and Abella, Moldaver, Karakatsanis, Wagner, Gascon, Côté, Brown and Rowe JJ.</w:t>
      </w:r>
    </w:p>
    <w:p w:rsidR="008322BD" w:rsidRPr="00B6032C" w:rsidRDefault="00656313" w:rsidP="00A77D6E">
      <w:pPr>
        <w:pStyle w:val="SCCLowerCourtNameLowercase"/>
        <w:spacing w:after="720" w:line="240" w:lineRule="auto"/>
      </w:pPr>
      <w:r w:rsidRPr="00B6032C">
        <w:t>o</w:t>
      </w:r>
      <w:r w:rsidR="00170592" w:rsidRPr="00B6032C">
        <w:t>n</w:t>
      </w:r>
      <w:r w:rsidR="00224FC0" w:rsidRPr="00B6032C">
        <w:t xml:space="preserve"> </w:t>
      </w:r>
      <w:r w:rsidRPr="00B6032C">
        <w:t>a</w:t>
      </w:r>
      <w:r w:rsidR="00170592" w:rsidRPr="00B6032C">
        <w:t>ppeal</w:t>
      </w:r>
      <w:r w:rsidR="00224FC0" w:rsidRPr="00B6032C">
        <w:t xml:space="preserve"> </w:t>
      </w:r>
      <w:r w:rsidR="00170592" w:rsidRPr="00B6032C">
        <w:t>from</w:t>
      </w:r>
      <w:r w:rsidR="009567AA" w:rsidRPr="00B6032C">
        <w:t xml:space="preserve"> the</w:t>
      </w:r>
      <w:r w:rsidR="00224FC0" w:rsidRPr="00B6032C">
        <w:t xml:space="preserve"> </w:t>
      </w:r>
      <w:r w:rsidR="009B57B3" w:rsidRPr="00B6032C">
        <w:t>federal court of appeal</w:t>
      </w:r>
    </w:p>
    <w:p w:rsidR="003D3682" w:rsidRPr="00B6032C" w:rsidRDefault="003D3682" w:rsidP="00DB6727">
      <w:pPr>
        <w:pStyle w:val="SCCNormalDoubleSpacing"/>
        <w:spacing w:before="480" w:after="480"/>
        <w:rPr>
          <w:i/>
        </w:rPr>
      </w:pPr>
      <w:r w:rsidRPr="00B6032C">
        <w:tab/>
      </w:r>
      <w:r w:rsidRPr="00B6032C">
        <w:rPr>
          <w:i/>
        </w:rPr>
        <w:t xml:space="preserve">Administrative law — Judicial review — Standard of review — Canadian Human Rights Tribunal dismissing complaints alleging that provisions of Indian Act precluding registration of complainants’ children as </w:t>
      </w:r>
      <w:r w:rsidR="008A1D8B" w:rsidRPr="00B6032C">
        <w:rPr>
          <w:i/>
        </w:rPr>
        <w:t>“</w:t>
      </w:r>
      <w:r w:rsidRPr="00B6032C">
        <w:rPr>
          <w:i/>
        </w:rPr>
        <w:t>Indians</w:t>
      </w:r>
      <w:r w:rsidR="008A1D8B" w:rsidRPr="00B6032C">
        <w:rPr>
          <w:i/>
        </w:rPr>
        <w:t>”</w:t>
      </w:r>
      <w:r w:rsidRPr="00B6032C">
        <w:rPr>
          <w:i/>
        </w:rPr>
        <w:t xml:space="preserve"> constituted discriminatory provision of services — Tribunal finding that complaints </w:t>
      </w:r>
      <w:r w:rsidR="00002418" w:rsidRPr="00B6032C">
        <w:rPr>
          <w:i/>
        </w:rPr>
        <w:t>involved direct challenge to s. </w:t>
      </w:r>
      <w:r w:rsidRPr="00B6032C">
        <w:rPr>
          <w:i/>
        </w:rPr>
        <w:t>6 of Indian Act and that legislation not included in the</w:t>
      </w:r>
      <w:r w:rsidR="00002418" w:rsidRPr="00B6032C">
        <w:rPr>
          <w:i/>
        </w:rPr>
        <w:t xml:space="preserve"> meaning of “services” under s. </w:t>
      </w:r>
      <w:r w:rsidRPr="00B6032C">
        <w:rPr>
          <w:i/>
        </w:rPr>
        <w:t>5 of Canadian Human Rights Act — Whether Tribunal’s decisions reviewable on standard of reasonableness or correctness.</w:t>
      </w:r>
    </w:p>
    <w:p w:rsidR="003D3682" w:rsidRPr="00B6032C" w:rsidRDefault="003D3682" w:rsidP="00DB6727">
      <w:pPr>
        <w:pStyle w:val="SCCNormalDoubleSpacing"/>
        <w:spacing w:before="480" w:after="480"/>
        <w:rPr>
          <w:i/>
        </w:rPr>
      </w:pPr>
      <w:r w:rsidRPr="00B6032C">
        <w:tab/>
      </w:r>
      <w:r w:rsidRPr="00B6032C">
        <w:rPr>
          <w:i/>
        </w:rPr>
        <w:t>Human rights — Discriminatory pr</w:t>
      </w:r>
      <w:r w:rsidR="00F570D4" w:rsidRPr="00B6032C">
        <w:rPr>
          <w:i/>
        </w:rPr>
        <w:t>actices — Provision of services</w:t>
      </w:r>
      <w:r w:rsidRPr="00B6032C">
        <w:rPr>
          <w:i/>
        </w:rPr>
        <w:t xml:space="preserve"> </w:t>
      </w:r>
      <w:r w:rsidR="002413E5" w:rsidRPr="00B6032C">
        <w:rPr>
          <w:i/>
        </w:rPr>
        <w:t xml:space="preserve">— </w:t>
      </w:r>
      <w:r w:rsidRPr="00B6032C">
        <w:rPr>
          <w:i/>
        </w:rPr>
        <w:t xml:space="preserve">Indians </w:t>
      </w:r>
      <w:r w:rsidR="002413E5" w:rsidRPr="00B6032C">
        <w:rPr>
          <w:i/>
        </w:rPr>
        <w:t xml:space="preserve">— </w:t>
      </w:r>
      <w:r w:rsidRPr="00B6032C">
        <w:rPr>
          <w:i/>
        </w:rPr>
        <w:t xml:space="preserve">Status eligibility — Registration — Human rights complaints alleging that provisions of Indian Act precluding registration of complainants’ children as </w:t>
      </w:r>
      <w:r w:rsidR="009F6ED5" w:rsidRPr="00B6032C">
        <w:rPr>
          <w:i/>
        </w:rPr>
        <w:lastRenderedPageBreak/>
        <w:t>“</w:t>
      </w:r>
      <w:r w:rsidRPr="00B6032C">
        <w:rPr>
          <w:i/>
        </w:rPr>
        <w:t>Indians</w:t>
      </w:r>
      <w:r w:rsidR="009F6ED5" w:rsidRPr="00B6032C">
        <w:rPr>
          <w:i/>
        </w:rPr>
        <w:t>”</w:t>
      </w:r>
      <w:r w:rsidRPr="00B6032C">
        <w:rPr>
          <w:i/>
        </w:rPr>
        <w:t xml:space="preserve"> discriminated in provision of services customarily available to general public on grounds of race, national or ethnic origin, sex or family status —</w:t>
      </w:r>
      <w:r w:rsidR="00824262" w:rsidRPr="00B6032C">
        <w:rPr>
          <w:i/>
        </w:rPr>
        <w:t xml:space="preserve"> </w:t>
      </w:r>
      <w:r w:rsidRPr="00B6032C">
        <w:rPr>
          <w:i/>
        </w:rPr>
        <w:t>Whether complaints constituted direct attack on legislation or whether they concerned discrimination in provision of service —</w:t>
      </w:r>
      <w:r w:rsidR="00824262" w:rsidRPr="00B6032C">
        <w:rPr>
          <w:i/>
        </w:rPr>
        <w:t xml:space="preserve"> </w:t>
      </w:r>
      <w:r w:rsidR="00002418" w:rsidRPr="00B6032C">
        <w:rPr>
          <w:i/>
        </w:rPr>
        <w:t>Meaning of “services” under s. </w:t>
      </w:r>
      <w:r w:rsidRPr="00B6032C">
        <w:rPr>
          <w:i/>
        </w:rPr>
        <w:t>5 of Canadian Human Rights Act,</w:t>
      </w:r>
      <w:r w:rsidR="00002418" w:rsidRPr="00B6032C">
        <w:rPr>
          <w:i/>
        </w:rPr>
        <w:t xml:space="preserve"> R.S.C. 1985, c. H-6</w:t>
      </w:r>
      <w:r w:rsidRPr="00B6032C">
        <w:rPr>
          <w:i/>
        </w:rPr>
        <w:t>.</w:t>
      </w:r>
    </w:p>
    <w:p w:rsidR="006D241F" w:rsidRDefault="003D3682" w:rsidP="00DB6727">
      <w:pPr>
        <w:pStyle w:val="SCCNormalDoubleSpacing"/>
        <w:spacing w:before="480" w:after="480"/>
      </w:pPr>
      <w:r w:rsidRPr="00B6032C">
        <w:tab/>
      </w:r>
      <w:r w:rsidRPr="00B6032C">
        <w:rPr>
          <w:szCs w:val="24"/>
        </w:rPr>
        <w:t xml:space="preserve">This appeal concerns several complaints alleging that </w:t>
      </w:r>
      <w:r w:rsidRPr="00B6032C">
        <w:t>Indian and Northern Affairs Canada engaged in a discriminatory practice in the provi</w:t>
      </w:r>
      <w:r w:rsidR="00002418" w:rsidRPr="00B6032C">
        <w:t>sion of services contrary to s. </w:t>
      </w:r>
      <w:r w:rsidRPr="00B6032C">
        <w:t xml:space="preserve">5 of the </w:t>
      </w:r>
      <w:r w:rsidRPr="00B6032C">
        <w:rPr>
          <w:i/>
        </w:rPr>
        <w:t xml:space="preserve">Canadian Human Rights Act </w:t>
      </w:r>
      <w:r w:rsidR="00824262" w:rsidRPr="00B6032C">
        <w:t>(</w:t>
      </w:r>
      <w:r w:rsidRPr="00B6032C">
        <w:t>“</w:t>
      </w:r>
      <w:r w:rsidRPr="00B6032C">
        <w:rPr>
          <w:i/>
        </w:rPr>
        <w:t>CHRA</w:t>
      </w:r>
      <w:r w:rsidRPr="00B6032C">
        <w:t>”</w:t>
      </w:r>
      <w:r w:rsidR="00824262" w:rsidRPr="00B6032C">
        <w:t>)</w:t>
      </w:r>
      <w:r w:rsidRPr="00B6032C">
        <w:t xml:space="preserve"> when it denied a form of registration </w:t>
      </w:r>
      <w:r w:rsidR="006D241F">
        <w:t xml:space="preserve">under the </w:t>
      </w:r>
      <w:r w:rsidR="006D241F" w:rsidRPr="006D241F">
        <w:rPr>
          <w:i/>
        </w:rPr>
        <w:t>Indian Act</w:t>
      </w:r>
      <w:r w:rsidR="006D241F">
        <w:t xml:space="preserve"> </w:t>
      </w:r>
      <w:r w:rsidRPr="00B6032C">
        <w:t>that the complainants would have been entitled to if past discriminatory policies, now</w:t>
      </w:r>
      <w:r w:rsidR="00814167" w:rsidRPr="00B6032C">
        <w:t xml:space="preserve"> repealed, had not been enacted.</w:t>
      </w:r>
    </w:p>
    <w:p w:rsidR="003D3682" w:rsidRPr="00B6032C" w:rsidRDefault="006D241F" w:rsidP="00DB6727">
      <w:pPr>
        <w:pStyle w:val="SCCNormalDoubleSpacing"/>
        <w:spacing w:before="480" w:after="480"/>
      </w:pPr>
      <w:r>
        <w:tab/>
      </w:r>
      <w:r w:rsidR="003D3682" w:rsidRPr="00B6032C">
        <w:t xml:space="preserve">In two separate decisions, the Canadian Human Rights Tribunal determined that the complaints were a direct attack on the </w:t>
      </w:r>
      <w:r w:rsidR="003D3682" w:rsidRPr="00B6032C">
        <w:rPr>
          <w:i/>
        </w:rPr>
        <w:t>Indian Act</w:t>
      </w:r>
      <w:r w:rsidR="003D3682" w:rsidRPr="00B6032C">
        <w:t xml:space="preserve">. As legislation was not a service under the </w:t>
      </w:r>
      <w:r w:rsidR="003D3682" w:rsidRPr="00B6032C">
        <w:rPr>
          <w:i/>
        </w:rPr>
        <w:t>CHRA</w:t>
      </w:r>
      <w:r w:rsidR="003D3682" w:rsidRPr="00B6032C">
        <w:t>, it dismissed the complaints. On judicial review, both the Federal Court and the Federal Court of Appeal found that the Tribunal decisions were reasonable and should be upheld.</w:t>
      </w:r>
    </w:p>
    <w:p w:rsidR="003D3682" w:rsidRPr="00B6032C" w:rsidRDefault="003D3682" w:rsidP="00DB6727">
      <w:pPr>
        <w:pStyle w:val="SCCNormalDoubleSpacing"/>
        <w:spacing w:before="480" w:after="480"/>
      </w:pPr>
      <w:r w:rsidRPr="00B6032C">
        <w:tab/>
      </w:r>
      <w:r w:rsidRPr="00B6032C">
        <w:rPr>
          <w:i/>
          <w:iCs/>
        </w:rPr>
        <w:t>Held</w:t>
      </w:r>
      <w:r w:rsidRPr="00B6032C">
        <w:rPr>
          <w:iCs/>
        </w:rPr>
        <w:t>:</w:t>
      </w:r>
      <w:r w:rsidRPr="00B6032C">
        <w:t xml:space="preserve"> The appeal should be dismissed.</w:t>
      </w:r>
    </w:p>
    <w:p w:rsidR="003D3682" w:rsidRPr="00B6032C" w:rsidRDefault="003D3682" w:rsidP="00DB6727">
      <w:pPr>
        <w:pStyle w:val="SCCNormalDoubleSpacing"/>
        <w:spacing w:before="480" w:after="480"/>
      </w:pPr>
      <w:r w:rsidRPr="00B6032C">
        <w:tab/>
      </w:r>
      <w:r w:rsidRPr="00B6032C">
        <w:rPr>
          <w:i/>
        </w:rPr>
        <w:t>Per</w:t>
      </w:r>
      <w:r w:rsidR="00002418" w:rsidRPr="00B6032C">
        <w:t xml:space="preserve"> McLachlin </w:t>
      </w:r>
      <w:r w:rsidRPr="00B6032C">
        <w:t xml:space="preserve">C.J. and Abella, Moldaver, Karakatsanis, Wagner and </w:t>
      </w:r>
      <w:r w:rsidRPr="00F428FC">
        <w:t>Gascon</w:t>
      </w:r>
      <w:r w:rsidR="00002418" w:rsidRPr="00B6032C">
        <w:t> </w:t>
      </w:r>
      <w:r w:rsidRPr="00B6032C">
        <w:t>JJ.: Where an administrative body interprets it</w:t>
      </w:r>
      <w:r w:rsidR="00C945C7" w:rsidRPr="00B6032C">
        <w:t>s home statute, there is a well</w:t>
      </w:r>
      <w:r w:rsidR="00C945C7" w:rsidRPr="00B6032C">
        <w:noBreakHyphen/>
      </w:r>
      <w:r w:rsidRPr="00B6032C">
        <w:t xml:space="preserve">established presumption that the reasonableness standard applies. The presumption may be rebutted and the correctness standard applied where one of the </w:t>
      </w:r>
      <w:r w:rsidRPr="00B6032C">
        <w:lastRenderedPageBreak/>
        <w:t xml:space="preserve">categories </w:t>
      </w:r>
      <w:r w:rsidR="006D241F" w:rsidRPr="00B6032C">
        <w:t xml:space="preserve">identified </w:t>
      </w:r>
      <w:r w:rsidR="006D241F">
        <w:t xml:space="preserve">in </w:t>
      </w:r>
      <w:r w:rsidR="006D241F" w:rsidRPr="006D241F">
        <w:rPr>
          <w:i/>
        </w:rPr>
        <w:t>Dunsmuir</w:t>
      </w:r>
      <w:r w:rsidR="006D241F">
        <w:t xml:space="preserve"> </w:t>
      </w:r>
      <w:r w:rsidRPr="00B6032C">
        <w:t>can be established or, exceptionally, where a contextual inquiry shows a clear legislative intent that the correctness standard be applied. In applying the standard of review analysis, there is no principled difference between a human rights tribunal and any other decision maker interpreting its home statute.</w:t>
      </w:r>
    </w:p>
    <w:p w:rsidR="003D3682" w:rsidRPr="00B6032C" w:rsidRDefault="00DB6727" w:rsidP="00DB6727">
      <w:pPr>
        <w:pStyle w:val="SCCNormalDoubleSpacing"/>
        <w:spacing w:before="480" w:after="480"/>
      </w:pPr>
      <w:r w:rsidRPr="00B6032C">
        <w:tab/>
      </w:r>
      <w:r w:rsidR="003D3682" w:rsidRPr="00B6032C">
        <w:t xml:space="preserve">In both of its decisions, the Tribunal was called upon to characterize the complaints before it and ascertain whether a discriminatory practice had been made out under the </w:t>
      </w:r>
      <w:r w:rsidR="003D3682" w:rsidRPr="00B6032C">
        <w:rPr>
          <w:i/>
        </w:rPr>
        <w:t>CHRA</w:t>
      </w:r>
      <w:r w:rsidR="003D3682" w:rsidRPr="00B6032C">
        <w:t xml:space="preserve">. This falls squarely within the presumption of deference. The Tribunal clearly had the authority to hear a complaint about </w:t>
      </w:r>
      <w:r w:rsidR="00824262" w:rsidRPr="00B6032C">
        <w:t>a discriminatory practice, and</w:t>
      </w:r>
      <w:r w:rsidR="003D3682" w:rsidRPr="00B6032C">
        <w:t xml:space="preserve"> the question of what falls within the meaning of “services” is no more exceptional than questions previously found by </w:t>
      </w:r>
      <w:r w:rsidR="00824262" w:rsidRPr="00B6032C">
        <w:t>the</w:t>
      </w:r>
      <w:r w:rsidR="003D3682" w:rsidRPr="00B6032C">
        <w:t xml:space="preserve"> C</w:t>
      </w:r>
      <w:r w:rsidR="00824262" w:rsidRPr="00B6032C">
        <w:t>ourt not to be true questions</w:t>
      </w:r>
      <w:r w:rsidR="003D3682" w:rsidRPr="00B6032C">
        <w:t xml:space="preserve"> of jurisdiction. To find that the Tribunal was faced with a true question of </w:t>
      </w:r>
      <w:r w:rsidR="003D3682" w:rsidRPr="00B6032C">
        <w:rPr>
          <w:i/>
        </w:rPr>
        <w:t>vires</w:t>
      </w:r>
      <w:r w:rsidR="00824262" w:rsidRPr="00B6032C">
        <w:t xml:space="preserve"> </w:t>
      </w:r>
      <w:r w:rsidR="003D3682" w:rsidRPr="00B6032C">
        <w:t xml:space="preserve">here would only risk disinterring the jurisdiction/preliminary question doctrine that was clearly put to rest in </w:t>
      </w:r>
      <w:r w:rsidR="003D3682" w:rsidRPr="00B6032C">
        <w:rPr>
          <w:i/>
        </w:rPr>
        <w:t>Dunsmuir</w:t>
      </w:r>
      <w:r w:rsidR="003D3682" w:rsidRPr="00B6032C">
        <w:t xml:space="preserve">. Plainly, the definition of a service under the </w:t>
      </w:r>
      <w:r w:rsidR="003D3682" w:rsidRPr="00B6032C">
        <w:rPr>
          <w:i/>
        </w:rPr>
        <w:t>CHRA</w:t>
      </w:r>
      <w:r w:rsidR="003D3682" w:rsidRPr="00B6032C">
        <w:t xml:space="preserve"> is not a true question of </w:t>
      </w:r>
      <w:r w:rsidR="003D3682" w:rsidRPr="00B6032C">
        <w:rPr>
          <w:i/>
        </w:rPr>
        <w:t>vires</w:t>
      </w:r>
      <w:r w:rsidR="003D3682" w:rsidRPr="00B6032C">
        <w:t>.</w:t>
      </w:r>
    </w:p>
    <w:p w:rsidR="003D3682" w:rsidRPr="00B6032C" w:rsidRDefault="00DB6727" w:rsidP="00DB6727">
      <w:pPr>
        <w:pStyle w:val="SCCNormalDoubleSpacing"/>
        <w:spacing w:before="480" w:after="480"/>
      </w:pPr>
      <w:r w:rsidRPr="00B6032C">
        <w:tab/>
      </w:r>
      <w:r w:rsidR="003D3682" w:rsidRPr="00B6032C">
        <w:t xml:space="preserve">The category of true questions of </w:t>
      </w:r>
      <w:r w:rsidR="003D3682" w:rsidRPr="00B6032C">
        <w:rPr>
          <w:i/>
        </w:rPr>
        <w:t>vires</w:t>
      </w:r>
      <w:r w:rsidR="003D3682" w:rsidRPr="00B6032C">
        <w:t xml:space="preserve"> is confined to instances where the decision maker must determine whether it has the authority to enter into the inquiry before it. </w:t>
      </w:r>
      <w:r w:rsidR="003D3682" w:rsidRPr="00B6032C">
        <w:rPr>
          <w:szCs w:val="24"/>
        </w:rPr>
        <w:t xml:space="preserve">Since its inclusion as a category of correctness review in </w:t>
      </w:r>
      <w:r w:rsidR="003D3682" w:rsidRPr="00B6032C">
        <w:rPr>
          <w:i/>
          <w:szCs w:val="24"/>
        </w:rPr>
        <w:t>Dunsmuir</w:t>
      </w:r>
      <w:r w:rsidR="003D3682" w:rsidRPr="00B6032C">
        <w:rPr>
          <w:szCs w:val="24"/>
        </w:rPr>
        <w:t>,</w:t>
      </w:r>
      <w:r w:rsidR="003D3682" w:rsidRPr="00B6032C">
        <w:rPr>
          <w:i/>
          <w:szCs w:val="24"/>
        </w:rPr>
        <w:t xml:space="preserve"> </w:t>
      </w:r>
      <w:r w:rsidR="003D3682" w:rsidRPr="00B6032C">
        <w:rPr>
          <w:szCs w:val="24"/>
        </w:rPr>
        <w:t xml:space="preserve">the concept of true questions of </w:t>
      </w:r>
      <w:r w:rsidR="003D3682" w:rsidRPr="00B6032C">
        <w:rPr>
          <w:i/>
          <w:szCs w:val="24"/>
        </w:rPr>
        <w:t xml:space="preserve">vires </w:t>
      </w:r>
      <w:r w:rsidR="003D3682" w:rsidRPr="00B6032C">
        <w:rPr>
          <w:szCs w:val="24"/>
        </w:rPr>
        <w:t>has been as elusive as it has been controversial</w:t>
      </w:r>
      <w:r w:rsidR="00824262" w:rsidRPr="00B6032C">
        <w:rPr>
          <w:szCs w:val="24"/>
        </w:rPr>
        <w:t xml:space="preserve">. </w:t>
      </w:r>
      <w:r w:rsidR="003D3682" w:rsidRPr="00B6032C">
        <w:rPr>
          <w:szCs w:val="24"/>
        </w:rPr>
        <w:t xml:space="preserve">In applying </w:t>
      </w:r>
      <w:r w:rsidR="003D3682" w:rsidRPr="00B6032C">
        <w:rPr>
          <w:i/>
          <w:szCs w:val="24"/>
        </w:rPr>
        <w:t>Dunsmuir</w:t>
      </w:r>
      <w:r w:rsidR="003D3682" w:rsidRPr="00B6032C">
        <w:rPr>
          <w:szCs w:val="24"/>
        </w:rPr>
        <w:t xml:space="preserve">, </w:t>
      </w:r>
      <w:r w:rsidR="00824262" w:rsidRPr="00B6032C">
        <w:rPr>
          <w:szCs w:val="24"/>
        </w:rPr>
        <w:t>the</w:t>
      </w:r>
      <w:r w:rsidR="003D3682" w:rsidRPr="00B6032C">
        <w:rPr>
          <w:szCs w:val="24"/>
        </w:rPr>
        <w:t xml:space="preserve"> Court has been unable to identify a single instance where this category was found to be applicable.</w:t>
      </w:r>
      <w:r w:rsidR="003D3682" w:rsidRPr="00B6032C">
        <w:t xml:space="preserve"> Since </w:t>
      </w:r>
      <w:r w:rsidR="003D3682" w:rsidRPr="00B6032C">
        <w:rPr>
          <w:i/>
        </w:rPr>
        <w:t xml:space="preserve">Alberta (Information and Privacy </w:t>
      </w:r>
      <w:r w:rsidR="003D3682" w:rsidRPr="00B6032C">
        <w:rPr>
          <w:i/>
        </w:rPr>
        <w:lastRenderedPageBreak/>
        <w:t>Commissioner) v. Alberta Teachers’ Association</w:t>
      </w:r>
      <w:r w:rsidR="003D3682" w:rsidRPr="00B6032C">
        <w:t xml:space="preserve">, 2011 SCC 61, [2011] 3 S.C.R. 654, </w:t>
      </w:r>
      <w:r w:rsidR="00824262" w:rsidRPr="00B6032C">
        <w:t>the</w:t>
      </w:r>
      <w:r w:rsidR="003D3682" w:rsidRPr="00B6032C">
        <w:t xml:space="preserve"> Court has reasserted the narrow and exceptional nature of this category. The difficult distinction between simple questions of jurisdiction (i.e., questions that determine the scope of one’s authority) and true questions of </w:t>
      </w:r>
      <w:r w:rsidR="003D3682" w:rsidRPr="00B6032C">
        <w:rPr>
          <w:i/>
        </w:rPr>
        <w:t>vires</w:t>
      </w:r>
      <w:r w:rsidR="003D3682" w:rsidRPr="00B6032C">
        <w:t xml:space="preserve"> (i.e., questions that determine whether one has authority to enter into the i</w:t>
      </w:r>
      <w:r w:rsidR="00814167" w:rsidRPr="00B6032C">
        <w:t xml:space="preserve">nquiry) has, however, tempted </w:t>
      </w:r>
      <w:r w:rsidR="003D3682" w:rsidRPr="00B6032C">
        <w:t xml:space="preserve">litigants and judges alike to return to a broad understanding of jurisdiction as justification for correctness review. The elusive search for true questions of </w:t>
      </w:r>
      <w:r w:rsidR="003D3682" w:rsidRPr="00B6032C">
        <w:rPr>
          <w:i/>
        </w:rPr>
        <w:t>vires</w:t>
      </w:r>
      <w:r w:rsidR="003D3682" w:rsidRPr="00B6032C">
        <w:t xml:space="preserve"> may thus both threaten certainty for litigants and undermine legislative supremacy. While some have advocated for the conceptual necessity of correctness review for jurisdiction, reasonableness review is often more than sufficient to fulfil the courts’ supervisory role with regard to the jurisdiction of the executive. Absent full submissions by the parties on this issue it will be for</w:t>
      </w:r>
      <w:r w:rsidR="00E53E67" w:rsidRPr="00B6032C">
        <w:t xml:space="preserve"> future litigants to establish </w:t>
      </w:r>
      <w:r w:rsidR="003D3682" w:rsidRPr="00B6032C">
        <w:t xml:space="preserve">whether or not this category remains necessary. </w:t>
      </w:r>
    </w:p>
    <w:p w:rsidR="003D3682" w:rsidRPr="00B6032C" w:rsidRDefault="003D3682" w:rsidP="00DB6727">
      <w:pPr>
        <w:pStyle w:val="SCCNormalDoubleSpacing"/>
        <w:spacing w:before="480" w:after="480"/>
      </w:pPr>
      <w:r w:rsidRPr="00B6032C">
        <w:tab/>
        <w:t xml:space="preserve">The category of questions of law that are both of central importance to the legal system as a whole and outside the decision maker’s specialized area of expertise </w:t>
      </w:r>
      <w:r w:rsidR="00E53E67" w:rsidRPr="00B6032C">
        <w:t xml:space="preserve">does not apply </w:t>
      </w:r>
      <w:r w:rsidRPr="00B6032C">
        <w:t>here. The Court has rejected a liberal application of this ca</w:t>
      </w:r>
      <w:r w:rsidR="00E53E67" w:rsidRPr="00B6032C">
        <w:t>tegory. Regardless of the importance of</w:t>
      </w:r>
      <w:r w:rsidRPr="00B6032C">
        <w:t xml:space="preserve"> the questions before the Tribunal, they were clearly within the Tribunal’s expertise. The ability of other federal tribunals to apply the </w:t>
      </w:r>
      <w:r w:rsidRPr="00B6032C">
        <w:rPr>
          <w:i/>
        </w:rPr>
        <w:t xml:space="preserve">CHRA </w:t>
      </w:r>
      <w:r w:rsidRPr="00B6032C">
        <w:t>does not rob the Tribunal of its expertise in its home statute.</w:t>
      </w:r>
    </w:p>
    <w:p w:rsidR="003D3682" w:rsidRPr="00B6032C" w:rsidRDefault="00DB6727" w:rsidP="00DB6727">
      <w:pPr>
        <w:pStyle w:val="SCCNormalDoubleSpacing"/>
        <w:spacing w:before="480" w:after="480"/>
      </w:pPr>
      <w:r w:rsidRPr="00B6032C">
        <w:tab/>
      </w:r>
      <w:r w:rsidR="003D3682" w:rsidRPr="00B6032C">
        <w:t xml:space="preserve">Finally, a contextual analysis would not rebut the </w:t>
      </w:r>
      <w:r w:rsidR="00E53E67" w:rsidRPr="00B6032C">
        <w:t>presumption in this case either</w:t>
      </w:r>
      <w:r w:rsidR="003D3682" w:rsidRPr="00B6032C">
        <w:t xml:space="preserve">. Where the presumption of reasonableness applies, the contextual approach </w:t>
      </w:r>
      <w:r w:rsidR="003D3682" w:rsidRPr="00B6032C">
        <w:lastRenderedPageBreak/>
        <w:t xml:space="preserve">should be applied sparingly in order to avoid uncertainty and endless litigation concerning the standard of review analysis. </w:t>
      </w:r>
      <w:r w:rsidR="008A1D8B" w:rsidRPr="00B6032C">
        <w:t>Indeed,</w:t>
      </w:r>
      <w:r w:rsidR="003D3682" w:rsidRPr="00B6032C">
        <w:t xml:space="preserve"> the presumption of reasonableness was intended to prevent litigants from undertaking a full standard of review analysis in</w:t>
      </w:r>
      <w:r w:rsidR="008A1D8B" w:rsidRPr="00B6032C">
        <w:t xml:space="preserve"> every case. As such, t</w:t>
      </w:r>
      <w:r w:rsidR="003D3682" w:rsidRPr="00B6032C">
        <w:t xml:space="preserve">he presumption of reasonableness review and the identified categories will generally be sufficient to determine the applicable standard. Where a contextual analysis may be justified to rebut the presumption it need not be a long and detailed one. </w:t>
      </w:r>
      <w:r w:rsidR="003D3682" w:rsidRPr="00B6032C">
        <w:rPr>
          <w:szCs w:val="24"/>
        </w:rPr>
        <w:t xml:space="preserve">Changes to “foundational legal tests” are not clear indicators of legislative intent, and do not warrant the application of the contextual approach or, by extension, correctness review. </w:t>
      </w:r>
      <w:r w:rsidR="003D3682" w:rsidRPr="00B6032C">
        <w:t xml:space="preserve">Nor do the absence of a privative clause, the fact that other administrative tribunals may consider the </w:t>
      </w:r>
      <w:r w:rsidR="003D3682" w:rsidRPr="00B6032C">
        <w:rPr>
          <w:i/>
        </w:rPr>
        <w:t>CHRA</w:t>
      </w:r>
      <w:r w:rsidR="008A1D8B" w:rsidRPr="00B6032C">
        <w:t>, t</w:t>
      </w:r>
      <w:r w:rsidR="003D3682" w:rsidRPr="00B6032C">
        <w:t>he potential for c</w:t>
      </w:r>
      <w:r w:rsidR="008A1D8B" w:rsidRPr="00B6032C">
        <w:t xml:space="preserve">onflicting lines of authority, </w:t>
      </w:r>
      <w:r w:rsidR="003D3682" w:rsidRPr="00B6032C">
        <w:t>or</w:t>
      </w:r>
      <w:r w:rsidR="008A1D8B" w:rsidRPr="00B6032C">
        <w:t xml:space="preserve"> </w:t>
      </w:r>
      <w:r w:rsidR="003D3682" w:rsidRPr="00B6032C">
        <w:t>the nature of the question at issue and the purpose of the Tribunal.</w:t>
      </w:r>
    </w:p>
    <w:p w:rsidR="003D3682" w:rsidRPr="00B6032C" w:rsidRDefault="00DB6727" w:rsidP="00DB6727">
      <w:pPr>
        <w:pStyle w:val="SCCNormalDoubleSpacing"/>
        <w:spacing w:before="480" w:after="480"/>
      </w:pPr>
      <w:r w:rsidRPr="00B6032C">
        <w:tab/>
      </w:r>
      <w:r w:rsidR="008A1D8B" w:rsidRPr="00B6032C">
        <w:t xml:space="preserve">The presumption of deference is not rebutted </w:t>
      </w:r>
      <w:r w:rsidR="003D3682" w:rsidRPr="00B6032C">
        <w:t>and the reas</w:t>
      </w:r>
      <w:r w:rsidR="00814167" w:rsidRPr="00B6032C">
        <w:t xml:space="preserve">onableness standard </w:t>
      </w:r>
      <w:r w:rsidR="003D3682" w:rsidRPr="00B6032C">
        <w:t>applies to the review of the Tribunal’s decisions. In its application, reasonableness review recognizes the legitimacy of multiple possible outcomes, even where they are not the court’s preferred solution. In reasonableness review, the reviewing court is concerned mostly with the existence of justification, transparency and intelligibility within the decision</w:t>
      </w:r>
      <w:r w:rsidR="00C945C7" w:rsidRPr="00B6032C">
        <w:noBreakHyphen/>
      </w:r>
      <w:r w:rsidR="003D3682" w:rsidRPr="00B6032C">
        <w:t xml:space="preserve">making process and with determining whether the outcome falls within a range of possible, acceptable outcomes that are defensible in respect of the facts and law. When applied to a statutory interpretation exercise, reasonableness review recognizes that the delegated decision maker is better situated to understand the policy concerns and context needed to resolve any ambiguities in the </w:t>
      </w:r>
      <w:r w:rsidR="003D3682" w:rsidRPr="00B6032C">
        <w:lastRenderedPageBreak/>
        <w:t>statute. Reviewing courts must also refrain from reweighing and reassessing the evidence considered by the decision maker.</w:t>
      </w:r>
    </w:p>
    <w:p w:rsidR="003D3682" w:rsidRPr="00B6032C" w:rsidRDefault="003D3682" w:rsidP="00DB6727">
      <w:pPr>
        <w:pStyle w:val="SCCNormalDoubleSpacing"/>
        <w:spacing w:before="480" w:after="480"/>
      </w:pPr>
      <w:r w:rsidRPr="00B6032C">
        <w:tab/>
        <w:t xml:space="preserve">Both of the Tribunal’s decisions were reasonable and should be upheld. </w:t>
      </w:r>
      <w:r w:rsidR="008A1D8B" w:rsidRPr="00B6032C">
        <w:t>T</w:t>
      </w:r>
      <w:r w:rsidRPr="00B6032C">
        <w:t>he Tribunal provided careful and well</w:t>
      </w:r>
      <w:r w:rsidR="00C945C7" w:rsidRPr="00B6032C">
        <w:noBreakHyphen/>
      </w:r>
      <w:r w:rsidRPr="00B6032C">
        <w:t xml:space="preserve">considered reasons explaining why the complaints had not established a discriminatory practice under the </w:t>
      </w:r>
      <w:r w:rsidRPr="00B6032C">
        <w:rPr>
          <w:i/>
        </w:rPr>
        <w:t>CHRA</w:t>
      </w:r>
      <w:r w:rsidR="008A1D8B" w:rsidRPr="00B6032C">
        <w:t xml:space="preserve">. In coming to </w:t>
      </w:r>
      <w:r w:rsidRPr="00B6032C">
        <w:t xml:space="preserve">their conclusion, the adjudicators considered the complainants’ evidence and submissions, the governing jurisprudence, the purpose, nature and scheme of the </w:t>
      </w:r>
      <w:r w:rsidRPr="00B6032C">
        <w:rPr>
          <w:i/>
        </w:rPr>
        <w:t>CHRA</w:t>
      </w:r>
      <w:r w:rsidRPr="00B6032C">
        <w:t xml:space="preserve">, and relevant policy considerations. The decisions meet the </w:t>
      </w:r>
      <w:r w:rsidRPr="00B6032C">
        <w:rPr>
          <w:i/>
        </w:rPr>
        <w:t>Dunsmuir</w:t>
      </w:r>
      <w:r w:rsidRPr="00B6032C">
        <w:t xml:space="preserve"> standard of intelligibility, transparency and justifiability, and fall within the range of reasonable outcomes. Specifically, the adjudicators reasonably concluded that the complaints before them were properly characterized as direct attacks on legislation, and that legis</w:t>
      </w:r>
      <w:r w:rsidR="008A1D8B" w:rsidRPr="00B6032C">
        <w:t>lation in general did not fall</w:t>
      </w:r>
      <w:r w:rsidRPr="00B6032C">
        <w:t xml:space="preserve"> within the meaning of “services”. Although human rights tribunals have taken various approaches to making a distinction between administrative services and legislation, this is a question of mixed fact and law squarely wi</w:t>
      </w:r>
      <w:r w:rsidR="008A1D8B" w:rsidRPr="00B6032C">
        <w:t>thin their expertise, and they</w:t>
      </w:r>
      <w:r w:rsidRPr="00B6032C">
        <w:t xml:space="preserve"> are best situated to develop an approach to making such distinctions.</w:t>
      </w:r>
    </w:p>
    <w:p w:rsidR="00D33EE9" w:rsidRPr="00B6032C" w:rsidRDefault="00A77D6E" w:rsidP="00A77D6E">
      <w:pPr>
        <w:pStyle w:val="SCCNormalDoubleSpacing"/>
        <w:spacing w:before="480" w:after="480"/>
        <w:rPr>
          <w:szCs w:val="24"/>
        </w:rPr>
      </w:pPr>
      <w:r w:rsidRPr="00B6032C">
        <w:rPr>
          <w:szCs w:val="24"/>
        </w:rPr>
        <w:tab/>
      </w:r>
      <w:r w:rsidR="00D33EE9" w:rsidRPr="00B6032C">
        <w:rPr>
          <w:i/>
          <w:szCs w:val="24"/>
        </w:rPr>
        <w:t>Per</w:t>
      </w:r>
      <w:r w:rsidR="00D33EE9" w:rsidRPr="00B6032C">
        <w:rPr>
          <w:szCs w:val="24"/>
        </w:rPr>
        <w:t xml:space="preserve"> </w:t>
      </w:r>
      <w:r w:rsidR="00D33EE9" w:rsidRPr="00F428FC">
        <w:rPr>
          <w:szCs w:val="24"/>
        </w:rPr>
        <w:t xml:space="preserve">Côté </w:t>
      </w:r>
      <w:r w:rsidR="00D33EE9" w:rsidRPr="00B6032C">
        <w:rPr>
          <w:szCs w:val="24"/>
        </w:rPr>
        <w:t xml:space="preserve">and </w:t>
      </w:r>
      <w:r w:rsidR="00D33EE9" w:rsidRPr="00F428FC">
        <w:rPr>
          <w:szCs w:val="24"/>
        </w:rPr>
        <w:t>Rowe</w:t>
      </w:r>
      <w:r w:rsidRPr="00B6032C">
        <w:rPr>
          <w:szCs w:val="24"/>
        </w:rPr>
        <w:t> </w:t>
      </w:r>
      <w:r w:rsidR="00D33EE9" w:rsidRPr="00B6032C">
        <w:rPr>
          <w:szCs w:val="24"/>
        </w:rPr>
        <w:t xml:space="preserve">JJ.: </w:t>
      </w:r>
      <w:r w:rsidR="008A1D8B" w:rsidRPr="00B6032C">
        <w:rPr>
          <w:szCs w:val="24"/>
        </w:rPr>
        <w:t xml:space="preserve">Reasonableness </w:t>
      </w:r>
      <w:r w:rsidR="00D33EE9" w:rsidRPr="00B6032C">
        <w:rPr>
          <w:szCs w:val="24"/>
        </w:rPr>
        <w:t xml:space="preserve">is the presumptive standard for the review of questions that involve the tribunal’s interpretation and application of its home statute. There are, however, two situations where the presumption will not apply. First, the jurisprudence recognizes four categories of questions that will necessarily attract review on a standard of correctness: constitutional questions, questions of law that are </w:t>
      </w:r>
      <w:r w:rsidR="00D33EE9" w:rsidRPr="00B6032C">
        <w:rPr>
          <w:szCs w:val="24"/>
        </w:rPr>
        <w:lastRenderedPageBreak/>
        <w:t xml:space="preserve">both of central importance to the legal system and that are outside of the tribunal’s specialized area of expertise, questions that involve the drawing of jurisdictional lines between two or more competing specialized tribunals and true questions of jurisdiction. Second, the presumption of reasonableness will be rebutted if the contextual factors listed in </w:t>
      </w:r>
      <w:r w:rsidR="00D33EE9" w:rsidRPr="00B6032C">
        <w:rPr>
          <w:i/>
          <w:szCs w:val="24"/>
        </w:rPr>
        <w:t>Dunsmuir</w:t>
      </w:r>
      <w:r w:rsidR="00D33EE9" w:rsidRPr="00B6032C">
        <w:rPr>
          <w:szCs w:val="24"/>
        </w:rPr>
        <w:t xml:space="preserve"> point towards correctness as the appropriate standard. </w:t>
      </w:r>
      <w:r w:rsidR="008A1D8B" w:rsidRPr="00B6032C">
        <w:rPr>
          <w:szCs w:val="24"/>
        </w:rPr>
        <w:t xml:space="preserve">This contextual approach </w:t>
      </w:r>
      <w:r w:rsidR="00D33EE9" w:rsidRPr="00B6032C">
        <w:rPr>
          <w:szCs w:val="24"/>
        </w:rPr>
        <w:t xml:space="preserve">does not play merely a subordinate role in the standard of review analysis. </w:t>
      </w:r>
      <w:r w:rsidR="008A1D8B" w:rsidRPr="00B6032C">
        <w:rPr>
          <w:szCs w:val="24"/>
        </w:rPr>
        <w:t>Resort to this</w:t>
      </w:r>
      <w:r w:rsidR="00D33EE9" w:rsidRPr="00B6032C">
        <w:rPr>
          <w:szCs w:val="24"/>
        </w:rPr>
        <w:t xml:space="preserve"> approach is not exceptional and the framework set out in </w:t>
      </w:r>
      <w:r w:rsidR="00D33EE9" w:rsidRPr="00B6032C">
        <w:rPr>
          <w:i/>
          <w:szCs w:val="24"/>
        </w:rPr>
        <w:t>Dunsmuir</w:t>
      </w:r>
      <w:r w:rsidR="00D33EE9" w:rsidRPr="00B6032C">
        <w:rPr>
          <w:szCs w:val="24"/>
        </w:rPr>
        <w:t xml:space="preserve"> is manifestly contextual in nature.</w:t>
      </w:r>
    </w:p>
    <w:p w:rsidR="00D33EE9" w:rsidRPr="00B6032C" w:rsidRDefault="00A77D6E" w:rsidP="00A77D6E">
      <w:pPr>
        <w:pStyle w:val="SCCNormalDoubleSpacing"/>
        <w:spacing w:before="480" w:after="480"/>
        <w:rPr>
          <w:szCs w:val="24"/>
        </w:rPr>
      </w:pPr>
      <w:r w:rsidRPr="00B6032C">
        <w:rPr>
          <w:szCs w:val="24"/>
        </w:rPr>
        <w:tab/>
      </w:r>
      <w:r w:rsidR="00D33EE9" w:rsidRPr="00B6032C">
        <w:rPr>
          <w:szCs w:val="24"/>
        </w:rPr>
        <w:t>While any uncertainty surrounding the jurisdictional question category ought to be resolved another day, th</w:t>
      </w:r>
      <w:r w:rsidR="006D241F">
        <w:rPr>
          <w:szCs w:val="24"/>
        </w:rPr>
        <w:t>e</w:t>
      </w:r>
      <w:r w:rsidR="00D33EE9" w:rsidRPr="00B6032C">
        <w:rPr>
          <w:szCs w:val="24"/>
        </w:rPr>
        <w:t xml:space="preserve"> Court has recognized that the concept of jurisdiction continues to play a crucial role in administrative law</w:t>
      </w:r>
      <w:r w:rsidR="008A1D8B" w:rsidRPr="00B6032C">
        <w:rPr>
          <w:szCs w:val="24"/>
        </w:rPr>
        <w:t xml:space="preserve"> </w:t>
      </w:r>
      <w:r w:rsidR="00D33EE9" w:rsidRPr="00B6032C">
        <w:rPr>
          <w:szCs w:val="24"/>
        </w:rPr>
        <w:t>and has made clear that administrative decision makers must be correct in their determinations as to the scope of their delegated authority. This is because jurisdictional questions are fundamentally tied to both the maintenance of legislative supremacy, which requires that a given statutory body operate within the sphere in which the legislature intended that it operate, as well as the rule of law, which requires that all exercises of delegated authority find their source in law.</w:t>
      </w:r>
    </w:p>
    <w:p w:rsidR="00D33EE9" w:rsidRPr="00B6032C" w:rsidRDefault="00A77D6E" w:rsidP="00A77D6E">
      <w:pPr>
        <w:pStyle w:val="SCCNormalDoubleSpacing"/>
        <w:spacing w:before="480" w:after="480"/>
        <w:rPr>
          <w:szCs w:val="24"/>
        </w:rPr>
      </w:pPr>
      <w:r w:rsidRPr="00B6032C">
        <w:rPr>
          <w:szCs w:val="24"/>
        </w:rPr>
        <w:tab/>
      </w:r>
      <w:r w:rsidR="00D33EE9" w:rsidRPr="00B6032C">
        <w:rPr>
          <w:szCs w:val="24"/>
        </w:rPr>
        <w:t xml:space="preserve">Since the interpretation of </w:t>
      </w:r>
      <w:r w:rsidR="006D600D" w:rsidRPr="00B6032C">
        <w:rPr>
          <w:szCs w:val="24"/>
        </w:rPr>
        <w:t>s. </w:t>
      </w:r>
      <w:r w:rsidR="00D33EE9" w:rsidRPr="00B6032C">
        <w:rPr>
          <w:szCs w:val="24"/>
        </w:rPr>
        <w:t xml:space="preserve">5 of the </w:t>
      </w:r>
      <w:r w:rsidR="00D33EE9" w:rsidRPr="00B6032C">
        <w:rPr>
          <w:i/>
          <w:szCs w:val="24"/>
        </w:rPr>
        <w:t>Canadian Human Rights Act</w:t>
      </w:r>
      <w:r w:rsidR="00D33EE9" w:rsidRPr="00B6032C">
        <w:rPr>
          <w:szCs w:val="24"/>
        </w:rPr>
        <w:t xml:space="preserve"> is at issue in this case, it is agreed that reasonableness presumptively applies. However, and without deciding on whether the nature of the question at issue falls within a category of correctness, the relevant contextual factors listed in </w:t>
      </w:r>
      <w:r w:rsidR="00D33EE9" w:rsidRPr="00B6032C">
        <w:rPr>
          <w:i/>
          <w:szCs w:val="24"/>
        </w:rPr>
        <w:t>Dunsmuir</w:t>
      </w:r>
      <w:r w:rsidR="00D33EE9" w:rsidRPr="00B6032C">
        <w:rPr>
          <w:szCs w:val="24"/>
        </w:rPr>
        <w:t xml:space="preserve"> lead to </w:t>
      </w:r>
      <w:r w:rsidR="008A1D8B" w:rsidRPr="00B6032C">
        <w:rPr>
          <w:szCs w:val="24"/>
        </w:rPr>
        <w:t>t</w:t>
      </w:r>
      <w:r w:rsidR="00D33EE9" w:rsidRPr="00B6032C">
        <w:rPr>
          <w:szCs w:val="24"/>
        </w:rPr>
        <w:t>he co</w:t>
      </w:r>
      <w:r w:rsidR="008A1D8B" w:rsidRPr="00B6032C">
        <w:rPr>
          <w:szCs w:val="24"/>
        </w:rPr>
        <w:t xml:space="preserve">nclusion </w:t>
      </w:r>
      <w:r w:rsidR="008A1D8B" w:rsidRPr="00B6032C">
        <w:rPr>
          <w:szCs w:val="24"/>
        </w:rPr>
        <w:lastRenderedPageBreak/>
        <w:t>that the presumption of reasonableness</w:t>
      </w:r>
      <w:r w:rsidR="00D33EE9" w:rsidRPr="00B6032C">
        <w:rPr>
          <w:szCs w:val="24"/>
        </w:rPr>
        <w:t xml:space="preserve"> has been rebutted in this case, such that the appropriate standard of review is correctne</w:t>
      </w:r>
      <w:r w:rsidRPr="00B6032C">
        <w:rPr>
          <w:szCs w:val="24"/>
        </w:rPr>
        <w:t>ss.</w:t>
      </w:r>
      <w:r w:rsidR="006D600D" w:rsidRPr="00B6032C">
        <w:rPr>
          <w:szCs w:val="24"/>
        </w:rPr>
        <w:t xml:space="preserve"> </w:t>
      </w:r>
      <w:r w:rsidR="00D33EE9" w:rsidRPr="00B6032C">
        <w:rPr>
          <w:szCs w:val="24"/>
        </w:rPr>
        <w:t>Firstly, Parliament opted not to shield the Tribunal’s decisions from exacting revi</w:t>
      </w:r>
      <w:r w:rsidR="008A1D8B" w:rsidRPr="00B6032C">
        <w:rPr>
          <w:szCs w:val="24"/>
        </w:rPr>
        <w:t xml:space="preserve">ew behind a privative clause. Secondly, </w:t>
      </w:r>
      <w:r w:rsidR="00D33EE9" w:rsidRPr="00B6032C">
        <w:rPr>
          <w:szCs w:val="24"/>
        </w:rPr>
        <w:t>provisions within a given human rights statute must be interpreted consistently across courts and tribunals tasked with its application. Applying a non</w:t>
      </w:r>
      <w:r w:rsidRPr="00B6032C">
        <w:rPr>
          <w:szCs w:val="24"/>
        </w:rPr>
        <w:noBreakHyphen/>
      </w:r>
      <w:r w:rsidR="00D33EE9" w:rsidRPr="00B6032C">
        <w:rPr>
          <w:szCs w:val="24"/>
        </w:rPr>
        <w:t>deferential correctness standard allows the courts to provide meaningful guidance as to the scope of these fundamentally important human rights protections, and ensure respect for the rule of law in such cases. Finally, the Tribunal’s decision responds to a question of law with a constitutional dimension: Who gets to decide what types of challenges can be brought against legislative action? Because this question necessarily implicates the rule of law and the constitutional duty of superior courts to uphold this fundamental principle, no deference is owed to the Tribunal</w:t>
      </w:r>
      <w:r w:rsidR="006D241F">
        <w:rPr>
          <w:szCs w:val="24"/>
        </w:rPr>
        <w:t>’s</w:t>
      </w:r>
      <w:r w:rsidR="00D33EE9" w:rsidRPr="00B6032C">
        <w:rPr>
          <w:szCs w:val="24"/>
        </w:rPr>
        <w:t xml:space="preserve"> </w:t>
      </w:r>
      <w:r w:rsidR="006D241F">
        <w:rPr>
          <w:szCs w:val="24"/>
        </w:rPr>
        <w:t xml:space="preserve">decision </w:t>
      </w:r>
      <w:r w:rsidR="00D33EE9" w:rsidRPr="00B6032C">
        <w:rPr>
          <w:szCs w:val="24"/>
        </w:rPr>
        <w:t xml:space="preserve">in these circumstances. </w:t>
      </w:r>
    </w:p>
    <w:p w:rsidR="00D33EE9" w:rsidRPr="00B6032C" w:rsidRDefault="00A77D6E" w:rsidP="00A77D6E">
      <w:pPr>
        <w:pStyle w:val="SCCNormalDoubleSpacing"/>
        <w:spacing w:before="480" w:after="480"/>
        <w:rPr>
          <w:szCs w:val="24"/>
        </w:rPr>
      </w:pPr>
      <w:r w:rsidRPr="00B6032C">
        <w:rPr>
          <w:szCs w:val="24"/>
        </w:rPr>
        <w:tab/>
      </w:r>
      <w:r w:rsidR="00D33EE9" w:rsidRPr="00B6032C">
        <w:rPr>
          <w:szCs w:val="24"/>
        </w:rPr>
        <w:t xml:space="preserve">There is no dispute that the presumption of deference is not rebutted, solely by either the </w:t>
      </w:r>
      <w:r w:rsidR="008A1D8B" w:rsidRPr="00B6032C">
        <w:rPr>
          <w:szCs w:val="24"/>
        </w:rPr>
        <w:t xml:space="preserve">omission of a privative clause </w:t>
      </w:r>
      <w:r w:rsidR="00D33EE9" w:rsidRPr="00B6032C">
        <w:rPr>
          <w:szCs w:val="24"/>
        </w:rPr>
        <w:t>or by</w:t>
      </w:r>
      <w:r w:rsidR="008A1D8B" w:rsidRPr="00B6032C">
        <w:rPr>
          <w:szCs w:val="24"/>
        </w:rPr>
        <w:t xml:space="preserve"> </w:t>
      </w:r>
      <w:r w:rsidR="00D33EE9" w:rsidRPr="00B6032C">
        <w:rPr>
          <w:szCs w:val="24"/>
        </w:rPr>
        <w:t>the potential for conflicting lines of authority. But while neither factor may independently call for correctness, they are each indicia that point toward correctness as the appropriate standard.</w:t>
      </w:r>
    </w:p>
    <w:p w:rsidR="00D33EE9" w:rsidRPr="00B6032C" w:rsidRDefault="00A77D6E" w:rsidP="00A77D6E">
      <w:pPr>
        <w:pStyle w:val="SCCNormalDoubleSpacing"/>
        <w:spacing w:before="480" w:after="480"/>
        <w:rPr>
          <w:szCs w:val="24"/>
        </w:rPr>
      </w:pPr>
      <w:r w:rsidRPr="00B6032C">
        <w:rPr>
          <w:szCs w:val="24"/>
        </w:rPr>
        <w:tab/>
      </w:r>
      <w:r w:rsidR="00D33EE9" w:rsidRPr="00B6032C">
        <w:rPr>
          <w:szCs w:val="24"/>
        </w:rPr>
        <w:t>The wording of s.</w:t>
      </w:r>
      <w:r w:rsidRPr="00B6032C">
        <w:rPr>
          <w:szCs w:val="24"/>
        </w:rPr>
        <w:t> </w:t>
      </w:r>
      <w:r w:rsidR="00D33EE9" w:rsidRPr="00B6032C">
        <w:rPr>
          <w:szCs w:val="24"/>
        </w:rPr>
        <w:t xml:space="preserve">5 of the </w:t>
      </w:r>
      <w:r w:rsidR="00D33EE9" w:rsidRPr="00B6032C">
        <w:rPr>
          <w:i/>
          <w:szCs w:val="24"/>
        </w:rPr>
        <w:t>Canadian Human Rights Act</w:t>
      </w:r>
      <w:r w:rsidR="00D33EE9" w:rsidRPr="00B6032C">
        <w:rPr>
          <w:szCs w:val="24"/>
        </w:rPr>
        <w:t xml:space="preserve"> focuses on the provision of services and the language suggests that it is geared towards discrimination perpetrated by service providers. The complainants sought to challenge the registration provisions of the </w:t>
      </w:r>
      <w:r w:rsidR="00D33EE9" w:rsidRPr="00B6032C">
        <w:rPr>
          <w:i/>
          <w:szCs w:val="24"/>
        </w:rPr>
        <w:t>Indian Act</w:t>
      </w:r>
      <w:r w:rsidR="00D33EE9" w:rsidRPr="00B6032C">
        <w:rPr>
          <w:szCs w:val="24"/>
        </w:rPr>
        <w:t xml:space="preserve"> as making discriminatory distinctions on the basis of race, national or ethnic origin, sex and family status. They did not challenge the actions of the Registrar in processing their applications. Therefore, at their core, these complaints are about Parliament’s decision not to extend </w:t>
      </w:r>
      <w:r w:rsidR="00540A71" w:rsidRPr="00B6032C">
        <w:rPr>
          <w:szCs w:val="24"/>
        </w:rPr>
        <w:t>“</w:t>
      </w:r>
      <w:r w:rsidR="00D33EE9" w:rsidRPr="00B6032C">
        <w:rPr>
          <w:szCs w:val="24"/>
        </w:rPr>
        <w:t>Indian</w:t>
      </w:r>
      <w:r w:rsidR="00540A71" w:rsidRPr="00B6032C">
        <w:rPr>
          <w:szCs w:val="24"/>
        </w:rPr>
        <w:t>”</w:t>
      </w:r>
      <w:r w:rsidR="00D33EE9" w:rsidRPr="00B6032C">
        <w:rPr>
          <w:szCs w:val="24"/>
        </w:rPr>
        <w:t xml:space="preserve"> status to persons in similar circumstances. This was properly characterized by the Tribunal as a bare challenge to legislation. Parliament is not a service provider and was not providing a service when it enacted the registration provisions of the </w:t>
      </w:r>
      <w:r w:rsidR="00D33EE9" w:rsidRPr="00B6032C">
        <w:rPr>
          <w:i/>
          <w:szCs w:val="24"/>
        </w:rPr>
        <w:t>Indian Act</w:t>
      </w:r>
      <w:r w:rsidR="00D33EE9" w:rsidRPr="00B6032C">
        <w:rPr>
          <w:szCs w:val="24"/>
        </w:rPr>
        <w:t xml:space="preserve">. Parliament can be distinguished from the administrative decision makers that operate under legislative authority. These individuals and statutory bodies, which include the Registrar, may be service providers, and if they use their statutory discretion in a manner that effectively denies access to a service or makes an adverse differentiation on the basis of a prohibited ground, </w:t>
      </w:r>
      <w:r w:rsidR="006D600D" w:rsidRPr="00B6032C">
        <w:rPr>
          <w:szCs w:val="24"/>
        </w:rPr>
        <w:t>s. </w:t>
      </w:r>
      <w:r w:rsidR="00D33EE9" w:rsidRPr="00B6032C">
        <w:rPr>
          <w:szCs w:val="24"/>
        </w:rPr>
        <w:t xml:space="preserve">5 will </w:t>
      </w:r>
      <w:r w:rsidR="00814167" w:rsidRPr="00B6032C">
        <w:rPr>
          <w:szCs w:val="24"/>
        </w:rPr>
        <w:t xml:space="preserve">be engaged. </w:t>
      </w:r>
      <w:r w:rsidR="00D33EE9" w:rsidRPr="00B6032C">
        <w:rPr>
          <w:szCs w:val="24"/>
        </w:rPr>
        <w:t>But, when they are engaged simply in applying valid legislation, the challenge is not to the provision of services, but to the legislation itself. The Tribunal was correct in dismissing the complaints for want of an unde</w:t>
      </w:r>
      <w:r w:rsidR="00814167" w:rsidRPr="00B6032C">
        <w:rPr>
          <w:szCs w:val="24"/>
        </w:rPr>
        <w:t>rlying discriminatory practice.</w:t>
      </w:r>
    </w:p>
    <w:p w:rsidR="00A149DF" w:rsidRPr="00B6032C" w:rsidRDefault="009B57B3" w:rsidP="00A77D6E">
      <w:pPr>
        <w:pStyle w:val="SCCNormalDoubleSpacing"/>
        <w:spacing w:before="480" w:after="480"/>
        <w:rPr>
          <w:szCs w:val="24"/>
        </w:rPr>
      </w:pPr>
      <w:r w:rsidRPr="00B6032C">
        <w:tab/>
      </w:r>
      <w:r w:rsidR="00A83470" w:rsidRPr="00B6032C">
        <w:rPr>
          <w:i/>
          <w:szCs w:val="24"/>
        </w:rPr>
        <w:t>Per</w:t>
      </w:r>
      <w:r w:rsidR="00A83470" w:rsidRPr="00B6032C">
        <w:rPr>
          <w:szCs w:val="24"/>
        </w:rPr>
        <w:t xml:space="preserve"> </w:t>
      </w:r>
      <w:r w:rsidR="00A83470" w:rsidRPr="00F428FC">
        <w:rPr>
          <w:szCs w:val="24"/>
        </w:rPr>
        <w:t>Brown</w:t>
      </w:r>
      <w:r w:rsidR="00A77D6E" w:rsidRPr="00B6032C">
        <w:rPr>
          <w:b/>
          <w:szCs w:val="24"/>
        </w:rPr>
        <w:t> </w:t>
      </w:r>
      <w:r w:rsidR="00A83470" w:rsidRPr="00B6032C">
        <w:rPr>
          <w:szCs w:val="24"/>
        </w:rPr>
        <w:t xml:space="preserve">J.: It is agreed that the Tribunal’s answers to the questions before it were both reasonable and correct. However, the majority’s discussion regarding true questions of jurisdiction omits a central point that, while not determinative, is an important consideration which militates against its suggestion that this category of correctness review might be </w:t>
      </w:r>
      <w:r w:rsidR="0033441F">
        <w:rPr>
          <w:szCs w:val="24"/>
        </w:rPr>
        <w:t>“</w:t>
      </w:r>
      <w:r w:rsidR="00A83470" w:rsidRPr="00B6032C">
        <w:rPr>
          <w:szCs w:val="24"/>
        </w:rPr>
        <w:t>euthanized</w:t>
      </w:r>
      <w:r w:rsidR="0033441F">
        <w:rPr>
          <w:szCs w:val="24"/>
        </w:rPr>
        <w:t>”</w:t>
      </w:r>
      <w:r w:rsidR="00A83470" w:rsidRPr="00B6032C">
        <w:rPr>
          <w:szCs w:val="24"/>
        </w:rPr>
        <w:t xml:space="preserve">. In </w:t>
      </w:r>
      <w:r w:rsidR="00A83470" w:rsidRPr="00B6032C">
        <w:rPr>
          <w:i/>
          <w:szCs w:val="24"/>
        </w:rPr>
        <w:t>Dunsmuir</w:t>
      </w:r>
      <w:r w:rsidR="00A83470" w:rsidRPr="00B6032C">
        <w:rPr>
          <w:szCs w:val="24"/>
        </w:rPr>
        <w:t xml:space="preserve">, this Court wrote that “the rule of law is affirmed by assuring that the courts have the final say on </w:t>
      </w:r>
      <w:r w:rsidR="00F428FC">
        <w:rPr>
          <w:szCs w:val="24"/>
        </w:rPr>
        <w:t xml:space="preserve">the </w:t>
      </w:r>
      <w:r w:rsidR="00A83470" w:rsidRPr="00B6032C">
        <w:rPr>
          <w:szCs w:val="24"/>
        </w:rPr>
        <w:t>jurisdictional limits of a tribunal’s authority”. This presupposes not only that the treatment of such questions is a matter of first importance, but that such questions continue to exist. Deciding whether and how any “euthanizing” the category of true questions of jurisdiction is to proceed will require a measure of circumspection. Abolition of that category will necessitate a concomitant shift towards a more flexible, rather than a strictly binary standard of review framework. There is also concern with the extremely narrow scope for contextual analysis that the majority states, and which would significantly impede that necessary flexibility. Statements suggesting that contextual review should be applied sparingly or that it plays a subordinate role are not easily reconciled with the majority’s acknowledgement that reviewing courts ought to examine factors that show a clear legislative intent justifying the rebuttal of the presumption. If one is considering factors which show legislative intent, one is undertaking a contextual analysis.</w:t>
      </w:r>
    </w:p>
    <w:p w:rsidR="007E1C47" w:rsidRPr="00B6032C" w:rsidRDefault="002E6705" w:rsidP="00A77D6E">
      <w:pPr>
        <w:pStyle w:val="SCCNormalDoubleSpacing"/>
        <w:spacing w:after="720" w:line="240" w:lineRule="auto"/>
        <w:rPr>
          <w:b/>
        </w:rPr>
      </w:pPr>
      <w:r w:rsidRPr="00B6032C">
        <w:rPr>
          <w:b/>
        </w:rPr>
        <w:t>Cases Cited</w:t>
      </w:r>
    </w:p>
    <w:p w:rsidR="00C42D58" w:rsidRPr="00B6032C" w:rsidRDefault="00C42D58" w:rsidP="00A77D6E">
      <w:pPr>
        <w:pStyle w:val="SCCNormalDoubleSpacing"/>
        <w:spacing w:after="720" w:line="240" w:lineRule="auto"/>
      </w:pPr>
      <w:r w:rsidRPr="00B6032C">
        <w:t>By Gascon</w:t>
      </w:r>
      <w:r w:rsidR="00A77D6E" w:rsidRPr="00B6032C">
        <w:t> </w:t>
      </w:r>
      <w:r w:rsidRPr="00B6032C">
        <w:t>J.</w:t>
      </w:r>
    </w:p>
    <w:p w:rsidR="004E2C26" w:rsidRPr="00B6032C" w:rsidRDefault="00C42D58" w:rsidP="00E8551D">
      <w:pPr>
        <w:pStyle w:val="SCCNormalDoubleSpacing"/>
        <w:spacing w:before="480" w:after="480"/>
      </w:pPr>
      <w:r w:rsidRPr="00B6032C">
        <w:rPr>
          <w:b/>
        </w:rPr>
        <w:tab/>
      </w:r>
      <w:r w:rsidR="00F65F07" w:rsidRPr="00B6032C">
        <w:rPr>
          <w:b/>
        </w:rPr>
        <w:t>Applied:</w:t>
      </w:r>
      <w:r w:rsidR="00F65F07" w:rsidRPr="00B6032C">
        <w:rPr>
          <w:i/>
        </w:rPr>
        <w:t xml:space="preserve"> Dunsmuir v. New Brunswick</w:t>
      </w:r>
      <w:r w:rsidR="00F65F07" w:rsidRPr="00B6032C">
        <w:t>, 2008 SCC 9, [2008] 1 S.C.R. 190;</w:t>
      </w:r>
      <w:r w:rsidR="00F65F07" w:rsidRPr="00B6032C">
        <w:rPr>
          <w:b/>
        </w:rPr>
        <w:t xml:space="preserve"> c</w:t>
      </w:r>
      <w:r w:rsidR="0014262F" w:rsidRPr="00B6032C">
        <w:rPr>
          <w:b/>
        </w:rPr>
        <w:t xml:space="preserve">onsidered: </w:t>
      </w:r>
      <w:r w:rsidR="0014262F" w:rsidRPr="00B6032C">
        <w:rPr>
          <w:i/>
        </w:rPr>
        <w:t>Public Service Alliance of Canada v. Canada Revenue Agency</w:t>
      </w:r>
      <w:r w:rsidR="0014262F" w:rsidRPr="00B6032C">
        <w:t>, 2012 FCA 7, 428 N.R. 240;</w:t>
      </w:r>
      <w:r w:rsidR="00F65F07" w:rsidRPr="00B6032C">
        <w:t xml:space="preserve"> </w:t>
      </w:r>
      <w:r w:rsidR="00F65F07" w:rsidRPr="00B6032C">
        <w:rPr>
          <w:i/>
        </w:rPr>
        <w:t>Alberta (Information and Privacy Commissioner) v. Alberta Teachers’ Association</w:t>
      </w:r>
      <w:r w:rsidR="00F65F07" w:rsidRPr="00B6032C">
        <w:t>, 2011 SCC 61, [2011] 3 S.C.R. 654;</w:t>
      </w:r>
      <w:r w:rsidR="00F65F07" w:rsidRPr="00B6032C">
        <w:rPr>
          <w:i/>
        </w:rPr>
        <w:t xml:space="preserve"> </w:t>
      </w:r>
      <w:r w:rsidR="00F65F07" w:rsidRPr="00B6032C">
        <w:rPr>
          <w:b/>
        </w:rPr>
        <w:t>r</w:t>
      </w:r>
      <w:r w:rsidR="002E6705" w:rsidRPr="00B6032C">
        <w:rPr>
          <w:b/>
        </w:rPr>
        <w:t>eferred to:</w:t>
      </w:r>
      <w:r w:rsidR="00BD0E9E" w:rsidRPr="00B6032C">
        <w:t xml:space="preserve"> </w:t>
      </w:r>
      <w:r w:rsidR="001032C8" w:rsidRPr="00B6032C">
        <w:rPr>
          <w:i/>
        </w:rPr>
        <w:t xml:space="preserve">Canada (Attorney General) v. </w:t>
      </w:r>
      <w:proofErr w:type="spellStart"/>
      <w:r w:rsidR="001032C8" w:rsidRPr="00B6032C">
        <w:rPr>
          <w:i/>
        </w:rPr>
        <w:t>Larkman</w:t>
      </w:r>
      <w:proofErr w:type="spellEnd"/>
      <w:r w:rsidR="001032C8" w:rsidRPr="00B6032C">
        <w:t xml:space="preserve">, 2012 FCA 204, [2012] 4 C.N.L.R. 87; </w:t>
      </w:r>
      <w:r w:rsidR="000C06AA" w:rsidRPr="00B6032C">
        <w:rPr>
          <w:i/>
        </w:rPr>
        <w:t xml:space="preserve">Matson v. </w:t>
      </w:r>
      <w:r w:rsidR="00DF092C" w:rsidRPr="00B6032C">
        <w:rPr>
          <w:i/>
        </w:rPr>
        <w:t>Canada (</w:t>
      </w:r>
      <w:r w:rsidR="000C06AA" w:rsidRPr="00B6032C">
        <w:rPr>
          <w:i/>
        </w:rPr>
        <w:t>Indian and Northern Affairs</w:t>
      </w:r>
      <w:r w:rsidR="00DF092C" w:rsidRPr="00B6032C">
        <w:rPr>
          <w:i/>
        </w:rPr>
        <w:t>)</w:t>
      </w:r>
      <w:r w:rsidR="000C06AA" w:rsidRPr="00B6032C">
        <w:t xml:space="preserve">, 2013 CHRT 13; </w:t>
      </w:r>
      <w:r w:rsidR="00F65F07" w:rsidRPr="00B6032C">
        <w:rPr>
          <w:i/>
        </w:rPr>
        <w:t>Andrews v. Canada (Indian and Northern Affairs)</w:t>
      </w:r>
      <w:r w:rsidR="00F65F07" w:rsidRPr="00B6032C">
        <w:t xml:space="preserve">, 2013 CHRT 21; </w:t>
      </w:r>
      <w:r w:rsidR="001032C8" w:rsidRPr="00B6032C">
        <w:rPr>
          <w:i/>
        </w:rPr>
        <w:t>Canada (Attorney General)</w:t>
      </w:r>
      <w:r w:rsidR="00B67B74" w:rsidRPr="00B6032C">
        <w:rPr>
          <w:i/>
        </w:rPr>
        <w:t xml:space="preserve"> v. Watkin</w:t>
      </w:r>
      <w:r w:rsidR="001032C8" w:rsidRPr="00B6032C">
        <w:t xml:space="preserve">, 2008 FCA 170, </w:t>
      </w:r>
      <w:r w:rsidR="00B67B74" w:rsidRPr="00B6032C">
        <w:t xml:space="preserve">378 N.R. 268; </w:t>
      </w:r>
      <w:r w:rsidR="00124875" w:rsidRPr="00B6032C">
        <w:rPr>
          <w:i/>
        </w:rPr>
        <w:t>P.S.A.C. v. Canada (Revenue Agency)</w:t>
      </w:r>
      <w:r w:rsidR="00124875" w:rsidRPr="00B6032C">
        <w:t xml:space="preserve">, 2010 CHRT 9, [2011] 1 C.T.C. 215; </w:t>
      </w:r>
      <w:r w:rsidR="001032C8" w:rsidRPr="00B6032C">
        <w:rPr>
          <w:i/>
        </w:rPr>
        <w:t xml:space="preserve">Canada (Attorney General) v. </w:t>
      </w:r>
      <w:proofErr w:type="spellStart"/>
      <w:r w:rsidR="001032C8" w:rsidRPr="00B6032C">
        <w:rPr>
          <w:i/>
        </w:rPr>
        <w:t>Druken</w:t>
      </w:r>
      <w:proofErr w:type="spellEnd"/>
      <w:r w:rsidR="001032C8" w:rsidRPr="00B6032C">
        <w:t xml:space="preserve">, [1989] 2 F.C. 24; </w:t>
      </w:r>
      <w:r w:rsidR="001032C8" w:rsidRPr="00B6032C">
        <w:rPr>
          <w:i/>
        </w:rPr>
        <w:t>Insurance Cor</w:t>
      </w:r>
      <w:r w:rsidR="00A77D6E" w:rsidRPr="00B6032C">
        <w:rPr>
          <w:i/>
        </w:rPr>
        <w:t xml:space="preserve">p. </w:t>
      </w:r>
      <w:r w:rsidR="001032C8" w:rsidRPr="00B6032C">
        <w:rPr>
          <w:i/>
        </w:rPr>
        <w:t xml:space="preserve">of British Columbia v. </w:t>
      </w:r>
      <w:proofErr w:type="spellStart"/>
      <w:r w:rsidR="001032C8" w:rsidRPr="00B6032C">
        <w:rPr>
          <w:i/>
        </w:rPr>
        <w:t>Heerspink</w:t>
      </w:r>
      <w:proofErr w:type="spellEnd"/>
      <w:r w:rsidR="001032C8" w:rsidRPr="00B6032C">
        <w:t>, [1982] 2 S</w:t>
      </w:r>
      <w:r w:rsidR="00227D74" w:rsidRPr="00B6032C">
        <w:t>.</w:t>
      </w:r>
      <w:r w:rsidR="001032C8" w:rsidRPr="00B6032C">
        <w:t>C</w:t>
      </w:r>
      <w:r w:rsidR="00227D74" w:rsidRPr="00B6032C">
        <w:t>.</w:t>
      </w:r>
      <w:r w:rsidR="001032C8" w:rsidRPr="00B6032C">
        <w:t>R</w:t>
      </w:r>
      <w:r w:rsidR="00227D74" w:rsidRPr="00B6032C">
        <w:t>.</w:t>
      </w:r>
      <w:r w:rsidR="001032C8" w:rsidRPr="00B6032C">
        <w:t xml:space="preserve"> 145</w:t>
      </w:r>
      <w:r w:rsidR="00227D74" w:rsidRPr="00B6032C">
        <w:t>;</w:t>
      </w:r>
      <w:r w:rsidR="001032C8" w:rsidRPr="00B6032C">
        <w:t xml:space="preserve"> </w:t>
      </w:r>
      <w:r w:rsidR="00A77D6E" w:rsidRPr="00B6032C">
        <w:rPr>
          <w:i/>
        </w:rPr>
        <w:t>Winnipeg School Division No. </w:t>
      </w:r>
      <w:r w:rsidR="001032C8" w:rsidRPr="00B6032C">
        <w:rPr>
          <w:i/>
        </w:rPr>
        <w:t>1 v. Craton</w:t>
      </w:r>
      <w:r w:rsidR="001032C8" w:rsidRPr="00B6032C">
        <w:t>, [1985] 2 S</w:t>
      </w:r>
      <w:r w:rsidR="00E225C5" w:rsidRPr="00B6032C">
        <w:t>.</w:t>
      </w:r>
      <w:r w:rsidR="001032C8" w:rsidRPr="00B6032C">
        <w:t>C</w:t>
      </w:r>
      <w:r w:rsidR="00E225C5" w:rsidRPr="00B6032C">
        <w:t>.</w:t>
      </w:r>
      <w:r w:rsidR="001032C8" w:rsidRPr="00B6032C">
        <w:t>R</w:t>
      </w:r>
      <w:r w:rsidR="00E225C5" w:rsidRPr="00B6032C">
        <w:t>. 150;</w:t>
      </w:r>
      <w:r w:rsidR="001032C8" w:rsidRPr="00B6032C">
        <w:t xml:space="preserve"> </w:t>
      </w:r>
      <w:r w:rsidR="00D976AD" w:rsidRPr="00B6032C">
        <w:rPr>
          <w:i/>
        </w:rPr>
        <w:t>Canadian National Railway Co. v.</w:t>
      </w:r>
      <w:r w:rsidR="001032C8" w:rsidRPr="00B6032C">
        <w:rPr>
          <w:i/>
        </w:rPr>
        <w:t xml:space="preserve"> Canada (Canadian Human Rights Commission)</w:t>
      </w:r>
      <w:r w:rsidR="001032C8" w:rsidRPr="00B6032C">
        <w:t>, [1987] 1 S</w:t>
      </w:r>
      <w:r w:rsidR="00D976AD" w:rsidRPr="00B6032C">
        <w:t>.</w:t>
      </w:r>
      <w:r w:rsidR="001032C8" w:rsidRPr="00B6032C">
        <w:t>C</w:t>
      </w:r>
      <w:r w:rsidR="00D976AD" w:rsidRPr="00B6032C">
        <w:t>.</w:t>
      </w:r>
      <w:r w:rsidR="001032C8" w:rsidRPr="00B6032C">
        <w:t>R</w:t>
      </w:r>
      <w:r w:rsidR="00D976AD" w:rsidRPr="00B6032C">
        <w:t>.</w:t>
      </w:r>
      <w:r w:rsidR="001032C8" w:rsidRPr="00B6032C">
        <w:t xml:space="preserve"> 1114</w:t>
      </w:r>
      <w:r w:rsidR="00D976AD" w:rsidRPr="00B6032C">
        <w:t>;</w:t>
      </w:r>
      <w:r w:rsidR="001032C8" w:rsidRPr="00B6032C">
        <w:t xml:space="preserve"> </w:t>
      </w:r>
      <w:r w:rsidR="001032C8" w:rsidRPr="00B6032C">
        <w:rPr>
          <w:i/>
        </w:rPr>
        <w:t>Andrews v. Law Society of British Columbia</w:t>
      </w:r>
      <w:r w:rsidR="001032C8" w:rsidRPr="00B6032C">
        <w:t>, [1989] 1 S</w:t>
      </w:r>
      <w:r w:rsidR="005825D0" w:rsidRPr="00B6032C">
        <w:t>.</w:t>
      </w:r>
      <w:r w:rsidR="001032C8" w:rsidRPr="00B6032C">
        <w:t>C</w:t>
      </w:r>
      <w:r w:rsidR="005825D0" w:rsidRPr="00B6032C">
        <w:t>.</w:t>
      </w:r>
      <w:r w:rsidR="001032C8" w:rsidRPr="00B6032C">
        <w:t>R</w:t>
      </w:r>
      <w:r w:rsidR="005825D0" w:rsidRPr="00B6032C">
        <w:t>. 143;</w:t>
      </w:r>
      <w:r w:rsidR="001032C8" w:rsidRPr="00B6032C">
        <w:t xml:space="preserve"> </w:t>
      </w:r>
      <w:r w:rsidR="004459B4" w:rsidRPr="00B6032C">
        <w:rPr>
          <w:i/>
        </w:rPr>
        <w:t>Que</w:t>
      </w:r>
      <w:r w:rsidR="001032C8" w:rsidRPr="00B6032C">
        <w:rPr>
          <w:i/>
        </w:rPr>
        <w:t xml:space="preserve">bec </w:t>
      </w:r>
      <w:r w:rsidR="004459B4" w:rsidRPr="00B6032C">
        <w:rPr>
          <w:i/>
        </w:rPr>
        <w:t xml:space="preserve">(Commission des droits de la </w:t>
      </w:r>
      <w:proofErr w:type="spellStart"/>
      <w:r w:rsidR="004459B4" w:rsidRPr="00B6032C">
        <w:rPr>
          <w:i/>
        </w:rPr>
        <w:t>personne</w:t>
      </w:r>
      <w:proofErr w:type="spellEnd"/>
      <w:r w:rsidR="004459B4" w:rsidRPr="00B6032C">
        <w:rPr>
          <w:i/>
        </w:rPr>
        <w:t xml:space="preserve"> et des droits de la </w:t>
      </w:r>
      <w:proofErr w:type="spellStart"/>
      <w:r w:rsidR="004459B4" w:rsidRPr="00B6032C">
        <w:rPr>
          <w:i/>
        </w:rPr>
        <w:t>jeunesse</w:t>
      </w:r>
      <w:proofErr w:type="spellEnd"/>
      <w:r w:rsidR="004459B4" w:rsidRPr="00B6032C">
        <w:rPr>
          <w:i/>
        </w:rPr>
        <w:t xml:space="preserve">) v. Communauté </w:t>
      </w:r>
      <w:proofErr w:type="spellStart"/>
      <w:r w:rsidR="004459B4" w:rsidRPr="00B6032C">
        <w:rPr>
          <w:i/>
        </w:rPr>
        <w:t>urbaine</w:t>
      </w:r>
      <w:proofErr w:type="spellEnd"/>
      <w:r w:rsidR="004459B4" w:rsidRPr="00B6032C">
        <w:rPr>
          <w:i/>
        </w:rPr>
        <w:t xml:space="preserve"> de Montréal</w:t>
      </w:r>
      <w:r w:rsidR="001032C8" w:rsidRPr="00B6032C">
        <w:t xml:space="preserve">, </w:t>
      </w:r>
      <w:r w:rsidR="004459B4" w:rsidRPr="00B6032C">
        <w:t>2004 SCC 30, [2004</w:t>
      </w:r>
      <w:r w:rsidR="001032C8" w:rsidRPr="00B6032C">
        <w:t>] 1 S</w:t>
      </w:r>
      <w:r w:rsidR="005825D0" w:rsidRPr="00B6032C">
        <w:t>.</w:t>
      </w:r>
      <w:r w:rsidR="001032C8" w:rsidRPr="00B6032C">
        <w:t>C</w:t>
      </w:r>
      <w:r w:rsidR="005825D0" w:rsidRPr="00B6032C">
        <w:t>.</w:t>
      </w:r>
      <w:r w:rsidR="001032C8" w:rsidRPr="00B6032C">
        <w:t>R</w:t>
      </w:r>
      <w:r w:rsidR="005825D0" w:rsidRPr="00B6032C">
        <w:t>.</w:t>
      </w:r>
      <w:r w:rsidR="004459B4" w:rsidRPr="00B6032C">
        <w:t xml:space="preserve"> 789</w:t>
      </w:r>
      <w:r w:rsidR="005825D0" w:rsidRPr="00B6032C">
        <w:t>;</w:t>
      </w:r>
      <w:r w:rsidR="001032C8" w:rsidRPr="00B6032C">
        <w:t xml:space="preserve"> </w:t>
      </w:r>
      <w:proofErr w:type="spellStart"/>
      <w:r w:rsidR="001032C8" w:rsidRPr="00B6032C">
        <w:rPr>
          <w:i/>
        </w:rPr>
        <w:t>Tranchemontagne</w:t>
      </w:r>
      <w:proofErr w:type="spellEnd"/>
      <w:r w:rsidR="001032C8" w:rsidRPr="00B6032C">
        <w:rPr>
          <w:i/>
        </w:rPr>
        <w:t xml:space="preserve"> v. Ontario (Director, Disability Support Program)</w:t>
      </w:r>
      <w:r w:rsidR="001032C8" w:rsidRPr="00B6032C">
        <w:t>, 2006 SCC 14, [2006] 1 S</w:t>
      </w:r>
      <w:r w:rsidR="005825D0" w:rsidRPr="00B6032C">
        <w:t>.</w:t>
      </w:r>
      <w:r w:rsidR="001032C8" w:rsidRPr="00B6032C">
        <w:t>C</w:t>
      </w:r>
      <w:r w:rsidR="005825D0" w:rsidRPr="00B6032C">
        <w:t>.</w:t>
      </w:r>
      <w:r w:rsidR="001032C8" w:rsidRPr="00B6032C">
        <w:t>R</w:t>
      </w:r>
      <w:r w:rsidR="005825D0" w:rsidRPr="00B6032C">
        <w:t>.</w:t>
      </w:r>
      <w:r w:rsidR="001032C8" w:rsidRPr="00B6032C">
        <w:t xml:space="preserve"> 513; </w:t>
      </w:r>
      <w:r w:rsidR="001032C8" w:rsidRPr="00B6032C">
        <w:rPr>
          <w:i/>
        </w:rPr>
        <w:t xml:space="preserve">Alberta v. </w:t>
      </w:r>
      <w:proofErr w:type="spellStart"/>
      <w:r w:rsidR="001032C8" w:rsidRPr="00B6032C">
        <w:rPr>
          <w:i/>
        </w:rPr>
        <w:t>Hutterian</w:t>
      </w:r>
      <w:proofErr w:type="spellEnd"/>
      <w:r w:rsidR="001032C8" w:rsidRPr="00B6032C">
        <w:rPr>
          <w:i/>
        </w:rPr>
        <w:t xml:space="preserve"> Brethren of Wilson Colony</w:t>
      </w:r>
      <w:r w:rsidR="001032C8" w:rsidRPr="00B6032C">
        <w:t>, 2009 SCC 37, [2009] 2 S</w:t>
      </w:r>
      <w:r w:rsidR="00AC7ABD" w:rsidRPr="00B6032C">
        <w:t>.</w:t>
      </w:r>
      <w:r w:rsidR="001032C8" w:rsidRPr="00B6032C">
        <w:t>C</w:t>
      </w:r>
      <w:r w:rsidR="00AC7ABD" w:rsidRPr="00B6032C">
        <w:t>.</w:t>
      </w:r>
      <w:r w:rsidR="001032C8" w:rsidRPr="00B6032C">
        <w:t>R</w:t>
      </w:r>
      <w:r w:rsidR="00AC7ABD" w:rsidRPr="00B6032C">
        <w:t>.</w:t>
      </w:r>
      <w:r w:rsidR="001032C8" w:rsidRPr="00B6032C">
        <w:t xml:space="preserve"> 567; </w:t>
      </w:r>
      <w:r w:rsidR="004B099C" w:rsidRPr="00B6032C">
        <w:rPr>
          <w:i/>
        </w:rPr>
        <w:t>R. v. Oakes</w:t>
      </w:r>
      <w:r w:rsidR="004B099C" w:rsidRPr="00B6032C">
        <w:t>, [1986] 1 S.C.R. 103</w:t>
      </w:r>
      <w:r w:rsidR="001032C8" w:rsidRPr="00B6032C">
        <w:t xml:space="preserve">; </w:t>
      </w:r>
      <w:r w:rsidR="003A0E84" w:rsidRPr="00B6032C">
        <w:rPr>
          <w:i/>
        </w:rPr>
        <w:t>Wilson v. Atomic Energy of Canada Ltd.</w:t>
      </w:r>
      <w:r w:rsidR="003A0E84" w:rsidRPr="00B6032C">
        <w:t>, 2016 SCC 29, [2016] 1 S.C.R. 770;</w:t>
      </w:r>
      <w:r w:rsidR="003A0E84" w:rsidRPr="00B6032C">
        <w:rPr>
          <w:i/>
        </w:rPr>
        <w:t xml:space="preserve"> </w:t>
      </w:r>
      <w:r w:rsidR="00F570D4" w:rsidRPr="00B6032C">
        <w:rPr>
          <w:i/>
        </w:rPr>
        <w:t>Edmonton (City) v. Edmonton East (</w:t>
      </w:r>
      <w:proofErr w:type="spellStart"/>
      <w:r w:rsidR="00F570D4" w:rsidRPr="00B6032C">
        <w:rPr>
          <w:i/>
        </w:rPr>
        <w:t>Capilano</w:t>
      </w:r>
      <w:proofErr w:type="spellEnd"/>
      <w:r w:rsidR="00F570D4" w:rsidRPr="00B6032C">
        <w:rPr>
          <w:i/>
        </w:rPr>
        <w:t>) Shopping Centres Ltd.</w:t>
      </w:r>
      <w:r w:rsidR="00F570D4" w:rsidRPr="00B6032C">
        <w:t xml:space="preserve">, 2016 SCC 47, [2016] 2 S.C.R. 293; </w:t>
      </w:r>
      <w:r w:rsidR="001032C8" w:rsidRPr="00B6032C">
        <w:rPr>
          <w:i/>
        </w:rPr>
        <w:t xml:space="preserve">Quebec (Attorney General) v. </w:t>
      </w:r>
      <w:proofErr w:type="spellStart"/>
      <w:r w:rsidR="001032C8" w:rsidRPr="00B6032C">
        <w:rPr>
          <w:i/>
        </w:rPr>
        <w:t>Guérin</w:t>
      </w:r>
      <w:proofErr w:type="spellEnd"/>
      <w:r w:rsidR="001032C8" w:rsidRPr="00B6032C">
        <w:t>, 2017 SCC 42</w:t>
      </w:r>
      <w:r w:rsidR="007006E7" w:rsidRPr="00B6032C">
        <w:t>, [2017] 2 S.C.R. 3</w:t>
      </w:r>
      <w:r w:rsidR="001032C8" w:rsidRPr="00B6032C">
        <w:t xml:space="preserve">; </w:t>
      </w:r>
      <w:r w:rsidR="001032C8" w:rsidRPr="00B6032C">
        <w:rPr>
          <w:i/>
        </w:rPr>
        <w:t xml:space="preserve">Delta Air Lines Inc. v. </w:t>
      </w:r>
      <w:proofErr w:type="spellStart"/>
      <w:r w:rsidR="001032C8" w:rsidRPr="00B6032C">
        <w:rPr>
          <w:i/>
        </w:rPr>
        <w:t>Lukács</w:t>
      </w:r>
      <w:proofErr w:type="spellEnd"/>
      <w:r w:rsidR="001032C8" w:rsidRPr="00B6032C">
        <w:t>, 2018 SCC 2</w:t>
      </w:r>
      <w:r w:rsidR="00F428FC">
        <w:t xml:space="preserve">, [2018] 1 S.C.R. </w:t>
      </w:r>
      <w:r w:rsidR="0033441F">
        <w:t>6</w:t>
      </w:r>
      <w:r w:rsidR="001032C8" w:rsidRPr="00B6032C">
        <w:t xml:space="preserve">; </w:t>
      </w:r>
      <w:proofErr w:type="spellStart"/>
      <w:r w:rsidR="001032C8" w:rsidRPr="00B6032C">
        <w:rPr>
          <w:i/>
        </w:rPr>
        <w:t>Mouvement</w:t>
      </w:r>
      <w:proofErr w:type="spellEnd"/>
      <w:r w:rsidR="001032C8" w:rsidRPr="00B6032C">
        <w:rPr>
          <w:i/>
        </w:rPr>
        <w:t xml:space="preserve"> </w:t>
      </w:r>
      <w:proofErr w:type="spellStart"/>
      <w:r w:rsidR="001032C8" w:rsidRPr="00B6032C">
        <w:rPr>
          <w:i/>
        </w:rPr>
        <w:t>laïque</w:t>
      </w:r>
      <w:proofErr w:type="spellEnd"/>
      <w:r w:rsidR="001032C8" w:rsidRPr="00B6032C">
        <w:rPr>
          <w:i/>
        </w:rPr>
        <w:t xml:space="preserve"> </w:t>
      </w:r>
      <w:proofErr w:type="spellStart"/>
      <w:r w:rsidR="001032C8" w:rsidRPr="00B6032C">
        <w:rPr>
          <w:i/>
        </w:rPr>
        <w:t>québécois</w:t>
      </w:r>
      <w:proofErr w:type="spellEnd"/>
      <w:r w:rsidR="001032C8" w:rsidRPr="00B6032C">
        <w:rPr>
          <w:i/>
        </w:rPr>
        <w:t xml:space="preserve"> v. Saguenay (City)</w:t>
      </w:r>
      <w:r w:rsidR="001032C8" w:rsidRPr="00B6032C">
        <w:t>, 2015 SCC 16, [2015] 2 S</w:t>
      </w:r>
      <w:r w:rsidR="000F71C8" w:rsidRPr="00B6032C">
        <w:t>.</w:t>
      </w:r>
      <w:r w:rsidR="001032C8" w:rsidRPr="00B6032C">
        <w:t>C</w:t>
      </w:r>
      <w:r w:rsidR="000F71C8" w:rsidRPr="00B6032C">
        <w:t>.</w:t>
      </w:r>
      <w:r w:rsidR="001032C8" w:rsidRPr="00B6032C">
        <w:t>R</w:t>
      </w:r>
      <w:r w:rsidR="000F71C8" w:rsidRPr="00B6032C">
        <w:t>.</w:t>
      </w:r>
      <w:r w:rsidR="001032C8" w:rsidRPr="00B6032C">
        <w:t xml:space="preserve"> 3; </w:t>
      </w:r>
      <w:r w:rsidR="001032C8" w:rsidRPr="00B6032C">
        <w:rPr>
          <w:i/>
        </w:rPr>
        <w:t>Tervita Cor</w:t>
      </w:r>
      <w:r w:rsidR="00A77D6E" w:rsidRPr="00B6032C">
        <w:rPr>
          <w:i/>
        </w:rPr>
        <w:t>p. </w:t>
      </w:r>
      <w:r w:rsidR="001032C8" w:rsidRPr="00B6032C">
        <w:rPr>
          <w:i/>
        </w:rPr>
        <w:t>v. Canada (Commissioner of Competition)</w:t>
      </w:r>
      <w:r w:rsidR="001032C8" w:rsidRPr="00B6032C">
        <w:t>, 2015 SCC 3</w:t>
      </w:r>
      <w:r w:rsidR="00E85DE6" w:rsidRPr="00B6032C">
        <w:t>, [2015] 1 S.C.R. 161</w:t>
      </w:r>
      <w:r w:rsidR="001032C8" w:rsidRPr="00B6032C">
        <w:t xml:space="preserve">; </w:t>
      </w:r>
      <w:r w:rsidR="001032C8" w:rsidRPr="00B6032C">
        <w:rPr>
          <w:i/>
        </w:rPr>
        <w:t>McLean v. British Columbia (Securities Commission)</w:t>
      </w:r>
      <w:r w:rsidR="001032C8" w:rsidRPr="00B6032C">
        <w:t xml:space="preserve">, 2013 SCC 67, [2013] 3 S.C.R. 895; </w:t>
      </w:r>
      <w:r w:rsidR="001032C8" w:rsidRPr="00B6032C">
        <w:rPr>
          <w:i/>
        </w:rPr>
        <w:t>Rogers Communications Inc. v. Society of Composers, Authors and Music Publishers of Canada</w:t>
      </w:r>
      <w:r w:rsidR="001032C8" w:rsidRPr="00B6032C">
        <w:t>, 2012 SCC 35, [2012] 2 S</w:t>
      </w:r>
      <w:r w:rsidR="0062561F" w:rsidRPr="00B6032C">
        <w:t>.</w:t>
      </w:r>
      <w:r w:rsidR="001032C8" w:rsidRPr="00B6032C">
        <w:t>C</w:t>
      </w:r>
      <w:r w:rsidR="0062561F" w:rsidRPr="00B6032C">
        <w:t>.</w:t>
      </w:r>
      <w:r w:rsidR="001032C8" w:rsidRPr="00B6032C">
        <w:t>R</w:t>
      </w:r>
      <w:r w:rsidR="0062561F" w:rsidRPr="00B6032C">
        <w:t>.</w:t>
      </w:r>
      <w:r w:rsidR="001032C8" w:rsidRPr="00B6032C">
        <w:t xml:space="preserve"> 283; </w:t>
      </w:r>
      <w:r w:rsidR="001032C8" w:rsidRPr="00B6032C">
        <w:rPr>
          <w:i/>
        </w:rPr>
        <w:t>Canada (Canadian Human Rights Commission) v. Canada (Attorney General)</w:t>
      </w:r>
      <w:r w:rsidR="001032C8" w:rsidRPr="00B6032C">
        <w:t>, 2011 SCC 53, [2011] 3 S</w:t>
      </w:r>
      <w:r w:rsidR="00D419C7" w:rsidRPr="00B6032C">
        <w:t>.</w:t>
      </w:r>
      <w:r w:rsidR="001032C8" w:rsidRPr="00B6032C">
        <w:t>C</w:t>
      </w:r>
      <w:r w:rsidR="00D419C7" w:rsidRPr="00B6032C">
        <w:t>.</w:t>
      </w:r>
      <w:r w:rsidR="001032C8" w:rsidRPr="00B6032C">
        <w:t>R</w:t>
      </w:r>
      <w:r w:rsidR="00D419C7" w:rsidRPr="00B6032C">
        <w:t>.</w:t>
      </w:r>
      <w:r w:rsidR="001032C8" w:rsidRPr="00B6032C">
        <w:t xml:space="preserve"> 471; </w:t>
      </w:r>
      <w:r w:rsidR="001032C8" w:rsidRPr="00B6032C">
        <w:rPr>
          <w:i/>
        </w:rPr>
        <w:t xml:space="preserve">Saskatchewan (Human Rights Commission) v. </w:t>
      </w:r>
      <w:proofErr w:type="spellStart"/>
      <w:r w:rsidR="001032C8" w:rsidRPr="00B6032C">
        <w:rPr>
          <w:i/>
        </w:rPr>
        <w:t>Whatcott</w:t>
      </w:r>
      <w:proofErr w:type="spellEnd"/>
      <w:r w:rsidR="001032C8" w:rsidRPr="00B6032C">
        <w:t>, 2013 SCC 11, [2013] 1 S</w:t>
      </w:r>
      <w:r w:rsidR="00B75EEE" w:rsidRPr="00B6032C">
        <w:t>.</w:t>
      </w:r>
      <w:r w:rsidR="001032C8" w:rsidRPr="00B6032C">
        <w:t>C</w:t>
      </w:r>
      <w:r w:rsidR="00B75EEE" w:rsidRPr="00B6032C">
        <w:t>.</w:t>
      </w:r>
      <w:r w:rsidR="001032C8" w:rsidRPr="00B6032C">
        <w:t>R</w:t>
      </w:r>
      <w:r w:rsidR="00B75EEE" w:rsidRPr="00B6032C">
        <w:t>.</w:t>
      </w:r>
      <w:r w:rsidR="001032C8" w:rsidRPr="00B6032C">
        <w:t xml:space="preserve"> 467; </w:t>
      </w:r>
      <w:r w:rsidR="001032C8" w:rsidRPr="00B6032C">
        <w:rPr>
          <w:i/>
        </w:rPr>
        <w:t>Stewart v. Elk Valley Coal Corp.</w:t>
      </w:r>
      <w:r w:rsidR="001032C8" w:rsidRPr="00B6032C">
        <w:t>, 2017 SCC 30, [2017] 1 S</w:t>
      </w:r>
      <w:r w:rsidR="00B71F3C" w:rsidRPr="00B6032C">
        <w:t>.</w:t>
      </w:r>
      <w:r w:rsidR="001032C8" w:rsidRPr="00B6032C">
        <w:t>C</w:t>
      </w:r>
      <w:r w:rsidR="00B71F3C" w:rsidRPr="00B6032C">
        <w:t>.</w:t>
      </w:r>
      <w:r w:rsidR="001032C8" w:rsidRPr="00B6032C">
        <w:t>R</w:t>
      </w:r>
      <w:r w:rsidR="00B71F3C" w:rsidRPr="00B6032C">
        <w:t>.</w:t>
      </w:r>
      <w:r w:rsidR="001032C8" w:rsidRPr="00B6032C">
        <w:t xml:space="preserve"> 591; </w:t>
      </w:r>
      <w:r w:rsidR="004F5B2C" w:rsidRPr="00B6032C">
        <w:rPr>
          <w:i/>
        </w:rPr>
        <w:t>Canadian Union of Public Employees, Local 963 v. New Brunswick Liquor Corp.</w:t>
      </w:r>
      <w:r w:rsidR="004F5B2C" w:rsidRPr="00B6032C">
        <w:t xml:space="preserve">, </w:t>
      </w:r>
      <w:r w:rsidR="001032C8" w:rsidRPr="00B6032C">
        <w:t>[1979] 2 S</w:t>
      </w:r>
      <w:r w:rsidR="004F5B2C" w:rsidRPr="00B6032C">
        <w:t>.</w:t>
      </w:r>
      <w:r w:rsidR="001032C8" w:rsidRPr="00B6032C">
        <w:t>C</w:t>
      </w:r>
      <w:r w:rsidR="004F5B2C" w:rsidRPr="00B6032C">
        <w:t>.</w:t>
      </w:r>
      <w:r w:rsidR="001032C8" w:rsidRPr="00B6032C">
        <w:t>R</w:t>
      </w:r>
      <w:r w:rsidR="004F5B2C" w:rsidRPr="00B6032C">
        <w:t>.</w:t>
      </w:r>
      <w:r w:rsidR="001032C8" w:rsidRPr="00B6032C">
        <w:t xml:space="preserve"> 227; </w:t>
      </w:r>
      <w:r w:rsidR="005134FE" w:rsidRPr="00B6032C">
        <w:rPr>
          <w:i/>
        </w:rPr>
        <w:t>Halifax (Regional Municipality) v. Nova Scotia (Human Rights Commission)</w:t>
      </w:r>
      <w:r w:rsidR="005134FE" w:rsidRPr="00B6032C">
        <w:t xml:space="preserve">, 2012 SCC 10, [2012] 1 S.C.R. 364; </w:t>
      </w:r>
      <w:r w:rsidR="001032C8" w:rsidRPr="00B6032C">
        <w:rPr>
          <w:i/>
        </w:rPr>
        <w:t>Canadian Broadcasting Cor</w:t>
      </w:r>
      <w:r w:rsidR="00002418" w:rsidRPr="00B6032C">
        <w:rPr>
          <w:i/>
        </w:rPr>
        <w:t xml:space="preserve">p. </w:t>
      </w:r>
      <w:r w:rsidR="001032C8" w:rsidRPr="00B6032C">
        <w:rPr>
          <w:i/>
        </w:rPr>
        <w:t>v. SODRAC 2003 Inc.</w:t>
      </w:r>
      <w:r w:rsidR="001032C8" w:rsidRPr="00B6032C">
        <w:t>, 2015 SCC 57, [2015] 3 S</w:t>
      </w:r>
      <w:r w:rsidR="0074256A" w:rsidRPr="00B6032C">
        <w:t>.</w:t>
      </w:r>
      <w:r w:rsidR="001032C8" w:rsidRPr="00B6032C">
        <w:t>C</w:t>
      </w:r>
      <w:r w:rsidR="0074256A" w:rsidRPr="00B6032C">
        <w:t>.</w:t>
      </w:r>
      <w:r w:rsidR="001032C8" w:rsidRPr="00B6032C">
        <w:t>R</w:t>
      </w:r>
      <w:r w:rsidR="0074256A" w:rsidRPr="00B6032C">
        <w:t>.</w:t>
      </w:r>
      <w:r w:rsidR="001032C8" w:rsidRPr="00B6032C">
        <w:t xml:space="preserve"> 615; </w:t>
      </w:r>
      <w:r w:rsidR="001032C8" w:rsidRPr="00B6032C">
        <w:rPr>
          <w:i/>
        </w:rPr>
        <w:t>Nolan v. Kerry (Canada) Inc.</w:t>
      </w:r>
      <w:r w:rsidR="001032C8" w:rsidRPr="00B6032C">
        <w:t>, 2009 SCC 39, [2009] 2 S</w:t>
      </w:r>
      <w:r w:rsidR="00D20335" w:rsidRPr="00B6032C">
        <w:t>.</w:t>
      </w:r>
      <w:r w:rsidR="001032C8" w:rsidRPr="00B6032C">
        <w:t>C</w:t>
      </w:r>
      <w:r w:rsidR="00D20335" w:rsidRPr="00B6032C">
        <w:t>.</w:t>
      </w:r>
      <w:r w:rsidR="001032C8" w:rsidRPr="00B6032C">
        <w:t>R</w:t>
      </w:r>
      <w:r w:rsidR="00D20335" w:rsidRPr="00B6032C">
        <w:t>.</w:t>
      </w:r>
      <w:r w:rsidR="001032C8" w:rsidRPr="00B6032C">
        <w:t xml:space="preserve"> 678; </w:t>
      </w:r>
      <w:r w:rsidR="001032C8" w:rsidRPr="00B6032C">
        <w:rPr>
          <w:i/>
        </w:rPr>
        <w:t>Smith v. Alliance Pipeline Ltd.</w:t>
      </w:r>
      <w:r w:rsidR="001032C8" w:rsidRPr="00B6032C">
        <w:t>, 2011 SCC 7, [2011] 1 S</w:t>
      </w:r>
      <w:r w:rsidR="00D20335" w:rsidRPr="00B6032C">
        <w:t>.</w:t>
      </w:r>
      <w:r w:rsidR="001032C8" w:rsidRPr="00B6032C">
        <w:t>C</w:t>
      </w:r>
      <w:r w:rsidR="00D20335" w:rsidRPr="00B6032C">
        <w:t>.</w:t>
      </w:r>
      <w:r w:rsidR="001032C8" w:rsidRPr="00B6032C">
        <w:t>R</w:t>
      </w:r>
      <w:r w:rsidR="00D20335" w:rsidRPr="00B6032C">
        <w:t>.</w:t>
      </w:r>
      <w:r w:rsidR="001032C8" w:rsidRPr="00B6032C">
        <w:t xml:space="preserve"> 160; </w:t>
      </w:r>
      <w:r w:rsidR="00893F2E" w:rsidRPr="00B6032C">
        <w:rPr>
          <w:i/>
        </w:rPr>
        <w:t>City of Arlington, Texas v. Federal Communications Commission</w:t>
      </w:r>
      <w:r w:rsidR="00893F2E" w:rsidRPr="00B6032C">
        <w:t xml:space="preserve">, 133 S. Ct. 1863 (2013); </w:t>
      </w:r>
      <w:r w:rsidR="001032C8" w:rsidRPr="00B6032C">
        <w:rPr>
          <w:i/>
        </w:rPr>
        <w:t>ATCO Gas and Pipelines Ltd. v. Alberta (Utilities Commission)</w:t>
      </w:r>
      <w:r w:rsidR="001032C8" w:rsidRPr="00B6032C">
        <w:t>, 2015 SCC 45, [2015] 3 S</w:t>
      </w:r>
      <w:r w:rsidR="00C87D39" w:rsidRPr="00B6032C">
        <w:t>.</w:t>
      </w:r>
      <w:r w:rsidR="001032C8" w:rsidRPr="00B6032C">
        <w:t>C</w:t>
      </w:r>
      <w:r w:rsidR="00C87D39" w:rsidRPr="00B6032C">
        <w:t>.</w:t>
      </w:r>
      <w:r w:rsidR="001032C8" w:rsidRPr="00B6032C">
        <w:t>R</w:t>
      </w:r>
      <w:r w:rsidR="00C87D39" w:rsidRPr="00B6032C">
        <w:t>.</w:t>
      </w:r>
      <w:r w:rsidR="001032C8" w:rsidRPr="00B6032C">
        <w:t xml:space="preserve"> 219; </w:t>
      </w:r>
      <w:r w:rsidR="001032C8" w:rsidRPr="00B6032C">
        <w:rPr>
          <w:i/>
        </w:rPr>
        <w:t>Canadian National Railway Co. v. Canada (Attorney General)</w:t>
      </w:r>
      <w:r w:rsidR="001032C8" w:rsidRPr="00B6032C">
        <w:t>, 2014 SCC 40, [2014] 2 S</w:t>
      </w:r>
      <w:r w:rsidR="00163C9C" w:rsidRPr="00B6032C">
        <w:t>.</w:t>
      </w:r>
      <w:r w:rsidR="001032C8" w:rsidRPr="00B6032C">
        <w:t>C</w:t>
      </w:r>
      <w:r w:rsidR="00163C9C" w:rsidRPr="00B6032C">
        <w:t>.</w:t>
      </w:r>
      <w:r w:rsidR="001032C8" w:rsidRPr="00B6032C">
        <w:t>R</w:t>
      </w:r>
      <w:r w:rsidR="00163C9C" w:rsidRPr="00B6032C">
        <w:t>.</w:t>
      </w:r>
      <w:r w:rsidR="001032C8" w:rsidRPr="00B6032C">
        <w:t xml:space="preserve"> 135; </w:t>
      </w:r>
      <w:proofErr w:type="spellStart"/>
      <w:r w:rsidR="001032C8" w:rsidRPr="00B6032C">
        <w:rPr>
          <w:i/>
        </w:rPr>
        <w:t>Crevier</w:t>
      </w:r>
      <w:proofErr w:type="spellEnd"/>
      <w:r w:rsidR="001032C8" w:rsidRPr="00B6032C">
        <w:rPr>
          <w:i/>
        </w:rPr>
        <w:t xml:space="preserve"> v. </w:t>
      </w:r>
      <w:r w:rsidR="00163C9C" w:rsidRPr="00B6032C">
        <w:rPr>
          <w:i/>
        </w:rPr>
        <w:t>Attorney General of Quebec</w:t>
      </w:r>
      <w:r w:rsidR="001032C8" w:rsidRPr="00B6032C">
        <w:t>, [1981] 2 S</w:t>
      </w:r>
      <w:r w:rsidR="00163C9C" w:rsidRPr="00B6032C">
        <w:t>.</w:t>
      </w:r>
      <w:r w:rsidR="001032C8" w:rsidRPr="00B6032C">
        <w:t>C</w:t>
      </w:r>
      <w:r w:rsidR="00163C9C" w:rsidRPr="00B6032C">
        <w:t>.</w:t>
      </w:r>
      <w:r w:rsidR="001032C8" w:rsidRPr="00B6032C">
        <w:t>R</w:t>
      </w:r>
      <w:r w:rsidR="00163C9C" w:rsidRPr="00B6032C">
        <w:t>.</w:t>
      </w:r>
      <w:r w:rsidR="001032C8" w:rsidRPr="00B6032C">
        <w:t xml:space="preserve"> 220; </w:t>
      </w:r>
      <w:r w:rsidR="001032C8" w:rsidRPr="00B6032C">
        <w:rPr>
          <w:i/>
        </w:rPr>
        <w:t>Alberta (Information and Privacy Commissioner) v. University of Calgary</w:t>
      </w:r>
      <w:r w:rsidR="001032C8" w:rsidRPr="00B6032C">
        <w:t>, 2016 SCC 53, [2016] 2 S</w:t>
      </w:r>
      <w:r w:rsidR="00163C9C" w:rsidRPr="00B6032C">
        <w:t>.</w:t>
      </w:r>
      <w:r w:rsidR="001032C8" w:rsidRPr="00B6032C">
        <w:t>C</w:t>
      </w:r>
      <w:r w:rsidR="00163C9C" w:rsidRPr="00B6032C">
        <w:t>.</w:t>
      </w:r>
      <w:r w:rsidR="001032C8" w:rsidRPr="00B6032C">
        <w:t>R</w:t>
      </w:r>
      <w:r w:rsidR="00163C9C" w:rsidRPr="00B6032C">
        <w:t>.</w:t>
      </w:r>
      <w:r w:rsidR="001032C8" w:rsidRPr="00B6032C">
        <w:t xml:space="preserve"> 555; </w:t>
      </w:r>
      <w:r w:rsidR="001032C8" w:rsidRPr="00B6032C">
        <w:rPr>
          <w:i/>
        </w:rPr>
        <w:t>Nor</w:t>
      </w:r>
      <w:r w:rsidR="00A77D6E" w:rsidRPr="00B6032C">
        <w:rPr>
          <w:i/>
        </w:rPr>
        <w:noBreakHyphen/>
      </w:r>
      <w:r w:rsidR="001032C8" w:rsidRPr="00B6032C">
        <w:rPr>
          <w:i/>
        </w:rPr>
        <w:t>Man Regional Health Authority Inc. v. Manitoba Association of Health Care Professionals</w:t>
      </w:r>
      <w:r w:rsidR="001032C8" w:rsidRPr="00B6032C">
        <w:t>, 2011 SCC 59, [2011] 3 S</w:t>
      </w:r>
      <w:r w:rsidR="005E3882" w:rsidRPr="00B6032C">
        <w:t>.</w:t>
      </w:r>
      <w:r w:rsidR="001032C8" w:rsidRPr="00B6032C">
        <w:t>C</w:t>
      </w:r>
      <w:r w:rsidR="005E3882" w:rsidRPr="00B6032C">
        <w:t>.</w:t>
      </w:r>
      <w:r w:rsidR="001032C8" w:rsidRPr="00B6032C">
        <w:t>R</w:t>
      </w:r>
      <w:r w:rsidR="005E3882" w:rsidRPr="00B6032C">
        <w:t>.</w:t>
      </w:r>
      <w:r w:rsidR="001032C8" w:rsidRPr="00B6032C">
        <w:t xml:space="preserve"> 616; </w:t>
      </w:r>
      <w:proofErr w:type="spellStart"/>
      <w:r w:rsidR="001032C8" w:rsidRPr="00B6032C">
        <w:rPr>
          <w:i/>
        </w:rPr>
        <w:t>Kanthasamy</w:t>
      </w:r>
      <w:proofErr w:type="spellEnd"/>
      <w:r w:rsidR="001032C8" w:rsidRPr="00B6032C">
        <w:rPr>
          <w:i/>
        </w:rPr>
        <w:t xml:space="preserve"> v. Canada (Citizenship and Immigration)</w:t>
      </w:r>
      <w:r w:rsidR="001032C8" w:rsidRPr="00B6032C">
        <w:t>, 2015 SCC 61, [2015] 3 S</w:t>
      </w:r>
      <w:r w:rsidR="005E3882" w:rsidRPr="00B6032C">
        <w:t>.</w:t>
      </w:r>
      <w:r w:rsidR="001032C8" w:rsidRPr="00B6032C">
        <w:t>C</w:t>
      </w:r>
      <w:r w:rsidR="005E3882" w:rsidRPr="00B6032C">
        <w:t>.</w:t>
      </w:r>
      <w:r w:rsidR="001032C8" w:rsidRPr="00B6032C">
        <w:t>R</w:t>
      </w:r>
      <w:r w:rsidR="005E3882" w:rsidRPr="00B6032C">
        <w:t>.</w:t>
      </w:r>
      <w:r w:rsidR="001032C8" w:rsidRPr="00B6032C">
        <w:t xml:space="preserve"> 909; </w:t>
      </w:r>
      <w:r w:rsidR="001032C8" w:rsidRPr="00B6032C">
        <w:rPr>
          <w:i/>
        </w:rPr>
        <w:t xml:space="preserve">Commission </w:t>
      </w:r>
      <w:proofErr w:type="spellStart"/>
      <w:r w:rsidR="001032C8" w:rsidRPr="00B6032C">
        <w:rPr>
          <w:i/>
        </w:rPr>
        <w:t>scolaire</w:t>
      </w:r>
      <w:proofErr w:type="spellEnd"/>
      <w:r w:rsidR="001032C8" w:rsidRPr="00B6032C">
        <w:rPr>
          <w:i/>
        </w:rPr>
        <w:t xml:space="preserve"> de Laval v. </w:t>
      </w:r>
      <w:proofErr w:type="spellStart"/>
      <w:r w:rsidR="001032C8" w:rsidRPr="00B6032C">
        <w:rPr>
          <w:i/>
        </w:rPr>
        <w:t>Syndicat</w:t>
      </w:r>
      <w:proofErr w:type="spellEnd"/>
      <w:r w:rsidR="001032C8" w:rsidRPr="00B6032C">
        <w:rPr>
          <w:i/>
        </w:rPr>
        <w:t xml:space="preserve"> de </w:t>
      </w:r>
      <w:proofErr w:type="spellStart"/>
      <w:r w:rsidR="001032C8" w:rsidRPr="00B6032C">
        <w:rPr>
          <w:i/>
        </w:rPr>
        <w:t>l’enseignement</w:t>
      </w:r>
      <w:proofErr w:type="spellEnd"/>
      <w:r w:rsidR="001032C8" w:rsidRPr="00B6032C">
        <w:rPr>
          <w:i/>
        </w:rPr>
        <w:t xml:space="preserve"> de la </w:t>
      </w:r>
      <w:proofErr w:type="spellStart"/>
      <w:r w:rsidR="001032C8" w:rsidRPr="00B6032C">
        <w:rPr>
          <w:i/>
        </w:rPr>
        <w:t>région</w:t>
      </w:r>
      <w:proofErr w:type="spellEnd"/>
      <w:r w:rsidR="001032C8" w:rsidRPr="00B6032C">
        <w:rPr>
          <w:i/>
        </w:rPr>
        <w:t xml:space="preserve"> de Laval</w:t>
      </w:r>
      <w:r w:rsidR="001032C8" w:rsidRPr="00B6032C">
        <w:t>, 2016 SCC 8, [2016] 1 S</w:t>
      </w:r>
      <w:r w:rsidR="00703677" w:rsidRPr="00B6032C">
        <w:t>.</w:t>
      </w:r>
      <w:r w:rsidR="001032C8" w:rsidRPr="00B6032C">
        <w:t>C</w:t>
      </w:r>
      <w:r w:rsidR="00703677" w:rsidRPr="00B6032C">
        <w:t>.</w:t>
      </w:r>
      <w:r w:rsidR="001032C8" w:rsidRPr="00B6032C">
        <w:t>R</w:t>
      </w:r>
      <w:r w:rsidR="00703677" w:rsidRPr="00B6032C">
        <w:t>.</w:t>
      </w:r>
      <w:r w:rsidR="001032C8" w:rsidRPr="00B6032C">
        <w:t xml:space="preserve"> 29; </w:t>
      </w:r>
      <w:r w:rsidR="001032C8" w:rsidRPr="00B6032C">
        <w:rPr>
          <w:i/>
        </w:rPr>
        <w:t>Barreau du Québec v. Quebec (Attorney General)</w:t>
      </w:r>
      <w:r w:rsidR="001032C8" w:rsidRPr="00B6032C">
        <w:t>, 2017 SCC 56</w:t>
      </w:r>
      <w:r w:rsidR="00257C94" w:rsidRPr="00B6032C">
        <w:t>, [2017] 2 S.C.R. 488</w:t>
      </w:r>
      <w:r w:rsidR="001032C8" w:rsidRPr="00B6032C">
        <w:t xml:space="preserve">; </w:t>
      </w:r>
      <w:r w:rsidR="000C06AA" w:rsidRPr="00B6032C">
        <w:rPr>
          <w:i/>
        </w:rPr>
        <w:t xml:space="preserve">Canada (Citizenship and Immigration) v. </w:t>
      </w:r>
      <w:proofErr w:type="spellStart"/>
      <w:r w:rsidR="000C06AA" w:rsidRPr="00B6032C">
        <w:rPr>
          <w:i/>
        </w:rPr>
        <w:t>Khosa</w:t>
      </w:r>
      <w:proofErr w:type="spellEnd"/>
      <w:r w:rsidR="000C06AA" w:rsidRPr="00B6032C">
        <w:t xml:space="preserve">, 2009 SCC 12, [2009] 1 S.C.R. 339; </w:t>
      </w:r>
      <w:r w:rsidR="000C06AA" w:rsidRPr="00B6032C">
        <w:rPr>
          <w:i/>
        </w:rPr>
        <w:t xml:space="preserve">Domtar Inc. v. Quebec (Commission d’appel en </w:t>
      </w:r>
      <w:proofErr w:type="spellStart"/>
      <w:r w:rsidR="000C06AA" w:rsidRPr="00B6032C">
        <w:rPr>
          <w:i/>
        </w:rPr>
        <w:t>matière</w:t>
      </w:r>
      <w:proofErr w:type="spellEnd"/>
      <w:r w:rsidR="000C06AA" w:rsidRPr="00B6032C">
        <w:rPr>
          <w:i/>
        </w:rPr>
        <w:t xml:space="preserve"> de </w:t>
      </w:r>
      <w:proofErr w:type="spellStart"/>
      <w:r w:rsidR="000C06AA" w:rsidRPr="00B6032C">
        <w:rPr>
          <w:i/>
        </w:rPr>
        <w:t>lésions</w:t>
      </w:r>
      <w:proofErr w:type="spellEnd"/>
      <w:r w:rsidR="000C06AA" w:rsidRPr="00B6032C">
        <w:rPr>
          <w:i/>
        </w:rPr>
        <w:t xml:space="preserve"> </w:t>
      </w:r>
      <w:proofErr w:type="spellStart"/>
      <w:r w:rsidR="000C06AA" w:rsidRPr="00B6032C">
        <w:rPr>
          <w:i/>
        </w:rPr>
        <w:t>professionnelles</w:t>
      </w:r>
      <w:proofErr w:type="spellEnd"/>
      <w:r w:rsidR="000C06AA" w:rsidRPr="00B6032C">
        <w:rPr>
          <w:i/>
        </w:rPr>
        <w:t>)</w:t>
      </w:r>
      <w:r w:rsidR="000C06AA" w:rsidRPr="00B6032C">
        <w:t xml:space="preserve">, [1993] 2 S.C.R. 756; </w:t>
      </w:r>
      <w:r w:rsidR="00455E8B" w:rsidRPr="00B6032C">
        <w:rPr>
          <w:i/>
        </w:rPr>
        <w:t>Newfoundland and Labrador Nurses’ Union v. Newfoundland and Labrador (Treasury Board)</w:t>
      </w:r>
      <w:r w:rsidR="00455E8B" w:rsidRPr="00B6032C">
        <w:t xml:space="preserve">, 2011 SCC 62, [2011] 3 S.C.R. 708; </w:t>
      </w:r>
      <w:r w:rsidR="001032C8" w:rsidRPr="00B6032C">
        <w:rPr>
          <w:i/>
        </w:rPr>
        <w:t xml:space="preserve">Beattie v. </w:t>
      </w:r>
      <w:r w:rsidR="00B907A5" w:rsidRPr="00B6032C">
        <w:rPr>
          <w:i/>
        </w:rPr>
        <w:t>Canada (</w:t>
      </w:r>
      <w:r w:rsidR="001032C8" w:rsidRPr="00B6032C">
        <w:rPr>
          <w:i/>
        </w:rPr>
        <w:t>Aboriginal Affairs and Northern Development</w:t>
      </w:r>
      <w:r w:rsidR="00B907A5" w:rsidRPr="00B6032C">
        <w:rPr>
          <w:i/>
        </w:rPr>
        <w:t>)</w:t>
      </w:r>
      <w:r w:rsidR="00B907A5" w:rsidRPr="00B6032C">
        <w:t>, 2014 CHRT 1</w:t>
      </w:r>
      <w:r w:rsidR="001032C8" w:rsidRPr="00B6032C">
        <w:t xml:space="preserve">; </w:t>
      </w:r>
      <w:r w:rsidR="001032C8" w:rsidRPr="00B6032C">
        <w:rPr>
          <w:i/>
        </w:rPr>
        <w:t>Canada (Attorney General) v. Davis</w:t>
      </w:r>
      <w:r w:rsidR="001032C8" w:rsidRPr="00B6032C">
        <w:t>, 2013 FC 40, 425 F</w:t>
      </w:r>
      <w:r w:rsidR="00B907A5" w:rsidRPr="00B6032C">
        <w:t>.</w:t>
      </w:r>
      <w:r w:rsidR="001032C8" w:rsidRPr="00B6032C">
        <w:t>T</w:t>
      </w:r>
      <w:r w:rsidR="00B907A5" w:rsidRPr="00B6032C">
        <w:t>.</w:t>
      </w:r>
      <w:r w:rsidR="001032C8" w:rsidRPr="00B6032C">
        <w:t>R</w:t>
      </w:r>
      <w:r w:rsidR="00B907A5" w:rsidRPr="00B6032C">
        <w:t>.</w:t>
      </w:r>
      <w:r w:rsidR="001032C8" w:rsidRPr="00B6032C">
        <w:t xml:space="preserve"> 200; </w:t>
      </w:r>
      <w:r w:rsidR="001032C8" w:rsidRPr="00B6032C">
        <w:rPr>
          <w:i/>
        </w:rPr>
        <w:t>Canada (</w:t>
      </w:r>
      <w:r w:rsidR="00E807CB" w:rsidRPr="00B6032C">
        <w:rPr>
          <w:i/>
        </w:rPr>
        <w:t xml:space="preserve">Canadian </w:t>
      </w:r>
      <w:r w:rsidR="001032C8" w:rsidRPr="00B6032C">
        <w:rPr>
          <w:i/>
        </w:rPr>
        <w:t>Human Rights Commission) v. Canada (Attorney General)</w:t>
      </w:r>
      <w:r w:rsidR="001032C8" w:rsidRPr="00B6032C">
        <w:t>, 2012 FC 445, [2013] 4 F</w:t>
      </w:r>
      <w:r w:rsidR="00E807CB" w:rsidRPr="00B6032C">
        <w:t>.</w:t>
      </w:r>
      <w:r w:rsidR="001032C8" w:rsidRPr="00B6032C">
        <w:t>C</w:t>
      </w:r>
      <w:r w:rsidR="00E807CB" w:rsidRPr="00B6032C">
        <w:t>.</w:t>
      </w:r>
      <w:r w:rsidR="001032C8" w:rsidRPr="00B6032C">
        <w:t>R</w:t>
      </w:r>
      <w:r w:rsidR="00E807CB" w:rsidRPr="00B6032C">
        <w:t>.</w:t>
      </w:r>
      <w:r w:rsidR="001032C8" w:rsidRPr="00B6032C">
        <w:t xml:space="preserve"> 545; </w:t>
      </w:r>
      <w:r w:rsidR="001032C8" w:rsidRPr="00B6032C">
        <w:rPr>
          <w:i/>
        </w:rPr>
        <w:t>Gould v. Yukon Order of Pioneers</w:t>
      </w:r>
      <w:r w:rsidR="001032C8" w:rsidRPr="00B6032C">
        <w:t>, [1996] 1 S</w:t>
      </w:r>
      <w:r w:rsidR="00E807CB" w:rsidRPr="00B6032C">
        <w:t>.</w:t>
      </w:r>
      <w:r w:rsidR="001032C8" w:rsidRPr="00B6032C">
        <w:t>C</w:t>
      </w:r>
      <w:r w:rsidR="00E807CB" w:rsidRPr="00B6032C">
        <w:t>.</w:t>
      </w:r>
      <w:r w:rsidR="001032C8" w:rsidRPr="00B6032C">
        <w:t>R</w:t>
      </w:r>
      <w:r w:rsidR="00E807CB" w:rsidRPr="00B6032C">
        <w:t>.</w:t>
      </w:r>
      <w:r w:rsidR="001032C8" w:rsidRPr="00B6032C">
        <w:t xml:space="preserve"> 571; </w:t>
      </w:r>
      <w:proofErr w:type="spellStart"/>
      <w:r w:rsidR="00E807CB" w:rsidRPr="00B6032C">
        <w:rPr>
          <w:i/>
        </w:rPr>
        <w:t>Descheneaux</w:t>
      </w:r>
      <w:proofErr w:type="spellEnd"/>
      <w:r w:rsidR="00E807CB" w:rsidRPr="00B6032C">
        <w:rPr>
          <w:i/>
        </w:rPr>
        <w:t xml:space="preserve"> v</w:t>
      </w:r>
      <w:r w:rsidR="001032C8" w:rsidRPr="00B6032C">
        <w:rPr>
          <w:i/>
        </w:rPr>
        <w:t>. Canada (</w:t>
      </w:r>
      <w:r w:rsidR="00E807CB" w:rsidRPr="00B6032C">
        <w:rPr>
          <w:i/>
        </w:rPr>
        <w:t xml:space="preserve">Attorney </w:t>
      </w:r>
      <w:r w:rsidR="001032C8" w:rsidRPr="00B6032C">
        <w:rPr>
          <w:i/>
        </w:rPr>
        <w:t>G</w:t>
      </w:r>
      <w:r w:rsidR="00E807CB" w:rsidRPr="00B6032C">
        <w:rPr>
          <w:i/>
        </w:rPr>
        <w:t>e</w:t>
      </w:r>
      <w:r w:rsidR="001032C8" w:rsidRPr="00B6032C">
        <w:rPr>
          <w:i/>
        </w:rPr>
        <w:t>n</w:t>
      </w:r>
      <w:r w:rsidR="00E807CB" w:rsidRPr="00B6032C">
        <w:rPr>
          <w:i/>
        </w:rPr>
        <w:t>e</w:t>
      </w:r>
      <w:r w:rsidR="001032C8" w:rsidRPr="00B6032C">
        <w:rPr>
          <w:i/>
        </w:rPr>
        <w:t>ral)</w:t>
      </w:r>
      <w:r w:rsidR="001032C8" w:rsidRPr="00B6032C">
        <w:t>, 2015 QCCS 3555, [2016] 2 C</w:t>
      </w:r>
      <w:r w:rsidR="00E807CB" w:rsidRPr="00B6032C">
        <w:t>.</w:t>
      </w:r>
      <w:r w:rsidR="001032C8" w:rsidRPr="00B6032C">
        <w:t>N</w:t>
      </w:r>
      <w:r w:rsidR="00E807CB" w:rsidRPr="00B6032C">
        <w:t>.</w:t>
      </w:r>
      <w:r w:rsidR="001032C8" w:rsidRPr="00B6032C">
        <w:t>L</w:t>
      </w:r>
      <w:r w:rsidR="00E807CB" w:rsidRPr="00B6032C">
        <w:t>.</w:t>
      </w:r>
      <w:r w:rsidR="001032C8" w:rsidRPr="00B6032C">
        <w:t>R</w:t>
      </w:r>
      <w:r w:rsidR="00E807CB" w:rsidRPr="00B6032C">
        <w:t>.</w:t>
      </w:r>
      <w:r w:rsidR="001032C8" w:rsidRPr="00B6032C">
        <w:t xml:space="preserve"> 175; </w:t>
      </w:r>
      <w:r w:rsidR="001032C8" w:rsidRPr="00B6032C">
        <w:rPr>
          <w:i/>
        </w:rPr>
        <w:t>McIvor v. Canada (Indian and Northern Affairs</w:t>
      </w:r>
      <w:r w:rsidR="00C9243E" w:rsidRPr="00B6032C">
        <w:rPr>
          <w:i/>
        </w:rPr>
        <w:t>, Registrar</w:t>
      </w:r>
      <w:r w:rsidR="001032C8" w:rsidRPr="00B6032C">
        <w:rPr>
          <w:i/>
        </w:rPr>
        <w:t>)</w:t>
      </w:r>
      <w:r w:rsidR="001032C8" w:rsidRPr="00B6032C">
        <w:t>, 2009 BCCA 153, 306 D</w:t>
      </w:r>
      <w:r w:rsidR="00E20405" w:rsidRPr="00B6032C">
        <w:t>.</w:t>
      </w:r>
      <w:r w:rsidR="001032C8" w:rsidRPr="00B6032C">
        <w:t>L</w:t>
      </w:r>
      <w:r w:rsidR="00E20405" w:rsidRPr="00B6032C">
        <w:t>.</w:t>
      </w:r>
      <w:r w:rsidR="001032C8" w:rsidRPr="00B6032C">
        <w:t>R</w:t>
      </w:r>
      <w:r w:rsidR="00E20405" w:rsidRPr="00B6032C">
        <w:t>.</w:t>
      </w:r>
      <w:r w:rsidR="001032C8" w:rsidRPr="00B6032C">
        <w:t xml:space="preserve"> (4th) 193. </w:t>
      </w:r>
    </w:p>
    <w:p w:rsidR="00C42D58" w:rsidRPr="00B6032C" w:rsidRDefault="00C42D58" w:rsidP="00E8551D">
      <w:pPr>
        <w:pStyle w:val="SCCNormalDoubleSpacing"/>
        <w:spacing w:before="480" w:after="480"/>
      </w:pPr>
      <w:r w:rsidRPr="00B6032C">
        <w:t>By Côté and Rowe</w:t>
      </w:r>
      <w:r w:rsidR="00A77D6E" w:rsidRPr="00B6032C">
        <w:t> </w:t>
      </w:r>
      <w:r w:rsidRPr="00B6032C">
        <w:t>JJ.</w:t>
      </w:r>
    </w:p>
    <w:p w:rsidR="00C42D58" w:rsidRPr="00B6032C" w:rsidRDefault="00C42D58" w:rsidP="00E8551D">
      <w:pPr>
        <w:pStyle w:val="SCCNormalDoubleSpacing"/>
        <w:spacing w:before="480" w:after="480"/>
      </w:pPr>
      <w:r w:rsidRPr="00B6032C">
        <w:rPr>
          <w:b/>
        </w:rPr>
        <w:tab/>
      </w:r>
      <w:r w:rsidR="00C92AC6" w:rsidRPr="00B6032C">
        <w:rPr>
          <w:b/>
        </w:rPr>
        <w:t>Applied:</w:t>
      </w:r>
      <w:r w:rsidR="00C92AC6" w:rsidRPr="00B6032C">
        <w:rPr>
          <w:i/>
        </w:rPr>
        <w:t xml:space="preserve"> Dunsmuir v. New Brunswick</w:t>
      </w:r>
      <w:r w:rsidR="00C92AC6" w:rsidRPr="00B6032C">
        <w:t>, 2008 SCC 9, [2008] 1 S.C.R. 190;</w:t>
      </w:r>
      <w:r w:rsidR="00C92AC6" w:rsidRPr="00B6032C">
        <w:rPr>
          <w:b/>
        </w:rPr>
        <w:t xml:space="preserve"> r</w:t>
      </w:r>
      <w:r w:rsidRPr="00B6032C">
        <w:rPr>
          <w:b/>
        </w:rPr>
        <w:t>eferred to:</w:t>
      </w:r>
      <w:r w:rsidR="00B36BC7" w:rsidRPr="00B6032C">
        <w:rPr>
          <w:b/>
        </w:rPr>
        <w:t xml:space="preserve"> </w:t>
      </w:r>
      <w:r w:rsidR="00B36BC7" w:rsidRPr="00B6032C">
        <w:rPr>
          <w:i/>
        </w:rPr>
        <w:t xml:space="preserve">Andrews v. </w:t>
      </w:r>
      <w:r w:rsidR="00FE15FC" w:rsidRPr="00B6032C">
        <w:rPr>
          <w:i/>
        </w:rPr>
        <w:t>Canada (</w:t>
      </w:r>
      <w:r w:rsidR="00B36BC7" w:rsidRPr="00B6032C">
        <w:rPr>
          <w:i/>
        </w:rPr>
        <w:t>Indian and Northern Affairs</w:t>
      </w:r>
      <w:r w:rsidR="00FE15FC" w:rsidRPr="00B6032C">
        <w:rPr>
          <w:i/>
        </w:rPr>
        <w:t>)</w:t>
      </w:r>
      <w:r w:rsidR="00DA6C9B" w:rsidRPr="00B6032C">
        <w:t xml:space="preserve">, 2013 CHRT 21; </w:t>
      </w:r>
      <w:r w:rsidR="00B36BC7" w:rsidRPr="00B6032C">
        <w:rPr>
          <w:i/>
        </w:rPr>
        <w:t xml:space="preserve">Matson v. </w:t>
      </w:r>
      <w:r w:rsidR="0009791F" w:rsidRPr="00B6032C">
        <w:rPr>
          <w:i/>
        </w:rPr>
        <w:t>Canada (</w:t>
      </w:r>
      <w:r w:rsidR="00B36BC7" w:rsidRPr="00B6032C">
        <w:rPr>
          <w:i/>
        </w:rPr>
        <w:t>Indian and Northern Affairs</w:t>
      </w:r>
      <w:r w:rsidR="0009791F" w:rsidRPr="00B6032C">
        <w:rPr>
          <w:i/>
        </w:rPr>
        <w:t>)</w:t>
      </w:r>
      <w:r w:rsidR="00B36BC7" w:rsidRPr="00B6032C">
        <w:t xml:space="preserve">, 2013 CHRT 13; </w:t>
      </w:r>
      <w:r w:rsidR="00B36BC7" w:rsidRPr="00B6032C">
        <w:rPr>
          <w:i/>
        </w:rPr>
        <w:t>Alberta (Information and Privacy Commissioner) v. Alberta Teachers’ Association</w:t>
      </w:r>
      <w:r w:rsidR="00B36BC7" w:rsidRPr="00B6032C">
        <w:t xml:space="preserve">, 2011 SCC 61, [2011] 3 S.C.R. 654; </w:t>
      </w:r>
      <w:r w:rsidR="00B36BC7" w:rsidRPr="00B6032C">
        <w:rPr>
          <w:i/>
        </w:rPr>
        <w:t>Canada (Canadian Human Rights Commission) v. Canada (Attorney General)</w:t>
      </w:r>
      <w:r w:rsidR="00B36BC7" w:rsidRPr="00B6032C">
        <w:t xml:space="preserve">, 2011 SCC 53, [2011] 3 S.C.R. 471; </w:t>
      </w:r>
      <w:proofErr w:type="spellStart"/>
      <w:r w:rsidR="007A372D" w:rsidRPr="00B6032C">
        <w:rPr>
          <w:i/>
        </w:rPr>
        <w:t>Crevier</w:t>
      </w:r>
      <w:proofErr w:type="spellEnd"/>
      <w:r w:rsidR="007A372D" w:rsidRPr="00B6032C">
        <w:rPr>
          <w:i/>
        </w:rPr>
        <w:t xml:space="preserve"> v. Attorney General of Quebec</w:t>
      </w:r>
      <w:r w:rsidR="007A372D" w:rsidRPr="00B6032C">
        <w:t xml:space="preserve">, [1981] 2 S.C.R. 220; </w:t>
      </w:r>
      <w:r w:rsidR="007B5373" w:rsidRPr="00B6032C">
        <w:rPr>
          <w:i/>
        </w:rPr>
        <w:t>United Taxi Drivers’ Fellowship of Southern Alberta v. Calgary (City)</w:t>
      </w:r>
      <w:r w:rsidR="007B5373" w:rsidRPr="00B6032C">
        <w:t xml:space="preserve">, 2004 SCC 19, [2004] 1 S.C.R. 485; </w:t>
      </w:r>
      <w:r w:rsidR="0048097C" w:rsidRPr="00B6032C">
        <w:rPr>
          <w:i/>
        </w:rPr>
        <w:t xml:space="preserve">Canada (Citizenship and Immigration) v. </w:t>
      </w:r>
      <w:proofErr w:type="spellStart"/>
      <w:r w:rsidR="0048097C" w:rsidRPr="00B6032C">
        <w:rPr>
          <w:i/>
        </w:rPr>
        <w:t>Khosa</w:t>
      </w:r>
      <w:proofErr w:type="spellEnd"/>
      <w:r w:rsidR="0048097C" w:rsidRPr="00B6032C">
        <w:t xml:space="preserve">, 2009 SCC 12, [2009] 1 S.C.R. 339; </w:t>
      </w:r>
      <w:r w:rsidR="0048097C" w:rsidRPr="00B6032C">
        <w:rPr>
          <w:i/>
        </w:rPr>
        <w:t>Nolan v. Kerry (Canada) Inc.</w:t>
      </w:r>
      <w:r w:rsidR="0048097C" w:rsidRPr="00B6032C">
        <w:t>, 2</w:t>
      </w:r>
      <w:r w:rsidR="00104F78" w:rsidRPr="00B6032C">
        <w:t>009 SCC 39, [2009] 2 S.C.R. 678;</w:t>
      </w:r>
      <w:r w:rsidR="0048097C" w:rsidRPr="00B6032C">
        <w:t xml:space="preserve"> </w:t>
      </w:r>
      <w:r w:rsidR="0048097C" w:rsidRPr="00B6032C">
        <w:rPr>
          <w:i/>
        </w:rPr>
        <w:t>Nor</w:t>
      </w:r>
      <w:r w:rsidR="00A77D6E" w:rsidRPr="00B6032C">
        <w:rPr>
          <w:i/>
        </w:rPr>
        <w:noBreakHyphen/>
      </w:r>
      <w:r w:rsidR="0048097C" w:rsidRPr="00B6032C">
        <w:rPr>
          <w:i/>
        </w:rPr>
        <w:t>Man Regional Health Authority Inc. v. Manitoba Association of Health Care Professionals</w:t>
      </w:r>
      <w:r w:rsidR="0048097C" w:rsidRPr="00B6032C">
        <w:t xml:space="preserve">, 2011 SCC 59, [2011] 3 S.C.R. 616; </w:t>
      </w:r>
      <w:r w:rsidR="0048097C" w:rsidRPr="00B6032C">
        <w:rPr>
          <w:i/>
        </w:rPr>
        <w:t>Rogers Communications Inc. v. Society of Composers, Authors and Music Publishers of Canada</w:t>
      </w:r>
      <w:r w:rsidR="0048097C" w:rsidRPr="00B6032C">
        <w:t xml:space="preserve">, 2012 SCC 35, [2012] 2 S.C.R. 283; </w:t>
      </w:r>
      <w:r w:rsidR="0048097C" w:rsidRPr="00B6032C">
        <w:rPr>
          <w:i/>
        </w:rPr>
        <w:t>Barreau du Québec v. Quebec (Attorney General)</w:t>
      </w:r>
      <w:r w:rsidR="0048097C" w:rsidRPr="00B6032C">
        <w:t xml:space="preserve">, 2017 SCC 56, [2017] 2 S.C.R. 488; </w:t>
      </w:r>
      <w:r w:rsidR="00374EED" w:rsidRPr="00B6032C">
        <w:rPr>
          <w:i/>
        </w:rPr>
        <w:t>Canada (Attorney General</w:t>
      </w:r>
      <w:r w:rsidR="005618D7" w:rsidRPr="00B6032C">
        <w:rPr>
          <w:i/>
        </w:rPr>
        <w:t>)</w:t>
      </w:r>
      <w:r w:rsidR="00B04CB5" w:rsidRPr="00B6032C">
        <w:rPr>
          <w:i/>
        </w:rPr>
        <w:t xml:space="preserve"> v. Watkin</w:t>
      </w:r>
      <w:r w:rsidR="005618D7" w:rsidRPr="00B6032C">
        <w:t>, 2008 FCA 170</w:t>
      </w:r>
      <w:r w:rsidR="005828FA" w:rsidRPr="00B6032C">
        <w:t>, 378 N.R. 268</w:t>
      </w:r>
      <w:r w:rsidR="00374EED" w:rsidRPr="00B6032C">
        <w:t xml:space="preserve">; </w:t>
      </w:r>
      <w:r w:rsidR="00B972F7" w:rsidRPr="00B6032C">
        <w:rPr>
          <w:i/>
        </w:rPr>
        <w:t>Canada (Attorney General) v. Johnstone</w:t>
      </w:r>
      <w:r w:rsidR="00B972F7" w:rsidRPr="00B6032C">
        <w:t xml:space="preserve">, 2014 FCA 110, [2015] 2 F.C.R. 595; </w:t>
      </w:r>
      <w:r w:rsidR="00374EED" w:rsidRPr="00B6032C">
        <w:rPr>
          <w:i/>
        </w:rPr>
        <w:t>Canadian National Railway</w:t>
      </w:r>
      <w:r w:rsidR="00470B6E" w:rsidRPr="00B6032C">
        <w:rPr>
          <w:i/>
        </w:rPr>
        <w:t xml:space="preserve"> v. Seeley</w:t>
      </w:r>
      <w:r w:rsidR="00374EED" w:rsidRPr="00B6032C">
        <w:t>, 2014 FCA 111</w:t>
      </w:r>
      <w:r w:rsidR="00470B6E" w:rsidRPr="00B6032C">
        <w:t>, 458 N.R. 349</w:t>
      </w:r>
      <w:r w:rsidR="00374EED" w:rsidRPr="00B6032C">
        <w:t xml:space="preserve">; </w:t>
      </w:r>
      <w:r w:rsidR="00B36BC7" w:rsidRPr="00B6032C">
        <w:rPr>
          <w:i/>
        </w:rPr>
        <w:t>University of British Columbia v. Berg</w:t>
      </w:r>
      <w:r w:rsidR="00AC5531" w:rsidRPr="00B6032C">
        <w:t>, [1993] 2 S.C.R. 353</w:t>
      </w:r>
      <w:r w:rsidR="00B36BC7" w:rsidRPr="00B6032C">
        <w:t xml:space="preserve">; </w:t>
      </w:r>
      <w:r w:rsidR="00B36BC7" w:rsidRPr="00B6032C">
        <w:rPr>
          <w:i/>
        </w:rPr>
        <w:t>Gould v. Yukon Order of Pioneers</w:t>
      </w:r>
      <w:r w:rsidR="00374EED" w:rsidRPr="00B6032C">
        <w:t>, [1996] 1 S.C.R. 571</w:t>
      </w:r>
      <w:r w:rsidR="00B36BC7" w:rsidRPr="00B6032C">
        <w:t xml:space="preserve">; </w:t>
      </w:r>
      <w:r w:rsidR="00B36BC7" w:rsidRPr="00B6032C">
        <w:rPr>
          <w:i/>
        </w:rPr>
        <w:t>New Brunswick (Human Rights Commission</w:t>
      </w:r>
      <w:r w:rsidR="0047783D" w:rsidRPr="00B6032C">
        <w:rPr>
          <w:i/>
        </w:rPr>
        <w:t>)</w:t>
      </w:r>
      <w:r w:rsidR="00B36BC7" w:rsidRPr="00B6032C">
        <w:rPr>
          <w:i/>
        </w:rPr>
        <w:t xml:space="preserve"> v. Potash Corporation of Saskatchewan Inc.</w:t>
      </w:r>
      <w:r w:rsidR="00B36BC7" w:rsidRPr="00B6032C">
        <w:t xml:space="preserve">, 2008 SCC 45, [2008] 2 S.C.R. 604; </w:t>
      </w:r>
      <w:proofErr w:type="spellStart"/>
      <w:r w:rsidR="00236C2B" w:rsidRPr="00B6032C">
        <w:rPr>
          <w:i/>
        </w:rPr>
        <w:t>Tranchemontagne</w:t>
      </w:r>
      <w:proofErr w:type="spellEnd"/>
      <w:r w:rsidR="00236C2B" w:rsidRPr="00B6032C">
        <w:rPr>
          <w:i/>
        </w:rPr>
        <w:t xml:space="preserve"> v. Ontario (Director, Disability Support Program)</w:t>
      </w:r>
      <w:r w:rsidR="00236C2B" w:rsidRPr="00B6032C">
        <w:t xml:space="preserve">, 2006 SCC 14, [2006] 1 S.C.R. 513; </w:t>
      </w:r>
      <w:r w:rsidR="00B36BC7" w:rsidRPr="00B6032C">
        <w:rPr>
          <w:i/>
        </w:rPr>
        <w:t>Canada Employment Insurance Commission v. M</w:t>
      </w:r>
      <w:r w:rsidR="00ED0729" w:rsidRPr="00B6032C">
        <w:rPr>
          <w:i/>
        </w:rPr>
        <w:t>.</w:t>
      </w:r>
      <w:r w:rsidR="005C2E39" w:rsidRPr="00B6032C">
        <w:rPr>
          <w:i/>
        </w:rPr>
        <w:t xml:space="preserve"> </w:t>
      </w:r>
      <w:r w:rsidR="00B36BC7" w:rsidRPr="00B6032C">
        <w:rPr>
          <w:i/>
        </w:rPr>
        <w:t>W</w:t>
      </w:r>
      <w:r w:rsidR="00ED0729" w:rsidRPr="00B6032C">
        <w:rPr>
          <w:i/>
        </w:rPr>
        <w:t>.</w:t>
      </w:r>
      <w:r w:rsidR="00ED0729" w:rsidRPr="00B6032C">
        <w:t>, 2014 SSTAD 371</w:t>
      </w:r>
      <w:r w:rsidR="00B36BC7" w:rsidRPr="00B6032C">
        <w:t xml:space="preserve">; </w:t>
      </w:r>
      <w:r w:rsidR="004244D7" w:rsidRPr="00B6032C">
        <w:rPr>
          <w:i/>
        </w:rPr>
        <w:t>Garneau Community League v</w:t>
      </w:r>
      <w:r w:rsidR="009D26C7" w:rsidRPr="00B6032C">
        <w:rPr>
          <w:i/>
        </w:rPr>
        <w:t>.</w:t>
      </w:r>
      <w:r w:rsidR="004244D7" w:rsidRPr="00B6032C">
        <w:rPr>
          <w:i/>
        </w:rPr>
        <w:t xml:space="preserve"> Edmonton (City)</w:t>
      </w:r>
      <w:r w:rsidR="004244D7" w:rsidRPr="00B6032C">
        <w:t>, 2017 ABCA 374</w:t>
      </w:r>
      <w:r w:rsidR="009D26C7" w:rsidRPr="00B6032C">
        <w:t>, 60 Alta. L.R. (6th) 1</w:t>
      </w:r>
      <w:r w:rsidR="004244D7" w:rsidRPr="00B6032C">
        <w:t xml:space="preserve">; </w:t>
      </w:r>
      <w:proofErr w:type="spellStart"/>
      <w:r w:rsidR="001A4F9E" w:rsidRPr="00B6032C">
        <w:rPr>
          <w:i/>
        </w:rPr>
        <w:t>Druken</w:t>
      </w:r>
      <w:proofErr w:type="spellEnd"/>
      <w:r w:rsidR="00D40A73" w:rsidRPr="00B6032C">
        <w:rPr>
          <w:i/>
        </w:rPr>
        <w:t xml:space="preserve"> v. Canada </w:t>
      </w:r>
      <w:r w:rsidR="004F4A94" w:rsidRPr="00B6032C">
        <w:rPr>
          <w:i/>
        </w:rPr>
        <w:t>(</w:t>
      </w:r>
      <w:r w:rsidR="00D40A73" w:rsidRPr="00B6032C">
        <w:rPr>
          <w:i/>
        </w:rPr>
        <w:t>Employment and Immigration Commission</w:t>
      </w:r>
      <w:r w:rsidR="004F4A94" w:rsidRPr="00B6032C">
        <w:rPr>
          <w:i/>
        </w:rPr>
        <w:t>)</w:t>
      </w:r>
      <w:r w:rsidR="001A4F9E" w:rsidRPr="00B6032C">
        <w:t>, 1987 CanLII 99</w:t>
      </w:r>
      <w:r w:rsidR="00AF7EDB" w:rsidRPr="00B6032C">
        <w:t xml:space="preserve">; </w:t>
      </w:r>
      <w:r w:rsidR="001A4F9E" w:rsidRPr="00B6032C">
        <w:rPr>
          <w:i/>
        </w:rPr>
        <w:t xml:space="preserve">Canada (Attorney General) v. </w:t>
      </w:r>
      <w:proofErr w:type="spellStart"/>
      <w:r w:rsidR="001A4F9E" w:rsidRPr="00B6032C">
        <w:rPr>
          <w:i/>
        </w:rPr>
        <w:t>Druken</w:t>
      </w:r>
      <w:proofErr w:type="spellEnd"/>
      <w:r w:rsidR="001A4F9E" w:rsidRPr="00B6032C">
        <w:t xml:space="preserve">, </w:t>
      </w:r>
      <w:r w:rsidR="00A63E6F" w:rsidRPr="00B6032C">
        <w:t>[1989] 2 F.C. 24</w:t>
      </w:r>
      <w:r w:rsidR="00B36BC7" w:rsidRPr="00B6032C">
        <w:t xml:space="preserve">; </w:t>
      </w:r>
      <w:r w:rsidR="00B36BC7" w:rsidRPr="00B6032C">
        <w:rPr>
          <w:i/>
        </w:rPr>
        <w:t>Gonzalez v. Canada (Employment and Immigration Co</w:t>
      </w:r>
      <w:r w:rsidR="008A08FC" w:rsidRPr="00B6032C">
        <w:rPr>
          <w:i/>
        </w:rPr>
        <w:t>mmission)</w:t>
      </w:r>
      <w:r w:rsidR="009C3E0B" w:rsidRPr="00B6032C">
        <w:t xml:space="preserve">, [1997] 3 F.C. 646; </w:t>
      </w:r>
      <w:r w:rsidR="00B36BC7" w:rsidRPr="00B6032C">
        <w:rPr>
          <w:i/>
        </w:rPr>
        <w:t>McAllister</w:t>
      </w:r>
      <w:r w:rsidR="00A77D6E" w:rsidRPr="00B6032C">
        <w:rPr>
          <w:i/>
        </w:rPr>
        <w:noBreakHyphen/>
      </w:r>
      <w:r w:rsidR="00B36BC7" w:rsidRPr="00B6032C">
        <w:rPr>
          <w:i/>
        </w:rPr>
        <w:t>Windsor v. Canada (Human Resources Development)</w:t>
      </w:r>
      <w:r w:rsidR="00B36BC7" w:rsidRPr="00B6032C">
        <w:t xml:space="preserve">, 2001 CanLII 20691; </w:t>
      </w:r>
      <w:r w:rsidR="00982BEA" w:rsidRPr="00B6032C">
        <w:rPr>
          <w:i/>
        </w:rPr>
        <w:t>Public Service Alliance of Canada v.</w:t>
      </w:r>
      <w:r w:rsidR="00B36BC7" w:rsidRPr="00B6032C">
        <w:rPr>
          <w:i/>
        </w:rPr>
        <w:t xml:space="preserve"> Canada Revenue Agency</w:t>
      </w:r>
      <w:r w:rsidR="00B36BC7" w:rsidRPr="00B6032C">
        <w:t>, 2012 FCA 7</w:t>
      </w:r>
      <w:r w:rsidR="00354417" w:rsidRPr="00B6032C">
        <w:t xml:space="preserve">, </w:t>
      </w:r>
      <w:r w:rsidR="00982BEA" w:rsidRPr="00B6032C">
        <w:t>428 N.R. 240</w:t>
      </w:r>
      <w:r w:rsidR="00B36BC7" w:rsidRPr="00B6032C">
        <w:t xml:space="preserve">; </w:t>
      </w:r>
      <w:r w:rsidR="00B36BC7" w:rsidRPr="00B6032C">
        <w:rPr>
          <w:i/>
        </w:rPr>
        <w:t xml:space="preserve">Forward v. </w:t>
      </w:r>
      <w:r w:rsidR="005C2E39" w:rsidRPr="00B6032C">
        <w:rPr>
          <w:i/>
        </w:rPr>
        <w:t>Canada (</w:t>
      </w:r>
      <w:r w:rsidR="00B36BC7" w:rsidRPr="00B6032C">
        <w:rPr>
          <w:i/>
        </w:rPr>
        <w:t>Citizenship and Immigration</w:t>
      </w:r>
      <w:r w:rsidR="005C2E39" w:rsidRPr="00B6032C">
        <w:rPr>
          <w:i/>
        </w:rPr>
        <w:t>)</w:t>
      </w:r>
      <w:r w:rsidR="00B36BC7" w:rsidRPr="00B6032C">
        <w:t xml:space="preserve">, 2008 CHRT 5; </w:t>
      </w:r>
      <w:r w:rsidR="002A342A" w:rsidRPr="00B6032C">
        <w:rPr>
          <w:i/>
        </w:rPr>
        <w:t xml:space="preserve">Canada </w:t>
      </w:r>
      <w:r w:rsidR="00B36BC7" w:rsidRPr="00B6032C">
        <w:rPr>
          <w:i/>
        </w:rPr>
        <w:t xml:space="preserve">(Human Rights Commission) v. </w:t>
      </w:r>
      <w:r w:rsidR="002A342A" w:rsidRPr="00B6032C">
        <w:rPr>
          <w:i/>
        </w:rPr>
        <w:t>M.N.R.</w:t>
      </w:r>
      <w:r w:rsidR="00B36BC7" w:rsidRPr="00B6032C">
        <w:t xml:space="preserve">, </w:t>
      </w:r>
      <w:r w:rsidR="00AE5494" w:rsidRPr="00B6032C">
        <w:t xml:space="preserve">2003 FC 1280, </w:t>
      </w:r>
      <w:r w:rsidR="00B36BC7" w:rsidRPr="00B6032C">
        <w:t>[2004] 1 F.C.</w:t>
      </w:r>
      <w:r w:rsidR="006B1215" w:rsidRPr="00B6032C">
        <w:t>R.</w:t>
      </w:r>
      <w:r w:rsidR="00B36BC7" w:rsidRPr="00B6032C">
        <w:t xml:space="preserve"> 679; </w:t>
      </w:r>
      <w:r w:rsidR="00B36BC7" w:rsidRPr="00B6032C">
        <w:rPr>
          <w:i/>
        </w:rPr>
        <w:t>Canada (Attorney General) v. McKenna</w:t>
      </w:r>
      <w:r w:rsidR="00B36BC7" w:rsidRPr="00B6032C">
        <w:t xml:space="preserve">, [1999] 1 F.C. 401; </w:t>
      </w:r>
      <w:r w:rsidR="00E55655" w:rsidRPr="00B6032C">
        <w:rPr>
          <w:i/>
        </w:rPr>
        <w:t>Dr. Q v. College of Physicians and Surgeons of British Columbia</w:t>
      </w:r>
      <w:r w:rsidR="00E55655" w:rsidRPr="00B6032C">
        <w:t xml:space="preserve">, </w:t>
      </w:r>
      <w:r w:rsidR="00954640" w:rsidRPr="00B6032C">
        <w:t xml:space="preserve">2003 SCC 19, </w:t>
      </w:r>
      <w:r w:rsidR="00E55655" w:rsidRPr="00B6032C">
        <w:t>[2003] 1 S.C.R. 2</w:t>
      </w:r>
      <w:r w:rsidR="00DB017C" w:rsidRPr="00B6032C">
        <w:t>26.</w:t>
      </w:r>
    </w:p>
    <w:p w:rsidR="00D40FCB" w:rsidRPr="00B6032C" w:rsidRDefault="00D40FCB" w:rsidP="00A77D6E">
      <w:pPr>
        <w:pStyle w:val="SCCNormalDoubleSpacing"/>
        <w:spacing w:after="720" w:line="240" w:lineRule="auto"/>
      </w:pPr>
      <w:r w:rsidRPr="00B6032C">
        <w:t>By Brown</w:t>
      </w:r>
      <w:r w:rsidR="00A77D6E" w:rsidRPr="00B6032C">
        <w:t> </w:t>
      </w:r>
      <w:r w:rsidRPr="00B6032C">
        <w:t>J.</w:t>
      </w:r>
    </w:p>
    <w:p w:rsidR="00D40FCB" w:rsidRPr="00B6032C" w:rsidRDefault="00D40FCB" w:rsidP="00E8551D">
      <w:pPr>
        <w:pStyle w:val="SCCNormalDoubleSpacing"/>
        <w:spacing w:before="480" w:after="480"/>
      </w:pPr>
      <w:r w:rsidRPr="00B6032C">
        <w:rPr>
          <w:b/>
        </w:rPr>
        <w:tab/>
        <w:t xml:space="preserve">Referred to: </w:t>
      </w:r>
      <w:r w:rsidRPr="00B6032C">
        <w:rPr>
          <w:i/>
        </w:rPr>
        <w:t>Dunsmuir v. New Brunswick</w:t>
      </w:r>
      <w:r w:rsidRPr="00B6032C">
        <w:t xml:space="preserve">, </w:t>
      </w:r>
      <w:r w:rsidR="00722FC9" w:rsidRPr="00B6032C">
        <w:t xml:space="preserve">2008 SCC 9, </w:t>
      </w:r>
      <w:r w:rsidRPr="00B6032C">
        <w:t>[2008] 1 S.C.R</w:t>
      </w:r>
      <w:r w:rsidR="00ED3F35" w:rsidRPr="00B6032C">
        <w:t>.</w:t>
      </w:r>
      <w:r w:rsidRPr="00B6032C">
        <w:t xml:space="preserve"> 190; </w:t>
      </w:r>
      <w:r w:rsidRPr="00B6032C">
        <w:rPr>
          <w:i/>
        </w:rPr>
        <w:t xml:space="preserve">West Fraser Mills Ltd. v. </w:t>
      </w:r>
      <w:r w:rsidR="00B06CFD" w:rsidRPr="00B6032C">
        <w:rPr>
          <w:i/>
        </w:rPr>
        <w:t>British Columbia (</w:t>
      </w:r>
      <w:r w:rsidRPr="00B6032C">
        <w:rPr>
          <w:i/>
        </w:rPr>
        <w:t>Workers’ Compensation Appeal Tribunal</w:t>
      </w:r>
      <w:r w:rsidR="00B06CFD" w:rsidRPr="00B6032C">
        <w:rPr>
          <w:i/>
        </w:rPr>
        <w:t>)</w:t>
      </w:r>
      <w:r w:rsidRPr="00B6032C">
        <w:t>, 2018 SCC</w:t>
      </w:r>
      <w:r w:rsidR="00B06CFD" w:rsidRPr="00B6032C">
        <w:t xml:space="preserve"> </w:t>
      </w:r>
      <w:r w:rsidR="00F53236" w:rsidRPr="00B6032C">
        <w:t>22</w:t>
      </w:r>
      <w:r w:rsidR="0033441F">
        <w:t>, [2018] 1 S.C.R. 635</w:t>
      </w:r>
      <w:r w:rsidRPr="00B6032C">
        <w:t xml:space="preserve">; </w:t>
      </w:r>
      <w:r w:rsidR="00147FF4" w:rsidRPr="00B6032C">
        <w:rPr>
          <w:i/>
        </w:rPr>
        <w:t>Canadian Copyright Licensing Agency (</w:t>
      </w:r>
      <w:r w:rsidRPr="00B6032C">
        <w:rPr>
          <w:i/>
        </w:rPr>
        <w:t>Access Copyright</w:t>
      </w:r>
      <w:r w:rsidR="00147FF4" w:rsidRPr="00B6032C">
        <w:rPr>
          <w:i/>
        </w:rPr>
        <w:t>)</w:t>
      </w:r>
      <w:r w:rsidRPr="00B6032C">
        <w:t xml:space="preserve"> </w:t>
      </w:r>
      <w:r w:rsidRPr="00B6032C">
        <w:rPr>
          <w:i/>
        </w:rPr>
        <w:t>v.</w:t>
      </w:r>
      <w:r w:rsidRPr="00B6032C">
        <w:t xml:space="preserve"> </w:t>
      </w:r>
      <w:r w:rsidR="00147FF4" w:rsidRPr="00B6032C">
        <w:rPr>
          <w:i/>
        </w:rPr>
        <w:t>Canada</w:t>
      </w:r>
      <w:r w:rsidRPr="00B6032C">
        <w:t xml:space="preserve">, 2018 FCA 58. </w:t>
      </w:r>
    </w:p>
    <w:p w:rsidR="003B215F" w:rsidRPr="00B6032C" w:rsidRDefault="002E6705" w:rsidP="00A77D6E">
      <w:pPr>
        <w:pStyle w:val="SCCNormalDoubleSpacing"/>
        <w:spacing w:after="720" w:line="240" w:lineRule="auto"/>
        <w:rPr>
          <w:b/>
        </w:rPr>
      </w:pPr>
      <w:r w:rsidRPr="00B6032C">
        <w:rPr>
          <w:b/>
        </w:rPr>
        <w:t>Statutes and Regulations Cite</w:t>
      </w:r>
      <w:r w:rsidR="00A41805" w:rsidRPr="00B6032C">
        <w:rPr>
          <w:b/>
        </w:rPr>
        <w:t>d</w:t>
      </w:r>
    </w:p>
    <w:p w:rsidR="002A7E89" w:rsidRPr="00B6032C" w:rsidRDefault="00A728D5" w:rsidP="00A77D6E">
      <w:pPr>
        <w:pStyle w:val="SCCNormalDoubleSpacing"/>
        <w:spacing w:after="240" w:line="240" w:lineRule="auto"/>
      </w:pPr>
      <w:r w:rsidRPr="00B6032C">
        <w:rPr>
          <w:i/>
        </w:rPr>
        <w:t>Act to amend the Indian Act</w:t>
      </w:r>
      <w:r w:rsidRPr="00B6032C">
        <w:t xml:space="preserve">, R.S.C. 1985, </w:t>
      </w:r>
      <w:proofErr w:type="gramStart"/>
      <w:r w:rsidR="00A77D6E" w:rsidRPr="00B6032C">
        <w:t>c</w:t>
      </w:r>
      <w:proofErr w:type="gramEnd"/>
      <w:r w:rsidR="00A77D6E" w:rsidRPr="00B6032C">
        <w:t>. </w:t>
      </w:r>
      <w:r w:rsidRPr="00B6032C">
        <w:t>32 (1st Supp.).</w:t>
      </w:r>
    </w:p>
    <w:p w:rsidR="002859EA" w:rsidRPr="00B6032C" w:rsidRDefault="002859EA" w:rsidP="00A77D6E">
      <w:pPr>
        <w:pStyle w:val="SCCNormalDoubleSpacing"/>
        <w:spacing w:after="240" w:line="240" w:lineRule="auto"/>
      </w:pPr>
      <w:r w:rsidRPr="00B6032C">
        <w:rPr>
          <w:i/>
        </w:rPr>
        <w:t>Act to amend the Indian Act (death rules)</w:t>
      </w:r>
      <w:r w:rsidRPr="00B6032C">
        <w:t xml:space="preserve">, R.S.C. 1985, </w:t>
      </w:r>
      <w:proofErr w:type="gramStart"/>
      <w:r w:rsidR="00A77D6E" w:rsidRPr="00B6032C">
        <w:t>c</w:t>
      </w:r>
      <w:proofErr w:type="gramEnd"/>
      <w:r w:rsidR="00A77D6E" w:rsidRPr="00B6032C">
        <w:t>. </w:t>
      </w:r>
      <w:r w:rsidRPr="00B6032C">
        <w:t>43 (4th Supp.).</w:t>
      </w:r>
    </w:p>
    <w:p w:rsidR="002D58D9" w:rsidRPr="00B6032C" w:rsidRDefault="002D58D9" w:rsidP="00A77D6E">
      <w:pPr>
        <w:pStyle w:val="SCCNormalDoubleSpacing"/>
        <w:spacing w:after="240" w:line="240" w:lineRule="auto"/>
        <w:ind w:left="540" w:hanging="540"/>
      </w:pPr>
      <w:r w:rsidRPr="00B6032C">
        <w:rPr>
          <w:i/>
        </w:rPr>
        <w:t xml:space="preserve">Act to amend the Indian Act in response to the Superior Court of Quebec decision in </w:t>
      </w:r>
      <w:proofErr w:type="spellStart"/>
      <w:r w:rsidRPr="00B6032C">
        <w:rPr>
          <w:i/>
        </w:rPr>
        <w:t>Descheneaux</w:t>
      </w:r>
      <w:proofErr w:type="spellEnd"/>
      <w:r w:rsidRPr="00B6032C">
        <w:rPr>
          <w:i/>
        </w:rPr>
        <w:t xml:space="preserve"> c. Canada (Procureur général)</w:t>
      </w:r>
      <w:r w:rsidRPr="00B6032C">
        <w:t xml:space="preserve">, S.C. 2017, </w:t>
      </w:r>
      <w:proofErr w:type="gramStart"/>
      <w:r w:rsidR="00A77D6E" w:rsidRPr="00B6032C">
        <w:t>c</w:t>
      </w:r>
      <w:proofErr w:type="gramEnd"/>
      <w:r w:rsidR="00A77D6E" w:rsidRPr="00B6032C">
        <w:t>. </w:t>
      </w:r>
      <w:r w:rsidRPr="00B6032C">
        <w:t>25.</w:t>
      </w:r>
    </w:p>
    <w:p w:rsidR="002403DE" w:rsidRPr="00B6032C" w:rsidRDefault="002403DE" w:rsidP="00A77D6E">
      <w:pPr>
        <w:pStyle w:val="SCCNormalDoubleSpacing"/>
        <w:spacing w:after="240" w:line="240" w:lineRule="auto"/>
        <w:ind w:left="540" w:hanging="540"/>
      </w:pPr>
      <w:r w:rsidRPr="00B6032C">
        <w:rPr>
          <w:i/>
        </w:rPr>
        <w:t>Act to encourage the gradual Civilization of the Indian Tribes in this Province, and to amend the Laws respecting Indians</w:t>
      </w:r>
      <w:r w:rsidRPr="00B6032C">
        <w:t xml:space="preserve">, S. Prov. C. 1857, 20 </w:t>
      </w:r>
      <w:proofErr w:type="gramStart"/>
      <w:r w:rsidRPr="00B6032C">
        <w:t>Vict.,</w:t>
      </w:r>
      <w:proofErr w:type="gramEnd"/>
      <w:r w:rsidRPr="00B6032C">
        <w:t xml:space="preserve"> </w:t>
      </w:r>
      <w:r w:rsidR="00A77D6E" w:rsidRPr="00B6032C">
        <w:t>c. </w:t>
      </w:r>
      <w:r w:rsidRPr="00B6032C">
        <w:t>26</w:t>
      </w:r>
      <w:r w:rsidR="00922C29" w:rsidRPr="00B6032C">
        <w:t>, preamble</w:t>
      </w:r>
      <w:r w:rsidRPr="00B6032C">
        <w:t>.</w:t>
      </w:r>
    </w:p>
    <w:p w:rsidR="007D0315" w:rsidRPr="00B6032C" w:rsidRDefault="007D0315" w:rsidP="00A77D6E">
      <w:pPr>
        <w:pStyle w:val="SCCNormalDoubleSpacing"/>
        <w:spacing w:after="240" w:line="240" w:lineRule="auto"/>
        <w:ind w:left="540" w:hanging="540"/>
      </w:pPr>
      <w:r w:rsidRPr="00B6032C">
        <w:rPr>
          <w:i/>
        </w:rPr>
        <w:t>Canadian Charter of Rights and Freedoms</w:t>
      </w:r>
      <w:r w:rsidRPr="00B6032C">
        <w:t xml:space="preserve">, </w:t>
      </w:r>
      <w:r w:rsidR="006D600D" w:rsidRPr="00B6032C">
        <w:t>s. </w:t>
      </w:r>
      <w:r w:rsidRPr="00B6032C">
        <w:t>15.</w:t>
      </w:r>
    </w:p>
    <w:p w:rsidR="001032C8" w:rsidRPr="00B6032C" w:rsidRDefault="001032C8" w:rsidP="00A77D6E">
      <w:pPr>
        <w:pStyle w:val="SCCNormalDoubleSpacing"/>
        <w:spacing w:after="240" w:line="240" w:lineRule="auto"/>
        <w:ind w:left="540" w:hanging="540"/>
      </w:pPr>
      <w:r w:rsidRPr="00B6032C">
        <w:rPr>
          <w:i/>
        </w:rPr>
        <w:t>Canadian Human Rights Act</w:t>
      </w:r>
      <w:r w:rsidRPr="00B6032C">
        <w:t>, R</w:t>
      </w:r>
      <w:r w:rsidR="00D00963" w:rsidRPr="00B6032C">
        <w:t>.</w:t>
      </w:r>
      <w:r w:rsidRPr="00B6032C">
        <w:t>S</w:t>
      </w:r>
      <w:r w:rsidR="00D00963" w:rsidRPr="00B6032C">
        <w:t>.</w:t>
      </w:r>
      <w:r w:rsidRPr="00B6032C">
        <w:t>C</w:t>
      </w:r>
      <w:r w:rsidR="00D00963" w:rsidRPr="00B6032C">
        <w:t>.</w:t>
      </w:r>
      <w:r w:rsidRPr="00B6032C">
        <w:t xml:space="preserve"> 1985, </w:t>
      </w:r>
      <w:r w:rsidR="00A77D6E" w:rsidRPr="00B6032C">
        <w:t>c. </w:t>
      </w:r>
      <w:r w:rsidRPr="00B6032C">
        <w:t>H</w:t>
      </w:r>
      <w:r w:rsidR="00A77D6E" w:rsidRPr="00B6032C">
        <w:noBreakHyphen/>
      </w:r>
      <w:r w:rsidRPr="00B6032C">
        <w:t>6</w:t>
      </w:r>
      <w:r w:rsidR="000903BF" w:rsidRPr="00B6032C">
        <w:t xml:space="preserve">, </w:t>
      </w:r>
      <w:r w:rsidR="00A77D6E" w:rsidRPr="00B6032C">
        <w:t>ss. </w:t>
      </w:r>
      <w:r w:rsidR="00386F7F" w:rsidRPr="00B6032C">
        <w:t xml:space="preserve">2, </w:t>
      </w:r>
      <w:r w:rsidR="000903BF" w:rsidRPr="00B6032C">
        <w:t xml:space="preserve">4, 5, </w:t>
      </w:r>
      <w:r w:rsidR="00A91EC1" w:rsidRPr="00B6032C">
        <w:t xml:space="preserve">5 to 14.1, </w:t>
      </w:r>
      <w:r w:rsidR="006F4673" w:rsidRPr="00B6032C">
        <w:t xml:space="preserve">39, 40, </w:t>
      </w:r>
      <w:r w:rsidR="000903BF" w:rsidRPr="00B6032C">
        <w:t>49</w:t>
      </w:r>
      <w:r w:rsidR="00386F7F" w:rsidRPr="00B6032C">
        <w:t xml:space="preserve">, </w:t>
      </w:r>
      <w:r w:rsidR="006378D4" w:rsidRPr="00B6032C">
        <w:t xml:space="preserve">50(2), </w:t>
      </w:r>
      <w:r w:rsidR="00386F7F" w:rsidRPr="00B6032C">
        <w:t>62(1), 67</w:t>
      </w:r>
      <w:r w:rsidR="00F26C12" w:rsidRPr="00B6032C">
        <w:t xml:space="preserve"> [re</w:t>
      </w:r>
      <w:r w:rsidR="00A77D6E" w:rsidRPr="00B6032C">
        <w:t>p. </w:t>
      </w:r>
      <w:r w:rsidR="00F26C12" w:rsidRPr="00B6032C">
        <w:t xml:space="preserve">2008, </w:t>
      </w:r>
      <w:r w:rsidR="00A77D6E" w:rsidRPr="00B6032C">
        <w:t>c. </w:t>
      </w:r>
      <w:r w:rsidR="00F26C12" w:rsidRPr="00B6032C">
        <w:t xml:space="preserve">30, </w:t>
      </w:r>
      <w:r w:rsidR="006D600D" w:rsidRPr="00B6032C">
        <w:t>s. </w:t>
      </w:r>
      <w:r w:rsidR="00F26C12" w:rsidRPr="00B6032C">
        <w:t>1]</w:t>
      </w:r>
      <w:r w:rsidR="000903BF" w:rsidRPr="00B6032C">
        <w:t>.</w:t>
      </w:r>
    </w:p>
    <w:p w:rsidR="00C477CF" w:rsidRPr="00B6032C" w:rsidRDefault="00C477CF" w:rsidP="00A77D6E">
      <w:pPr>
        <w:pStyle w:val="SCCNormalDoubleSpacing"/>
        <w:spacing w:after="240" w:line="240" w:lineRule="auto"/>
        <w:ind w:left="540" w:hanging="540"/>
      </w:pPr>
      <w:r w:rsidRPr="00B6032C">
        <w:rPr>
          <w:i/>
        </w:rPr>
        <w:t>Constitution Act, 1867</w:t>
      </w:r>
      <w:r w:rsidRPr="00B6032C">
        <w:t xml:space="preserve">, </w:t>
      </w:r>
      <w:r w:rsidR="006D600D" w:rsidRPr="00B6032C">
        <w:t>s. </w:t>
      </w:r>
      <w:r w:rsidRPr="00B6032C">
        <w:t xml:space="preserve">96. </w:t>
      </w:r>
    </w:p>
    <w:p w:rsidR="0028190A" w:rsidRPr="00B6032C" w:rsidRDefault="0028190A" w:rsidP="00A77D6E">
      <w:pPr>
        <w:pStyle w:val="SCCNormalDoubleSpacing"/>
        <w:spacing w:after="240" w:line="240" w:lineRule="auto"/>
        <w:ind w:left="540" w:hanging="540"/>
      </w:pPr>
      <w:r w:rsidRPr="00B6032C">
        <w:rPr>
          <w:i/>
        </w:rPr>
        <w:t>Gender Equity in Indian Registration Act</w:t>
      </w:r>
      <w:r w:rsidRPr="00B6032C">
        <w:t xml:space="preserve">, S.C. 2010, </w:t>
      </w:r>
      <w:r w:rsidR="00A77D6E" w:rsidRPr="00B6032C">
        <w:t>c. </w:t>
      </w:r>
      <w:r w:rsidRPr="00B6032C">
        <w:t>18.</w:t>
      </w:r>
    </w:p>
    <w:p w:rsidR="00C477CF" w:rsidRPr="00B6032C" w:rsidRDefault="009761F8" w:rsidP="00A77D6E">
      <w:pPr>
        <w:pStyle w:val="SCCNormalDoubleSpacing"/>
        <w:spacing w:after="240" w:line="240" w:lineRule="auto"/>
        <w:ind w:left="540" w:hanging="540"/>
      </w:pPr>
      <w:r w:rsidRPr="00B6032C">
        <w:rPr>
          <w:i/>
        </w:rPr>
        <w:t>Human Rights Code</w:t>
      </w:r>
      <w:r w:rsidRPr="00B6032C">
        <w:t xml:space="preserve">, R.S.O. 1990, </w:t>
      </w:r>
      <w:r w:rsidR="00A77D6E" w:rsidRPr="00B6032C">
        <w:t>c. </w:t>
      </w:r>
      <w:r w:rsidRPr="00B6032C">
        <w:t xml:space="preserve">H.19, </w:t>
      </w:r>
      <w:r w:rsidR="006D600D" w:rsidRPr="00B6032C">
        <w:t>s. </w:t>
      </w:r>
      <w:r w:rsidRPr="00B6032C">
        <w:t>1.</w:t>
      </w:r>
    </w:p>
    <w:p w:rsidR="00D0311E" w:rsidRPr="00B6032C" w:rsidRDefault="00D0311E" w:rsidP="00A77D6E">
      <w:pPr>
        <w:pStyle w:val="SCCNormalDoubleSpacing"/>
        <w:spacing w:after="720" w:line="240" w:lineRule="auto"/>
        <w:ind w:left="547" w:hanging="547"/>
      </w:pPr>
      <w:r w:rsidRPr="00B6032C">
        <w:rPr>
          <w:i/>
        </w:rPr>
        <w:t>Indian Act</w:t>
      </w:r>
      <w:r w:rsidRPr="00B6032C">
        <w:t>, R.S.C.</w:t>
      </w:r>
      <w:r w:rsidR="00336B28" w:rsidRPr="00B6032C">
        <w:t xml:space="preserve"> 1985, </w:t>
      </w:r>
      <w:r w:rsidR="00A77D6E" w:rsidRPr="00B6032C">
        <w:t>c. </w:t>
      </w:r>
      <w:r w:rsidR="00336B28" w:rsidRPr="00B6032C">
        <w:t>I</w:t>
      </w:r>
      <w:r w:rsidR="00A77D6E" w:rsidRPr="00B6032C">
        <w:noBreakHyphen/>
      </w:r>
      <w:r w:rsidR="00336B28" w:rsidRPr="00B6032C">
        <w:t xml:space="preserve">5, </w:t>
      </w:r>
      <w:r w:rsidR="006D600D" w:rsidRPr="00B6032C">
        <w:t>s. </w:t>
      </w:r>
      <w:r w:rsidR="00CD6CE4" w:rsidRPr="00B6032C">
        <w:t>6</w:t>
      </w:r>
      <w:r w:rsidR="002F4EB3" w:rsidRPr="00B6032C">
        <w:t>.</w:t>
      </w:r>
      <w:r w:rsidRPr="00B6032C">
        <w:t xml:space="preserve"> </w:t>
      </w:r>
    </w:p>
    <w:p w:rsidR="002E6705" w:rsidRPr="00B6032C" w:rsidRDefault="002E6705" w:rsidP="00A77D6E">
      <w:pPr>
        <w:pStyle w:val="SCCNormalDoubleSpacing"/>
        <w:spacing w:after="720" w:line="240" w:lineRule="auto"/>
        <w:rPr>
          <w:b/>
        </w:rPr>
      </w:pPr>
      <w:r w:rsidRPr="00B6032C">
        <w:rPr>
          <w:b/>
        </w:rPr>
        <w:t>Authors Cited</w:t>
      </w:r>
    </w:p>
    <w:p w:rsidR="0089782D" w:rsidRPr="00B6032C" w:rsidRDefault="0089782D" w:rsidP="00A77D6E">
      <w:pPr>
        <w:pStyle w:val="SCCNormalDoubleSpacing"/>
        <w:spacing w:after="240" w:line="240" w:lineRule="auto"/>
        <w:ind w:left="540" w:hanging="540"/>
      </w:pPr>
      <w:proofErr w:type="spellStart"/>
      <w:r w:rsidRPr="00B6032C">
        <w:t>Bastarache</w:t>
      </w:r>
      <w:proofErr w:type="spellEnd"/>
      <w:r w:rsidRPr="00B6032C">
        <w:t>,</w:t>
      </w:r>
      <w:r w:rsidR="007119A5" w:rsidRPr="00B6032C">
        <w:t xml:space="preserve"> Michel.</w:t>
      </w:r>
      <w:r w:rsidRPr="00B6032C">
        <w:t xml:space="preserve"> </w:t>
      </w:r>
      <w:r w:rsidR="00A77D6E" w:rsidRPr="00B6032C">
        <w:rPr>
          <w:i/>
        </w:rPr>
        <w:t>Dunsmuir 10 </w:t>
      </w:r>
      <w:r w:rsidRPr="00B6032C">
        <w:rPr>
          <w:i/>
        </w:rPr>
        <w:t>Year</w:t>
      </w:r>
      <w:r w:rsidR="007119A5" w:rsidRPr="00B6032C">
        <w:rPr>
          <w:i/>
        </w:rPr>
        <w:t>s</w:t>
      </w:r>
      <w:r w:rsidRPr="00B6032C">
        <w:rPr>
          <w:i/>
        </w:rPr>
        <w:t xml:space="preserve"> Later</w:t>
      </w:r>
      <w:r w:rsidRPr="00B6032C">
        <w:t>,</w:t>
      </w:r>
      <w:r w:rsidR="00002418" w:rsidRPr="00B6032C">
        <w:t xml:space="preserve"> March </w:t>
      </w:r>
      <w:r w:rsidR="007119A5" w:rsidRPr="00B6032C">
        <w:t>9,</w:t>
      </w:r>
      <w:r w:rsidRPr="00B6032C">
        <w:t xml:space="preserve"> 2018</w:t>
      </w:r>
      <w:r w:rsidR="007119A5" w:rsidRPr="00B6032C">
        <w:t xml:space="preserve"> (online: http://www.administrativelawmatters.com/blog/2018/03/09/dunsmuir</w:t>
      </w:r>
      <w:r w:rsidR="00A77D6E" w:rsidRPr="00B6032C">
        <w:t>-</w:t>
      </w:r>
      <w:r w:rsidR="007119A5" w:rsidRPr="00B6032C">
        <w:t>10</w:t>
      </w:r>
      <w:r w:rsidR="00A77D6E" w:rsidRPr="00B6032C">
        <w:t>-</w:t>
      </w:r>
      <w:r w:rsidR="007119A5" w:rsidRPr="00B6032C">
        <w:t>years</w:t>
      </w:r>
      <w:r w:rsidR="00A77D6E" w:rsidRPr="00B6032C">
        <w:t>-</w:t>
      </w:r>
      <w:r w:rsidR="007119A5" w:rsidRPr="00B6032C">
        <w:t>later</w:t>
      </w:r>
      <w:r w:rsidR="00A77D6E" w:rsidRPr="00B6032C">
        <w:t>-</w:t>
      </w:r>
      <w:r w:rsidR="007119A5" w:rsidRPr="00B6032C">
        <w:t>hon</w:t>
      </w:r>
      <w:r w:rsidR="00A77D6E" w:rsidRPr="00B6032C">
        <w:t>-</w:t>
      </w:r>
      <w:r w:rsidR="007119A5" w:rsidRPr="00B6032C">
        <w:t>michel</w:t>
      </w:r>
      <w:r w:rsidR="00A77D6E" w:rsidRPr="00B6032C">
        <w:t>-</w:t>
      </w:r>
      <w:r w:rsidR="007119A5" w:rsidRPr="00B6032C">
        <w:t>bastarache</w:t>
      </w:r>
      <w:r w:rsidR="00A77D6E" w:rsidRPr="00B6032C">
        <w:t>-</w:t>
      </w:r>
      <w:r w:rsidR="007119A5" w:rsidRPr="00B6032C">
        <w:t>cc</w:t>
      </w:r>
      <w:r w:rsidR="00A77D6E" w:rsidRPr="00B6032C">
        <w:t>-</w:t>
      </w:r>
      <w:r w:rsidR="007119A5" w:rsidRPr="00B6032C">
        <w:t xml:space="preserve">qc/; archived version: </w:t>
      </w:r>
      <w:r w:rsidR="0099756A" w:rsidRPr="00C54B1E">
        <w:rPr>
          <w:lang w:val="en-US"/>
        </w:rPr>
        <w:t>https://www.scc-csc.ca/cso-dce/2018SCC-CSC31_1_eng.pdf</w:t>
      </w:r>
      <w:r w:rsidR="007119A5" w:rsidRPr="00B6032C">
        <w:rPr>
          <w:lang w:val="en-US"/>
        </w:rPr>
        <w:t>).</w:t>
      </w:r>
    </w:p>
    <w:p w:rsidR="00584EA2" w:rsidRPr="00B6032C" w:rsidRDefault="00584EA2" w:rsidP="00A77D6E">
      <w:pPr>
        <w:pStyle w:val="SCCNormalDoubleSpacing"/>
        <w:spacing w:after="240" w:line="240" w:lineRule="auto"/>
        <w:ind w:left="540" w:hanging="540"/>
      </w:pPr>
      <w:r w:rsidRPr="00B6032C">
        <w:t xml:space="preserve">Canada. Royal Commission on Aboriginal Peoples. </w:t>
      </w:r>
      <w:r w:rsidRPr="00B6032C">
        <w:rPr>
          <w:i/>
        </w:rPr>
        <w:t>Report of the Royal Commission on Aboriginal Peoples</w:t>
      </w:r>
      <w:r w:rsidRPr="00B6032C">
        <w:t xml:space="preserve">, </w:t>
      </w:r>
      <w:r w:rsidR="00A77D6E" w:rsidRPr="00B6032C">
        <w:t>vol. </w:t>
      </w:r>
      <w:r w:rsidRPr="00B6032C">
        <w:t xml:space="preserve">4, </w:t>
      </w:r>
      <w:r w:rsidRPr="00B6032C">
        <w:rPr>
          <w:i/>
        </w:rPr>
        <w:t>Perspectives and Realities</w:t>
      </w:r>
      <w:r w:rsidR="00612BA8" w:rsidRPr="00B6032C">
        <w:t>. Ottawa</w:t>
      </w:r>
      <w:r w:rsidRPr="00B6032C">
        <w:t xml:space="preserve">, 1996. </w:t>
      </w:r>
    </w:p>
    <w:p w:rsidR="001032C8" w:rsidRPr="00B6032C" w:rsidRDefault="001032C8" w:rsidP="00A77D6E">
      <w:pPr>
        <w:pStyle w:val="SCCNormalDoubleSpacing"/>
        <w:spacing w:after="240" w:line="240" w:lineRule="auto"/>
        <w:ind w:left="540" w:hanging="540"/>
      </w:pPr>
      <w:r w:rsidRPr="00B6032C">
        <w:t xml:space="preserve">Daly, </w:t>
      </w:r>
      <w:r w:rsidR="00550F17" w:rsidRPr="00B6032C">
        <w:t xml:space="preserve">Paul. </w:t>
      </w:r>
      <w:r w:rsidRPr="00B6032C">
        <w:rPr>
          <w:i/>
        </w:rPr>
        <w:t>The</w:t>
      </w:r>
      <w:r w:rsidR="008A35D8" w:rsidRPr="00B6032C">
        <w:rPr>
          <w:i/>
        </w:rPr>
        <w:t xml:space="preserve"> hopeless search for “</w:t>
      </w:r>
      <w:r w:rsidRPr="00B6032C">
        <w:rPr>
          <w:i/>
        </w:rPr>
        <w:t>t</w:t>
      </w:r>
      <w:r w:rsidR="008A35D8" w:rsidRPr="00B6032C">
        <w:rPr>
          <w:i/>
        </w:rPr>
        <w:t>rue”</w:t>
      </w:r>
      <w:r w:rsidR="00C90974" w:rsidRPr="00B6032C">
        <w:rPr>
          <w:i/>
        </w:rPr>
        <w:t xml:space="preserve"> questions of jurisdiction</w:t>
      </w:r>
      <w:r w:rsidR="00002418" w:rsidRPr="00B6032C">
        <w:t>, August </w:t>
      </w:r>
      <w:r w:rsidR="00C90974" w:rsidRPr="00B6032C">
        <w:t>15</w:t>
      </w:r>
      <w:r w:rsidRPr="00B6032C">
        <w:t>, 2013</w:t>
      </w:r>
      <w:r w:rsidR="00C90974" w:rsidRPr="00B6032C">
        <w:t xml:space="preserve"> (online: http://www.administrativelawmatters.com/blog/2013/08/15/the</w:t>
      </w:r>
      <w:r w:rsidR="00A77D6E" w:rsidRPr="00B6032C">
        <w:t>-</w:t>
      </w:r>
      <w:r w:rsidR="00C90974" w:rsidRPr="00B6032C">
        <w:t>hopeless</w:t>
      </w:r>
      <w:r w:rsidR="00A77D6E" w:rsidRPr="00B6032C">
        <w:t>-</w:t>
      </w:r>
      <w:r w:rsidR="00C90974" w:rsidRPr="00B6032C">
        <w:t>search</w:t>
      </w:r>
      <w:r w:rsidR="00A77D6E" w:rsidRPr="00B6032C">
        <w:t>-</w:t>
      </w:r>
      <w:r w:rsidR="00C90974" w:rsidRPr="00B6032C">
        <w:t>for</w:t>
      </w:r>
      <w:r w:rsidR="00A77D6E" w:rsidRPr="00B6032C">
        <w:t>-</w:t>
      </w:r>
      <w:r w:rsidR="00C90974" w:rsidRPr="00B6032C">
        <w:t>true</w:t>
      </w:r>
      <w:r w:rsidR="00A77D6E" w:rsidRPr="00B6032C">
        <w:t>-</w:t>
      </w:r>
      <w:r w:rsidR="00C90974" w:rsidRPr="00B6032C">
        <w:t>questions</w:t>
      </w:r>
      <w:r w:rsidR="00A77D6E" w:rsidRPr="00B6032C">
        <w:t>-</w:t>
      </w:r>
      <w:r w:rsidR="00C90974" w:rsidRPr="00B6032C">
        <w:t>of</w:t>
      </w:r>
      <w:r w:rsidR="00A77D6E" w:rsidRPr="00B6032C">
        <w:t>-</w:t>
      </w:r>
      <w:r w:rsidR="00C90974" w:rsidRPr="00B6032C">
        <w:t xml:space="preserve">jurisdiction/; archived version: </w:t>
      </w:r>
      <w:r w:rsidR="0099756A" w:rsidRPr="00C54B1E">
        <w:rPr>
          <w:lang w:val="en-US"/>
        </w:rPr>
        <w:t>https://www.scc-csc.ca/cso-dce/2018SCC-CSC31_2_eng.pdf</w:t>
      </w:r>
      <w:r w:rsidR="00C90974" w:rsidRPr="00B6032C">
        <w:t>).</w:t>
      </w:r>
    </w:p>
    <w:p w:rsidR="001032C8" w:rsidRPr="00B6032C" w:rsidRDefault="001032C8" w:rsidP="00A77D6E">
      <w:pPr>
        <w:pStyle w:val="SCCNormalDoubleSpacing"/>
        <w:spacing w:after="720" w:line="240" w:lineRule="auto"/>
        <w:ind w:left="547" w:hanging="547"/>
      </w:pPr>
      <w:proofErr w:type="spellStart"/>
      <w:r w:rsidRPr="00B6032C">
        <w:t>Mummé</w:t>
      </w:r>
      <w:proofErr w:type="spellEnd"/>
      <w:r w:rsidRPr="00B6032C">
        <w:t xml:space="preserve">, </w:t>
      </w:r>
      <w:r w:rsidR="004C7AD5" w:rsidRPr="00B6032C">
        <w:t>Claire. “</w:t>
      </w:r>
      <w:r w:rsidRPr="00B6032C">
        <w:t xml:space="preserve">At the Crossroads in Discrimination Law: How the Human Rights Codes Overtook the </w:t>
      </w:r>
      <w:r w:rsidRPr="00B6032C">
        <w:rPr>
          <w:i/>
        </w:rPr>
        <w:t>Charter</w:t>
      </w:r>
      <w:r w:rsidRPr="00B6032C">
        <w:t xml:space="preserve"> in Canadian Government Services Case</w:t>
      </w:r>
      <w:r w:rsidR="004C7AD5" w:rsidRPr="00B6032C">
        <w:t>s”</w:t>
      </w:r>
      <w:r w:rsidRPr="00B6032C">
        <w:t xml:space="preserve"> (2012)</w:t>
      </w:r>
      <w:r w:rsidR="004C7AD5" w:rsidRPr="00B6032C">
        <w:t>,</w:t>
      </w:r>
      <w:r w:rsidRPr="00B6032C">
        <w:t xml:space="preserve"> 9 </w:t>
      </w:r>
      <w:r w:rsidRPr="00B6032C">
        <w:rPr>
          <w:i/>
        </w:rPr>
        <w:t>J.L. &amp; Equality</w:t>
      </w:r>
      <w:r w:rsidRPr="00B6032C">
        <w:t xml:space="preserve"> 103</w:t>
      </w:r>
      <w:r w:rsidR="004C7AD5" w:rsidRPr="00B6032C">
        <w:t>.</w:t>
      </w:r>
    </w:p>
    <w:p w:rsidR="00656313" w:rsidRPr="00B6032C" w:rsidRDefault="00D86698" w:rsidP="006D600D">
      <w:pPr>
        <w:pStyle w:val="SCCNormalDoubleSpacing"/>
        <w:spacing w:after="480"/>
      </w:pPr>
      <w:r w:rsidRPr="00B6032C">
        <w:tab/>
      </w:r>
      <w:r w:rsidR="009B57B3" w:rsidRPr="00B6032C">
        <w:t>APPEAL from a judgment of the Federal Court of Appeal</w:t>
      </w:r>
      <w:r w:rsidRPr="00B6032C">
        <w:t xml:space="preserve"> (Pelletier, de Montigny and Gleason</w:t>
      </w:r>
      <w:r w:rsidR="00A77D6E" w:rsidRPr="00B6032C">
        <w:t> </w:t>
      </w:r>
      <w:r w:rsidRPr="00B6032C">
        <w:t xml:space="preserve">JJ.A.), 2016 FCA 200, [2017] 2 F.C.R. 211, 487 N.R. 137, [2016] 4 C.N.L.R. 1, 363 C.R.R. (2d) 130, 8 Admin. L.R. (6th) 1, 402 D.L.R. (4th) 160, [2016] F.C.J. </w:t>
      </w:r>
      <w:r w:rsidR="00A77D6E" w:rsidRPr="00B6032C">
        <w:t>No. </w:t>
      </w:r>
      <w:r w:rsidRPr="00B6032C">
        <w:t xml:space="preserve">818 (QL), 2016 </w:t>
      </w:r>
      <w:proofErr w:type="spellStart"/>
      <w:r w:rsidRPr="00B6032C">
        <w:t>CarswellNat</w:t>
      </w:r>
      <w:proofErr w:type="spellEnd"/>
      <w:r w:rsidRPr="00B6032C">
        <w:t xml:space="preserve"> 3213 </w:t>
      </w:r>
      <w:r w:rsidR="00261F93" w:rsidRPr="00B6032C">
        <w:t>(</w:t>
      </w:r>
      <w:r w:rsidRPr="00B6032C">
        <w:t xml:space="preserve">WL Can.), </w:t>
      </w:r>
      <w:r w:rsidR="00C73330" w:rsidRPr="00B6032C">
        <w:t xml:space="preserve">affirming a decision of McVeigh J., 2015 FC 398, </w:t>
      </w:r>
      <w:r w:rsidR="005C5085" w:rsidRPr="00B6032C">
        <w:t xml:space="preserve">[2015] 3 C.N.L.R. 1, </w:t>
      </w:r>
      <w:r w:rsidR="00C73330" w:rsidRPr="00B6032C">
        <w:t xml:space="preserve">7 Admin. L.R. (6th) 75, 477 F.T.R. 229, [2015] F.C.J. </w:t>
      </w:r>
      <w:r w:rsidR="00A77D6E" w:rsidRPr="00B6032C">
        <w:t>No. </w:t>
      </w:r>
      <w:r w:rsidR="00C73330" w:rsidRPr="00B6032C">
        <w:t xml:space="preserve">400 (QL), 2015 </w:t>
      </w:r>
      <w:proofErr w:type="spellStart"/>
      <w:r w:rsidR="00C73330" w:rsidRPr="00B6032C">
        <w:t>CarswellNat</w:t>
      </w:r>
      <w:proofErr w:type="spellEnd"/>
      <w:r w:rsidR="00C73330" w:rsidRPr="00B6032C">
        <w:t xml:space="preserve"> 893 (WL Can.). </w:t>
      </w:r>
      <w:r w:rsidR="008279E4" w:rsidRPr="00B6032C">
        <w:t xml:space="preserve">Appeal </w:t>
      </w:r>
      <w:r w:rsidR="007B22F2" w:rsidRPr="00B6032C">
        <w:t>dismissed</w:t>
      </w:r>
      <w:r w:rsidR="008279E4" w:rsidRPr="00B6032C">
        <w:t>.</w:t>
      </w:r>
    </w:p>
    <w:p w:rsidR="00AB06F3" w:rsidRPr="00B6032C" w:rsidRDefault="003A5BBF" w:rsidP="006D600D">
      <w:pPr>
        <w:pStyle w:val="SCCNormalDoubleSpacing"/>
        <w:spacing w:before="480" w:after="480"/>
      </w:pPr>
      <w:r w:rsidRPr="00B6032C">
        <w:rPr>
          <w:rStyle w:val="SCCCounselNameChar"/>
        </w:rPr>
        <w:tab/>
        <w:t>Brian Smith</w:t>
      </w:r>
      <w:r w:rsidRPr="00B6032C">
        <w:rPr>
          <w:rStyle w:val="SCCCounselSeparatorChar"/>
        </w:rPr>
        <w:t xml:space="preserve"> and </w:t>
      </w:r>
      <w:r w:rsidRPr="00B6032C">
        <w:rPr>
          <w:rStyle w:val="SCCCounselNameChar"/>
        </w:rPr>
        <w:t>Fiona Keith</w:t>
      </w:r>
      <w:r w:rsidRPr="00B6032C">
        <w:rPr>
          <w:rStyle w:val="SCCCounselPartyRoleChar"/>
        </w:rPr>
        <w:t>, for the appellant.</w:t>
      </w:r>
    </w:p>
    <w:p w:rsidR="00AB06F3" w:rsidRPr="00B6032C" w:rsidRDefault="003A5BBF" w:rsidP="006D600D">
      <w:pPr>
        <w:pStyle w:val="SCCNormalDoubleSpacing"/>
        <w:spacing w:before="480" w:after="480"/>
      </w:pPr>
      <w:r w:rsidRPr="00B6032C">
        <w:rPr>
          <w:rStyle w:val="SCCCounselNameChar"/>
        </w:rPr>
        <w:tab/>
        <w:t>Christine Mohr</w:t>
      </w:r>
      <w:r w:rsidRPr="00B6032C">
        <w:rPr>
          <w:rStyle w:val="SCCCounselSeparatorChar"/>
        </w:rPr>
        <w:t xml:space="preserve"> and </w:t>
      </w:r>
      <w:r w:rsidRPr="00B6032C">
        <w:rPr>
          <w:rStyle w:val="SCCCounselNameChar"/>
        </w:rPr>
        <w:t>Catherine</w:t>
      </w:r>
      <w:r w:rsidR="006D600D" w:rsidRPr="00B6032C">
        <w:rPr>
          <w:rStyle w:val="SCCCounselNameChar"/>
        </w:rPr>
        <w:t> </w:t>
      </w:r>
      <w:r w:rsidR="005256E8" w:rsidRPr="00B6032C">
        <w:rPr>
          <w:rStyle w:val="SCCCounselNameChar"/>
        </w:rPr>
        <w:t>A.</w:t>
      </w:r>
      <w:r w:rsidR="006D600D" w:rsidRPr="00B6032C">
        <w:rPr>
          <w:rStyle w:val="SCCCounselNameChar"/>
        </w:rPr>
        <w:t xml:space="preserve"> </w:t>
      </w:r>
      <w:r w:rsidRPr="00B6032C">
        <w:rPr>
          <w:rStyle w:val="SCCCounselNameChar"/>
        </w:rPr>
        <w:t>Lawrence</w:t>
      </w:r>
      <w:r w:rsidRPr="00B6032C">
        <w:rPr>
          <w:rStyle w:val="SCCCounselPartyRoleChar"/>
        </w:rPr>
        <w:t>, for the respondent.</w:t>
      </w:r>
    </w:p>
    <w:p w:rsidR="005256E8" w:rsidRPr="00B6032C" w:rsidRDefault="003A5BBF" w:rsidP="006D600D">
      <w:pPr>
        <w:pStyle w:val="SCCNormalDoubleSpacing"/>
        <w:spacing w:before="480" w:after="480"/>
        <w:rPr>
          <w:rStyle w:val="SCCCounselPartyRoleChar"/>
        </w:rPr>
      </w:pPr>
      <w:r w:rsidRPr="00B6032C">
        <w:rPr>
          <w:rStyle w:val="SCCCounselNameChar"/>
        </w:rPr>
        <w:tab/>
      </w:r>
      <w:r w:rsidR="005256E8" w:rsidRPr="00B6032C">
        <w:rPr>
          <w:rStyle w:val="SCCCounselNameChar"/>
        </w:rPr>
        <w:t>Amélie Pelletier</w:t>
      </w:r>
      <w:r w:rsidR="00A77D6E" w:rsidRPr="00B6032C">
        <w:rPr>
          <w:rStyle w:val="SCCCounselNameChar"/>
        </w:rPr>
        <w:noBreakHyphen/>
      </w:r>
      <w:r w:rsidR="005256E8" w:rsidRPr="00B6032C">
        <w:rPr>
          <w:rStyle w:val="SCCCounselNameChar"/>
        </w:rPr>
        <w:t>Desrosiers</w:t>
      </w:r>
      <w:r w:rsidR="005256E8" w:rsidRPr="00B6032C">
        <w:rPr>
          <w:rStyle w:val="SCCCounselPartyRoleChar"/>
        </w:rPr>
        <w:t>, for the intervener the Attorney General of Quebec.</w:t>
      </w:r>
    </w:p>
    <w:p w:rsidR="00AB06F3" w:rsidRPr="00B6032C" w:rsidRDefault="005256E8" w:rsidP="006D600D">
      <w:pPr>
        <w:pStyle w:val="SCCNormalDoubleSpacing"/>
        <w:spacing w:before="480" w:after="480"/>
      </w:pPr>
      <w:r w:rsidRPr="00B6032C">
        <w:rPr>
          <w:rStyle w:val="SCCCounselNameChar"/>
        </w:rPr>
        <w:tab/>
        <w:t>Stephen</w:t>
      </w:r>
      <w:r w:rsidR="006D600D" w:rsidRPr="00B6032C">
        <w:rPr>
          <w:rStyle w:val="SCCCounselNameChar"/>
        </w:rPr>
        <w:t xml:space="preserve"> J. </w:t>
      </w:r>
      <w:r w:rsidR="003A5BBF" w:rsidRPr="00B6032C">
        <w:rPr>
          <w:rStyle w:val="SCCCounselNameChar"/>
        </w:rPr>
        <w:t>Moreau</w:t>
      </w:r>
      <w:r w:rsidR="003A5BBF" w:rsidRPr="00B6032C">
        <w:rPr>
          <w:rStyle w:val="SCCCounselSeparatorChar"/>
        </w:rPr>
        <w:t xml:space="preserve"> and </w:t>
      </w:r>
      <w:r w:rsidR="003A5BBF" w:rsidRPr="00B6032C">
        <w:rPr>
          <w:rStyle w:val="SCCCounselNameChar"/>
        </w:rPr>
        <w:t xml:space="preserve">Nadia </w:t>
      </w:r>
      <w:proofErr w:type="spellStart"/>
      <w:r w:rsidR="003A5BBF" w:rsidRPr="00B6032C">
        <w:rPr>
          <w:rStyle w:val="SCCCounselNameChar"/>
        </w:rPr>
        <w:t>Lambek</w:t>
      </w:r>
      <w:proofErr w:type="spellEnd"/>
      <w:r w:rsidR="003A5BBF" w:rsidRPr="00B6032C">
        <w:rPr>
          <w:rStyle w:val="SCCCounselPartyRoleChar"/>
        </w:rPr>
        <w:t>, for the intervener Tania Zulkoskey.</w:t>
      </w:r>
    </w:p>
    <w:p w:rsidR="00AB06F3" w:rsidRPr="00B6032C" w:rsidRDefault="003A5BBF" w:rsidP="006D600D">
      <w:pPr>
        <w:pStyle w:val="SCCNormalDoubleSpacing"/>
        <w:spacing w:before="480" w:after="480"/>
      </w:pPr>
      <w:r w:rsidRPr="00B6032C">
        <w:rPr>
          <w:rStyle w:val="SCCCounselNameChar"/>
        </w:rPr>
        <w:tab/>
        <w:t>Marie Chen</w:t>
      </w:r>
      <w:r w:rsidRPr="00B6032C">
        <w:rPr>
          <w:rStyle w:val="SCCCounselSeparatorChar"/>
        </w:rPr>
        <w:t xml:space="preserve"> and </w:t>
      </w:r>
      <w:proofErr w:type="spellStart"/>
      <w:r w:rsidR="005256E8" w:rsidRPr="00B6032C">
        <w:rPr>
          <w:rStyle w:val="SCCCounselNameChar"/>
        </w:rPr>
        <w:t>Niiti</w:t>
      </w:r>
      <w:proofErr w:type="spellEnd"/>
      <w:r w:rsidR="005256E8" w:rsidRPr="00B6032C">
        <w:rPr>
          <w:rStyle w:val="SCCCounselNameChar"/>
        </w:rPr>
        <w:t xml:space="preserve"> Simmonds</w:t>
      </w:r>
      <w:r w:rsidRPr="00B6032C">
        <w:rPr>
          <w:rStyle w:val="SCCCounselPartyRoleChar"/>
        </w:rPr>
        <w:t>, for the intervener</w:t>
      </w:r>
      <w:r w:rsidR="005256E8" w:rsidRPr="00B6032C">
        <w:rPr>
          <w:rStyle w:val="SCCCounselPartyRoleChar"/>
        </w:rPr>
        <w:t>s</w:t>
      </w:r>
      <w:r w:rsidRPr="00B6032C">
        <w:rPr>
          <w:rStyle w:val="SCCCounselPartyRoleChar"/>
        </w:rPr>
        <w:t xml:space="preserve"> </w:t>
      </w:r>
      <w:r w:rsidR="005256E8" w:rsidRPr="00B6032C">
        <w:rPr>
          <w:rStyle w:val="SCCCounselPartyRoleChar"/>
        </w:rPr>
        <w:t xml:space="preserve">the </w:t>
      </w:r>
      <w:r w:rsidRPr="00B6032C">
        <w:rPr>
          <w:rStyle w:val="SCCCounselPartyRoleChar"/>
        </w:rPr>
        <w:t xml:space="preserve">Income Security Advocacy Centre, </w:t>
      </w:r>
      <w:r w:rsidR="005256E8" w:rsidRPr="00B6032C">
        <w:rPr>
          <w:rStyle w:val="SCCCounselPartyRoleChar"/>
        </w:rPr>
        <w:t xml:space="preserve">the </w:t>
      </w:r>
      <w:r w:rsidRPr="00B6032C">
        <w:rPr>
          <w:rStyle w:val="SCCCounselPartyRoleChar"/>
        </w:rPr>
        <w:t xml:space="preserve">Sudbury Community Legal Clinic, </w:t>
      </w:r>
      <w:r w:rsidR="005256E8" w:rsidRPr="00B6032C">
        <w:rPr>
          <w:rStyle w:val="SCCCounselPartyRoleChar"/>
        </w:rPr>
        <w:t xml:space="preserve">the </w:t>
      </w:r>
      <w:r w:rsidRPr="00B6032C">
        <w:rPr>
          <w:rStyle w:val="SCCCounselPartyRoleChar"/>
        </w:rPr>
        <w:t xml:space="preserve">Chinese and Southeast Asian Legal Clinic, </w:t>
      </w:r>
      <w:r w:rsidR="005256E8" w:rsidRPr="00B6032C">
        <w:rPr>
          <w:rStyle w:val="SCCCounselPartyRoleChar"/>
        </w:rPr>
        <w:t xml:space="preserve">the </w:t>
      </w:r>
      <w:r w:rsidRPr="00B6032C">
        <w:rPr>
          <w:rStyle w:val="SCCCounselPartyRoleChar"/>
        </w:rPr>
        <w:t>Community Legal Assistance Society and</w:t>
      </w:r>
      <w:r w:rsidR="00102F8D" w:rsidRPr="00B6032C">
        <w:rPr>
          <w:rStyle w:val="SCCCounselPartyRoleChar"/>
        </w:rPr>
        <w:t xml:space="preserve"> the</w:t>
      </w:r>
      <w:r w:rsidRPr="00B6032C">
        <w:rPr>
          <w:rStyle w:val="SCCCounselPartyRoleChar"/>
        </w:rPr>
        <w:t xml:space="preserve"> HIV &amp; AIDS Legal Clinic Ontario.</w:t>
      </w:r>
    </w:p>
    <w:p w:rsidR="00AB06F3" w:rsidRPr="00B6032C" w:rsidRDefault="003A5BBF" w:rsidP="006D600D">
      <w:pPr>
        <w:pStyle w:val="SCCNormalDoubleSpacing"/>
        <w:spacing w:before="480" w:after="480"/>
      </w:pPr>
      <w:r w:rsidRPr="00B6032C">
        <w:rPr>
          <w:rStyle w:val="SCCCounselNameChar"/>
        </w:rPr>
        <w:tab/>
      </w:r>
      <w:proofErr w:type="spellStart"/>
      <w:r w:rsidRPr="00B6032C">
        <w:rPr>
          <w:rStyle w:val="SCCCounselNameChar"/>
        </w:rPr>
        <w:t>Kumail</w:t>
      </w:r>
      <w:proofErr w:type="spellEnd"/>
      <w:r w:rsidRPr="00B6032C">
        <w:rPr>
          <w:rStyle w:val="SCCCounselNameChar"/>
        </w:rPr>
        <w:t xml:space="preserve"> </w:t>
      </w:r>
      <w:proofErr w:type="spellStart"/>
      <w:r w:rsidRPr="00B6032C">
        <w:rPr>
          <w:rStyle w:val="SCCCounselNameChar"/>
        </w:rPr>
        <w:t>Karimjee</w:t>
      </w:r>
      <w:proofErr w:type="spellEnd"/>
      <w:r w:rsidRPr="00B6032C">
        <w:rPr>
          <w:rStyle w:val="SCCCounselSeparatorChar"/>
        </w:rPr>
        <w:t xml:space="preserve"> and </w:t>
      </w:r>
      <w:r w:rsidR="00966234" w:rsidRPr="00B6032C">
        <w:rPr>
          <w:rStyle w:val="SCCCounselNameChar"/>
        </w:rPr>
        <w:t>Nabila</w:t>
      </w:r>
      <w:r w:rsidR="006D600D" w:rsidRPr="00B6032C">
        <w:rPr>
          <w:rStyle w:val="SCCCounselNameChar"/>
        </w:rPr>
        <w:t xml:space="preserve"> F. </w:t>
      </w:r>
      <w:r w:rsidRPr="00B6032C">
        <w:rPr>
          <w:rStyle w:val="SCCCounselNameChar"/>
        </w:rPr>
        <w:t>Qureshi</w:t>
      </w:r>
      <w:r w:rsidRPr="00B6032C">
        <w:rPr>
          <w:rStyle w:val="SCCCounselPartyRoleChar"/>
        </w:rPr>
        <w:t xml:space="preserve">, for the intervener </w:t>
      </w:r>
      <w:r w:rsidR="00966234" w:rsidRPr="00B6032C">
        <w:rPr>
          <w:rStyle w:val="SCCCounselPartyRoleChar"/>
        </w:rPr>
        <w:t xml:space="preserve">the </w:t>
      </w:r>
      <w:r w:rsidRPr="00B6032C">
        <w:rPr>
          <w:rStyle w:val="SCCCounselPartyRoleChar"/>
        </w:rPr>
        <w:t>Canadian Muslim Lawyers Association.</w:t>
      </w:r>
    </w:p>
    <w:p w:rsidR="00AB06F3" w:rsidRPr="00B6032C" w:rsidRDefault="003A5BBF" w:rsidP="006D600D">
      <w:pPr>
        <w:pStyle w:val="SCCNormalDoubleSpacing"/>
        <w:spacing w:before="480" w:after="480"/>
      </w:pPr>
      <w:r w:rsidRPr="00B6032C">
        <w:rPr>
          <w:rStyle w:val="SCCCounselNameChar"/>
        </w:rPr>
        <w:tab/>
        <w:t xml:space="preserve">Kerri </w:t>
      </w:r>
      <w:proofErr w:type="spellStart"/>
      <w:r w:rsidRPr="00B6032C">
        <w:rPr>
          <w:rStyle w:val="SCCCounselNameChar"/>
        </w:rPr>
        <w:t>Joffe</w:t>
      </w:r>
      <w:proofErr w:type="spellEnd"/>
      <w:r w:rsidRPr="00B6032C">
        <w:rPr>
          <w:rStyle w:val="SCCCounselSeparatorChar"/>
        </w:rPr>
        <w:t xml:space="preserve"> and </w:t>
      </w:r>
      <w:r w:rsidRPr="00B6032C">
        <w:rPr>
          <w:rStyle w:val="SCCCounselNameChar"/>
        </w:rPr>
        <w:t xml:space="preserve">Dianne </w:t>
      </w:r>
      <w:proofErr w:type="spellStart"/>
      <w:r w:rsidRPr="00B6032C">
        <w:rPr>
          <w:rStyle w:val="SCCCounselNameChar"/>
        </w:rPr>
        <w:t>Wintermute</w:t>
      </w:r>
      <w:proofErr w:type="spellEnd"/>
      <w:r w:rsidRPr="00B6032C">
        <w:rPr>
          <w:rStyle w:val="SCCCounselPartyRoleChar"/>
        </w:rPr>
        <w:t xml:space="preserve">, for the intervener </w:t>
      </w:r>
      <w:r w:rsidR="00966234" w:rsidRPr="00B6032C">
        <w:rPr>
          <w:rStyle w:val="SCCCounselPartyRoleChar"/>
        </w:rPr>
        <w:t xml:space="preserve">the </w:t>
      </w:r>
      <w:r w:rsidRPr="00B6032C">
        <w:rPr>
          <w:rStyle w:val="SCCCounselPartyRoleChar"/>
        </w:rPr>
        <w:t>Council of Canadians with Disabilities.</w:t>
      </w:r>
    </w:p>
    <w:p w:rsidR="00AB06F3" w:rsidRPr="00B6032C" w:rsidRDefault="003A5BBF" w:rsidP="006D600D">
      <w:pPr>
        <w:pStyle w:val="SCCNormalDoubleSpacing"/>
        <w:spacing w:before="480" w:after="480"/>
      </w:pPr>
      <w:r w:rsidRPr="00B6032C">
        <w:rPr>
          <w:rStyle w:val="SCCCounselNameChar"/>
        </w:rPr>
        <w:tab/>
        <w:t xml:space="preserve">Mary </w:t>
      </w:r>
      <w:proofErr w:type="spellStart"/>
      <w:r w:rsidRPr="00B6032C">
        <w:rPr>
          <w:rStyle w:val="SCCCounselNameChar"/>
        </w:rPr>
        <w:t>Eberts</w:t>
      </w:r>
      <w:proofErr w:type="spellEnd"/>
      <w:r w:rsidRPr="00B6032C">
        <w:rPr>
          <w:rStyle w:val="SCCCounselSeparatorChar"/>
        </w:rPr>
        <w:t xml:space="preserve">, </w:t>
      </w:r>
      <w:r w:rsidRPr="00B6032C">
        <w:rPr>
          <w:rStyle w:val="SCCCounselNameChar"/>
        </w:rPr>
        <w:t>Kim Stanton</w:t>
      </w:r>
      <w:r w:rsidRPr="00B6032C">
        <w:rPr>
          <w:rStyle w:val="SCCCounselSeparatorChar"/>
        </w:rPr>
        <w:t xml:space="preserve"> and </w:t>
      </w:r>
      <w:r w:rsidRPr="00B6032C">
        <w:rPr>
          <w:rStyle w:val="SCCCounselNameChar"/>
        </w:rPr>
        <w:t>K.</w:t>
      </w:r>
      <w:r w:rsidR="00966234" w:rsidRPr="00B6032C">
        <w:rPr>
          <w:rStyle w:val="SCCCounselNameChar"/>
        </w:rPr>
        <w:t> </w:t>
      </w:r>
      <w:r w:rsidR="006D600D" w:rsidRPr="00B6032C">
        <w:rPr>
          <w:rStyle w:val="SCCCounselNameChar"/>
        </w:rPr>
        <w:t>R. </w:t>
      </w:r>
      <w:r w:rsidRPr="00B6032C">
        <w:rPr>
          <w:rStyle w:val="SCCCounselNameChar"/>
        </w:rPr>
        <w:t>Virginia Lomax</w:t>
      </w:r>
      <w:r w:rsidRPr="00B6032C">
        <w:rPr>
          <w:rStyle w:val="SCCCounselPartyRoleChar"/>
        </w:rPr>
        <w:t>, for the intervener</w:t>
      </w:r>
      <w:r w:rsidR="00966234" w:rsidRPr="00B6032C">
        <w:rPr>
          <w:rStyle w:val="SCCCounselPartyRoleChar"/>
        </w:rPr>
        <w:t>s</w:t>
      </w:r>
      <w:r w:rsidRPr="00B6032C">
        <w:rPr>
          <w:rStyle w:val="SCCCounselPartyRoleChar"/>
        </w:rPr>
        <w:t xml:space="preserve"> </w:t>
      </w:r>
      <w:r w:rsidR="00966234" w:rsidRPr="00B6032C">
        <w:rPr>
          <w:rStyle w:val="SCCCounselPartyRoleChar"/>
        </w:rPr>
        <w:t xml:space="preserve">the </w:t>
      </w:r>
      <w:r w:rsidRPr="00B6032C">
        <w:rPr>
          <w:rStyle w:val="SCCCounselPartyRoleChar"/>
        </w:rPr>
        <w:t>Women</w:t>
      </w:r>
      <w:r w:rsidR="00157C4B" w:rsidRPr="00B6032C">
        <w:rPr>
          <w:rStyle w:val="SCCCounselPartyRoleChar"/>
        </w:rPr>
        <w:t>’</w:t>
      </w:r>
      <w:r w:rsidRPr="00B6032C">
        <w:rPr>
          <w:rStyle w:val="SCCCounselPartyRoleChar"/>
        </w:rPr>
        <w:t>s L</w:t>
      </w:r>
      <w:r w:rsidR="00966234" w:rsidRPr="00B6032C">
        <w:rPr>
          <w:rStyle w:val="SCCCounselPartyRoleChar"/>
        </w:rPr>
        <w:t xml:space="preserve">egal Education and Action Fund and the </w:t>
      </w:r>
      <w:r w:rsidRPr="00B6032C">
        <w:rPr>
          <w:rStyle w:val="SCCCounselPartyRoleChar"/>
        </w:rPr>
        <w:t>Native Women</w:t>
      </w:r>
      <w:r w:rsidR="00157C4B" w:rsidRPr="00B6032C">
        <w:rPr>
          <w:rStyle w:val="SCCCounselPartyRoleChar"/>
        </w:rPr>
        <w:t>’</w:t>
      </w:r>
      <w:r w:rsidRPr="00B6032C">
        <w:rPr>
          <w:rStyle w:val="SCCCounselPartyRoleChar"/>
        </w:rPr>
        <w:t>s Association of Canada.</w:t>
      </w:r>
    </w:p>
    <w:p w:rsidR="00AB06F3" w:rsidRPr="00B6032C" w:rsidRDefault="003A5BBF" w:rsidP="006D600D">
      <w:pPr>
        <w:pStyle w:val="SCCNormalDoubleSpacing"/>
        <w:spacing w:before="480" w:after="480"/>
      </w:pPr>
      <w:r w:rsidRPr="00B6032C">
        <w:rPr>
          <w:rStyle w:val="SCCCounselNameChar"/>
        </w:rPr>
        <w:tab/>
      </w:r>
      <w:r w:rsidR="00C60AE6" w:rsidRPr="00B6032C">
        <w:rPr>
          <w:rStyle w:val="SCCCounselNameChar"/>
        </w:rPr>
        <w:t>Stephen A</w:t>
      </w:r>
      <w:r w:rsidRPr="00B6032C">
        <w:rPr>
          <w:rStyle w:val="SCCCounselNameChar"/>
        </w:rPr>
        <w:t>y</w:t>
      </w:r>
      <w:r w:rsidR="00C60AE6" w:rsidRPr="00B6032C">
        <w:rPr>
          <w:rStyle w:val="SCCCounselNameChar"/>
        </w:rPr>
        <w:t>l</w:t>
      </w:r>
      <w:r w:rsidRPr="00B6032C">
        <w:rPr>
          <w:rStyle w:val="SCCCounselNameChar"/>
        </w:rPr>
        <w:t>ward</w:t>
      </w:r>
      <w:r w:rsidRPr="00B6032C">
        <w:rPr>
          <w:rStyle w:val="SCCCounselPartyRoleChar"/>
        </w:rPr>
        <w:t>, for the intervener Amnesty International.</w:t>
      </w:r>
    </w:p>
    <w:p w:rsidR="00AB06F3" w:rsidRPr="00B6032C" w:rsidRDefault="006D600D" w:rsidP="006D600D">
      <w:pPr>
        <w:pStyle w:val="SCCNormalDoubleSpacing"/>
        <w:spacing w:before="480" w:after="480"/>
      </w:pPr>
      <w:r w:rsidRPr="00B6032C">
        <w:rPr>
          <w:rStyle w:val="SCCCounselNameChar"/>
        </w:rPr>
        <w:tab/>
        <w:t>David </w:t>
      </w:r>
      <w:r w:rsidR="00A77D6E" w:rsidRPr="00B6032C">
        <w:rPr>
          <w:rStyle w:val="SCCCounselNameChar"/>
        </w:rPr>
        <w:t>P.</w:t>
      </w:r>
      <w:r w:rsidRPr="00B6032C">
        <w:rPr>
          <w:rStyle w:val="SCCCounselNameChar"/>
        </w:rPr>
        <w:t xml:space="preserve"> </w:t>
      </w:r>
      <w:r w:rsidR="003A5BBF" w:rsidRPr="00B6032C">
        <w:rPr>
          <w:rStyle w:val="SCCCounselNameChar"/>
        </w:rPr>
        <w:t>Taylor</w:t>
      </w:r>
      <w:r w:rsidR="00C60AE6" w:rsidRPr="00B6032C">
        <w:rPr>
          <w:rStyle w:val="SCCCounselPartyRoleChar"/>
        </w:rPr>
        <w:t xml:space="preserve"> and </w:t>
      </w:r>
      <w:r w:rsidR="00C60AE6" w:rsidRPr="00B6032C">
        <w:rPr>
          <w:rStyle w:val="SCCCounselPartyRoleChar"/>
          <w:i/>
        </w:rPr>
        <w:t>Anne Levesque</w:t>
      </w:r>
      <w:r w:rsidR="00C60AE6" w:rsidRPr="00B6032C">
        <w:rPr>
          <w:rStyle w:val="SCCCounselPartyRoleChar"/>
        </w:rPr>
        <w:t>,</w:t>
      </w:r>
      <w:r w:rsidR="003A5BBF" w:rsidRPr="00B6032C">
        <w:rPr>
          <w:rStyle w:val="SCCCounselPartyRoleChar"/>
        </w:rPr>
        <w:t xml:space="preserve"> for the intervener </w:t>
      </w:r>
      <w:r w:rsidR="00C60AE6" w:rsidRPr="00B6032C">
        <w:rPr>
          <w:rStyle w:val="SCCCounselPartyRoleChar"/>
        </w:rPr>
        <w:t xml:space="preserve">the </w:t>
      </w:r>
      <w:r w:rsidR="003A5BBF" w:rsidRPr="00B6032C">
        <w:rPr>
          <w:rStyle w:val="SCCCounselPartyRoleChar"/>
        </w:rPr>
        <w:t>First Nations Child and Family Caring Society of Canada.</w:t>
      </w:r>
    </w:p>
    <w:p w:rsidR="00C60AE6" w:rsidRPr="00B6032C" w:rsidRDefault="003A5BBF" w:rsidP="006D600D">
      <w:pPr>
        <w:pStyle w:val="SCCNormalDoubleSpacing"/>
        <w:spacing w:before="480" w:after="480"/>
        <w:rPr>
          <w:rStyle w:val="SCCCounselNameChar"/>
          <w:i w:val="0"/>
        </w:rPr>
      </w:pPr>
      <w:r w:rsidRPr="00B6032C">
        <w:rPr>
          <w:rStyle w:val="SCCCounselNameChar"/>
        </w:rPr>
        <w:tab/>
      </w:r>
      <w:r w:rsidR="00C60AE6" w:rsidRPr="00B6032C">
        <w:rPr>
          <w:rStyle w:val="SCCCounselNameChar"/>
        </w:rPr>
        <w:t>Jeremy</w:t>
      </w:r>
      <w:r w:rsidR="006D600D" w:rsidRPr="00B6032C">
        <w:rPr>
          <w:rStyle w:val="SCCCounselNameChar"/>
        </w:rPr>
        <w:t xml:space="preserve"> E. </w:t>
      </w:r>
      <w:r w:rsidR="00C60AE6" w:rsidRPr="00B6032C">
        <w:rPr>
          <w:rStyle w:val="SCCCounselNameChar"/>
        </w:rPr>
        <w:t>Matson</w:t>
      </w:r>
      <w:r w:rsidR="00C60AE6" w:rsidRPr="00B6032C">
        <w:rPr>
          <w:rStyle w:val="SCCCounselNameChar"/>
          <w:i w:val="0"/>
        </w:rPr>
        <w:t>, on his own behalf.</w:t>
      </w:r>
    </w:p>
    <w:p w:rsidR="00AB06F3" w:rsidRPr="00B6032C" w:rsidRDefault="00C60AE6" w:rsidP="006D600D">
      <w:pPr>
        <w:pStyle w:val="SCCNormalDoubleSpacing"/>
        <w:spacing w:before="480" w:after="480"/>
      </w:pPr>
      <w:r w:rsidRPr="00B6032C">
        <w:rPr>
          <w:rStyle w:val="SCCCounselNameChar"/>
        </w:rPr>
        <w:tab/>
        <w:t xml:space="preserve">Faisal Mirza </w:t>
      </w:r>
      <w:r w:rsidRPr="00B6032C">
        <w:rPr>
          <w:rStyle w:val="SCCCounselSeparatorChar"/>
        </w:rPr>
        <w:t>and</w:t>
      </w:r>
      <w:r w:rsidRPr="00B6032C">
        <w:rPr>
          <w:rStyle w:val="SCCCounselNameChar"/>
        </w:rPr>
        <w:t xml:space="preserve"> </w:t>
      </w:r>
      <w:r w:rsidR="003A5BBF" w:rsidRPr="00B6032C">
        <w:rPr>
          <w:rStyle w:val="SCCCounselNameChar"/>
        </w:rPr>
        <w:t>Tamara Thomas</w:t>
      </w:r>
      <w:r w:rsidR="003A5BBF" w:rsidRPr="00B6032C">
        <w:rPr>
          <w:rStyle w:val="SCCCounselPartyRoleChar"/>
        </w:rPr>
        <w:t xml:space="preserve">, for the intervener </w:t>
      </w:r>
      <w:r w:rsidRPr="00B6032C">
        <w:rPr>
          <w:rStyle w:val="SCCCounselPartyRoleChar"/>
        </w:rPr>
        <w:t xml:space="preserve">the </w:t>
      </w:r>
      <w:r w:rsidR="003A5BBF" w:rsidRPr="00B6032C">
        <w:rPr>
          <w:rStyle w:val="SCCCounselPartyRoleChar"/>
        </w:rPr>
        <w:t>African Canadian Legal Clinic.</w:t>
      </w:r>
    </w:p>
    <w:p w:rsidR="00AB06F3" w:rsidRPr="00B6032C" w:rsidRDefault="003A5BBF" w:rsidP="006D600D">
      <w:pPr>
        <w:pStyle w:val="SCCNormalDoubleSpacing"/>
        <w:spacing w:before="480" w:after="480"/>
      </w:pPr>
      <w:r w:rsidRPr="00B6032C">
        <w:rPr>
          <w:rStyle w:val="SCCCounselNameChar"/>
        </w:rPr>
        <w:tab/>
        <w:t>Emily Hill</w:t>
      </w:r>
      <w:r w:rsidRPr="00B6032C">
        <w:rPr>
          <w:rStyle w:val="SCCCounselSeparatorChar"/>
        </w:rPr>
        <w:t xml:space="preserve"> and </w:t>
      </w:r>
      <w:r w:rsidRPr="00B6032C">
        <w:rPr>
          <w:rStyle w:val="SCCCounselNameChar"/>
        </w:rPr>
        <w:t xml:space="preserve">Emilie </w:t>
      </w:r>
      <w:proofErr w:type="spellStart"/>
      <w:r w:rsidRPr="00B6032C">
        <w:rPr>
          <w:rStyle w:val="SCCCounselNameChar"/>
        </w:rPr>
        <w:t>Lahaie</w:t>
      </w:r>
      <w:proofErr w:type="spellEnd"/>
      <w:r w:rsidRPr="00B6032C">
        <w:rPr>
          <w:rStyle w:val="SCCCounselPartyRoleChar"/>
        </w:rPr>
        <w:t>, for the intervener</w:t>
      </w:r>
      <w:r w:rsidR="00AB6561" w:rsidRPr="00B6032C">
        <w:rPr>
          <w:rStyle w:val="SCCCounselPartyRoleChar"/>
        </w:rPr>
        <w:t xml:space="preserve"> the</w:t>
      </w:r>
      <w:r w:rsidRPr="00B6032C">
        <w:rPr>
          <w:rStyle w:val="SCCCounselPartyRoleChar"/>
        </w:rPr>
        <w:t xml:space="preserve"> Aboriginal Legal Services.</w:t>
      </w:r>
    </w:p>
    <w:p w:rsidR="00AB06F3" w:rsidRPr="00B6032C" w:rsidRDefault="003A5BBF" w:rsidP="006D600D">
      <w:pPr>
        <w:pStyle w:val="SCCNormalDoubleSpacing"/>
        <w:spacing w:before="480" w:after="480"/>
      </w:pPr>
      <w:r w:rsidRPr="00B6032C">
        <w:rPr>
          <w:rStyle w:val="SCCCounselNameChar"/>
        </w:rPr>
        <w:tab/>
      </w:r>
      <w:r w:rsidR="009E7338" w:rsidRPr="00B6032C">
        <w:rPr>
          <w:rStyle w:val="SCCCounselNameChar"/>
        </w:rPr>
        <w:t xml:space="preserve">Andrew </w:t>
      </w:r>
      <w:proofErr w:type="spellStart"/>
      <w:r w:rsidR="009E7338" w:rsidRPr="00B6032C">
        <w:rPr>
          <w:rStyle w:val="SCCCounselNameChar"/>
        </w:rPr>
        <w:t>Astritis</w:t>
      </w:r>
      <w:proofErr w:type="spellEnd"/>
      <w:r w:rsidR="009E7338" w:rsidRPr="00B6032C">
        <w:rPr>
          <w:rStyle w:val="SCCCounselNameChar"/>
          <w:i w:val="0"/>
        </w:rPr>
        <w:t>,</w:t>
      </w:r>
      <w:r w:rsidR="009E7338" w:rsidRPr="00B6032C">
        <w:rPr>
          <w:rStyle w:val="SCCCounselNameChar"/>
        </w:rPr>
        <w:t xml:space="preserve"> </w:t>
      </w:r>
      <w:r w:rsidRPr="00B6032C">
        <w:rPr>
          <w:rStyle w:val="SCCCounselNameChar"/>
        </w:rPr>
        <w:t>Andrew Raven</w:t>
      </w:r>
      <w:r w:rsidRPr="00B6032C">
        <w:rPr>
          <w:rStyle w:val="SCCCounselSeparatorChar"/>
        </w:rPr>
        <w:t xml:space="preserve"> and </w:t>
      </w:r>
      <w:r w:rsidRPr="00B6032C">
        <w:rPr>
          <w:rStyle w:val="SCCCounselNameChar"/>
        </w:rPr>
        <w:t>Morgan Rowe</w:t>
      </w:r>
      <w:r w:rsidRPr="00B6032C">
        <w:rPr>
          <w:rStyle w:val="SCCCounselPartyRoleChar"/>
        </w:rPr>
        <w:t xml:space="preserve">, for the intervener </w:t>
      </w:r>
      <w:r w:rsidR="00AF1DC5" w:rsidRPr="00B6032C">
        <w:rPr>
          <w:rStyle w:val="SCCCounselPartyRoleChar"/>
        </w:rPr>
        <w:t xml:space="preserve">the </w:t>
      </w:r>
      <w:r w:rsidRPr="00B6032C">
        <w:rPr>
          <w:rStyle w:val="SCCCounselPartyRoleChar"/>
        </w:rPr>
        <w:t>Public Service Alliance of Canada.</w:t>
      </w:r>
    </w:p>
    <w:p w:rsidR="00AC53DB" w:rsidRDefault="00EF7EB3" w:rsidP="00EF7EB3">
      <w:pPr>
        <w:pStyle w:val="SCCNormalDoubleSpacing"/>
        <w:spacing w:before="480" w:after="480"/>
      </w:pPr>
      <w:r>
        <w:rPr>
          <w:lang w:val="en-US"/>
        </w:rPr>
        <w:tab/>
      </w:r>
      <w:r w:rsidR="00AC53DB" w:rsidRPr="00E60956">
        <w:rPr>
          <w:lang w:val="en-US"/>
        </w:rPr>
        <w:t>The judgment of McLachlin C.J.</w:t>
      </w:r>
      <w:r w:rsidR="00AC53DB">
        <w:t xml:space="preserve"> and Abella, Moldaver, Karakatsanis, Wagner and Gascon </w:t>
      </w:r>
      <w:r w:rsidR="00AC53DB" w:rsidRPr="00EE0D10">
        <w:t xml:space="preserve">JJ. </w:t>
      </w:r>
      <w:proofErr w:type="gramStart"/>
      <w:r w:rsidR="00AC53DB" w:rsidRPr="00EE0D10">
        <w:t>was</w:t>
      </w:r>
      <w:proofErr w:type="gramEnd"/>
      <w:r w:rsidR="00AC53DB" w:rsidRPr="00EE0D10">
        <w:t xml:space="preserve"> delivered by</w:t>
      </w:r>
    </w:p>
    <w:p w:rsidR="00AC53DB" w:rsidRPr="00883230" w:rsidRDefault="00AC53DB" w:rsidP="00EF7EB3">
      <w:pPr>
        <w:pStyle w:val="JudgeJuge"/>
      </w:pPr>
      <w:r w:rsidRPr="00883230">
        <w:tab/>
        <w:t xml:space="preserve">Gascon J. — </w:t>
      </w:r>
    </w:p>
    <w:p w:rsidR="00AC53DB" w:rsidRPr="00883230" w:rsidRDefault="00AC53DB" w:rsidP="00AC53DB">
      <w:pPr>
        <w:pStyle w:val="Title1LevelTitre1Niveau-AltL"/>
        <w:rPr>
          <w:rFonts w:cs="Times New Roman"/>
        </w:rPr>
      </w:pPr>
      <w:bookmarkStart w:id="1" w:name="_Toc507495027"/>
      <w:r w:rsidRPr="00883230">
        <w:rPr>
          <w:rFonts w:cs="Times New Roman"/>
        </w:rPr>
        <w:t>Overview</w:t>
      </w:r>
      <w:bookmarkEnd w:id="1"/>
    </w:p>
    <w:p w:rsidR="00AC53DB" w:rsidRPr="00883230" w:rsidRDefault="00AC53DB" w:rsidP="00AC53DB">
      <w:pPr>
        <w:pStyle w:val="ParaNoNdepar-AltN"/>
        <w:rPr>
          <w:rFonts w:cs="Times New Roman"/>
        </w:rPr>
      </w:pPr>
      <w:r w:rsidRPr="00883230">
        <w:rPr>
          <w:rFonts w:cs="Times New Roman"/>
        </w:rPr>
        <w:t xml:space="preserve">This appeal concerns several complaints under the </w:t>
      </w:r>
      <w:r w:rsidRPr="00883230">
        <w:rPr>
          <w:rFonts w:cs="Times New Roman"/>
          <w:i/>
        </w:rPr>
        <w:t>Canadian Human Rights Act</w:t>
      </w:r>
      <w:r w:rsidRPr="00883230">
        <w:rPr>
          <w:rFonts w:cs="Times New Roman"/>
        </w:rPr>
        <w:t>,</w:t>
      </w:r>
      <w:r w:rsidRPr="00883230">
        <w:rPr>
          <w:rFonts w:cs="Times New Roman"/>
          <w:i/>
        </w:rPr>
        <w:t xml:space="preserve"> </w:t>
      </w:r>
      <w:r w:rsidRPr="00883230">
        <w:rPr>
          <w:rFonts w:cs="Times New Roman"/>
        </w:rPr>
        <w:t>R.S.C. 1985, c. H-6 (“</w:t>
      </w:r>
      <w:r w:rsidRPr="00883230">
        <w:rPr>
          <w:rFonts w:cs="Times New Roman"/>
          <w:i/>
        </w:rPr>
        <w:t>CHRA</w:t>
      </w:r>
      <w:r w:rsidRPr="00883230">
        <w:rPr>
          <w:rFonts w:cs="Times New Roman"/>
        </w:rPr>
        <w:t xml:space="preserve">”), that were dismissed by the Canadian Human Rights Tribunal (“Tribunal”) in two decisions. The complaints alleged that the legislative entitlements to registration under the </w:t>
      </w:r>
      <w:r w:rsidRPr="00883230">
        <w:rPr>
          <w:rFonts w:cs="Times New Roman"/>
          <w:i/>
        </w:rPr>
        <w:t>Indian Act</w:t>
      </w:r>
      <w:r w:rsidRPr="00883230">
        <w:rPr>
          <w:rFonts w:cs="Times New Roman"/>
        </w:rPr>
        <w:t xml:space="preserve">, R.S.C. 1985, c. I-5, were discriminatory practices prohibited by the </w:t>
      </w:r>
      <w:r w:rsidRPr="00883230">
        <w:rPr>
          <w:rFonts w:cs="Times New Roman"/>
          <w:i/>
        </w:rPr>
        <w:t>CHRA</w:t>
      </w:r>
      <w:r w:rsidRPr="00883230">
        <w:rPr>
          <w:rFonts w:cs="Times New Roman"/>
        </w:rPr>
        <w:t>. At issue before this Court is, first, whether deference is owed to a human rights tribunal interpreting its home statute and, second, whether the Tribunal’s decisions dismissing the complaints as direct attacks on legislation were reasonable.</w:t>
      </w:r>
    </w:p>
    <w:p w:rsidR="00AC53DB" w:rsidRPr="00883230" w:rsidRDefault="00AC53DB" w:rsidP="00AC53DB">
      <w:pPr>
        <w:pStyle w:val="ParaNoNdepar-AltN"/>
        <w:rPr>
          <w:rFonts w:cs="Times New Roman"/>
        </w:rPr>
      </w:pPr>
      <w:r w:rsidRPr="00883230">
        <w:rPr>
          <w:rFonts w:cs="Times New Roman"/>
        </w:rPr>
        <w:t xml:space="preserve">All of the complaints arise from the lingering effects of “enfranchisement”, a discriminatory and damaging policy previously enshrined in the </w:t>
      </w:r>
      <w:r w:rsidRPr="00883230">
        <w:rPr>
          <w:rFonts w:cs="Times New Roman"/>
          <w:i/>
        </w:rPr>
        <w:t>Indian Act</w:t>
      </w:r>
      <w:r w:rsidRPr="00883230">
        <w:rPr>
          <w:rFonts w:cs="Times New Roman"/>
        </w:rPr>
        <w:t xml:space="preserve">. Enfranchisement stripped individuals of their </w:t>
      </w:r>
      <w:r w:rsidRPr="00883230">
        <w:rPr>
          <w:rFonts w:cs="Times New Roman"/>
          <w:i/>
        </w:rPr>
        <w:t>Indian Act</w:t>
      </w:r>
      <w:r w:rsidRPr="00883230">
        <w:rPr>
          <w:rFonts w:cs="Times New Roman"/>
        </w:rPr>
        <w:t xml:space="preserve"> status and prevented their children from registering as status “Indians”. Parliament has put an end to enfranchisement and enacted remedial registration provisions. The complainants challenge the sufficiency of these remedial measures, claiming that they and their children continue to suffer discrimination as a legacy of enfranchisement.</w:t>
      </w:r>
    </w:p>
    <w:p w:rsidR="00AC53DB" w:rsidRPr="00883230" w:rsidRDefault="00AC53DB" w:rsidP="00AC53DB">
      <w:pPr>
        <w:pStyle w:val="ParaNoNdepar-AltN"/>
        <w:rPr>
          <w:rFonts w:cs="Times New Roman"/>
        </w:rPr>
      </w:pPr>
      <w:r w:rsidRPr="00883230">
        <w:rPr>
          <w:rFonts w:cs="Times New Roman"/>
        </w:rPr>
        <w:t xml:space="preserve">The complaints were heard by the Tribunal separately. In both decisions, the Tribunal determined that the complaints were a direct attack on the </w:t>
      </w:r>
      <w:r w:rsidRPr="00883230">
        <w:rPr>
          <w:rFonts w:cs="Times New Roman"/>
          <w:i/>
        </w:rPr>
        <w:t>Indian Act</w:t>
      </w:r>
      <w:r w:rsidRPr="00883230">
        <w:rPr>
          <w:rFonts w:cs="Times New Roman"/>
        </w:rPr>
        <w:t xml:space="preserve">. In order to establish a discriminatory practice to which the Tribunal could respond, the complainants needed to demonstrate that the legislative provisions fell within the statutory meaning of a service. After a thorough and thoughtful review of their enabling statute, the jurisprudence and policy considerations, the adjudicators in both decisions concluded that legislation was not a service under the </w:t>
      </w:r>
      <w:r w:rsidRPr="00883230">
        <w:rPr>
          <w:rFonts w:cs="Times New Roman"/>
          <w:i/>
        </w:rPr>
        <w:t>CHRA</w:t>
      </w:r>
      <w:r w:rsidRPr="00883230">
        <w:rPr>
          <w:rFonts w:cs="Times New Roman"/>
        </w:rPr>
        <w:t xml:space="preserve"> and dismissed the complaints. On judicial review, both the Federal Court and the Federal Court of Appeal found that the Tribunal decisions were reasonable and should be upheld. I agree, and I would dismiss the appeal. </w:t>
      </w:r>
    </w:p>
    <w:p w:rsidR="00AC53DB" w:rsidRPr="00883230" w:rsidRDefault="00AC53DB" w:rsidP="00AC53DB">
      <w:pPr>
        <w:pStyle w:val="Title1LevelTitre1Niveau-AltL"/>
        <w:rPr>
          <w:rFonts w:cs="Times New Roman"/>
        </w:rPr>
      </w:pPr>
      <w:bookmarkStart w:id="2" w:name="_Toc507495028"/>
      <w:r w:rsidRPr="00883230">
        <w:rPr>
          <w:rFonts w:cs="Times New Roman"/>
        </w:rPr>
        <w:t>Background</w:t>
      </w:r>
      <w:bookmarkEnd w:id="2"/>
    </w:p>
    <w:p w:rsidR="00AC53DB" w:rsidRPr="00883230" w:rsidRDefault="00AC53DB" w:rsidP="00AC53DB">
      <w:pPr>
        <w:pStyle w:val="Title2LevelTitre2Niveau"/>
        <w:rPr>
          <w:rFonts w:cs="Times New Roman"/>
        </w:rPr>
      </w:pPr>
      <w:bookmarkStart w:id="3" w:name="_Toc507495029"/>
      <w:r w:rsidRPr="00883230">
        <w:rPr>
          <w:rFonts w:cs="Times New Roman"/>
        </w:rPr>
        <w:t>Indian Act Registration</w:t>
      </w:r>
      <w:bookmarkEnd w:id="3"/>
    </w:p>
    <w:p w:rsidR="00AC53DB" w:rsidRPr="00883230" w:rsidRDefault="00AC53DB" w:rsidP="00AC53DB">
      <w:pPr>
        <w:pStyle w:val="ParaNoNdepar-AltN"/>
        <w:rPr>
          <w:rFonts w:cs="Times New Roman"/>
        </w:rPr>
      </w:pPr>
      <w:r w:rsidRPr="00883230">
        <w:rPr>
          <w:rFonts w:cs="Times New Roman"/>
        </w:rPr>
        <w:t xml:space="preserve">Since its enactment in 1876, the </w:t>
      </w:r>
      <w:r w:rsidRPr="00883230">
        <w:rPr>
          <w:rFonts w:cs="Times New Roman"/>
          <w:i/>
        </w:rPr>
        <w:t>Indian Act</w:t>
      </w:r>
      <w:r w:rsidRPr="00883230">
        <w:rPr>
          <w:rFonts w:cs="Times New Roman"/>
        </w:rPr>
        <w:t xml:space="preserve"> has governed the recognition of an individual’s status as an “Indian”. In its current form, the </w:t>
      </w:r>
      <w:r w:rsidRPr="00883230">
        <w:rPr>
          <w:rFonts w:cs="Times New Roman"/>
          <w:i/>
        </w:rPr>
        <w:t>Indian Act</w:t>
      </w:r>
      <w:r w:rsidRPr="00883230">
        <w:rPr>
          <w:rFonts w:cs="Times New Roman"/>
        </w:rPr>
        <w:t xml:space="preserve"> creates a registration system under which individuals qualify for status on the basis of an exhaustive list of eligibility criteria. The </w:t>
      </w:r>
      <w:r w:rsidRPr="00883230">
        <w:rPr>
          <w:rFonts w:cs="Times New Roman"/>
          <w:i/>
        </w:rPr>
        <w:t>Indian Act</w:t>
      </w:r>
      <w:r w:rsidRPr="00883230">
        <w:rPr>
          <w:rFonts w:cs="Times New Roman"/>
        </w:rPr>
        <w:t>’s registration entitlements do not necessarily correspond to the customs of Indigenous communities for determining their own membership or reflect an individual’s Aboriginal identity or heritage. However, it is incontrovertible that status confers both tangible and intangible benefits.</w:t>
      </w:r>
    </w:p>
    <w:p w:rsidR="00AC53DB" w:rsidRPr="00883230" w:rsidRDefault="00AC53DB" w:rsidP="00AC53DB">
      <w:pPr>
        <w:pStyle w:val="ParaNoNdepar-AltN"/>
        <w:rPr>
          <w:rFonts w:cs="Times New Roman"/>
        </w:rPr>
      </w:pPr>
      <w:r w:rsidRPr="00883230">
        <w:rPr>
          <w:rFonts w:cs="Times New Roman"/>
        </w:rPr>
        <w:t xml:space="preserve">The complaints underlying this appeal are rooted in a history of deeply harmful and discriminatory aspects of the </w:t>
      </w:r>
      <w:r w:rsidRPr="00883230">
        <w:rPr>
          <w:rFonts w:cs="Times New Roman"/>
          <w:i/>
        </w:rPr>
        <w:t xml:space="preserve">Indian Act </w:t>
      </w:r>
      <w:r w:rsidRPr="00883230">
        <w:rPr>
          <w:rFonts w:cs="Times New Roman"/>
        </w:rPr>
        <w:t>that were largely removed in 1985 and 2011 reforms (</w:t>
      </w:r>
      <w:r w:rsidRPr="00883230">
        <w:rPr>
          <w:rFonts w:cs="Times New Roman"/>
          <w:i/>
        </w:rPr>
        <w:t>An Act to amend the Indian Act</w:t>
      </w:r>
      <w:r w:rsidRPr="00883230">
        <w:rPr>
          <w:rFonts w:cs="Times New Roman"/>
        </w:rPr>
        <w:t xml:space="preserve">, R.S.C. 1985, c. 32 (1st Supp.), </w:t>
      </w:r>
      <w:r w:rsidRPr="00883230">
        <w:rPr>
          <w:rFonts w:cs="Times New Roman"/>
          <w:i/>
        </w:rPr>
        <w:t>An Act to amend the Indian Act (death rules)</w:t>
      </w:r>
      <w:r w:rsidRPr="00883230">
        <w:rPr>
          <w:rFonts w:cs="Times New Roman"/>
        </w:rPr>
        <w:t xml:space="preserve">, R.S.C. 1985, c. 43 (4th Supp.), and </w:t>
      </w:r>
      <w:r w:rsidRPr="00883230">
        <w:rPr>
          <w:rFonts w:cs="Times New Roman"/>
          <w:i/>
        </w:rPr>
        <w:t>Gender Equity in Indian Registration Act</w:t>
      </w:r>
      <w:r w:rsidRPr="00883230">
        <w:rPr>
          <w:rFonts w:cs="Times New Roman"/>
        </w:rPr>
        <w:t xml:space="preserve">, S.C. 2010, c. 18). Prior to these reforms, individuals could be “enfranchised”, a euphemism for various legislative processes that would strip them of their </w:t>
      </w:r>
      <w:r w:rsidRPr="00883230">
        <w:rPr>
          <w:rFonts w:cs="Times New Roman"/>
          <w:i/>
        </w:rPr>
        <w:t>Indian Act</w:t>
      </w:r>
      <w:r w:rsidRPr="00883230">
        <w:rPr>
          <w:rFonts w:cs="Times New Roman"/>
        </w:rPr>
        <w:t xml:space="preserve"> status. In one form of enfranchisement, the government incentivized individuals to renounce their status by offering such basic rights as citizenship, the right to vote, and the right to hold land in fee simple (</w:t>
      </w:r>
      <w:r w:rsidRPr="00883230">
        <w:rPr>
          <w:rFonts w:cs="Times New Roman"/>
          <w:i/>
        </w:rPr>
        <w:t xml:space="preserve">Canada (Attorney General) v. </w:t>
      </w:r>
      <w:proofErr w:type="spellStart"/>
      <w:r w:rsidRPr="00883230">
        <w:rPr>
          <w:rFonts w:cs="Times New Roman"/>
          <w:i/>
        </w:rPr>
        <w:t>Larkman</w:t>
      </w:r>
      <w:proofErr w:type="spellEnd"/>
      <w:r w:rsidRPr="00883230">
        <w:rPr>
          <w:rFonts w:cs="Times New Roman"/>
        </w:rPr>
        <w:t>, 2012 FCA 204, [2012] 4 C.N.L.R. 87, at para. 12). In another form, a status woman who married a non-status man would be involuntarily “enfranchised” along with any of her children (</w:t>
      </w:r>
      <w:r w:rsidRPr="00883230">
        <w:rPr>
          <w:rFonts w:cs="Times New Roman"/>
          <w:i/>
        </w:rPr>
        <w:t>Report of the Royal Commission on Aboriginal Peoples</w:t>
      </w:r>
      <w:r w:rsidRPr="00883230">
        <w:rPr>
          <w:rFonts w:cs="Times New Roman"/>
        </w:rPr>
        <w:t xml:space="preserve">, vol. 4, </w:t>
      </w:r>
      <w:r w:rsidRPr="00883230">
        <w:rPr>
          <w:rFonts w:cs="Times New Roman"/>
          <w:i/>
        </w:rPr>
        <w:t>Perspectives and Realities</w:t>
      </w:r>
      <w:r w:rsidRPr="00883230">
        <w:rPr>
          <w:rFonts w:cs="Times New Roman"/>
        </w:rPr>
        <w:t xml:space="preserve"> (1996), at p. 25). This policy reflected a discriminatory view of women as subservient to their husbands and entrenched a system of patrilineal descent unfamiliar to many Indigenous communities (</w:t>
      </w:r>
      <w:r w:rsidRPr="00883230">
        <w:rPr>
          <w:rFonts w:cs="Times New Roman"/>
          <w:i/>
        </w:rPr>
        <w:t>Report</w:t>
      </w:r>
      <w:r w:rsidRPr="00883230">
        <w:rPr>
          <w:rFonts w:cs="Times New Roman"/>
        </w:rPr>
        <w:t xml:space="preserve">, at p. 25). Parliament’s stated intention for enfranchisement was to gradually reduce the number of status “Indians” (see, e.g., </w:t>
      </w:r>
      <w:r w:rsidRPr="00883230">
        <w:rPr>
          <w:rFonts w:cs="Times New Roman"/>
          <w:i/>
          <w:iCs/>
        </w:rPr>
        <w:t>An Act to encourage the gradual Civilization of the Indian Tribes in this Province, and to amend the Laws respecting Indians</w:t>
      </w:r>
      <w:r w:rsidRPr="00883230">
        <w:rPr>
          <w:rFonts w:cs="Times New Roman"/>
        </w:rPr>
        <w:t xml:space="preserve">, S. Prov. C. 1857, 20 </w:t>
      </w:r>
      <w:proofErr w:type="gramStart"/>
      <w:r w:rsidRPr="00883230">
        <w:rPr>
          <w:rFonts w:cs="Times New Roman"/>
        </w:rPr>
        <w:t>Vict.,</w:t>
      </w:r>
      <w:proofErr w:type="gramEnd"/>
      <w:r w:rsidRPr="00883230">
        <w:rPr>
          <w:rFonts w:cs="Times New Roman"/>
        </w:rPr>
        <w:t xml:space="preserve"> c. 26, preamble). At its root, enfranchisement was a discriminatory policy aimed at eradicating Aboriginal culture and assimilating Aboriginal peoples (</w:t>
      </w:r>
      <w:proofErr w:type="spellStart"/>
      <w:r w:rsidRPr="00883230">
        <w:rPr>
          <w:rFonts w:cs="Times New Roman"/>
          <w:i/>
        </w:rPr>
        <w:t>Larkman</w:t>
      </w:r>
      <w:proofErr w:type="spellEnd"/>
      <w:r w:rsidRPr="00883230">
        <w:rPr>
          <w:rFonts w:cs="Times New Roman"/>
        </w:rPr>
        <w:t>, at para. 11).</w:t>
      </w:r>
    </w:p>
    <w:p w:rsidR="00AC53DB" w:rsidRPr="00883230" w:rsidRDefault="00AC53DB" w:rsidP="00AC53DB">
      <w:pPr>
        <w:pStyle w:val="ParaNoNdepar-AltN"/>
        <w:rPr>
          <w:rFonts w:cs="Times New Roman"/>
        </w:rPr>
      </w:pPr>
      <w:r w:rsidRPr="00883230">
        <w:rPr>
          <w:rFonts w:cs="Times New Roman"/>
        </w:rPr>
        <w:t>In 1985, Parliament enacted new legislation that eliminated enfranchisement as a practice and created registration provisions entitling those who had lost their status to register (</w:t>
      </w:r>
      <w:r w:rsidRPr="00883230">
        <w:rPr>
          <w:rStyle w:val="Emphasis"/>
          <w:rFonts w:cs="Times New Roman"/>
        </w:rPr>
        <w:t>An Act to amend the Indian Act</w:t>
      </w:r>
      <w:r w:rsidRPr="003400D7">
        <w:rPr>
          <w:rStyle w:val="Emphasis"/>
          <w:rFonts w:cs="Times New Roman"/>
          <w:i w:val="0"/>
        </w:rPr>
        <w:t>)</w:t>
      </w:r>
      <w:r w:rsidRPr="00883230">
        <w:rPr>
          <w:rFonts w:cs="Times New Roman"/>
        </w:rPr>
        <w:t>. In 2011, further reforms granted registration eligibility to the children of women who had lost status for marrying a non-status man (</w:t>
      </w:r>
      <w:r w:rsidRPr="00883230">
        <w:rPr>
          <w:rFonts w:cs="Times New Roman"/>
          <w:i/>
        </w:rPr>
        <w:t>Gender Equity in Indian Registration Act</w:t>
      </w:r>
      <w:r w:rsidRPr="00883230">
        <w:rPr>
          <w:rFonts w:cs="Times New Roman"/>
        </w:rPr>
        <w:t xml:space="preserve">). During the course of these proceedings, new amendments to the </w:t>
      </w:r>
      <w:r w:rsidRPr="00883230">
        <w:rPr>
          <w:rFonts w:cs="Times New Roman"/>
          <w:i/>
        </w:rPr>
        <w:t xml:space="preserve">Indian Act </w:t>
      </w:r>
      <w:r w:rsidRPr="00883230">
        <w:rPr>
          <w:rFonts w:cs="Times New Roman"/>
        </w:rPr>
        <w:t>have come into force that may impact the Matson siblings’ status eligibility (</w:t>
      </w:r>
      <w:r w:rsidRPr="00883230">
        <w:rPr>
          <w:rFonts w:cs="Times New Roman"/>
          <w:i/>
        </w:rPr>
        <w:t xml:space="preserve">An Act to amend the Indian Act in response to the Superior Court of Quebec decision in </w:t>
      </w:r>
      <w:proofErr w:type="spellStart"/>
      <w:r w:rsidRPr="00883230">
        <w:rPr>
          <w:rFonts w:cs="Times New Roman"/>
          <w:i/>
        </w:rPr>
        <w:t>Descheneaux</w:t>
      </w:r>
      <w:proofErr w:type="spellEnd"/>
      <w:r w:rsidRPr="00883230">
        <w:rPr>
          <w:rFonts w:cs="Times New Roman"/>
          <w:i/>
        </w:rPr>
        <w:t xml:space="preserve"> c. Canada (Procureur général)</w:t>
      </w:r>
      <w:r w:rsidRPr="00883230">
        <w:rPr>
          <w:rFonts w:cs="Times New Roman"/>
        </w:rPr>
        <w:t xml:space="preserve">, S.C. 2017, </w:t>
      </w:r>
      <w:proofErr w:type="gramStart"/>
      <w:r w:rsidRPr="00883230">
        <w:rPr>
          <w:rFonts w:cs="Times New Roman"/>
        </w:rPr>
        <w:t>c</w:t>
      </w:r>
      <w:proofErr w:type="gramEnd"/>
      <w:r w:rsidRPr="00883230">
        <w:rPr>
          <w:rFonts w:cs="Times New Roman"/>
        </w:rPr>
        <w:t xml:space="preserve">. 25). The issue of mootness was not, however, fully argued by the parties and it is not necessary to consider it for the disposition of this appeal. I will therefore not comment further on the impact, if any, of the new entitlement provisions. </w:t>
      </w:r>
    </w:p>
    <w:p w:rsidR="00AC53DB" w:rsidRPr="00883230" w:rsidRDefault="00AC53DB" w:rsidP="00AC53DB">
      <w:pPr>
        <w:pStyle w:val="ParaNoNdepar-AltN"/>
        <w:rPr>
          <w:rFonts w:cs="Times New Roman"/>
        </w:rPr>
      </w:pPr>
      <w:r w:rsidRPr="00883230">
        <w:rPr>
          <w:rFonts w:cs="Times New Roman"/>
        </w:rPr>
        <w:t xml:space="preserve">Underlying all of the complaints are the </w:t>
      </w:r>
      <w:r w:rsidRPr="00883230">
        <w:rPr>
          <w:rFonts w:cs="Times New Roman"/>
          <w:i/>
        </w:rPr>
        <w:t>Indian Act</w:t>
      </w:r>
      <w:r w:rsidRPr="00883230">
        <w:rPr>
          <w:rFonts w:cs="Times New Roman"/>
        </w:rPr>
        <w:t>’s</w:t>
      </w:r>
      <w:r w:rsidRPr="00883230">
        <w:rPr>
          <w:rFonts w:cs="Times New Roman"/>
          <w:i/>
        </w:rPr>
        <w:t xml:space="preserve"> </w:t>
      </w:r>
      <w:r w:rsidRPr="00883230">
        <w:rPr>
          <w:rFonts w:cs="Times New Roman"/>
        </w:rPr>
        <w:t xml:space="preserve">rules for the transmission of status eligibility. Under the current </w:t>
      </w:r>
      <w:r w:rsidRPr="00883230">
        <w:rPr>
          <w:rFonts w:cs="Times New Roman"/>
          <w:i/>
        </w:rPr>
        <w:t>Indian Act</w:t>
      </w:r>
      <w:r w:rsidRPr="00883230">
        <w:rPr>
          <w:rFonts w:cs="Times New Roman"/>
        </w:rPr>
        <w:t>, individuals may qualify for one of two forms of status. Section 6(1) status is conferred on individuals who qualify under an exhaustive list of eligibility criteria. Section 6(2) status is conferred on individuals who are ineligible under s. 6(1) but who have a single parent entitled to s. 6(1) registration. The two forms of status differ mainly in the ability to transmit eligibility to one’s children: a child who has only one parent with s. 6(1) status will be eligible for s. 6(2) status, while a child who has only one parent with s. 6(2) status will not be eligible for status.</w:t>
      </w:r>
    </w:p>
    <w:p w:rsidR="00AC53DB" w:rsidRPr="00883230" w:rsidRDefault="00AC53DB" w:rsidP="00AC53DB">
      <w:pPr>
        <w:pStyle w:val="Title2LevelTitre2Niveau"/>
        <w:rPr>
          <w:rFonts w:cs="Times New Roman"/>
        </w:rPr>
      </w:pPr>
      <w:bookmarkStart w:id="4" w:name="_Toc507495030"/>
      <w:r w:rsidRPr="00883230">
        <w:rPr>
          <w:rFonts w:cs="Times New Roman"/>
        </w:rPr>
        <w:t>The Complaint</w:t>
      </w:r>
      <w:bookmarkEnd w:id="4"/>
      <w:r w:rsidRPr="00883230">
        <w:rPr>
          <w:rFonts w:cs="Times New Roman"/>
        </w:rPr>
        <w:t>s in Matson v. Canada (Indian and Northern Affairs), 2013 CHRT 13</w:t>
      </w:r>
    </w:p>
    <w:p w:rsidR="00AC53DB" w:rsidRPr="00883230" w:rsidRDefault="00AC53DB" w:rsidP="00AC53DB">
      <w:pPr>
        <w:pStyle w:val="ParaNoNdepar-AltN"/>
        <w:rPr>
          <w:rFonts w:cs="Times New Roman"/>
        </w:rPr>
      </w:pPr>
      <w:r w:rsidRPr="00883230">
        <w:rPr>
          <w:rFonts w:cs="Times New Roman"/>
        </w:rPr>
        <w:t xml:space="preserve">The complaints in </w:t>
      </w:r>
      <w:r w:rsidRPr="00883230">
        <w:rPr>
          <w:rFonts w:cs="Times New Roman"/>
          <w:i/>
        </w:rPr>
        <w:t>Matson</w:t>
      </w:r>
      <w:r w:rsidRPr="00883230">
        <w:rPr>
          <w:rFonts w:cs="Times New Roman"/>
        </w:rPr>
        <w:t xml:space="preserve"> involve three siblings who allege that sex-based discrimination led to their ineligibility for s. 6(1) status, and their children’s ineligibility for s. 6(2) status. Their grandmother lost her status under the </w:t>
      </w:r>
      <w:r w:rsidRPr="00883230">
        <w:rPr>
          <w:rFonts w:cs="Times New Roman"/>
          <w:i/>
        </w:rPr>
        <w:t>Indian Act</w:t>
      </w:r>
      <w:r w:rsidRPr="00883230">
        <w:rPr>
          <w:rFonts w:cs="Times New Roman"/>
        </w:rPr>
        <w:t xml:space="preserve"> when she married a non-status man. Following the 1985 amendments, their grandmother was able to regain her status under s. 6(1</w:t>
      </w:r>
      <w:proofErr w:type="gramStart"/>
      <w:r w:rsidRPr="00883230">
        <w:rPr>
          <w:rFonts w:cs="Times New Roman"/>
        </w:rPr>
        <w:t>)(</w:t>
      </w:r>
      <w:proofErr w:type="gramEnd"/>
      <w:r w:rsidRPr="00883230">
        <w:rPr>
          <w:rFonts w:cs="Times New Roman"/>
        </w:rPr>
        <w:t>c). The 2011 amendments then allowed their father to obtain status under s. 6(1</w:t>
      </w:r>
      <w:proofErr w:type="gramStart"/>
      <w:r w:rsidRPr="00883230">
        <w:rPr>
          <w:rFonts w:cs="Times New Roman"/>
        </w:rPr>
        <w:t>)(</w:t>
      </w:r>
      <w:proofErr w:type="gramEnd"/>
      <w:r w:rsidRPr="00883230">
        <w:rPr>
          <w:rFonts w:cs="Times New Roman"/>
        </w:rPr>
        <w:t>c.1) and the siblings to obtain status under s. 6(2). Their children are, however, ineligible for status. If the siblings’ status grandparent had been male, they would have been eligible for s. 6(1</w:t>
      </w:r>
      <w:proofErr w:type="gramStart"/>
      <w:r w:rsidRPr="00883230">
        <w:rPr>
          <w:rFonts w:cs="Times New Roman"/>
        </w:rPr>
        <w:t>)(</w:t>
      </w:r>
      <w:proofErr w:type="gramEnd"/>
      <w:r w:rsidRPr="00883230">
        <w:rPr>
          <w:rFonts w:cs="Times New Roman"/>
        </w:rPr>
        <w:t>a) registration and their children would have been entitled to s. 6(2) registration.</w:t>
      </w:r>
    </w:p>
    <w:p w:rsidR="00AC53DB" w:rsidRPr="00883230" w:rsidRDefault="00AC53DB" w:rsidP="00AC53DB">
      <w:pPr>
        <w:pStyle w:val="Title2LevelTitre2Niveau"/>
        <w:rPr>
          <w:rFonts w:cs="Times New Roman"/>
        </w:rPr>
      </w:pPr>
      <w:bookmarkStart w:id="5" w:name="_Toc507495031"/>
      <w:r w:rsidRPr="00883230">
        <w:rPr>
          <w:rFonts w:cs="Times New Roman"/>
        </w:rPr>
        <w:t>The Complaint</w:t>
      </w:r>
      <w:bookmarkEnd w:id="5"/>
      <w:r w:rsidRPr="00883230">
        <w:rPr>
          <w:rFonts w:cs="Times New Roman"/>
        </w:rPr>
        <w:t>s in Andrews v. Canada (Indian and Northern Affairs), 2013 CHRT 21</w:t>
      </w:r>
    </w:p>
    <w:p w:rsidR="00AC53DB" w:rsidRPr="00883230" w:rsidRDefault="00AC53DB" w:rsidP="00AC53DB">
      <w:pPr>
        <w:pStyle w:val="ParaNoNdepar-AltN"/>
        <w:rPr>
          <w:rFonts w:cs="Times New Roman"/>
        </w:rPr>
      </w:pPr>
      <w:r w:rsidRPr="00883230">
        <w:rPr>
          <w:rFonts w:cs="Times New Roman"/>
        </w:rPr>
        <w:t>The Andrews’ complaints concern the impact of the enfranchisement provisions and the scope of subsequent remedial legislation. Mr. Andrews’ father lost his status through an enfranchisement order. Consequently, his first wife and their daughter also lost their status. Mr. Andrews was born after the enfranchisement order was issued and his mother was a non-status woman unaffected by the order. Following the 1985 legislation, Mr. Andrews’ father and his half-sister became eligible for s. 6(1</w:t>
      </w:r>
      <w:proofErr w:type="gramStart"/>
      <w:r w:rsidRPr="00883230">
        <w:rPr>
          <w:rFonts w:cs="Times New Roman"/>
        </w:rPr>
        <w:t>)(</w:t>
      </w:r>
      <w:proofErr w:type="gramEnd"/>
      <w:r w:rsidRPr="00883230">
        <w:rPr>
          <w:rFonts w:cs="Times New Roman"/>
        </w:rPr>
        <w:t>d) status. However, as Mr. Andrews’ mother was never eligible for status, Mr. Andrews is eligible only for s. 6(2) status and his daughter is ineligible for status. If Mr. Andrews had been born before the enfranchisement order, or if no order had been made, he would qualify for s. 6(1) status and his daughter would be eligible for s. 6(2) status. Mr. Andrews’ complaints allege that this result constitutes prohibited discrimination on the grounds of race, national or ethnic origin and family status.</w:t>
      </w:r>
    </w:p>
    <w:p w:rsidR="00AC53DB" w:rsidRPr="00883230" w:rsidRDefault="00AC53DB" w:rsidP="00AC53DB">
      <w:pPr>
        <w:pStyle w:val="Title2LevelTitre2Niveau"/>
        <w:rPr>
          <w:rFonts w:cs="Times New Roman"/>
        </w:rPr>
      </w:pPr>
      <w:bookmarkStart w:id="6" w:name="_Toc507495032"/>
      <w:r w:rsidRPr="00883230">
        <w:rPr>
          <w:rFonts w:cs="Times New Roman"/>
        </w:rPr>
        <w:t>Canadian Human Rights Act</w:t>
      </w:r>
      <w:bookmarkEnd w:id="6"/>
    </w:p>
    <w:p w:rsidR="00AC53DB" w:rsidRDefault="00AC53DB" w:rsidP="00AC53DB">
      <w:pPr>
        <w:pStyle w:val="ParaNoNdepar-AltN"/>
        <w:rPr>
          <w:rFonts w:cs="Times New Roman"/>
        </w:rPr>
      </w:pPr>
      <w:r w:rsidRPr="00883230">
        <w:rPr>
          <w:rFonts w:cs="Times New Roman"/>
        </w:rPr>
        <w:t xml:space="preserve">Under the </w:t>
      </w:r>
      <w:r w:rsidRPr="00883230">
        <w:rPr>
          <w:rFonts w:cs="Times New Roman"/>
          <w:i/>
        </w:rPr>
        <w:t>CHRA</w:t>
      </w:r>
      <w:r w:rsidRPr="00883230">
        <w:rPr>
          <w:rFonts w:cs="Times New Roman"/>
        </w:rPr>
        <w:t>,</w:t>
      </w:r>
      <w:r w:rsidRPr="00883230">
        <w:rPr>
          <w:rFonts w:cs="Times New Roman"/>
          <w:i/>
        </w:rPr>
        <w:t xml:space="preserve"> </w:t>
      </w:r>
      <w:r w:rsidRPr="00883230">
        <w:rPr>
          <w:rFonts w:cs="Times New Roman"/>
        </w:rPr>
        <w:t>individuals can file a complaint regarding an enumerated discriminatory practice, and anyone found to have engaged in such a practice may be made subject to an order by the Tribunal (</w:t>
      </w:r>
      <w:r w:rsidRPr="00883230">
        <w:rPr>
          <w:rFonts w:cs="Times New Roman"/>
          <w:i/>
        </w:rPr>
        <w:t>CHRA</w:t>
      </w:r>
      <w:r w:rsidRPr="00883230">
        <w:rPr>
          <w:rFonts w:cs="Times New Roman"/>
        </w:rPr>
        <w:t xml:space="preserve">, s. 4). The complaints allege that Indian and Northern Affairs Canada (“INAC”) engaged in a discriminatory practice in the provision of services contrary to s. 5 of the </w:t>
      </w:r>
      <w:r w:rsidRPr="00883230">
        <w:rPr>
          <w:rFonts w:cs="Times New Roman"/>
          <w:i/>
        </w:rPr>
        <w:t>CHRA</w:t>
      </w:r>
      <w:r w:rsidRPr="00883230">
        <w:rPr>
          <w:rFonts w:cs="Times New Roman"/>
        </w:rPr>
        <w:t xml:space="preserve"> when it denied a form of registration that would permit the complainants to pass on entitlements to their children. Section 5 reads as follows:</w:t>
      </w:r>
    </w:p>
    <w:p w:rsidR="00C54B1E" w:rsidRDefault="00C54B1E" w:rsidP="00C54B1E">
      <w:pPr>
        <w:pStyle w:val="ParaNoNdepar-AltN"/>
        <w:numPr>
          <w:ilvl w:val="0"/>
          <w:numId w:val="0"/>
        </w:numPr>
        <w:rPr>
          <w:rFonts w:cs="Times New Roman"/>
        </w:rPr>
      </w:pPr>
    </w:p>
    <w:p w:rsidR="00C54B1E" w:rsidRPr="00687F19" w:rsidRDefault="00C54B1E" w:rsidP="00C54B1E">
      <w:pPr>
        <w:pStyle w:val="Citation-AltC"/>
      </w:pPr>
      <w:r w:rsidRPr="00687F19">
        <w:rPr>
          <w:b/>
        </w:rPr>
        <w:t xml:space="preserve">5 </w:t>
      </w:r>
      <w:r w:rsidRPr="00687F19">
        <w:t>It is a discriminatory practice in the provision of goods, services, facilities or accommodation customarily available to the general public</w:t>
      </w:r>
    </w:p>
    <w:p w:rsidR="00C54B1E" w:rsidRPr="00687F19" w:rsidRDefault="00C54B1E" w:rsidP="00C54B1E">
      <w:pPr>
        <w:pStyle w:val="Citation-AltC"/>
      </w:pPr>
    </w:p>
    <w:p w:rsidR="00C54B1E" w:rsidRPr="00687F19" w:rsidRDefault="00C54B1E" w:rsidP="00C54B1E">
      <w:pPr>
        <w:pStyle w:val="Citation-AltC"/>
        <w:numPr>
          <w:ilvl w:val="4"/>
          <w:numId w:val="6"/>
        </w:numPr>
        <w:tabs>
          <w:tab w:val="left" w:pos="1980"/>
        </w:tabs>
        <w:ind w:left="1440" w:firstLine="0"/>
      </w:pPr>
      <w:r w:rsidRPr="00687F19">
        <w:t>to deny, or to deny access to, any such good, service, facility or accommodation to any individual, or</w:t>
      </w:r>
    </w:p>
    <w:p w:rsidR="00C54B1E" w:rsidRPr="00687F19" w:rsidRDefault="00C54B1E" w:rsidP="00C54B1E">
      <w:pPr>
        <w:pStyle w:val="Citation-AltC"/>
      </w:pPr>
    </w:p>
    <w:p w:rsidR="00C54B1E" w:rsidRDefault="00C54B1E" w:rsidP="00C54B1E">
      <w:pPr>
        <w:pStyle w:val="Citation-AltC"/>
        <w:numPr>
          <w:ilvl w:val="4"/>
          <w:numId w:val="6"/>
        </w:numPr>
        <w:tabs>
          <w:tab w:val="left" w:pos="1980"/>
        </w:tabs>
        <w:ind w:left="877" w:right="323" w:firstLine="563"/>
      </w:pPr>
      <w:r w:rsidRPr="00687F19">
        <w:t xml:space="preserve">to differentiate adversely in relation to any individual, </w:t>
      </w:r>
    </w:p>
    <w:p w:rsidR="00C54B1E" w:rsidRPr="00687F19" w:rsidRDefault="00C54B1E" w:rsidP="00C54B1E">
      <w:pPr>
        <w:pStyle w:val="Citation-AltC"/>
        <w:tabs>
          <w:tab w:val="left" w:pos="1980"/>
        </w:tabs>
        <w:ind w:left="0" w:right="323"/>
      </w:pPr>
    </w:p>
    <w:p w:rsidR="00C54B1E" w:rsidRPr="00883230" w:rsidRDefault="00C54B1E" w:rsidP="00C54B1E">
      <w:pPr>
        <w:pStyle w:val="Citation-AltC"/>
      </w:pPr>
      <w:proofErr w:type="gramStart"/>
      <w:r w:rsidRPr="00687F19">
        <w:t>on</w:t>
      </w:r>
      <w:proofErr w:type="gramEnd"/>
      <w:r w:rsidRPr="00687F19">
        <w:t xml:space="preserve"> a prohibited ground of discrimination.</w:t>
      </w:r>
    </w:p>
    <w:p w:rsidR="00AC53DB" w:rsidRPr="00883230" w:rsidRDefault="00AC53DB" w:rsidP="00AC53DB">
      <w:pPr>
        <w:pStyle w:val="Title1LevelTitre1Niveau-AltL"/>
        <w:rPr>
          <w:rFonts w:cs="Times New Roman"/>
        </w:rPr>
      </w:pPr>
      <w:r w:rsidRPr="00883230">
        <w:rPr>
          <w:rFonts w:cs="Times New Roman"/>
        </w:rPr>
        <w:t>Decisions Below</w:t>
      </w:r>
    </w:p>
    <w:p w:rsidR="00AC53DB" w:rsidRPr="00883230" w:rsidRDefault="00AC53DB" w:rsidP="00AC53DB">
      <w:pPr>
        <w:pStyle w:val="Title2LevelTitre2Niveau"/>
        <w:rPr>
          <w:rFonts w:cs="Times New Roman"/>
        </w:rPr>
      </w:pPr>
      <w:bookmarkStart w:id="7" w:name="_Toc507495034"/>
      <w:r w:rsidRPr="00883230">
        <w:rPr>
          <w:rFonts w:cs="Times New Roman"/>
        </w:rPr>
        <w:t>Canadian Human Rights Tribunal Decisions</w:t>
      </w:r>
      <w:bookmarkEnd w:id="7"/>
    </w:p>
    <w:p w:rsidR="00AC53DB" w:rsidRPr="00883230" w:rsidRDefault="00AC53DB" w:rsidP="00AC53DB">
      <w:pPr>
        <w:pStyle w:val="Title3LevelTitre3Niveau"/>
        <w:rPr>
          <w:rFonts w:cs="Times New Roman"/>
        </w:rPr>
      </w:pPr>
      <w:r w:rsidRPr="00883230">
        <w:rPr>
          <w:rFonts w:cs="Times New Roman"/>
        </w:rPr>
        <w:t xml:space="preserve">The </w:t>
      </w:r>
      <w:r w:rsidRPr="00883230">
        <w:rPr>
          <w:rFonts w:cs="Times New Roman"/>
          <w:i/>
        </w:rPr>
        <w:t>Matson</w:t>
      </w:r>
      <w:r w:rsidRPr="00883230">
        <w:rPr>
          <w:rFonts w:cs="Times New Roman"/>
        </w:rPr>
        <w:t xml:space="preserve"> Decision</w:t>
      </w:r>
    </w:p>
    <w:p w:rsidR="00AC53DB" w:rsidRPr="00883230" w:rsidRDefault="00AC53DB" w:rsidP="00AC53DB">
      <w:pPr>
        <w:pStyle w:val="ParaNoNdepar-AltN"/>
        <w:rPr>
          <w:rFonts w:cs="Times New Roman"/>
        </w:rPr>
      </w:pPr>
      <w:r w:rsidRPr="00883230">
        <w:rPr>
          <w:rFonts w:cs="Times New Roman"/>
        </w:rPr>
        <w:t xml:space="preserve">In response to the request of the Canadian Human Rights Commission (“Commission”), the Tribunal launched an inquiry into the Matson siblings’ complaints pursuant to s. 49 of the </w:t>
      </w:r>
      <w:r w:rsidRPr="00883230">
        <w:rPr>
          <w:rFonts w:cs="Times New Roman"/>
          <w:i/>
        </w:rPr>
        <w:t>CHRA</w:t>
      </w:r>
      <w:r w:rsidRPr="00883230">
        <w:rPr>
          <w:rFonts w:cs="Times New Roman"/>
        </w:rPr>
        <w:t xml:space="preserve">. In its decision, the Tribunal addressed three issues: (1) whether the complaints involved a direct challenge to the </w:t>
      </w:r>
      <w:r w:rsidRPr="00883230">
        <w:rPr>
          <w:rFonts w:cs="Times New Roman"/>
          <w:i/>
        </w:rPr>
        <w:t>Indian Act</w:t>
      </w:r>
      <w:r w:rsidRPr="00883230">
        <w:rPr>
          <w:rFonts w:cs="Times New Roman"/>
        </w:rPr>
        <w:t xml:space="preserve">; (2) whether the Tribunal was bound by the Federal Court of Appeal’s decision in </w:t>
      </w:r>
      <w:r w:rsidRPr="00883230">
        <w:rPr>
          <w:rFonts w:cs="Times New Roman"/>
          <w:i/>
        </w:rPr>
        <w:t>Public Service Alliance of Canada v. Canada Revenue Agency</w:t>
      </w:r>
      <w:r w:rsidRPr="00883230">
        <w:rPr>
          <w:rFonts w:cs="Times New Roman"/>
        </w:rPr>
        <w:t>, 2012 FCA 7, 428 N.R. 240 (“</w:t>
      </w:r>
      <w:r w:rsidRPr="00883230">
        <w:rPr>
          <w:rFonts w:cs="Times New Roman"/>
          <w:i/>
        </w:rPr>
        <w:t>Murphy</w:t>
      </w:r>
      <w:r w:rsidRPr="00883230">
        <w:rPr>
          <w:rFonts w:cs="Times New Roman"/>
        </w:rPr>
        <w:t xml:space="preserve">”); and (3) whether the complaints, properly characterized, concerned a discriminatory practice.  </w:t>
      </w:r>
    </w:p>
    <w:p w:rsidR="00AC53DB" w:rsidRPr="00883230" w:rsidRDefault="00AC53DB" w:rsidP="00AC53DB">
      <w:pPr>
        <w:pStyle w:val="ParaNoNdepar-AltN"/>
        <w:rPr>
          <w:rFonts w:cs="Times New Roman"/>
        </w:rPr>
      </w:pPr>
      <w:r w:rsidRPr="00883230">
        <w:rPr>
          <w:rFonts w:cs="Times New Roman"/>
        </w:rPr>
        <w:t xml:space="preserve">In the Tribunal decision, the adjudicator, Member </w:t>
      </w:r>
      <w:proofErr w:type="spellStart"/>
      <w:r w:rsidRPr="00883230">
        <w:rPr>
          <w:rFonts w:cs="Times New Roman"/>
        </w:rPr>
        <w:t>Lustig</w:t>
      </w:r>
      <w:proofErr w:type="spellEnd"/>
      <w:r w:rsidRPr="00883230">
        <w:rPr>
          <w:rFonts w:cs="Times New Roman"/>
        </w:rPr>
        <w:t xml:space="preserve">, began the task of characterizing the complaints by referring, first, to the test for determining what constituted a service stated in </w:t>
      </w:r>
      <w:r w:rsidRPr="00883230">
        <w:rPr>
          <w:rFonts w:cs="Times New Roman"/>
          <w:i/>
        </w:rPr>
        <w:t>Canada (Attorney General) v. Watkin</w:t>
      </w:r>
      <w:r w:rsidRPr="00883230">
        <w:rPr>
          <w:rFonts w:cs="Times New Roman"/>
        </w:rPr>
        <w:t>, 2008 FCA 170, 378 N.R. 268</w:t>
      </w:r>
      <w:r w:rsidRPr="00883230">
        <w:rPr>
          <w:rStyle w:val="nowrap"/>
          <w:rFonts w:cs="Times New Roman"/>
        </w:rPr>
        <w:t>,</w:t>
      </w:r>
      <w:r w:rsidRPr="00883230">
        <w:rPr>
          <w:rFonts w:cs="Times New Roman"/>
        </w:rPr>
        <w:t xml:space="preserve"> and, second, to the holding in </w:t>
      </w:r>
      <w:r w:rsidRPr="00883230">
        <w:rPr>
          <w:rFonts w:cs="Times New Roman"/>
          <w:i/>
        </w:rPr>
        <w:t>Murphy</w:t>
      </w:r>
      <w:r w:rsidRPr="00883230">
        <w:rPr>
          <w:rFonts w:cs="Times New Roman"/>
        </w:rPr>
        <w:t xml:space="preserve"> that the </w:t>
      </w:r>
      <w:r w:rsidRPr="00883230">
        <w:rPr>
          <w:rFonts w:cs="Times New Roman"/>
          <w:i/>
        </w:rPr>
        <w:t>CHRA</w:t>
      </w:r>
      <w:r w:rsidRPr="00883230">
        <w:rPr>
          <w:rFonts w:cs="Times New Roman"/>
        </w:rPr>
        <w:t xml:space="preserve"> did not permit complaints that directly targeted legislation. The adjudicator reviewed the Matson siblings’ submissions and concluded that their complaints, in substance, challenged the eligibility criteria under s. 6 of the </w:t>
      </w:r>
      <w:r w:rsidRPr="00883230">
        <w:rPr>
          <w:rFonts w:cs="Times New Roman"/>
          <w:i/>
        </w:rPr>
        <w:t>Indian Act</w:t>
      </w:r>
      <w:r w:rsidRPr="00883230">
        <w:rPr>
          <w:rFonts w:cs="Times New Roman"/>
        </w:rPr>
        <w:t xml:space="preserve">. It was noted that INAC did not have any involvement in determining the eligibility criteria under s. 6 of the </w:t>
      </w:r>
      <w:r w:rsidRPr="00883230">
        <w:rPr>
          <w:rFonts w:cs="Times New Roman"/>
          <w:i/>
        </w:rPr>
        <w:t>Indian Act</w:t>
      </w:r>
      <w:r w:rsidRPr="00883230">
        <w:rPr>
          <w:rFonts w:cs="Times New Roman"/>
        </w:rPr>
        <w:t xml:space="preserve">, nor did it have any discretion in applying the criteria. While the act of processing applications and registering individuals could be characterized as a service customarily held out to the public, the underlying statutory entitlement to registration was not a service held out by INAC to the public. Rather, it was a benefit offered by an Act of Parliament. </w:t>
      </w:r>
    </w:p>
    <w:p w:rsidR="00AC53DB" w:rsidRPr="00883230" w:rsidRDefault="00AC53DB" w:rsidP="00AC53DB">
      <w:pPr>
        <w:pStyle w:val="ParaNoNdepar-AltN"/>
        <w:rPr>
          <w:rFonts w:cs="Times New Roman"/>
        </w:rPr>
      </w:pPr>
      <w:r w:rsidRPr="00883230">
        <w:rPr>
          <w:rFonts w:cs="Times New Roman"/>
        </w:rPr>
        <w:t xml:space="preserve">The adjudicator considered whether he was bound by the Federal Court of Appeal decision in </w:t>
      </w:r>
      <w:r w:rsidRPr="00883230">
        <w:rPr>
          <w:rFonts w:cs="Times New Roman"/>
          <w:i/>
        </w:rPr>
        <w:t>Murphy</w:t>
      </w:r>
      <w:r w:rsidRPr="00883230">
        <w:rPr>
          <w:rFonts w:cs="Times New Roman"/>
        </w:rPr>
        <w:t xml:space="preserve">, which held that the Tribunal was unable to consider direct challenges to legislation. In </w:t>
      </w:r>
      <w:r w:rsidRPr="00883230">
        <w:rPr>
          <w:rFonts w:cs="Times New Roman"/>
          <w:i/>
        </w:rPr>
        <w:t>Murphy</w:t>
      </w:r>
      <w:r w:rsidRPr="00883230">
        <w:rPr>
          <w:rFonts w:cs="Times New Roman"/>
        </w:rPr>
        <w:t xml:space="preserve">, the complainant had received a settlement payment for wage discrimination that had occurred over a number of years. Under the </w:t>
      </w:r>
      <w:r w:rsidRPr="00883230">
        <w:rPr>
          <w:rFonts w:cs="Times New Roman"/>
          <w:i/>
        </w:rPr>
        <w:t>Income Tax Act</w:t>
      </w:r>
      <w:r w:rsidRPr="00883230">
        <w:rPr>
          <w:rFonts w:cs="Times New Roman"/>
        </w:rPr>
        <w:t xml:space="preserve">, R.S.C. 1985, c. 1 (5th Supp.), the settlement was deemed to be employment income accrued in the year the payment was made. The Canada Revenue Agency did not apply the qualifying retroactive lump-sum payment analysis, which would have spread the income over previous tax years. This was because the compound interest on the notional tax the complainant would have owed outweighed the benefits of being taxed at a lower rate. The complainant challenged the assessment as a discriminatory practice under the </w:t>
      </w:r>
      <w:r w:rsidRPr="00883230">
        <w:rPr>
          <w:rFonts w:cs="Times New Roman"/>
          <w:i/>
        </w:rPr>
        <w:t>CHRA</w:t>
      </w:r>
      <w:r w:rsidRPr="00883230">
        <w:rPr>
          <w:rFonts w:cs="Times New Roman"/>
        </w:rPr>
        <w:t xml:space="preserve">. The Tribunal dismissed the complaint on the basis that it targeted the statutory provisions establishing the impugned assessment calculations (2010 CHRT 9, [2011] 1 C.T.C. 215). Writing for the Federal Court of Appeal, Noël J.A. (as he then was) upheld the Tribunal’s decision. Despite applying a reasonableness standard, Noël J.A. endorsed as “correct” the view that the </w:t>
      </w:r>
      <w:r w:rsidRPr="00883230">
        <w:rPr>
          <w:rFonts w:cs="Times New Roman"/>
          <w:i/>
        </w:rPr>
        <w:t>CHRA</w:t>
      </w:r>
      <w:r w:rsidRPr="00883230">
        <w:rPr>
          <w:rFonts w:cs="Times New Roman"/>
        </w:rPr>
        <w:t xml:space="preserve"> did not permit direct challenges to legislation (para. 6). He distinguished the prior Federal Court of Appeal decision in </w:t>
      </w:r>
      <w:r w:rsidRPr="00883230">
        <w:rPr>
          <w:rFonts w:cs="Times New Roman"/>
          <w:i/>
        </w:rPr>
        <w:t xml:space="preserve">Canada (Attorney General) v. </w:t>
      </w:r>
      <w:proofErr w:type="spellStart"/>
      <w:r w:rsidRPr="00883230">
        <w:rPr>
          <w:rFonts w:cs="Times New Roman"/>
          <w:i/>
        </w:rPr>
        <w:t>Druken</w:t>
      </w:r>
      <w:proofErr w:type="spellEnd"/>
      <w:r w:rsidRPr="00883230">
        <w:rPr>
          <w:rFonts w:cs="Times New Roman"/>
        </w:rPr>
        <w:t>, [1989] 2 F.C. 24, which had endorsed a direct attack on legislation,</w:t>
      </w:r>
      <w:r w:rsidRPr="00883230">
        <w:rPr>
          <w:rFonts w:cs="Times New Roman"/>
          <w:i/>
        </w:rPr>
        <w:t xml:space="preserve"> </w:t>
      </w:r>
      <w:r w:rsidRPr="00883230">
        <w:rPr>
          <w:rFonts w:cs="Times New Roman"/>
        </w:rPr>
        <w:t xml:space="preserve">on the basis that the Attorney General in that case had conceded that s. 5 of the </w:t>
      </w:r>
      <w:r w:rsidRPr="00883230">
        <w:rPr>
          <w:rFonts w:cs="Times New Roman"/>
          <w:i/>
        </w:rPr>
        <w:t xml:space="preserve">CHRA </w:t>
      </w:r>
      <w:r w:rsidRPr="00883230">
        <w:rPr>
          <w:rFonts w:cs="Times New Roman"/>
        </w:rPr>
        <w:t xml:space="preserve">applied to the impugned provisions of the </w:t>
      </w:r>
      <w:r w:rsidRPr="00883230">
        <w:rPr>
          <w:rFonts w:cs="Times New Roman"/>
          <w:i/>
        </w:rPr>
        <w:t>Unemployment Insurance Act</w:t>
      </w:r>
      <w:r w:rsidRPr="00883230">
        <w:rPr>
          <w:rFonts w:cs="Times New Roman"/>
          <w:i/>
          <w:iCs/>
        </w:rPr>
        <w:t>, 1971</w:t>
      </w:r>
      <w:r w:rsidRPr="00883230">
        <w:rPr>
          <w:rFonts w:cs="Times New Roman"/>
        </w:rPr>
        <w:t>, S.C. 1970-71-72, c. 48 (</w:t>
      </w:r>
      <w:r w:rsidRPr="00883230">
        <w:rPr>
          <w:rFonts w:cs="Times New Roman"/>
          <w:i/>
        </w:rPr>
        <w:t>Murphy</w:t>
      </w:r>
      <w:r w:rsidRPr="00883230">
        <w:rPr>
          <w:rFonts w:cs="Times New Roman"/>
        </w:rPr>
        <w:t>, at para. 7).</w:t>
      </w:r>
    </w:p>
    <w:p w:rsidR="00AC53DB" w:rsidRPr="00883230" w:rsidRDefault="00AC53DB" w:rsidP="00AC53DB">
      <w:pPr>
        <w:pStyle w:val="ParaNoNdepar-AltN"/>
        <w:rPr>
          <w:rFonts w:cs="Times New Roman"/>
        </w:rPr>
      </w:pPr>
      <w:r w:rsidRPr="00883230">
        <w:rPr>
          <w:rFonts w:cs="Times New Roman"/>
        </w:rPr>
        <w:t xml:space="preserve">The adjudicator rejected arguments that </w:t>
      </w:r>
      <w:r w:rsidRPr="00883230">
        <w:rPr>
          <w:rFonts w:cs="Times New Roman"/>
          <w:i/>
        </w:rPr>
        <w:t>Murphy</w:t>
      </w:r>
      <w:r w:rsidRPr="00883230">
        <w:rPr>
          <w:rFonts w:cs="Times New Roman"/>
        </w:rPr>
        <w:t xml:space="preserve"> was superseded by binding authority from this Court in </w:t>
      </w:r>
      <w:r w:rsidRPr="00883230">
        <w:rPr>
          <w:rFonts w:cs="Times New Roman"/>
          <w:i/>
        </w:rPr>
        <w:t xml:space="preserve">Insurance Corp. of British Columbia v. </w:t>
      </w:r>
      <w:proofErr w:type="spellStart"/>
      <w:r w:rsidRPr="00883230">
        <w:rPr>
          <w:rFonts w:cs="Times New Roman"/>
          <w:i/>
        </w:rPr>
        <w:t>Heerspink</w:t>
      </w:r>
      <w:proofErr w:type="spellEnd"/>
      <w:r w:rsidRPr="00883230">
        <w:rPr>
          <w:rFonts w:cs="Times New Roman"/>
        </w:rPr>
        <w:t xml:space="preserve">, [1982] 2 S.C.R. 145, </w:t>
      </w:r>
      <w:r w:rsidRPr="00883230">
        <w:rPr>
          <w:rFonts w:cs="Times New Roman"/>
          <w:i/>
        </w:rPr>
        <w:t>Winnipeg School Division No. 1 v. Craton</w:t>
      </w:r>
      <w:r w:rsidRPr="00883230">
        <w:rPr>
          <w:rFonts w:cs="Times New Roman"/>
        </w:rPr>
        <w:t xml:space="preserve">, [1985] 2 S.C.R. 150, </w:t>
      </w:r>
      <w:r w:rsidRPr="00883230">
        <w:rPr>
          <w:rFonts w:cs="Times New Roman"/>
          <w:i/>
        </w:rPr>
        <w:t>Canadian National Railway Co. v. Canada (Canadian Human Rights Commission)</w:t>
      </w:r>
      <w:r w:rsidRPr="00883230">
        <w:rPr>
          <w:rFonts w:cs="Times New Roman"/>
        </w:rPr>
        <w:t>, [1987] 1 S.C.R. 1114 (“</w:t>
      </w:r>
      <w:r w:rsidRPr="00883230">
        <w:rPr>
          <w:rFonts w:cs="Times New Roman"/>
          <w:i/>
        </w:rPr>
        <w:t>Action Travail des Femmes</w:t>
      </w:r>
      <w:r w:rsidRPr="00883230">
        <w:rPr>
          <w:rFonts w:cs="Times New Roman"/>
        </w:rPr>
        <w:t>”),</w:t>
      </w:r>
      <w:r w:rsidRPr="00883230">
        <w:rPr>
          <w:rFonts w:cs="Times New Roman"/>
          <w:i/>
        </w:rPr>
        <w:t xml:space="preserve"> Andrews v. Law Society of British Columbia</w:t>
      </w:r>
      <w:r w:rsidRPr="00883230">
        <w:rPr>
          <w:rFonts w:cs="Times New Roman"/>
        </w:rPr>
        <w:t xml:space="preserve">, [1989] 1 S.C.R. 143, </w:t>
      </w:r>
      <w:r w:rsidRPr="00883230">
        <w:rPr>
          <w:rFonts w:cs="Times New Roman"/>
          <w:i/>
        </w:rPr>
        <w:t xml:space="preserve">Quebec (Commission des droits de la </w:t>
      </w:r>
      <w:proofErr w:type="spellStart"/>
      <w:r w:rsidRPr="00883230">
        <w:rPr>
          <w:rFonts w:cs="Times New Roman"/>
          <w:i/>
        </w:rPr>
        <w:t>personne</w:t>
      </w:r>
      <w:proofErr w:type="spellEnd"/>
      <w:r w:rsidRPr="00883230">
        <w:rPr>
          <w:rFonts w:cs="Times New Roman"/>
          <w:i/>
        </w:rPr>
        <w:t xml:space="preserve"> et des droits de la </w:t>
      </w:r>
      <w:proofErr w:type="spellStart"/>
      <w:r w:rsidRPr="00883230">
        <w:rPr>
          <w:rFonts w:cs="Times New Roman"/>
          <w:i/>
        </w:rPr>
        <w:t>jeunesse</w:t>
      </w:r>
      <w:proofErr w:type="spellEnd"/>
      <w:r w:rsidRPr="00883230">
        <w:rPr>
          <w:rFonts w:cs="Times New Roman"/>
          <w:i/>
        </w:rPr>
        <w:t xml:space="preserve">) v. Communauté </w:t>
      </w:r>
      <w:proofErr w:type="spellStart"/>
      <w:r w:rsidRPr="00883230">
        <w:rPr>
          <w:rFonts w:cs="Times New Roman"/>
          <w:i/>
        </w:rPr>
        <w:t>urbaine</w:t>
      </w:r>
      <w:proofErr w:type="spellEnd"/>
      <w:r w:rsidRPr="00883230">
        <w:rPr>
          <w:rFonts w:cs="Times New Roman"/>
          <w:i/>
        </w:rPr>
        <w:t xml:space="preserve"> de Montréal</w:t>
      </w:r>
      <w:r w:rsidRPr="00883230">
        <w:rPr>
          <w:rFonts w:cs="Times New Roman"/>
        </w:rPr>
        <w:t>, 2004 SCC 30, [2004] 1 S.C.R. 789 (“</w:t>
      </w:r>
      <w:r w:rsidRPr="00883230">
        <w:rPr>
          <w:rFonts w:cs="Times New Roman"/>
          <w:i/>
        </w:rPr>
        <w:t>Larocque</w:t>
      </w:r>
      <w:r w:rsidRPr="00883230">
        <w:rPr>
          <w:rFonts w:cs="Times New Roman"/>
        </w:rPr>
        <w:t>”), and</w:t>
      </w:r>
      <w:r w:rsidRPr="00883230">
        <w:rPr>
          <w:rFonts w:cs="Times New Roman"/>
          <w:i/>
        </w:rPr>
        <w:t xml:space="preserve"> </w:t>
      </w:r>
      <w:proofErr w:type="spellStart"/>
      <w:r w:rsidRPr="00883230">
        <w:rPr>
          <w:rFonts w:cs="Times New Roman"/>
          <w:i/>
        </w:rPr>
        <w:t>Tranchemontagne</w:t>
      </w:r>
      <w:proofErr w:type="spellEnd"/>
      <w:r w:rsidRPr="00883230">
        <w:rPr>
          <w:rFonts w:cs="Times New Roman"/>
          <w:i/>
        </w:rPr>
        <w:t xml:space="preserve"> v. Ontario (Director, Disability Support Program)</w:t>
      </w:r>
      <w:r w:rsidRPr="00883230">
        <w:rPr>
          <w:rFonts w:cs="Times New Roman"/>
        </w:rPr>
        <w:t xml:space="preserve">, 2006 SCC 14, [2006] 1 S.C.R. 513. After careful consideration of this authority, the adjudicator concluded that, while this Court had recognized the primacy of human rights legislation and the power of human rights tribunals to render conflicting legislation inoperative, none of these decisions stood for the premise that an order could be issued without first impugning a discriminatory practice. </w:t>
      </w:r>
    </w:p>
    <w:p w:rsidR="00AC53DB" w:rsidRPr="00883230" w:rsidRDefault="00AC53DB" w:rsidP="00AC53DB">
      <w:pPr>
        <w:pStyle w:val="ParaNoNdepar-AltN"/>
        <w:rPr>
          <w:rFonts w:cs="Times New Roman"/>
        </w:rPr>
      </w:pPr>
      <w:r w:rsidRPr="00883230">
        <w:rPr>
          <w:rFonts w:cs="Times New Roman"/>
        </w:rPr>
        <w:t xml:space="preserve">The adjudicator also considered whether there was conflicting Federal Court jurisprudence or analogous provincial human rights jurisprudence that supported the proposition that the Tribunal could consider direct challenges to legislation, and he came to the same result. He recognized that in some circumstances a human rights complaint could challenge the conduct of an administrator carrying out mandatory aspects of a statutory provision, but he held that the complaint still needed to identify a discriminatory practice that engaged the Tribunal’s remedial authority. </w:t>
      </w:r>
    </w:p>
    <w:p w:rsidR="00AC53DB" w:rsidRPr="00883230" w:rsidRDefault="00AC53DB" w:rsidP="00AC53DB">
      <w:pPr>
        <w:pStyle w:val="ParaNoNdepar-AltN"/>
        <w:rPr>
          <w:rFonts w:cs="Times New Roman"/>
        </w:rPr>
      </w:pPr>
      <w:r w:rsidRPr="00883230">
        <w:rPr>
          <w:rFonts w:cs="Times New Roman"/>
        </w:rPr>
        <w:t xml:space="preserve">The adjudicator rejected arguments that ss. 2, 49(5) and 62(1) of the </w:t>
      </w:r>
      <w:r w:rsidRPr="00883230">
        <w:rPr>
          <w:rFonts w:cs="Times New Roman"/>
          <w:i/>
        </w:rPr>
        <w:t xml:space="preserve">CHRA </w:t>
      </w:r>
      <w:r w:rsidRPr="00883230">
        <w:rPr>
          <w:rFonts w:cs="Times New Roman"/>
        </w:rPr>
        <w:t xml:space="preserve">supported an expansive interpretation of the term “services” to encompass legislative provisions. Instead, in keeping with the jurisprudence, these provisions pointed to the Tribunal’s remedial power to render conflicting legislation inoperative, but they did not indicate that legislation itself constituted a service under the </w:t>
      </w:r>
      <w:r w:rsidRPr="00883230">
        <w:rPr>
          <w:rFonts w:cs="Times New Roman"/>
          <w:i/>
        </w:rPr>
        <w:t>CHRA</w:t>
      </w:r>
      <w:r w:rsidRPr="00883230">
        <w:rPr>
          <w:rFonts w:cs="Times New Roman"/>
        </w:rPr>
        <w:t xml:space="preserve">. He similarly rejected the argument that s. 67 of the </w:t>
      </w:r>
      <w:r w:rsidRPr="00883230">
        <w:rPr>
          <w:rFonts w:cs="Times New Roman"/>
          <w:i/>
        </w:rPr>
        <w:t>CHRA</w:t>
      </w:r>
      <w:r w:rsidRPr="00883230">
        <w:rPr>
          <w:rFonts w:cs="Times New Roman"/>
        </w:rPr>
        <w:t xml:space="preserve"> had been enacted primarily to shield the </w:t>
      </w:r>
      <w:r w:rsidRPr="00883230">
        <w:rPr>
          <w:rFonts w:cs="Times New Roman"/>
          <w:i/>
        </w:rPr>
        <w:t>Indian Act</w:t>
      </w:r>
      <w:r w:rsidRPr="00883230">
        <w:rPr>
          <w:rFonts w:cs="Times New Roman"/>
        </w:rPr>
        <w:t xml:space="preserve"> registration provisions, and he held that s. 67 had the broader purpose of insulating actions and decisions made pursuant to the </w:t>
      </w:r>
      <w:r w:rsidRPr="00883230">
        <w:rPr>
          <w:rFonts w:cs="Times New Roman"/>
          <w:i/>
        </w:rPr>
        <w:t>Indian Act</w:t>
      </w:r>
      <w:r w:rsidRPr="00883230">
        <w:rPr>
          <w:rFonts w:cs="Times New Roman"/>
        </w:rPr>
        <w:t>.</w:t>
      </w:r>
    </w:p>
    <w:p w:rsidR="00AC53DB" w:rsidRPr="00883230" w:rsidRDefault="00AC53DB" w:rsidP="00AC53DB">
      <w:pPr>
        <w:pStyle w:val="ParaNoNdepar-AltN"/>
        <w:rPr>
          <w:rFonts w:cs="Times New Roman"/>
        </w:rPr>
      </w:pPr>
      <w:r w:rsidRPr="00883230">
        <w:rPr>
          <w:rFonts w:cs="Times New Roman"/>
        </w:rPr>
        <w:t xml:space="preserve">The adjudicator thus concluded that, absent a discriminatory practice enumerated under the </w:t>
      </w:r>
      <w:r w:rsidRPr="00883230">
        <w:rPr>
          <w:rFonts w:cs="Times New Roman"/>
          <w:i/>
        </w:rPr>
        <w:t>CHRA</w:t>
      </w:r>
      <w:r w:rsidRPr="00883230">
        <w:rPr>
          <w:rFonts w:cs="Times New Roman"/>
        </w:rPr>
        <w:t xml:space="preserve">, the complainants could not challenge the provisions of the </w:t>
      </w:r>
      <w:r w:rsidRPr="00883230">
        <w:rPr>
          <w:rFonts w:cs="Times New Roman"/>
          <w:i/>
        </w:rPr>
        <w:t>Indian Act</w:t>
      </w:r>
      <w:r w:rsidRPr="00883230">
        <w:rPr>
          <w:rFonts w:cs="Times New Roman"/>
        </w:rPr>
        <w:t xml:space="preserve">. The adjudicator stated that an application under s. 15 of the </w:t>
      </w:r>
      <w:r w:rsidRPr="00883230">
        <w:rPr>
          <w:rFonts w:cs="Times New Roman"/>
          <w:i/>
        </w:rPr>
        <w:t>Canadian Charter of Rights and Freedoms</w:t>
      </w:r>
      <w:r w:rsidRPr="00883230">
        <w:rPr>
          <w:rFonts w:cs="Times New Roman"/>
        </w:rPr>
        <w:t xml:space="preserve"> would be more appropriate, citing </w:t>
      </w:r>
      <w:r w:rsidRPr="00883230">
        <w:rPr>
          <w:rFonts w:cs="Times New Roman"/>
          <w:i/>
        </w:rPr>
        <w:t xml:space="preserve">Alberta v. </w:t>
      </w:r>
      <w:proofErr w:type="spellStart"/>
      <w:r w:rsidRPr="00883230">
        <w:rPr>
          <w:rFonts w:cs="Times New Roman"/>
          <w:i/>
        </w:rPr>
        <w:t>Hutterian</w:t>
      </w:r>
      <w:proofErr w:type="spellEnd"/>
      <w:r w:rsidRPr="00883230">
        <w:rPr>
          <w:rFonts w:cs="Times New Roman"/>
          <w:i/>
        </w:rPr>
        <w:t xml:space="preserve"> Brethren of Wilson Colony</w:t>
      </w:r>
      <w:r w:rsidRPr="00883230">
        <w:rPr>
          <w:rFonts w:cs="Times New Roman"/>
        </w:rPr>
        <w:t xml:space="preserve">, 2009 SCC 37, [2009] 2 S.C.R. 567, in support of the position that the </w:t>
      </w:r>
      <w:r w:rsidRPr="00883230">
        <w:rPr>
          <w:rFonts w:cs="Times New Roman"/>
          <w:i/>
        </w:rPr>
        <w:t>Charter</w:t>
      </w:r>
      <w:r w:rsidRPr="00883230">
        <w:rPr>
          <w:rFonts w:cs="Times New Roman"/>
        </w:rPr>
        <w:t xml:space="preserve"> framework was a better analytical fit for challenges to legislation than the </w:t>
      </w:r>
      <w:r w:rsidRPr="00883230">
        <w:rPr>
          <w:rFonts w:cs="Times New Roman"/>
          <w:i/>
        </w:rPr>
        <w:t>bona fide</w:t>
      </w:r>
      <w:r w:rsidRPr="00883230">
        <w:rPr>
          <w:rFonts w:cs="Times New Roman"/>
        </w:rPr>
        <w:t xml:space="preserve"> justification analysis under the </w:t>
      </w:r>
      <w:r w:rsidRPr="00883230">
        <w:rPr>
          <w:rFonts w:cs="Times New Roman"/>
          <w:i/>
        </w:rPr>
        <w:t>CHRA</w:t>
      </w:r>
      <w:r w:rsidRPr="00883230">
        <w:rPr>
          <w:rFonts w:cs="Times New Roman"/>
        </w:rPr>
        <w:t>. He then dismissed the complaints.</w:t>
      </w:r>
    </w:p>
    <w:p w:rsidR="00AC53DB" w:rsidRPr="00883230" w:rsidRDefault="00AC53DB" w:rsidP="00AC53DB">
      <w:pPr>
        <w:pStyle w:val="Title3LevelTitre3Niveau"/>
        <w:rPr>
          <w:rFonts w:cs="Times New Roman"/>
        </w:rPr>
      </w:pPr>
      <w:r w:rsidRPr="00883230">
        <w:rPr>
          <w:rFonts w:cs="Times New Roman"/>
        </w:rPr>
        <w:t xml:space="preserve">The </w:t>
      </w:r>
      <w:r w:rsidRPr="00883230">
        <w:rPr>
          <w:rFonts w:cs="Times New Roman"/>
          <w:i/>
        </w:rPr>
        <w:t>Andrews</w:t>
      </w:r>
      <w:r w:rsidRPr="00883230">
        <w:rPr>
          <w:rFonts w:cs="Times New Roman"/>
        </w:rPr>
        <w:t xml:space="preserve"> Decision</w:t>
      </w:r>
    </w:p>
    <w:p w:rsidR="00AC53DB" w:rsidRPr="00883230" w:rsidRDefault="00AC53DB" w:rsidP="00AC53DB">
      <w:pPr>
        <w:pStyle w:val="ParaNoNdepar-AltN"/>
        <w:rPr>
          <w:rFonts w:cs="Times New Roman"/>
        </w:rPr>
      </w:pPr>
      <w:r w:rsidRPr="00883230">
        <w:rPr>
          <w:rFonts w:cs="Times New Roman"/>
        </w:rPr>
        <w:t xml:space="preserve">The Tribunal also commenced an inquiry into the </w:t>
      </w:r>
      <w:r w:rsidRPr="006462DF">
        <w:rPr>
          <w:rFonts w:cs="Times New Roman"/>
        </w:rPr>
        <w:t>Andrews</w:t>
      </w:r>
      <w:r w:rsidR="006462DF">
        <w:rPr>
          <w:rFonts w:cs="Times New Roman"/>
        </w:rPr>
        <w:t>’</w:t>
      </w:r>
      <w:r w:rsidRPr="00883230">
        <w:rPr>
          <w:rFonts w:cs="Times New Roman"/>
          <w:i/>
        </w:rPr>
        <w:t xml:space="preserve"> </w:t>
      </w:r>
      <w:r w:rsidRPr="00883230">
        <w:rPr>
          <w:rFonts w:cs="Times New Roman"/>
        </w:rPr>
        <w:t xml:space="preserve">complaints at the request of the Commission. The adjudicator, Member </w:t>
      </w:r>
      <w:proofErr w:type="spellStart"/>
      <w:r w:rsidRPr="00883230">
        <w:rPr>
          <w:rFonts w:cs="Times New Roman"/>
        </w:rPr>
        <w:t>Marchildon</w:t>
      </w:r>
      <w:proofErr w:type="spellEnd"/>
      <w:r w:rsidRPr="00883230">
        <w:rPr>
          <w:rFonts w:cs="Times New Roman"/>
        </w:rPr>
        <w:t xml:space="preserve">, started her analysis from the proposition that the historical enfranchisement provisions were contrary to human rights values. However, the adjudicator then identified the determinative issues in </w:t>
      </w:r>
      <w:r w:rsidRPr="00883230">
        <w:rPr>
          <w:rFonts w:cs="Times New Roman"/>
          <w:i/>
        </w:rPr>
        <w:t>Andrews</w:t>
      </w:r>
      <w:r w:rsidRPr="00883230">
        <w:rPr>
          <w:rFonts w:cs="Times New Roman"/>
        </w:rPr>
        <w:t xml:space="preserve"> as being whether the complaints involved the discriminatory provision of services and, if not, whether the </w:t>
      </w:r>
      <w:r w:rsidRPr="00883230">
        <w:rPr>
          <w:rFonts w:cs="Times New Roman"/>
          <w:i/>
        </w:rPr>
        <w:t>CHRA</w:t>
      </w:r>
      <w:r w:rsidRPr="00883230">
        <w:rPr>
          <w:rFonts w:cs="Times New Roman"/>
        </w:rPr>
        <w:t xml:space="preserve"> allowed for complaints that were solely a challenge to legislation. </w:t>
      </w:r>
    </w:p>
    <w:p w:rsidR="00AC53DB" w:rsidRPr="00883230" w:rsidRDefault="00AC53DB" w:rsidP="00AC53DB">
      <w:pPr>
        <w:pStyle w:val="ParaNoNdepar-AltN"/>
        <w:rPr>
          <w:rFonts w:cs="Times New Roman"/>
        </w:rPr>
      </w:pPr>
      <w:r w:rsidRPr="00883230">
        <w:rPr>
          <w:rFonts w:cs="Times New Roman"/>
        </w:rPr>
        <w:t xml:space="preserve">As in </w:t>
      </w:r>
      <w:r w:rsidRPr="00883230">
        <w:rPr>
          <w:rFonts w:cs="Times New Roman"/>
          <w:i/>
        </w:rPr>
        <w:t>Matson</w:t>
      </w:r>
      <w:r w:rsidRPr="00883230">
        <w:rPr>
          <w:rFonts w:cs="Times New Roman"/>
        </w:rPr>
        <w:t xml:space="preserve">, the adjudicator considered the jurisprudence on what constituted a service along with the complainant’s submissions and concluded that she was faced with a direct attack on s. 6 of the </w:t>
      </w:r>
      <w:r w:rsidRPr="00883230">
        <w:rPr>
          <w:rFonts w:cs="Times New Roman"/>
          <w:i/>
        </w:rPr>
        <w:t>Indian Act</w:t>
      </w:r>
      <w:r w:rsidRPr="00883230">
        <w:rPr>
          <w:rFonts w:cs="Times New Roman"/>
        </w:rPr>
        <w:t xml:space="preserve">. The adjudicator recognized that, while status registration may be a service, the underlying entitlement provisions were the product of Parliament’s </w:t>
      </w:r>
      <w:r w:rsidRPr="00883230">
        <w:rPr>
          <w:rFonts w:cs="Times New Roman"/>
          <w:i/>
        </w:rPr>
        <w:t>sui generis</w:t>
      </w:r>
      <w:r w:rsidRPr="00883230">
        <w:rPr>
          <w:rFonts w:cs="Times New Roman"/>
        </w:rPr>
        <w:t xml:space="preserve"> legislative power, which could not be construed as a service under s. 5 of the </w:t>
      </w:r>
      <w:r w:rsidRPr="00883230">
        <w:rPr>
          <w:rFonts w:cs="Times New Roman"/>
          <w:i/>
        </w:rPr>
        <w:t>CHRA</w:t>
      </w:r>
      <w:r w:rsidRPr="00883230">
        <w:rPr>
          <w:rFonts w:cs="Times New Roman"/>
        </w:rPr>
        <w:t xml:space="preserve">. The adjudicator adopted the </w:t>
      </w:r>
      <w:r w:rsidRPr="00883230">
        <w:rPr>
          <w:rFonts w:cs="Times New Roman"/>
          <w:i/>
        </w:rPr>
        <w:t>Matson</w:t>
      </w:r>
      <w:r w:rsidRPr="00883230">
        <w:rPr>
          <w:rFonts w:cs="Times New Roman"/>
        </w:rPr>
        <w:t xml:space="preserve"> finding that </w:t>
      </w:r>
      <w:r w:rsidRPr="00883230">
        <w:rPr>
          <w:rFonts w:cs="Times New Roman"/>
          <w:i/>
        </w:rPr>
        <w:t>Murphy</w:t>
      </w:r>
      <w:r w:rsidRPr="00883230">
        <w:rPr>
          <w:rFonts w:cs="Times New Roman"/>
        </w:rPr>
        <w:t xml:space="preserve"> had not been superseded by decisions of this Court and rejected the submission that other authority submitted to her by the Commission amounted to a conflicting line of authority. She further stated that the justification framework set out in </w:t>
      </w:r>
      <w:r w:rsidRPr="00883230">
        <w:rPr>
          <w:rFonts w:cs="Times New Roman"/>
          <w:i/>
        </w:rPr>
        <w:t>R. v. Oakes</w:t>
      </w:r>
      <w:r w:rsidRPr="00883230">
        <w:rPr>
          <w:rFonts w:cs="Times New Roman"/>
        </w:rPr>
        <w:t xml:space="preserve">, [1986] 1 S.C.R. 103, was the more appropriate approach for determining whether rules of general application should be upheld. </w:t>
      </w:r>
    </w:p>
    <w:p w:rsidR="00AC53DB" w:rsidRPr="00883230" w:rsidRDefault="00AC53DB" w:rsidP="00AC53DB">
      <w:pPr>
        <w:pStyle w:val="Title2LevelTitre2Niveau"/>
        <w:rPr>
          <w:rFonts w:cs="Times New Roman"/>
        </w:rPr>
      </w:pPr>
      <w:bookmarkStart w:id="8" w:name="_Toc507495037"/>
      <w:r w:rsidRPr="00883230">
        <w:rPr>
          <w:rFonts w:cs="Times New Roman"/>
        </w:rPr>
        <w:t>Federal Court</w:t>
      </w:r>
      <w:bookmarkEnd w:id="8"/>
      <w:r w:rsidRPr="00883230">
        <w:rPr>
          <w:rFonts w:cs="Times New Roman"/>
        </w:rPr>
        <w:t xml:space="preserve"> (2015 FC 398, 477 F.T.R. 229) </w:t>
      </w:r>
    </w:p>
    <w:p w:rsidR="00AC53DB" w:rsidRPr="00883230" w:rsidRDefault="00AC53DB" w:rsidP="00AC53DB">
      <w:pPr>
        <w:pStyle w:val="ParaNoNdepar-AltN"/>
        <w:rPr>
          <w:rFonts w:cs="Times New Roman"/>
        </w:rPr>
      </w:pPr>
      <w:r w:rsidRPr="00883230">
        <w:rPr>
          <w:rFonts w:cs="Times New Roman"/>
        </w:rPr>
        <w:t xml:space="preserve">The Federal Court dismissed the Commission’s application for judicial review of the </w:t>
      </w:r>
      <w:r w:rsidRPr="00883230">
        <w:rPr>
          <w:rFonts w:cs="Times New Roman"/>
          <w:i/>
        </w:rPr>
        <w:t>Matson</w:t>
      </w:r>
      <w:r w:rsidRPr="00883230">
        <w:rPr>
          <w:rFonts w:cs="Times New Roman"/>
        </w:rPr>
        <w:t xml:space="preserve"> and </w:t>
      </w:r>
      <w:r w:rsidRPr="00883230">
        <w:rPr>
          <w:rFonts w:cs="Times New Roman"/>
          <w:i/>
        </w:rPr>
        <w:t>Andrews</w:t>
      </w:r>
      <w:r w:rsidRPr="00883230">
        <w:rPr>
          <w:rFonts w:cs="Times New Roman"/>
        </w:rPr>
        <w:t xml:space="preserve"> decisions. </w:t>
      </w:r>
    </w:p>
    <w:p w:rsidR="00AC53DB" w:rsidRPr="00883230" w:rsidRDefault="00AC53DB" w:rsidP="00AC53DB">
      <w:pPr>
        <w:pStyle w:val="ParaNoNdepar-AltN"/>
        <w:rPr>
          <w:rFonts w:cs="Times New Roman"/>
        </w:rPr>
      </w:pPr>
      <w:r w:rsidRPr="00883230">
        <w:rPr>
          <w:rFonts w:cs="Times New Roman"/>
        </w:rPr>
        <w:t xml:space="preserve">McVeigh J. held that the Tribunal had reasonably relied on </w:t>
      </w:r>
      <w:r w:rsidRPr="00883230">
        <w:rPr>
          <w:rFonts w:cs="Times New Roman"/>
          <w:i/>
        </w:rPr>
        <w:t>Murphy</w:t>
      </w:r>
      <w:r w:rsidRPr="00883230">
        <w:rPr>
          <w:rFonts w:cs="Times New Roman"/>
        </w:rPr>
        <w:t xml:space="preserve"> to exclude legislation from the definition of a service. She rejected the Commission’s argument that </w:t>
      </w:r>
      <w:r w:rsidRPr="00883230">
        <w:rPr>
          <w:rFonts w:cs="Times New Roman"/>
          <w:i/>
        </w:rPr>
        <w:t xml:space="preserve">Murphy </w:t>
      </w:r>
      <w:r w:rsidRPr="00883230">
        <w:rPr>
          <w:rFonts w:cs="Times New Roman"/>
        </w:rPr>
        <w:t xml:space="preserve">was not binding and had been wrongly decided. The Tribunal was, in her view, obliged to follow the vertical convention of precedent. Regardless, she did not view </w:t>
      </w:r>
      <w:r w:rsidRPr="00883230">
        <w:rPr>
          <w:rFonts w:cs="Times New Roman"/>
          <w:i/>
        </w:rPr>
        <w:t>Murphy</w:t>
      </w:r>
      <w:r w:rsidRPr="00883230">
        <w:rPr>
          <w:rFonts w:cs="Times New Roman"/>
        </w:rPr>
        <w:t xml:space="preserve"> as wrongly decided and thus there was no reason for the Tribunal to depart from it. Further, McVeigh J. found that the Tribunal had reasonably concluded that, while it had the power to render conflicting legislation inoperable, it did not have the power to grant a remedy unless a discriminatory practice was established under the </w:t>
      </w:r>
      <w:r w:rsidRPr="00883230">
        <w:rPr>
          <w:rFonts w:cs="Times New Roman"/>
          <w:i/>
        </w:rPr>
        <w:t>CHRA</w:t>
      </w:r>
      <w:r w:rsidRPr="00883230">
        <w:rPr>
          <w:rFonts w:cs="Times New Roman"/>
        </w:rPr>
        <w:t xml:space="preserve">. Lastly, after reviewing the legislative history behind s. 67 of the </w:t>
      </w:r>
      <w:r w:rsidRPr="00883230">
        <w:rPr>
          <w:rFonts w:cs="Times New Roman"/>
          <w:i/>
        </w:rPr>
        <w:t>CHRA</w:t>
      </w:r>
      <w:r w:rsidRPr="00883230">
        <w:rPr>
          <w:rFonts w:cs="Times New Roman"/>
        </w:rPr>
        <w:t>, McVeigh J. concluded that the Tribunal had reasonably held that this was insufficient to ground an expansive interpretation of the registration provisions as constituting a service.</w:t>
      </w:r>
    </w:p>
    <w:p w:rsidR="00AC53DB" w:rsidRPr="00883230" w:rsidRDefault="00AC53DB" w:rsidP="00AC53DB">
      <w:pPr>
        <w:pStyle w:val="Title2LevelTitre2Niveau"/>
        <w:rPr>
          <w:rFonts w:cs="Times New Roman"/>
        </w:rPr>
      </w:pPr>
      <w:bookmarkStart w:id="9" w:name="_Toc507495038"/>
      <w:r w:rsidRPr="00883230">
        <w:rPr>
          <w:rFonts w:cs="Times New Roman"/>
        </w:rPr>
        <w:t>Federal Court of Appeal</w:t>
      </w:r>
      <w:bookmarkEnd w:id="9"/>
      <w:r w:rsidRPr="00883230">
        <w:rPr>
          <w:rFonts w:cs="Times New Roman"/>
        </w:rPr>
        <w:t xml:space="preserve"> (2016 FCA 200, [2017] 2 F.C.R. 211)</w:t>
      </w:r>
    </w:p>
    <w:p w:rsidR="00AC53DB" w:rsidRPr="00883230" w:rsidRDefault="00AC53DB" w:rsidP="00AC53DB">
      <w:pPr>
        <w:pStyle w:val="ParaNoNdepar-AltN"/>
        <w:rPr>
          <w:rFonts w:cs="Times New Roman"/>
        </w:rPr>
      </w:pPr>
      <w:r w:rsidRPr="00883230">
        <w:rPr>
          <w:rFonts w:cs="Times New Roman"/>
        </w:rPr>
        <w:t xml:space="preserve">A unanimous Federal Court of Appeal dismissed the Commission’s appeal from the Federal Court’s decision. </w:t>
      </w:r>
    </w:p>
    <w:p w:rsidR="00AC53DB" w:rsidRPr="00883230" w:rsidRDefault="00AC53DB" w:rsidP="00AC53DB">
      <w:pPr>
        <w:pStyle w:val="ParaNoNdepar-AltN"/>
        <w:rPr>
          <w:rFonts w:cs="Times New Roman"/>
        </w:rPr>
      </w:pPr>
      <w:r w:rsidRPr="00883230">
        <w:rPr>
          <w:rFonts w:cs="Times New Roman"/>
        </w:rPr>
        <w:t xml:space="preserve">Writing for the Federal Court of Appeal, Gleason J.A. first considered the application of the standard of review to human rights tribunal decisions following </w:t>
      </w:r>
      <w:r w:rsidRPr="00883230">
        <w:rPr>
          <w:rFonts w:cs="Times New Roman"/>
          <w:i/>
        </w:rPr>
        <w:t>Dunsmuir v. New Brunswick</w:t>
      </w:r>
      <w:r w:rsidRPr="00883230">
        <w:rPr>
          <w:rFonts w:cs="Times New Roman"/>
        </w:rPr>
        <w:t xml:space="preserve">, 2008 SCC 9, [2008] 1 S.C.R. 190. She held that the reasonableness standard presumptively applied to a tribunal’s interpretation of its home statute except where a recognized exception applied or where certain contextual factors indicated that correctness should apply. </w:t>
      </w:r>
    </w:p>
    <w:p w:rsidR="00AC53DB" w:rsidRPr="00883230" w:rsidRDefault="00AC53DB" w:rsidP="00AC53DB">
      <w:pPr>
        <w:pStyle w:val="ParaNoNdepar-AltN"/>
        <w:rPr>
          <w:rFonts w:cs="Times New Roman"/>
        </w:rPr>
      </w:pPr>
      <w:r w:rsidRPr="00883230">
        <w:rPr>
          <w:rFonts w:cs="Times New Roman"/>
        </w:rPr>
        <w:t xml:space="preserve">While recognizing that the correctness standard had on occasion been applied to the review of human rights tribunal decisions, Gleason J.A. found that the applicable standard of review could be determined by applying general principles of administrative law. The interpretation of human rights legislation did not rise to the standard of a constitutional question warranting correctness review. While the questions determined by human rights tribunals could be of such broad import as to be of central importance to the legal system as a whole, they generally did not fall outside the Tribunal’s expertise. Gleason J.A. considered the possibility that the correctness standard could be applied where other tribunals had jurisdiction to interpret the same provisions of the </w:t>
      </w:r>
      <w:r w:rsidRPr="00883230">
        <w:rPr>
          <w:rFonts w:cs="Times New Roman"/>
          <w:i/>
        </w:rPr>
        <w:t>CHRA</w:t>
      </w:r>
      <w:r w:rsidRPr="00883230">
        <w:rPr>
          <w:rFonts w:cs="Times New Roman"/>
        </w:rPr>
        <w:t>, but</w:t>
      </w:r>
      <w:r w:rsidRPr="00883230">
        <w:rPr>
          <w:rFonts w:cs="Times New Roman"/>
          <w:i/>
        </w:rPr>
        <w:t xml:space="preserve"> </w:t>
      </w:r>
      <w:r w:rsidRPr="00883230">
        <w:rPr>
          <w:rFonts w:cs="Times New Roman"/>
        </w:rPr>
        <w:t xml:space="preserve">no such overlap existed in the present case. Therefore, the reasonableness standard applied to the Tribunal’s interpretation of s. 5, as well as its interpretation of the facts of the </w:t>
      </w:r>
      <w:r w:rsidRPr="00883230">
        <w:rPr>
          <w:rFonts w:cs="Times New Roman"/>
          <w:i/>
        </w:rPr>
        <w:t xml:space="preserve">Matson </w:t>
      </w:r>
      <w:r w:rsidRPr="00883230">
        <w:rPr>
          <w:rFonts w:cs="Times New Roman"/>
        </w:rPr>
        <w:t xml:space="preserve">and </w:t>
      </w:r>
      <w:r w:rsidRPr="00883230">
        <w:rPr>
          <w:rFonts w:cs="Times New Roman"/>
          <w:i/>
        </w:rPr>
        <w:t>Andrews</w:t>
      </w:r>
      <w:r w:rsidRPr="00883230">
        <w:rPr>
          <w:rFonts w:cs="Times New Roman"/>
        </w:rPr>
        <w:t xml:space="preserve"> decisions. </w:t>
      </w:r>
    </w:p>
    <w:p w:rsidR="00AC53DB" w:rsidRPr="00883230" w:rsidRDefault="00AC53DB" w:rsidP="00AC53DB">
      <w:pPr>
        <w:pStyle w:val="ParaNoNdepar-AltN"/>
        <w:rPr>
          <w:rFonts w:cs="Times New Roman"/>
        </w:rPr>
      </w:pPr>
      <w:r w:rsidRPr="00883230">
        <w:rPr>
          <w:rFonts w:cs="Times New Roman"/>
        </w:rPr>
        <w:t xml:space="preserve">Gleason J.A. went on to find that the results reached by the Tribunal, and the reasons given, were reasonable. She accepted the Tribunal’s characterization of the complaints as challenges to the act of legislating, agreed that legislatures do not provide “services” when passing laws, and confirmed that the principle of the primacy of human rights law applied only where conflicts between the </w:t>
      </w:r>
      <w:r w:rsidRPr="00883230">
        <w:rPr>
          <w:rFonts w:cs="Times New Roman"/>
          <w:i/>
        </w:rPr>
        <w:t xml:space="preserve">CHRA </w:t>
      </w:r>
      <w:r w:rsidRPr="00883230">
        <w:rPr>
          <w:rFonts w:cs="Times New Roman"/>
        </w:rPr>
        <w:t xml:space="preserve">and other legislation arose in cases addressing a discriminatory practice. Gleason J.A. also held that the Tribunal’s inability to grant an effective remedy supported the conclusion that s. 5 was not engaged. She considered the Tribunal’s approach to have an unassailable policy rationale, finding that there was no reason why the Tribunal should be an alternate forum for adjudicating issues regarding the alleged discriminatory nature of legislation when a </w:t>
      </w:r>
      <w:r w:rsidRPr="00883230">
        <w:rPr>
          <w:rFonts w:cs="Times New Roman"/>
          <w:i/>
        </w:rPr>
        <w:t>Charter</w:t>
      </w:r>
      <w:r w:rsidRPr="00883230">
        <w:rPr>
          <w:rFonts w:cs="Times New Roman"/>
        </w:rPr>
        <w:t xml:space="preserve"> application was a more appropriate vehicle. Finally, on the issue of access to justice, Gleason J.A. disagreed with the Commission’s view that the Tribunal was a more accessible forum than the courts.</w:t>
      </w:r>
    </w:p>
    <w:p w:rsidR="00AC53DB" w:rsidRPr="00883230" w:rsidRDefault="00AC53DB" w:rsidP="00AC53DB">
      <w:pPr>
        <w:pStyle w:val="ParaNoNdepar-AltN"/>
        <w:rPr>
          <w:rFonts w:cs="Times New Roman"/>
        </w:rPr>
      </w:pPr>
      <w:r w:rsidRPr="00883230">
        <w:rPr>
          <w:rFonts w:cs="Times New Roman"/>
        </w:rPr>
        <w:t xml:space="preserve">For all of the foregoing reasons, Gleason J.A. concluded that there was no basis upon which to declare that </w:t>
      </w:r>
      <w:r w:rsidRPr="00883230">
        <w:rPr>
          <w:rFonts w:cs="Times New Roman"/>
          <w:i/>
        </w:rPr>
        <w:t>Murphy</w:t>
      </w:r>
      <w:r w:rsidRPr="00883230">
        <w:rPr>
          <w:rFonts w:cs="Times New Roman"/>
        </w:rPr>
        <w:t xml:space="preserve"> was no longer good law or that the Tribunal’s decisions were otherwise unreasonable. </w:t>
      </w:r>
    </w:p>
    <w:p w:rsidR="00AC53DB" w:rsidRPr="00883230" w:rsidRDefault="00AC53DB" w:rsidP="00AC53DB">
      <w:pPr>
        <w:pStyle w:val="Title1LevelTitre1Niveau-AltL"/>
        <w:rPr>
          <w:rFonts w:cs="Times New Roman"/>
        </w:rPr>
      </w:pPr>
      <w:bookmarkStart w:id="10" w:name="_Toc507495039"/>
      <w:r w:rsidRPr="00883230">
        <w:rPr>
          <w:rFonts w:cs="Times New Roman"/>
        </w:rPr>
        <w:t>Analysis</w:t>
      </w:r>
      <w:bookmarkEnd w:id="10"/>
    </w:p>
    <w:p w:rsidR="00AC53DB" w:rsidRPr="00883230" w:rsidRDefault="00AC53DB" w:rsidP="00AC53DB">
      <w:pPr>
        <w:pStyle w:val="Title2LevelTitre2Niveau"/>
        <w:rPr>
          <w:rFonts w:cs="Times New Roman"/>
        </w:rPr>
      </w:pPr>
      <w:bookmarkStart w:id="11" w:name="_Toc507495040"/>
      <w:r w:rsidRPr="00883230">
        <w:rPr>
          <w:rFonts w:cs="Times New Roman"/>
        </w:rPr>
        <w:t>Applicable Standard of Review</w:t>
      </w:r>
      <w:bookmarkEnd w:id="11"/>
    </w:p>
    <w:p w:rsidR="00AC53DB" w:rsidRPr="00883230" w:rsidRDefault="00AC53DB" w:rsidP="00AC53DB">
      <w:pPr>
        <w:pStyle w:val="ParaNoNdepar-AltN"/>
        <w:rPr>
          <w:rFonts w:cs="Times New Roman"/>
        </w:rPr>
      </w:pPr>
      <w:r w:rsidRPr="00883230">
        <w:rPr>
          <w:rFonts w:cs="Times New Roman"/>
        </w:rPr>
        <w:t>This Court has for years attempted to simplify the standard of review analysis in order to “get the parties away from arguing about the tests and back to arguing about the substantive merits of their case” (</w:t>
      </w:r>
      <w:r w:rsidRPr="00883230">
        <w:rPr>
          <w:rFonts w:cs="Times New Roman"/>
          <w:i/>
        </w:rPr>
        <w:t>Alberta (Information and Privacy Commissioner) v. Alberta Teachers’ Association</w:t>
      </w:r>
      <w:r w:rsidRPr="00883230">
        <w:rPr>
          <w:rFonts w:cs="Times New Roman"/>
        </w:rPr>
        <w:t xml:space="preserve">, 2011 SCC 61, [2011] 3 S.C.R. 654, at para. 36, citing </w:t>
      </w:r>
      <w:r w:rsidRPr="00883230">
        <w:rPr>
          <w:rFonts w:cs="Times New Roman"/>
          <w:i/>
        </w:rPr>
        <w:t>Dunsmuir</w:t>
      </w:r>
      <w:r w:rsidRPr="00883230">
        <w:rPr>
          <w:rFonts w:cs="Times New Roman"/>
        </w:rPr>
        <w:t>, at para. 145, per Binnie J.). To this end, there is a well-established presumption that, where an administrative body interprets its home statute, the reasonableness standard applies (</w:t>
      </w:r>
      <w:r w:rsidRPr="00883230">
        <w:rPr>
          <w:rFonts w:cs="Times New Roman"/>
          <w:i/>
        </w:rPr>
        <w:t>Dunsmuir</w:t>
      </w:r>
      <w:r w:rsidRPr="00883230">
        <w:rPr>
          <w:rFonts w:cs="Times New Roman"/>
        </w:rPr>
        <w:t xml:space="preserve">, at para. 54; </w:t>
      </w:r>
      <w:r w:rsidRPr="00883230">
        <w:rPr>
          <w:rFonts w:cs="Times New Roman"/>
          <w:i/>
        </w:rPr>
        <w:t>Alberta Teachers</w:t>
      </w:r>
      <w:r w:rsidRPr="00883230">
        <w:rPr>
          <w:rFonts w:cs="Times New Roman"/>
        </w:rPr>
        <w:t xml:space="preserve">, at para. 39; </w:t>
      </w:r>
      <w:r w:rsidRPr="00883230">
        <w:rPr>
          <w:rFonts w:cs="Times New Roman"/>
          <w:i/>
        </w:rPr>
        <w:t xml:space="preserve">Wilson </w:t>
      </w:r>
      <w:r w:rsidRPr="00883230">
        <w:rPr>
          <w:rFonts w:cs="Times New Roman"/>
          <w:i/>
          <w:iCs/>
        </w:rPr>
        <w:t>v.</w:t>
      </w:r>
      <w:r w:rsidRPr="00883230">
        <w:rPr>
          <w:rFonts w:cs="Times New Roman"/>
          <w:i/>
        </w:rPr>
        <w:t xml:space="preserve"> Atomic Energy of Canada Ltd</w:t>
      </w:r>
      <w:r w:rsidRPr="00883230">
        <w:rPr>
          <w:rFonts w:cs="Times New Roman"/>
        </w:rPr>
        <w:t>., 2016 SCC 29, [2016] 1 S.C.R. 770, at para. 15;</w:t>
      </w:r>
      <w:r w:rsidRPr="00883230">
        <w:rPr>
          <w:rFonts w:cs="Times New Roman"/>
          <w:i/>
        </w:rPr>
        <w:t xml:space="preserve"> Edmonton (City) v. Edmonton East (</w:t>
      </w:r>
      <w:proofErr w:type="spellStart"/>
      <w:r w:rsidRPr="00883230">
        <w:rPr>
          <w:rFonts w:cs="Times New Roman"/>
          <w:i/>
        </w:rPr>
        <w:t>Capilano</w:t>
      </w:r>
      <w:proofErr w:type="spellEnd"/>
      <w:r w:rsidRPr="00883230">
        <w:rPr>
          <w:rFonts w:cs="Times New Roman"/>
          <w:i/>
        </w:rPr>
        <w:t>) Shopping Centres Ltd</w:t>
      </w:r>
      <w:r w:rsidRPr="00883230">
        <w:rPr>
          <w:rFonts w:cs="Times New Roman"/>
        </w:rPr>
        <w:t xml:space="preserve">., 2016 SCC 47, [2016] 2 S.C.R. 293, at para. 22; </w:t>
      </w:r>
      <w:r w:rsidRPr="00883230">
        <w:rPr>
          <w:rFonts w:cs="Times New Roman"/>
          <w:i/>
        </w:rPr>
        <w:t xml:space="preserve">Quebec (Attorney General) v. </w:t>
      </w:r>
      <w:proofErr w:type="spellStart"/>
      <w:r w:rsidRPr="00883230">
        <w:rPr>
          <w:rFonts w:cs="Times New Roman"/>
          <w:i/>
        </w:rPr>
        <w:t>Guérin</w:t>
      </w:r>
      <w:proofErr w:type="spellEnd"/>
      <w:r w:rsidRPr="00883230">
        <w:rPr>
          <w:rFonts w:cs="Times New Roman"/>
        </w:rPr>
        <w:t>, 2017 SCC 42, [2017] 2 S.C.R. 3</w:t>
      </w:r>
      <w:r w:rsidRPr="00883230">
        <w:rPr>
          <w:rStyle w:val="nowrap"/>
          <w:rFonts w:cs="Times New Roman"/>
        </w:rPr>
        <w:t xml:space="preserve">, </w:t>
      </w:r>
      <w:r w:rsidRPr="00883230">
        <w:rPr>
          <w:rFonts w:cs="Times New Roman"/>
        </w:rPr>
        <w:t xml:space="preserve">at paras. 33-34; </w:t>
      </w:r>
      <w:r w:rsidRPr="00883230">
        <w:rPr>
          <w:rFonts w:cs="Times New Roman"/>
          <w:i/>
        </w:rPr>
        <w:t xml:space="preserve">Delta Air Lines Inc. v. </w:t>
      </w:r>
      <w:proofErr w:type="spellStart"/>
      <w:r w:rsidRPr="00883230">
        <w:rPr>
          <w:rFonts w:cs="Times New Roman"/>
          <w:i/>
        </w:rPr>
        <w:t>Lukács</w:t>
      </w:r>
      <w:proofErr w:type="spellEnd"/>
      <w:r w:rsidRPr="00883230">
        <w:rPr>
          <w:rFonts w:cs="Times New Roman"/>
        </w:rPr>
        <w:t xml:space="preserve">, 2018 SCC 2, </w:t>
      </w:r>
      <w:r w:rsidR="00A2216C">
        <w:rPr>
          <w:rFonts w:cs="Times New Roman"/>
        </w:rPr>
        <w:t xml:space="preserve">[2018] 1 S.C.R. </w:t>
      </w:r>
      <w:r w:rsidR="00A97352">
        <w:rPr>
          <w:rFonts w:cs="Times New Roman"/>
        </w:rPr>
        <w:t>6</w:t>
      </w:r>
      <w:r w:rsidR="00A2216C">
        <w:rPr>
          <w:rFonts w:cs="Times New Roman"/>
        </w:rPr>
        <w:t xml:space="preserve">, </w:t>
      </w:r>
      <w:r w:rsidRPr="00883230">
        <w:rPr>
          <w:rFonts w:cs="Times New Roman"/>
        </w:rPr>
        <w:t xml:space="preserve">at para. 8). </w:t>
      </w:r>
    </w:p>
    <w:p w:rsidR="00AC53DB" w:rsidRPr="00883230" w:rsidRDefault="00AC53DB" w:rsidP="00AC53DB">
      <w:pPr>
        <w:pStyle w:val="ParaNoNdepar-AltN"/>
        <w:rPr>
          <w:rFonts w:cs="Times New Roman"/>
        </w:rPr>
      </w:pPr>
      <w:r w:rsidRPr="00883230">
        <w:rPr>
          <w:rFonts w:cs="Times New Roman"/>
        </w:rPr>
        <w:t xml:space="preserve">The presumption may be rebutted and the correctness standard applied where one of the following categories can be established: (1) issues relating to the constitutional division of powers; (2) true questions of </w:t>
      </w:r>
      <w:r w:rsidRPr="00883230">
        <w:rPr>
          <w:rFonts w:cs="Times New Roman"/>
          <w:i/>
        </w:rPr>
        <w:t>vires</w:t>
      </w:r>
      <w:r w:rsidRPr="00883230">
        <w:rPr>
          <w:rFonts w:cs="Times New Roman"/>
        </w:rPr>
        <w:t>;</w:t>
      </w:r>
      <w:r w:rsidRPr="00883230">
        <w:rPr>
          <w:rFonts w:cs="Times New Roman"/>
          <w:i/>
        </w:rPr>
        <w:t xml:space="preserve"> </w:t>
      </w:r>
      <w:r w:rsidRPr="00883230">
        <w:rPr>
          <w:rFonts w:cs="Times New Roman"/>
        </w:rPr>
        <w:t xml:space="preserve">(3) issues of competing jurisdiction between tribunals; and (4) questions that are of central importance to the legal system </w:t>
      </w:r>
      <w:r w:rsidRPr="00883230">
        <w:rPr>
          <w:rFonts w:cs="Times New Roman"/>
          <w:i/>
        </w:rPr>
        <w:t xml:space="preserve">and </w:t>
      </w:r>
      <w:r w:rsidRPr="00883230">
        <w:rPr>
          <w:rFonts w:cs="Times New Roman"/>
        </w:rPr>
        <w:t>outside the expertise of the decision maker (</w:t>
      </w:r>
      <w:proofErr w:type="spellStart"/>
      <w:r w:rsidRPr="00883230">
        <w:rPr>
          <w:rFonts w:cs="Times New Roman"/>
          <w:i/>
        </w:rPr>
        <w:t>Capilano</w:t>
      </w:r>
      <w:proofErr w:type="spellEnd"/>
      <w:r w:rsidRPr="00883230">
        <w:rPr>
          <w:rFonts w:cs="Times New Roman"/>
        </w:rPr>
        <w:t xml:space="preserve">, at para. 24; </w:t>
      </w:r>
      <w:r w:rsidRPr="00883230">
        <w:rPr>
          <w:rFonts w:cs="Times New Roman"/>
          <w:i/>
        </w:rPr>
        <w:t>Dunsmuir</w:t>
      </w:r>
      <w:r w:rsidRPr="00883230">
        <w:rPr>
          <w:rFonts w:cs="Times New Roman"/>
        </w:rPr>
        <w:t>, at paras. 58-61). Exceptionally, the presumption may also be rebutted where a contextual inquiry shows a clear legislative intent that the correctness standard be applied (</w:t>
      </w:r>
      <w:proofErr w:type="spellStart"/>
      <w:r w:rsidRPr="00883230">
        <w:rPr>
          <w:rFonts w:cs="Times New Roman"/>
          <w:i/>
        </w:rPr>
        <w:t>Capilano</w:t>
      </w:r>
      <w:proofErr w:type="spellEnd"/>
      <w:r w:rsidRPr="00883230">
        <w:rPr>
          <w:rFonts w:cs="Times New Roman"/>
        </w:rPr>
        <w:t xml:space="preserve">, at para. </w:t>
      </w:r>
      <w:r w:rsidRPr="00883230">
        <w:rPr>
          <w:rFonts w:cs="Times New Roman"/>
          <w:lang w:val="fr-CA"/>
        </w:rPr>
        <w:t xml:space="preserve">34; </w:t>
      </w:r>
      <w:r w:rsidRPr="00883230">
        <w:rPr>
          <w:rFonts w:cs="Times New Roman"/>
          <w:i/>
          <w:lang w:val="fr-CA"/>
        </w:rPr>
        <w:t>Mouvement laïque québécois v. Saguenay (City)</w:t>
      </w:r>
      <w:r w:rsidRPr="00883230">
        <w:rPr>
          <w:rFonts w:cs="Times New Roman"/>
          <w:lang w:val="fr-CA"/>
        </w:rPr>
        <w:t xml:space="preserve">, 2015 SCC 16, [2015] 2 S.C.R. 3, at para. </w:t>
      </w:r>
      <w:r w:rsidRPr="00883230">
        <w:rPr>
          <w:rFonts w:cs="Times New Roman"/>
        </w:rPr>
        <w:t xml:space="preserve">46; </w:t>
      </w:r>
      <w:r w:rsidRPr="00883230">
        <w:rPr>
          <w:rFonts w:cs="Times New Roman"/>
          <w:i/>
        </w:rPr>
        <w:t xml:space="preserve">Tervita Corp. </w:t>
      </w:r>
      <w:r w:rsidRPr="00883230">
        <w:rPr>
          <w:rFonts w:cs="Times New Roman"/>
          <w:i/>
          <w:iCs/>
        </w:rPr>
        <w:t>v.</w:t>
      </w:r>
      <w:r w:rsidRPr="00883230">
        <w:rPr>
          <w:rFonts w:cs="Times New Roman"/>
          <w:i/>
        </w:rPr>
        <w:t xml:space="preserve"> Canada (Commissioner of Competition)</w:t>
      </w:r>
      <w:r w:rsidRPr="00883230">
        <w:rPr>
          <w:rFonts w:cs="Times New Roman"/>
        </w:rPr>
        <w:t>, 2015 SCC 3, [2015] 1 S.C.R. 161, at paras. 35-36 and 38-39;</w:t>
      </w:r>
      <w:r w:rsidRPr="00883230">
        <w:rPr>
          <w:rFonts w:cs="Times New Roman"/>
          <w:i/>
          <w:iCs/>
        </w:rPr>
        <w:t xml:space="preserve"> </w:t>
      </w:r>
      <w:r w:rsidRPr="00883230">
        <w:rPr>
          <w:rFonts w:cs="Times New Roman"/>
          <w:i/>
        </w:rPr>
        <w:t xml:space="preserve">McLean </w:t>
      </w:r>
      <w:r w:rsidRPr="00883230">
        <w:rPr>
          <w:rFonts w:cs="Times New Roman"/>
          <w:i/>
          <w:iCs/>
        </w:rPr>
        <w:t>v.</w:t>
      </w:r>
      <w:r w:rsidRPr="00883230">
        <w:rPr>
          <w:rFonts w:cs="Times New Roman"/>
          <w:i/>
        </w:rPr>
        <w:t xml:space="preserve"> British Columbia (Securities Commission)</w:t>
      </w:r>
      <w:r w:rsidRPr="00883230">
        <w:rPr>
          <w:rFonts w:cs="Times New Roman"/>
        </w:rPr>
        <w:t>,</w:t>
      </w:r>
      <w:r w:rsidRPr="00883230">
        <w:rPr>
          <w:rFonts w:cs="Times New Roman"/>
          <w:i/>
          <w:iCs/>
        </w:rPr>
        <w:t xml:space="preserve"> </w:t>
      </w:r>
      <w:r w:rsidRPr="00883230">
        <w:rPr>
          <w:rFonts w:cs="Times New Roman"/>
        </w:rPr>
        <w:t>2013 SCC 67, [2013] 3 S.C.R. 895, at para. 22;</w:t>
      </w:r>
      <w:r w:rsidRPr="00883230">
        <w:rPr>
          <w:rFonts w:cs="Times New Roman"/>
          <w:i/>
          <w:iCs/>
        </w:rPr>
        <w:t xml:space="preserve"> </w:t>
      </w:r>
      <w:r w:rsidRPr="00883230">
        <w:rPr>
          <w:rFonts w:cs="Times New Roman"/>
          <w:i/>
        </w:rPr>
        <w:t>Rogers Communications Inc. v. Society of Composers, Authors and Music Publishers of Canada</w:t>
      </w:r>
      <w:r w:rsidRPr="00883230">
        <w:rPr>
          <w:rFonts w:cs="Times New Roman"/>
        </w:rPr>
        <w:t xml:space="preserve">, 2012 SCC 35, [2012] 2 S.C.R. 283, at para. 15). </w:t>
      </w:r>
    </w:p>
    <w:p w:rsidR="00AC53DB" w:rsidRPr="00883230" w:rsidRDefault="00AC53DB" w:rsidP="00AC53DB">
      <w:pPr>
        <w:pStyle w:val="ParaNoNdepar-AltN"/>
        <w:rPr>
          <w:rFonts w:cs="Times New Roman"/>
        </w:rPr>
      </w:pPr>
      <w:r w:rsidRPr="00883230">
        <w:rPr>
          <w:rFonts w:cs="Times New Roman"/>
        </w:rPr>
        <w:t>In applying the standard of review analysis, there is no principled difference between a human rights tribunal and any other decision maker interpreting its home statute (</w:t>
      </w:r>
      <w:r w:rsidRPr="00883230">
        <w:rPr>
          <w:rFonts w:cs="Times New Roman"/>
          <w:i/>
        </w:rPr>
        <w:t>Canada (Canadian Human Rights Commission) v. Canada (Attorney General)</w:t>
      </w:r>
      <w:r w:rsidRPr="00883230">
        <w:rPr>
          <w:rFonts w:cs="Times New Roman"/>
        </w:rPr>
        <w:t>, 2011 SCC 53, [2011] 3 S.C.R. 471 (“</w:t>
      </w:r>
      <w:proofErr w:type="spellStart"/>
      <w:r w:rsidRPr="00883230">
        <w:rPr>
          <w:rFonts w:cs="Times New Roman"/>
          <w:i/>
        </w:rPr>
        <w:t>Mowat</w:t>
      </w:r>
      <w:proofErr w:type="spellEnd"/>
      <w:r w:rsidRPr="00883230">
        <w:rPr>
          <w:rFonts w:cs="Times New Roman"/>
        </w:rPr>
        <w:t xml:space="preserve">”), at paras. 22-24; </w:t>
      </w:r>
      <w:r w:rsidRPr="00883230">
        <w:rPr>
          <w:rFonts w:cs="Times New Roman"/>
          <w:i/>
        </w:rPr>
        <w:t xml:space="preserve">Saskatchewan (Human Rights Commission) v. </w:t>
      </w:r>
      <w:proofErr w:type="spellStart"/>
      <w:r w:rsidRPr="00883230">
        <w:rPr>
          <w:rFonts w:cs="Times New Roman"/>
          <w:i/>
        </w:rPr>
        <w:t>Whatcott</w:t>
      </w:r>
      <w:proofErr w:type="spellEnd"/>
      <w:r w:rsidRPr="00883230">
        <w:rPr>
          <w:rFonts w:cs="Times New Roman"/>
        </w:rPr>
        <w:t>, 2013 SCC 11, [2013] 1 S.C.R. 467, at paras. 167-168;</w:t>
      </w:r>
      <w:r w:rsidRPr="00883230">
        <w:rPr>
          <w:rFonts w:cs="Times New Roman"/>
          <w:i/>
        </w:rPr>
        <w:t xml:space="preserve"> Saguenay</w:t>
      </w:r>
      <w:r w:rsidRPr="00883230">
        <w:rPr>
          <w:rFonts w:cs="Times New Roman"/>
        </w:rPr>
        <w:t xml:space="preserve">, at para. 50; </w:t>
      </w:r>
      <w:r w:rsidRPr="00883230">
        <w:rPr>
          <w:rFonts w:cs="Times New Roman"/>
          <w:i/>
        </w:rPr>
        <w:t>Stewart v. Elk Valley Coal Corp</w:t>
      </w:r>
      <w:r w:rsidRPr="00883230">
        <w:rPr>
          <w:rFonts w:cs="Times New Roman"/>
        </w:rPr>
        <w:t>., 2017 SCC 30, [2017] 1 S.C.R. 591, at para. 22). Human rights tribunals are equally entitled to deference where they apply their home statute.</w:t>
      </w:r>
    </w:p>
    <w:p w:rsidR="00AC53DB" w:rsidRPr="00883230" w:rsidRDefault="00AC53DB" w:rsidP="00AC53DB">
      <w:pPr>
        <w:pStyle w:val="ParaNoNdepar-AltN"/>
        <w:rPr>
          <w:rFonts w:cs="Times New Roman"/>
        </w:rPr>
      </w:pPr>
      <w:r w:rsidRPr="00883230">
        <w:rPr>
          <w:rFonts w:cs="Times New Roman"/>
        </w:rPr>
        <w:t xml:space="preserve">In both of its decisions, the Tribunal was called upon to characterize the complaints before it and ascertain whether a discriminatory practice had been made out under the </w:t>
      </w:r>
      <w:r w:rsidRPr="00883230">
        <w:rPr>
          <w:rFonts w:cs="Times New Roman"/>
          <w:i/>
        </w:rPr>
        <w:t>CHRA</w:t>
      </w:r>
      <w:r w:rsidRPr="00883230">
        <w:rPr>
          <w:rFonts w:cs="Times New Roman"/>
        </w:rPr>
        <w:t xml:space="preserve">. This falls squarely within the presumption of deference. Still, the Commission has submitted that the presumption can be rebutted on the basis that the Tribunal’s decisions raise a question of central importance outside its expertise or on the basis that a contextual analysis shows deference is unwarranted. While not urged by the Commission, continued uncertainty as to the applicability of the category of true questions of </w:t>
      </w:r>
      <w:r w:rsidRPr="00883230">
        <w:rPr>
          <w:rFonts w:cs="Times New Roman"/>
          <w:i/>
        </w:rPr>
        <w:t>vires</w:t>
      </w:r>
      <w:r w:rsidRPr="00883230">
        <w:rPr>
          <w:rFonts w:cs="Times New Roman"/>
        </w:rPr>
        <w:t xml:space="preserve"> necessitates also addressing it briefly. </w:t>
      </w:r>
    </w:p>
    <w:p w:rsidR="00AC53DB" w:rsidRPr="00883230" w:rsidRDefault="00AC53DB" w:rsidP="00AC53DB">
      <w:pPr>
        <w:pStyle w:val="Title3LevelTitre3Niveau"/>
        <w:rPr>
          <w:rFonts w:cs="Times New Roman"/>
        </w:rPr>
      </w:pPr>
      <w:bookmarkStart w:id="12" w:name="_Toc507495041"/>
      <w:r w:rsidRPr="00883230">
        <w:rPr>
          <w:rFonts w:cs="Times New Roman"/>
        </w:rPr>
        <w:t>True Questions of Jurisdiction</w:t>
      </w:r>
      <w:bookmarkEnd w:id="12"/>
    </w:p>
    <w:p w:rsidR="00AC53DB" w:rsidRPr="00883230" w:rsidRDefault="00AC53DB" w:rsidP="00AC53DB">
      <w:pPr>
        <w:pStyle w:val="ParaNoNdepar-AltN"/>
        <w:rPr>
          <w:rFonts w:cs="Times New Roman"/>
        </w:rPr>
      </w:pPr>
      <w:r w:rsidRPr="00883230">
        <w:rPr>
          <w:rFonts w:cs="Times New Roman"/>
        </w:rPr>
        <w:t xml:space="preserve">True questions of </w:t>
      </w:r>
      <w:r w:rsidRPr="00883230">
        <w:rPr>
          <w:rFonts w:cs="Times New Roman"/>
          <w:i/>
        </w:rPr>
        <w:t>vires</w:t>
      </w:r>
      <w:r w:rsidRPr="00883230">
        <w:rPr>
          <w:rFonts w:cs="Times New Roman"/>
        </w:rPr>
        <w:t xml:space="preserve"> have been described as a narrow and exceptional category of correctness review (</w:t>
      </w:r>
      <w:r w:rsidRPr="00883230">
        <w:rPr>
          <w:rFonts w:cs="Times New Roman"/>
          <w:i/>
        </w:rPr>
        <w:t>Alberta Teachers</w:t>
      </w:r>
      <w:r w:rsidRPr="00883230">
        <w:rPr>
          <w:rFonts w:cs="Times New Roman"/>
        </w:rPr>
        <w:t>, at para. 39), confined to instances where the decision maker must determine whether it has the authority to enter into the inquiry before it (</w:t>
      </w:r>
      <w:r w:rsidRPr="00883230">
        <w:rPr>
          <w:rFonts w:cs="Times New Roman"/>
          <w:i/>
        </w:rPr>
        <w:t>Dunsmuir</w:t>
      </w:r>
      <w:r w:rsidRPr="00883230">
        <w:rPr>
          <w:rFonts w:cs="Times New Roman"/>
        </w:rPr>
        <w:t xml:space="preserve">, at para. 59; </w:t>
      </w:r>
      <w:proofErr w:type="spellStart"/>
      <w:r w:rsidRPr="00883230">
        <w:rPr>
          <w:rFonts w:cs="Times New Roman"/>
          <w:i/>
        </w:rPr>
        <w:t>Guérin</w:t>
      </w:r>
      <w:proofErr w:type="spellEnd"/>
      <w:r w:rsidRPr="00883230">
        <w:rPr>
          <w:rFonts w:cs="Times New Roman"/>
        </w:rPr>
        <w:t xml:space="preserve">, at para. 32). In this sense, “true” questions of jurisdiction involve a far narrower meaning of “jurisdiction” than the one ordinarily employed. This narrow sense of jurisdiction was emphasized by Dickson J. (as he then was) in </w:t>
      </w:r>
      <w:r w:rsidRPr="00883230">
        <w:rPr>
          <w:rFonts w:cs="Times New Roman"/>
          <w:i/>
        </w:rPr>
        <w:t>Canadian Union of Public Employees, Local 963 v. New Brunswick Liquor Corp.</w:t>
      </w:r>
      <w:r w:rsidRPr="00883230">
        <w:rPr>
          <w:rFonts w:cs="Times New Roman"/>
        </w:rPr>
        <w:t>, [1979] 2 S.C.R. 227 (“</w:t>
      </w:r>
      <w:r w:rsidRPr="00883230">
        <w:rPr>
          <w:rFonts w:cs="Times New Roman"/>
          <w:i/>
        </w:rPr>
        <w:t>CUPE</w:t>
      </w:r>
      <w:r w:rsidRPr="00883230">
        <w:rPr>
          <w:rFonts w:cs="Times New Roman"/>
        </w:rPr>
        <w:t xml:space="preserve">”), where he warned that courts “should not be alert to brand as jurisdictional, and therefore subject to broader curial review, that which may be doubtfully so” (p. 233). This Court reaffirmed the narrow approach to jurisdiction in </w:t>
      </w:r>
      <w:r w:rsidRPr="00883230">
        <w:rPr>
          <w:rFonts w:cs="Times New Roman"/>
          <w:i/>
        </w:rPr>
        <w:t xml:space="preserve">Dunsmuir </w:t>
      </w:r>
      <w:r w:rsidRPr="00883230">
        <w:rPr>
          <w:rFonts w:cs="Times New Roman"/>
        </w:rPr>
        <w:t xml:space="preserve">when it explicitly rejected a return to the jurisdiction/preliminary question doctrine that had “plagued the jurisprudence” (para. 59; see also </w:t>
      </w:r>
      <w:r w:rsidRPr="00883230">
        <w:rPr>
          <w:rFonts w:cs="Times New Roman"/>
          <w:i/>
        </w:rPr>
        <w:t>Halifax (Regional Municipality) v. Nova Scotia (Human Rights Commission)</w:t>
      </w:r>
      <w:r w:rsidRPr="00883230">
        <w:rPr>
          <w:rFonts w:cs="Times New Roman"/>
        </w:rPr>
        <w:t xml:space="preserve">, 2012 SCC 10, [2012] 1 S.C.R. 364, at para. 34). A departure from this constrained understanding of jurisdiction would only risk resurrecting long-buried debates. </w:t>
      </w:r>
    </w:p>
    <w:p w:rsidR="00AC53DB" w:rsidRPr="00883230" w:rsidRDefault="00AC53DB" w:rsidP="00AC53DB">
      <w:pPr>
        <w:pStyle w:val="ParaNoNdepar-AltN"/>
        <w:rPr>
          <w:rFonts w:cs="Times New Roman"/>
        </w:rPr>
      </w:pPr>
      <w:r w:rsidRPr="00883230">
        <w:rPr>
          <w:rFonts w:cs="Times New Roman"/>
        </w:rPr>
        <w:t xml:space="preserve">Neither the Commission nor any lower court has suggested that this case involves the enigmatic category of true questions of </w:t>
      </w:r>
      <w:r w:rsidRPr="00883230">
        <w:rPr>
          <w:rFonts w:cs="Times New Roman"/>
          <w:i/>
        </w:rPr>
        <w:t>vires</w:t>
      </w:r>
      <w:r w:rsidRPr="00883230">
        <w:rPr>
          <w:rFonts w:cs="Times New Roman"/>
        </w:rPr>
        <w:t xml:space="preserve">. But the issue on appeal has, at times, been characterized by the parties and the courts below as being whether the Tribunal has the “jurisdiction” to consider direct attacks to legislation or whether the courts are the better forum to ascertain the validity of legislation. However, distilled to its essentials, the question before the Tribunal was whether legislative entitlements under the </w:t>
      </w:r>
      <w:r w:rsidRPr="00883230">
        <w:rPr>
          <w:rFonts w:cs="Times New Roman"/>
          <w:i/>
        </w:rPr>
        <w:t>Indian Act</w:t>
      </w:r>
      <w:r w:rsidRPr="00883230">
        <w:rPr>
          <w:rFonts w:cs="Times New Roman"/>
        </w:rPr>
        <w:t xml:space="preserve"> fell within the definition of a service under the </w:t>
      </w:r>
      <w:r w:rsidRPr="00883230">
        <w:rPr>
          <w:rFonts w:cs="Times New Roman"/>
          <w:i/>
        </w:rPr>
        <w:t>CHRA</w:t>
      </w:r>
      <w:r w:rsidRPr="00883230">
        <w:rPr>
          <w:rFonts w:cs="Times New Roman"/>
        </w:rPr>
        <w:t xml:space="preserve">. As such, the Tribunal was determining whether the complaints concerned a discriminatory practice as defined by the </w:t>
      </w:r>
      <w:r w:rsidRPr="00883230">
        <w:rPr>
          <w:rFonts w:cs="Times New Roman"/>
          <w:i/>
        </w:rPr>
        <w:t>CHRA</w:t>
      </w:r>
      <w:r w:rsidRPr="00883230">
        <w:rPr>
          <w:rFonts w:cs="Times New Roman"/>
        </w:rPr>
        <w:t xml:space="preserve">. </w:t>
      </w:r>
    </w:p>
    <w:p w:rsidR="00AC53DB" w:rsidRPr="00883230" w:rsidRDefault="00AC53DB" w:rsidP="00AC53DB">
      <w:pPr>
        <w:pStyle w:val="ParaNoNdepar-AltN"/>
        <w:rPr>
          <w:rFonts w:cs="Times New Roman"/>
        </w:rPr>
      </w:pPr>
      <w:r w:rsidRPr="00883230">
        <w:rPr>
          <w:rFonts w:cs="Times New Roman"/>
        </w:rPr>
        <w:t>There is no question that the Tribunal had the authority to hear a complaint about a discriminatory practice. To that end, the question of what falls within the meaning of “services” is no more exceptional than those found in other cases where a majority of this Court has repeatedly declined to recognize a true question of jurisdiction (</w:t>
      </w:r>
      <w:proofErr w:type="spellStart"/>
      <w:r w:rsidRPr="00883230">
        <w:rPr>
          <w:rFonts w:cs="Times New Roman"/>
          <w:i/>
        </w:rPr>
        <w:t>Guérin</w:t>
      </w:r>
      <w:proofErr w:type="spellEnd"/>
      <w:r w:rsidRPr="00883230">
        <w:rPr>
          <w:rFonts w:cs="Times New Roman"/>
        </w:rPr>
        <w:t>, at</w:t>
      </w:r>
      <w:r w:rsidRPr="00883230">
        <w:rPr>
          <w:rFonts w:cs="Times New Roman"/>
          <w:i/>
        </w:rPr>
        <w:t xml:space="preserve"> </w:t>
      </w:r>
      <w:r w:rsidRPr="00883230">
        <w:rPr>
          <w:rFonts w:cs="Times New Roman"/>
        </w:rPr>
        <w:t xml:space="preserve">paras. 33-36; </w:t>
      </w:r>
      <w:proofErr w:type="spellStart"/>
      <w:r w:rsidRPr="00883230">
        <w:rPr>
          <w:rFonts w:cs="Times New Roman"/>
          <w:i/>
        </w:rPr>
        <w:t>Capilano</w:t>
      </w:r>
      <w:proofErr w:type="spellEnd"/>
      <w:r w:rsidRPr="00883230">
        <w:rPr>
          <w:rFonts w:cs="Times New Roman"/>
        </w:rPr>
        <w:t xml:space="preserve">, at para. 26; </w:t>
      </w:r>
      <w:r w:rsidRPr="00883230">
        <w:rPr>
          <w:rFonts w:cs="Times New Roman"/>
          <w:i/>
        </w:rPr>
        <w:t>Alberta Teachers</w:t>
      </w:r>
      <w:r w:rsidRPr="00883230">
        <w:rPr>
          <w:rFonts w:cs="Times New Roman"/>
        </w:rPr>
        <w:t xml:space="preserve">, at para. 33; </w:t>
      </w:r>
      <w:r w:rsidRPr="00883230">
        <w:rPr>
          <w:rFonts w:cs="Times New Roman"/>
          <w:i/>
        </w:rPr>
        <w:t>CUPE</w:t>
      </w:r>
      <w:r w:rsidRPr="00883230">
        <w:rPr>
          <w:rFonts w:cs="Times New Roman"/>
        </w:rPr>
        <w:t xml:space="preserve">, at pp. 233-34; </w:t>
      </w:r>
      <w:r w:rsidRPr="00883230">
        <w:rPr>
          <w:rFonts w:cs="Times New Roman"/>
          <w:i/>
        </w:rPr>
        <w:t>Canadian Broadcasting Corp. v. SODRAC 2003 Inc</w:t>
      </w:r>
      <w:r w:rsidRPr="00883230">
        <w:rPr>
          <w:rFonts w:cs="Times New Roman"/>
        </w:rPr>
        <w:t xml:space="preserve">., 2015 SCC 57, [2015] 3 S.C.R. 615, at para. 39; </w:t>
      </w:r>
      <w:r w:rsidRPr="00883230">
        <w:rPr>
          <w:rFonts w:cs="Times New Roman"/>
          <w:i/>
        </w:rPr>
        <w:t>Nolan v. Kerry (Canada) Inc</w:t>
      </w:r>
      <w:r w:rsidRPr="00883230">
        <w:rPr>
          <w:rFonts w:cs="Times New Roman"/>
        </w:rPr>
        <w:t xml:space="preserve">., 2009 SCC 39, [2009] 2 S.C.R. 678, at para. 35; </w:t>
      </w:r>
      <w:r w:rsidRPr="00883230">
        <w:rPr>
          <w:rFonts w:cs="Times New Roman"/>
          <w:i/>
        </w:rPr>
        <w:t>Smith v. Alliance Pipeline Ltd</w:t>
      </w:r>
      <w:r w:rsidRPr="00883230">
        <w:rPr>
          <w:rFonts w:cs="Times New Roman"/>
        </w:rPr>
        <w:t xml:space="preserve">., 2011 SCC 7, [2011] 1 S.C.R. 160, at para. 36; </w:t>
      </w:r>
      <w:proofErr w:type="spellStart"/>
      <w:r w:rsidRPr="00883230">
        <w:rPr>
          <w:rFonts w:cs="Times New Roman"/>
          <w:i/>
        </w:rPr>
        <w:t>Mowat</w:t>
      </w:r>
      <w:proofErr w:type="spellEnd"/>
      <w:r w:rsidRPr="00883230">
        <w:rPr>
          <w:rFonts w:cs="Times New Roman"/>
        </w:rPr>
        <w:t xml:space="preserve">, at paras. 24-25). To find that the Tribunal was faced with a true question of </w:t>
      </w:r>
      <w:r w:rsidRPr="00883230">
        <w:rPr>
          <w:rFonts w:cs="Times New Roman"/>
          <w:i/>
        </w:rPr>
        <w:t>vires</w:t>
      </w:r>
      <w:r w:rsidRPr="00883230">
        <w:rPr>
          <w:rFonts w:cs="Times New Roman"/>
        </w:rPr>
        <w:t xml:space="preserve"> would only risk disinterring the jurisdiction/preliminary question doctrine that was clearly put to rest in </w:t>
      </w:r>
      <w:r w:rsidRPr="00883230">
        <w:rPr>
          <w:rFonts w:cs="Times New Roman"/>
          <w:i/>
        </w:rPr>
        <w:t>Dunsmuir</w:t>
      </w:r>
      <w:r w:rsidRPr="00883230">
        <w:rPr>
          <w:rFonts w:cs="Times New Roman"/>
        </w:rPr>
        <w:t xml:space="preserve">. Plainly, the definition of a service under the </w:t>
      </w:r>
      <w:r w:rsidRPr="00883230">
        <w:rPr>
          <w:rFonts w:cs="Times New Roman"/>
          <w:i/>
        </w:rPr>
        <w:t>CHRA</w:t>
      </w:r>
      <w:r w:rsidRPr="00883230">
        <w:rPr>
          <w:rFonts w:cs="Times New Roman"/>
        </w:rPr>
        <w:t xml:space="preserve"> is not a true question of </w:t>
      </w:r>
      <w:r w:rsidRPr="00883230">
        <w:rPr>
          <w:rFonts w:cs="Times New Roman"/>
          <w:i/>
        </w:rPr>
        <w:t>vires</w:t>
      </w:r>
      <w:r w:rsidRPr="00883230">
        <w:rPr>
          <w:rFonts w:cs="Times New Roman"/>
        </w:rPr>
        <w:t xml:space="preserve">. </w:t>
      </w:r>
    </w:p>
    <w:p w:rsidR="00AC53DB" w:rsidRPr="00883230" w:rsidRDefault="00AC53DB" w:rsidP="00AC53DB">
      <w:pPr>
        <w:pStyle w:val="ParaNoNdepar-AltN"/>
        <w:rPr>
          <w:rFonts w:cs="Times New Roman"/>
        </w:rPr>
      </w:pPr>
      <w:r w:rsidRPr="00883230">
        <w:rPr>
          <w:rFonts w:cs="Times New Roman"/>
        </w:rPr>
        <w:t xml:space="preserve">That being said, the persistent uncertainty over this category’s scope requires further comments. Since its inclusion as a category of correctness review in </w:t>
      </w:r>
      <w:r w:rsidRPr="00883230">
        <w:rPr>
          <w:rFonts w:cs="Times New Roman"/>
          <w:i/>
        </w:rPr>
        <w:t>Dunsmuir</w:t>
      </w:r>
      <w:r w:rsidRPr="00883230">
        <w:rPr>
          <w:rFonts w:cs="Times New Roman"/>
        </w:rPr>
        <w:t>,</w:t>
      </w:r>
      <w:r w:rsidRPr="00883230">
        <w:rPr>
          <w:rFonts w:cs="Times New Roman"/>
          <w:i/>
        </w:rPr>
        <w:t xml:space="preserve"> </w:t>
      </w:r>
      <w:r w:rsidRPr="00883230">
        <w:rPr>
          <w:rFonts w:cs="Times New Roman"/>
        </w:rPr>
        <w:t xml:space="preserve">the concept of true questions of </w:t>
      </w:r>
      <w:r w:rsidRPr="00883230">
        <w:rPr>
          <w:rFonts w:cs="Times New Roman"/>
          <w:i/>
        </w:rPr>
        <w:t xml:space="preserve">vires </w:t>
      </w:r>
      <w:r w:rsidRPr="00883230">
        <w:rPr>
          <w:rFonts w:cs="Times New Roman"/>
        </w:rPr>
        <w:t xml:space="preserve">has been as elusive as it has been controversial. In </w:t>
      </w:r>
      <w:r w:rsidRPr="00883230">
        <w:rPr>
          <w:rFonts w:cs="Times New Roman"/>
          <w:i/>
        </w:rPr>
        <w:t>Alberta Teachers</w:t>
      </w:r>
      <w:r w:rsidRPr="00883230">
        <w:rPr>
          <w:rFonts w:cs="Times New Roman"/>
        </w:rPr>
        <w:t>,</w:t>
      </w:r>
      <w:r w:rsidRPr="00883230">
        <w:rPr>
          <w:rFonts w:cs="Times New Roman"/>
          <w:i/>
        </w:rPr>
        <w:t xml:space="preserve"> </w:t>
      </w:r>
      <w:r w:rsidRPr="00883230">
        <w:rPr>
          <w:rFonts w:cs="Times New Roman"/>
        </w:rPr>
        <w:t>a majority of</w:t>
      </w:r>
      <w:r w:rsidRPr="00883230">
        <w:rPr>
          <w:rFonts w:cs="Times New Roman"/>
          <w:i/>
        </w:rPr>
        <w:t xml:space="preserve"> </w:t>
      </w:r>
      <w:r w:rsidRPr="00883230">
        <w:rPr>
          <w:rFonts w:cs="Times New Roman"/>
        </w:rPr>
        <w:t xml:space="preserve">this Court considered eliminating </w:t>
      </w:r>
      <w:r w:rsidRPr="00883230">
        <w:rPr>
          <w:rFonts w:cs="Times New Roman"/>
          <w:i/>
        </w:rPr>
        <w:t xml:space="preserve">vires </w:t>
      </w:r>
      <w:r w:rsidRPr="00883230">
        <w:rPr>
          <w:rFonts w:cs="Times New Roman"/>
        </w:rPr>
        <w:t xml:space="preserve">review, remarking that it served little purpose but “has caused confusion to counsel and judges alike” (para. 38; see also paras. 34-42). The majority stressed that it was “unable to provide a definition of . . . a true question of jurisdiction” (para. 42). </w:t>
      </w:r>
    </w:p>
    <w:p w:rsidR="00AC53DB" w:rsidRPr="00883230" w:rsidRDefault="00AC53DB" w:rsidP="00AC53DB">
      <w:pPr>
        <w:pStyle w:val="ParaNoNdepar-AltN"/>
        <w:rPr>
          <w:rFonts w:cs="Times New Roman"/>
        </w:rPr>
      </w:pPr>
      <w:r w:rsidRPr="00883230">
        <w:rPr>
          <w:rFonts w:cs="Times New Roman"/>
        </w:rPr>
        <w:t>I pause here to note that</w:t>
      </w:r>
      <w:r w:rsidRPr="00883230">
        <w:rPr>
          <w:rFonts w:cs="Times New Roman"/>
          <w:b/>
        </w:rPr>
        <w:t xml:space="preserve"> </w:t>
      </w:r>
      <w:r w:rsidRPr="00883230">
        <w:rPr>
          <w:rFonts w:cs="Times New Roman"/>
        </w:rPr>
        <w:t xml:space="preserve">it is indeed a challenge to identify a true question of jurisdiction in a coherent manner without returning to the jurisdiction/preliminary question doctrine that this Court clearly rejected in both </w:t>
      </w:r>
      <w:r w:rsidRPr="00883230">
        <w:rPr>
          <w:rFonts w:cs="Times New Roman"/>
          <w:i/>
        </w:rPr>
        <w:t>CUPE</w:t>
      </w:r>
      <w:r w:rsidRPr="00883230">
        <w:rPr>
          <w:rFonts w:cs="Times New Roman"/>
        </w:rPr>
        <w:t xml:space="preserve"> (p. 233) and </w:t>
      </w:r>
      <w:r w:rsidRPr="00883230">
        <w:rPr>
          <w:rFonts w:cs="Times New Roman"/>
          <w:i/>
        </w:rPr>
        <w:t>Dunsmuir</w:t>
      </w:r>
      <w:r w:rsidRPr="00883230">
        <w:rPr>
          <w:rFonts w:cs="Times New Roman"/>
        </w:rPr>
        <w:t xml:space="preserve"> (para. 35). In the view of some, most questions that might be identified as “jurisdictional” involve nothing more than an interpretation of a decision maker’s home statute or a closely related statute (P. Daly, </w:t>
      </w:r>
      <w:r w:rsidRPr="00883230">
        <w:rPr>
          <w:rFonts w:cs="Times New Roman"/>
          <w:i/>
        </w:rPr>
        <w:t>The hopeless search for “true” questions of jurisdiction</w:t>
      </w:r>
      <w:r w:rsidRPr="00883230">
        <w:rPr>
          <w:rFonts w:cs="Times New Roman"/>
        </w:rPr>
        <w:t xml:space="preserve"> (August 15, 2013) (online)). In </w:t>
      </w:r>
      <w:r w:rsidRPr="00883230">
        <w:rPr>
          <w:rFonts w:cs="Times New Roman"/>
          <w:i/>
        </w:rPr>
        <w:t>McLean</w:t>
      </w:r>
      <w:r w:rsidRPr="00883230">
        <w:rPr>
          <w:rFonts w:cs="Times New Roman"/>
        </w:rPr>
        <w:t>, Moldaver J. observed that the U.S. Supreme Court has rejected the distinction between jurisdictional and non-jurisdictional interpretations of a home statute as a “mirage” (</w:t>
      </w:r>
      <w:r w:rsidR="00D10FA7">
        <w:rPr>
          <w:rFonts w:cs="Times New Roman"/>
        </w:rPr>
        <w:t>fn.</w:t>
      </w:r>
      <w:r w:rsidRPr="00883230">
        <w:rPr>
          <w:rFonts w:cs="Times New Roman"/>
        </w:rPr>
        <w:t xml:space="preserve"> 3, citing </w:t>
      </w:r>
      <w:r w:rsidRPr="00883230">
        <w:rPr>
          <w:rFonts w:cs="Times New Roman"/>
          <w:i/>
          <w:iCs/>
        </w:rPr>
        <w:t>City of Arlington, Texas v. Federal Communications Commission</w:t>
      </w:r>
      <w:r w:rsidRPr="00883230">
        <w:rPr>
          <w:rFonts w:cs="Times New Roman"/>
        </w:rPr>
        <w:t>, 133 S. Ct. 1863 (2013), at p. 1868).</w:t>
      </w:r>
    </w:p>
    <w:p w:rsidR="00AC53DB" w:rsidRPr="00883230" w:rsidRDefault="00AC53DB" w:rsidP="00AC53DB">
      <w:pPr>
        <w:pStyle w:val="ParaNoNdepar-AltN"/>
        <w:rPr>
          <w:rFonts w:cs="Times New Roman"/>
        </w:rPr>
      </w:pPr>
      <w:r w:rsidRPr="00883230">
        <w:rPr>
          <w:rFonts w:cs="Times New Roman"/>
        </w:rPr>
        <w:t xml:space="preserve">Nonetheless, in </w:t>
      </w:r>
      <w:r w:rsidRPr="00883230">
        <w:rPr>
          <w:rFonts w:cs="Times New Roman"/>
          <w:i/>
        </w:rPr>
        <w:t>Alberta Teachers</w:t>
      </w:r>
      <w:r w:rsidRPr="00883230">
        <w:rPr>
          <w:rFonts w:cs="Times New Roman"/>
        </w:rPr>
        <w:t xml:space="preserve">, the majority stayed its hand and instead emphasized that, if they exist, “[t]rue questions of jurisdiction are narrow and will be exceptional” (para. 39). It was left to future litigants to overcome the heavy burden of establishing that they have indeed discovered a true question of </w:t>
      </w:r>
      <w:r w:rsidRPr="00883230">
        <w:rPr>
          <w:rFonts w:cs="Times New Roman"/>
          <w:i/>
        </w:rPr>
        <w:t xml:space="preserve">vires </w:t>
      </w:r>
      <w:r w:rsidRPr="00883230">
        <w:rPr>
          <w:rFonts w:cs="Times New Roman"/>
        </w:rPr>
        <w:t>(para. 42). Yet, to date, no litigant has met this challenge before us.</w:t>
      </w:r>
    </w:p>
    <w:p w:rsidR="00AC53DB" w:rsidRPr="00883230" w:rsidRDefault="00AC53DB" w:rsidP="00AC53DB">
      <w:pPr>
        <w:pStyle w:val="ParaNoNdepar-AltN"/>
        <w:rPr>
          <w:rFonts w:cs="Times New Roman"/>
        </w:rPr>
      </w:pPr>
      <w:r w:rsidRPr="00883230">
        <w:rPr>
          <w:rFonts w:cs="Times New Roman"/>
        </w:rPr>
        <w:t xml:space="preserve">Since </w:t>
      </w:r>
      <w:r w:rsidRPr="00883230">
        <w:rPr>
          <w:rFonts w:cs="Times New Roman"/>
          <w:i/>
        </w:rPr>
        <w:t>Alberta Teachers</w:t>
      </w:r>
      <w:r w:rsidRPr="00883230">
        <w:rPr>
          <w:rFonts w:cs="Times New Roman"/>
        </w:rPr>
        <w:t xml:space="preserve">, the search for true questions of </w:t>
      </w:r>
      <w:r w:rsidRPr="00883230">
        <w:rPr>
          <w:rFonts w:cs="Times New Roman"/>
          <w:i/>
        </w:rPr>
        <w:t xml:space="preserve">vires </w:t>
      </w:r>
      <w:r w:rsidRPr="00883230">
        <w:rPr>
          <w:rFonts w:cs="Times New Roman"/>
        </w:rPr>
        <w:t>has, in fact, been fruitless. When the existence of such a question has been argued by litigants, this Court has reasserted the narrow and exceptional nature of this category (</w:t>
      </w:r>
      <w:proofErr w:type="spellStart"/>
      <w:r w:rsidRPr="00883230">
        <w:rPr>
          <w:rFonts w:cs="Times New Roman"/>
          <w:i/>
        </w:rPr>
        <w:t>Guérin</w:t>
      </w:r>
      <w:proofErr w:type="spellEnd"/>
      <w:r w:rsidRPr="00883230">
        <w:rPr>
          <w:rFonts w:cs="Times New Roman"/>
        </w:rPr>
        <w:t xml:space="preserve">, at para. 32; </w:t>
      </w:r>
      <w:proofErr w:type="spellStart"/>
      <w:r w:rsidRPr="00883230">
        <w:rPr>
          <w:rFonts w:cs="Times New Roman"/>
          <w:i/>
        </w:rPr>
        <w:t>Capilano</w:t>
      </w:r>
      <w:proofErr w:type="spellEnd"/>
      <w:r w:rsidRPr="00883230">
        <w:rPr>
          <w:rFonts w:cs="Times New Roman"/>
        </w:rPr>
        <w:t xml:space="preserve">, at para. 26; </w:t>
      </w:r>
      <w:r w:rsidRPr="00883230">
        <w:rPr>
          <w:rFonts w:cs="Times New Roman"/>
          <w:i/>
        </w:rPr>
        <w:t>SODRAC</w:t>
      </w:r>
      <w:r w:rsidRPr="00883230">
        <w:rPr>
          <w:rFonts w:cs="Times New Roman"/>
        </w:rPr>
        <w:t xml:space="preserve">, at para. 39; </w:t>
      </w:r>
      <w:r w:rsidRPr="00883230">
        <w:rPr>
          <w:rFonts w:cs="Times New Roman"/>
          <w:i/>
        </w:rPr>
        <w:t>ATCO Gas and Pipelines Ltd. v. Alberta (Utilities Commission)</w:t>
      </w:r>
      <w:r w:rsidRPr="00883230">
        <w:rPr>
          <w:rFonts w:cs="Times New Roman"/>
        </w:rPr>
        <w:t xml:space="preserve">, 2015 SCC 45, [2015] 3 S.C.R. 219, at para. 27; </w:t>
      </w:r>
      <w:r w:rsidRPr="00883230">
        <w:rPr>
          <w:rFonts w:cs="Times New Roman"/>
          <w:i/>
        </w:rPr>
        <w:t>Canadian National Railway Co. v. Canada (Attorney General)</w:t>
      </w:r>
      <w:r w:rsidRPr="00883230">
        <w:rPr>
          <w:rFonts w:cs="Times New Roman"/>
        </w:rPr>
        <w:t xml:space="preserve">, 2014 SCC 40, [2014] 2 S.C.R. 135, at para. 61). In 2013, an academic commentator characterized the search for a true question of jurisdiction as “hopeless”, noting that this Court had yet to identify one five years after </w:t>
      </w:r>
      <w:r w:rsidRPr="00883230">
        <w:rPr>
          <w:rFonts w:cs="Times New Roman"/>
          <w:i/>
        </w:rPr>
        <w:t xml:space="preserve">Dunsmuir </w:t>
      </w:r>
      <w:r w:rsidRPr="00883230">
        <w:rPr>
          <w:rFonts w:cs="Times New Roman"/>
        </w:rPr>
        <w:t xml:space="preserve">(Daly). It is now 10 years from </w:t>
      </w:r>
      <w:r w:rsidRPr="00883230">
        <w:rPr>
          <w:rFonts w:cs="Times New Roman"/>
          <w:i/>
        </w:rPr>
        <w:t>Dunsmuir</w:t>
      </w:r>
      <w:r w:rsidRPr="00883230">
        <w:rPr>
          <w:rFonts w:cs="Times New Roman"/>
        </w:rPr>
        <w:t xml:space="preserve"> and the search remains just as hopeless. In applying </w:t>
      </w:r>
      <w:r w:rsidRPr="00883230">
        <w:rPr>
          <w:rFonts w:cs="Times New Roman"/>
          <w:i/>
        </w:rPr>
        <w:t>Dunsmuir</w:t>
      </w:r>
      <w:r w:rsidRPr="00883230">
        <w:rPr>
          <w:rFonts w:cs="Times New Roman"/>
        </w:rPr>
        <w:t xml:space="preserve">, </w:t>
      </w:r>
      <w:r w:rsidR="00EF10E6">
        <w:rPr>
          <w:rFonts w:cs="Times New Roman"/>
        </w:rPr>
        <w:t>this</w:t>
      </w:r>
      <w:r w:rsidRPr="00883230">
        <w:rPr>
          <w:rFonts w:cs="Times New Roman"/>
        </w:rPr>
        <w:t xml:space="preserve"> Court has been unable to identify a single instance where this category was found to be applicable.</w:t>
      </w:r>
    </w:p>
    <w:p w:rsidR="00AC53DB" w:rsidRPr="00883230" w:rsidRDefault="00AC53DB" w:rsidP="00AC53DB">
      <w:pPr>
        <w:pStyle w:val="ParaNoNdepar-AltN"/>
        <w:rPr>
          <w:rFonts w:cs="Times New Roman"/>
        </w:rPr>
      </w:pPr>
      <w:r w:rsidRPr="00883230">
        <w:rPr>
          <w:rFonts w:cs="Times New Roman"/>
        </w:rPr>
        <w:t xml:space="preserve">No more would need to be said on this matter if true questions of </w:t>
      </w:r>
      <w:r w:rsidRPr="00883230">
        <w:rPr>
          <w:rFonts w:cs="Times New Roman"/>
          <w:i/>
        </w:rPr>
        <w:t xml:space="preserve">vires </w:t>
      </w:r>
      <w:r w:rsidRPr="00883230">
        <w:rPr>
          <w:rFonts w:cs="Times New Roman"/>
        </w:rPr>
        <w:t xml:space="preserve">had simply faded into obscurity. However, that has not happened. The difficulty with true questions of </w:t>
      </w:r>
      <w:r w:rsidRPr="00883230">
        <w:rPr>
          <w:rFonts w:cs="Times New Roman"/>
          <w:i/>
        </w:rPr>
        <w:t xml:space="preserve">vires </w:t>
      </w:r>
      <w:r w:rsidRPr="00883230">
        <w:rPr>
          <w:rFonts w:cs="Times New Roman"/>
        </w:rPr>
        <w:t>is that jurisdiction is a slippery concept. Where decision makers interpret and apply their home statutes, they inevitably determine the scope of their statutory power (</w:t>
      </w:r>
      <w:r w:rsidRPr="00883230">
        <w:rPr>
          <w:rFonts w:cs="Times New Roman"/>
          <w:i/>
        </w:rPr>
        <w:t>Alberta Teachers</w:t>
      </w:r>
      <w:r w:rsidRPr="00883230">
        <w:rPr>
          <w:rFonts w:cs="Times New Roman"/>
        </w:rPr>
        <w:t>,</w:t>
      </w:r>
      <w:r w:rsidRPr="00883230">
        <w:rPr>
          <w:rFonts w:cs="Times New Roman"/>
          <w:i/>
        </w:rPr>
        <w:t xml:space="preserve"> </w:t>
      </w:r>
      <w:r w:rsidRPr="00883230">
        <w:rPr>
          <w:rFonts w:cs="Times New Roman"/>
        </w:rPr>
        <w:t xml:space="preserve">at para. 34). There are no clear markers to distinguish between simple questions of jurisdiction (i.e., questions that determine the scope of one’s authority) and true questions of </w:t>
      </w:r>
      <w:r w:rsidRPr="00883230">
        <w:rPr>
          <w:rFonts w:cs="Times New Roman"/>
          <w:i/>
        </w:rPr>
        <w:t>vires</w:t>
      </w:r>
      <w:r w:rsidRPr="00883230">
        <w:rPr>
          <w:rFonts w:cs="Times New Roman"/>
        </w:rPr>
        <w:t xml:space="preserve"> (i.e., questions that determine whether one has authority to enter into the inquiry). Such imprecision tempts litigants and judges alike to return to a broad understanding of jurisdiction as justification for correctness review contrary to this Court’s jurisprudence. As a result, the elusive search for true questions of </w:t>
      </w:r>
      <w:r w:rsidRPr="00883230">
        <w:rPr>
          <w:rFonts w:cs="Times New Roman"/>
          <w:i/>
        </w:rPr>
        <w:t xml:space="preserve">vires </w:t>
      </w:r>
      <w:r w:rsidRPr="00883230">
        <w:rPr>
          <w:rFonts w:cs="Times New Roman"/>
        </w:rPr>
        <w:t xml:space="preserve">may both threaten certainty for litigants and undermine legislative supremacy. </w:t>
      </w:r>
    </w:p>
    <w:p w:rsidR="00AC53DB" w:rsidRPr="00883230" w:rsidRDefault="00AC53DB" w:rsidP="00AC53DB">
      <w:pPr>
        <w:pStyle w:val="ParaNoNdepar-AltN"/>
        <w:rPr>
          <w:rFonts w:cs="Times New Roman"/>
        </w:rPr>
      </w:pPr>
      <w:r w:rsidRPr="00883230">
        <w:rPr>
          <w:rFonts w:cs="Times New Roman"/>
        </w:rPr>
        <w:t xml:space="preserve">For some, the continued existence of the category of true questions of </w:t>
      </w:r>
      <w:r w:rsidRPr="00883230">
        <w:rPr>
          <w:rFonts w:cs="Times New Roman"/>
          <w:i/>
        </w:rPr>
        <w:t>vires</w:t>
      </w:r>
      <w:r w:rsidRPr="00883230">
        <w:rPr>
          <w:rFonts w:cs="Times New Roman"/>
        </w:rPr>
        <w:t xml:space="preserve"> may seem to provide conceptual value, at most. In his concurrence in </w:t>
      </w:r>
      <w:r w:rsidRPr="00883230">
        <w:rPr>
          <w:rFonts w:cs="Times New Roman"/>
          <w:i/>
        </w:rPr>
        <w:t>Alberta Teachers</w:t>
      </w:r>
      <w:r w:rsidRPr="00883230">
        <w:rPr>
          <w:rFonts w:cs="Times New Roman"/>
        </w:rPr>
        <w:t xml:space="preserve">, Cromwell J. wrote a spirited defence of the conceptual necessity of correctness review for jurisdiction given the courts’ supervisory power over the bounds of jurisdiction, but even he conceded that the category of true questions of </w:t>
      </w:r>
      <w:r w:rsidRPr="00883230">
        <w:rPr>
          <w:rFonts w:cs="Times New Roman"/>
          <w:i/>
        </w:rPr>
        <w:t>vires</w:t>
      </w:r>
      <w:r w:rsidRPr="00883230">
        <w:rPr>
          <w:rFonts w:cs="Times New Roman"/>
        </w:rPr>
        <w:t xml:space="preserve"> has little analytical value in the standard of review analysis (para. 94). It remains an open question whether conceptual necessity can justify the resources that courts and parties devote to the attempt to define an inherently nebulous concept.</w:t>
      </w:r>
    </w:p>
    <w:p w:rsidR="00AC53DB" w:rsidRPr="00883230" w:rsidRDefault="00AC53DB" w:rsidP="00AC53DB">
      <w:pPr>
        <w:pStyle w:val="ParaNoNdepar-AltN"/>
        <w:rPr>
          <w:rFonts w:cs="Times New Roman"/>
        </w:rPr>
      </w:pPr>
      <w:r w:rsidRPr="00883230">
        <w:rPr>
          <w:rFonts w:cs="Times New Roman"/>
        </w:rPr>
        <w:t>Our jurisprudence has held that the constitutional guarantee of judicial review is premised on the courts’ duty to ensure that public authorities do not overreach their lawful powers (</w:t>
      </w:r>
      <w:r w:rsidRPr="00883230">
        <w:rPr>
          <w:rFonts w:cs="Times New Roman"/>
          <w:i/>
        </w:rPr>
        <w:t>Dunsmuir</w:t>
      </w:r>
      <w:r w:rsidRPr="00883230">
        <w:rPr>
          <w:rFonts w:cs="Times New Roman"/>
        </w:rPr>
        <w:t xml:space="preserve">, at para. </w:t>
      </w:r>
      <w:r w:rsidRPr="00883230">
        <w:rPr>
          <w:rFonts w:cs="Times New Roman"/>
          <w:lang w:val="en-US"/>
        </w:rPr>
        <w:t xml:space="preserve">29; </w:t>
      </w:r>
      <w:proofErr w:type="spellStart"/>
      <w:r w:rsidRPr="00883230">
        <w:rPr>
          <w:rFonts w:cs="Times New Roman"/>
          <w:i/>
          <w:lang w:val="en-US"/>
        </w:rPr>
        <w:t>Crevier</w:t>
      </w:r>
      <w:proofErr w:type="spellEnd"/>
      <w:r w:rsidRPr="00883230">
        <w:rPr>
          <w:rFonts w:cs="Times New Roman"/>
          <w:i/>
          <w:lang w:val="en-US"/>
        </w:rPr>
        <w:t xml:space="preserve"> v. Attorney General of Quebec</w:t>
      </w:r>
      <w:r w:rsidRPr="00883230">
        <w:rPr>
          <w:rFonts w:cs="Times New Roman"/>
          <w:lang w:val="en-US"/>
        </w:rPr>
        <w:t xml:space="preserve">, [1981] 2 S.C.R. 220, at pp. 234-38). </w:t>
      </w:r>
      <w:r w:rsidRPr="00883230">
        <w:rPr>
          <w:rFonts w:cs="Times New Roman"/>
        </w:rPr>
        <w:t>However, the jurisprudence has also affirmed that judicial review is based on respect for the choices of the legislature’s delegated decision makers and recognizes the legitimacy of multiple reasonable interpretations of a statute (</w:t>
      </w:r>
      <w:r w:rsidRPr="00883230">
        <w:rPr>
          <w:rFonts w:cs="Times New Roman"/>
          <w:i/>
        </w:rPr>
        <w:t>Dunsmuir</w:t>
      </w:r>
      <w:r w:rsidRPr="00883230">
        <w:rPr>
          <w:rFonts w:cs="Times New Roman"/>
        </w:rPr>
        <w:t xml:space="preserve">, at para. 35; </w:t>
      </w:r>
      <w:r w:rsidRPr="00883230">
        <w:rPr>
          <w:rFonts w:cs="Times New Roman"/>
          <w:i/>
        </w:rPr>
        <w:t>McLean</w:t>
      </w:r>
      <w:r w:rsidRPr="00883230">
        <w:rPr>
          <w:rFonts w:cs="Times New Roman"/>
        </w:rPr>
        <w:t>, at para. 33). In matters of statutory interpretation where there is only one reasonable answer, this Court has shown that the reasonableness standard still allows the reviewing court to properly deal with the principles of the rule of law and legislative supremacy that remain at the core of the judicial review analysis (</w:t>
      </w:r>
      <w:r w:rsidRPr="00883230">
        <w:rPr>
          <w:rFonts w:cs="Times New Roman"/>
          <w:i/>
        </w:rPr>
        <w:t>McLean</w:t>
      </w:r>
      <w:r w:rsidRPr="00883230">
        <w:rPr>
          <w:rFonts w:cs="Times New Roman"/>
        </w:rPr>
        <w:t xml:space="preserve">, at para. 38; </w:t>
      </w:r>
      <w:proofErr w:type="spellStart"/>
      <w:r w:rsidRPr="00883230">
        <w:rPr>
          <w:rFonts w:cs="Times New Roman"/>
          <w:i/>
        </w:rPr>
        <w:t>Mowat</w:t>
      </w:r>
      <w:proofErr w:type="spellEnd"/>
      <w:r w:rsidRPr="00883230">
        <w:rPr>
          <w:rFonts w:cs="Times New Roman"/>
        </w:rPr>
        <w:t xml:space="preserve">, at para. 34; </w:t>
      </w:r>
      <w:r w:rsidRPr="00883230">
        <w:rPr>
          <w:rFonts w:cs="Times New Roman"/>
          <w:i/>
        </w:rPr>
        <w:t>Dunsmuir</w:t>
      </w:r>
      <w:r w:rsidRPr="00883230">
        <w:rPr>
          <w:rFonts w:cs="Times New Roman"/>
        </w:rPr>
        <w:t xml:space="preserve">, at para. 75). In this regard, reasonableness review is often more than sufficient to fulfil the courts’ supervisory role with regard to the jurisdiction of the executive. </w:t>
      </w:r>
    </w:p>
    <w:p w:rsidR="00AC53DB" w:rsidRPr="00883230" w:rsidRDefault="00AC53DB" w:rsidP="00AC53DB">
      <w:pPr>
        <w:pStyle w:val="ParaNoNdepar-AltN"/>
        <w:rPr>
          <w:rFonts w:cs="Times New Roman"/>
        </w:rPr>
      </w:pPr>
      <w:r w:rsidRPr="00883230">
        <w:rPr>
          <w:rFonts w:cs="Times New Roman"/>
        </w:rPr>
        <w:t xml:space="preserve">The reality is that true questions of jurisdiction have been on life support since </w:t>
      </w:r>
      <w:r w:rsidRPr="00883230">
        <w:rPr>
          <w:rFonts w:cs="Times New Roman"/>
          <w:i/>
        </w:rPr>
        <w:t>Alberta Teachers</w:t>
      </w:r>
      <w:r w:rsidRPr="00883230">
        <w:rPr>
          <w:rFonts w:cs="Times New Roman"/>
        </w:rPr>
        <w:t xml:space="preserve">. No majority of this Court has recognized a single example of a true question of </w:t>
      </w:r>
      <w:r w:rsidRPr="00883230">
        <w:rPr>
          <w:rFonts w:cs="Times New Roman"/>
          <w:i/>
        </w:rPr>
        <w:t>vires</w:t>
      </w:r>
      <w:r w:rsidRPr="00883230">
        <w:rPr>
          <w:rFonts w:cs="Times New Roman"/>
        </w:rPr>
        <w:t>, and the existence of this category has long been doubted. Absent full submissions by the parties on this issue and on the potential impact, if any, on the current standard of review framework, I will only reiterate this Court’s prior statement that it will be for future litigants to establish either that the category remains necessary or that the time has come, in the words of Binnie J., to “euthanize the issue” once and for all (</w:t>
      </w:r>
      <w:r w:rsidRPr="00883230">
        <w:rPr>
          <w:rFonts w:cs="Times New Roman"/>
          <w:i/>
        </w:rPr>
        <w:t>Alberta Teachers</w:t>
      </w:r>
      <w:r w:rsidRPr="00883230">
        <w:rPr>
          <w:rFonts w:cs="Times New Roman"/>
        </w:rPr>
        <w:t xml:space="preserve">, at para. 88). </w:t>
      </w:r>
    </w:p>
    <w:p w:rsidR="00AC53DB" w:rsidRPr="00883230" w:rsidRDefault="00AC53DB" w:rsidP="00AC53DB">
      <w:pPr>
        <w:pStyle w:val="Title3LevelTitre3Niveau"/>
        <w:rPr>
          <w:rFonts w:cs="Times New Roman"/>
        </w:rPr>
      </w:pPr>
      <w:bookmarkStart w:id="13" w:name="_Toc507495044"/>
      <w:r w:rsidRPr="00883230">
        <w:rPr>
          <w:rFonts w:cs="Times New Roman"/>
        </w:rPr>
        <w:t>Questions of Central Importance</w:t>
      </w:r>
      <w:bookmarkEnd w:id="13"/>
    </w:p>
    <w:p w:rsidR="00AC53DB" w:rsidRPr="00883230" w:rsidRDefault="00AC53DB" w:rsidP="00AC53DB">
      <w:pPr>
        <w:pStyle w:val="ParaNoNdepar-AltN"/>
        <w:rPr>
          <w:rFonts w:cs="Times New Roman"/>
        </w:rPr>
      </w:pPr>
      <w:r w:rsidRPr="00883230">
        <w:rPr>
          <w:rFonts w:cs="Times New Roman"/>
        </w:rPr>
        <w:t xml:space="preserve">The Commission argues that the Tribunal’s decisions raise a question of central importance in which it lacks expertise because other federal tribunals with the power to determine general questions of law have concurrent jurisdiction to interpret the scope of s. 5 of the </w:t>
      </w:r>
      <w:r w:rsidRPr="00883230">
        <w:rPr>
          <w:rFonts w:cs="Times New Roman"/>
          <w:i/>
        </w:rPr>
        <w:t>CHRA</w:t>
      </w:r>
      <w:r w:rsidRPr="00883230">
        <w:rPr>
          <w:rFonts w:cs="Times New Roman"/>
        </w:rPr>
        <w:t xml:space="preserve">. </w:t>
      </w:r>
      <w:r w:rsidRPr="00883230">
        <w:rPr>
          <w:rFonts w:cs="Times New Roman"/>
          <w:i/>
        </w:rPr>
        <w:t xml:space="preserve">Dunsmuir </w:t>
      </w:r>
      <w:r w:rsidRPr="00883230">
        <w:rPr>
          <w:rFonts w:cs="Times New Roman"/>
        </w:rPr>
        <w:t xml:space="preserve">recognized that the correctness standard of review can apply to questions of law that are both of central importance to the legal system as a whole </w:t>
      </w:r>
      <w:r w:rsidRPr="00883230">
        <w:rPr>
          <w:rFonts w:cs="Times New Roman"/>
          <w:i/>
        </w:rPr>
        <w:t>and</w:t>
      </w:r>
      <w:r w:rsidRPr="00883230">
        <w:rPr>
          <w:rFonts w:cs="Times New Roman"/>
        </w:rPr>
        <w:t xml:space="preserve"> outside the decision maker’s specialized area of expertise (paras. 55 and 60). Since </w:t>
      </w:r>
      <w:r w:rsidRPr="00883230">
        <w:rPr>
          <w:rFonts w:cs="Times New Roman"/>
          <w:i/>
        </w:rPr>
        <w:t>Dunsmuir</w:t>
      </w:r>
      <w:r w:rsidRPr="00883230">
        <w:rPr>
          <w:rFonts w:cs="Times New Roman"/>
        </w:rPr>
        <w:t>,</w:t>
      </w:r>
      <w:r w:rsidRPr="00883230">
        <w:rPr>
          <w:rFonts w:cs="Times New Roman"/>
          <w:i/>
        </w:rPr>
        <w:t xml:space="preserve"> </w:t>
      </w:r>
      <w:r w:rsidRPr="00883230">
        <w:rPr>
          <w:rFonts w:cs="Times New Roman"/>
        </w:rPr>
        <w:t xml:space="preserve">this category of correctness review has been applied only twice by this Court </w:t>
      </w:r>
      <w:r w:rsidRPr="00883230">
        <w:rPr>
          <w:rFonts w:cs="Times New Roman"/>
          <w:szCs w:val="24"/>
        </w:rPr>
        <w:t>—</w:t>
      </w:r>
      <w:r w:rsidRPr="00883230">
        <w:rPr>
          <w:rFonts w:cs="Times New Roman"/>
        </w:rPr>
        <w:t xml:space="preserve"> first in </w:t>
      </w:r>
      <w:r w:rsidRPr="00883230">
        <w:rPr>
          <w:rFonts w:cs="Times New Roman"/>
          <w:i/>
        </w:rPr>
        <w:t>Saguenay</w:t>
      </w:r>
      <w:r w:rsidRPr="00883230">
        <w:rPr>
          <w:rFonts w:cs="Times New Roman"/>
        </w:rPr>
        <w:t>, at paras. 49-51, and then in</w:t>
      </w:r>
      <w:r w:rsidRPr="00883230">
        <w:rPr>
          <w:rFonts w:cs="Times New Roman"/>
          <w:i/>
        </w:rPr>
        <w:t xml:space="preserve"> Alberta (Information and Privacy Commissioner) v. University of Calgary</w:t>
      </w:r>
      <w:r w:rsidRPr="00883230">
        <w:rPr>
          <w:rFonts w:cs="Times New Roman"/>
        </w:rPr>
        <w:t xml:space="preserve">, 2016 SCC 53, [2016] 2 S.C.R. 555, at paras. 21-22 and 26. Indeed, this Court has repeatedly rejected a liberal application of this category (see, e.g., </w:t>
      </w:r>
      <w:r w:rsidRPr="00883230">
        <w:rPr>
          <w:rFonts w:cs="Times New Roman"/>
          <w:i/>
        </w:rPr>
        <w:t xml:space="preserve">Nor-Man Regional Health Authority Inc. v. Manitoba </w:t>
      </w:r>
      <w:r w:rsidRPr="007F3A10">
        <w:rPr>
          <w:rFonts w:cs="Times New Roman"/>
          <w:i/>
        </w:rPr>
        <w:t xml:space="preserve">Association </w:t>
      </w:r>
      <w:r w:rsidRPr="00883230">
        <w:rPr>
          <w:rFonts w:cs="Times New Roman"/>
          <w:i/>
        </w:rPr>
        <w:t>of Health Care Professionals</w:t>
      </w:r>
      <w:r w:rsidRPr="00883230">
        <w:rPr>
          <w:rFonts w:cs="Times New Roman"/>
        </w:rPr>
        <w:t xml:space="preserve">, 2011 SCC 59, [2011] 3 S.C.R. 616, at para. 38; </w:t>
      </w:r>
      <w:proofErr w:type="spellStart"/>
      <w:r w:rsidRPr="00883230">
        <w:rPr>
          <w:rFonts w:cs="Times New Roman"/>
          <w:i/>
        </w:rPr>
        <w:t>Whatcott</w:t>
      </w:r>
      <w:proofErr w:type="spellEnd"/>
      <w:r w:rsidRPr="00883230">
        <w:rPr>
          <w:rFonts w:cs="Times New Roman"/>
        </w:rPr>
        <w:t xml:space="preserve">, at para. 168; </w:t>
      </w:r>
      <w:proofErr w:type="spellStart"/>
      <w:r w:rsidRPr="00883230">
        <w:rPr>
          <w:rFonts w:cs="Times New Roman"/>
          <w:i/>
        </w:rPr>
        <w:t>Kanthasamy</w:t>
      </w:r>
      <w:proofErr w:type="spellEnd"/>
      <w:r w:rsidRPr="00883230">
        <w:rPr>
          <w:rFonts w:cs="Times New Roman"/>
          <w:i/>
        </w:rPr>
        <w:t xml:space="preserve"> v. Canada (Citizenship and Immigration)</w:t>
      </w:r>
      <w:r w:rsidRPr="00883230">
        <w:rPr>
          <w:rFonts w:cs="Times New Roman"/>
        </w:rPr>
        <w:t xml:space="preserve">, 2015 SCC 61, [2015] 3 S.C.R. 909, at para. </w:t>
      </w:r>
      <w:r w:rsidRPr="00883230">
        <w:rPr>
          <w:rFonts w:cs="Times New Roman"/>
          <w:lang w:val="fr-CA"/>
        </w:rPr>
        <w:t xml:space="preserve">44; </w:t>
      </w:r>
      <w:r w:rsidRPr="00883230">
        <w:rPr>
          <w:rFonts w:cs="Times New Roman"/>
          <w:i/>
          <w:lang w:val="fr-CA"/>
        </w:rPr>
        <w:t>Commission scolaire de Laval v. Syndicat de l’enseignement de la région de Laval</w:t>
      </w:r>
      <w:r w:rsidRPr="00883230">
        <w:rPr>
          <w:rFonts w:cs="Times New Roman"/>
          <w:lang w:val="fr-CA"/>
        </w:rPr>
        <w:t xml:space="preserve">, 2016 SCC 8, [2016] 1 S.C.R. 29, at para. </w:t>
      </w:r>
      <w:r w:rsidRPr="00883230">
        <w:rPr>
          <w:rFonts w:cs="Times New Roman"/>
        </w:rPr>
        <w:t xml:space="preserve">34; </w:t>
      </w:r>
      <w:r w:rsidRPr="00883230">
        <w:rPr>
          <w:rFonts w:cs="Times New Roman"/>
          <w:i/>
        </w:rPr>
        <w:t>Alberta Teachers</w:t>
      </w:r>
      <w:r w:rsidRPr="00883230">
        <w:rPr>
          <w:rFonts w:cs="Times New Roman"/>
        </w:rPr>
        <w:t xml:space="preserve">, at para. 32; </w:t>
      </w:r>
      <w:r w:rsidRPr="00883230">
        <w:rPr>
          <w:rFonts w:cs="Times New Roman"/>
          <w:i/>
        </w:rPr>
        <w:t>Barreau du Québec v. Quebec (Attorney General)</w:t>
      </w:r>
      <w:r w:rsidRPr="00883230">
        <w:rPr>
          <w:rFonts w:cs="Times New Roman"/>
        </w:rPr>
        <w:t>, 2017 SCC 56, [2017] 2. S.C.R. 488</w:t>
      </w:r>
      <w:r w:rsidRPr="00883230">
        <w:rPr>
          <w:rStyle w:val="nowrap"/>
          <w:rFonts w:cs="Times New Roman"/>
        </w:rPr>
        <w:t>,</w:t>
      </w:r>
      <w:r w:rsidRPr="00883230">
        <w:rPr>
          <w:rFonts w:cs="Times New Roman"/>
        </w:rPr>
        <w:t xml:space="preserve"> at para. 18; </w:t>
      </w:r>
      <w:r w:rsidRPr="00883230">
        <w:rPr>
          <w:rFonts w:cs="Times New Roman"/>
          <w:i/>
        </w:rPr>
        <w:t>Canadian National Railway</w:t>
      </w:r>
      <w:r w:rsidRPr="00883230">
        <w:rPr>
          <w:rFonts w:cs="Times New Roman"/>
        </w:rPr>
        <w:t xml:space="preserve">, at paras. 60 </w:t>
      </w:r>
      <w:r w:rsidRPr="00883230">
        <w:rPr>
          <w:rFonts w:cs="Times New Roman"/>
          <w:lang w:val="fr-CA"/>
        </w:rPr>
        <w:t>and 62</w:t>
      </w:r>
      <w:r w:rsidRPr="00883230">
        <w:rPr>
          <w:rFonts w:cs="Times New Roman"/>
        </w:rPr>
        <w:t xml:space="preserve">; </w:t>
      </w:r>
      <w:r w:rsidRPr="00883230">
        <w:rPr>
          <w:rFonts w:cs="Times New Roman"/>
          <w:i/>
        </w:rPr>
        <w:t>McLean</w:t>
      </w:r>
      <w:r w:rsidRPr="00883230">
        <w:rPr>
          <w:rFonts w:cs="Times New Roman"/>
        </w:rPr>
        <w:t xml:space="preserve">, at para. 28). </w:t>
      </w:r>
    </w:p>
    <w:p w:rsidR="00AC53DB" w:rsidRPr="00883230" w:rsidRDefault="00AC53DB" w:rsidP="00AC53DB">
      <w:pPr>
        <w:pStyle w:val="ParaNoNdepar-AltN"/>
        <w:rPr>
          <w:rFonts w:cs="Times New Roman"/>
        </w:rPr>
      </w:pPr>
      <w:r w:rsidRPr="00883230">
        <w:rPr>
          <w:rFonts w:cs="Times New Roman"/>
        </w:rPr>
        <w:t xml:space="preserve">Here, the Tribunal has extensive expertise in determining what is meant by a discriminatory practice. The ability of other federal tribunals to apply the </w:t>
      </w:r>
      <w:r w:rsidRPr="00883230">
        <w:rPr>
          <w:rFonts w:cs="Times New Roman"/>
          <w:i/>
        </w:rPr>
        <w:t xml:space="preserve">CHRA </w:t>
      </w:r>
      <w:r w:rsidRPr="00883230">
        <w:rPr>
          <w:rFonts w:cs="Times New Roman"/>
        </w:rPr>
        <w:t xml:space="preserve">does not rob the Tribunal of its expertise in its home statute. Regardless of whether the questions before the Tribunal rose to the requisite level of importance, they were clearly within the Tribunal’s expertise. This category does not apply. </w:t>
      </w:r>
    </w:p>
    <w:p w:rsidR="00AC53DB" w:rsidRPr="00883230" w:rsidRDefault="00AC53DB" w:rsidP="00AC53DB">
      <w:pPr>
        <w:pStyle w:val="Title3LevelTitre3Niveau"/>
        <w:rPr>
          <w:rFonts w:cs="Times New Roman"/>
        </w:rPr>
      </w:pPr>
      <w:bookmarkStart w:id="14" w:name="_Toc507495045"/>
      <w:r w:rsidRPr="00883230">
        <w:rPr>
          <w:rFonts w:cs="Times New Roman"/>
        </w:rPr>
        <w:t>Contextual Approach</w:t>
      </w:r>
      <w:bookmarkEnd w:id="14"/>
    </w:p>
    <w:p w:rsidR="00AC53DB" w:rsidRPr="00883230" w:rsidRDefault="00AC53DB" w:rsidP="00AC53DB">
      <w:pPr>
        <w:pStyle w:val="ParaNoNdepar-AltN"/>
        <w:rPr>
          <w:rFonts w:cs="Times New Roman"/>
        </w:rPr>
      </w:pPr>
      <w:r w:rsidRPr="00883230">
        <w:rPr>
          <w:rFonts w:cs="Times New Roman"/>
        </w:rPr>
        <w:t xml:space="preserve">The Commission also urged that a contextual analysis rebuts the presumption of reasonableness review.  It argued that this shows clear legislative intent that the correctness standard applies, largely on the ground that the Tribunal changed the “foundational legal test” for what constitutes a service under the </w:t>
      </w:r>
      <w:r w:rsidRPr="00883230">
        <w:rPr>
          <w:rFonts w:cs="Times New Roman"/>
          <w:i/>
        </w:rPr>
        <w:t>CHRA</w:t>
      </w:r>
      <w:r w:rsidRPr="00883230">
        <w:rPr>
          <w:rFonts w:cs="Times New Roman"/>
        </w:rPr>
        <w:t xml:space="preserve">. On the basis of their contextual analysis, my colleagues Côté and Rowe JJ. </w:t>
      </w:r>
      <w:proofErr w:type="gramStart"/>
      <w:r w:rsidRPr="00883230">
        <w:rPr>
          <w:rFonts w:cs="Times New Roman"/>
        </w:rPr>
        <w:t>would</w:t>
      </w:r>
      <w:proofErr w:type="gramEnd"/>
      <w:r w:rsidRPr="00883230">
        <w:rPr>
          <w:rFonts w:cs="Times New Roman"/>
        </w:rPr>
        <w:t xml:space="preserve"> also apply a correctness standard of review. Respectfully, I disagree with both positions. </w:t>
      </w:r>
    </w:p>
    <w:p w:rsidR="00AC53DB" w:rsidRPr="00883230" w:rsidRDefault="00AC53DB" w:rsidP="00AC53DB">
      <w:pPr>
        <w:pStyle w:val="ParaNoNdepar-AltN"/>
        <w:rPr>
          <w:rFonts w:cs="Times New Roman"/>
        </w:rPr>
      </w:pPr>
      <w:r w:rsidRPr="00883230">
        <w:rPr>
          <w:rFonts w:cs="Times New Roman"/>
        </w:rPr>
        <w:t>The presumption of reasonableness was intended to prevent litigants from undertaking a full standard of review analysis in every case. Where the presumption applies, such simplicity requires that the contextual approach play a subordinate role in the standard of review analysis. Certainly, this Court has indicated that, occasionally, such a contextual inquiry can rebut the presumption of deference (</w:t>
      </w:r>
      <w:r w:rsidRPr="00883230">
        <w:rPr>
          <w:rFonts w:cs="Times New Roman"/>
          <w:i/>
        </w:rPr>
        <w:t>Saguenay</w:t>
      </w:r>
      <w:r w:rsidRPr="00883230">
        <w:rPr>
          <w:rFonts w:cs="Times New Roman"/>
        </w:rPr>
        <w:t>,</w:t>
      </w:r>
      <w:r w:rsidRPr="00883230">
        <w:rPr>
          <w:rFonts w:cs="Times New Roman"/>
          <w:i/>
        </w:rPr>
        <w:t xml:space="preserve"> </w:t>
      </w:r>
      <w:r w:rsidRPr="00883230">
        <w:rPr>
          <w:rFonts w:cs="Times New Roman"/>
        </w:rPr>
        <w:t xml:space="preserve">at para. 46; </w:t>
      </w:r>
      <w:proofErr w:type="spellStart"/>
      <w:r w:rsidRPr="00883230">
        <w:rPr>
          <w:rFonts w:cs="Times New Roman"/>
          <w:i/>
        </w:rPr>
        <w:t>Capilano</w:t>
      </w:r>
      <w:proofErr w:type="spellEnd"/>
      <w:r w:rsidRPr="00883230">
        <w:rPr>
          <w:rFonts w:cs="Times New Roman"/>
        </w:rPr>
        <w:t xml:space="preserve">, at para. 32; </w:t>
      </w:r>
      <w:r w:rsidRPr="00883230">
        <w:rPr>
          <w:rFonts w:cs="Times New Roman"/>
          <w:i/>
        </w:rPr>
        <w:t>Tervita</w:t>
      </w:r>
      <w:r w:rsidRPr="00883230">
        <w:rPr>
          <w:rFonts w:cs="Times New Roman"/>
        </w:rPr>
        <w:t xml:space="preserve">, at para. 35; </w:t>
      </w:r>
      <w:r w:rsidRPr="00883230">
        <w:rPr>
          <w:rFonts w:cs="Times New Roman"/>
          <w:i/>
        </w:rPr>
        <w:t>McLean</w:t>
      </w:r>
      <w:r w:rsidRPr="00883230">
        <w:rPr>
          <w:rFonts w:cs="Times New Roman"/>
        </w:rPr>
        <w:t xml:space="preserve">, at para. 22; </w:t>
      </w:r>
      <w:r w:rsidRPr="00883230">
        <w:rPr>
          <w:rStyle w:val="sccappellantforindexchar0"/>
          <w:rFonts w:cs="Times New Roman"/>
          <w:i/>
        </w:rPr>
        <w:t>Barreau du Québec</w:t>
      </w:r>
      <w:r w:rsidRPr="00883230">
        <w:rPr>
          <w:rFonts w:cs="Times New Roman"/>
        </w:rPr>
        <w:t xml:space="preserve">, at para. 23). However, the Court has also noted that this will occur in the “exceptional </w:t>
      </w:r>
      <w:r w:rsidRPr="00883230">
        <w:rPr>
          <w:rFonts w:cs="Times New Roman"/>
          <w:i/>
        </w:rPr>
        <w:t>other</w:t>
      </w:r>
      <w:r w:rsidRPr="00883230">
        <w:rPr>
          <w:rFonts w:cs="Times New Roman"/>
        </w:rPr>
        <w:t xml:space="preserve"> case” (</w:t>
      </w:r>
      <w:r w:rsidRPr="00883230">
        <w:rPr>
          <w:rFonts w:cs="Times New Roman"/>
          <w:i/>
        </w:rPr>
        <w:t>Rogers</w:t>
      </w:r>
      <w:r w:rsidRPr="00883230">
        <w:rPr>
          <w:rFonts w:cs="Times New Roman"/>
        </w:rPr>
        <w:t xml:space="preserve">, at para. 16 (emphasis in original)). </w:t>
      </w:r>
    </w:p>
    <w:p w:rsidR="00AC53DB" w:rsidRPr="00883230" w:rsidRDefault="00AC53DB" w:rsidP="00AC53DB">
      <w:pPr>
        <w:pStyle w:val="ParaNoNdepar-AltN"/>
        <w:rPr>
          <w:rFonts w:cs="Times New Roman"/>
        </w:rPr>
      </w:pPr>
      <w:r w:rsidRPr="00883230">
        <w:rPr>
          <w:rFonts w:cs="Times New Roman"/>
        </w:rPr>
        <w:t xml:space="preserve">This contextual approach should be applied sparingly. As held by the majority of this Court in </w:t>
      </w:r>
      <w:r w:rsidRPr="00883230">
        <w:rPr>
          <w:rFonts w:cs="Times New Roman"/>
          <w:i/>
        </w:rPr>
        <w:t>Alberta Teachers</w:t>
      </w:r>
      <w:r w:rsidRPr="00883230">
        <w:rPr>
          <w:rFonts w:cs="Times New Roman"/>
        </w:rPr>
        <w:t>, it is inappropriate to “retreat to the application of a full standard of review analysis where it can be determined summarily” (para. 44). After all, the “contextual approach can generate uncertainty and endless litigation concerning the standard of review” (</w:t>
      </w:r>
      <w:proofErr w:type="spellStart"/>
      <w:r w:rsidRPr="00883230">
        <w:rPr>
          <w:rFonts w:cs="Times New Roman"/>
          <w:i/>
        </w:rPr>
        <w:t>Capilano</w:t>
      </w:r>
      <w:proofErr w:type="spellEnd"/>
      <w:r w:rsidRPr="00883230">
        <w:rPr>
          <w:rFonts w:cs="Times New Roman"/>
        </w:rPr>
        <w:t>, at para. 35). The presumption of reasonableness review and the identified categories will generally be sufficient to determine the applicable standard. In the exceptional cases where such a contextual analysis may be justified to rebut the presumption, it need not be a long and detailed one (</w:t>
      </w:r>
      <w:proofErr w:type="spellStart"/>
      <w:r w:rsidRPr="00883230">
        <w:rPr>
          <w:rFonts w:cs="Times New Roman"/>
          <w:i/>
        </w:rPr>
        <w:t>Capilano</w:t>
      </w:r>
      <w:proofErr w:type="spellEnd"/>
      <w:r w:rsidRPr="00883230">
        <w:rPr>
          <w:rFonts w:cs="Times New Roman"/>
        </w:rPr>
        <w:t xml:space="preserve">, at para. 34). Where it has been done or referred to in the past, the analysis has been limited to determinative factors that showed a clear legislative intent justifying the rebuttal of the presumption (see, e.g., </w:t>
      </w:r>
      <w:r w:rsidRPr="00883230">
        <w:rPr>
          <w:rFonts w:cs="Times New Roman"/>
          <w:i/>
        </w:rPr>
        <w:t>Rogers</w:t>
      </w:r>
      <w:r w:rsidRPr="00883230">
        <w:rPr>
          <w:rFonts w:cs="Times New Roman"/>
        </w:rPr>
        <w:t>, at</w:t>
      </w:r>
      <w:r w:rsidRPr="00883230">
        <w:rPr>
          <w:rFonts w:cs="Times New Roman"/>
          <w:i/>
        </w:rPr>
        <w:t xml:space="preserve"> </w:t>
      </w:r>
      <w:r w:rsidRPr="00883230">
        <w:rPr>
          <w:rFonts w:cs="Times New Roman"/>
        </w:rPr>
        <w:t xml:space="preserve">para. 15; </w:t>
      </w:r>
      <w:r w:rsidRPr="00883230">
        <w:rPr>
          <w:rFonts w:cs="Times New Roman"/>
          <w:i/>
        </w:rPr>
        <w:t>Tervita</w:t>
      </w:r>
      <w:r w:rsidRPr="00883230">
        <w:rPr>
          <w:rFonts w:cs="Times New Roman"/>
        </w:rPr>
        <w:t xml:space="preserve">, at paras. 35-36; see also, </w:t>
      </w:r>
      <w:r w:rsidRPr="00883230">
        <w:rPr>
          <w:rFonts w:cs="Times New Roman"/>
          <w:i/>
        </w:rPr>
        <w:t>Saguenay</w:t>
      </w:r>
      <w:r w:rsidRPr="00883230">
        <w:rPr>
          <w:rFonts w:cs="Times New Roman"/>
        </w:rPr>
        <w:t xml:space="preserve">, at paras. 50-51). </w:t>
      </w:r>
    </w:p>
    <w:p w:rsidR="00AC53DB" w:rsidRPr="00883230" w:rsidRDefault="00AC53DB" w:rsidP="00AC53DB">
      <w:pPr>
        <w:pStyle w:val="ParaNoNdepar-AltN"/>
        <w:rPr>
          <w:rFonts w:cs="Times New Roman"/>
        </w:rPr>
      </w:pPr>
      <w:r w:rsidRPr="00883230">
        <w:rPr>
          <w:rFonts w:cs="Times New Roman"/>
        </w:rPr>
        <w:t xml:space="preserve">In this regard, I cannot agree with my colleagues Côté and Rowe JJ.’s characterization of the current standard of review framework as requiring correctness review wherever the “contextual factors listed in </w:t>
      </w:r>
      <w:r w:rsidRPr="00883230">
        <w:rPr>
          <w:rFonts w:cs="Times New Roman"/>
          <w:i/>
        </w:rPr>
        <w:t>Dunsmuir</w:t>
      </w:r>
      <w:r w:rsidRPr="00883230">
        <w:rPr>
          <w:rFonts w:cs="Times New Roman"/>
        </w:rPr>
        <w:t xml:space="preserve"> point towards correctness as the appropriate standard” (para. </w:t>
      </w:r>
      <w:r>
        <w:rPr>
          <w:rFonts w:cs="Times New Roman"/>
        </w:rPr>
        <w:t>73</w:t>
      </w:r>
      <w:r w:rsidRPr="00883230">
        <w:rPr>
          <w:rFonts w:cs="Times New Roman"/>
        </w:rPr>
        <w:t xml:space="preserve">). Where the presumption of reasonableness review applies, as it does here, this suggestion is contrary to the contextual approach’s ancillary role in our current jurisprudence and would undermine the certainty this Court has sought to establish in the past decade. While this Court may eventually find it necessary to revisit the standard of review framework, dissatisfaction with the current state of the law is no reason to ignore our precedents following </w:t>
      </w:r>
      <w:r w:rsidRPr="00883230">
        <w:rPr>
          <w:rFonts w:cs="Times New Roman"/>
          <w:i/>
        </w:rPr>
        <w:t>Dunsmuir</w:t>
      </w:r>
      <w:r w:rsidRPr="00883230">
        <w:rPr>
          <w:rFonts w:cs="Times New Roman"/>
        </w:rPr>
        <w:t>. To do so only adds confusion to an already challenging area of law.</w:t>
      </w:r>
    </w:p>
    <w:p w:rsidR="00AC53DB" w:rsidRPr="00883230" w:rsidRDefault="00AC53DB" w:rsidP="00AC53DB">
      <w:pPr>
        <w:pStyle w:val="ParaNoNdepar-AltN"/>
        <w:rPr>
          <w:rFonts w:cs="Times New Roman"/>
        </w:rPr>
      </w:pPr>
      <w:r w:rsidRPr="00883230">
        <w:rPr>
          <w:rFonts w:cs="Times New Roman"/>
        </w:rPr>
        <w:t xml:space="preserve">Turning to the specifics of this case with this guidance in mind, there are no factors present in this appeal that would necessitate a long and detailed contextual analysis to rebut the presumption. The Commission’s submission that changes to “foundational legal tests” require the application of a correctness standard must be rejected. It has no basis in the jurisprudence, is not a clear indicator of legislative intent, and would risk adding only more uncertainty to the standard of review analysis. Moreover, I would be cautious not to expand the appropriate factors beyond those enumerated in </w:t>
      </w:r>
      <w:r w:rsidRPr="00883230">
        <w:rPr>
          <w:rFonts w:cs="Times New Roman"/>
          <w:i/>
        </w:rPr>
        <w:t xml:space="preserve">Dunsmuir </w:t>
      </w:r>
      <w:r w:rsidRPr="00883230">
        <w:rPr>
          <w:rFonts w:cs="Times New Roman"/>
        </w:rPr>
        <w:t xml:space="preserve">without a principled basis for doing so, as this would invite unprincipled interference with the legislature’s delegates. </w:t>
      </w:r>
    </w:p>
    <w:p w:rsidR="00AC53DB" w:rsidRPr="00883230" w:rsidRDefault="00AC53DB" w:rsidP="00AC53DB">
      <w:pPr>
        <w:pStyle w:val="ParaNoNdepar-AltN"/>
        <w:rPr>
          <w:rFonts w:cs="Times New Roman"/>
        </w:rPr>
      </w:pPr>
      <w:r w:rsidRPr="00883230">
        <w:rPr>
          <w:rFonts w:cs="Times New Roman"/>
        </w:rPr>
        <w:t>I also consider it necessary to address my colleagues Côté and Rowe JJ.’s own application of the contextual analysis in this case. None of the factors they raise, in my opinion, warrants the application of the contextual approach or, by extension, correctness review. With respect, I am of the view that their treatment of the contextual analysis is unsupported by, and at points contrary to, this Court’s jurisprudence.</w:t>
      </w:r>
    </w:p>
    <w:p w:rsidR="00AC53DB" w:rsidRPr="00883230" w:rsidRDefault="00AC53DB" w:rsidP="00AC53DB">
      <w:pPr>
        <w:pStyle w:val="ParaNoNdepar-AltN"/>
        <w:rPr>
          <w:rFonts w:cs="Times New Roman"/>
        </w:rPr>
      </w:pPr>
      <w:r w:rsidRPr="00883230">
        <w:rPr>
          <w:rFonts w:cs="Times New Roman"/>
        </w:rPr>
        <w:t>With regard to the absence of a privative clause, this Court has long since established that such an omission does not rebut the presumption of deference (</w:t>
      </w:r>
      <w:r w:rsidRPr="00883230">
        <w:rPr>
          <w:rFonts w:cs="Times New Roman"/>
          <w:i/>
        </w:rPr>
        <w:t xml:space="preserve">Canada (Citizenship and Immigration) v. </w:t>
      </w:r>
      <w:proofErr w:type="spellStart"/>
      <w:r w:rsidRPr="00883230">
        <w:rPr>
          <w:rFonts w:cs="Times New Roman"/>
          <w:i/>
        </w:rPr>
        <w:t>Khosa</w:t>
      </w:r>
      <w:proofErr w:type="spellEnd"/>
      <w:r w:rsidRPr="00883230">
        <w:rPr>
          <w:rFonts w:cs="Times New Roman"/>
        </w:rPr>
        <w:t xml:space="preserve">, 2009 SCC 12, [2009] 1 S.C.R. 339, at para. 25; </w:t>
      </w:r>
      <w:proofErr w:type="spellStart"/>
      <w:r w:rsidRPr="00883230">
        <w:rPr>
          <w:rFonts w:cs="Times New Roman"/>
          <w:i/>
        </w:rPr>
        <w:t>Mowat</w:t>
      </w:r>
      <w:proofErr w:type="spellEnd"/>
      <w:r w:rsidRPr="00883230">
        <w:rPr>
          <w:rFonts w:cs="Times New Roman"/>
        </w:rPr>
        <w:t>, at para. 17). To the contrary, the fact that the legislature has allocated authority to a decision maker other than the courts is itself an indication that the legislature intended deferential review (</w:t>
      </w:r>
      <w:proofErr w:type="spellStart"/>
      <w:r w:rsidRPr="00883230">
        <w:rPr>
          <w:rFonts w:cs="Times New Roman"/>
          <w:i/>
        </w:rPr>
        <w:t>Khosa</w:t>
      </w:r>
      <w:proofErr w:type="spellEnd"/>
      <w:r w:rsidRPr="00883230">
        <w:rPr>
          <w:rFonts w:cs="Times New Roman"/>
        </w:rPr>
        <w:t xml:space="preserve">, at para. 25). </w:t>
      </w:r>
    </w:p>
    <w:p w:rsidR="00AC53DB" w:rsidRPr="00883230" w:rsidRDefault="00AC53DB" w:rsidP="00AC53DB">
      <w:pPr>
        <w:pStyle w:val="ParaNoNdepar-AltN"/>
        <w:rPr>
          <w:rFonts w:cs="Times New Roman"/>
        </w:rPr>
      </w:pPr>
      <w:r w:rsidRPr="00883230">
        <w:rPr>
          <w:rFonts w:cs="Times New Roman"/>
        </w:rPr>
        <w:t xml:space="preserve">This Court’s jurisprudence also does not support correctness review on the basis that other administrative tribunals may consider the </w:t>
      </w:r>
      <w:r w:rsidRPr="00883230">
        <w:rPr>
          <w:rFonts w:cs="Times New Roman"/>
          <w:i/>
        </w:rPr>
        <w:t>CHRA</w:t>
      </w:r>
      <w:r w:rsidRPr="00883230">
        <w:rPr>
          <w:rFonts w:cs="Times New Roman"/>
        </w:rPr>
        <w:t>. Certainly, this Court has recognized that correctness review may be applied where a tribunal is not part of a “discrete and special administrative regime” because it shares jurisdiction with the courts or because there is clear language indicating that it is to be treated as if it were a court (</w:t>
      </w:r>
      <w:r w:rsidRPr="00883230">
        <w:rPr>
          <w:rFonts w:cs="Times New Roman"/>
          <w:i/>
        </w:rPr>
        <w:t>Rogers</w:t>
      </w:r>
      <w:r w:rsidRPr="00883230">
        <w:rPr>
          <w:rFonts w:cs="Times New Roman"/>
        </w:rPr>
        <w:t xml:space="preserve">, at para. 15 (emphasis deleted), citing </w:t>
      </w:r>
      <w:r w:rsidRPr="00883230">
        <w:rPr>
          <w:rFonts w:cs="Times New Roman"/>
          <w:i/>
        </w:rPr>
        <w:t>Dunsmuir</w:t>
      </w:r>
      <w:r w:rsidRPr="00883230">
        <w:rPr>
          <w:rFonts w:cs="Times New Roman"/>
        </w:rPr>
        <w:t xml:space="preserve">, at para. 55; see also </w:t>
      </w:r>
      <w:r w:rsidRPr="00883230">
        <w:rPr>
          <w:rFonts w:cs="Times New Roman"/>
          <w:i/>
        </w:rPr>
        <w:t>Tervita</w:t>
      </w:r>
      <w:r w:rsidRPr="00883230">
        <w:rPr>
          <w:rFonts w:cs="Times New Roman"/>
        </w:rPr>
        <w:t xml:space="preserve">, at para. 38). This is distinguishable, however, from the situation where a tribunal applies its home statute, the courts have no concurrent jurisdiction and there is no explicit appeal clause. Indeed, in my view, the approach taken by Côté and Rowe JJ. </w:t>
      </w:r>
      <w:proofErr w:type="gramStart"/>
      <w:r w:rsidRPr="00883230">
        <w:rPr>
          <w:rFonts w:cs="Times New Roman"/>
        </w:rPr>
        <w:t>would</w:t>
      </w:r>
      <w:proofErr w:type="gramEnd"/>
      <w:r w:rsidRPr="00883230">
        <w:rPr>
          <w:rFonts w:cs="Times New Roman"/>
        </w:rPr>
        <w:t xml:space="preserve"> create a new category of correctness review for alleged questions of central importance regardless of the tribunal’s expertise. </w:t>
      </w:r>
    </w:p>
    <w:p w:rsidR="00AC53DB" w:rsidRPr="00883230" w:rsidRDefault="00AC53DB" w:rsidP="00AC53DB">
      <w:pPr>
        <w:pStyle w:val="ParaNoNdepar-AltN"/>
        <w:rPr>
          <w:rFonts w:cs="Times New Roman"/>
        </w:rPr>
      </w:pPr>
      <w:r w:rsidRPr="00883230">
        <w:rPr>
          <w:rFonts w:cs="Times New Roman"/>
        </w:rPr>
        <w:t>The potential for conflicting lines of authority does not warrant correctness review either. This Court has recognized that conflicting lines of authority do not, on their own, justify judicial review and it has applied a deferential standard where they have been raised (</w:t>
      </w:r>
      <w:r w:rsidRPr="00883230">
        <w:rPr>
          <w:rFonts w:cs="Times New Roman"/>
          <w:i/>
        </w:rPr>
        <w:t>Wilson</w:t>
      </w:r>
      <w:r w:rsidRPr="00883230">
        <w:rPr>
          <w:rFonts w:cs="Times New Roman"/>
        </w:rPr>
        <w:t xml:space="preserve">, at para. </w:t>
      </w:r>
      <w:r w:rsidRPr="00883230">
        <w:rPr>
          <w:rFonts w:cs="Times New Roman"/>
          <w:lang w:val="fr-CA"/>
        </w:rPr>
        <w:t xml:space="preserve">17; </w:t>
      </w:r>
      <w:r w:rsidRPr="00883230">
        <w:rPr>
          <w:rFonts w:cs="Times New Roman"/>
          <w:i/>
          <w:lang w:val="fr-CA"/>
        </w:rPr>
        <w:t>Barreau du Québec</w:t>
      </w:r>
      <w:r w:rsidRPr="00883230">
        <w:rPr>
          <w:rFonts w:cs="Times New Roman"/>
          <w:lang w:val="fr-CA"/>
        </w:rPr>
        <w:t>, at para. 19;</w:t>
      </w:r>
      <w:r w:rsidRPr="00883230">
        <w:rPr>
          <w:rFonts w:cs="Times New Roman"/>
          <w:i/>
          <w:lang w:val="fr-CA"/>
        </w:rPr>
        <w:t xml:space="preserve"> Smith</w:t>
      </w:r>
      <w:r w:rsidRPr="00883230">
        <w:rPr>
          <w:rFonts w:cs="Times New Roman"/>
          <w:lang w:val="fr-CA"/>
        </w:rPr>
        <w:t>,</w:t>
      </w:r>
      <w:r w:rsidRPr="00883230">
        <w:rPr>
          <w:rFonts w:cs="Times New Roman"/>
          <w:i/>
          <w:lang w:val="fr-CA"/>
        </w:rPr>
        <w:t xml:space="preserve"> </w:t>
      </w:r>
      <w:r w:rsidRPr="00883230">
        <w:rPr>
          <w:rFonts w:cs="Times New Roman"/>
          <w:lang w:val="fr-CA"/>
        </w:rPr>
        <w:t xml:space="preserve">at para. 38; </w:t>
      </w:r>
      <w:proofErr w:type="spellStart"/>
      <w:r w:rsidRPr="00883230">
        <w:rPr>
          <w:rFonts w:cs="Times New Roman"/>
          <w:i/>
          <w:lang w:val="fr-CA"/>
        </w:rPr>
        <w:t>Domtar</w:t>
      </w:r>
      <w:proofErr w:type="spellEnd"/>
      <w:r w:rsidRPr="00883230">
        <w:rPr>
          <w:rFonts w:cs="Times New Roman"/>
          <w:i/>
          <w:lang w:val="fr-CA"/>
        </w:rPr>
        <w:t xml:space="preserve"> Inc. v. Quebec (Commission d’appel en matière de lésions professionnelles</w:t>
      </w:r>
      <w:r w:rsidRPr="00883230">
        <w:rPr>
          <w:rFonts w:cs="Times New Roman"/>
          <w:lang w:val="fr-CA"/>
        </w:rPr>
        <w:t xml:space="preserve">), [1993] 2 S.C.R. 756, at pp. 800-801). </w:t>
      </w:r>
      <w:r w:rsidRPr="00883230">
        <w:rPr>
          <w:rFonts w:cs="Times New Roman"/>
        </w:rPr>
        <w:t xml:space="preserve">I also doubt that there is a conflicting line of authority in this case. The approach to s. 5 of the </w:t>
      </w:r>
      <w:r w:rsidRPr="00883230">
        <w:rPr>
          <w:rFonts w:cs="Times New Roman"/>
          <w:i/>
        </w:rPr>
        <w:t xml:space="preserve">CHRA </w:t>
      </w:r>
      <w:r w:rsidRPr="00883230">
        <w:rPr>
          <w:rFonts w:cs="Times New Roman"/>
        </w:rPr>
        <w:t xml:space="preserve">taken in </w:t>
      </w:r>
      <w:proofErr w:type="spellStart"/>
      <w:r w:rsidRPr="00883230">
        <w:rPr>
          <w:rFonts w:cs="Times New Roman"/>
          <w:i/>
        </w:rPr>
        <w:t>Druken</w:t>
      </w:r>
      <w:proofErr w:type="spellEnd"/>
      <w:r w:rsidRPr="00883230">
        <w:rPr>
          <w:rFonts w:cs="Times New Roman"/>
        </w:rPr>
        <w:t xml:space="preserve"> in 1998 was set aside in </w:t>
      </w:r>
      <w:r w:rsidRPr="00883230">
        <w:rPr>
          <w:rFonts w:cs="Times New Roman"/>
          <w:i/>
        </w:rPr>
        <w:t xml:space="preserve">Murphy </w:t>
      </w:r>
      <w:r w:rsidRPr="00883230">
        <w:rPr>
          <w:rFonts w:cs="Times New Roman"/>
        </w:rPr>
        <w:t xml:space="preserve">in 2012, and this guidance has since been followed. Tellingly, the most recent conflicting authority Côté and Rowe JJ. </w:t>
      </w:r>
      <w:proofErr w:type="gramStart"/>
      <w:r w:rsidRPr="00883230">
        <w:rPr>
          <w:rFonts w:cs="Times New Roman"/>
        </w:rPr>
        <w:t>have</w:t>
      </w:r>
      <w:proofErr w:type="gramEnd"/>
      <w:r w:rsidRPr="00883230">
        <w:rPr>
          <w:rFonts w:cs="Times New Roman"/>
        </w:rPr>
        <w:t xml:space="preserve"> identified dates back 17 years.</w:t>
      </w:r>
    </w:p>
    <w:p w:rsidR="00AC53DB" w:rsidRPr="00883230" w:rsidRDefault="00AC53DB" w:rsidP="00AC53DB">
      <w:pPr>
        <w:pStyle w:val="ParaNoNdepar-AltN"/>
        <w:rPr>
          <w:rFonts w:cs="Times New Roman"/>
        </w:rPr>
      </w:pPr>
      <w:r w:rsidRPr="00883230">
        <w:rPr>
          <w:rFonts w:cs="Times New Roman"/>
        </w:rPr>
        <w:t xml:space="preserve">Lastly, I take issue with the treatment Côté and Rowe JJ. </w:t>
      </w:r>
      <w:proofErr w:type="gramStart"/>
      <w:r w:rsidRPr="00883230">
        <w:rPr>
          <w:rFonts w:cs="Times New Roman"/>
        </w:rPr>
        <w:t>give</w:t>
      </w:r>
      <w:proofErr w:type="gramEnd"/>
      <w:r w:rsidRPr="00883230">
        <w:rPr>
          <w:rFonts w:cs="Times New Roman"/>
        </w:rPr>
        <w:t xml:space="preserve"> to the nature of the question at issue and the purpose of the Tribunal. Interpreting the scope of the term “services” does not have a constitutional dimension. No interpretation of s. 5 of the </w:t>
      </w:r>
      <w:r w:rsidRPr="00883230">
        <w:rPr>
          <w:rFonts w:cs="Times New Roman"/>
          <w:i/>
        </w:rPr>
        <w:t xml:space="preserve">CHRA </w:t>
      </w:r>
      <w:r w:rsidRPr="00883230">
        <w:rPr>
          <w:rFonts w:cs="Times New Roman"/>
        </w:rPr>
        <w:t xml:space="preserve">could prevent superior courts from hearing challenges under s. 15 of the </w:t>
      </w:r>
      <w:r w:rsidRPr="00883230">
        <w:rPr>
          <w:rFonts w:cs="Times New Roman"/>
          <w:i/>
        </w:rPr>
        <w:t xml:space="preserve">Charter </w:t>
      </w:r>
      <w:r w:rsidRPr="00883230">
        <w:rPr>
          <w:rFonts w:cs="Times New Roman"/>
        </w:rPr>
        <w:t xml:space="preserve">or give the Tribunal the power to hear </w:t>
      </w:r>
      <w:r w:rsidRPr="00883230">
        <w:rPr>
          <w:rFonts w:cs="Times New Roman"/>
          <w:i/>
        </w:rPr>
        <w:t>Charter</w:t>
      </w:r>
      <w:r w:rsidRPr="00883230">
        <w:rPr>
          <w:rFonts w:cs="Times New Roman"/>
        </w:rPr>
        <w:t xml:space="preserve"> applications. Indeed, framing these factors as a question of whether certain questions are better suited for courts effectively applies the jurisdiction/preliminary question doctrine. As discussed, this doctrine was long ago put to rest (</w:t>
      </w:r>
      <w:r w:rsidRPr="00883230">
        <w:rPr>
          <w:rFonts w:cs="Times New Roman"/>
          <w:i/>
        </w:rPr>
        <w:t>CUPE</w:t>
      </w:r>
      <w:r w:rsidRPr="00883230">
        <w:rPr>
          <w:rFonts w:cs="Times New Roman"/>
        </w:rPr>
        <w:t xml:space="preserve">, at p. 233; </w:t>
      </w:r>
      <w:r w:rsidRPr="00883230">
        <w:rPr>
          <w:rFonts w:cs="Times New Roman"/>
          <w:i/>
        </w:rPr>
        <w:t>Dunsmuir</w:t>
      </w:r>
      <w:r w:rsidRPr="00883230">
        <w:rPr>
          <w:rFonts w:cs="Times New Roman"/>
        </w:rPr>
        <w:t xml:space="preserve">, at para. 59; </w:t>
      </w:r>
      <w:r w:rsidRPr="00883230">
        <w:rPr>
          <w:rFonts w:cs="Times New Roman"/>
          <w:i/>
        </w:rPr>
        <w:t>Halifax</w:t>
      </w:r>
      <w:r w:rsidRPr="00883230">
        <w:rPr>
          <w:rFonts w:cs="Times New Roman"/>
        </w:rPr>
        <w:t xml:space="preserve">, at para. 34). </w:t>
      </w:r>
    </w:p>
    <w:p w:rsidR="00AC53DB" w:rsidRPr="00883230" w:rsidRDefault="00AC53DB" w:rsidP="00AC53DB">
      <w:pPr>
        <w:pStyle w:val="ParaNoNdepar-AltN"/>
        <w:rPr>
          <w:rFonts w:cs="Times New Roman"/>
        </w:rPr>
      </w:pPr>
      <w:r w:rsidRPr="00883230">
        <w:rPr>
          <w:rFonts w:cs="Times New Roman"/>
        </w:rPr>
        <w:t>As the presumption that reasonableness review applies is not rebutted, the Tribunal’s decisions will be reviewed on a reasonableness standard, as it was at the Federal Court and the Federal Court of Appeal.</w:t>
      </w:r>
    </w:p>
    <w:p w:rsidR="00AC53DB" w:rsidRPr="00883230" w:rsidRDefault="00AC53DB" w:rsidP="00AC53DB">
      <w:pPr>
        <w:pStyle w:val="Title2LevelTitre2Niveau"/>
        <w:rPr>
          <w:rFonts w:cs="Times New Roman"/>
        </w:rPr>
      </w:pPr>
      <w:bookmarkStart w:id="15" w:name="_Toc507495046"/>
      <w:r w:rsidRPr="00883230">
        <w:rPr>
          <w:rFonts w:cs="Times New Roman"/>
        </w:rPr>
        <w:t>Review of the Decisions</w:t>
      </w:r>
      <w:bookmarkEnd w:id="15"/>
    </w:p>
    <w:p w:rsidR="00AC53DB" w:rsidRPr="00883230" w:rsidRDefault="00AC53DB" w:rsidP="00AC53DB">
      <w:pPr>
        <w:pStyle w:val="Title3LevelTitre3Niveau"/>
        <w:rPr>
          <w:rFonts w:cs="Times New Roman"/>
        </w:rPr>
      </w:pPr>
      <w:bookmarkStart w:id="16" w:name="_Toc507495047"/>
      <w:r w:rsidRPr="00883230">
        <w:rPr>
          <w:rFonts w:cs="Times New Roman"/>
        </w:rPr>
        <w:t>The Reasonableness Standard</w:t>
      </w:r>
      <w:bookmarkEnd w:id="16"/>
    </w:p>
    <w:p w:rsidR="00AC53DB" w:rsidRPr="00883230" w:rsidRDefault="00AC53DB" w:rsidP="00AC53DB">
      <w:pPr>
        <w:pStyle w:val="ParaNoNdepar-AltN"/>
        <w:rPr>
          <w:rFonts w:cs="Times New Roman"/>
        </w:rPr>
      </w:pPr>
      <w:r w:rsidRPr="00883230">
        <w:rPr>
          <w:rFonts w:cs="Times New Roman"/>
        </w:rPr>
        <w:t>In reasonableness review, the reviewing court is concerned mostly with “the existence of justification, transparency and intelligibility within the decision-making process” and with determining “whether the decision falls within a range of possible, acceptable outcomes which are defensible in respect of the facts and law” (</w:t>
      </w:r>
      <w:r w:rsidRPr="00883230">
        <w:rPr>
          <w:rFonts w:cs="Times New Roman"/>
          <w:i/>
        </w:rPr>
        <w:t>Dunsmuir</w:t>
      </w:r>
      <w:r w:rsidRPr="00883230">
        <w:rPr>
          <w:rFonts w:cs="Times New Roman"/>
        </w:rPr>
        <w:t>, at</w:t>
      </w:r>
      <w:r w:rsidRPr="00883230">
        <w:rPr>
          <w:rFonts w:cs="Times New Roman"/>
          <w:i/>
        </w:rPr>
        <w:t xml:space="preserve"> </w:t>
      </w:r>
      <w:r w:rsidRPr="00883230">
        <w:rPr>
          <w:rFonts w:cs="Times New Roman"/>
        </w:rPr>
        <w:t xml:space="preserve">para. 47; </w:t>
      </w:r>
      <w:r w:rsidRPr="00883230">
        <w:rPr>
          <w:rFonts w:cs="Times New Roman"/>
          <w:i/>
        </w:rPr>
        <w:t xml:space="preserve">Newfoundland and Labrador Nurses’ Union </w:t>
      </w:r>
      <w:r w:rsidRPr="00883230">
        <w:rPr>
          <w:rFonts w:cs="Times New Roman"/>
          <w:i/>
          <w:iCs/>
        </w:rPr>
        <w:t>v.</w:t>
      </w:r>
      <w:r w:rsidRPr="00883230">
        <w:rPr>
          <w:rFonts w:cs="Times New Roman"/>
          <w:i/>
        </w:rPr>
        <w:t xml:space="preserve"> Newfoundland and Labrador (Treasury Board)</w:t>
      </w:r>
      <w:r w:rsidRPr="00883230">
        <w:rPr>
          <w:rFonts w:cs="Times New Roman"/>
        </w:rPr>
        <w:t>, 2011 SCC 62, [2011] 3 S.C.R. 708, at para. 14). When applied to a statutory interpretation exercise, reasonableness review recognizes that the delegated decision maker is better situated to understand the policy concerns and context needed to resolve any ambiguities in the statute (</w:t>
      </w:r>
      <w:r w:rsidRPr="00883230">
        <w:rPr>
          <w:rFonts w:cs="Times New Roman"/>
          <w:i/>
        </w:rPr>
        <w:t>McLean</w:t>
      </w:r>
      <w:r w:rsidRPr="00883230">
        <w:rPr>
          <w:rFonts w:cs="Times New Roman"/>
        </w:rPr>
        <w:t>, at para. 33). Reviewing courts must also refrain from reweighing and reassessing the evidence considered by the decision maker (</w:t>
      </w:r>
      <w:proofErr w:type="spellStart"/>
      <w:r w:rsidRPr="00883230">
        <w:rPr>
          <w:rFonts w:cs="Times New Roman"/>
          <w:i/>
        </w:rPr>
        <w:t>Khosa</w:t>
      </w:r>
      <w:proofErr w:type="spellEnd"/>
      <w:r w:rsidRPr="00883230">
        <w:rPr>
          <w:rFonts w:cs="Times New Roman"/>
        </w:rPr>
        <w:t>, at para. 64). At its core, reasonableness review recognizes the legitimacy of multiple possible outcomes, even where they are not the court’s preferred solution.</w:t>
      </w:r>
    </w:p>
    <w:p w:rsidR="00AC53DB" w:rsidRPr="00883230" w:rsidRDefault="00AC53DB" w:rsidP="00AC53DB">
      <w:pPr>
        <w:pStyle w:val="Title3LevelTitre3Niveau"/>
        <w:rPr>
          <w:rFonts w:cs="Times New Roman"/>
        </w:rPr>
      </w:pPr>
      <w:bookmarkStart w:id="17" w:name="_Toc507495048"/>
      <w:r w:rsidRPr="00883230">
        <w:rPr>
          <w:rFonts w:cs="Times New Roman"/>
        </w:rPr>
        <w:t>Application</w:t>
      </w:r>
      <w:bookmarkEnd w:id="17"/>
    </w:p>
    <w:p w:rsidR="00AC53DB" w:rsidRPr="00883230" w:rsidRDefault="00AC53DB" w:rsidP="00AC53DB">
      <w:pPr>
        <w:pStyle w:val="ParaNoNdepar-AltN"/>
        <w:rPr>
          <w:rFonts w:cs="Times New Roman"/>
        </w:rPr>
      </w:pPr>
      <w:r w:rsidRPr="00883230">
        <w:rPr>
          <w:rFonts w:cs="Times New Roman"/>
        </w:rPr>
        <w:t xml:space="preserve">In both decisions, the Tribunal provided careful and well-considered reasons explaining why the complaints had not established a discriminatory practice under the </w:t>
      </w:r>
      <w:r w:rsidRPr="00883230">
        <w:rPr>
          <w:rFonts w:cs="Times New Roman"/>
          <w:i/>
        </w:rPr>
        <w:t>CHRA</w:t>
      </w:r>
      <w:r w:rsidRPr="00883230">
        <w:rPr>
          <w:rFonts w:cs="Times New Roman"/>
        </w:rPr>
        <w:t xml:space="preserve">. The adjudicators first characterized the complaints as direct attacks on legislation. They then found that, while the </w:t>
      </w:r>
      <w:r w:rsidRPr="00883230">
        <w:rPr>
          <w:rFonts w:cs="Times New Roman"/>
          <w:i/>
        </w:rPr>
        <w:t>CHRA</w:t>
      </w:r>
      <w:r w:rsidRPr="00883230">
        <w:rPr>
          <w:rFonts w:cs="Times New Roman"/>
        </w:rPr>
        <w:t xml:space="preserve"> conferred remedial authority to render conflicting legislation inoperable, the Tribunal could not grant a remedy unless a discriminatory practice had first been established. They then concluded that legislation </w:t>
      </w:r>
      <w:r w:rsidRPr="00883230">
        <w:rPr>
          <w:rFonts w:cs="Times New Roman"/>
          <w:i/>
        </w:rPr>
        <w:t>per se</w:t>
      </w:r>
      <w:r w:rsidRPr="00883230">
        <w:rPr>
          <w:rFonts w:cs="Times New Roman"/>
        </w:rPr>
        <w:t xml:space="preserve"> was not a service under the s. 5 prohibition of discriminatory practices in the provision of services. In coming to this conclusion, the adjudicators considered the complainants’ evidence and submissions, the governing jurisprudence, the purpose, nature and scheme of the </w:t>
      </w:r>
      <w:r w:rsidRPr="00883230">
        <w:rPr>
          <w:rFonts w:cs="Times New Roman"/>
          <w:i/>
        </w:rPr>
        <w:t>CHRA</w:t>
      </w:r>
      <w:r w:rsidRPr="00883230">
        <w:rPr>
          <w:rFonts w:cs="Times New Roman"/>
        </w:rPr>
        <w:t xml:space="preserve">, and relevant policy considerations. The decisions meet the </w:t>
      </w:r>
      <w:r w:rsidRPr="00883230">
        <w:rPr>
          <w:rFonts w:cs="Times New Roman"/>
          <w:i/>
        </w:rPr>
        <w:t xml:space="preserve">Dunsmuir </w:t>
      </w:r>
      <w:r w:rsidRPr="00883230">
        <w:rPr>
          <w:rFonts w:cs="Times New Roman"/>
        </w:rPr>
        <w:t xml:space="preserve">standard of intelligibility, transparency and justifiability, and fall within the range of reasonable outcomes (para. 47). </w:t>
      </w:r>
    </w:p>
    <w:p w:rsidR="00AC53DB" w:rsidRPr="00883230" w:rsidRDefault="00AC53DB" w:rsidP="00AC53DB">
      <w:pPr>
        <w:pStyle w:val="ParaNoNdepar-AltN"/>
        <w:rPr>
          <w:rFonts w:cs="Times New Roman"/>
        </w:rPr>
      </w:pPr>
      <w:r w:rsidRPr="00883230">
        <w:rPr>
          <w:rFonts w:cs="Times New Roman"/>
        </w:rPr>
        <w:t xml:space="preserve">The critical issue for the adjudicators to decide was whether the complaints constituted a direct attack on legislation or whether they concerned discrimination in the provision of a service. It is uncontroversial that actions of the executive in providing services primarily available to the public are reviewable under human rights legislation (see, e.g., </w:t>
      </w:r>
      <w:proofErr w:type="spellStart"/>
      <w:r w:rsidRPr="00883230">
        <w:rPr>
          <w:rFonts w:cs="Times New Roman"/>
          <w:i/>
        </w:rPr>
        <w:t>Tranchemontagne</w:t>
      </w:r>
      <w:proofErr w:type="spellEnd"/>
      <w:r w:rsidRPr="00883230">
        <w:rPr>
          <w:rFonts w:cs="Times New Roman"/>
        </w:rPr>
        <w:t xml:space="preserve">; </w:t>
      </w:r>
      <w:r w:rsidRPr="00883230">
        <w:rPr>
          <w:rFonts w:cs="Times New Roman"/>
          <w:i/>
        </w:rPr>
        <w:t>Beattie v. Canada (Aboriginal Affairs and Northern Development)</w:t>
      </w:r>
      <w:r w:rsidRPr="00883230">
        <w:rPr>
          <w:rFonts w:cs="Times New Roman"/>
        </w:rPr>
        <w:t xml:space="preserve">, 2014 CHRT 1; </w:t>
      </w:r>
      <w:r w:rsidRPr="00883230">
        <w:rPr>
          <w:rFonts w:cs="Times New Roman"/>
          <w:i/>
        </w:rPr>
        <w:t>Canada (Attorney General) v. Davis</w:t>
      </w:r>
      <w:r w:rsidRPr="00883230">
        <w:rPr>
          <w:rFonts w:cs="Times New Roman"/>
        </w:rPr>
        <w:t xml:space="preserve">, 2013 FC 40, </w:t>
      </w:r>
      <w:r w:rsidRPr="00883230">
        <w:rPr>
          <w:rStyle w:val="nowrap"/>
          <w:rFonts w:cs="Times New Roman"/>
        </w:rPr>
        <w:t>425 F.T.R. 200</w:t>
      </w:r>
      <w:r w:rsidRPr="00883230">
        <w:rPr>
          <w:rFonts w:cs="Times New Roman"/>
        </w:rPr>
        <w:t xml:space="preserve">; </w:t>
      </w:r>
      <w:r w:rsidRPr="00883230">
        <w:rPr>
          <w:rFonts w:cs="Times New Roman"/>
          <w:i/>
        </w:rPr>
        <w:t>Canada (Canadian Human Rights Commission) v. Canada (Attorney General)</w:t>
      </w:r>
      <w:r w:rsidRPr="00883230">
        <w:rPr>
          <w:rFonts w:cs="Times New Roman"/>
        </w:rPr>
        <w:t xml:space="preserve">, 2012 FC 445, </w:t>
      </w:r>
      <w:r w:rsidRPr="00883230">
        <w:rPr>
          <w:rStyle w:val="nowrap"/>
          <w:rFonts w:cs="Times New Roman"/>
        </w:rPr>
        <w:t>[2013] 4 F.C.R. 545</w:t>
      </w:r>
      <w:r w:rsidRPr="00883230">
        <w:rPr>
          <w:rFonts w:cs="Times New Roman"/>
        </w:rPr>
        <w:t xml:space="preserve">). What is controversial is consideration of complaints that, in substance, solely target legislation. In reviewing such complaints, human rights tribunals are faced with the challenging task of distinguishing between administrative services and legislation. Human rights tribunals in federal and provincial jurisdictions have taken various approaches to making such a distinction (C. </w:t>
      </w:r>
      <w:proofErr w:type="spellStart"/>
      <w:r w:rsidRPr="00883230">
        <w:rPr>
          <w:rFonts w:cs="Times New Roman"/>
        </w:rPr>
        <w:t>Mummé</w:t>
      </w:r>
      <w:proofErr w:type="spellEnd"/>
      <w:r w:rsidRPr="00883230">
        <w:rPr>
          <w:rFonts w:cs="Times New Roman"/>
        </w:rPr>
        <w:t>, “At the Crossroads in Discrimination Law: How the Human Rights Codes Overtook the</w:t>
      </w:r>
      <w:r w:rsidRPr="00883230">
        <w:rPr>
          <w:rFonts w:cs="Times New Roman"/>
          <w:i/>
        </w:rPr>
        <w:t xml:space="preserve"> Charter</w:t>
      </w:r>
      <w:r w:rsidRPr="00883230">
        <w:rPr>
          <w:rFonts w:cs="Times New Roman"/>
        </w:rPr>
        <w:t xml:space="preserve"> in Canadian Government Services Cases” (2012), 9 </w:t>
      </w:r>
      <w:r w:rsidRPr="00883230">
        <w:rPr>
          <w:rFonts w:cs="Times New Roman"/>
          <w:i/>
        </w:rPr>
        <w:t>J.L. &amp; Equality</w:t>
      </w:r>
      <w:r w:rsidRPr="00883230">
        <w:rPr>
          <w:rFonts w:cs="Times New Roman"/>
        </w:rPr>
        <w:t xml:space="preserve"> 103, at pp. 116-17). Since this raises a question of mixed fact and law squarely within their expertise, human rights tribunals are best situated to develop an approach to making such distinctions. Under reasonableness review, the reviewing court’s task is to supervise the tribunal’s approach in the context of the decision as a whole. Its role is not to impose an approach of its own choosing. </w:t>
      </w:r>
    </w:p>
    <w:p w:rsidR="00AC53DB" w:rsidRPr="00883230" w:rsidRDefault="00AC53DB" w:rsidP="00AC53DB">
      <w:pPr>
        <w:pStyle w:val="ParaNoNdepar-AltN"/>
        <w:rPr>
          <w:rFonts w:cs="Times New Roman"/>
        </w:rPr>
      </w:pPr>
      <w:r w:rsidRPr="00883230">
        <w:rPr>
          <w:rFonts w:cs="Times New Roman"/>
        </w:rPr>
        <w:t xml:space="preserve">The adjudicators approached the characterization of the complaints by looking at the jurisprudence for determining what constitutes a service under s. 5 of the </w:t>
      </w:r>
      <w:r w:rsidRPr="00883230">
        <w:rPr>
          <w:rFonts w:cs="Times New Roman"/>
          <w:i/>
        </w:rPr>
        <w:t xml:space="preserve">CHRA </w:t>
      </w:r>
      <w:r w:rsidRPr="00883230">
        <w:rPr>
          <w:rFonts w:cs="Times New Roman"/>
        </w:rPr>
        <w:t xml:space="preserve">and by considering the nature of the allegations, the wording of the complainants’ submissions and the relationship between the Registrar and the s. 6 entitlement provisions of the </w:t>
      </w:r>
      <w:r w:rsidRPr="00883230">
        <w:rPr>
          <w:rFonts w:cs="Times New Roman"/>
          <w:i/>
        </w:rPr>
        <w:t>Indian Act</w:t>
      </w:r>
      <w:r w:rsidRPr="00883230">
        <w:rPr>
          <w:rFonts w:cs="Times New Roman"/>
        </w:rPr>
        <w:t xml:space="preserve">. Both adjudicators placed weight on the complainants’ submissions that framed their complaints as targeting the </w:t>
      </w:r>
      <w:r w:rsidRPr="00883230">
        <w:rPr>
          <w:rFonts w:cs="Times New Roman"/>
          <w:i/>
        </w:rPr>
        <w:t xml:space="preserve">Indian Act </w:t>
      </w:r>
      <w:r w:rsidRPr="00883230">
        <w:rPr>
          <w:rFonts w:cs="Times New Roman"/>
        </w:rPr>
        <w:t xml:space="preserve">entitlement provisions. The adjudicators found that the complaints did not impugn the means by which the Registrar had processed their applications, but substantively targeted the eligibility criteria that the Registrar was required to apply. On this basis, the adjudicators reasonably concluded that the complaints before them were properly characterized as direct attacks on legislation. </w:t>
      </w:r>
    </w:p>
    <w:p w:rsidR="00AC53DB" w:rsidRPr="00883230" w:rsidRDefault="00AC53DB" w:rsidP="00AC53DB">
      <w:pPr>
        <w:pStyle w:val="ParaNoNdepar-AltN"/>
        <w:rPr>
          <w:rFonts w:cs="Times New Roman"/>
        </w:rPr>
      </w:pPr>
      <w:r w:rsidRPr="00883230">
        <w:rPr>
          <w:rFonts w:cs="Times New Roman"/>
        </w:rPr>
        <w:t xml:space="preserve">After concluding that the complaints impugned legislative criteria rather than the process of registration, the adjudicators turned to consider whether the complainants were capable of making out a discriminatory practice under the </w:t>
      </w:r>
      <w:r w:rsidRPr="00883230">
        <w:rPr>
          <w:rFonts w:cs="Times New Roman"/>
          <w:i/>
        </w:rPr>
        <w:t>CHRA</w:t>
      </w:r>
      <w:r w:rsidRPr="00883230">
        <w:rPr>
          <w:rFonts w:cs="Times New Roman"/>
        </w:rPr>
        <w:t xml:space="preserve">. All of the complaints alleged that INAC had engaged in a discriminatory practice by denying a service, or by subjecting the complainants to adverse differentiation with respect to a service, on prohibited grounds. The adjudicators therefore sought to determine whether legislation fell within the statutory definition of a service. </w:t>
      </w:r>
    </w:p>
    <w:p w:rsidR="00AC53DB" w:rsidRPr="00883230" w:rsidRDefault="00AC53DB" w:rsidP="00AC53DB">
      <w:pPr>
        <w:pStyle w:val="ParaNoNdepar-AltN"/>
        <w:rPr>
          <w:rFonts w:cs="Times New Roman"/>
        </w:rPr>
      </w:pPr>
      <w:r w:rsidRPr="00883230">
        <w:rPr>
          <w:rFonts w:cs="Times New Roman"/>
        </w:rPr>
        <w:t xml:space="preserve">The Tribunal reasonably considered the guidance provided by the Federal Court of Appeal in </w:t>
      </w:r>
      <w:r w:rsidRPr="00883230">
        <w:rPr>
          <w:rFonts w:cs="Times New Roman"/>
          <w:i/>
        </w:rPr>
        <w:t xml:space="preserve">Murphy </w:t>
      </w:r>
      <w:r w:rsidRPr="00883230">
        <w:rPr>
          <w:rFonts w:cs="Times New Roman"/>
        </w:rPr>
        <w:t xml:space="preserve">and the underlying Tribunal decision that the Federal Court of Appeal had endorsed in that judgment. It is unnecessary for the disposition of this appeal to determine the degree to which </w:t>
      </w:r>
      <w:r w:rsidRPr="00883230">
        <w:rPr>
          <w:rFonts w:cs="Times New Roman"/>
          <w:i/>
        </w:rPr>
        <w:t>Murphy</w:t>
      </w:r>
      <w:r w:rsidRPr="00883230">
        <w:rPr>
          <w:rFonts w:cs="Times New Roman"/>
        </w:rPr>
        <w:t xml:space="preserve"> constituted binding authority or how such a decision could be overturned by this Court on reasonableness review. While the adjudicators considered themselves bound by </w:t>
      </w:r>
      <w:r w:rsidRPr="00883230">
        <w:rPr>
          <w:rFonts w:cs="Times New Roman"/>
          <w:i/>
        </w:rPr>
        <w:t>Murphy</w:t>
      </w:r>
      <w:r w:rsidRPr="00883230">
        <w:rPr>
          <w:rFonts w:cs="Times New Roman"/>
        </w:rPr>
        <w:t xml:space="preserve">, they still conducted a thorough analysis to determine whether or not </w:t>
      </w:r>
      <w:r w:rsidRPr="00883230">
        <w:rPr>
          <w:rFonts w:cs="Times New Roman"/>
          <w:i/>
        </w:rPr>
        <w:t>Murphy</w:t>
      </w:r>
      <w:r w:rsidRPr="00883230">
        <w:rPr>
          <w:rFonts w:cs="Times New Roman"/>
        </w:rPr>
        <w:t xml:space="preserve"> had been superseded either by binding authority or by the </w:t>
      </w:r>
      <w:r w:rsidRPr="00883230">
        <w:rPr>
          <w:rFonts w:cs="Times New Roman"/>
          <w:i/>
        </w:rPr>
        <w:t>CHRA</w:t>
      </w:r>
      <w:r w:rsidRPr="00883230">
        <w:rPr>
          <w:rFonts w:cs="Times New Roman"/>
        </w:rPr>
        <w:t>. Both decisions can stand on their own merits.</w:t>
      </w:r>
    </w:p>
    <w:p w:rsidR="00AC53DB" w:rsidRPr="00883230" w:rsidRDefault="00AC53DB" w:rsidP="00AC53DB">
      <w:pPr>
        <w:pStyle w:val="ParaNoNdepar-AltN"/>
        <w:rPr>
          <w:rFonts w:cs="Times New Roman"/>
        </w:rPr>
      </w:pPr>
      <w:r w:rsidRPr="00883230">
        <w:rPr>
          <w:rFonts w:cs="Times New Roman"/>
        </w:rPr>
        <w:t xml:space="preserve">In considering the authorities from both this Court and provincial jurisdictions, the adjudicators distinguished the primacy of human rights legislation and the statutory prohibition against discriminatory practices. They recognized that decisions such as </w:t>
      </w:r>
      <w:proofErr w:type="spellStart"/>
      <w:r w:rsidRPr="00883230">
        <w:rPr>
          <w:rFonts w:cs="Times New Roman"/>
          <w:i/>
        </w:rPr>
        <w:t>Heerspink</w:t>
      </w:r>
      <w:proofErr w:type="spellEnd"/>
      <w:r w:rsidRPr="00883230">
        <w:rPr>
          <w:rFonts w:cs="Times New Roman"/>
        </w:rPr>
        <w:t>,</w:t>
      </w:r>
      <w:r w:rsidRPr="00883230">
        <w:rPr>
          <w:rFonts w:cs="Times New Roman"/>
          <w:i/>
        </w:rPr>
        <w:t xml:space="preserve"> Craton</w:t>
      </w:r>
      <w:r w:rsidRPr="00883230">
        <w:rPr>
          <w:rFonts w:cs="Times New Roman"/>
        </w:rPr>
        <w:t>,</w:t>
      </w:r>
      <w:r w:rsidRPr="00883230">
        <w:rPr>
          <w:rFonts w:cs="Times New Roman"/>
          <w:i/>
        </w:rPr>
        <w:t xml:space="preserve"> Action Travail des Femmes</w:t>
      </w:r>
      <w:r w:rsidRPr="00883230">
        <w:rPr>
          <w:rFonts w:cs="Times New Roman"/>
        </w:rPr>
        <w:t>,</w:t>
      </w:r>
      <w:r w:rsidRPr="00883230">
        <w:rPr>
          <w:rFonts w:cs="Times New Roman"/>
          <w:i/>
        </w:rPr>
        <w:t xml:space="preserve"> Andrews v. Law Society of British Columbia</w:t>
      </w:r>
      <w:r w:rsidRPr="00883230">
        <w:rPr>
          <w:rFonts w:cs="Times New Roman"/>
        </w:rPr>
        <w:t>,</w:t>
      </w:r>
      <w:r w:rsidRPr="00883230">
        <w:rPr>
          <w:rFonts w:cs="Times New Roman"/>
          <w:i/>
        </w:rPr>
        <w:t xml:space="preserve"> Larocque</w:t>
      </w:r>
      <w:r w:rsidRPr="00883230">
        <w:rPr>
          <w:rFonts w:cs="Times New Roman"/>
        </w:rPr>
        <w:t>,</w:t>
      </w:r>
      <w:r w:rsidRPr="00883230">
        <w:rPr>
          <w:rFonts w:cs="Times New Roman"/>
          <w:i/>
        </w:rPr>
        <w:t xml:space="preserve"> </w:t>
      </w:r>
      <w:r w:rsidRPr="00883230">
        <w:rPr>
          <w:rFonts w:cs="Times New Roman"/>
        </w:rPr>
        <w:t>and</w:t>
      </w:r>
      <w:r w:rsidRPr="00883230">
        <w:rPr>
          <w:rFonts w:cs="Times New Roman"/>
          <w:i/>
        </w:rPr>
        <w:t xml:space="preserve"> </w:t>
      </w:r>
      <w:proofErr w:type="spellStart"/>
      <w:r w:rsidRPr="00883230">
        <w:rPr>
          <w:rFonts w:cs="Times New Roman"/>
          <w:i/>
        </w:rPr>
        <w:t>Tranchemontagne</w:t>
      </w:r>
      <w:proofErr w:type="spellEnd"/>
      <w:r w:rsidRPr="00883230">
        <w:rPr>
          <w:rFonts w:cs="Times New Roman"/>
        </w:rPr>
        <w:t xml:space="preserve"> considered that human rights legislation could render conflicting legislation inoperable. Hence, where a discriminatory practice without </w:t>
      </w:r>
      <w:r w:rsidRPr="00883230">
        <w:rPr>
          <w:rFonts w:cs="Times New Roman"/>
          <w:i/>
        </w:rPr>
        <w:t xml:space="preserve">bona fide </w:t>
      </w:r>
      <w:r w:rsidRPr="00883230">
        <w:rPr>
          <w:rFonts w:cs="Times New Roman"/>
        </w:rPr>
        <w:t xml:space="preserve">justification is established, the Tribunal has the power to order administrators to stop applying conflicting provisions. However, as the Tribunal indicated, in all such cases the human rights tribunals were responding to an established discriminatory practice. None of these cases stood for the proposition that legislation in general fell within the meaning of “services”. The Tribunal reasonably did not take the jurisprudence on its remedial authority as overturning </w:t>
      </w:r>
      <w:r w:rsidRPr="00883230">
        <w:rPr>
          <w:rFonts w:cs="Times New Roman"/>
          <w:i/>
        </w:rPr>
        <w:t>Murphy</w:t>
      </w:r>
      <w:r w:rsidRPr="00883230">
        <w:rPr>
          <w:rFonts w:cs="Times New Roman"/>
        </w:rPr>
        <w:t xml:space="preserve"> or as necessitating an expansive interpretation of the meaning of “services”. </w:t>
      </w:r>
    </w:p>
    <w:p w:rsidR="00AC53DB" w:rsidRPr="00883230" w:rsidRDefault="00AC53DB" w:rsidP="00AC53DB">
      <w:pPr>
        <w:pStyle w:val="ParaNoNdepar-AltN"/>
        <w:rPr>
          <w:rFonts w:cs="Times New Roman"/>
        </w:rPr>
      </w:pPr>
      <w:r w:rsidRPr="00883230">
        <w:rPr>
          <w:rFonts w:cs="Times New Roman"/>
        </w:rPr>
        <w:t xml:space="preserve">The adjudicators also reasonably considered whether legislation could fall under the definition of a service based on </w:t>
      </w:r>
      <w:r w:rsidRPr="00883230">
        <w:rPr>
          <w:rFonts w:cs="Times New Roman"/>
          <w:i/>
          <w:iCs/>
        </w:rPr>
        <w:t>Gould v. Yukon Order of Pioneers</w:t>
      </w:r>
      <w:r w:rsidRPr="00883230">
        <w:rPr>
          <w:rFonts w:cs="Times New Roman"/>
        </w:rPr>
        <w:t xml:space="preserve">, [1996] 1 S.C.R. 571, and </w:t>
      </w:r>
      <w:r w:rsidRPr="00883230">
        <w:rPr>
          <w:rFonts w:cs="Times New Roman"/>
          <w:i/>
        </w:rPr>
        <w:t>Watkin</w:t>
      </w:r>
      <w:r w:rsidRPr="00883230">
        <w:rPr>
          <w:rFonts w:cs="Times New Roman"/>
        </w:rPr>
        <w:t xml:space="preserve">. The adjudicator in </w:t>
      </w:r>
      <w:r w:rsidRPr="00883230">
        <w:rPr>
          <w:rFonts w:cs="Times New Roman"/>
          <w:i/>
        </w:rPr>
        <w:t>Andrews</w:t>
      </w:r>
      <w:r w:rsidRPr="00883230">
        <w:rPr>
          <w:rFonts w:cs="Times New Roman"/>
        </w:rPr>
        <w:t xml:space="preserve"> noted that the </w:t>
      </w:r>
      <w:r w:rsidRPr="00883230">
        <w:rPr>
          <w:rFonts w:cs="Times New Roman"/>
          <w:i/>
        </w:rPr>
        <w:t xml:space="preserve">sui generis </w:t>
      </w:r>
      <w:r w:rsidRPr="00883230">
        <w:rPr>
          <w:rFonts w:cs="Times New Roman"/>
        </w:rPr>
        <w:t xml:space="preserve">nature of Parliament’s power to legislate is inconsistent with the characterization of law-making as a public service and that law-making does not have the transitive connotation necessary to identify a service customarily offered to the public. </w:t>
      </w:r>
    </w:p>
    <w:p w:rsidR="00AC53DB" w:rsidRPr="00883230" w:rsidRDefault="00AC53DB" w:rsidP="00AC53DB">
      <w:pPr>
        <w:pStyle w:val="ParaNoNdepar-AltN"/>
        <w:rPr>
          <w:rFonts w:cs="Times New Roman"/>
        </w:rPr>
      </w:pPr>
      <w:r w:rsidRPr="00883230">
        <w:rPr>
          <w:rFonts w:cs="Times New Roman"/>
        </w:rPr>
        <w:t xml:space="preserve">There is also no issue with the Tribunal’s review of the scheme of the </w:t>
      </w:r>
      <w:r w:rsidRPr="00883230">
        <w:rPr>
          <w:rFonts w:cs="Times New Roman"/>
          <w:i/>
        </w:rPr>
        <w:t>CHRA</w:t>
      </w:r>
      <w:r w:rsidRPr="00883230">
        <w:rPr>
          <w:rFonts w:cs="Times New Roman"/>
        </w:rPr>
        <w:t xml:space="preserve">. Both adjudicators found that the provisions raised by the Commission were entirely consistent with the distinction made between the primacy of human rights legislation and the scope of the </w:t>
      </w:r>
      <w:r w:rsidRPr="00883230">
        <w:rPr>
          <w:rFonts w:cs="Times New Roman"/>
          <w:i/>
        </w:rPr>
        <w:t>CHRA</w:t>
      </w:r>
      <w:r w:rsidRPr="00883230">
        <w:rPr>
          <w:rFonts w:cs="Times New Roman"/>
        </w:rPr>
        <w:t>’s prohibition of discriminatory practices. Section 49(5), which</w:t>
      </w:r>
      <w:r w:rsidRPr="00883230">
        <w:rPr>
          <w:rFonts w:cs="Times New Roman"/>
          <w:i/>
        </w:rPr>
        <w:t xml:space="preserve"> </w:t>
      </w:r>
      <w:r w:rsidRPr="00883230">
        <w:rPr>
          <w:rFonts w:cs="Times New Roman"/>
        </w:rPr>
        <w:t>requires that the adjudicator assigned to cases where legislation may be rendered inoperable be a lawyer, and s. 62(1), which</w:t>
      </w:r>
      <w:r w:rsidRPr="00883230">
        <w:rPr>
          <w:rFonts w:cs="Times New Roman"/>
          <w:i/>
        </w:rPr>
        <w:t xml:space="preserve"> </w:t>
      </w:r>
      <w:r w:rsidRPr="00883230">
        <w:rPr>
          <w:rFonts w:cs="Times New Roman"/>
        </w:rPr>
        <w:t xml:space="preserve">immunizes pension legislation from review, are consistent with the distinction between the primacy of the </w:t>
      </w:r>
      <w:r w:rsidRPr="00883230">
        <w:rPr>
          <w:rFonts w:cs="Times New Roman"/>
          <w:i/>
        </w:rPr>
        <w:t xml:space="preserve">CHRA </w:t>
      </w:r>
      <w:r w:rsidRPr="00883230">
        <w:rPr>
          <w:rFonts w:cs="Times New Roman"/>
        </w:rPr>
        <w:t xml:space="preserve">and the scope of its prohibition of discriminatory practices. Neither provision supports the interpretation that all legislation could be subject to review by the Tribunal. The now repealed s. 67 of the </w:t>
      </w:r>
      <w:r w:rsidRPr="00883230">
        <w:rPr>
          <w:rFonts w:cs="Times New Roman"/>
          <w:i/>
        </w:rPr>
        <w:t>CHRA</w:t>
      </w:r>
      <w:r w:rsidRPr="00883230">
        <w:rPr>
          <w:rFonts w:cs="Times New Roman"/>
        </w:rPr>
        <w:t xml:space="preserve">, which immunized the </w:t>
      </w:r>
      <w:r w:rsidRPr="00883230">
        <w:rPr>
          <w:rFonts w:cs="Times New Roman"/>
          <w:i/>
        </w:rPr>
        <w:t xml:space="preserve">Indian Act </w:t>
      </w:r>
      <w:r w:rsidRPr="00883230">
        <w:rPr>
          <w:rFonts w:cs="Times New Roman"/>
        </w:rPr>
        <w:t xml:space="preserve">from human rights complaints, was consistent with Parliament’s intent to shield services rendered pursuant to the </w:t>
      </w:r>
      <w:r w:rsidRPr="00883230">
        <w:rPr>
          <w:rFonts w:cs="Times New Roman"/>
          <w:i/>
        </w:rPr>
        <w:t xml:space="preserve">Indian Act </w:t>
      </w:r>
      <w:r w:rsidRPr="00883230">
        <w:rPr>
          <w:rFonts w:cs="Times New Roman"/>
        </w:rPr>
        <w:t xml:space="preserve">from challenge. In any event, on its own, s. 67 was insufficient to infer that Parliament intended to allow direct challenges to all other legislation. </w:t>
      </w:r>
    </w:p>
    <w:p w:rsidR="00AC53DB" w:rsidRPr="00883230" w:rsidRDefault="00AC53DB" w:rsidP="00AC53DB">
      <w:pPr>
        <w:pStyle w:val="ParaNoNdepar-AltN"/>
        <w:rPr>
          <w:rFonts w:cs="Times New Roman"/>
        </w:rPr>
      </w:pPr>
      <w:r w:rsidRPr="00883230">
        <w:rPr>
          <w:rFonts w:cs="Times New Roman"/>
        </w:rPr>
        <w:t xml:space="preserve">The Commission and interveners have raised numerous policy grounds upon which direct challenges to legislation should be considered by the Tribunal. However, it is not for a reviewing court to reweigh policy considerations. The adjudicators clearly considered the practical difficulties and challenges to democratic legitimacy involved in evaluating challenges to legislation under the </w:t>
      </w:r>
      <w:r w:rsidRPr="00883230">
        <w:rPr>
          <w:rFonts w:cs="Times New Roman"/>
          <w:i/>
        </w:rPr>
        <w:t xml:space="preserve">bona fide </w:t>
      </w:r>
      <w:r w:rsidRPr="00883230">
        <w:rPr>
          <w:rFonts w:cs="Times New Roman"/>
        </w:rPr>
        <w:t>justification requirement. There is nothing unreasonable about this determination.</w:t>
      </w:r>
    </w:p>
    <w:p w:rsidR="00AC53DB" w:rsidRPr="00883230" w:rsidRDefault="00AC53DB" w:rsidP="00AC53DB">
      <w:pPr>
        <w:pStyle w:val="ParaNoNdepar-AltN"/>
        <w:rPr>
          <w:rFonts w:cs="Times New Roman"/>
        </w:rPr>
      </w:pPr>
      <w:r w:rsidRPr="00883230">
        <w:rPr>
          <w:rFonts w:cs="Times New Roman"/>
        </w:rPr>
        <w:t xml:space="preserve">I would conclude by noting that the analysis of s. 5 of the </w:t>
      </w:r>
      <w:r w:rsidRPr="00883230">
        <w:rPr>
          <w:rFonts w:cs="Times New Roman"/>
          <w:i/>
        </w:rPr>
        <w:t>CHRA</w:t>
      </w:r>
      <w:r w:rsidRPr="00883230">
        <w:rPr>
          <w:rFonts w:cs="Times New Roman"/>
        </w:rPr>
        <w:t xml:space="preserve"> in Côté and Rowe JJ.’s reasons does not differ significantly from that of the Tribunal. Indeed, I fail to see where their analysis adds to the Tribunal’s interpretation of its own statute, which engaged substantially with the human rights jurisprudence and addressed the difficult question of when a complaint is properly characterized as an attack on legislation. Given this, I would question whether this Court, or any reviewing court, is necessarily better situated to interpret this decision maker’s home statute. </w:t>
      </w:r>
    </w:p>
    <w:p w:rsidR="00AC53DB" w:rsidRPr="00883230" w:rsidRDefault="00AC53DB" w:rsidP="00AC53DB">
      <w:pPr>
        <w:pStyle w:val="Title1LevelTitre1Niveau-AltL"/>
        <w:rPr>
          <w:rFonts w:cs="Times New Roman"/>
        </w:rPr>
      </w:pPr>
      <w:bookmarkStart w:id="18" w:name="_Toc507495049"/>
      <w:r w:rsidRPr="00883230">
        <w:rPr>
          <w:rFonts w:cs="Times New Roman"/>
        </w:rPr>
        <w:t>Conclusion</w:t>
      </w:r>
      <w:bookmarkEnd w:id="18"/>
    </w:p>
    <w:p w:rsidR="00AC53DB" w:rsidRPr="00883230" w:rsidRDefault="00AC53DB" w:rsidP="00AC53DB">
      <w:pPr>
        <w:pStyle w:val="ParaNoNdepar-AltN"/>
        <w:rPr>
          <w:rFonts w:cs="Times New Roman"/>
        </w:rPr>
      </w:pPr>
      <w:r w:rsidRPr="00883230">
        <w:rPr>
          <w:rFonts w:cs="Times New Roman"/>
        </w:rPr>
        <w:t>The Tribunal reviewed all of the complaints in carefully considered, thorough and logical decisions that fell within the range of possible, acceptable outcomes. Both decisions were reasonable and should be upheld.</w:t>
      </w:r>
    </w:p>
    <w:p w:rsidR="00AC53DB" w:rsidRPr="00883230" w:rsidRDefault="00AC53DB" w:rsidP="00AC53DB">
      <w:pPr>
        <w:pStyle w:val="ParaNoNdepar-AltN"/>
        <w:rPr>
          <w:rFonts w:cs="Times New Roman"/>
        </w:rPr>
      </w:pPr>
      <w:r w:rsidRPr="00883230">
        <w:rPr>
          <w:rFonts w:cs="Times New Roman"/>
        </w:rPr>
        <w:t xml:space="preserve">In closing, I would emphasize that the disposition of this appeal says nothing as to whether the </w:t>
      </w:r>
      <w:r w:rsidRPr="00883230">
        <w:rPr>
          <w:rFonts w:cs="Times New Roman"/>
          <w:i/>
        </w:rPr>
        <w:t xml:space="preserve">Indian Act </w:t>
      </w:r>
      <w:r w:rsidRPr="00883230">
        <w:rPr>
          <w:rFonts w:cs="Times New Roman"/>
        </w:rPr>
        <w:t xml:space="preserve">infringes the rights of the complainants under s. 15 of the </w:t>
      </w:r>
      <w:r w:rsidRPr="00883230">
        <w:rPr>
          <w:rFonts w:cs="Times New Roman"/>
          <w:i/>
        </w:rPr>
        <w:t>Charter</w:t>
      </w:r>
      <w:r w:rsidRPr="00883230">
        <w:rPr>
          <w:rFonts w:cs="Times New Roman"/>
        </w:rPr>
        <w:t xml:space="preserve">. In this regard, I would simply note that in recent years, there have been two successful challenges to the </w:t>
      </w:r>
      <w:r w:rsidRPr="00883230">
        <w:rPr>
          <w:rFonts w:cs="Times New Roman"/>
          <w:i/>
        </w:rPr>
        <w:t>Indian Act</w:t>
      </w:r>
      <w:r w:rsidRPr="00883230">
        <w:rPr>
          <w:rFonts w:cs="Times New Roman"/>
        </w:rPr>
        <w:t xml:space="preserve"> registration provisions, both of which have prompted legislative reform (</w:t>
      </w:r>
      <w:proofErr w:type="spellStart"/>
      <w:r w:rsidRPr="00883230">
        <w:rPr>
          <w:rFonts w:cs="Times New Roman"/>
          <w:i/>
        </w:rPr>
        <w:t>Descheneaux</w:t>
      </w:r>
      <w:proofErr w:type="spellEnd"/>
      <w:r w:rsidRPr="00883230">
        <w:rPr>
          <w:rFonts w:cs="Times New Roman"/>
          <w:i/>
        </w:rPr>
        <w:t xml:space="preserve"> v. Canada (Attorney General)</w:t>
      </w:r>
      <w:r w:rsidRPr="00883230">
        <w:rPr>
          <w:rFonts w:cs="Times New Roman"/>
        </w:rPr>
        <w:t xml:space="preserve">, 2015 QCCS 3555, </w:t>
      </w:r>
      <w:r w:rsidRPr="00883230">
        <w:rPr>
          <w:rStyle w:val="nowrap"/>
          <w:rFonts w:cs="Times New Roman"/>
        </w:rPr>
        <w:t>[2016] 2 C.N.L.R. 175</w:t>
      </w:r>
      <w:r w:rsidRPr="00883230">
        <w:rPr>
          <w:rFonts w:cs="Times New Roman"/>
        </w:rPr>
        <w:t xml:space="preserve">; </w:t>
      </w:r>
      <w:r w:rsidRPr="00883230">
        <w:rPr>
          <w:rFonts w:cs="Times New Roman"/>
          <w:i/>
        </w:rPr>
        <w:t>McIvor v. Canada (Indian and Northern Affairs, Registrar)</w:t>
      </w:r>
      <w:r w:rsidRPr="00883230">
        <w:rPr>
          <w:rFonts w:cs="Times New Roman"/>
        </w:rPr>
        <w:t xml:space="preserve">, 2009 BCCA 153, </w:t>
      </w:r>
      <w:r w:rsidRPr="00883230">
        <w:rPr>
          <w:rStyle w:val="nowrap"/>
          <w:rFonts w:cs="Times New Roman"/>
        </w:rPr>
        <w:t>306 D.L.R. (4th) 193</w:t>
      </w:r>
      <w:r w:rsidRPr="00883230">
        <w:rPr>
          <w:rFonts w:cs="Times New Roman"/>
        </w:rPr>
        <w:t xml:space="preserve">). </w:t>
      </w:r>
    </w:p>
    <w:p w:rsidR="00AC53DB" w:rsidRPr="00883230" w:rsidRDefault="00AC53DB" w:rsidP="00AC53DB">
      <w:pPr>
        <w:pStyle w:val="ParaNoNdepar-AltN"/>
        <w:rPr>
          <w:rFonts w:cs="Times New Roman"/>
        </w:rPr>
      </w:pPr>
      <w:r w:rsidRPr="00883230">
        <w:rPr>
          <w:rFonts w:cs="Times New Roman"/>
        </w:rPr>
        <w:t xml:space="preserve">I would accordingly dismiss the appeal. Costs were not sought by either party and will not be awarded. </w:t>
      </w:r>
    </w:p>
    <w:p w:rsidR="00AC53DB" w:rsidRDefault="007F3A10" w:rsidP="007F3A10">
      <w:pPr>
        <w:tabs>
          <w:tab w:val="left" w:pos="1170"/>
        </w:tabs>
        <w:spacing w:after="480" w:line="480" w:lineRule="auto"/>
      </w:pPr>
      <w:r>
        <w:tab/>
      </w:r>
      <w:r w:rsidR="00AC53DB" w:rsidRPr="00A040E4">
        <w:t>The following are the reasons delivered by</w:t>
      </w:r>
    </w:p>
    <w:p w:rsidR="00AC53DB" w:rsidRPr="00687F19" w:rsidRDefault="00AC53DB" w:rsidP="007F3A10">
      <w:pPr>
        <w:pStyle w:val="JudgeJuge"/>
      </w:pPr>
      <w:r w:rsidRPr="00687F19">
        <w:tab/>
        <w:t xml:space="preserve">Côté and Rowe JJ.  — </w:t>
      </w:r>
    </w:p>
    <w:p w:rsidR="00AC53DB" w:rsidRPr="00385001" w:rsidRDefault="00AC53DB" w:rsidP="00385001">
      <w:pPr>
        <w:pStyle w:val="Title1LevelTitre1Niveau-AltL"/>
        <w:numPr>
          <w:ilvl w:val="0"/>
          <w:numId w:val="16"/>
        </w:numPr>
        <w:rPr>
          <w:rFonts w:cs="Times New Roman"/>
        </w:rPr>
      </w:pPr>
      <w:r w:rsidRPr="00385001">
        <w:rPr>
          <w:rFonts w:cs="Times New Roman"/>
        </w:rPr>
        <w:t>Overview</w:t>
      </w:r>
    </w:p>
    <w:p w:rsidR="00AC53DB" w:rsidRPr="00687F19" w:rsidRDefault="00AC53DB" w:rsidP="00AC53DB">
      <w:pPr>
        <w:pStyle w:val="ParaNoNdepar-AltN"/>
        <w:tabs>
          <w:tab w:val="clear" w:pos="1166"/>
          <w:tab w:val="num" w:pos="1152"/>
        </w:tabs>
      </w:pPr>
      <w:r w:rsidRPr="00687F19">
        <w:t xml:space="preserve">At issue in this case is whether the Canadian Human Rights Tribunal (“Tribunal”) erred in finding that legislative enactments cannot be challenged pursuant to s. 5 of the </w:t>
      </w:r>
      <w:r w:rsidRPr="00687F19">
        <w:rPr>
          <w:i/>
        </w:rPr>
        <w:t>Canadian Human Rights Act</w:t>
      </w:r>
      <w:r w:rsidRPr="00687F19">
        <w:t xml:space="preserve">, R.S.C. 1985, </w:t>
      </w:r>
      <w:proofErr w:type="gramStart"/>
      <w:r w:rsidRPr="00687F19">
        <w:t>c</w:t>
      </w:r>
      <w:proofErr w:type="gramEnd"/>
      <w:r w:rsidRPr="00687F19">
        <w:t>. H-6 (“</w:t>
      </w:r>
      <w:r w:rsidRPr="00687F19">
        <w:rPr>
          <w:i/>
        </w:rPr>
        <w:t>CHRA</w:t>
      </w:r>
      <w:r w:rsidRPr="00687F19">
        <w:t xml:space="preserve">”). Section 5 of the </w:t>
      </w:r>
      <w:r w:rsidRPr="00687F19">
        <w:rPr>
          <w:i/>
        </w:rPr>
        <w:t>CHRA</w:t>
      </w:r>
      <w:r w:rsidRPr="00687F19">
        <w:t xml:space="preserve"> prohibits (among other things) the making of discriminatory distinctions in the provision of services customarily available to the general public. In both </w:t>
      </w:r>
      <w:r w:rsidRPr="00687F19">
        <w:rPr>
          <w:i/>
        </w:rPr>
        <w:t>Andrews v. Canada (Indian and Northern Affairs)</w:t>
      </w:r>
      <w:r w:rsidRPr="00687F19">
        <w:t xml:space="preserve">, 2013 CHRT 21, and </w:t>
      </w:r>
      <w:r w:rsidRPr="00687F19">
        <w:rPr>
          <w:i/>
        </w:rPr>
        <w:t>Matson v. Canada (Indian and Northern Affairs)</w:t>
      </w:r>
      <w:r w:rsidRPr="00687F19">
        <w:t xml:space="preserve">, 2013 CHRT 13, the Tribunal dismissed several complaints brought against the registration provisions of the </w:t>
      </w:r>
      <w:r w:rsidRPr="00687F19">
        <w:rPr>
          <w:i/>
          <w:iCs/>
        </w:rPr>
        <w:t>Indian Act</w:t>
      </w:r>
      <w:r w:rsidRPr="00687F19">
        <w:t>, R.S.C. 1985, c. I-5, on the basis that they did not impugn discrimination “in the provision of . . . services”</w:t>
      </w:r>
      <w:r>
        <w:t xml:space="preserve"> (s. </w:t>
      </w:r>
      <w:r w:rsidRPr="00687F19">
        <w:t xml:space="preserve">5 of the </w:t>
      </w:r>
      <w:r w:rsidRPr="00687F19">
        <w:rPr>
          <w:i/>
        </w:rPr>
        <w:t>CHRA</w:t>
      </w:r>
      <w:r w:rsidRPr="00687F19">
        <w:t xml:space="preserve">). Applying a deferential standard of review, both the Federal Court (2015 FC 398, 477 F.T.R. 229) and the Federal Court of Appeal (2016 FCA 200, [2017] 2 F.C.R. 211) held that the Tribunal’s decisions in </w:t>
      </w:r>
      <w:r w:rsidRPr="00687F19">
        <w:rPr>
          <w:i/>
        </w:rPr>
        <w:t>Matson</w:t>
      </w:r>
      <w:r w:rsidRPr="00687F19">
        <w:t xml:space="preserve"> and </w:t>
      </w:r>
      <w:r w:rsidRPr="00687F19">
        <w:rPr>
          <w:i/>
        </w:rPr>
        <w:t>Andrews</w:t>
      </w:r>
      <w:r w:rsidRPr="00687F19">
        <w:t xml:space="preserve"> were reasonable. A majority of this Court would do the same.  </w:t>
      </w:r>
    </w:p>
    <w:p w:rsidR="00AC53DB" w:rsidRPr="00687F19" w:rsidRDefault="00AC53DB" w:rsidP="00AC53DB">
      <w:pPr>
        <w:pStyle w:val="ParaNoNdepar-AltN"/>
        <w:tabs>
          <w:tab w:val="clear" w:pos="1166"/>
          <w:tab w:val="num" w:pos="1152"/>
        </w:tabs>
        <w:rPr>
          <w:rFonts w:cs="Times New Roman"/>
        </w:rPr>
      </w:pPr>
      <w:r w:rsidRPr="00687F19">
        <w:rPr>
          <w:rFonts w:cs="Times New Roman"/>
        </w:rPr>
        <w:t>We agree with our colleague Gascon J. as to the disposition of this appeal, as well as with his summary of the facts and judicial history. However, we part ways with respect to the selection of the appropriate standard of review. In our view, a contextual analysis leads to the conclusion that the Tribunal’s decisions should be reviewed for correctness. Applying this standard, we would hold that the Tribunal correctly decided the issue, and dismiss the appeal accordingly.</w:t>
      </w:r>
    </w:p>
    <w:p w:rsidR="00AC53DB" w:rsidRPr="00687F19" w:rsidRDefault="00AC53DB" w:rsidP="00AC53DB">
      <w:pPr>
        <w:pStyle w:val="Title1LevelTitre1Niveau-AltL"/>
        <w:rPr>
          <w:rFonts w:cs="Times New Roman"/>
        </w:rPr>
      </w:pPr>
      <w:r w:rsidRPr="00687F19">
        <w:rPr>
          <w:rFonts w:cs="Times New Roman"/>
        </w:rPr>
        <w:t xml:space="preserve">Analysis </w:t>
      </w:r>
    </w:p>
    <w:p w:rsidR="00AC53DB" w:rsidRPr="00687F19" w:rsidRDefault="00AC53DB" w:rsidP="00AC53DB">
      <w:pPr>
        <w:pStyle w:val="Title2LevelTitre2Niveau"/>
        <w:rPr>
          <w:rFonts w:cs="Times New Roman"/>
        </w:rPr>
      </w:pPr>
      <w:r w:rsidRPr="00687F19">
        <w:rPr>
          <w:rFonts w:cs="Times New Roman"/>
        </w:rPr>
        <w:t xml:space="preserve">What Is the Applicable Standard of Review?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In </w:t>
      </w:r>
      <w:r w:rsidRPr="00687F19">
        <w:rPr>
          <w:rFonts w:cs="Times New Roman"/>
          <w:i/>
        </w:rPr>
        <w:t>Dunsmuir v. New Brunswick</w:t>
      </w:r>
      <w:r w:rsidRPr="00687F19">
        <w:rPr>
          <w:rFonts w:cs="Times New Roman"/>
        </w:rPr>
        <w:t xml:space="preserve">, 2008 SCC 9, [2008] 1 S.C.R. 190, at para. 62, this Court established a two-stage framework for determining the degree of deference owed to an administrative body’s decision on judicial review. First, the reviewing court is to survey the jurisprudence to ascertain whether the applicable standard of review has already been settled. If so, the inquiry ends there and the court applies that standard in reviewing the merits of the impugned decision. If the appropriate standard has not been settled in the jurisprudence, however, the second stage of the analysis directs the court to undertake a more rigorous analysis to determine whether the statutory body’s decision ought to be reviewed for reasonableness or for correctness.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The standard of review analysis set out in </w:t>
      </w:r>
      <w:r w:rsidRPr="00687F19">
        <w:rPr>
          <w:rFonts w:cs="Times New Roman"/>
          <w:i/>
        </w:rPr>
        <w:t>Dunsmuir</w:t>
      </w:r>
      <w:r w:rsidRPr="00687F19">
        <w:rPr>
          <w:rFonts w:cs="Times New Roman"/>
        </w:rPr>
        <w:t xml:space="preserve"> requires the court to consider several contextual factors, which include the nature of the question at issue, the presence or absence of a privative clause, the tribunal’s statutory purpose, and the expertise of the tribunal (para. 64). These factors help to determine the standard that strikes the appropriate balance between </w:t>
      </w:r>
      <w:proofErr w:type="gramStart"/>
      <w:r w:rsidRPr="00687F19">
        <w:rPr>
          <w:rFonts w:cs="Times New Roman"/>
        </w:rPr>
        <w:t>respect</w:t>
      </w:r>
      <w:proofErr w:type="gramEnd"/>
      <w:r w:rsidRPr="00687F19">
        <w:rPr>
          <w:rFonts w:cs="Times New Roman"/>
        </w:rPr>
        <w:t xml:space="preserve"> for the rule of law on </w:t>
      </w:r>
      <w:r w:rsidR="00625A76">
        <w:rPr>
          <w:rFonts w:cs="Times New Roman"/>
        </w:rPr>
        <w:t xml:space="preserve">the </w:t>
      </w:r>
      <w:r w:rsidRPr="00687F19">
        <w:rPr>
          <w:rFonts w:cs="Times New Roman"/>
        </w:rPr>
        <w:t xml:space="preserve">one hand, and legislative supremacy on the other.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In the jurisprudence that followed </w:t>
      </w:r>
      <w:r w:rsidRPr="00687F19">
        <w:rPr>
          <w:rFonts w:cs="Times New Roman"/>
          <w:i/>
        </w:rPr>
        <w:t>Dunsmuir</w:t>
      </w:r>
      <w:r w:rsidRPr="00687F19">
        <w:rPr>
          <w:rFonts w:cs="Times New Roman"/>
        </w:rPr>
        <w:t xml:space="preserve">, this Court has placed significant emphasis on the nature of the question at issue when determining the applicable standard of review. In </w:t>
      </w:r>
      <w:r w:rsidRPr="00687F19">
        <w:rPr>
          <w:rFonts w:cs="Times New Roman"/>
          <w:i/>
        </w:rPr>
        <w:t>Alberta (Information and Privacy Commissioner) v. Alberta Teachers’ Association</w:t>
      </w:r>
      <w:r w:rsidRPr="00687F19">
        <w:rPr>
          <w:rFonts w:cs="Times New Roman"/>
        </w:rPr>
        <w:t>, 2011 SCC 61, [</w:t>
      </w:r>
      <w:r>
        <w:rPr>
          <w:rFonts w:cs="Times New Roman"/>
        </w:rPr>
        <w:t>2011] 3 S.C.R. 654, at para. </w:t>
      </w:r>
      <w:r w:rsidRPr="00687F19">
        <w:rPr>
          <w:rFonts w:cs="Times New Roman"/>
        </w:rPr>
        <w:t xml:space="preserve">39, this Court affirmed that reasonableness will be the presumptive standard for the review of questions that involve the tribunal’s interpretation and application of its home statute or of a statute closely related to its function. There are, however, two situations where the presumption will not apply. First, the jurisprudence recognizes four “categories” of questions that will necessarily attract review on a standard of correctness: constitutional questions, questions of law that are both of central importance to the legal system and that are outside of the tribunal’s specialized area of expertise, questions that involve the drawing of jurisdictional lines between two or more competing specialized tribunals, and true questions of jurisdiction. Second, the presumption of reasonableness will be rebutted if the contextual factors listed in </w:t>
      </w:r>
      <w:r w:rsidRPr="00687F19">
        <w:rPr>
          <w:rFonts w:cs="Times New Roman"/>
          <w:i/>
        </w:rPr>
        <w:t>Dunsmuir</w:t>
      </w:r>
      <w:r w:rsidRPr="00687F19">
        <w:rPr>
          <w:rFonts w:cs="Times New Roman"/>
        </w:rPr>
        <w:t xml:space="preserve"> point towards correctness as the appropriate standard.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Turning to the present case, we agree with the </w:t>
      </w:r>
      <w:r>
        <w:rPr>
          <w:rFonts w:cs="Times New Roman"/>
        </w:rPr>
        <w:t>Canadian Human Rights Commission (“</w:t>
      </w:r>
      <w:r w:rsidRPr="00687F19">
        <w:rPr>
          <w:rFonts w:cs="Times New Roman"/>
        </w:rPr>
        <w:t>Commission</w:t>
      </w:r>
      <w:r>
        <w:rPr>
          <w:rFonts w:cs="Times New Roman"/>
        </w:rPr>
        <w:t>”)</w:t>
      </w:r>
      <w:r w:rsidRPr="00687F19">
        <w:rPr>
          <w:rFonts w:cs="Times New Roman"/>
        </w:rPr>
        <w:t xml:space="preserve"> that the jurisprudence is unclear as to which standard applies to the review of the particular question before us. This was the conclusion reached by the unanimous Federal Court of Appeal panel; after undertaking a careful review of the relevant case law, Gleason J.A. observed the difficulty in “draw[</w:t>
      </w:r>
      <w:proofErr w:type="spellStart"/>
      <w:r w:rsidRPr="00687F19">
        <w:rPr>
          <w:rFonts w:cs="Times New Roman"/>
        </w:rPr>
        <w:t>ing</w:t>
      </w:r>
      <w:proofErr w:type="spellEnd"/>
      <w:r w:rsidRPr="00687F19">
        <w:rPr>
          <w:rFonts w:cs="Times New Roman"/>
        </w:rPr>
        <w:t xml:space="preserve">] a bright line as to when the reasonableness or the correctness standard will apply to decisions of human rights tribunals interpreting the scope of the protections afforded in their constituent legislation” (para. 69). And while this Court in </w:t>
      </w:r>
      <w:r w:rsidRPr="00687F19">
        <w:rPr>
          <w:rFonts w:eastAsia="Times New Roman" w:cs="Times New Roman"/>
          <w:i/>
          <w:szCs w:val="24"/>
        </w:rPr>
        <w:t xml:space="preserve">Canada (Canadian Human Rights Commission) </w:t>
      </w:r>
      <w:r w:rsidRPr="00687F19">
        <w:rPr>
          <w:rFonts w:eastAsia="Times New Roman" w:cs="Times New Roman"/>
          <w:i/>
          <w:iCs/>
          <w:szCs w:val="24"/>
        </w:rPr>
        <w:t>v.</w:t>
      </w:r>
      <w:r w:rsidRPr="00687F19">
        <w:rPr>
          <w:rFonts w:eastAsia="Times New Roman" w:cs="Times New Roman"/>
          <w:i/>
          <w:szCs w:val="24"/>
        </w:rPr>
        <w:t xml:space="preserve"> Canada (Attorney General)</w:t>
      </w:r>
      <w:r w:rsidRPr="00687F19">
        <w:rPr>
          <w:rFonts w:eastAsia="Times New Roman" w:cs="Times New Roman"/>
          <w:caps/>
          <w:szCs w:val="24"/>
        </w:rPr>
        <w:t>, 2011 SCC 53, [2011] 3 S.C.R. 471</w:t>
      </w:r>
      <w:r w:rsidRPr="00687F19">
        <w:rPr>
          <w:rFonts w:cs="Times New Roman"/>
        </w:rPr>
        <w:t xml:space="preserve"> (“</w:t>
      </w:r>
      <w:proofErr w:type="spellStart"/>
      <w:r w:rsidRPr="00687F19">
        <w:rPr>
          <w:rFonts w:cs="Times New Roman"/>
          <w:i/>
        </w:rPr>
        <w:t>Mowat</w:t>
      </w:r>
      <w:proofErr w:type="spellEnd"/>
      <w:r w:rsidRPr="00687F19">
        <w:rPr>
          <w:rFonts w:cs="Times New Roman"/>
        </w:rPr>
        <w:t xml:space="preserve">”), applied a reasonableness standard when reviewing a decision of the Tribunal finding that it had the statutory authority to order costs in favour of a successful complainant, it nevertheless recognized that the </w:t>
      </w:r>
      <w:r w:rsidRPr="00687F19">
        <w:rPr>
          <w:rFonts w:cs="Times New Roman"/>
          <w:i/>
        </w:rPr>
        <w:t>Dunsmuir</w:t>
      </w:r>
      <w:r w:rsidRPr="00687F19">
        <w:rPr>
          <w:rFonts w:cs="Times New Roman"/>
        </w:rPr>
        <w:t xml:space="preserve"> framework may direct that certain decisions of the Tribunal be reviewed for correctness (para. 23).   </w:t>
      </w:r>
    </w:p>
    <w:p w:rsidR="00AC53DB" w:rsidRPr="00687F19" w:rsidRDefault="00AC53DB" w:rsidP="00AC53DB">
      <w:pPr>
        <w:pStyle w:val="ParaNoNdepar-AltN"/>
        <w:tabs>
          <w:tab w:val="clear" w:pos="1166"/>
          <w:tab w:val="num" w:pos="1152"/>
        </w:tabs>
        <w:rPr>
          <w:rFonts w:cs="Times New Roman"/>
        </w:rPr>
      </w:pPr>
      <w:r w:rsidRPr="00687F19">
        <w:rPr>
          <w:rFonts w:cs="Times New Roman"/>
        </w:rPr>
        <w:t>The parties frame the issue in the present case around the Tribunal’s interpretation of s. 5 of the</w:t>
      </w:r>
      <w:r w:rsidRPr="00687F19">
        <w:rPr>
          <w:rFonts w:cs="Times New Roman"/>
          <w:i/>
        </w:rPr>
        <w:t xml:space="preserve"> CHRA</w:t>
      </w:r>
      <w:r w:rsidRPr="00687F19">
        <w:rPr>
          <w:rFonts w:cs="Times New Roman"/>
        </w:rPr>
        <w:t xml:space="preserve">, and neither disputes that this is a question to which the presumption of reasonableness applies. The respondent, the Attorney General of Canada, submits that this presumption is not rebutted on either a categorical or a contextual basis. By contrast, the appellant, Commission, submits that a contextual analysis leads to the conclusion that the standard of correctness ought to apply in these circumstances.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Since the interpretation of s. 5 of the </w:t>
      </w:r>
      <w:r w:rsidRPr="00687F19">
        <w:rPr>
          <w:rFonts w:cs="Times New Roman"/>
          <w:i/>
        </w:rPr>
        <w:t xml:space="preserve">CHRA </w:t>
      </w:r>
      <w:r w:rsidRPr="00687F19">
        <w:rPr>
          <w:rFonts w:cs="Times New Roman"/>
        </w:rPr>
        <w:t xml:space="preserve">is at issue in this case, we agree that reasonableness </w:t>
      </w:r>
      <w:r w:rsidRPr="00687F19">
        <w:rPr>
          <w:rFonts w:cs="Times New Roman"/>
          <w:i/>
        </w:rPr>
        <w:t>presumptively</w:t>
      </w:r>
      <w:r w:rsidRPr="00687F19">
        <w:rPr>
          <w:rFonts w:cs="Times New Roman"/>
        </w:rPr>
        <w:t xml:space="preserve"> applies. Gascon J.</w:t>
      </w:r>
      <w:r>
        <w:rPr>
          <w:rFonts w:cs="Times New Roman"/>
        </w:rPr>
        <w:t> </w:t>
      </w:r>
      <w:r w:rsidRPr="00687F19">
        <w:rPr>
          <w:rFonts w:cs="Times New Roman"/>
        </w:rPr>
        <w:t>is of the view that the issue before us does not fall within any of the recognized categories that attract correctness review — but has much more to say in this regard. Without it having been raised as an issue before this Court, he goes to great lengths to point out the perceived difficulties associated with the category of jurisdictional questions, and expresses significant doubt as to whether this category even remains an analytically useful component of the standard of r</w:t>
      </w:r>
      <w:r w:rsidR="00232C71">
        <w:rPr>
          <w:rFonts w:cs="Times New Roman"/>
        </w:rPr>
        <w:t>eview analysis (paras. 31-41).</w:t>
      </w:r>
      <w:r w:rsidRPr="00687F19">
        <w:rPr>
          <w:rFonts w:cs="Times New Roman"/>
        </w:rPr>
        <w:t xml:space="preserve">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We would strongly distance ourselves from these </w:t>
      </w:r>
      <w:r w:rsidRPr="00687F19">
        <w:rPr>
          <w:rFonts w:cs="Times New Roman"/>
          <w:i/>
        </w:rPr>
        <w:t>obiter</w:t>
      </w:r>
      <w:r w:rsidRPr="00687F19">
        <w:rPr>
          <w:rFonts w:cs="Times New Roman"/>
        </w:rPr>
        <w:t xml:space="preserve"> comments. Recognizing that the concept of jurisdiction has and continues to play a crucial role in administrative law, this Court has made clear on several occasions that administrative decision makers </w:t>
      </w:r>
      <w:r w:rsidRPr="00687F19">
        <w:rPr>
          <w:rFonts w:cs="Times New Roman"/>
          <w:i/>
        </w:rPr>
        <w:t>must</w:t>
      </w:r>
      <w:r w:rsidRPr="00687F19">
        <w:rPr>
          <w:rFonts w:cs="Times New Roman"/>
        </w:rPr>
        <w:t xml:space="preserve"> be correct in their determinations as to the scope of their delegated authority (</w:t>
      </w:r>
      <w:proofErr w:type="spellStart"/>
      <w:r w:rsidRPr="00687F19">
        <w:rPr>
          <w:rFonts w:cs="Times New Roman"/>
          <w:i/>
        </w:rPr>
        <w:t>Crevier</w:t>
      </w:r>
      <w:proofErr w:type="spellEnd"/>
      <w:r w:rsidRPr="00687F19">
        <w:rPr>
          <w:rFonts w:cs="Times New Roman"/>
          <w:i/>
        </w:rPr>
        <w:t xml:space="preserve"> v. Attorney General of Quebec</w:t>
      </w:r>
      <w:r w:rsidRPr="00687F19">
        <w:rPr>
          <w:rFonts w:cs="Times New Roman"/>
        </w:rPr>
        <w:t xml:space="preserve">, [1981] 2 S.C.R. 220, at pp. 236-37; </w:t>
      </w:r>
      <w:r w:rsidRPr="00687F19">
        <w:rPr>
          <w:rFonts w:cs="Times New Roman"/>
          <w:i/>
        </w:rPr>
        <w:t>United Taxi Drivers’ Fellowship of Southern Alberta v. Calgary (City)</w:t>
      </w:r>
      <w:r w:rsidRPr="00687F19">
        <w:rPr>
          <w:rFonts w:cs="Times New Roman"/>
        </w:rPr>
        <w:t xml:space="preserve">, 2004 SCC 19, [2004] 1 S.C.R. 485, at para. 5; </w:t>
      </w:r>
      <w:r w:rsidRPr="00687F19">
        <w:rPr>
          <w:rFonts w:cs="Times New Roman"/>
          <w:i/>
        </w:rPr>
        <w:t>Dunsmuir</w:t>
      </w:r>
      <w:r w:rsidRPr="00687F19">
        <w:rPr>
          <w:rFonts w:cs="Times New Roman"/>
        </w:rPr>
        <w:t>, at para. 29). This is because jurisdictional questions are fundamentally tied to both the maintenance of legislative supremacy, which requires that a given statutory body operate within the sphere in which the legislature intended that it operate, as well as the rule of law, which requires that all exercises of delegated authority find their source in law (</w:t>
      </w:r>
      <w:r w:rsidRPr="00687F19">
        <w:rPr>
          <w:rFonts w:cs="Times New Roman"/>
          <w:i/>
        </w:rPr>
        <w:t>Dunsmuir</w:t>
      </w:r>
      <w:r w:rsidRPr="00687F19">
        <w:rPr>
          <w:rFonts w:cs="Times New Roman"/>
        </w:rPr>
        <w:t>, at para. 28). Nothing in our reasons should be read as undermining these longstanding principles of judicial review. We agree with our colleague Gascon J., however, that any uncertainty surrounding the jurisdictional question category ought to be resolved another day, when this issue is squarely raised by the parties.</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We also disagree with the proposition that the contextual approach plays merely a subordinate role in the standard of review analysis (reasons of Gascon J., at para. 45). On our reading of the applicable case law, resort to the contextual approach is not exceptional at all; the framework set out by this Court in </w:t>
      </w:r>
      <w:r w:rsidRPr="00687F19">
        <w:rPr>
          <w:rFonts w:cs="Times New Roman"/>
          <w:i/>
        </w:rPr>
        <w:t>Dunsmuir</w:t>
      </w:r>
      <w:r w:rsidRPr="00687F19">
        <w:rPr>
          <w:rFonts w:cs="Times New Roman"/>
        </w:rPr>
        <w:t xml:space="preserve"> is manifestly contextual in nature. The “correctness categories”, as they have become known, are simply instances where the jurisprudence has already settled the appropriate standard, such that a more extensive analysis of the relevant contextual factors needs not be performed (</w:t>
      </w:r>
      <w:r w:rsidRPr="00687F19">
        <w:rPr>
          <w:rFonts w:cs="Times New Roman"/>
          <w:i/>
        </w:rPr>
        <w:t>Dunsmuir</w:t>
      </w:r>
      <w:r w:rsidRPr="00687F19">
        <w:rPr>
          <w:rFonts w:cs="Times New Roman"/>
        </w:rPr>
        <w:t xml:space="preserve">, at paras. 57-61; Hon. M. </w:t>
      </w:r>
      <w:proofErr w:type="spellStart"/>
      <w:r w:rsidRPr="00687F19">
        <w:rPr>
          <w:rFonts w:cs="Times New Roman"/>
        </w:rPr>
        <w:t>Bastarache</w:t>
      </w:r>
      <w:proofErr w:type="spellEnd"/>
      <w:r w:rsidRPr="00687F19">
        <w:rPr>
          <w:rFonts w:cs="Times New Roman"/>
        </w:rPr>
        <w:t xml:space="preserve">, </w:t>
      </w:r>
      <w:r w:rsidRPr="00687F19">
        <w:rPr>
          <w:rFonts w:cs="Times New Roman"/>
          <w:i/>
        </w:rPr>
        <w:t>Dunsmuir 10 Years Later</w:t>
      </w:r>
      <w:r w:rsidRPr="00687F19">
        <w:rPr>
          <w:rFonts w:cs="Times New Roman"/>
        </w:rPr>
        <w:t xml:space="preserve"> (March 9, 2018) (online)). In this regard, we can only repeat what this Court said regarding the determination of the appropriate standard of review 10</w:t>
      </w:r>
      <w:r>
        <w:rPr>
          <w:rFonts w:cs="Times New Roman"/>
        </w:rPr>
        <w:t> </w:t>
      </w:r>
      <w:r w:rsidRPr="00687F19">
        <w:rPr>
          <w:rFonts w:cs="Times New Roman"/>
        </w:rPr>
        <w:t xml:space="preserve">years ago in </w:t>
      </w:r>
      <w:r w:rsidRPr="00687F19">
        <w:rPr>
          <w:rFonts w:cs="Times New Roman"/>
          <w:i/>
        </w:rPr>
        <w:t>Dunsmuir</w:t>
      </w:r>
      <w:r w:rsidRPr="00687F19">
        <w:rPr>
          <w:rFonts w:cs="Times New Roman"/>
        </w:rPr>
        <w:t>:</w:t>
      </w:r>
    </w:p>
    <w:p w:rsidR="00AC53DB" w:rsidRPr="00687F19" w:rsidRDefault="00AC53DB" w:rsidP="00AC53DB">
      <w:pPr>
        <w:pStyle w:val="Citation-AltC"/>
        <w:ind w:firstLine="274"/>
      </w:pPr>
      <w:r w:rsidRPr="00687F19">
        <w:t xml:space="preserve">In summary, the process of judicial review involves two steps. First, courts ascertain whether the jurisprudence has already determined in a satisfactory manner the degree of deference to be accorded with regard to a particular category of question.  Second, where the first inquiry proves unfruitful, courts </w:t>
      </w:r>
      <w:r w:rsidRPr="00687F19">
        <w:rPr>
          <w:u w:val="single"/>
        </w:rPr>
        <w:t>must</w:t>
      </w:r>
      <w:r w:rsidRPr="00687F19">
        <w:t xml:space="preserve"> proceed to an analysis of the factors making it possible to identify the proper standard of review.</w:t>
      </w:r>
    </w:p>
    <w:p w:rsidR="00AC53DB" w:rsidRPr="00687F19" w:rsidRDefault="00AC53DB" w:rsidP="00AC53DB">
      <w:pPr>
        <w:pStyle w:val="Citation-AltC"/>
      </w:pPr>
    </w:p>
    <w:p w:rsidR="00AC53DB" w:rsidRPr="00687F19" w:rsidRDefault="00AC53DB" w:rsidP="00AC53DB">
      <w:pPr>
        <w:pStyle w:val="Citation-AltC"/>
        <w:ind w:firstLine="274"/>
      </w:pPr>
      <w:r w:rsidRPr="00687F19">
        <w:t>The existing approach to determining the appropriate standard of review has commonly been referred to as “pragmatic and functional”.  That name is unimportant. Reviewing courts must not get fixated on the label at the expense of a proper understanding of what the inquiry actually entails.  Because the phrase “pragmatic and functional approach” may have misguided courts in the past, we prefer to refer simply to the “standard of review analysis” in the future.</w:t>
      </w:r>
    </w:p>
    <w:p w:rsidR="00AC53DB" w:rsidRPr="00687F19" w:rsidRDefault="00AC53DB" w:rsidP="00AC53DB">
      <w:pPr>
        <w:pStyle w:val="Citation-AltC"/>
      </w:pPr>
    </w:p>
    <w:p w:rsidR="00AC53DB" w:rsidRPr="00687F19" w:rsidRDefault="00AC53DB" w:rsidP="00AC53DB">
      <w:pPr>
        <w:pStyle w:val="Citation-AltC"/>
        <w:ind w:firstLine="274"/>
      </w:pPr>
      <w:r w:rsidRPr="00687F19">
        <w:rPr>
          <w:u w:val="single"/>
        </w:rPr>
        <w:t>The analysis must be contextual.</w:t>
      </w:r>
      <w:r w:rsidRPr="00687F19">
        <w:t xml:space="preserve"> As mentioned above, it is dependent on the application of a number of relevant factors, including: (1) the presence or absence of a privative clause; (2) the purpose of the tribunal as determined by interpretation of enabling legislation; (3) the nature of the question at issue, and; (4) the expertise of the tribunal.  In many cases, it will not be necessary to consider all of the factors, as some of them may be determinative in the application of the reasonableness standard in a specifi</w:t>
      </w:r>
      <w:r>
        <w:t>c case. [Emphasis added; paras. </w:t>
      </w:r>
      <w:r w:rsidRPr="00687F19">
        <w:t xml:space="preserve">62-64.]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With this in mind, we simply cannot agree with the suggestion that the contextual analysis “should be applied sparingly”, or that “[t]he presumption of reasonableness review and the </w:t>
      </w:r>
      <w:r>
        <w:rPr>
          <w:rFonts w:cs="Times New Roman"/>
        </w:rPr>
        <w:t xml:space="preserve">identified </w:t>
      </w:r>
      <w:r w:rsidRPr="00687F19">
        <w:rPr>
          <w:rFonts w:cs="Times New Roman"/>
        </w:rPr>
        <w:t>categori</w:t>
      </w:r>
      <w:r>
        <w:rPr>
          <w:rFonts w:cs="Times New Roman"/>
        </w:rPr>
        <w:t>e</w:t>
      </w:r>
      <w:r w:rsidRPr="00687F19">
        <w:rPr>
          <w:rFonts w:cs="Times New Roman"/>
        </w:rPr>
        <w:t xml:space="preserve">s will generally be sufficient to determine the applicable standard” (reasons of </w:t>
      </w:r>
      <w:r>
        <w:rPr>
          <w:rFonts w:cs="Times New Roman"/>
        </w:rPr>
        <w:t>Gascon </w:t>
      </w:r>
      <w:r w:rsidRPr="00687F19">
        <w:rPr>
          <w:rFonts w:cs="Times New Roman"/>
        </w:rPr>
        <w:t xml:space="preserve">J., at para. 46). </w:t>
      </w:r>
      <w:r w:rsidRPr="00687F19">
        <w:rPr>
          <w:rFonts w:cs="Times New Roman"/>
          <w:i/>
        </w:rPr>
        <w:t>Dunsmuir</w:t>
      </w:r>
      <w:r w:rsidRPr="00687F19">
        <w:rPr>
          <w:rFonts w:cs="Times New Roman"/>
        </w:rPr>
        <w:t xml:space="preserve"> provides that such an analysis </w:t>
      </w:r>
      <w:r w:rsidRPr="00687F19">
        <w:rPr>
          <w:rFonts w:cs="Times New Roman"/>
          <w:i/>
        </w:rPr>
        <w:t>must</w:t>
      </w:r>
      <w:r w:rsidRPr="00687F19">
        <w:rPr>
          <w:rFonts w:cs="Times New Roman"/>
        </w:rPr>
        <w:t xml:space="preserve"> be undertaken where the categories identified in the jurisprudence do not apply.  And we observe that a number of post-</w:t>
      </w:r>
      <w:r w:rsidRPr="00687F19">
        <w:rPr>
          <w:rFonts w:cs="Times New Roman"/>
          <w:i/>
        </w:rPr>
        <w:t>Dunsmuir</w:t>
      </w:r>
      <w:r w:rsidRPr="00687F19">
        <w:rPr>
          <w:rFonts w:cs="Times New Roman"/>
        </w:rPr>
        <w:t xml:space="preserve"> decisions from this Court have done just that: </w:t>
      </w:r>
      <w:r w:rsidRPr="00687F19">
        <w:rPr>
          <w:rFonts w:cs="Times New Roman"/>
          <w:i/>
        </w:rPr>
        <w:t xml:space="preserve">Canada (Citizenship and Immigration) v. </w:t>
      </w:r>
      <w:proofErr w:type="spellStart"/>
      <w:r w:rsidRPr="00687F19">
        <w:rPr>
          <w:rFonts w:cs="Times New Roman"/>
          <w:i/>
        </w:rPr>
        <w:t>Khosa</w:t>
      </w:r>
      <w:proofErr w:type="spellEnd"/>
      <w:r w:rsidRPr="00687F19">
        <w:rPr>
          <w:rFonts w:cs="Times New Roman"/>
        </w:rPr>
        <w:t>,</w:t>
      </w:r>
      <w:r w:rsidRPr="00687F19">
        <w:rPr>
          <w:rFonts w:cs="Times New Roman"/>
          <w:i/>
        </w:rPr>
        <w:t xml:space="preserve"> </w:t>
      </w:r>
      <w:r w:rsidRPr="00687F19">
        <w:rPr>
          <w:rFonts w:cs="Times New Roman"/>
        </w:rPr>
        <w:t xml:space="preserve">2009 SCC 12, [2009] 1 S.C.R. 339; </w:t>
      </w:r>
      <w:r w:rsidRPr="00687F19">
        <w:rPr>
          <w:rFonts w:cs="Times New Roman"/>
          <w:i/>
          <w:lang w:val="en-GB"/>
        </w:rPr>
        <w:t xml:space="preserve">Nolan </w:t>
      </w:r>
      <w:r w:rsidRPr="00687F19">
        <w:rPr>
          <w:rFonts w:cs="Times New Roman"/>
          <w:i/>
          <w:iCs/>
          <w:lang w:val="en-GB"/>
        </w:rPr>
        <w:t xml:space="preserve">v. </w:t>
      </w:r>
      <w:r w:rsidRPr="00687F19">
        <w:rPr>
          <w:rFonts w:cs="Times New Roman"/>
          <w:i/>
          <w:lang w:val="en-GB"/>
        </w:rPr>
        <w:t>Kerry (Canada) Inc.</w:t>
      </w:r>
      <w:r w:rsidRPr="00687F19">
        <w:rPr>
          <w:rFonts w:cs="Times New Roman"/>
          <w:lang w:val="en-GB"/>
        </w:rPr>
        <w:t>, 2009 SCC 39, [2009] 2 S.C.R. 678;</w:t>
      </w:r>
      <w:r w:rsidRPr="00687F19">
        <w:rPr>
          <w:rFonts w:cs="Times New Roman"/>
        </w:rPr>
        <w:t xml:space="preserve"> </w:t>
      </w:r>
      <w:r w:rsidRPr="00687F19">
        <w:rPr>
          <w:rFonts w:cs="Times New Roman"/>
          <w:i/>
        </w:rPr>
        <w:t>Nor-Man Regional Health Authority Inc. v. Manitoba Association of Health Care Professionals</w:t>
      </w:r>
      <w:r w:rsidRPr="00687F19">
        <w:rPr>
          <w:rFonts w:cs="Times New Roman"/>
        </w:rPr>
        <w:t xml:space="preserve">, 2011 SCC 59, [2011] 3 S.C.R. 616; </w:t>
      </w:r>
      <w:r w:rsidRPr="00687F19">
        <w:rPr>
          <w:rFonts w:cs="Times New Roman"/>
          <w:i/>
        </w:rPr>
        <w:t>Rogers Communications Inc.</w:t>
      </w:r>
      <w:r w:rsidRPr="00687F19">
        <w:rPr>
          <w:rFonts w:cs="Times New Roman"/>
          <w:i/>
          <w:iCs/>
        </w:rPr>
        <w:t xml:space="preserve"> v.</w:t>
      </w:r>
      <w:r w:rsidRPr="00687F19">
        <w:rPr>
          <w:rFonts w:cs="Times New Roman"/>
          <w:i/>
        </w:rPr>
        <w:t xml:space="preserve"> Society of Composers, Authors and Music Publishers of Canada</w:t>
      </w:r>
      <w:r w:rsidRPr="00687F19">
        <w:rPr>
          <w:rFonts w:cs="Times New Roman"/>
        </w:rPr>
        <w:t xml:space="preserve">, 2012 SCC 35, [2012] 2 S.C.R. 283; </w:t>
      </w:r>
      <w:r w:rsidRPr="00687F19">
        <w:rPr>
          <w:rStyle w:val="sccappellantforindexchar0"/>
          <w:rFonts w:cs="Times New Roman"/>
          <w:i/>
        </w:rPr>
        <w:t>Barreau du Québec</w:t>
      </w:r>
      <w:r w:rsidRPr="00687F19">
        <w:rPr>
          <w:rFonts w:cs="Times New Roman"/>
          <w:i/>
        </w:rPr>
        <w:t xml:space="preserve"> </w:t>
      </w:r>
      <w:r w:rsidRPr="00687F19">
        <w:rPr>
          <w:rFonts w:cs="Times New Roman"/>
          <w:i/>
          <w:iCs/>
        </w:rPr>
        <w:t>v.</w:t>
      </w:r>
      <w:r w:rsidRPr="00687F19">
        <w:rPr>
          <w:rFonts w:cs="Times New Roman"/>
          <w:i/>
        </w:rPr>
        <w:t xml:space="preserve"> Quebec (</w:t>
      </w:r>
      <w:r w:rsidRPr="00625A76">
        <w:rPr>
          <w:rStyle w:val="sccrespondentforindexchar0"/>
          <w:rFonts w:cs="Times New Roman"/>
          <w:i/>
        </w:rPr>
        <w:t>Attorney General)</w:t>
      </w:r>
      <w:r w:rsidRPr="00687F19">
        <w:rPr>
          <w:rStyle w:val="sccrespondentforindexchar0"/>
          <w:rFonts w:cs="Times New Roman"/>
        </w:rPr>
        <w:t xml:space="preserve">, 2017 SCC 56, </w:t>
      </w:r>
      <w:r w:rsidRPr="00687F19">
        <w:rPr>
          <w:rFonts w:cs="Times New Roman"/>
        </w:rPr>
        <w:t xml:space="preserve">[2017] 2 S.C.R. 488. The importance of context within the </w:t>
      </w:r>
      <w:r w:rsidRPr="00687F19">
        <w:rPr>
          <w:rFonts w:cs="Times New Roman"/>
          <w:i/>
        </w:rPr>
        <w:t>Dunsmuir</w:t>
      </w:r>
      <w:r w:rsidRPr="00687F19">
        <w:rPr>
          <w:rFonts w:cs="Times New Roman"/>
        </w:rPr>
        <w:t xml:space="preserve"> framework </w:t>
      </w:r>
      <w:r w:rsidR="00625A76">
        <w:rPr>
          <w:rFonts w:cs="Times New Roman"/>
        </w:rPr>
        <w:t>should not</w:t>
      </w:r>
      <w:r w:rsidRPr="00687F19">
        <w:rPr>
          <w:rFonts w:cs="Times New Roman"/>
        </w:rPr>
        <w:t xml:space="preserve"> be downplayed. </w:t>
      </w:r>
    </w:p>
    <w:p w:rsidR="00AC53DB" w:rsidRPr="00687F19" w:rsidRDefault="00AC53DB" w:rsidP="00AC53DB">
      <w:pPr>
        <w:pStyle w:val="ParaNoNdepar-AltN"/>
        <w:tabs>
          <w:tab w:val="clear" w:pos="1166"/>
          <w:tab w:val="num" w:pos="1152"/>
        </w:tabs>
        <w:rPr>
          <w:rFonts w:cs="Times New Roman"/>
        </w:rPr>
      </w:pPr>
      <w:r w:rsidRPr="00687F19">
        <w:rPr>
          <w:rFonts w:cs="Times New Roman"/>
        </w:rPr>
        <w:t>For this reason, we dispute Gascon J.’s qualification of our standard of review analysis as being “unsupported by, and at points contrary to, this Court’s jurisprudence” (para.</w:t>
      </w:r>
      <w:r>
        <w:rPr>
          <w:rFonts w:cs="Times New Roman"/>
        </w:rPr>
        <w:t> </w:t>
      </w:r>
      <w:r w:rsidRPr="00687F19">
        <w:rPr>
          <w:rFonts w:cs="Times New Roman"/>
        </w:rPr>
        <w:t>49).</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Returning to the present case, and without deciding whether or not this question falls within any category of questions calling for correctness review, the relevant contextual factors listed in </w:t>
      </w:r>
      <w:r w:rsidRPr="00687F19">
        <w:rPr>
          <w:rFonts w:cs="Times New Roman"/>
          <w:i/>
        </w:rPr>
        <w:t>Dunsmuir</w:t>
      </w:r>
      <w:r w:rsidRPr="00687F19">
        <w:rPr>
          <w:rFonts w:cs="Times New Roman"/>
        </w:rPr>
        <w:t xml:space="preserve"> lead us to conclude that the presumption has been rebutted in this case, and that the appropriate standard of review is therefore correctness. In this respect, we would also note that correctness review for questions that involve the scope of human rights protections under the </w:t>
      </w:r>
      <w:r w:rsidRPr="00687F19">
        <w:rPr>
          <w:rFonts w:cs="Times New Roman"/>
          <w:i/>
        </w:rPr>
        <w:t>CHRA — </w:t>
      </w:r>
      <w:r w:rsidRPr="00687F19">
        <w:rPr>
          <w:rFonts w:cs="Times New Roman"/>
        </w:rPr>
        <w:t xml:space="preserve">on the basis of </w:t>
      </w:r>
      <w:r>
        <w:rPr>
          <w:rFonts w:cs="Times New Roman"/>
        </w:rPr>
        <w:t>either categories or context </w:t>
      </w:r>
      <w:r w:rsidRPr="00687F19">
        <w:rPr>
          <w:rFonts w:cs="Times New Roman"/>
        </w:rPr>
        <w:t>—</w:t>
      </w:r>
      <w:r>
        <w:rPr>
          <w:rFonts w:cs="Times New Roman"/>
        </w:rPr>
        <w:t> </w:t>
      </w:r>
      <w:r w:rsidRPr="00687F19">
        <w:rPr>
          <w:rFonts w:cs="Times New Roman"/>
        </w:rPr>
        <w:t xml:space="preserve">is not at all unprecedented (see, for example, </w:t>
      </w:r>
      <w:proofErr w:type="spellStart"/>
      <w:r w:rsidRPr="00687F19">
        <w:rPr>
          <w:rFonts w:cs="Times New Roman"/>
          <w:i/>
        </w:rPr>
        <w:t>Mowat</w:t>
      </w:r>
      <w:proofErr w:type="spellEnd"/>
      <w:r w:rsidRPr="00687F19">
        <w:rPr>
          <w:rFonts w:cs="Times New Roman"/>
        </w:rPr>
        <w:t>, at para.</w:t>
      </w:r>
      <w:r>
        <w:rPr>
          <w:rFonts w:cs="Times New Roman"/>
        </w:rPr>
        <w:t> </w:t>
      </w:r>
      <w:r w:rsidRPr="00687F19">
        <w:rPr>
          <w:rFonts w:cs="Times New Roman"/>
        </w:rPr>
        <w:t xml:space="preserve">23; </w:t>
      </w:r>
      <w:r w:rsidRPr="00687F19">
        <w:rPr>
          <w:rFonts w:cs="Times New Roman"/>
          <w:i/>
        </w:rPr>
        <w:t>Canada (Attorney General</w:t>
      </w:r>
      <w:r w:rsidRPr="00687F19">
        <w:rPr>
          <w:rFonts w:cs="Times New Roman"/>
        </w:rPr>
        <w:t xml:space="preserve">) </w:t>
      </w:r>
      <w:r w:rsidRPr="00687F19">
        <w:rPr>
          <w:rFonts w:cs="Times New Roman"/>
          <w:i/>
        </w:rPr>
        <w:t>v. Watkin</w:t>
      </w:r>
      <w:r w:rsidRPr="00687F19">
        <w:rPr>
          <w:rFonts w:cs="Times New Roman"/>
        </w:rPr>
        <w:t xml:space="preserve">, 2008 FCA 170, 378 N.R. 268, at para. 23; </w:t>
      </w:r>
      <w:r w:rsidRPr="00687F19">
        <w:rPr>
          <w:rFonts w:cs="Times New Roman"/>
          <w:i/>
        </w:rPr>
        <w:t>Canada (Attorney General) v. Johnstone</w:t>
      </w:r>
      <w:r w:rsidRPr="00687F19">
        <w:rPr>
          <w:rFonts w:cs="Times New Roman"/>
        </w:rPr>
        <w:t xml:space="preserve">, 2014 FCA 110, [2015] 2 F.C.R. 595, at paras. 44-52; </w:t>
      </w:r>
      <w:r w:rsidRPr="00687F19">
        <w:rPr>
          <w:rFonts w:cs="Times New Roman"/>
          <w:i/>
        </w:rPr>
        <w:t>Canadian National Railway v. Seeley</w:t>
      </w:r>
      <w:r w:rsidRPr="00687F19">
        <w:rPr>
          <w:rFonts w:cs="Times New Roman"/>
        </w:rPr>
        <w:t xml:space="preserve">, 2014 FCA 111, 458 N.R. 349, at paras. 35-36).   </w:t>
      </w:r>
    </w:p>
    <w:p w:rsidR="00AC53DB" w:rsidRPr="00687F19" w:rsidRDefault="00AC53DB" w:rsidP="00AC53DB">
      <w:pPr>
        <w:pStyle w:val="Title3LevelTitre3Niveau"/>
        <w:numPr>
          <w:ilvl w:val="2"/>
          <w:numId w:val="8"/>
        </w:numPr>
        <w:spacing w:before="240" w:after="240" w:line="276" w:lineRule="auto"/>
        <w:jc w:val="left"/>
        <w:rPr>
          <w:rFonts w:cs="Times New Roman"/>
        </w:rPr>
      </w:pPr>
      <w:r w:rsidRPr="00687F19">
        <w:rPr>
          <w:rFonts w:cs="Times New Roman"/>
        </w:rPr>
        <w:t>Absence of a Privative Clause</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First is the absence of a privative clause. This Court in </w:t>
      </w:r>
      <w:r w:rsidRPr="00687F19">
        <w:rPr>
          <w:rFonts w:cs="Times New Roman"/>
          <w:i/>
        </w:rPr>
        <w:t xml:space="preserve">Dunsmuir </w:t>
      </w:r>
      <w:r w:rsidRPr="00687F19">
        <w:rPr>
          <w:rFonts w:cs="Times New Roman"/>
        </w:rPr>
        <w:t xml:space="preserve">noted that the existence of “a privative clause is evidence of Parliament or a legislature’s intent that an administrative decision maker be given greater deference and that interference by reviewing courts be minimized” (para. 52). Put differently, while these statutory provisions do not oust the superior courts’ inherent and constitutional authority to judicially review administrative action, they nevertheless provide a strong indication that deference is to be shown to that particular decision maker.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Although the </w:t>
      </w:r>
      <w:r w:rsidRPr="00687F19">
        <w:rPr>
          <w:rFonts w:cs="Times New Roman"/>
          <w:i/>
        </w:rPr>
        <w:t xml:space="preserve">CHRA </w:t>
      </w:r>
      <w:r w:rsidRPr="00687F19">
        <w:rPr>
          <w:rFonts w:cs="Times New Roman"/>
        </w:rPr>
        <w:t>confers onto the Tribunal the power to “decide all questions of law or fact necessary to determining the matter” before it (s. 50(2)), Parliament opted not to shield these decisions from exacting review behind a privative clause. We appreciate that the absence of a privative clause does not, on its own, rebut the presumption of deference, though we would nevertheless note that it does not support reasonableness review either</w:t>
      </w:r>
      <w:r w:rsidR="00232C71">
        <w:rPr>
          <w:rFonts w:cs="Times New Roman"/>
        </w:rPr>
        <w:t>.</w:t>
      </w:r>
      <w:r w:rsidRPr="00687F19">
        <w:rPr>
          <w:rFonts w:cs="Times New Roman"/>
        </w:rPr>
        <w:t xml:space="preserve"> </w:t>
      </w:r>
    </w:p>
    <w:p w:rsidR="00AC53DB" w:rsidRPr="00687F19" w:rsidRDefault="00AC53DB" w:rsidP="00AC53DB">
      <w:pPr>
        <w:pStyle w:val="Title3LevelTitre3Niveau"/>
        <w:numPr>
          <w:ilvl w:val="2"/>
          <w:numId w:val="8"/>
        </w:numPr>
        <w:spacing w:before="240" w:after="240" w:line="276" w:lineRule="auto"/>
        <w:rPr>
          <w:rFonts w:cs="Times New Roman"/>
        </w:rPr>
      </w:pPr>
      <w:r w:rsidRPr="00687F19">
        <w:rPr>
          <w:rFonts w:cs="Times New Roman"/>
        </w:rPr>
        <w:t xml:space="preserve">Expertise of the Tribunal: Section 5 of the </w:t>
      </w:r>
      <w:r w:rsidRPr="00687F19">
        <w:rPr>
          <w:rFonts w:cs="Times New Roman"/>
          <w:i/>
        </w:rPr>
        <w:t xml:space="preserve">CHRA </w:t>
      </w:r>
      <w:r w:rsidRPr="00687F19">
        <w:rPr>
          <w:rFonts w:cs="Times New Roman"/>
        </w:rPr>
        <w:t>Is Not Interpreted Exclusively Within a Discrete and Special Administrative Regime</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The second factor militating in favour of correctness review is the desirability of a uniform interpretation of the term “services” as it appears in s. 5 of the </w:t>
      </w:r>
      <w:r w:rsidRPr="00687F19">
        <w:rPr>
          <w:rFonts w:cs="Times New Roman"/>
          <w:i/>
        </w:rPr>
        <w:t xml:space="preserve">CHRA </w:t>
      </w:r>
      <w:r w:rsidRPr="00687F19">
        <w:rPr>
          <w:rFonts w:cs="Times New Roman"/>
        </w:rPr>
        <w:t>across federal statutory bodies. On several occasions, this Court has affirmed that human rights protections must be interpreted consistently across jurisdictions, unless the legislative intent clearly indicates otherwise (</w:t>
      </w:r>
      <w:r w:rsidRPr="00687F19">
        <w:rPr>
          <w:rFonts w:cs="Times New Roman"/>
          <w:i/>
        </w:rPr>
        <w:t>University of British Columbia v. Berg</w:t>
      </w:r>
      <w:r w:rsidRPr="00687F19">
        <w:rPr>
          <w:rFonts w:cs="Times New Roman"/>
        </w:rPr>
        <w:t xml:space="preserve">, [1993] 2 S.C.R. 353, at p. 373; </w:t>
      </w:r>
      <w:r w:rsidRPr="00687F19">
        <w:rPr>
          <w:rFonts w:cs="Times New Roman"/>
          <w:i/>
        </w:rPr>
        <w:t>Gould v. Yukon Order of Pioneers</w:t>
      </w:r>
      <w:r w:rsidRPr="00687F19">
        <w:rPr>
          <w:rFonts w:cs="Times New Roman"/>
        </w:rPr>
        <w:t xml:space="preserve">, [1996] 1 S.C.R. 571, at para. 47; </w:t>
      </w:r>
      <w:r w:rsidRPr="00687F19">
        <w:rPr>
          <w:rFonts w:cs="Times New Roman"/>
          <w:i/>
        </w:rPr>
        <w:t>New Brunswick (Human Rights Commission) v. Potash Corporation of Saskatchewan Inc.</w:t>
      </w:r>
      <w:r w:rsidRPr="00687F19">
        <w:rPr>
          <w:rFonts w:cs="Times New Roman"/>
        </w:rPr>
        <w:t xml:space="preserve">, 2008 SCC 45, [2008] 2 S.C.R. 604, at para. 68, per McLachlin C.J., concurring in part). In our view, it is even more imperative that provisions within a given human rights statute be interpreted consistently among courts and tribunals tasked with its application. The rule of law is undermined where the same anti-discrimination protection is interpreted and applied a certain way by one administrative decision maker, and altogether differently by another.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The Tribunal is not the only administrative decision maker at the federal level that is tasked with enforcing the anti-discrimination protections of the </w:t>
      </w:r>
      <w:r w:rsidRPr="00687F19">
        <w:rPr>
          <w:rFonts w:cs="Times New Roman"/>
          <w:i/>
        </w:rPr>
        <w:t>CHRA</w:t>
      </w:r>
      <w:r w:rsidRPr="00687F19">
        <w:rPr>
          <w:rFonts w:cs="Times New Roman"/>
        </w:rPr>
        <w:t>. This Court has found that administrative decision makers other than human rights tribunals may also have the authority to interpret and apply human rights legislation in connection with matters properly before them (</w:t>
      </w:r>
      <w:proofErr w:type="spellStart"/>
      <w:r w:rsidRPr="00687F19">
        <w:rPr>
          <w:rFonts w:cs="Times New Roman"/>
          <w:i/>
          <w:iCs/>
        </w:rPr>
        <w:t>Tranchemontagne</w:t>
      </w:r>
      <w:proofErr w:type="spellEnd"/>
      <w:r w:rsidRPr="00687F19">
        <w:rPr>
          <w:rFonts w:cs="Times New Roman"/>
          <w:i/>
          <w:iCs/>
        </w:rPr>
        <w:t xml:space="preserve"> v. Ontario (Director, Disability Support Program)</w:t>
      </w:r>
      <w:r w:rsidRPr="00687F19">
        <w:rPr>
          <w:rFonts w:cs="Times New Roman"/>
        </w:rPr>
        <w:t xml:space="preserve">, 2006 SCC 14, [2006] 1 S.C.R. 513; see, for example, </w:t>
      </w:r>
      <w:r w:rsidRPr="00687F19">
        <w:rPr>
          <w:rFonts w:cs="Times New Roman"/>
          <w:i/>
          <w:iCs/>
        </w:rPr>
        <w:t>Canada Employment Insurance Commission v. M. W.</w:t>
      </w:r>
      <w:r w:rsidRPr="00687F19">
        <w:rPr>
          <w:rFonts w:cs="Times New Roman"/>
        </w:rPr>
        <w:t>, 2014 SSTAD 371, at paras. 51-69 (CanLII)). We are therefore of the view that the particular question at issue — whether legislation can be challenged as discrimination in the provision of a service — does not arise within a particularly discrete administrative regime over which the Tribunal has exclusive jurisdiction (</w:t>
      </w:r>
      <w:r w:rsidRPr="00687F19">
        <w:rPr>
          <w:rFonts w:cs="Times New Roman"/>
          <w:i/>
        </w:rPr>
        <w:t>Dunsmuir</w:t>
      </w:r>
      <w:r w:rsidRPr="00687F19">
        <w:rPr>
          <w:rFonts w:cs="Times New Roman"/>
        </w:rPr>
        <w:t xml:space="preserve">, at para. 55; </w:t>
      </w:r>
      <w:r w:rsidRPr="00687F19">
        <w:rPr>
          <w:rFonts w:eastAsia="Times New Roman" w:cs="Times New Roman"/>
          <w:i/>
          <w:szCs w:val="24"/>
        </w:rPr>
        <w:t>Rogers Communications</w:t>
      </w:r>
      <w:r w:rsidRPr="00687F19">
        <w:rPr>
          <w:rFonts w:eastAsia="Times New Roman" w:cs="Times New Roman"/>
          <w:szCs w:val="24"/>
        </w:rPr>
        <w:t xml:space="preserve">, at para. 18; </w:t>
      </w:r>
      <w:r w:rsidRPr="00687F19">
        <w:rPr>
          <w:rFonts w:eastAsia="Times New Roman" w:cs="Times New Roman"/>
          <w:i/>
          <w:szCs w:val="24"/>
        </w:rPr>
        <w:t>Johnstone</w:t>
      </w:r>
      <w:r w:rsidRPr="00687F19">
        <w:rPr>
          <w:rFonts w:eastAsia="Times New Roman" w:cs="Times New Roman"/>
          <w:szCs w:val="24"/>
        </w:rPr>
        <w:t>, at paras. 47-48)</w:t>
      </w:r>
      <w:r w:rsidRPr="00687F19">
        <w:rPr>
          <w:rFonts w:cs="Times New Roman"/>
        </w:rPr>
        <w:t xml:space="preserve">. Various other decision makers — including the Commission, the Social Security Tribunal, and labour arbitrators — have been and will continue to be asked that very same question. To borrow the words of </w:t>
      </w:r>
      <w:proofErr w:type="spellStart"/>
      <w:r w:rsidRPr="00687F19">
        <w:rPr>
          <w:rFonts w:cs="Times New Roman"/>
        </w:rPr>
        <w:t>Slatter</w:t>
      </w:r>
      <w:proofErr w:type="spellEnd"/>
      <w:r w:rsidRPr="00687F19">
        <w:rPr>
          <w:rFonts w:cs="Times New Roman"/>
        </w:rPr>
        <w:t xml:space="preserve"> J.A. in </w:t>
      </w:r>
      <w:r w:rsidRPr="00687F19">
        <w:rPr>
          <w:rFonts w:cs="Times New Roman"/>
          <w:i/>
        </w:rPr>
        <w:t>Garneau Community League v. Edmonton (City)</w:t>
      </w:r>
      <w:r w:rsidRPr="00687F19">
        <w:rPr>
          <w:rFonts w:cs="Times New Roman"/>
        </w:rPr>
        <w:t xml:space="preserve">, 2017 ABCA 374, 60 Alta. L.R. (6th) 1, at para. 95: </w:t>
      </w:r>
    </w:p>
    <w:p w:rsidR="00AC53DB" w:rsidRPr="00687F19" w:rsidRDefault="00AC53DB" w:rsidP="00AC53DB">
      <w:pPr>
        <w:pStyle w:val="Citation-AltC"/>
      </w:pPr>
      <w:r w:rsidRPr="00687F19">
        <w:t>. . . </w:t>
      </w:r>
      <w:proofErr w:type="gramStart"/>
      <w:r w:rsidRPr="00687F19">
        <w:t>it</w:t>
      </w:r>
      <w:proofErr w:type="gramEnd"/>
      <w:r w:rsidRPr="00687F19">
        <w:t xml:space="preserve"> cannot be the legislative intent that public statutes mean different things in different parts of the [country]. In a related but analogous context, the Supreme Court accepted in </w:t>
      </w:r>
      <w:proofErr w:type="spellStart"/>
      <w:r w:rsidRPr="00687F19">
        <w:rPr>
          <w:bCs/>
          <w:i/>
          <w:iCs/>
        </w:rPr>
        <w:t>Housen</w:t>
      </w:r>
      <w:proofErr w:type="spellEnd"/>
      <w:r w:rsidRPr="00687F19">
        <w:rPr>
          <w:bCs/>
          <w:i/>
          <w:iCs/>
        </w:rPr>
        <w:t xml:space="preserve"> v. </w:t>
      </w:r>
      <w:proofErr w:type="spellStart"/>
      <w:r w:rsidRPr="00687F19">
        <w:rPr>
          <w:bCs/>
          <w:i/>
          <w:iCs/>
        </w:rPr>
        <w:t>Nikolaisen</w:t>
      </w:r>
      <w:proofErr w:type="spellEnd"/>
      <w:r w:rsidRPr="00687F19">
        <w:t>, 2002 SCC 33</w:t>
      </w:r>
      <w:r w:rsidRPr="00687F19">
        <w:rPr>
          <w:rStyle w:val="reflex3-block"/>
        </w:rPr>
        <w:t xml:space="preserve"> (S.C.C.) at paras. 9-10, </w:t>
      </w:r>
      <w:r w:rsidRPr="00687F19">
        <w:rPr>
          <w:rStyle w:val="reflex3-alt"/>
        </w:rPr>
        <w:t>[2002] 2 S.C.R. 235</w:t>
      </w:r>
      <w:r w:rsidRPr="00687F19">
        <w:t xml:space="preserve"> </w:t>
      </w:r>
      <w:r w:rsidRPr="00687F19">
        <w:rPr>
          <w:rStyle w:val="reflex3-block"/>
        </w:rPr>
        <w:t xml:space="preserve">(S.C.C.) </w:t>
      </w:r>
      <w:r w:rsidRPr="00687F19">
        <w:t>that appellate courts perform legitimate law-settling and law-making roles. It is part of the legitimate role of appellate courts to ensure that the same legal rules are applied in similar situations. For that same reason, the standard of review of correctness should be applied when many tribunals have to interpret the same statute.</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The principal concern regarding this concurrent jurisdiction is therefore that these decision makers will arrive at competing conclusions as to the scope of the very same human rights protection — or, to put it more generally, that the answer to a given legal question will depend on the decision maker considering it. This concern is fundamentally tied to the rule of law. And in our view, it matters not that jurisdiction is shared between a statutory body and a court, or instead among several statutory bodies; the fact that an administrative decision may have ramifications beyond a single, discrete tribunal underscores this rule of law concern, and supports review of that decision on a standard of correctness.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This rule of law concern is more than just theoretical. As was highlighted in both </w:t>
      </w:r>
      <w:r w:rsidRPr="00687F19">
        <w:rPr>
          <w:rFonts w:cs="Times New Roman"/>
          <w:i/>
        </w:rPr>
        <w:t xml:space="preserve">Andrews </w:t>
      </w:r>
      <w:r w:rsidRPr="00687F19">
        <w:rPr>
          <w:rFonts w:cs="Times New Roman"/>
        </w:rPr>
        <w:t xml:space="preserve">and in </w:t>
      </w:r>
      <w:r w:rsidRPr="00687F19">
        <w:rPr>
          <w:rFonts w:cs="Times New Roman"/>
          <w:i/>
        </w:rPr>
        <w:t>Matson</w:t>
      </w:r>
      <w:r w:rsidRPr="00687F19">
        <w:rPr>
          <w:rFonts w:cs="Times New Roman"/>
        </w:rPr>
        <w:t xml:space="preserve">, there exists diverging lines of authority as to whether the human rights protection in s. 5 of the </w:t>
      </w:r>
      <w:r w:rsidRPr="00687F19">
        <w:rPr>
          <w:rFonts w:cs="Times New Roman"/>
          <w:i/>
        </w:rPr>
        <w:t>CHRA</w:t>
      </w:r>
      <w:r w:rsidRPr="00687F19">
        <w:rPr>
          <w:rFonts w:cs="Times New Roman"/>
        </w:rPr>
        <w:t xml:space="preserve"> permits challenges aimed at legislation and nothing else. In </w:t>
      </w:r>
      <w:proofErr w:type="spellStart"/>
      <w:r w:rsidRPr="00687F19">
        <w:rPr>
          <w:rFonts w:cs="Times New Roman"/>
          <w:i/>
        </w:rPr>
        <w:t>Druken</w:t>
      </w:r>
      <w:proofErr w:type="spellEnd"/>
      <w:r w:rsidRPr="00687F19">
        <w:rPr>
          <w:rFonts w:cs="Times New Roman"/>
        </w:rPr>
        <w:t xml:space="preserve">, both the Tribunal and the Federal Court of Appeal accepted that unemployment insurance, which was available pursuant to the </w:t>
      </w:r>
      <w:r w:rsidRPr="00687F19">
        <w:rPr>
          <w:rFonts w:cs="Times New Roman"/>
          <w:i/>
        </w:rPr>
        <w:t>Unemployment Insurance Act, 1971</w:t>
      </w:r>
      <w:r w:rsidRPr="00687F19">
        <w:rPr>
          <w:rFonts w:cs="Times New Roman"/>
        </w:rPr>
        <w:t>, S.C. 1970-71-72, c. 48,</w:t>
      </w:r>
      <w:r w:rsidRPr="00687F19">
        <w:rPr>
          <w:rFonts w:cs="Times New Roman"/>
          <w:i/>
        </w:rPr>
        <w:t xml:space="preserve"> </w:t>
      </w:r>
      <w:r w:rsidRPr="00687F19">
        <w:rPr>
          <w:rFonts w:cs="Times New Roman"/>
        </w:rPr>
        <w:t xml:space="preserve">and its regulations, was a “service” for the purpose of s. 5 of the </w:t>
      </w:r>
      <w:r w:rsidRPr="00687F19">
        <w:rPr>
          <w:rFonts w:cs="Times New Roman"/>
          <w:i/>
        </w:rPr>
        <w:t>CHRA</w:t>
      </w:r>
      <w:r w:rsidRPr="00687F19">
        <w:rPr>
          <w:rFonts w:cs="Times New Roman"/>
        </w:rPr>
        <w:t xml:space="preserve"> (</w:t>
      </w:r>
      <w:proofErr w:type="spellStart"/>
      <w:r w:rsidRPr="00687F19">
        <w:rPr>
          <w:rFonts w:cs="Times New Roman"/>
          <w:i/>
        </w:rPr>
        <w:t>Druken</w:t>
      </w:r>
      <w:proofErr w:type="spellEnd"/>
      <w:r w:rsidRPr="00687F19">
        <w:rPr>
          <w:rFonts w:cs="Times New Roman"/>
          <w:i/>
        </w:rPr>
        <w:t xml:space="preserve"> v. Canada (Employment and Immigration Commission)</w:t>
      </w:r>
      <w:r w:rsidRPr="00687F19">
        <w:rPr>
          <w:rFonts w:cs="Times New Roman"/>
        </w:rPr>
        <w:t xml:space="preserve">, 1987 CanLII 99; </w:t>
      </w:r>
      <w:r w:rsidRPr="00687F19">
        <w:rPr>
          <w:rFonts w:cs="Times New Roman"/>
          <w:i/>
        </w:rPr>
        <w:t xml:space="preserve">Canada (Attorney General) v. </w:t>
      </w:r>
      <w:proofErr w:type="spellStart"/>
      <w:r w:rsidRPr="00687F19">
        <w:rPr>
          <w:rFonts w:cs="Times New Roman"/>
          <w:i/>
        </w:rPr>
        <w:t>Druken</w:t>
      </w:r>
      <w:proofErr w:type="spellEnd"/>
      <w:r w:rsidRPr="00687F19">
        <w:rPr>
          <w:rFonts w:cs="Times New Roman"/>
        </w:rPr>
        <w:t xml:space="preserve">, [1989] 2 F.C. 24). This reasoning was followed by the Federal Court in </w:t>
      </w:r>
      <w:r w:rsidRPr="00687F19">
        <w:rPr>
          <w:rFonts w:cs="Times New Roman"/>
          <w:i/>
          <w:iCs/>
        </w:rPr>
        <w:t>Gonzalez v. Canada (Employment and Immigration Commission)</w:t>
      </w:r>
      <w:r w:rsidRPr="00687F19">
        <w:rPr>
          <w:rFonts w:cs="Times New Roman"/>
        </w:rPr>
        <w:t xml:space="preserve">, </w:t>
      </w:r>
      <w:r w:rsidRPr="00687F19">
        <w:rPr>
          <w:rStyle w:val="reflex3-alt"/>
          <w:rFonts w:cs="Times New Roman"/>
        </w:rPr>
        <w:t xml:space="preserve">[1997] 3 F.C. 646 (T.D.), and </w:t>
      </w:r>
      <w:r w:rsidRPr="00687F19">
        <w:rPr>
          <w:rFonts w:cs="Times New Roman"/>
        </w:rPr>
        <w:t xml:space="preserve">by the Tribunal in </w:t>
      </w:r>
      <w:r w:rsidRPr="00687F19">
        <w:rPr>
          <w:rFonts w:cs="Times New Roman"/>
          <w:i/>
          <w:iCs/>
        </w:rPr>
        <w:t>McAllister-Windsor v. Canada (Human Resources Development)</w:t>
      </w:r>
      <w:r w:rsidRPr="00687F19">
        <w:rPr>
          <w:rFonts w:cs="Times New Roman"/>
        </w:rPr>
        <w:t xml:space="preserve">, </w:t>
      </w:r>
      <w:r w:rsidRPr="00687F19">
        <w:rPr>
          <w:rStyle w:val="reflex3-alt"/>
          <w:rFonts w:cs="Times New Roman"/>
        </w:rPr>
        <w:t>2001 CanLII 20691</w:t>
      </w:r>
      <w:r w:rsidRPr="00687F19">
        <w:rPr>
          <w:rFonts w:cs="Times New Roman"/>
        </w:rPr>
        <w:t xml:space="preserve">. By contrast, other decision makers interpreting that very same provision of the </w:t>
      </w:r>
      <w:r w:rsidRPr="00687F19">
        <w:rPr>
          <w:rFonts w:cs="Times New Roman"/>
          <w:i/>
        </w:rPr>
        <w:t xml:space="preserve">CHRA </w:t>
      </w:r>
      <w:r w:rsidRPr="00687F19">
        <w:rPr>
          <w:rFonts w:cs="Times New Roman"/>
        </w:rPr>
        <w:t xml:space="preserve">reached the opposite conclusion. For example, the Federal Court of Appeal in </w:t>
      </w:r>
      <w:r w:rsidRPr="00687F19">
        <w:rPr>
          <w:rFonts w:cs="Times New Roman"/>
          <w:i/>
          <w:lang w:val="en-US"/>
        </w:rPr>
        <w:t>Public Service Alliance of Canada v. Canada Revenue Agency</w:t>
      </w:r>
      <w:r w:rsidRPr="00687F19">
        <w:rPr>
          <w:rFonts w:cs="Times New Roman"/>
          <w:lang w:val="en-US"/>
        </w:rPr>
        <w:t>, 2012 FCA 7, 428 N.R. 240 (“</w:t>
      </w:r>
      <w:r w:rsidRPr="00687F19">
        <w:rPr>
          <w:rFonts w:cs="Times New Roman"/>
          <w:i/>
          <w:lang w:val="en-US"/>
        </w:rPr>
        <w:t>Murphy</w:t>
      </w:r>
      <w:r w:rsidRPr="00687F19">
        <w:rPr>
          <w:rFonts w:cs="Times New Roman"/>
          <w:lang w:val="en-US"/>
        </w:rPr>
        <w:t>”),</w:t>
      </w:r>
      <w:r w:rsidRPr="00687F19">
        <w:rPr>
          <w:rFonts w:cs="Times New Roman"/>
        </w:rPr>
        <w:t xml:space="preserve"> held that “the CHRA does not provide for the filing of a complaint directed against an act of Parliament” (para. 6). This echoed the holding of the Tribunal in </w:t>
      </w:r>
      <w:r w:rsidRPr="00687F19">
        <w:rPr>
          <w:rFonts w:cs="Times New Roman"/>
          <w:i/>
        </w:rPr>
        <w:t>Forward v. Canada (Citizenship and Immigration)</w:t>
      </w:r>
      <w:r w:rsidRPr="00687F19">
        <w:rPr>
          <w:rFonts w:cs="Times New Roman"/>
        </w:rPr>
        <w:t xml:space="preserve">, 2008 CHRT 5, and of the Federal Court in </w:t>
      </w:r>
      <w:r w:rsidRPr="00687F19">
        <w:rPr>
          <w:rFonts w:cs="Times New Roman"/>
          <w:i/>
        </w:rPr>
        <w:t>Canada (Human Rights Commission) v. M.N.R.</w:t>
      </w:r>
      <w:r w:rsidRPr="00687F19">
        <w:rPr>
          <w:rFonts w:cs="Times New Roman"/>
        </w:rPr>
        <w:t xml:space="preserve">, 2003 FC 1280, [2004] 1 F.C.R. 679, at para. 30, as well as the comments made by Robertson J.A. of the Federal Court of Appeal in </w:t>
      </w:r>
      <w:r w:rsidRPr="00687F19">
        <w:rPr>
          <w:rFonts w:cs="Times New Roman"/>
          <w:i/>
          <w:iCs/>
        </w:rPr>
        <w:t>Canada (Attorney General) v. McKenna</w:t>
      </w:r>
      <w:r w:rsidRPr="00687F19">
        <w:rPr>
          <w:rFonts w:cs="Times New Roman"/>
        </w:rPr>
        <w:t>,</w:t>
      </w:r>
      <w:r w:rsidRPr="00687F19">
        <w:rPr>
          <w:rStyle w:val="reflex3-block"/>
          <w:rFonts w:cs="Times New Roman"/>
        </w:rPr>
        <w:t xml:space="preserve"> </w:t>
      </w:r>
      <w:r w:rsidRPr="00687F19">
        <w:rPr>
          <w:rStyle w:val="reflex3-alt"/>
          <w:rFonts w:cs="Times New Roman"/>
        </w:rPr>
        <w:t>[1999] 1 F.C. 401</w:t>
      </w:r>
      <w:r w:rsidRPr="00687F19">
        <w:rPr>
          <w:rFonts w:cs="Times New Roman"/>
        </w:rPr>
        <w:t xml:space="preserve">, at paras. 78-80.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Can both of these ostensibly reasonable interpretations of the same human rights protection co-exist side-by-side? Should the scope of s. 5 of the </w:t>
      </w:r>
      <w:r w:rsidRPr="00687F19">
        <w:rPr>
          <w:rFonts w:cs="Times New Roman"/>
          <w:i/>
        </w:rPr>
        <w:t>CHRA</w:t>
      </w:r>
      <w:r w:rsidRPr="00687F19">
        <w:rPr>
          <w:rFonts w:cs="Times New Roman"/>
        </w:rPr>
        <w:t xml:space="preserve"> be contingent on the view of the Tribunal member or judge before whom the litigants find themselves? We would say no. Given the foregoing, and bearing in mind the quasi-constitutional status of human rights legislation, the question arising in the present case is precisely one that calls for uniform and consistent answers across Canadian courts and statutory bodies. This cannot be achieved, however, if superior courts require only that these decisions fall within a range of reasonable outcomes. Rather, applying a non-deferential correctness standard allows the courts to provide meaningful guidance as to the scope of these fundamentally important human rights protections, and ensure respect for the rule of law in such cases. </w:t>
      </w:r>
    </w:p>
    <w:p w:rsidR="00AC53DB" w:rsidRPr="00687F19" w:rsidRDefault="00AC53DB" w:rsidP="00AC53DB">
      <w:pPr>
        <w:pStyle w:val="Title3LevelTitre3Niveau"/>
        <w:rPr>
          <w:rFonts w:cs="Times New Roman"/>
        </w:rPr>
      </w:pPr>
      <w:r w:rsidRPr="00687F19">
        <w:rPr>
          <w:rFonts w:cs="Times New Roman"/>
        </w:rPr>
        <w:t>The Purpose of the Tribunal and the Nature of the Question at Issue</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Finally, the issue before this Court touches on the very purpose for which the Tribunal exists. In deciding whether or not challenges to legislation are caught within the meaning of a “discriminatory practice” under the </w:t>
      </w:r>
      <w:r w:rsidRPr="00687F19">
        <w:rPr>
          <w:rFonts w:cs="Times New Roman"/>
          <w:i/>
        </w:rPr>
        <w:t>CHRA</w:t>
      </w:r>
      <w:r w:rsidRPr="00687F19">
        <w:rPr>
          <w:rFonts w:cs="Times New Roman"/>
        </w:rPr>
        <w:t xml:space="preserve">, the Tribunal’s decision responds to a question of law with a constitutional dimension: Who gets to decide what types of challenges can be brought against legislative action? The Commission argued that a determination that legislative challenges are not caught within the scope of s. 5 undermines the primacy of human rights law by barring claimants from bringing certain types of challenges before the Tribunal. While this appeal is not constitutional in the narrow sense — in that it does not directly engage rights protected under the </w:t>
      </w:r>
      <w:r w:rsidRPr="00687F19">
        <w:rPr>
          <w:rFonts w:cs="Times New Roman"/>
          <w:i/>
        </w:rPr>
        <w:t>Canadian Charter of Rights and Freedoms</w:t>
      </w:r>
      <w:r w:rsidRPr="00687F19">
        <w:rPr>
          <w:rFonts w:cs="Times New Roman"/>
        </w:rPr>
        <w:t xml:space="preserve">, for example — it necessarily implicates the rule of law and the duty of superior courts under s. 96 of the </w:t>
      </w:r>
      <w:r w:rsidRPr="00687F19">
        <w:rPr>
          <w:rFonts w:cs="Times New Roman"/>
          <w:i/>
        </w:rPr>
        <w:t>Constitution Act, 1867</w:t>
      </w:r>
      <w:r w:rsidRPr="00687F19">
        <w:rPr>
          <w:rFonts w:cs="Times New Roman"/>
        </w:rPr>
        <w:t xml:space="preserve"> to uphold this fundamental constitutional principle (</w:t>
      </w:r>
      <w:r w:rsidRPr="00687F19">
        <w:rPr>
          <w:rFonts w:cs="Times New Roman"/>
          <w:i/>
        </w:rPr>
        <w:t>Dunsmuir</w:t>
      </w:r>
      <w:r w:rsidRPr="00687F19">
        <w:rPr>
          <w:rFonts w:cs="Times New Roman"/>
        </w:rPr>
        <w:t>,</w:t>
      </w:r>
      <w:r w:rsidRPr="00687F19">
        <w:rPr>
          <w:rFonts w:cs="Times New Roman"/>
          <w:i/>
        </w:rPr>
        <w:t xml:space="preserve"> </w:t>
      </w:r>
      <w:r w:rsidRPr="00687F19">
        <w:rPr>
          <w:rFonts w:cs="Times New Roman"/>
        </w:rPr>
        <w:t xml:space="preserve">at paras. 29 and 31). No deference is owed to the decision of an administrative decision maker in these circumstances. </w:t>
      </w:r>
    </w:p>
    <w:p w:rsidR="00AC53DB" w:rsidRPr="00687F19" w:rsidRDefault="00AC53DB" w:rsidP="00AC53DB">
      <w:pPr>
        <w:pStyle w:val="Title3LevelTitre3Niveau"/>
        <w:numPr>
          <w:ilvl w:val="2"/>
          <w:numId w:val="8"/>
        </w:numPr>
        <w:spacing w:before="240" w:after="240" w:line="276" w:lineRule="auto"/>
        <w:jc w:val="left"/>
        <w:rPr>
          <w:rFonts w:cs="Times New Roman"/>
        </w:rPr>
      </w:pPr>
      <w:r w:rsidRPr="00687F19">
        <w:rPr>
          <w:rFonts w:cs="Times New Roman"/>
        </w:rPr>
        <w:t>Conclusion</w:t>
      </w:r>
    </w:p>
    <w:p w:rsidR="00AC53DB" w:rsidRPr="00687F19" w:rsidRDefault="00AC53DB" w:rsidP="00AC53DB">
      <w:pPr>
        <w:pStyle w:val="ParaNoNdepar-AltN"/>
        <w:tabs>
          <w:tab w:val="clear" w:pos="1166"/>
          <w:tab w:val="num" w:pos="1152"/>
        </w:tabs>
        <w:rPr>
          <w:rFonts w:cs="Times New Roman"/>
        </w:rPr>
      </w:pPr>
      <w:r w:rsidRPr="00687F19">
        <w:rPr>
          <w:rFonts w:cs="Times New Roman"/>
        </w:rPr>
        <w:t>We accept that the analysis in the present case begins with the presumption of reasonableness, but it cannot be disputed that this presumption is rebuttable through a contextual analysis. We also agree with our colleague Gascon J. that the omission of a privative clause “does not rebut the presumption of deference” (para. 50). Indeed, this Court has recognized that “their presence or absence is no longer determinative about whether deference is owed to the tribunal or not” (</w:t>
      </w:r>
      <w:proofErr w:type="spellStart"/>
      <w:r w:rsidRPr="00687F19">
        <w:rPr>
          <w:rFonts w:cs="Times New Roman"/>
          <w:i/>
          <w:iCs/>
        </w:rPr>
        <w:t>Mowat</w:t>
      </w:r>
      <w:proofErr w:type="spellEnd"/>
      <w:r w:rsidRPr="00687F19">
        <w:rPr>
          <w:rFonts w:cs="Times New Roman"/>
          <w:iCs/>
        </w:rPr>
        <w:t>,</w:t>
      </w:r>
      <w:r w:rsidRPr="00687F19">
        <w:rPr>
          <w:rFonts w:cs="Times New Roman"/>
          <w:i/>
          <w:iCs/>
        </w:rPr>
        <w:t xml:space="preserve"> </w:t>
      </w:r>
      <w:r w:rsidRPr="00687F19">
        <w:rPr>
          <w:rFonts w:cs="Times New Roman"/>
        </w:rPr>
        <w:t xml:space="preserve">at para. 17). Furthermore, there is no dispute that the potential for conflicting lines of authority does not, </w:t>
      </w:r>
      <w:r w:rsidRPr="00687F19">
        <w:rPr>
          <w:rFonts w:cs="Times New Roman"/>
          <w:i/>
        </w:rPr>
        <w:t>on its own</w:t>
      </w:r>
      <w:r w:rsidRPr="00687F19">
        <w:rPr>
          <w:rFonts w:cs="Times New Roman"/>
        </w:rPr>
        <w:t>, warrant a less deferential standard of review (</w:t>
      </w:r>
      <w:r w:rsidRPr="00687F19">
        <w:rPr>
          <w:rFonts w:cs="Times New Roman"/>
          <w:iCs/>
        </w:rPr>
        <w:t>reasons of Gascon J.,</w:t>
      </w:r>
      <w:r w:rsidRPr="00687F19">
        <w:rPr>
          <w:rFonts w:cs="Times New Roman"/>
          <w:i/>
          <w:iCs/>
        </w:rPr>
        <w:t xml:space="preserve"> </w:t>
      </w:r>
      <w:r w:rsidRPr="00687F19">
        <w:rPr>
          <w:rFonts w:cs="Times New Roman"/>
        </w:rPr>
        <w:t xml:space="preserve">at para. 52). In our view, however, they are each indicia that point toward correctness. While neither factor may </w:t>
      </w:r>
      <w:r w:rsidRPr="00687F19">
        <w:rPr>
          <w:rFonts w:cs="Times New Roman"/>
          <w:i/>
        </w:rPr>
        <w:t>independently</w:t>
      </w:r>
      <w:r w:rsidRPr="00687F19">
        <w:rPr>
          <w:rFonts w:cs="Times New Roman"/>
        </w:rPr>
        <w:t xml:space="preserve"> call for correctness, we repeat that “[t]</w:t>
      </w:r>
      <w:proofErr w:type="gramStart"/>
      <w:r w:rsidRPr="00687F19">
        <w:rPr>
          <w:rFonts w:cs="Times New Roman"/>
        </w:rPr>
        <w:t>he</w:t>
      </w:r>
      <w:proofErr w:type="gramEnd"/>
      <w:r w:rsidRPr="00687F19">
        <w:rPr>
          <w:rFonts w:cs="Times New Roman"/>
        </w:rPr>
        <w:t xml:space="preserve"> analysis must be contextual” (</w:t>
      </w:r>
      <w:r w:rsidRPr="00687F19">
        <w:rPr>
          <w:rFonts w:cs="Times New Roman"/>
          <w:i/>
          <w:iCs/>
        </w:rPr>
        <w:t>Dunsmuir</w:t>
      </w:r>
      <w:r w:rsidRPr="00687F19">
        <w:rPr>
          <w:rFonts w:cs="Times New Roman"/>
          <w:iCs/>
        </w:rPr>
        <w:t>,</w:t>
      </w:r>
      <w:r w:rsidRPr="00687F19">
        <w:rPr>
          <w:rFonts w:cs="Times New Roman"/>
          <w:i/>
          <w:iCs/>
        </w:rPr>
        <w:t xml:space="preserve"> </w:t>
      </w:r>
      <w:r w:rsidRPr="00687F19">
        <w:rPr>
          <w:rFonts w:cs="Times New Roman"/>
        </w:rPr>
        <w:t>at para. 64). And when this Court stated that “[</w:t>
      </w:r>
      <w:proofErr w:type="spellStart"/>
      <w:r w:rsidRPr="00687F19">
        <w:rPr>
          <w:rFonts w:cs="Times New Roman"/>
        </w:rPr>
        <w:t>i</w:t>
      </w:r>
      <w:proofErr w:type="spellEnd"/>
      <w:r w:rsidRPr="00687F19">
        <w:rPr>
          <w:rFonts w:cs="Times New Roman"/>
        </w:rPr>
        <w:t>]n many cases, it will not be necessary to consider all of the factors, as some of them may be determinative in the application of the reasonableness standard in a specific case” (</w:t>
      </w:r>
      <w:r w:rsidRPr="00687F19">
        <w:rPr>
          <w:rFonts w:cs="Times New Roman"/>
          <w:i/>
          <w:iCs/>
        </w:rPr>
        <w:t>Dunsmuir</w:t>
      </w:r>
      <w:r w:rsidRPr="00687F19">
        <w:rPr>
          <w:rFonts w:cs="Times New Roman"/>
        </w:rPr>
        <w:t xml:space="preserve">, at para. 64), it did so, recognizing that, in other cases, the whole context would be determinative. This is such a case. For this reason, a contextual analysis leads us to the conclusion that the presumption is rebutted in this case, and that the impugned decision ought to be reviewed for correctness.  </w:t>
      </w:r>
    </w:p>
    <w:p w:rsidR="00AC53DB" w:rsidRPr="00687F19" w:rsidRDefault="00AC53DB" w:rsidP="00AC53DB">
      <w:pPr>
        <w:pStyle w:val="Title2LevelTitre2Niveau"/>
        <w:rPr>
          <w:rFonts w:cs="Times New Roman"/>
        </w:rPr>
      </w:pPr>
      <w:r w:rsidRPr="00687F19">
        <w:rPr>
          <w:rFonts w:cs="Times New Roman"/>
        </w:rPr>
        <w:t xml:space="preserve">Does Section 5 of the CHRA Permit Bare Challenges to Legislation?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Any complainant making a claim of discrimination before the Tribunal must ensure that his or her claim falls within the scope of the </w:t>
      </w:r>
      <w:r w:rsidRPr="00687F19">
        <w:rPr>
          <w:rFonts w:cs="Times New Roman"/>
          <w:i/>
        </w:rPr>
        <w:t>CHRA</w:t>
      </w:r>
      <w:r>
        <w:rPr>
          <w:rFonts w:cs="Times New Roman"/>
        </w:rPr>
        <w:t>. Section </w:t>
      </w:r>
      <w:r w:rsidRPr="00687F19">
        <w:rPr>
          <w:rFonts w:cs="Times New Roman"/>
        </w:rPr>
        <w:t xml:space="preserve">40 of the </w:t>
      </w:r>
      <w:r w:rsidRPr="00687F19">
        <w:rPr>
          <w:rFonts w:cs="Times New Roman"/>
          <w:i/>
        </w:rPr>
        <w:t xml:space="preserve">CHRA </w:t>
      </w:r>
      <w:r w:rsidRPr="00687F19">
        <w:rPr>
          <w:rFonts w:cs="Times New Roman"/>
        </w:rPr>
        <w:t xml:space="preserve">permits individuals and groups to bring complaints that allege “discriminatory practices”. Under s. 39, a “discriminatory practice” is defined to include all the human rights prohibitions listed in ss. 5 to 14.1 of the </w:t>
      </w:r>
      <w:r w:rsidRPr="00687F19">
        <w:rPr>
          <w:rFonts w:cs="Times New Roman"/>
          <w:i/>
        </w:rPr>
        <w:t>CHRA</w:t>
      </w:r>
      <w:r w:rsidRPr="00687F19">
        <w:rPr>
          <w:rFonts w:cs="Times New Roman"/>
        </w:rPr>
        <w:t xml:space="preserve">.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This case is about the scope of s. 5 of the </w:t>
      </w:r>
      <w:r w:rsidRPr="00687F19">
        <w:rPr>
          <w:rFonts w:cs="Times New Roman"/>
          <w:i/>
        </w:rPr>
        <w:t>CHRA</w:t>
      </w:r>
      <w:r w:rsidRPr="00687F19">
        <w:rPr>
          <w:rFonts w:cs="Times New Roman"/>
        </w:rPr>
        <w:t xml:space="preserve">, which reads as follows: </w:t>
      </w:r>
    </w:p>
    <w:p w:rsidR="00AC53DB" w:rsidRPr="00687F19" w:rsidRDefault="00AC53DB" w:rsidP="00AC53DB">
      <w:pPr>
        <w:pStyle w:val="Citation-AltC"/>
      </w:pPr>
      <w:r w:rsidRPr="00687F19">
        <w:rPr>
          <w:b/>
        </w:rPr>
        <w:t xml:space="preserve">5 </w:t>
      </w:r>
      <w:r w:rsidRPr="00687F19">
        <w:t>It is a discriminatory practice in the provision of goods, services, facilities or accommodation customarily available to the general public</w:t>
      </w:r>
    </w:p>
    <w:p w:rsidR="00AC53DB" w:rsidRPr="00687F19" w:rsidRDefault="00AC53DB" w:rsidP="00AC53DB">
      <w:pPr>
        <w:pStyle w:val="Citation-AltC"/>
      </w:pPr>
    </w:p>
    <w:p w:rsidR="00AC53DB" w:rsidRPr="00687F19" w:rsidRDefault="00AC53DB" w:rsidP="00AC53DB">
      <w:pPr>
        <w:pStyle w:val="Citation-AltC"/>
        <w:numPr>
          <w:ilvl w:val="4"/>
          <w:numId w:val="6"/>
        </w:numPr>
        <w:tabs>
          <w:tab w:val="left" w:pos="1980"/>
        </w:tabs>
        <w:ind w:left="1440" w:firstLine="0"/>
      </w:pPr>
      <w:r w:rsidRPr="00687F19">
        <w:t>to deny, or to deny access to, any such good, service, facility or accommodation to any individual, or</w:t>
      </w:r>
    </w:p>
    <w:p w:rsidR="00AC53DB" w:rsidRPr="00687F19" w:rsidRDefault="00AC53DB" w:rsidP="00AC53DB">
      <w:pPr>
        <w:pStyle w:val="Citation-AltC"/>
      </w:pPr>
    </w:p>
    <w:p w:rsidR="00AC53DB" w:rsidRPr="00687F19" w:rsidRDefault="00AC53DB" w:rsidP="00AC53DB">
      <w:pPr>
        <w:pStyle w:val="Citation-AltC"/>
        <w:numPr>
          <w:ilvl w:val="4"/>
          <w:numId w:val="6"/>
        </w:numPr>
        <w:tabs>
          <w:tab w:val="left" w:pos="1980"/>
        </w:tabs>
        <w:ind w:left="877" w:right="323" w:firstLine="563"/>
      </w:pPr>
      <w:r w:rsidRPr="00687F19">
        <w:t xml:space="preserve">to differentiate adversely in relation to any individual, </w:t>
      </w:r>
    </w:p>
    <w:p w:rsidR="00AC53DB" w:rsidRPr="00687F19" w:rsidRDefault="00AC53DB" w:rsidP="00AC53DB">
      <w:pPr>
        <w:pStyle w:val="Citation-AltC"/>
        <w:ind w:left="157" w:right="323" w:firstLine="720"/>
      </w:pPr>
    </w:p>
    <w:p w:rsidR="00AC53DB" w:rsidRPr="00687F19" w:rsidRDefault="00AC53DB" w:rsidP="00AC53DB">
      <w:pPr>
        <w:pStyle w:val="Citation-AltC"/>
        <w:ind w:left="157" w:right="323" w:firstLine="1013"/>
      </w:pPr>
      <w:proofErr w:type="gramStart"/>
      <w:r w:rsidRPr="00687F19">
        <w:t>on</w:t>
      </w:r>
      <w:proofErr w:type="gramEnd"/>
      <w:r w:rsidRPr="00687F19">
        <w:t xml:space="preserve"> a prohibited ground of discrimination.</w:t>
      </w:r>
    </w:p>
    <w:p w:rsidR="00AC53DB" w:rsidRPr="00687F19" w:rsidRDefault="00AC53DB" w:rsidP="00AC53DB">
      <w:pPr>
        <w:pStyle w:val="ParaNoNdepar-AltN"/>
        <w:tabs>
          <w:tab w:val="clear" w:pos="1166"/>
          <w:tab w:val="num" w:pos="1152"/>
        </w:tabs>
        <w:rPr>
          <w:rFonts w:cs="Times New Roman"/>
        </w:rPr>
      </w:pPr>
      <w:r w:rsidRPr="00687F19">
        <w:rPr>
          <w:rFonts w:cs="Times New Roman"/>
          <w:lang w:val="en-US"/>
        </w:rPr>
        <w:t xml:space="preserve">Do the present complaints allege a discriminatory practice in the provision of a service customarily available to the general public? </w:t>
      </w:r>
      <w:r w:rsidRPr="00687F19">
        <w:rPr>
          <w:rFonts w:cs="Times New Roman"/>
        </w:rPr>
        <w:t xml:space="preserve">Before the Tribunal, the complainants sought to challenge the registration provisions of the </w:t>
      </w:r>
      <w:r w:rsidRPr="00687F19">
        <w:rPr>
          <w:rFonts w:cs="Times New Roman"/>
          <w:i/>
        </w:rPr>
        <w:t>Indian Act</w:t>
      </w:r>
      <w:r w:rsidRPr="00687F19">
        <w:rPr>
          <w:rFonts w:cs="Times New Roman"/>
        </w:rPr>
        <w:t xml:space="preserve"> as making discriminatory distinctions on the basis of race, national or ethnic origin, sex and family status (</w:t>
      </w:r>
      <w:r w:rsidRPr="00687F19">
        <w:rPr>
          <w:rFonts w:cs="Times New Roman"/>
          <w:i/>
        </w:rPr>
        <w:t>Matson</w:t>
      </w:r>
      <w:r w:rsidRPr="00687F19">
        <w:rPr>
          <w:rFonts w:cs="Times New Roman"/>
        </w:rPr>
        <w:t xml:space="preserve">, at para. 2 (CanLII); </w:t>
      </w:r>
      <w:r w:rsidRPr="00687F19">
        <w:rPr>
          <w:rFonts w:cs="Times New Roman"/>
          <w:i/>
        </w:rPr>
        <w:t>Andrews</w:t>
      </w:r>
      <w:r w:rsidRPr="00687F19">
        <w:rPr>
          <w:rFonts w:cs="Times New Roman"/>
        </w:rPr>
        <w:t>, at para. 11 (CanLII)). They did not challenge the actions of the Registrar in processing their applications. At their core, these complaints are about Parliament’s decision not to extend “Indian” status to persons in similar circumstances. This was properly characterized by the Tribunal as a bare challenge to legislation.</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The remedy resulting from a successful challenge on this basis would be to render the impugned provisions inoperable. However, granting this remedy — or indeed, any other remedy — is contingent upon the Tribunal being validly seized of the matter in the first place. The Federal Court of Appeal correctly noted that one must not conflate the scope of s. 5 with the extent of the Tribunal’s remedial authority (C.A. reasons, at para. 99). Moreover, the notion that human rights statutes take primacy where they are inconsistent with another statute does not inform this Court’s interpretation of the scope of s. 5. The meaning of this provision must be determined on its own as a matter of statutory interpretation. </w:t>
      </w:r>
    </w:p>
    <w:p w:rsidR="00AC53DB" w:rsidRPr="00687F19" w:rsidRDefault="00AC53DB" w:rsidP="00AC53DB">
      <w:pPr>
        <w:pStyle w:val="ParaNoNdepar-AltN"/>
        <w:tabs>
          <w:tab w:val="clear" w:pos="1166"/>
          <w:tab w:val="num" w:pos="1152"/>
        </w:tabs>
        <w:rPr>
          <w:rFonts w:cs="Times New Roman"/>
        </w:rPr>
      </w:pPr>
      <w:r w:rsidRPr="00687F19">
        <w:rPr>
          <w:rFonts w:cs="Times New Roman"/>
        </w:rPr>
        <w:t>What, then, is encompassed in s.</w:t>
      </w:r>
      <w:r>
        <w:rPr>
          <w:rFonts w:cs="Times New Roman"/>
        </w:rPr>
        <w:t> </w:t>
      </w:r>
      <w:r w:rsidRPr="00687F19">
        <w:rPr>
          <w:rFonts w:cs="Times New Roman"/>
        </w:rPr>
        <w:t xml:space="preserve">5? The wording of this section focuses on the </w:t>
      </w:r>
      <w:r w:rsidRPr="00687F19">
        <w:rPr>
          <w:rFonts w:cs="Times New Roman"/>
          <w:i/>
        </w:rPr>
        <w:t>provision</w:t>
      </w:r>
      <w:r w:rsidRPr="00687F19">
        <w:rPr>
          <w:rFonts w:cs="Times New Roman"/>
        </w:rPr>
        <w:t xml:space="preserve"> of services. The French version of the </w:t>
      </w:r>
      <w:r w:rsidRPr="00687F19">
        <w:rPr>
          <w:rFonts w:cs="Times New Roman"/>
          <w:i/>
        </w:rPr>
        <w:t>CHRA</w:t>
      </w:r>
      <w:r w:rsidRPr="00687F19">
        <w:rPr>
          <w:rFonts w:cs="Times New Roman"/>
        </w:rPr>
        <w:t xml:space="preserve"> says that it is a discriminatory practice for the </w:t>
      </w:r>
      <w:r w:rsidRPr="00687F19">
        <w:rPr>
          <w:rFonts w:cs="Times New Roman"/>
          <w:i/>
        </w:rPr>
        <w:t>service provider</w:t>
      </w:r>
      <w:r w:rsidRPr="00687F19">
        <w:rPr>
          <w:rFonts w:cs="Times New Roman"/>
        </w:rPr>
        <w:t xml:space="preserve"> (“</w:t>
      </w:r>
      <w:r w:rsidRPr="007F3A10">
        <w:rPr>
          <w:rFonts w:cs="Times New Roman"/>
          <w:i/>
        </w:rPr>
        <w:t xml:space="preserve">le </w:t>
      </w:r>
      <w:proofErr w:type="spellStart"/>
      <w:proofErr w:type="gramStart"/>
      <w:r w:rsidRPr="007F3A10">
        <w:rPr>
          <w:rFonts w:cs="Times New Roman"/>
          <w:i/>
        </w:rPr>
        <w:t>fournisseur</w:t>
      </w:r>
      <w:proofErr w:type="spellEnd"/>
      <w:r w:rsidRPr="007F3A10">
        <w:rPr>
          <w:rFonts w:cs="Times New Roman"/>
          <w:i/>
        </w:rPr>
        <w:t> .</w:t>
      </w:r>
      <w:proofErr w:type="gramEnd"/>
      <w:r w:rsidRPr="007F3A10">
        <w:rPr>
          <w:rFonts w:cs="Times New Roman"/>
          <w:i/>
        </w:rPr>
        <w:t> . . de services</w:t>
      </w:r>
      <w:r w:rsidRPr="00687F19">
        <w:rPr>
          <w:rFonts w:cs="Times New Roman"/>
        </w:rPr>
        <w:t xml:space="preserve">”) to deny or differentiate adversely in relation to an individual. The use of this language suggests that s. 5 is geared towards discrimination perpetrated by service providers. </w:t>
      </w:r>
    </w:p>
    <w:p w:rsidR="00AC53DB" w:rsidRPr="00687F19" w:rsidRDefault="00AC53DB" w:rsidP="00AC53DB">
      <w:pPr>
        <w:pStyle w:val="ParaNoNdepar-AltN"/>
        <w:rPr>
          <w:rFonts w:cs="Times New Roman"/>
          <w:lang w:val="en-US"/>
        </w:rPr>
      </w:pPr>
      <w:r w:rsidRPr="00687F19">
        <w:rPr>
          <w:rFonts w:cs="Times New Roman"/>
          <w:lang w:val="en-US"/>
        </w:rPr>
        <w:t xml:space="preserve">In our view, Parliament is not a service provider, and was not providing a service when it enacted the registration provisions of the </w:t>
      </w:r>
      <w:r w:rsidRPr="00687F19">
        <w:rPr>
          <w:rFonts w:cs="Times New Roman"/>
          <w:i/>
          <w:lang w:val="en-US"/>
        </w:rPr>
        <w:t>Indian Act</w:t>
      </w:r>
      <w:r w:rsidRPr="00687F19">
        <w:rPr>
          <w:rFonts w:cs="Times New Roman"/>
          <w:lang w:val="en-US"/>
        </w:rPr>
        <w:t xml:space="preserve">. Moreover, law-making is unlike any of the other terms listed in s. 5; it does not resemble a good, facility or accommodation (see </w:t>
      </w:r>
      <w:r w:rsidRPr="00687F19">
        <w:rPr>
          <w:rFonts w:cs="Times New Roman"/>
          <w:i/>
          <w:lang w:val="en-US"/>
        </w:rPr>
        <w:t>Forward</w:t>
      </w:r>
      <w:r w:rsidRPr="00687F19">
        <w:rPr>
          <w:rFonts w:cs="Times New Roman"/>
          <w:lang w:val="en-US"/>
        </w:rPr>
        <w:t>, at para. 42</w:t>
      </w:r>
      <w:r>
        <w:rPr>
          <w:rFonts w:cs="Times New Roman"/>
          <w:lang w:val="en-US"/>
        </w:rPr>
        <w:t xml:space="preserve"> (CanLII)</w:t>
      </w:r>
      <w:r w:rsidRPr="00687F19">
        <w:rPr>
          <w:rFonts w:cs="Times New Roman"/>
          <w:lang w:val="en-US"/>
        </w:rPr>
        <w:t xml:space="preserve">). As observed by the Tribunal in </w:t>
      </w:r>
      <w:r w:rsidRPr="00687F19">
        <w:rPr>
          <w:rFonts w:cs="Times New Roman"/>
          <w:i/>
          <w:lang w:val="en-US"/>
        </w:rPr>
        <w:t>Andrews</w:t>
      </w:r>
      <w:r w:rsidRPr="00687F19">
        <w:rPr>
          <w:rFonts w:cs="Times New Roman"/>
          <w:lang w:val="en-US"/>
        </w:rPr>
        <w:t>, the legislative process is unique:</w:t>
      </w:r>
    </w:p>
    <w:p w:rsidR="00AC53DB" w:rsidRPr="00687F19" w:rsidRDefault="00AC53DB" w:rsidP="00AC53DB">
      <w:pPr>
        <w:pStyle w:val="Citation-AltC"/>
        <w:ind w:firstLine="274"/>
      </w:pPr>
      <w:r w:rsidRPr="00687F19">
        <w:t xml:space="preserve">Law-making is one of Parliament’s most fundamental and significant functions and </w:t>
      </w:r>
      <w:proofErr w:type="gramStart"/>
      <w:r w:rsidRPr="00687F19">
        <w:rPr>
          <w:i/>
        </w:rPr>
        <w:t>sui</w:t>
      </w:r>
      <w:proofErr w:type="gramEnd"/>
      <w:r w:rsidRPr="00687F19">
        <w:rPr>
          <w:i/>
        </w:rPr>
        <w:t xml:space="preserve"> generis </w:t>
      </w:r>
      <w:r w:rsidRPr="00687F19">
        <w:t xml:space="preserve">in its nature. This is confirmed by the powers, privileges and immunities that Parliament and the Legislatures possess to ensure their proper functioning, which are rooted in the Constitution, by virtue of the preamble and section 18 of the </w:t>
      </w:r>
      <w:r w:rsidRPr="00687F19">
        <w:rPr>
          <w:i/>
        </w:rPr>
        <w:t>Constitution Act, 1867</w:t>
      </w:r>
      <w:r w:rsidRPr="00687F19">
        <w:t>, 30 &amp; 31 Victoria, c</w:t>
      </w:r>
      <w:r w:rsidR="007F3A10">
        <w:t>.</w:t>
      </w:r>
      <w:r w:rsidRPr="00687F19">
        <w:t xml:space="preserve"> 3, [</w:t>
      </w:r>
      <w:r w:rsidRPr="00687F19">
        <w:rPr>
          <w:i/>
        </w:rPr>
        <w:t>Constitution Act</w:t>
      </w:r>
      <w:r w:rsidRPr="00687F19">
        <w:t xml:space="preserve">] and in statute law, in sections 4 and 5 of the </w:t>
      </w:r>
      <w:r w:rsidRPr="00687F19">
        <w:rPr>
          <w:i/>
        </w:rPr>
        <w:t>Parliament of Canada Act</w:t>
      </w:r>
      <w:r w:rsidRPr="00687F19">
        <w:t xml:space="preserve">, R.S.C. 1985, c. P-1: </w:t>
      </w:r>
      <w:proofErr w:type="spellStart"/>
      <w:r w:rsidRPr="00687F19">
        <w:rPr>
          <w:i/>
        </w:rPr>
        <w:t>Telezone</w:t>
      </w:r>
      <w:proofErr w:type="spellEnd"/>
      <w:r w:rsidRPr="00687F19">
        <w:rPr>
          <w:i/>
        </w:rPr>
        <w:t xml:space="preserve"> Inc. v. Canada (Attorney General)</w:t>
      </w:r>
      <w:r w:rsidR="007F3A10">
        <w:t xml:space="preserve"> </w:t>
      </w:r>
      <w:r w:rsidRPr="00687F19">
        <w:t>(2004), 235 D.L.R. (4</w:t>
      </w:r>
      <w:r w:rsidRPr="007F3A10">
        <w:t>th</w:t>
      </w:r>
      <w:r w:rsidRPr="00687F19">
        <w:t xml:space="preserve">) 719 at paras. 13-17. Indeed, the dignity, integrity and efficient functioning of the Legislature is preserved through parliamentary privilege which, once established, is afforded constitutional status and is immune from review: </w:t>
      </w:r>
      <w:r w:rsidRPr="00687F19">
        <w:rPr>
          <w:i/>
        </w:rPr>
        <w:t>Harvey v. New Brunswick (Attorney General)</w:t>
      </w:r>
      <w:r w:rsidRPr="00687F19">
        <w:t xml:space="preserve"> (1996), 137 D.L.R. (4</w:t>
      </w:r>
      <w:r w:rsidRPr="007F3A10">
        <w:t>th</w:t>
      </w:r>
      <w:r w:rsidRPr="00687F19">
        <w:t xml:space="preserve">) 142, [1996] 2 S.C.R. 876; </w:t>
      </w:r>
      <w:r w:rsidRPr="00687F19">
        <w:rPr>
          <w:i/>
        </w:rPr>
        <w:t xml:space="preserve">Canada (House of Commons) v. </w:t>
      </w:r>
      <w:proofErr w:type="spellStart"/>
      <w:r w:rsidRPr="00687F19">
        <w:rPr>
          <w:i/>
        </w:rPr>
        <w:t>Vaid</w:t>
      </w:r>
      <w:proofErr w:type="spellEnd"/>
      <w:r w:rsidRPr="00687F19">
        <w:t>, 2005 SCC 30 at para. 33 [</w:t>
      </w:r>
      <w:proofErr w:type="spellStart"/>
      <w:r w:rsidRPr="00687F19">
        <w:rPr>
          <w:i/>
        </w:rPr>
        <w:t>Vaid</w:t>
      </w:r>
      <w:proofErr w:type="spellEnd"/>
      <w:r w:rsidRPr="00687F19">
        <w:t xml:space="preserve">]. To consider the act of legislating along the same lines as that of delivering Householders as in </w:t>
      </w:r>
      <w:proofErr w:type="spellStart"/>
      <w:r w:rsidRPr="00687F19">
        <w:rPr>
          <w:i/>
        </w:rPr>
        <w:t>Pankiw</w:t>
      </w:r>
      <w:proofErr w:type="spellEnd"/>
      <w:r w:rsidRPr="00687F19">
        <w:t xml:space="preserve"> or to processing a citizenship application as in </w:t>
      </w:r>
      <w:r w:rsidRPr="00687F19">
        <w:rPr>
          <w:i/>
        </w:rPr>
        <w:t>Forward</w:t>
      </w:r>
      <w:r w:rsidRPr="00687F19">
        <w:t xml:space="preserve"> is fundamentally problematic and emblematic of an approach which ignores the special role law-making possesses in our society. In legislating, Parliament is not a service provider and there is no “transitive connotation” to this function. Rather, it is fulfilling a constitutionally mandated role, at the very core of our democracy. As such, while law-making is an activity that could be said to take place “in the context of a public relationship” (</w:t>
      </w:r>
      <w:r w:rsidRPr="00687F19">
        <w:rPr>
          <w:i/>
        </w:rPr>
        <w:t>Gould</w:t>
      </w:r>
      <w:r w:rsidRPr="00687F19">
        <w:t xml:space="preserve"> at para. 16) or “creates a public relationship” (</w:t>
      </w:r>
      <w:r w:rsidRPr="00687F19">
        <w:rPr>
          <w:i/>
        </w:rPr>
        <w:t xml:space="preserve">Gould </w:t>
      </w:r>
      <w:r w:rsidRPr="00687F19">
        <w:t xml:space="preserve">at para. 68, cited above) as per the second part of the </w:t>
      </w:r>
      <w:r w:rsidRPr="00687F19">
        <w:rPr>
          <w:i/>
        </w:rPr>
        <w:t xml:space="preserve">Gould </w:t>
      </w:r>
      <w:r w:rsidRPr="00687F19">
        <w:t xml:space="preserve">test, to characterize it as a service would ignore this </w:t>
      </w:r>
      <w:r w:rsidRPr="00687F19">
        <w:rPr>
          <w:i/>
        </w:rPr>
        <w:t xml:space="preserve">sui generis </w:t>
      </w:r>
      <w:r w:rsidRPr="00687F19">
        <w:t>quality. [Text in brackets in original; para. 57.]</w:t>
      </w:r>
    </w:p>
    <w:p w:rsidR="00AC53DB" w:rsidRPr="00687F19" w:rsidRDefault="00AC53DB" w:rsidP="00AC53DB">
      <w:pPr>
        <w:pStyle w:val="ParaNoNdepar-AltN"/>
        <w:tabs>
          <w:tab w:val="clear" w:pos="1166"/>
          <w:tab w:val="num" w:pos="1152"/>
        </w:tabs>
        <w:rPr>
          <w:rFonts w:cs="Times New Roman"/>
        </w:rPr>
      </w:pPr>
      <w:r w:rsidRPr="00687F19">
        <w:rPr>
          <w:rFonts w:cs="Times New Roman"/>
        </w:rPr>
        <w:t>Parliament can be distinguished from the administrative decision makers that operate under legislative authority. These individuals and statutory bodies, which include the Registrar, may be “service providers”, or entities that “</w:t>
      </w:r>
      <w:proofErr w:type="spellStart"/>
      <w:proofErr w:type="gramStart"/>
      <w:r w:rsidRPr="00687F19">
        <w:rPr>
          <w:rFonts w:cs="Times New Roman"/>
        </w:rPr>
        <w:t>provi</w:t>
      </w:r>
      <w:proofErr w:type="spellEnd"/>
      <w:r w:rsidRPr="00687F19">
        <w:rPr>
          <w:rFonts w:cs="Times New Roman"/>
        </w:rPr>
        <w:t>[</w:t>
      </w:r>
      <w:proofErr w:type="gramEnd"/>
      <w:r w:rsidRPr="00687F19">
        <w:rPr>
          <w:rFonts w:cs="Times New Roman"/>
        </w:rPr>
        <w:t>de] . . . services . . . customarily available to the general public”. If they use their statutory discretion in a manner that effectively denies access to a service or makes an adverse differentiation on the basis of a prohibited ground, s. 5 will be engaged. But, when their job is simply to apply legislated criteria, the challenge is not to the provision of services, but to the legislation itself (</w:t>
      </w:r>
      <w:r w:rsidRPr="00687F19">
        <w:rPr>
          <w:rFonts w:cs="Times New Roman"/>
          <w:i/>
        </w:rPr>
        <w:t>Murphy</w:t>
      </w:r>
      <w:r w:rsidRPr="00687F19">
        <w:rPr>
          <w:rFonts w:cs="Times New Roman"/>
        </w:rPr>
        <w:t xml:space="preserve">, at para. 6).   </w:t>
      </w:r>
    </w:p>
    <w:p w:rsidR="00AC53DB" w:rsidRPr="00687F19" w:rsidRDefault="00AC53DB" w:rsidP="00AC53DB">
      <w:pPr>
        <w:pStyle w:val="ParaNoNdepar-AltN"/>
        <w:tabs>
          <w:tab w:val="clear" w:pos="1166"/>
          <w:tab w:val="num" w:pos="1152"/>
        </w:tabs>
        <w:rPr>
          <w:rFonts w:cs="Times New Roman"/>
        </w:rPr>
      </w:pPr>
      <w:r w:rsidRPr="00687F19">
        <w:rPr>
          <w:rFonts w:cs="Times New Roman"/>
        </w:rPr>
        <w:t>Furthermore, the relevant jurisprudence suggests that the enactment of legislation is not a service. This Court has defined a service as (1) something of benefit (2) that is held out or offered to the public (</w:t>
      </w:r>
      <w:r w:rsidRPr="00687F19">
        <w:rPr>
          <w:rFonts w:cs="Times New Roman"/>
          <w:i/>
        </w:rPr>
        <w:t>Gould</w:t>
      </w:r>
      <w:r w:rsidRPr="00687F19">
        <w:rPr>
          <w:rFonts w:cs="Times New Roman"/>
        </w:rPr>
        <w:t xml:space="preserve">; see also </w:t>
      </w:r>
      <w:r w:rsidRPr="00687F19">
        <w:rPr>
          <w:rFonts w:cs="Times New Roman"/>
          <w:i/>
        </w:rPr>
        <w:t>Watkin</w:t>
      </w:r>
      <w:r w:rsidRPr="00687F19">
        <w:rPr>
          <w:rFonts w:cs="Times New Roman"/>
        </w:rPr>
        <w:t xml:space="preserve">, at para. 31). In </w:t>
      </w:r>
      <w:r w:rsidRPr="00687F19">
        <w:rPr>
          <w:rFonts w:cs="Times New Roman"/>
          <w:i/>
        </w:rPr>
        <w:t>Gould</w:t>
      </w:r>
      <w:r w:rsidRPr="00687F19">
        <w:rPr>
          <w:rFonts w:cs="Times New Roman"/>
        </w:rPr>
        <w:t>, La Forest J. (concurring) said, at para. 55:</w:t>
      </w:r>
    </w:p>
    <w:p w:rsidR="00AC53DB" w:rsidRPr="00687F19" w:rsidRDefault="00AC53DB" w:rsidP="00AC53DB">
      <w:pPr>
        <w:pStyle w:val="Citation-AltC"/>
      </w:pPr>
      <w:r w:rsidRPr="00687F19">
        <w:t>There is a transitive connotation from the language employed by the various provisions; it is not until the service, accommodation, facility, etc., passes from the service provider and has been held out to the public that it attracts the anti-discrimination prohibition.</w:t>
      </w:r>
    </w:p>
    <w:p w:rsidR="00AC53DB" w:rsidRPr="00687F19" w:rsidRDefault="00AC53DB" w:rsidP="00AC53DB">
      <w:pPr>
        <w:pStyle w:val="ContinueParaSuitedupar-AltP"/>
        <w:rPr>
          <w:rFonts w:cs="Times New Roman"/>
        </w:rPr>
      </w:pPr>
      <w:r w:rsidRPr="00687F19">
        <w:rPr>
          <w:rFonts w:cs="Times New Roman"/>
        </w:rPr>
        <w:t xml:space="preserve">Again, La Forest J.’s definition in </w:t>
      </w:r>
      <w:r w:rsidRPr="00687F19">
        <w:rPr>
          <w:rFonts w:cs="Times New Roman"/>
          <w:i/>
        </w:rPr>
        <w:t xml:space="preserve">Gould </w:t>
      </w:r>
      <w:r w:rsidRPr="00687F19">
        <w:rPr>
          <w:rFonts w:cs="Times New Roman"/>
        </w:rPr>
        <w:t xml:space="preserve">focuses on the service provider. When Parliament crafts statutory eligibility criteria, there is no “transitive connotation”. Nothing is being held out by Parliament to the public. It is only when the service provider itself discriminates that s. 5 is engaged.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The Federal Court of Appeal took a similar view in </w:t>
      </w:r>
      <w:r w:rsidRPr="00687F19">
        <w:rPr>
          <w:rFonts w:cs="Times New Roman"/>
          <w:i/>
        </w:rPr>
        <w:t>Murphy</w:t>
      </w:r>
      <w:r w:rsidRPr="00687F19">
        <w:rPr>
          <w:rFonts w:cs="Times New Roman"/>
        </w:rPr>
        <w:t xml:space="preserve">. In that case, the Commission argued that income tax assessments by the Canada Revenue Agency pursuant to the </w:t>
      </w:r>
      <w:r w:rsidRPr="00687F19">
        <w:rPr>
          <w:rFonts w:cs="Times New Roman"/>
          <w:i/>
        </w:rPr>
        <w:t>Income Tax Act</w:t>
      </w:r>
      <w:r w:rsidRPr="00687F19">
        <w:rPr>
          <w:rFonts w:cs="Times New Roman"/>
        </w:rPr>
        <w:t>, R.S.C. 1985, c. 1 (5th Supp.) (“</w:t>
      </w:r>
      <w:r w:rsidRPr="00687F19">
        <w:rPr>
          <w:rFonts w:cs="Times New Roman"/>
          <w:i/>
        </w:rPr>
        <w:t>ITA</w:t>
      </w:r>
      <w:r w:rsidRPr="00687F19">
        <w:rPr>
          <w:rFonts w:cs="Times New Roman"/>
        </w:rPr>
        <w:t xml:space="preserve">”), were “services” within the meaning of the </w:t>
      </w:r>
      <w:r w:rsidRPr="00687F19">
        <w:rPr>
          <w:rFonts w:cs="Times New Roman"/>
          <w:i/>
        </w:rPr>
        <w:t>CHRA</w:t>
      </w:r>
      <w:r w:rsidRPr="00687F19">
        <w:rPr>
          <w:rFonts w:cs="Times New Roman"/>
        </w:rPr>
        <w:t xml:space="preserve">. Finding that the mandatory duty to assess taxes in conformity with the law flowing from the </w:t>
      </w:r>
      <w:r w:rsidRPr="00687F19">
        <w:rPr>
          <w:rFonts w:cs="Times New Roman"/>
          <w:i/>
        </w:rPr>
        <w:t xml:space="preserve">ITA </w:t>
      </w:r>
      <w:r w:rsidRPr="00687F19">
        <w:rPr>
          <w:rFonts w:cs="Times New Roman"/>
        </w:rPr>
        <w:t xml:space="preserve">was at the heart of the allegation, the Court of Appeal characterized the complaint as a direct attack on the applicable </w:t>
      </w:r>
      <w:r w:rsidRPr="00687F19">
        <w:rPr>
          <w:rFonts w:cs="Times New Roman"/>
          <w:i/>
        </w:rPr>
        <w:t>ITA</w:t>
      </w:r>
      <w:r w:rsidRPr="00687F19">
        <w:rPr>
          <w:rFonts w:cs="Times New Roman"/>
        </w:rPr>
        <w:t xml:space="preserve"> provisions. In dismissing the appeal, the Court of Appeal was unequivocal that s. 5 of the </w:t>
      </w:r>
      <w:r w:rsidRPr="00687F19">
        <w:rPr>
          <w:rFonts w:cs="Times New Roman"/>
          <w:i/>
        </w:rPr>
        <w:t>CHRA</w:t>
      </w:r>
      <w:r w:rsidRPr="00687F19">
        <w:rPr>
          <w:rFonts w:cs="Times New Roman"/>
        </w:rPr>
        <w:t xml:space="preserve"> “does not provide for the filing of a complaint directed against an act of Parliament” (para. 6).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We also note that the equivalent of s. 5 of the </w:t>
      </w:r>
      <w:r w:rsidRPr="00687F19">
        <w:rPr>
          <w:rFonts w:cs="Times New Roman"/>
          <w:i/>
        </w:rPr>
        <w:t xml:space="preserve">CHRA </w:t>
      </w:r>
      <w:r w:rsidRPr="00687F19">
        <w:rPr>
          <w:rFonts w:cs="Times New Roman"/>
        </w:rPr>
        <w:t xml:space="preserve">in provincial human rights statutes may be worded in broader terms, and without reference to “the provision of services” or the “service provider”. For instance, s. 1 of the Ontario </w:t>
      </w:r>
      <w:r w:rsidRPr="00687F19">
        <w:rPr>
          <w:rFonts w:cs="Times New Roman"/>
          <w:i/>
        </w:rPr>
        <w:t>Human Rights Code</w:t>
      </w:r>
      <w:r w:rsidRPr="00687F19">
        <w:rPr>
          <w:rFonts w:cs="Times New Roman"/>
        </w:rPr>
        <w:t xml:space="preserve">, R.S.O. 1990, c. H.19, states that “[e]very person has a right to equal treatment </w:t>
      </w:r>
      <w:r w:rsidRPr="00687F19">
        <w:rPr>
          <w:rFonts w:cs="Times New Roman"/>
          <w:u w:val="single"/>
        </w:rPr>
        <w:t>with respect to</w:t>
      </w:r>
      <w:r w:rsidRPr="00687F19">
        <w:rPr>
          <w:rFonts w:cs="Times New Roman"/>
        </w:rPr>
        <w:t xml:space="preserve"> services, goods and facilities, without discrimination”. Whether challenges to legislation would be permissible under this statute or other provincial human rights statutes is not before this Court, and should be left for another day.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Two additional contextual arguments were put to the Court by the Commission in support of the proposition that challenges to legislation may be brought under the </w:t>
      </w:r>
      <w:r w:rsidRPr="00687F19">
        <w:rPr>
          <w:rFonts w:cs="Times New Roman"/>
          <w:i/>
        </w:rPr>
        <w:t>CHRA</w:t>
      </w:r>
      <w:r w:rsidRPr="00687F19">
        <w:rPr>
          <w:rFonts w:cs="Times New Roman"/>
        </w:rPr>
        <w:t xml:space="preserve">. First, it is argued that the repeal of s. 67 of the </w:t>
      </w:r>
      <w:r w:rsidRPr="00687F19">
        <w:rPr>
          <w:rFonts w:cs="Times New Roman"/>
          <w:i/>
        </w:rPr>
        <w:t xml:space="preserve">CHRA </w:t>
      </w:r>
      <w:r w:rsidRPr="00687F19">
        <w:rPr>
          <w:rFonts w:cs="Times New Roman"/>
        </w:rPr>
        <w:t>(S.C. 2008, c. 30, s. 1) indicates that direct challenges to legislation were cont</w:t>
      </w:r>
      <w:r>
        <w:rPr>
          <w:rFonts w:cs="Times New Roman"/>
        </w:rPr>
        <w:t>emplated by Parliament. Section </w:t>
      </w:r>
      <w:r w:rsidRPr="00687F19">
        <w:rPr>
          <w:rFonts w:cs="Times New Roman"/>
        </w:rPr>
        <w:t>67 stated that “[n]</w:t>
      </w:r>
      <w:proofErr w:type="spellStart"/>
      <w:r w:rsidRPr="00687F19">
        <w:rPr>
          <w:rFonts w:cs="Times New Roman"/>
        </w:rPr>
        <w:t>othing</w:t>
      </w:r>
      <w:proofErr w:type="spellEnd"/>
      <w:r w:rsidRPr="00687F19">
        <w:rPr>
          <w:rFonts w:cs="Times New Roman"/>
        </w:rPr>
        <w:t xml:space="preserve"> in [the </w:t>
      </w:r>
      <w:r w:rsidRPr="00687F19">
        <w:rPr>
          <w:rFonts w:cs="Times New Roman"/>
          <w:i/>
        </w:rPr>
        <w:t>CHRA</w:t>
      </w:r>
      <w:r w:rsidRPr="00687F19">
        <w:rPr>
          <w:rFonts w:cs="Times New Roman"/>
        </w:rPr>
        <w:t xml:space="preserve">] affects any provision of the </w:t>
      </w:r>
      <w:r w:rsidRPr="00687F19">
        <w:rPr>
          <w:rFonts w:cs="Times New Roman"/>
          <w:i/>
        </w:rPr>
        <w:t>Indian Act</w:t>
      </w:r>
      <w:r w:rsidRPr="00687F19">
        <w:rPr>
          <w:rFonts w:cs="Times New Roman"/>
        </w:rPr>
        <w:t xml:space="preserve"> or any provision made under or pursuant to that Act.” The Commission submits that through the repeal of this statutory exception to the primacy of the </w:t>
      </w:r>
      <w:r w:rsidRPr="00687F19">
        <w:rPr>
          <w:rFonts w:cs="Times New Roman"/>
          <w:i/>
        </w:rPr>
        <w:t>CHRA</w:t>
      </w:r>
      <w:r w:rsidRPr="00687F19">
        <w:rPr>
          <w:rFonts w:cs="Times New Roman"/>
        </w:rPr>
        <w:t xml:space="preserve">, Parliament brought the </w:t>
      </w:r>
      <w:r w:rsidRPr="00687F19">
        <w:rPr>
          <w:rFonts w:cs="Times New Roman"/>
          <w:i/>
        </w:rPr>
        <w:t>Indian Act</w:t>
      </w:r>
      <w:r w:rsidRPr="00687F19">
        <w:rPr>
          <w:rFonts w:cs="Times New Roman"/>
        </w:rPr>
        <w:t xml:space="preserve"> in its </w:t>
      </w:r>
      <w:r w:rsidRPr="00687F19">
        <w:rPr>
          <w:rFonts w:cs="Times New Roman"/>
          <w:i/>
        </w:rPr>
        <w:t>entirety</w:t>
      </w:r>
      <w:r w:rsidRPr="00687F19">
        <w:rPr>
          <w:rFonts w:cs="Times New Roman"/>
        </w:rPr>
        <w:t xml:space="preserve"> under the ambit of the </w:t>
      </w:r>
      <w:r w:rsidRPr="00687F19">
        <w:rPr>
          <w:rFonts w:cs="Times New Roman"/>
          <w:i/>
        </w:rPr>
        <w:t>CHRA</w:t>
      </w:r>
      <w:r w:rsidRPr="00687F19">
        <w:rPr>
          <w:rFonts w:cs="Times New Roman"/>
        </w:rPr>
        <w:t xml:space="preserve">, including the impugned registration provisions. To go further, the Commission argues that s. 67 was enacted (and subsequently repealed) specifically because of the concern that the registration provisions of the </w:t>
      </w:r>
      <w:r w:rsidRPr="00687F19">
        <w:rPr>
          <w:rFonts w:cs="Times New Roman"/>
          <w:i/>
        </w:rPr>
        <w:t>Indian Act</w:t>
      </w:r>
      <w:r w:rsidRPr="00687F19">
        <w:rPr>
          <w:rFonts w:cs="Times New Roman"/>
        </w:rPr>
        <w:t xml:space="preserve"> might be considered discriminatory.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Second, the Commission argues that s. 49(5) of the </w:t>
      </w:r>
      <w:r w:rsidRPr="00687F19">
        <w:rPr>
          <w:rFonts w:cs="Times New Roman"/>
          <w:i/>
        </w:rPr>
        <w:t>CHRA</w:t>
      </w:r>
      <w:r w:rsidRPr="00687F19">
        <w:rPr>
          <w:rFonts w:cs="Times New Roman"/>
        </w:rPr>
        <w:t xml:space="preserve"> also indicates that Parliament contemplated direct challenges to legislation. This provision requires a member of the bar of a province or the </w:t>
      </w:r>
      <w:proofErr w:type="spellStart"/>
      <w:r w:rsidRPr="00687F19">
        <w:rPr>
          <w:rFonts w:cs="Times New Roman"/>
        </w:rPr>
        <w:t>Chambre</w:t>
      </w:r>
      <w:proofErr w:type="spellEnd"/>
      <w:r w:rsidRPr="00687F19">
        <w:rPr>
          <w:rFonts w:cs="Times New Roman"/>
        </w:rPr>
        <w:t xml:space="preserve"> des notaires du Québec to form part of the Tribunal panel if the complaint raises the potential inconsistency between the </w:t>
      </w:r>
      <w:r w:rsidRPr="00687F19">
        <w:rPr>
          <w:rFonts w:cs="Times New Roman"/>
          <w:i/>
        </w:rPr>
        <w:t>CHRA</w:t>
      </w:r>
      <w:r w:rsidRPr="00687F19">
        <w:rPr>
          <w:rFonts w:cs="Times New Roman"/>
        </w:rPr>
        <w:t xml:space="preserve"> and another legislative enactment. </w:t>
      </w:r>
    </w:p>
    <w:p w:rsidR="00AC53DB" w:rsidRDefault="00AC53DB" w:rsidP="00AC53DB">
      <w:pPr>
        <w:pStyle w:val="ParaNoNdepar-AltN"/>
        <w:tabs>
          <w:tab w:val="clear" w:pos="1166"/>
          <w:tab w:val="num" w:pos="1152"/>
        </w:tabs>
        <w:rPr>
          <w:rFonts w:cs="Times New Roman"/>
        </w:rPr>
      </w:pPr>
      <w:r w:rsidRPr="00687F19">
        <w:rPr>
          <w:rFonts w:cs="Times New Roman"/>
        </w:rPr>
        <w:t xml:space="preserve">With respect, neither of these provisions sheds much light on the actual question at issue: Can the act of legislating be qualified as a service such that discriminatory legislation can be challenged directly under s. 5 of the </w:t>
      </w:r>
      <w:r w:rsidRPr="00687F19">
        <w:rPr>
          <w:rFonts w:cs="Times New Roman"/>
          <w:i/>
        </w:rPr>
        <w:t>CHRA</w:t>
      </w:r>
      <w:r w:rsidRPr="00687F19">
        <w:rPr>
          <w:rFonts w:cs="Times New Roman"/>
        </w:rPr>
        <w:t xml:space="preserve">? These arguments conflate the ability of the Tribunal to hear a complaint with the extent of its remedial power. Again, the possibility of inoperability as a remedy provides no guidance to determining the scope of what actually constitutes a discriminatory practice pursuant to s. 5. These two inquiries are distinct and must remain as such. </w:t>
      </w:r>
    </w:p>
    <w:p w:rsidR="00AC53DB" w:rsidRPr="00687F19" w:rsidRDefault="00AC53DB" w:rsidP="00AC53DB">
      <w:pPr>
        <w:pStyle w:val="Title1LevelTitre1Niveau-AltL"/>
        <w:rPr>
          <w:rFonts w:cs="Times New Roman"/>
        </w:rPr>
      </w:pPr>
      <w:r w:rsidRPr="00687F19">
        <w:rPr>
          <w:rFonts w:cs="Times New Roman"/>
        </w:rPr>
        <w:t>Conclusion</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In sum, we agree with the Tribunal and the courts below that bare challenges to legislation cannot be brought under s. 5 of the </w:t>
      </w:r>
      <w:r w:rsidRPr="00687F19">
        <w:rPr>
          <w:rFonts w:cs="Times New Roman"/>
          <w:i/>
        </w:rPr>
        <w:t>CHRA</w:t>
      </w:r>
      <w:r w:rsidRPr="00687F19">
        <w:rPr>
          <w:rFonts w:cs="Times New Roman"/>
        </w:rPr>
        <w:t xml:space="preserve">. The act of legislating is not a service. Accordingly, the Tribunal was correct in dismissing the complaints for want of an underlying discriminatory practice. </w:t>
      </w:r>
    </w:p>
    <w:p w:rsidR="00AC53DB" w:rsidRPr="00687F19" w:rsidRDefault="00AC53DB" w:rsidP="00AC53DB">
      <w:pPr>
        <w:pStyle w:val="ParaNoNdepar-AltN"/>
        <w:tabs>
          <w:tab w:val="clear" w:pos="1166"/>
          <w:tab w:val="num" w:pos="1152"/>
        </w:tabs>
        <w:rPr>
          <w:rFonts w:cs="Times New Roman"/>
        </w:rPr>
      </w:pPr>
      <w:r>
        <w:rPr>
          <w:rFonts w:cs="Times New Roman"/>
        </w:rPr>
        <w:t>Gascon </w:t>
      </w:r>
      <w:r w:rsidRPr="00687F19">
        <w:rPr>
          <w:rFonts w:cs="Times New Roman"/>
        </w:rPr>
        <w:t>J. suggests that the correctness review we undertake does not differ significantly from the analysis undertaken by the Tribunal at first instance, and on this basis, questions whether this Court is any better situated to interpret the decision maker’s home statute (para. 65). With respect, this misses the purpose of the courts’ role on judicial review. That the above analysis largely tracks what was said by the Tribunal itself does not undermine our earlier conclusion</w:t>
      </w:r>
      <w:r>
        <w:rPr>
          <w:rFonts w:cs="Times New Roman"/>
        </w:rPr>
        <w:t xml:space="preserve"> as to the standard of review. </w:t>
      </w:r>
      <w:r w:rsidRPr="00687F19">
        <w:rPr>
          <w:rFonts w:cs="Times New Roman"/>
        </w:rPr>
        <w:t xml:space="preserve">In any instance of correctness review, it is open to the court to find that the tribunal arrived at the correct decision. From this conclusion one cannot draw the inference that the Tribunal is necessarily “better situated” to make decisions than the courts, or that legislative supremacy must always prevail over concerns as to the rule of law.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Superior courts have the constitutional </w:t>
      </w:r>
      <w:r w:rsidRPr="00687F19">
        <w:rPr>
          <w:rFonts w:cs="Times New Roman"/>
          <w:i/>
        </w:rPr>
        <w:t>obligation</w:t>
      </w:r>
      <w:r w:rsidRPr="00687F19">
        <w:rPr>
          <w:rFonts w:cs="Times New Roman"/>
        </w:rPr>
        <w:t xml:space="preserve"> to oversee the exercise of administrative decision making (s. 96 of the </w:t>
      </w:r>
      <w:r w:rsidRPr="00687F19">
        <w:rPr>
          <w:rFonts w:cs="Times New Roman"/>
          <w:i/>
        </w:rPr>
        <w:t>Constitution Act, 1867</w:t>
      </w:r>
      <w:r w:rsidRPr="00687F19">
        <w:rPr>
          <w:rFonts w:cs="Times New Roman"/>
        </w:rPr>
        <w:t xml:space="preserve">; </w:t>
      </w:r>
      <w:proofErr w:type="spellStart"/>
      <w:r w:rsidRPr="00687F19">
        <w:rPr>
          <w:rFonts w:cs="Times New Roman"/>
          <w:i/>
        </w:rPr>
        <w:t>Crevier</w:t>
      </w:r>
      <w:proofErr w:type="spellEnd"/>
      <w:r w:rsidRPr="00687F19">
        <w:rPr>
          <w:rFonts w:cs="Times New Roman"/>
        </w:rPr>
        <w:t xml:space="preserve">, at p. 234; </w:t>
      </w:r>
      <w:r w:rsidRPr="00687F19">
        <w:rPr>
          <w:rFonts w:cs="Times New Roman"/>
          <w:i/>
        </w:rPr>
        <w:t>Dr. Q v. College of Physicians and Surgeons of British Columbia</w:t>
      </w:r>
      <w:r w:rsidRPr="00687F19">
        <w:rPr>
          <w:rFonts w:cs="Times New Roman"/>
        </w:rPr>
        <w:t xml:space="preserve">, 2003 SCC 19, [2003] 1 S.C.R. 226, at para. 21; </w:t>
      </w:r>
      <w:r w:rsidRPr="00687F19">
        <w:rPr>
          <w:rFonts w:cs="Times New Roman"/>
          <w:i/>
        </w:rPr>
        <w:t>Dunsmuir</w:t>
      </w:r>
      <w:r w:rsidRPr="00687F19">
        <w:rPr>
          <w:rFonts w:cs="Times New Roman"/>
        </w:rPr>
        <w:t>, at para. 29). The standard of review analysis is what assists courts in determining the degree of deference they ought to afford to the administrative decision maker for the purpose of striking the appropriate balance between the rule of law and the maintenance of legislative supremacy — not to identify who is best situated to decide what. Moreover, the outcome of the judicial review analysis should play no role in determining the appropriate standard. The correctness standard is integral to the law of judicial review, insofar as it “promotes just decisions and avoids inconsistent and unauthorized application of law” (</w:t>
      </w:r>
      <w:r w:rsidRPr="00687F19">
        <w:rPr>
          <w:rFonts w:cs="Times New Roman"/>
          <w:i/>
        </w:rPr>
        <w:t>Dunsmuir</w:t>
      </w:r>
      <w:r w:rsidRPr="00687F19">
        <w:rPr>
          <w:rFonts w:cs="Times New Roman"/>
        </w:rPr>
        <w:t xml:space="preserve">, at para. 50). </w:t>
      </w:r>
    </w:p>
    <w:p w:rsidR="00AC53DB" w:rsidRPr="00687F19" w:rsidRDefault="00AC53DB" w:rsidP="00AC53DB">
      <w:pPr>
        <w:pStyle w:val="ParaNoNdepar-AltN"/>
        <w:tabs>
          <w:tab w:val="clear" w:pos="1166"/>
          <w:tab w:val="num" w:pos="1152"/>
        </w:tabs>
        <w:rPr>
          <w:rFonts w:cs="Times New Roman"/>
        </w:rPr>
      </w:pPr>
      <w:r w:rsidRPr="00687F19">
        <w:rPr>
          <w:rFonts w:cs="Times New Roman"/>
        </w:rPr>
        <w:t xml:space="preserve">Like our colleagues in the majority, we would therefore dismiss the appeal. We also agree that this disposition says nothing about the complainants’ ability to bring a claim under s. 15 of the </w:t>
      </w:r>
      <w:r w:rsidRPr="00687F19">
        <w:rPr>
          <w:rFonts w:cs="Times New Roman"/>
          <w:i/>
        </w:rPr>
        <w:t>Charter</w:t>
      </w:r>
      <w:r w:rsidRPr="00687F19">
        <w:rPr>
          <w:rFonts w:cs="Times New Roman"/>
        </w:rPr>
        <w:t xml:space="preserve"> with respect to the impugned </w:t>
      </w:r>
      <w:r w:rsidRPr="00687F19">
        <w:rPr>
          <w:rFonts w:cs="Times New Roman"/>
          <w:i/>
        </w:rPr>
        <w:t>Indian Act</w:t>
      </w:r>
      <w:r w:rsidRPr="00687F19">
        <w:rPr>
          <w:rFonts w:cs="Times New Roman"/>
        </w:rPr>
        <w:t xml:space="preserve"> provisions.  </w:t>
      </w:r>
    </w:p>
    <w:p w:rsidR="00AC53DB" w:rsidRPr="00DA1D1D" w:rsidRDefault="007F3A10" w:rsidP="007F3A10">
      <w:pPr>
        <w:tabs>
          <w:tab w:val="left" w:pos="1170"/>
        </w:tabs>
        <w:spacing w:after="480" w:line="480" w:lineRule="auto"/>
      </w:pPr>
      <w:r>
        <w:tab/>
      </w:r>
      <w:r w:rsidR="00AC53DB" w:rsidRPr="00A040E4">
        <w:t>The following are the reasons delivered by</w:t>
      </w:r>
    </w:p>
    <w:p w:rsidR="00AC53DB" w:rsidRPr="00DA1D1D" w:rsidRDefault="00E81DB1" w:rsidP="00AC53DB">
      <w:pPr>
        <w:pStyle w:val="ParaNoNdepar-AltN"/>
        <w:tabs>
          <w:tab w:val="clear" w:pos="1166"/>
          <w:tab w:val="num" w:pos="1152"/>
        </w:tabs>
      </w:pPr>
      <w:r w:rsidRPr="00E81DB1">
        <w:rPr>
          <w:smallCaps/>
        </w:rPr>
        <w:t>Brown J.</w:t>
      </w:r>
      <w:r w:rsidRPr="00DA1D1D">
        <w:t xml:space="preserve"> — </w:t>
      </w:r>
      <w:r w:rsidR="00AC53DB" w:rsidRPr="00DA1D1D">
        <w:t>I agree with my colleague Gascon J. that the</w:t>
      </w:r>
      <w:r w:rsidR="00AC53DB">
        <w:t xml:space="preserve"> Canadian Human Rights</w:t>
      </w:r>
      <w:r w:rsidR="00AC53DB" w:rsidRPr="00DA1D1D">
        <w:t xml:space="preserve"> Tribunal’s answers to the questions before it — that the act of legislating is not a “service” within the meaning of s. 5 of the </w:t>
      </w:r>
      <w:r w:rsidR="00AC53DB" w:rsidRPr="00DA1D1D">
        <w:rPr>
          <w:i/>
        </w:rPr>
        <w:t>Canadian Human Rights Act</w:t>
      </w:r>
      <w:r w:rsidR="00AC53DB" w:rsidRPr="00DA1D1D">
        <w:t xml:space="preserve">, </w:t>
      </w:r>
      <w:r w:rsidR="00AC53DB">
        <w:t xml:space="preserve">R.S.C. 1985, c. H-6, </w:t>
      </w:r>
      <w:r w:rsidR="00AC53DB" w:rsidRPr="00DA1D1D">
        <w:t xml:space="preserve">and that there was therefore no underlying discriminatory practice — were reasonable. I also agree with my colleagues Côté and Rowe JJ. </w:t>
      </w:r>
      <w:proofErr w:type="gramStart"/>
      <w:r w:rsidR="00AC53DB" w:rsidRPr="00DA1D1D">
        <w:t>that</w:t>
      </w:r>
      <w:proofErr w:type="gramEnd"/>
      <w:r w:rsidR="00AC53DB" w:rsidRPr="00DA1D1D">
        <w:t xml:space="preserve"> the Tribunal’s answers were correct. Indeed, paras. 5</w:t>
      </w:r>
      <w:r w:rsidR="00AC53DB">
        <w:t>6</w:t>
      </w:r>
      <w:r w:rsidR="00AC53DB" w:rsidRPr="00DA1D1D">
        <w:t xml:space="preserve"> to 66 of Gascon J.’s reasons also support the conclusion that the Tribunal reached the correct result.  </w:t>
      </w:r>
    </w:p>
    <w:p w:rsidR="00AC53DB" w:rsidRPr="00DA1D1D" w:rsidRDefault="00AC53DB" w:rsidP="00AC53DB">
      <w:pPr>
        <w:pStyle w:val="ParaNoNdepar-AltN"/>
        <w:tabs>
          <w:tab w:val="clear" w:pos="1166"/>
          <w:tab w:val="num" w:pos="1152"/>
        </w:tabs>
        <w:rPr>
          <w:rFonts w:cs="Times New Roman"/>
        </w:rPr>
      </w:pPr>
      <w:r w:rsidRPr="00DA1D1D">
        <w:rPr>
          <w:rFonts w:cs="Times New Roman"/>
        </w:rPr>
        <w:t>In view of the unassailability of the Tribunal’s decision</w:t>
      </w:r>
      <w:r>
        <w:rPr>
          <w:rFonts w:cs="Times New Roman"/>
        </w:rPr>
        <w:t>s</w:t>
      </w:r>
      <w:r w:rsidRPr="00DA1D1D">
        <w:rPr>
          <w:rFonts w:cs="Times New Roman"/>
        </w:rPr>
        <w:t xml:space="preserve"> on either standard of review, nothing more needs to be said on that subject, at least as it applies to this appeal.  I write briefly, to highlight my more general concern regarding my colleague Gascon J.’s </w:t>
      </w:r>
      <w:r w:rsidRPr="00DA1D1D">
        <w:rPr>
          <w:rFonts w:cs="Times New Roman"/>
          <w:i/>
        </w:rPr>
        <w:t>obiter dicta</w:t>
      </w:r>
      <w:r w:rsidRPr="00DA1D1D">
        <w:rPr>
          <w:rFonts w:cs="Times New Roman"/>
        </w:rPr>
        <w:t xml:space="preserve"> regarding true questions of jurisdiction, and to highlight some difficulties that may well arise from his statements regarding contextual analysis.</w:t>
      </w:r>
    </w:p>
    <w:p w:rsidR="00AC53DB" w:rsidRPr="00DA1D1D" w:rsidRDefault="00AC53DB" w:rsidP="00AC53DB">
      <w:pPr>
        <w:pStyle w:val="ParaNoNdepar-AltN"/>
        <w:tabs>
          <w:tab w:val="clear" w:pos="1166"/>
          <w:tab w:val="num" w:pos="1152"/>
        </w:tabs>
        <w:rPr>
          <w:rFonts w:cs="Times New Roman"/>
        </w:rPr>
      </w:pPr>
      <w:r w:rsidRPr="00DA1D1D">
        <w:rPr>
          <w:rFonts w:cs="Times New Roman"/>
        </w:rPr>
        <w:t xml:space="preserve">Justice </w:t>
      </w:r>
      <w:proofErr w:type="spellStart"/>
      <w:r w:rsidRPr="00DA1D1D">
        <w:rPr>
          <w:rFonts w:cs="Times New Roman"/>
        </w:rPr>
        <w:t>Gascon’s</w:t>
      </w:r>
      <w:proofErr w:type="spellEnd"/>
      <w:r w:rsidRPr="00DA1D1D">
        <w:rPr>
          <w:rFonts w:cs="Times New Roman"/>
        </w:rPr>
        <w:t xml:space="preserve"> discussion regarding true questions of jurisdiction omits a central point that, while not determinative, is in my respectful view an important consideration which militates against his suggestion that this category of correctness review might be “euthanized”.  I refer to the Court’s expression, in </w:t>
      </w:r>
      <w:r w:rsidRPr="00DA1D1D">
        <w:rPr>
          <w:rFonts w:cs="Times New Roman"/>
          <w:i/>
        </w:rPr>
        <w:t>Dunsmuir v. New Brunswick</w:t>
      </w:r>
      <w:r w:rsidRPr="00DA1D1D">
        <w:rPr>
          <w:rFonts w:cs="Times New Roman"/>
        </w:rPr>
        <w:t xml:space="preserve">, </w:t>
      </w:r>
      <w:r>
        <w:rPr>
          <w:rFonts w:cs="Times New Roman"/>
        </w:rPr>
        <w:t xml:space="preserve">2008 SCC 9, </w:t>
      </w:r>
      <w:r w:rsidRPr="00DA1D1D">
        <w:rPr>
          <w:rFonts w:cs="Times New Roman"/>
        </w:rPr>
        <w:t>[2008] 1 S.C.R</w:t>
      </w:r>
      <w:r>
        <w:rPr>
          <w:rFonts w:cs="Times New Roman"/>
        </w:rPr>
        <w:t>.</w:t>
      </w:r>
      <w:r w:rsidRPr="00DA1D1D">
        <w:rPr>
          <w:rFonts w:cs="Times New Roman"/>
        </w:rPr>
        <w:t xml:space="preserve"> 190, of the continued recognition of this category as being fundamental to judicial review. My colleague observes that “dissatisfaction with the current state of the law is no reason to ignore our precedents following </w:t>
      </w:r>
      <w:r w:rsidRPr="00DA1D1D">
        <w:rPr>
          <w:rFonts w:cs="Times New Roman"/>
          <w:i/>
        </w:rPr>
        <w:t>Dunsmuir</w:t>
      </w:r>
      <w:r w:rsidRPr="00DA1D1D">
        <w:rPr>
          <w:rFonts w:cs="Times New Roman"/>
        </w:rPr>
        <w:t>” (para. 4</w:t>
      </w:r>
      <w:r>
        <w:rPr>
          <w:rFonts w:cs="Times New Roman"/>
        </w:rPr>
        <w:t>7</w:t>
      </w:r>
      <w:r w:rsidRPr="00DA1D1D">
        <w:rPr>
          <w:rFonts w:cs="Times New Roman"/>
        </w:rPr>
        <w:t xml:space="preserve">). But this observation applies with equal force to </w:t>
      </w:r>
      <w:r w:rsidRPr="00DA1D1D">
        <w:rPr>
          <w:rFonts w:cs="Times New Roman"/>
          <w:i/>
        </w:rPr>
        <w:t>Dunsmuir</w:t>
      </w:r>
      <w:r w:rsidRPr="00DA1D1D">
        <w:rPr>
          <w:rFonts w:cs="Times New Roman"/>
        </w:rPr>
        <w:t xml:space="preserve"> itself. And, in </w:t>
      </w:r>
      <w:r w:rsidRPr="00DA1D1D">
        <w:rPr>
          <w:rFonts w:cs="Times New Roman"/>
          <w:i/>
        </w:rPr>
        <w:t>Dunsmuir</w:t>
      </w:r>
      <w:r w:rsidRPr="00DA1D1D">
        <w:rPr>
          <w:rFonts w:cs="Times New Roman"/>
        </w:rPr>
        <w:t>, this Court, citing the Honourable Thomas Cromwell, wrote that “the rule of law is affirmed by assuring that the courts have the final say on the jurisdictional limits of a tribunal’s authority</w:t>
      </w:r>
      <w:r>
        <w:rPr>
          <w:rFonts w:cs="Times New Roman"/>
        </w:rPr>
        <w:t>”</w:t>
      </w:r>
      <w:r w:rsidRPr="00DA1D1D">
        <w:rPr>
          <w:rFonts w:cs="Times New Roman"/>
        </w:rPr>
        <w:t xml:space="preserve"> (para. 30, citing T. Cromwell, “Appellate Review: Policy and Pragmatism”, in </w:t>
      </w:r>
      <w:r w:rsidRPr="00DA1D1D">
        <w:rPr>
          <w:rFonts w:cs="Times New Roman"/>
          <w:i/>
        </w:rPr>
        <w:t xml:space="preserve">2006 Isaac </w:t>
      </w:r>
      <w:proofErr w:type="spellStart"/>
      <w:r w:rsidRPr="00DA1D1D">
        <w:rPr>
          <w:rFonts w:cs="Times New Roman"/>
          <w:i/>
        </w:rPr>
        <w:t>Pitblado</w:t>
      </w:r>
      <w:proofErr w:type="spellEnd"/>
      <w:r w:rsidRPr="00DA1D1D">
        <w:rPr>
          <w:rFonts w:cs="Times New Roman"/>
          <w:i/>
        </w:rPr>
        <w:t xml:space="preserve"> Lectures, Ap</w:t>
      </w:r>
      <w:r>
        <w:rPr>
          <w:rFonts w:cs="Times New Roman"/>
          <w:i/>
        </w:rPr>
        <w:t>p</w:t>
      </w:r>
      <w:r w:rsidRPr="00DA1D1D">
        <w:rPr>
          <w:rFonts w:cs="Times New Roman"/>
          <w:i/>
        </w:rPr>
        <w:t>ellate Courts: Policy, Law and Practice</w:t>
      </w:r>
      <w:r w:rsidRPr="00DA1D1D">
        <w:rPr>
          <w:rFonts w:cs="Times New Roman"/>
        </w:rPr>
        <w:t>, V-1, at p. V-12)</w:t>
      </w:r>
      <w:r>
        <w:rPr>
          <w:rFonts w:cs="Times New Roman"/>
        </w:rPr>
        <w:t>.</w:t>
      </w:r>
      <w:r w:rsidRPr="00DA1D1D">
        <w:rPr>
          <w:rFonts w:cs="Times New Roman"/>
        </w:rPr>
        <w:t xml:space="preserve"> This presupposes not only that the treatment of such questions is a matter of first importance, but that such questions continue to exist. While, therefore, one might “euthanize” </w:t>
      </w:r>
      <w:r w:rsidRPr="00DA1D1D">
        <w:rPr>
          <w:rFonts w:cs="Times New Roman"/>
          <w:i/>
        </w:rPr>
        <w:t>the category</w:t>
      </w:r>
      <w:r w:rsidRPr="00DA1D1D">
        <w:rPr>
          <w:rFonts w:cs="Times New Roman"/>
        </w:rPr>
        <w:t xml:space="preserve"> of true jurisdictional questions, it would not follow that </w:t>
      </w:r>
      <w:r w:rsidRPr="00DA1D1D">
        <w:rPr>
          <w:rFonts w:cs="Times New Roman"/>
          <w:i/>
        </w:rPr>
        <w:t>such questions themselves</w:t>
      </w:r>
      <w:r w:rsidRPr="00DA1D1D">
        <w:rPr>
          <w:rFonts w:cs="Times New Roman"/>
        </w:rPr>
        <w:t xml:space="preserve"> will disappear. </w:t>
      </w:r>
    </w:p>
    <w:p w:rsidR="00AC53DB" w:rsidRPr="00DA1D1D" w:rsidRDefault="00AC53DB" w:rsidP="00AC53DB">
      <w:pPr>
        <w:pStyle w:val="ParaNoNdepar-AltN"/>
        <w:tabs>
          <w:tab w:val="clear" w:pos="1166"/>
          <w:tab w:val="num" w:pos="1152"/>
        </w:tabs>
        <w:rPr>
          <w:rFonts w:cs="Times New Roman"/>
        </w:rPr>
      </w:pPr>
      <w:r w:rsidRPr="00DA1D1D">
        <w:rPr>
          <w:rFonts w:cs="Times New Roman"/>
        </w:rPr>
        <w:t xml:space="preserve">Deciding whether and how any “euthanizing” of true questions of jurisdiction is to proceed will, therefore, require a measure of circumspection.  The exercise of public power, including delegated public power, must always be authorized by law. Judicial review guarantees fidelity to that principle.  As I indicated in </w:t>
      </w:r>
      <w:r w:rsidRPr="00DA1D1D">
        <w:rPr>
          <w:rFonts w:cs="Times New Roman"/>
          <w:i/>
        </w:rPr>
        <w:t xml:space="preserve">West Fraser Mills Ltd. v. </w:t>
      </w:r>
      <w:r>
        <w:rPr>
          <w:rFonts w:cs="Times New Roman"/>
          <w:i/>
        </w:rPr>
        <w:t>British Columbia (</w:t>
      </w:r>
      <w:r w:rsidRPr="00DA1D1D">
        <w:rPr>
          <w:rFonts w:cs="Times New Roman"/>
          <w:i/>
        </w:rPr>
        <w:t>Workers’ Compensation Appeal Tribunal</w:t>
      </w:r>
      <w:r>
        <w:rPr>
          <w:rFonts w:cs="Times New Roman"/>
          <w:i/>
        </w:rPr>
        <w:t>)</w:t>
      </w:r>
      <w:r w:rsidRPr="00DA1D1D">
        <w:rPr>
          <w:rFonts w:cs="Times New Roman"/>
        </w:rPr>
        <w:t xml:space="preserve">, 2018 SCC </w:t>
      </w:r>
      <w:r>
        <w:rPr>
          <w:rFonts w:cs="Times New Roman"/>
        </w:rPr>
        <w:t>22</w:t>
      </w:r>
      <w:r w:rsidRPr="00DA1D1D">
        <w:rPr>
          <w:rFonts w:cs="Times New Roman"/>
        </w:rPr>
        <w:t xml:space="preserve">, </w:t>
      </w:r>
      <w:r w:rsidR="007F3A10">
        <w:rPr>
          <w:rFonts w:cs="Times New Roman"/>
        </w:rPr>
        <w:t xml:space="preserve">[2018] 1 S.C.R. </w:t>
      </w:r>
      <w:r w:rsidR="00625A76">
        <w:rPr>
          <w:rFonts w:cs="Times New Roman"/>
        </w:rPr>
        <w:t>635</w:t>
      </w:r>
      <w:r w:rsidR="007F3A10">
        <w:rPr>
          <w:rFonts w:cs="Times New Roman"/>
        </w:rPr>
        <w:t xml:space="preserve">, </w:t>
      </w:r>
      <w:r w:rsidRPr="00DA1D1D">
        <w:rPr>
          <w:rFonts w:cs="Times New Roman"/>
        </w:rPr>
        <w:t>at para. 1</w:t>
      </w:r>
      <w:r>
        <w:rPr>
          <w:rFonts w:cs="Times New Roman"/>
        </w:rPr>
        <w:t>24</w:t>
      </w:r>
      <w:r w:rsidRPr="00DA1D1D">
        <w:rPr>
          <w:rFonts w:cs="Times New Roman"/>
        </w:rPr>
        <w:t>, I accept that it is often difficult to distinguish between exercises of delegated power that raise truly jurisdictional questions from those entailing an unremarkable application of an enabling statute. But there will remain questions that tend more to the former, including matters which are still widely regarded as jurisdictional by lower courts (for example, a decision to enact subordinate legislation:</w:t>
      </w:r>
      <w:r>
        <w:rPr>
          <w:rFonts w:cs="Times New Roman"/>
        </w:rPr>
        <w:t xml:space="preserve"> </w:t>
      </w:r>
      <w:r w:rsidRPr="00DA1D1D">
        <w:rPr>
          <w:rFonts w:cs="Times New Roman"/>
          <w:i/>
        </w:rPr>
        <w:t>Canadian Copyright Licensing Agency (Access Copyright</w:t>
      </w:r>
      <w:r>
        <w:rPr>
          <w:rFonts w:cs="Times New Roman"/>
          <w:i/>
        </w:rPr>
        <w:t>)</w:t>
      </w:r>
      <w:r w:rsidRPr="00DA1D1D">
        <w:rPr>
          <w:rFonts w:cs="Times New Roman"/>
          <w:i/>
        </w:rPr>
        <w:t xml:space="preserve"> v. </w:t>
      </w:r>
      <w:r>
        <w:rPr>
          <w:rFonts w:cs="Times New Roman"/>
          <w:i/>
        </w:rPr>
        <w:t>Canada</w:t>
      </w:r>
      <w:r w:rsidRPr="00DA1D1D">
        <w:rPr>
          <w:rFonts w:cs="Times New Roman"/>
        </w:rPr>
        <w:t>, 2018 FCA 58, at para. 80</w:t>
      </w:r>
      <w:r>
        <w:rPr>
          <w:rFonts w:cs="Times New Roman"/>
        </w:rPr>
        <w:t xml:space="preserve"> (CanLII)</w:t>
      </w:r>
      <w:r w:rsidRPr="00DA1D1D">
        <w:rPr>
          <w:rFonts w:cs="Times New Roman"/>
        </w:rPr>
        <w:t xml:space="preserve">), and which raise squarely the same concerns for the rule of law identified by this Court in </w:t>
      </w:r>
      <w:r w:rsidRPr="00DA1D1D">
        <w:rPr>
          <w:rFonts w:cs="Times New Roman"/>
          <w:i/>
        </w:rPr>
        <w:t>Dunsmuir</w:t>
      </w:r>
      <w:r w:rsidRPr="00DA1D1D">
        <w:rPr>
          <w:rFonts w:cs="Times New Roman"/>
        </w:rPr>
        <w:t xml:space="preserve"> as demanding a more exacting standard of review.  To consign such questions to the same, one-size-fits-all “reasonableness” standard of review that all other questions receive would render that standard far less useful, since it would furnish a reviewing court with no basis for distinguishing matters warranting deference from those which do not.  </w:t>
      </w:r>
    </w:p>
    <w:p w:rsidR="00AC53DB" w:rsidRPr="00DA1D1D" w:rsidRDefault="00AC53DB" w:rsidP="00AC53DB">
      <w:pPr>
        <w:pStyle w:val="ParaNoNdepar-AltN"/>
        <w:tabs>
          <w:tab w:val="clear" w:pos="1166"/>
          <w:tab w:val="num" w:pos="1152"/>
        </w:tabs>
        <w:rPr>
          <w:rFonts w:cs="Times New Roman"/>
        </w:rPr>
      </w:pPr>
      <w:r w:rsidRPr="00DA1D1D">
        <w:rPr>
          <w:rFonts w:cs="Times New Roman"/>
        </w:rPr>
        <w:t xml:space="preserve">It follows that abolition of the category of true questions of jurisdiction will necessitate a concomitant shift towards </w:t>
      </w:r>
      <w:r w:rsidR="00625A76">
        <w:rPr>
          <w:rFonts w:cs="Times New Roman"/>
        </w:rPr>
        <w:t xml:space="preserve">a </w:t>
      </w:r>
      <w:r w:rsidRPr="00DA1D1D">
        <w:rPr>
          <w:rFonts w:cs="Times New Roman"/>
        </w:rPr>
        <w:t xml:space="preserve">more flexible, rather than a strictly binary (or strictly reasonableness) standard of review framework.  </w:t>
      </w:r>
    </w:p>
    <w:p w:rsidR="00AC53DB" w:rsidRPr="00DA1D1D" w:rsidRDefault="00AC53DB" w:rsidP="00AC53DB">
      <w:pPr>
        <w:pStyle w:val="ParaNoNdepar-AltN"/>
        <w:tabs>
          <w:tab w:val="clear" w:pos="1166"/>
          <w:tab w:val="num" w:pos="1152"/>
        </w:tabs>
        <w:rPr>
          <w:rFonts w:cs="Times New Roman"/>
        </w:rPr>
      </w:pPr>
      <w:r w:rsidRPr="00DA1D1D">
        <w:rPr>
          <w:rFonts w:cs="Times New Roman"/>
        </w:rPr>
        <w:t>This brings me to my second concern, which is the extremely narrow scope for contextual analysis that my colleague</w:t>
      </w:r>
      <w:r>
        <w:rPr>
          <w:rFonts w:cs="Times New Roman"/>
        </w:rPr>
        <w:t xml:space="preserve"> Gascon J.</w:t>
      </w:r>
      <w:r w:rsidRPr="00DA1D1D">
        <w:rPr>
          <w:rFonts w:cs="Times New Roman"/>
        </w:rPr>
        <w:t xml:space="preserve"> states, and which would significantly impede that necessary flexibility. Contextual analysis is, he says, “</w:t>
      </w:r>
      <w:proofErr w:type="gramStart"/>
      <w:r w:rsidRPr="00DA1D1D">
        <w:rPr>
          <w:rFonts w:cs="Times New Roman"/>
        </w:rPr>
        <w:t>exceptional</w:t>
      </w:r>
      <w:proofErr w:type="gramEnd"/>
      <w:r w:rsidRPr="00DA1D1D">
        <w:rPr>
          <w:rFonts w:cs="Times New Roman"/>
        </w:rPr>
        <w:t>”, should be undertaken “sparingly”, and plays a “subordinate role” in deciding the standard of review (paras. 45-46)</w:t>
      </w:r>
      <w:r>
        <w:rPr>
          <w:rFonts w:cs="Times New Roman"/>
        </w:rPr>
        <w:t>.</w:t>
      </w:r>
    </w:p>
    <w:p w:rsidR="00AC53DB" w:rsidRPr="00DA1D1D" w:rsidRDefault="00AC53DB" w:rsidP="00AC53DB">
      <w:pPr>
        <w:pStyle w:val="ParaNoNdepar-AltN"/>
        <w:tabs>
          <w:tab w:val="clear" w:pos="1166"/>
          <w:tab w:val="num" w:pos="1152"/>
        </w:tabs>
        <w:rPr>
          <w:rFonts w:cs="Times New Roman"/>
        </w:rPr>
      </w:pPr>
      <w:r w:rsidRPr="00DA1D1D">
        <w:rPr>
          <w:rFonts w:cs="Times New Roman"/>
        </w:rPr>
        <w:t xml:space="preserve">Descriptors like “exceptional” and “sparingly” are, of course, the same sort of cautions which this Court has from time to time stated in respect of true questions of jurisdiction, which suggests that contextual analysis may be next in line for “euthanizing”.  That aside, and with respect, and accepting that my colleague can draw from past statements of this Court for support, such statements give little if any meaningful guidance to lower courts. Indeed, statements suggesting that contextual review should be applied “sparingly” or that it plays a “subordinate role” are not easily reconciled with my colleague’s acknowledgment (at para. 46) that reviewing courts ought to examine “factors that </w:t>
      </w:r>
      <w:proofErr w:type="spellStart"/>
      <w:r w:rsidRPr="00DA1D1D">
        <w:rPr>
          <w:rFonts w:cs="Times New Roman"/>
        </w:rPr>
        <w:t>sho</w:t>
      </w:r>
      <w:proofErr w:type="spellEnd"/>
      <w:r>
        <w:rPr>
          <w:rFonts w:cs="Times New Roman"/>
        </w:rPr>
        <w:t>[</w:t>
      </w:r>
      <w:r w:rsidRPr="00DA1D1D">
        <w:rPr>
          <w:rFonts w:cs="Times New Roman"/>
        </w:rPr>
        <w:t>w] a clear legislative intent justifying the rebuttal of the presumption”</w:t>
      </w:r>
      <w:r>
        <w:rPr>
          <w:rFonts w:cs="Times New Roman"/>
        </w:rPr>
        <w:t>.</w:t>
      </w:r>
      <w:r w:rsidRPr="00DA1D1D">
        <w:rPr>
          <w:rFonts w:cs="Times New Roman"/>
        </w:rPr>
        <w:t xml:space="preserve"> If one is considering factors which show legislative intent, one </w:t>
      </w:r>
      <w:r w:rsidRPr="00DA1D1D">
        <w:rPr>
          <w:rFonts w:cs="Times New Roman"/>
          <w:i/>
        </w:rPr>
        <w:t>is</w:t>
      </w:r>
      <w:r w:rsidRPr="00DA1D1D">
        <w:rPr>
          <w:rFonts w:cs="Times New Roman"/>
        </w:rPr>
        <w:t xml:space="preserve"> undertaking a contextual analysis.</w:t>
      </w:r>
    </w:p>
    <w:p w:rsidR="00AC53DB" w:rsidRPr="00E81DB1" w:rsidRDefault="00AC53DB" w:rsidP="006D600D">
      <w:pPr>
        <w:pStyle w:val="ParaNoNdepar-AltN"/>
        <w:tabs>
          <w:tab w:val="clear" w:pos="1166"/>
          <w:tab w:val="num" w:pos="1152"/>
        </w:tabs>
        <w:rPr>
          <w:rFonts w:cs="Times New Roman"/>
        </w:rPr>
      </w:pPr>
      <w:r w:rsidRPr="00DA1D1D">
        <w:rPr>
          <w:rFonts w:cs="Times New Roman"/>
        </w:rPr>
        <w:t>My concerns with these aspects of my colleague’s reasons do not, however, affect the result.  I agree that the appeal should be dismissed.</w:t>
      </w:r>
    </w:p>
    <w:p w:rsidR="009B57B3" w:rsidRPr="00B6032C" w:rsidRDefault="00163DC5" w:rsidP="006D600D">
      <w:pPr>
        <w:pStyle w:val="SCCNormalDoubleSpacing"/>
        <w:spacing w:before="480" w:after="480"/>
      </w:pPr>
      <w:r w:rsidRPr="00B6032C">
        <w:tab/>
      </w:r>
      <w:r w:rsidR="00656313" w:rsidRPr="00B6032C">
        <w:rPr>
          <w:i/>
        </w:rPr>
        <w:t>Appeal</w:t>
      </w:r>
      <w:r w:rsidRPr="00B6032C">
        <w:rPr>
          <w:i/>
        </w:rPr>
        <w:t xml:space="preserve"> </w:t>
      </w:r>
      <w:r w:rsidR="007B22F2" w:rsidRPr="00B6032C">
        <w:rPr>
          <w:i/>
        </w:rPr>
        <w:t>dismissed</w:t>
      </w:r>
      <w:r w:rsidR="00AA03DE">
        <w:rPr>
          <w:i/>
        </w:rPr>
        <w:t>.</w:t>
      </w:r>
    </w:p>
    <w:p w:rsidR="00AB06F3" w:rsidRPr="00B6032C" w:rsidRDefault="00163DC5" w:rsidP="006D600D">
      <w:pPr>
        <w:pStyle w:val="SCCLawFirm"/>
        <w:spacing w:before="480" w:after="480"/>
      </w:pPr>
      <w:r w:rsidRPr="00B6032C">
        <w:tab/>
        <w:t>Solicitor for the appellant</w:t>
      </w:r>
      <w:r w:rsidR="006D600D" w:rsidRPr="00B6032C">
        <w:t>: </w:t>
      </w:r>
      <w:r w:rsidR="003A5BBF" w:rsidRPr="00B6032C">
        <w:t>Canadian Human Rights Commission, Ottawa.</w:t>
      </w:r>
    </w:p>
    <w:p w:rsidR="00AB06F3" w:rsidRPr="00B6032C" w:rsidRDefault="00163DC5" w:rsidP="006D600D">
      <w:pPr>
        <w:pStyle w:val="SCCLawFirm"/>
        <w:spacing w:before="480" w:after="480"/>
      </w:pPr>
      <w:r w:rsidRPr="00B6032C">
        <w:tab/>
        <w:t>Solicitor for the respondent</w:t>
      </w:r>
      <w:r w:rsidR="006D600D" w:rsidRPr="00B6032C">
        <w:t>: </w:t>
      </w:r>
      <w:r w:rsidR="003A5BBF" w:rsidRPr="00B6032C">
        <w:t>Attorney General of Canada, Toronto.</w:t>
      </w:r>
    </w:p>
    <w:p w:rsidR="00163DC5" w:rsidRPr="00B6032C" w:rsidRDefault="003A5BBF" w:rsidP="006D600D">
      <w:pPr>
        <w:pStyle w:val="SCCLawFirm"/>
        <w:spacing w:before="480" w:after="480"/>
      </w:pPr>
      <w:r w:rsidRPr="00B6032C">
        <w:tab/>
      </w:r>
      <w:r w:rsidR="00163DC5" w:rsidRPr="00B6032C">
        <w:t>Solicitor for the intervener the Attorney General of Quebec</w:t>
      </w:r>
      <w:r w:rsidR="006D600D" w:rsidRPr="00B6032C">
        <w:t>: </w:t>
      </w:r>
      <w:r w:rsidR="00925169" w:rsidRPr="00B6032C">
        <w:t>Attorney General of Quebec</w:t>
      </w:r>
      <w:r w:rsidR="00163DC5" w:rsidRPr="00B6032C">
        <w:t>, Québec.</w:t>
      </w:r>
    </w:p>
    <w:p w:rsidR="00AB06F3" w:rsidRPr="00B6032C" w:rsidRDefault="00163DC5" w:rsidP="006D600D">
      <w:pPr>
        <w:pStyle w:val="SCCLawFirm"/>
        <w:spacing w:before="480" w:after="480"/>
      </w:pPr>
      <w:r w:rsidRPr="00B6032C">
        <w:tab/>
        <w:t>Solicitors</w:t>
      </w:r>
      <w:r w:rsidR="003A5BBF" w:rsidRPr="00B6032C">
        <w:t xml:space="preserve"> for t</w:t>
      </w:r>
      <w:r w:rsidRPr="00B6032C">
        <w:t xml:space="preserve">he intervener Tania </w:t>
      </w:r>
      <w:proofErr w:type="spellStart"/>
      <w:r w:rsidRPr="00B6032C">
        <w:t>Zulkoskey</w:t>
      </w:r>
      <w:proofErr w:type="spellEnd"/>
      <w:r w:rsidR="006D600D" w:rsidRPr="00B6032C">
        <w:t>: </w:t>
      </w:r>
      <w:proofErr w:type="spellStart"/>
      <w:r w:rsidR="003A5BBF" w:rsidRPr="00B6032C">
        <w:t>Cavalluzzo</w:t>
      </w:r>
      <w:proofErr w:type="spellEnd"/>
      <w:r w:rsidR="003A5BBF" w:rsidRPr="00B6032C">
        <w:t>, Toronto.</w:t>
      </w:r>
    </w:p>
    <w:p w:rsidR="00AB06F3" w:rsidRPr="00B6032C" w:rsidRDefault="002B13DB" w:rsidP="006D600D">
      <w:pPr>
        <w:pStyle w:val="SCCLawFirm"/>
        <w:spacing w:before="480" w:after="480"/>
      </w:pPr>
      <w:r w:rsidRPr="00B6032C">
        <w:tab/>
        <w:t>Solicitor</w:t>
      </w:r>
      <w:r w:rsidR="003A5BBF" w:rsidRPr="00B6032C">
        <w:t xml:space="preserve"> for the intervener</w:t>
      </w:r>
      <w:r w:rsidRPr="00B6032C">
        <w:t>s</w:t>
      </w:r>
      <w:r w:rsidR="003A5BBF" w:rsidRPr="00B6032C">
        <w:t xml:space="preserve"> </w:t>
      </w:r>
      <w:r w:rsidRPr="00B6032C">
        <w:t xml:space="preserve">the </w:t>
      </w:r>
      <w:r w:rsidR="003A5BBF" w:rsidRPr="00B6032C">
        <w:t xml:space="preserve">Income Security Advocacy Centre, </w:t>
      </w:r>
      <w:r w:rsidRPr="00B6032C">
        <w:t xml:space="preserve">the </w:t>
      </w:r>
      <w:r w:rsidR="003A5BBF" w:rsidRPr="00B6032C">
        <w:t xml:space="preserve">Sudbury Community Legal Clinic, </w:t>
      </w:r>
      <w:r w:rsidRPr="00B6032C">
        <w:t xml:space="preserve">the </w:t>
      </w:r>
      <w:r w:rsidR="003A5BBF" w:rsidRPr="00B6032C">
        <w:t xml:space="preserve">Chinese and Southeast Asian Legal Clinic, </w:t>
      </w:r>
      <w:r w:rsidRPr="00B6032C">
        <w:t xml:space="preserve">the </w:t>
      </w:r>
      <w:r w:rsidR="003A5BBF" w:rsidRPr="00B6032C">
        <w:t xml:space="preserve">Community Legal Assistance Society and </w:t>
      </w:r>
      <w:r w:rsidR="00102F8D" w:rsidRPr="00B6032C">
        <w:t xml:space="preserve">the </w:t>
      </w:r>
      <w:r w:rsidR="003A5BBF" w:rsidRPr="00B6032C">
        <w:t>HI</w:t>
      </w:r>
      <w:r w:rsidRPr="00B6032C">
        <w:t>V &amp; AIDS Legal Clinic Ontario</w:t>
      </w:r>
      <w:r w:rsidR="006D600D" w:rsidRPr="00B6032C">
        <w:t>: </w:t>
      </w:r>
      <w:r w:rsidR="003A5BBF" w:rsidRPr="00B6032C">
        <w:t>Income Security Advocacy Centre, Toronto.</w:t>
      </w:r>
    </w:p>
    <w:p w:rsidR="00AB06F3" w:rsidRPr="00B6032C" w:rsidRDefault="002B13DB" w:rsidP="006D600D">
      <w:pPr>
        <w:pStyle w:val="SCCLawFirm"/>
        <w:spacing w:before="480" w:after="480"/>
      </w:pPr>
      <w:r w:rsidRPr="00B6032C">
        <w:tab/>
        <w:t>Solicitors</w:t>
      </w:r>
      <w:r w:rsidR="003A5BBF" w:rsidRPr="00B6032C">
        <w:t xml:space="preserve"> for the intervener </w:t>
      </w:r>
      <w:r w:rsidRPr="00B6032C">
        <w:t xml:space="preserve">the </w:t>
      </w:r>
      <w:r w:rsidR="003A5BBF" w:rsidRPr="00B6032C">
        <w:t>Canadi</w:t>
      </w:r>
      <w:r w:rsidRPr="00B6032C">
        <w:t>an Muslim Lawyers Association</w:t>
      </w:r>
      <w:r w:rsidR="006D600D" w:rsidRPr="00B6032C">
        <w:t>: </w:t>
      </w:r>
      <w:proofErr w:type="spellStart"/>
      <w:r w:rsidR="003A5BBF" w:rsidRPr="00B6032C">
        <w:t>Karimjee</w:t>
      </w:r>
      <w:proofErr w:type="spellEnd"/>
      <w:r w:rsidR="003A5BBF" w:rsidRPr="00B6032C">
        <w:t xml:space="preserve"> Greene, Toronto.</w:t>
      </w:r>
    </w:p>
    <w:p w:rsidR="00AB06F3" w:rsidRPr="00B6032C" w:rsidRDefault="002B13DB" w:rsidP="006D600D">
      <w:pPr>
        <w:pStyle w:val="SCCLawFirm"/>
        <w:spacing w:before="480" w:after="480"/>
      </w:pPr>
      <w:r w:rsidRPr="00B6032C">
        <w:tab/>
        <w:t>Solicitor</w:t>
      </w:r>
      <w:r w:rsidR="003A5BBF" w:rsidRPr="00B6032C">
        <w:t xml:space="preserve"> for the intervener </w:t>
      </w:r>
      <w:r w:rsidRPr="00B6032C">
        <w:t xml:space="preserve">the </w:t>
      </w:r>
      <w:r w:rsidR="003A5BBF" w:rsidRPr="00B6032C">
        <w:t>Council of Canadians</w:t>
      </w:r>
      <w:r w:rsidRPr="00B6032C">
        <w:t xml:space="preserve"> with Disabilities</w:t>
      </w:r>
      <w:r w:rsidR="006D600D" w:rsidRPr="00B6032C">
        <w:t>: </w:t>
      </w:r>
      <w:r w:rsidR="003A5BBF" w:rsidRPr="00B6032C">
        <w:t>ARCH Disability Law Centre, Toronto.</w:t>
      </w:r>
    </w:p>
    <w:p w:rsidR="00AB06F3" w:rsidRPr="00B6032C" w:rsidRDefault="002B13DB" w:rsidP="006D600D">
      <w:pPr>
        <w:pStyle w:val="SCCLawFirm"/>
        <w:spacing w:before="480" w:after="480"/>
      </w:pPr>
      <w:r w:rsidRPr="00B6032C">
        <w:tab/>
        <w:t>Solicitors</w:t>
      </w:r>
      <w:r w:rsidR="003A5BBF" w:rsidRPr="00B6032C">
        <w:t xml:space="preserve"> for the intervener</w:t>
      </w:r>
      <w:r w:rsidRPr="00B6032C">
        <w:t>s</w:t>
      </w:r>
      <w:r w:rsidR="003A5BBF" w:rsidRPr="00B6032C">
        <w:t xml:space="preserve"> </w:t>
      </w:r>
      <w:r w:rsidRPr="00B6032C">
        <w:t xml:space="preserve">the </w:t>
      </w:r>
      <w:r w:rsidR="003A5BBF" w:rsidRPr="00B6032C">
        <w:t>Women</w:t>
      </w:r>
      <w:r w:rsidR="00157C4B" w:rsidRPr="00B6032C">
        <w:t>’</w:t>
      </w:r>
      <w:r w:rsidR="003A5BBF" w:rsidRPr="00B6032C">
        <w:t xml:space="preserve">s </w:t>
      </w:r>
      <w:r w:rsidRPr="00B6032C">
        <w:t>Legal Education and Action Fund and the</w:t>
      </w:r>
      <w:r w:rsidR="003A5BBF" w:rsidRPr="00B6032C">
        <w:t xml:space="preserve"> Native Women</w:t>
      </w:r>
      <w:r w:rsidR="00157C4B" w:rsidRPr="00B6032C">
        <w:t>’</w:t>
      </w:r>
      <w:r w:rsidRPr="00B6032C">
        <w:t>s Association of Canada</w:t>
      </w:r>
      <w:r w:rsidR="006D600D" w:rsidRPr="00B6032C">
        <w:t>: </w:t>
      </w:r>
      <w:r w:rsidR="003A5BBF" w:rsidRPr="00B6032C">
        <w:t xml:space="preserve">Law Office of Mary </w:t>
      </w:r>
      <w:proofErr w:type="spellStart"/>
      <w:r w:rsidR="003A5BBF" w:rsidRPr="00B6032C">
        <w:t>Eberts</w:t>
      </w:r>
      <w:proofErr w:type="spellEnd"/>
      <w:r w:rsidR="003A5BBF" w:rsidRPr="00B6032C">
        <w:t>, Toronto</w:t>
      </w:r>
      <w:r w:rsidR="00B63D71" w:rsidRPr="00B6032C">
        <w:t>; Wome</w:t>
      </w:r>
      <w:r w:rsidRPr="00B6032C">
        <w:t xml:space="preserve">n’s Legal Education and Action Fund Inc., </w:t>
      </w:r>
      <w:r w:rsidR="00E96BE5" w:rsidRPr="00B6032C">
        <w:t>Toronto; Native Women’s Association of Canada, Ottawa</w:t>
      </w:r>
      <w:r w:rsidR="003A5BBF" w:rsidRPr="00B6032C">
        <w:t>.</w:t>
      </w:r>
    </w:p>
    <w:p w:rsidR="00AB06F3" w:rsidRPr="00B6032C" w:rsidRDefault="00E96BE5" w:rsidP="006D600D">
      <w:pPr>
        <w:pStyle w:val="SCCLawFirm"/>
        <w:spacing w:before="480" w:after="480"/>
      </w:pPr>
      <w:r w:rsidRPr="00B6032C">
        <w:tab/>
        <w:t>Solicitor</w:t>
      </w:r>
      <w:r w:rsidR="003A5BBF" w:rsidRPr="00B6032C">
        <w:t>s for the intervener Amnesty Intern</w:t>
      </w:r>
      <w:r w:rsidRPr="00B6032C">
        <w:t>ational</w:t>
      </w:r>
      <w:r w:rsidR="006D600D" w:rsidRPr="00B6032C">
        <w:t>: </w:t>
      </w:r>
      <w:proofErr w:type="spellStart"/>
      <w:r w:rsidR="003A5BBF" w:rsidRPr="00B6032C">
        <w:t>Stockwoods</w:t>
      </w:r>
      <w:proofErr w:type="spellEnd"/>
      <w:r w:rsidR="003A5BBF" w:rsidRPr="00B6032C">
        <w:t>, Toronto.</w:t>
      </w:r>
    </w:p>
    <w:p w:rsidR="00AB06F3" w:rsidRPr="00B6032C" w:rsidRDefault="00E96BE5" w:rsidP="006D600D">
      <w:pPr>
        <w:pStyle w:val="SCCLawFirm"/>
        <w:spacing w:before="480" w:after="480"/>
      </w:pPr>
      <w:r w:rsidRPr="00B6032C">
        <w:tab/>
        <w:t>Solicitors</w:t>
      </w:r>
      <w:r w:rsidR="003A5BBF" w:rsidRPr="00B6032C">
        <w:t xml:space="preserve"> for the intervener </w:t>
      </w:r>
      <w:r w:rsidRPr="00B6032C">
        <w:t xml:space="preserve">the </w:t>
      </w:r>
      <w:r w:rsidR="003A5BBF" w:rsidRPr="00B6032C">
        <w:t>First Nations Child and Fa</w:t>
      </w:r>
      <w:r w:rsidRPr="00B6032C">
        <w:t>mily Caring Society of Canada</w:t>
      </w:r>
      <w:r w:rsidR="006D600D" w:rsidRPr="00B6032C">
        <w:t>: </w:t>
      </w:r>
      <w:r w:rsidR="003A5BBF" w:rsidRPr="00B6032C">
        <w:t>Conway Baxter Wilson, Ottawa</w:t>
      </w:r>
      <w:r w:rsidRPr="00B6032C">
        <w:t>; Equality Law, Ottawa</w:t>
      </w:r>
      <w:r w:rsidR="003A5BBF" w:rsidRPr="00B6032C">
        <w:t>.</w:t>
      </w:r>
    </w:p>
    <w:p w:rsidR="00AB06F3" w:rsidRPr="00B6032C" w:rsidRDefault="00E96BE5" w:rsidP="006D600D">
      <w:pPr>
        <w:pStyle w:val="SCCLawFirm"/>
        <w:spacing w:before="480" w:after="480"/>
      </w:pPr>
      <w:r w:rsidRPr="00B6032C">
        <w:tab/>
        <w:t>Solicitor</w:t>
      </w:r>
      <w:r w:rsidR="003A5BBF" w:rsidRPr="00B6032C">
        <w:t xml:space="preserve"> for the intervener </w:t>
      </w:r>
      <w:r w:rsidRPr="00B6032C">
        <w:t>the African Canadian Legal Clinic</w:t>
      </w:r>
      <w:r w:rsidR="006D600D" w:rsidRPr="00B6032C">
        <w:t>: </w:t>
      </w:r>
      <w:r w:rsidR="003A5BBF" w:rsidRPr="00B6032C">
        <w:t>African Canadian Legal Clinic, Toronto.</w:t>
      </w:r>
    </w:p>
    <w:p w:rsidR="00AB06F3" w:rsidRPr="00B6032C" w:rsidRDefault="00E96BE5" w:rsidP="006D600D">
      <w:pPr>
        <w:pStyle w:val="SCCLawFirm"/>
        <w:spacing w:before="480" w:after="480"/>
      </w:pPr>
      <w:r w:rsidRPr="00B6032C">
        <w:tab/>
        <w:t>Solicitor</w:t>
      </w:r>
      <w:r w:rsidR="003A5BBF" w:rsidRPr="00B6032C">
        <w:t xml:space="preserve"> for the interve</w:t>
      </w:r>
      <w:r w:rsidRPr="00B6032C">
        <w:t xml:space="preserve">ner </w:t>
      </w:r>
      <w:r w:rsidR="00AB6561" w:rsidRPr="00B6032C">
        <w:t xml:space="preserve">the </w:t>
      </w:r>
      <w:r w:rsidRPr="00B6032C">
        <w:t>Aboriginal Legal Services</w:t>
      </w:r>
      <w:r w:rsidR="006D600D" w:rsidRPr="00B6032C">
        <w:t>: </w:t>
      </w:r>
      <w:r w:rsidR="003A5BBF" w:rsidRPr="00B6032C">
        <w:t>Aboriginal Legal Services, Toronto.</w:t>
      </w:r>
    </w:p>
    <w:p w:rsidR="009B57B3" w:rsidRPr="00B6032C" w:rsidRDefault="00E96BE5" w:rsidP="006D600D">
      <w:pPr>
        <w:pStyle w:val="SCCLawFirm"/>
        <w:spacing w:before="480" w:after="480"/>
      </w:pPr>
      <w:r w:rsidRPr="00B6032C">
        <w:tab/>
        <w:t>Solicitors</w:t>
      </w:r>
      <w:r w:rsidR="003A5BBF" w:rsidRPr="00B6032C">
        <w:t xml:space="preserve"> for the intervener </w:t>
      </w:r>
      <w:r w:rsidRPr="00B6032C">
        <w:t xml:space="preserve">the </w:t>
      </w:r>
      <w:r w:rsidR="003A5BBF" w:rsidRPr="00B6032C">
        <w:t xml:space="preserve">Public </w:t>
      </w:r>
      <w:r w:rsidRPr="00B6032C">
        <w:t>Service Alliance of Canada</w:t>
      </w:r>
      <w:r w:rsidR="006D600D" w:rsidRPr="00B6032C">
        <w:t>: </w:t>
      </w:r>
      <w:r w:rsidR="003A5BBF" w:rsidRPr="00B6032C">
        <w:t>Raven,</w:t>
      </w:r>
      <w:r w:rsidRPr="00B6032C">
        <w:t xml:space="preserve"> Cameron, Ballantyne &amp; </w:t>
      </w:r>
      <w:proofErr w:type="spellStart"/>
      <w:r w:rsidRPr="00B6032C">
        <w:t>Yazbeck</w:t>
      </w:r>
      <w:proofErr w:type="spellEnd"/>
      <w:r w:rsidRPr="00B6032C">
        <w:t xml:space="preserve">, </w:t>
      </w:r>
      <w:proofErr w:type="gramStart"/>
      <w:r w:rsidRPr="00B6032C">
        <w:t>Ottawa</w:t>
      </w:r>
      <w:proofErr w:type="gramEnd"/>
      <w:r w:rsidRPr="00B6032C">
        <w:t>.</w:t>
      </w:r>
    </w:p>
    <w:sectPr w:rsidR="009B57B3" w:rsidRPr="00B6032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D0" w:rsidRDefault="00CF2ED0">
      <w:r>
        <w:separator/>
      </w:r>
    </w:p>
  </w:endnote>
  <w:endnote w:type="continuationSeparator" w:id="0">
    <w:p w:rsidR="00CF2ED0" w:rsidRDefault="00CF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0F" w:rsidRDefault="00232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0F" w:rsidRDefault="002322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0F" w:rsidRDefault="00232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D0" w:rsidRDefault="00CF2ED0">
      <w:r>
        <w:separator/>
      </w:r>
    </w:p>
  </w:footnote>
  <w:footnote w:type="continuationSeparator" w:id="0">
    <w:p w:rsidR="00CF2ED0" w:rsidRDefault="00CF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0F" w:rsidRDefault="00232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0F" w:rsidRDefault="00232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826"/>
    <w:multiLevelType w:val="multilevel"/>
    <w:tmpl w:val="A144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509A1"/>
    <w:multiLevelType w:val="hybridMultilevel"/>
    <w:tmpl w:val="4256306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E55A82"/>
    <w:multiLevelType w:val="hybridMultilevel"/>
    <w:tmpl w:val="F356B10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5" w15:restartNumberingAfterBreak="0">
    <w:nsid w:val="3E784C6A"/>
    <w:multiLevelType w:val="hybridMultilevel"/>
    <w:tmpl w:val="6C323D8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8B9E977A"/>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4C470D1"/>
    <w:multiLevelType w:val="multilevel"/>
    <w:tmpl w:val="BB44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3211D2"/>
    <w:multiLevelType w:val="hybridMultilevel"/>
    <w:tmpl w:val="B0B0010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11"/>
  </w:num>
  <w:num w:numId="2">
    <w:abstractNumId w:val="3"/>
  </w:num>
  <w:num w:numId="3">
    <w:abstractNumId w:val="2"/>
  </w:num>
  <w:num w:numId="4">
    <w:abstractNumId w:val="7"/>
  </w:num>
  <w:num w:numId="5">
    <w:abstractNumId w:val="8"/>
  </w:num>
  <w:num w:numId="6">
    <w:abstractNumId w:val="9"/>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5"/>
  </w:num>
  <w:num w:numId="11">
    <w:abstractNumId w:val="12"/>
  </w:num>
  <w:num w:numId="12">
    <w:abstractNumId w:val="1"/>
  </w:num>
  <w:num w:numId="13">
    <w:abstractNumId w:val="10"/>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418"/>
    <w:rsid w:val="00025198"/>
    <w:rsid w:val="00055DEC"/>
    <w:rsid w:val="000578A3"/>
    <w:rsid w:val="000648CC"/>
    <w:rsid w:val="00073A17"/>
    <w:rsid w:val="000903BF"/>
    <w:rsid w:val="0009791F"/>
    <w:rsid w:val="000C06AA"/>
    <w:rsid w:val="000C59B8"/>
    <w:rsid w:val="000C6AF0"/>
    <w:rsid w:val="000D5E20"/>
    <w:rsid w:val="000F71C8"/>
    <w:rsid w:val="00102F8D"/>
    <w:rsid w:val="001032C8"/>
    <w:rsid w:val="00104F33"/>
    <w:rsid w:val="00104F78"/>
    <w:rsid w:val="001051CD"/>
    <w:rsid w:val="00111C58"/>
    <w:rsid w:val="00111DE2"/>
    <w:rsid w:val="00116B38"/>
    <w:rsid w:val="00124875"/>
    <w:rsid w:val="001272ED"/>
    <w:rsid w:val="00135406"/>
    <w:rsid w:val="00135972"/>
    <w:rsid w:val="0014262F"/>
    <w:rsid w:val="001426A9"/>
    <w:rsid w:val="00147FF4"/>
    <w:rsid w:val="00154D7C"/>
    <w:rsid w:val="001570B0"/>
    <w:rsid w:val="0015752C"/>
    <w:rsid w:val="00157737"/>
    <w:rsid w:val="00157C4B"/>
    <w:rsid w:val="00163C9C"/>
    <w:rsid w:val="00163DC5"/>
    <w:rsid w:val="00165277"/>
    <w:rsid w:val="00170592"/>
    <w:rsid w:val="00182CAE"/>
    <w:rsid w:val="00186351"/>
    <w:rsid w:val="00195D83"/>
    <w:rsid w:val="00197091"/>
    <w:rsid w:val="001A00C1"/>
    <w:rsid w:val="001A3292"/>
    <w:rsid w:val="001A4F9E"/>
    <w:rsid w:val="001B33E0"/>
    <w:rsid w:val="001B4573"/>
    <w:rsid w:val="001C779F"/>
    <w:rsid w:val="001D2AC1"/>
    <w:rsid w:val="001D4E88"/>
    <w:rsid w:val="001D5D92"/>
    <w:rsid w:val="00205033"/>
    <w:rsid w:val="00205756"/>
    <w:rsid w:val="00220FC2"/>
    <w:rsid w:val="002222F4"/>
    <w:rsid w:val="00224FC0"/>
    <w:rsid w:val="00225EA4"/>
    <w:rsid w:val="00226599"/>
    <w:rsid w:val="00226EAF"/>
    <w:rsid w:val="00227D74"/>
    <w:rsid w:val="00231F3A"/>
    <w:rsid w:val="0023220F"/>
    <w:rsid w:val="00232C71"/>
    <w:rsid w:val="00234199"/>
    <w:rsid w:val="0023495F"/>
    <w:rsid w:val="00236C2B"/>
    <w:rsid w:val="00240177"/>
    <w:rsid w:val="002403DE"/>
    <w:rsid w:val="002406EE"/>
    <w:rsid w:val="002413E5"/>
    <w:rsid w:val="00243EC8"/>
    <w:rsid w:val="00257C94"/>
    <w:rsid w:val="00261F93"/>
    <w:rsid w:val="002679F4"/>
    <w:rsid w:val="00270D93"/>
    <w:rsid w:val="002745CC"/>
    <w:rsid w:val="0028190A"/>
    <w:rsid w:val="002859EA"/>
    <w:rsid w:val="002A342A"/>
    <w:rsid w:val="002A7E89"/>
    <w:rsid w:val="002A7F59"/>
    <w:rsid w:val="002B13DB"/>
    <w:rsid w:val="002B7924"/>
    <w:rsid w:val="002C51FD"/>
    <w:rsid w:val="002C5470"/>
    <w:rsid w:val="002D28C3"/>
    <w:rsid w:val="002D39A4"/>
    <w:rsid w:val="002D58D9"/>
    <w:rsid w:val="002E2759"/>
    <w:rsid w:val="002E6705"/>
    <w:rsid w:val="002F4EB3"/>
    <w:rsid w:val="00301D08"/>
    <w:rsid w:val="0030329A"/>
    <w:rsid w:val="00306CED"/>
    <w:rsid w:val="0031086F"/>
    <w:rsid w:val="0031238D"/>
    <w:rsid w:val="0031414C"/>
    <w:rsid w:val="00314E01"/>
    <w:rsid w:val="0032089D"/>
    <w:rsid w:val="00320E9C"/>
    <w:rsid w:val="003258D7"/>
    <w:rsid w:val="003310DE"/>
    <w:rsid w:val="003323B0"/>
    <w:rsid w:val="0033441F"/>
    <w:rsid w:val="00336B28"/>
    <w:rsid w:val="003400D7"/>
    <w:rsid w:val="0035169A"/>
    <w:rsid w:val="0035259D"/>
    <w:rsid w:val="00353238"/>
    <w:rsid w:val="00354417"/>
    <w:rsid w:val="00364B18"/>
    <w:rsid w:val="00374EED"/>
    <w:rsid w:val="00385001"/>
    <w:rsid w:val="00386F7F"/>
    <w:rsid w:val="003A0E84"/>
    <w:rsid w:val="003A125D"/>
    <w:rsid w:val="003A4C70"/>
    <w:rsid w:val="003A5BBF"/>
    <w:rsid w:val="003B215F"/>
    <w:rsid w:val="003B4E87"/>
    <w:rsid w:val="003C799C"/>
    <w:rsid w:val="003D0399"/>
    <w:rsid w:val="003D2CD9"/>
    <w:rsid w:val="003D3682"/>
    <w:rsid w:val="003E1C71"/>
    <w:rsid w:val="003F327B"/>
    <w:rsid w:val="00406166"/>
    <w:rsid w:val="0040704B"/>
    <w:rsid w:val="00410A55"/>
    <w:rsid w:val="00411300"/>
    <w:rsid w:val="00415417"/>
    <w:rsid w:val="004244D7"/>
    <w:rsid w:val="00426659"/>
    <w:rsid w:val="004372D3"/>
    <w:rsid w:val="004450DA"/>
    <w:rsid w:val="004459B4"/>
    <w:rsid w:val="00450352"/>
    <w:rsid w:val="00454BDB"/>
    <w:rsid w:val="00455E8B"/>
    <w:rsid w:val="00456A5B"/>
    <w:rsid w:val="00461FE7"/>
    <w:rsid w:val="00464800"/>
    <w:rsid w:val="00465132"/>
    <w:rsid w:val="00470B6E"/>
    <w:rsid w:val="00473539"/>
    <w:rsid w:val="0047783D"/>
    <w:rsid w:val="0048097C"/>
    <w:rsid w:val="00480C90"/>
    <w:rsid w:val="0048396F"/>
    <w:rsid w:val="00493C18"/>
    <w:rsid w:val="004A600C"/>
    <w:rsid w:val="004A6118"/>
    <w:rsid w:val="004B099C"/>
    <w:rsid w:val="004B5076"/>
    <w:rsid w:val="004C3176"/>
    <w:rsid w:val="004C478D"/>
    <w:rsid w:val="004C7AD5"/>
    <w:rsid w:val="004D23A8"/>
    <w:rsid w:val="004E2C26"/>
    <w:rsid w:val="004F36FF"/>
    <w:rsid w:val="004F4A94"/>
    <w:rsid w:val="004F5B2C"/>
    <w:rsid w:val="005125A8"/>
    <w:rsid w:val="005134FE"/>
    <w:rsid w:val="00521AE8"/>
    <w:rsid w:val="005252E3"/>
    <w:rsid w:val="005256E8"/>
    <w:rsid w:val="00527180"/>
    <w:rsid w:val="00530DAC"/>
    <w:rsid w:val="00540A71"/>
    <w:rsid w:val="0054201E"/>
    <w:rsid w:val="00550F17"/>
    <w:rsid w:val="00555291"/>
    <w:rsid w:val="005618D7"/>
    <w:rsid w:val="00566AD1"/>
    <w:rsid w:val="00566BB5"/>
    <w:rsid w:val="00581328"/>
    <w:rsid w:val="005825D0"/>
    <w:rsid w:val="005828FA"/>
    <w:rsid w:val="00583EDE"/>
    <w:rsid w:val="00584EA2"/>
    <w:rsid w:val="005A0F4E"/>
    <w:rsid w:val="005A6079"/>
    <w:rsid w:val="005B6D43"/>
    <w:rsid w:val="005C2E39"/>
    <w:rsid w:val="005C5085"/>
    <w:rsid w:val="005D4EDE"/>
    <w:rsid w:val="005E3882"/>
    <w:rsid w:val="005E4698"/>
    <w:rsid w:val="00610539"/>
    <w:rsid w:val="00612BA8"/>
    <w:rsid w:val="00613969"/>
    <w:rsid w:val="0062561F"/>
    <w:rsid w:val="00625A76"/>
    <w:rsid w:val="00625C35"/>
    <w:rsid w:val="006312CC"/>
    <w:rsid w:val="006378D4"/>
    <w:rsid w:val="006462DF"/>
    <w:rsid w:val="00647256"/>
    <w:rsid w:val="00656313"/>
    <w:rsid w:val="006565F4"/>
    <w:rsid w:val="0067258F"/>
    <w:rsid w:val="00673FC0"/>
    <w:rsid w:val="006849FA"/>
    <w:rsid w:val="00684EEA"/>
    <w:rsid w:val="006901D0"/>
    <w:rsid w:val="006961FF"/>
    <w:rsid w:val="0069650A"/>
    <w:rsid w:val="0069689B"/>
    <w:rsid w:val="006A1551"/>
    <w:rsid w:val="006B0D22"/>
    <w:rsid w:val="006B1215"/>
    <w:rsid w:val="006B5FF5"/>
    <w:rsid w:val="006C714B"/>
    <w:rsid w:val="006D241F"/>
    <w:rsid w:val="006D600D"/>
    <w:rsid w:val="006F30AF"/>
    <w:rsid w:val="006F4673"/>
    <w:rsid w:val="007006E7"/>
    <w:rsid w:val="00701759"/>
    <w:rsid w:val="00703677"/>
    <w:rsid w:val="00705C15"/>
    <w:rsid w:val="007119A5"/>
    <w:rsid w:val="0071600E"/>
    <w:rsid w:val="007208D1"/>
    <w:rsid w:val="00721E30"/>
    <w:rsid w:val="00722FC9"/>
    <w:rsid w:val="007407EA"/>
    <w:rsid w:val="0074256A"/>
    <w:rsid w:val="00747288"/>
    <w:rsid w:val="00747DD3"/>
    <w:rsid w:val="007549C8"/>
    <w:rsid w:val="00754A0B"/>
    <w:rsid w:val="007616A5"/>
    <w:rsid w:val="00766D14"/>
    <w:rsid w:val="00767A0F"/>
    <w:rsid w:val="007808D5"/>
    <w:rsid w:val="007A05F6"/>
    <w:rsid w:val="007A372D"/>
    <w:rsid w:val="007B22F2"/>
    <w:rsid w:val="007B3CE4"/>
    <w:rsid w:val="007B5373"/>
    <w:rsid w:val="007B6F4A"/>
    <w:rsid w:val="007D0315"/>
    <w:rsid w:val="007E1C47"/>
    <w:rsid w:val="007E337A"/>
    <w:rsid w:val="007E5C70"/>
    <w:rsid w:val="007F2FF5"/>
    <w:rsid w:val="007F3A10"/>
    <w:rsid w:val="007F3F08"/>
    <w:rsid w:val="00804CC6"/>
    <w:rsid w:val="00814167"/>
    <w:rsid w:val="00817190"/>
    <w:rsid w:val="00820EE5"/>
    <w:rsid w:val="008213F3"/>
    <w:rsid w:val="008241E6"/>
    <w:rsid w:val="00824262"/>
    <w:rsid w:val="008260E2"/>
    <w:rsid w:val="008279E4"/>
    <w:rsid w:val="008322BD"/>
    <w:rsid w:val="00832FD6"/>
    <w:rsid w:val="00833E0A"/>
    <w:rsid w:val="00834F73"/>
    <w:rsid w:val="008472E6"/>
    <w:rsid w:val="00855A1D"/>
    <w:rsid w:val="00864CF8"/>
    <w:rsid w:val="00872819"/>
    <w:rsid w:val="00874914"/>
    <w:rsid w:val="00882CDA"/>
    <w:rsid w:val="00891422"/>
    <w:rsid w:val="00892E1A"/>
    <w:rsid w:val="00893F2E"/>
    <w:rsid w:val="0089406E"/>
    <w:rsid w:val="0089782D"/>
    <w:rsid w:val="008A08FC"/>
    <w:rsid w:val="008A1D8B"/>
    <w:rsid w:val="008A35D8"/>
    <w:rsid w:val="008A3F29"/>
    <w:rsid w:val="008B16FF"/>
    <w:rsid w:val="008B660A"/>
    <w:rsid w:val="008B7A97"/>
    <w:rsid w:val="008C01DA"/>
    <w:rsid w:val="008C58A8"/>
    <w:rsid w:val="008E5C89"/>
    <w:rsid w:val="008F78E9"/>
    <w:rsid w:val="0091134D"/>
    <w:rsid w:val="00911989"/>
    <w:rsid w:val="009179F9"/>
    <w:rsid w:val="00922C29"/>
    <w:rsid w:val="00925169"/>
    <w:rsid w:val="00932CBA"/>
    <w:rsid w:val="00933E5E"/>
    <w:rsid w:val="00935218"/>
    <w:rsid w:val="009403F3"/>
    <w:rsid w:val="009467DB"/>
    <w:rsid w:val="00954640"/>
    <w:rsid w:val="009550AB"/>
    <w:rsid w:val="009555B7"/>
    <w:rsid w:val="009567AA"/>
    <w:rsid w:val="009632D6"/>
    <w:rsid w:val="00966234"/>
    <w:rsid w:val="00967374"/>
    <w:rsid w:val="009761F8"/>
    <w:rsid w:val="00982BEA"/>
    <w:rsid w:val="00991DEE"/>
    <w:rsid w:val="009942D1"/>
    <w:rsid w:val="0099434B"/>
    <w:rsid w:val="0099756A"/>
    <w:rsid w:val="009A343A"/>
    <w:rsid w:val="009A6979"/>
    <w:rsid w:val="009B2F23"/>
    <w:rsid w:val="009B57B3"/>
    <w:rsid w:val="009C3E0B"/>
    <w:rsid w:val="009C5B92"/>
    <w:rsid w:val="009D26C7"/>
    <w:rsid w:val="009D2920"/>
    <w:rsid w:val="009D5AEB"/>
    <w:rsid w:val="009E7338"/>
    <w:rsid w:val="009F0E33"/>
    <w:rsid w:val="009F6ED5"/>
    <w:rsid w:val="00A030CE"/>
    <w:rsid w:val="00A04CBC"/>
    <w:rsid w:val="00A11444"/>
    <w:rsid w:val="00A149DF"/>
    <w:rsid w:val="00A1755C"/>
    <w:rsid w:val="00A21B90"/>
    <w:rsid w:val="00A2216C"/>
    <w:rsid w:val="00A36780"/>
    <w:rsid w:val="00A41805"/>
    <w:rsid w:val="00A42DCD"/>
    <w:rsid w:val="00A52AFB"/>
    <w:rsid w:val="00A548CB"/>
    <w:rsid w:val="00A5521C"/>
    <w:rsid w:val="00A612A9"/>
    <w:rsid w:val="00A63E6F"/>
    <w:rsid w:val="00A643E7"/>
    <w:rsid w:val="00A728D5"/>
    <w:rsid w:val="00A73C38"/>
    <w:rsid w:val="00A77D6E"/>
    <w:rsid w:val="00A83470"/>
    <w:rsid w:val="00A91EC1"/>
    <w:rsid w:val="00A97352"/>
    <w:rsid w:val="00AA03DE"/>
    <w:rsid w:val="00AB06F3"/>
    <w:rsid w:val="00AB6561"/>
    <w:rsid w:val="00AB670D"/>
    <w:rsid w:val="00AC53DB"/>
    <w:rsid w:val="00AC5531"/>
    <w:rsid w:val="00AC7ABD"/>
    <w:rsid w:val="00AE4535"/>
    <w:rsid w:val="00AE5494"/>
    <w:rsid w:val="00AF03C5"/>
    <w:rsid w:val="00AF1DC5"/>
    <w:rsid w:val="00AF7EDB"/>
    <w:rsid w:val="00B000D8"/>
    <w:rsid w:val="00B00F75"/>
    <w:rsid w:val="00B04CB5"/>
    <w:rsid w:val="00B06CFD"/>
    <w:rsid w:val="00B145B6"/>
    <w:rsid w:val="00B279EB"/>
    <w:rsid w:val="00B36BC7"/>
    <w:rsid w:val="00B50C81"/>
    <w:rsid w:val="00B557F8"/>
    <w:rsid w:val="00B57206"/>
    <w:rsid w:val="00B6032C"/>
    <w:rsid w:val="00B63D71"/>
    <w:rsid w:val="00B67B74"/>
    <w:rsid w:val="00B71F3C"/>
    <w:rsid w:val="00B75EEE"/>
    <w:rsid w:val="00B815FC"/>
    <w:rsid w:val="00B907A5"/>
    <w:rsid w:val="00B93FBC"/>
    <w:rsid w:val="00B972F7"/>
    <w:rsid w:val="00BA7DA0"/>
    <w:rsid w:val="00BB2EE4"/>
    <w:rsid w:val="00BC2108"/>
    <w:rsid w:val="00BD0E9E"/>
    <w:rsid w:val="00BD1BEC"/>
    <w:rsid w:val="00BD32FF"/>
    <w:rsid w:val="00BD6D7E"/>
    <w:rsid w:val="00C02092"/>
    <w:rsid w:val="00C17F20"/>
    <w:rsid w:val="00C20096"/>
    <w:rsid w:val="00C24D91"/>
    <w:rsid w:val="00C324AA"/>
    <w:rsid w:val="00C332DD"/>
    <w:rsid w:val="00C42D58"/>
    <w:rsid w:val="00C477CF"/>
    <w:rsid w:val="00C53F14"/>
    <w:rsid w:val="00C54B1E"/>
    <w:rsid w:val="00C600CF"/>
    <w:rsid w:val="00C6084F"/>
    <w:rsid w:val="00C60AE6"/>
    <w:rsid w:val="00C62A66"/>
    <w:rsid w:val="00C71458"/>
    <w:rsid w:val="00C73330"/>
    <w:rsid w:val="00C76C2C"/>
    <w:rsid w:val="00C77613"/>
    <w:rsid w:val="00C828E7"/>
    <w:rsid w:val="00C86719"/>
    <w:rsid w:val="00C87D39"/>
    <w:rsid w:val="00C90570"/>
    <w:rsid w:val="00C90974"/>
    <w:rsid w:val="00C921DD"/>
    <w:rsid w:val="00C9243E"/>
    <w:rsid w:val="00C92AC6"/>
    <w:rsid w:val="00C945C7"/>
    <w:rsid w:val="00CA6391"/>
    <w:rsid w:val="00CA6DF4"/>
    <w:rsid w:val="00CC34BD"/>
    <w:rsid w:val="00CC6694"/>
    <w:rsid w:val="00CD5390"/>
    <w:rsid w:val="00CD6CE4"/>
    <w:rsid w:val="00CE161A"/>
    <w:rsid w:val="00CE26D4"/>
    <w:rsid w:val="00CE3171"/>
    <w:rsid w:val="00CF1601"/>
    <w:rsid w:val="00CF2ED0"/>
    <w:rsid w:val="00D00963"/>
    <w:rsid w:val="00D0172F"/>
    <w:rsid w:val="00D0311E"/>
    <w:rsid w:val="00D068A7"/>
    <w:rsid w:val="00D10FA7"/>
    <w:rsid w:val="00D17476"/>
    <w:rsid w:val="00D20335"/>
    <w:rsid w:val="00D32086"/>
    <w:rsid w:val="00D33EE9"/>
    <w:rsid w:val="00D363BF"/>
    <w:rsid w:val="00D37A3F"/>
    <w:rsid w:val="00D40A73"/>
    <w:rsid w:val="00D40FCB"/>
    <w:rsid w:val="00D419C7"/>
    <w:rsid w:val="00D4431D"/>
    <w:rsid w:val="00D4667A"/>
    <w:rsid w:val="00D5768E"/>
    <w:rsid w:val="00D63A1C"/>
    <w:rsid w:val="00D7516F"/>
    <w:rsid w:val="00D8579F"/>
    <w:rsid w:val="00D86698"/>
    <w:rsid w:val="00D868EC"/>
    <w:rsid w:val="00D95083"/>
    <w:rsid w:val="00D95F8E"/>
    <w:rsid w:val="00D976AD"/>
    <w:rsid w:val="00DA0590"/>
    <w:rsid w:val="00DA4939"/>
    <w:rsid w:val="00DA6C9B"/>
    <w:rsid w:val="00DA6D76"/>
    <w:rsid w:val="00DB017C"/>
    <w:rsid w:val="00DB158C"/>
    <w:rsid w:val="00DB4668"/>
    <w:rsid w:val="00DB6727"/>
    <w:rsid w:val="00DB7BEA"/>
    <w:rsid w:val="00DC1739"/>
    <w:rsid w:val="00DC1788"/>
    <w:rsid w:val="00DC6E51"/>
    <w:rsid w:val="00DE319C"/>
    <w:rsid w:val="00DE47BA"/>
    <w:rsid w:val="00DF092C"/>
    <w:rsid w:val="00DF0CA8"/>
    <w:rsid w:val="00DF2B48"/>
    <w:rsid w:val="00DF49A7"/>
    <w:rsid w:val="00E07EE2"/>
    <w:rsid w:val="00E07FD1"/>
    <w:rsid w:val="00E176D8"/>
    <w:rsid w:val="00E20405"/>
    <w:rsid w:val="00E225C5"/>
    <w:rsid w:val="00E24573"/>
    <w:rsid w:val="00E25E1E"/>
    <w:rsid w:val="00E27EE7"/>
    <w:rsid w:val="00E31B60"/>
    <w:rsid w:val="00E35404"/>
    <w:rsid w:val="00E36EEA"/>
    <w:rsid w:val="00E45109"/>
    <w:rsid w:val="00E47B7A"/>
    <w:rsid w:val="00E53E67"/>
    <w:rsid w:val="00E55655"/>
    <w:rsid w:val="00E56A44"/>
    <w:rsid w:val="00E60269"/>
    <w:rsid w:val="00E62B1A"/>
    <w:rsid w:val="00E70AD5"/>
    <w:rsid w:val="00E72AD6"/>
    <w:rsid w:val="00E77932"/>
    <w:rsid w:val="00E807CB"/>
    <w:rsid w:val="00E81DB1"/>
    <w:rsid w:val="00E8551D"/>
    <w:rsid w:val="00E85DE6"/>
    <w:rsid w:val="00E96BE5"/>
    <w:rsid w:val="00E97830"/>
    <w:rsid w:val="00ED0729"/>
    <w:rsid w:val="00ED1B79"/>
    <w:rsid w:val="00ED3F35"/>
    <w:rsid w:val="00EE643C"/>
    <w:rsid w:val="00EF0683"/>
    <w:rsid w:val="00EF10E6"/>
    <w:rsid w:val="00EF69D2"/>
    <w:rsid w:val="00EF766E"/>
    <w:rsid w:val="00EF7EB3"/>
    <w:rsid w:val="00F0070C"/>
    <w:rsid w:val="00F00EB7"/>
    <w:rsid w:val="00F22DB6"/>
    <w:rsid w:val="00F26C12"/>
    <w:rsid w:val="00F36AB6"/>
    <w:rsid w:val="00F37A09"/>
    <w:rsid w:val="00F409CE"/>
    <w:rsid w:val="00F428FC"/>
    <w:rsid w:val="00F4379D"/>
    <w:rsid w:val="00F50D2D"/>
    <w:rsid w:val="00F53236"/>
    <w:rsid w:val="00F56C8B"/>
    <w:rsid w:val="00F570D4"/>
    <w:rsid w:val="00F65F07"/>
    <w:rsid w:val="00F66810"/>
    <w:rsid w:val="00F75CA4"/>
    <w:rsid w:val="00F846D9"/>
    <w:rsid w:val="00F84DF4"/>
    <w:rsid w:val="00F85C97"/>
    <w:rsid w:val="00FB37D2"/>
    <w:rsid w:val="00FC4EFB"/>
    <w:rsid w:val="00FD068D"/>
    <w:rsid w:val="00FD4F28"/>
    <w:rsid w:val="00FE15FC"/>
    <w:rsid w:val="00FE3551"/>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53DB"/>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AC53D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AC53D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AC53D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AC53D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C53D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C53D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C90974"/>
    <w:rPr>
      <w:color w:val="0000FF" w:themeColor="hyperlink"/>
      <w:u w:val="single"/>
    </w:rPr>
  </w:style>
  <w:style w:type="character" w:customStyle="1" w:styleId="Heading3Char">
    <w:name w:val="Heading 3 Char"/>
    <w:basedOn w:val="DefaultParagraphFont"/>
    <w:link w:val="Heading3"/>
    <w:uiPriority w:val="9"/>
    <w:rsid w:val="00AC53DB"/>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AC53D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C53D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AC53D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C53D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C53D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C53DB"/>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AC53DB"/>
    <w:pPr>
      <w:spacing w:after="480"/>
    </w:pPr>
    <w:rPr>
      <w:rFonts w:eastAsiaTheme="minorHAnsi" w:cstheme="minorBidi"/>
      <w:szCs w:val="22"/>
      <w:lang w:eastAsia="en-US"/>
    </w:rPr>
  </w:style>
  <w:style w:type="paragraph" w:customStyle="1" w:styleId="SCCCoram">
    <w:name w:val="SCC.Coram"/>
    <w:basedOn w:val="Normal"/>
    <w:next w:val="Normal"/>
    <w:link w:val="SCCCoramChar"/>
    <w:rsid w:val="00AC53D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C53D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C53DB"/>
    <w:rPr>
      <w:rFonts w:eastAsiaTheme="minorHAnsi" w:cstheme="minorBidi"/>
      <w:sz w:val="24"/>
      <w:szCs w:val="22"/>
      <w:lang w:eastAsia="en-US"/>
    </w:rPr>
  </w:style>
  <w:style w:type="character" w:customStyle="1" w:styleId="SCCBanSummaryChar">
    <w:name w:val="SCC.BanSummary Char"/>
    <w:basedOn w:val="DefaultParagraphFont"/>
    <w:link w:val="SCCBanSummary"/>
    <w:rsid w:val="00AC53DB"/>
    <w:rPr>
      <w:b/>
      <w:sz w:val="24"/>
    </w:rPr>
  </w:style>
  <w:style w:type="table" w:styleId="TableGrid">
    <w:name w:val="Table Grid"/>
    <w:basedOn w:val="TableNormal"/>
    <w:uiPriority w:val="59"/>
    <w:rsid w:val="00AC53D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C53D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C53D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C53DB"/>
    <w:pPr>
      <w:tabs>
        <w:tab w:val="left" w:pos="1166"/>
      </w:tabs>
      <w:spacing w:after="480" w:line="480" w:lineRule="auto"/>
    </w:pPr>
    <w:rPr>
      <w:smallCaps/>
      <w:sz w:val="24"/>
      <w:szCs w:val="24"/>
    </w:rPr>
  </w:style>
  <w:style w:type="paragraph" w:customStyle="1" w:styleId="ParaNoNdepar-AltN">
    <w:name w:val="Para. No. / Nº de par. - Alt N"/>
    <w:qFormat/>
    <w:rsid w:val="00AC53DB"/>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C53D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C53D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C53DB"/>
    <w:pPr>
      <w:numPr>
        <w:ilvl w:val="2"/>
      </w:numPr>
      <w:outlineLvl w:val="2"/>
    </w:pPr>
  </w:style>
  <w:style w:type="paragraph" w:customStyle="1" w:styleId="Title4LevelTitre4Niveau">
    <w:name w:val="Title 4 Level / Titre 4 Niveau"/>
    <w:basedOn w:val="Title3LevelTitre3Niveau"/>
    <w:next w:val="ParaNoNdepar-AltN"/>
    <w:uiPriority w:val="4"/>
    <w:qFormat/>
    <w:rsid w:val="00AC53D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C53DB"/>
    <w:pPr>
      <w:numPr>
        <w:ilvl w:val="4"/>
      </w:numPr>
      <w:outlineLvl w:val="4"/>
    </w:pPr>
  </w:style>
  <w:style w:type="paragraph" w:styleId="TOC1">
    <w:name w:val="toc 1"/>
    <w:basedOn w:val="Normal"/>
    <w:next w:val="Normal"/>
    <w:autoRedefine/>
    <w:uiPriority w:val="39"/>
    <w:unhideWhenUsed/>
    <w:rsid w:val="00AC53D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C53D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C53D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C53D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C53D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C53DB"/>
    <w:pPr>
      <w:tabs>
        <w:tab w:val="left" w:pos="2160"/>
        <w:tab w:val="right" w:leader="dot" w:pos="8270"/>
      </w:tabs>
      <w:spacing w:after="100"/>
      <w:ind w:left="1800"/>
    </w:pPr>
    <w:rPr>
      <w:noProof/>
    </w:rPr>
  </w:style>
  <w:style w:type="table" w:customStyle="1" w:styleId="TableGrid1">
    <w:name w:val="Table Grid1"/>
    <w:basedOn w:val="TableNormal"/>
    <w:uiPriority w:val="59"/>
    <w:rsid w:val="00AC53D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C53D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C53DB"/>
    <w:pPr>
      <w:numPr>
        <w:ilvl w:val="5"/>
      </w:numPr>
      <w:outlineLvl w:val="5"/>
    </w:pPr>
    <w:rPr>
      <w:i/>
      <w:u w:val="none"/>
    </w:rPr>
  </w:style>
  <w:style w:type="paragraph" w:styleId="FootnoteText">
    <w:name w:val="footnote text"/>
    <w:basedOn w:val="Normal"/>
    <w:link w:val="FootnoteTextChar"/>
    <w:uiPriority w:val="99"/>
    <w:unhideWhenUsed/>
    <w:rsid w:val="00AC53D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C53DB"/>
  </w:style>
  <w:style w:type="character" w:styleId="FootnoteReference">
    <w:name w:val="footnote reference"/>
    <w:basedOn w:val="DefaultParagraphFont"/>
    <w:uiPriority w:val="99"/>
    <w:semiHidden/>
    <w:unhideWhenUsed/>
    <w:rsid w:val="00AC53DB"/>
    <w:rPr>
      <w:vertAlign w:val="superscript"/>
    </w:rPr>
  </w:style>
  <w:style w:type="numbering" w:customStyle="1" w:styleId="MemoTOCList">
    <w:name w:val="Memo TOC List"/>
    <w:basedOn w:val="NoList"/>
    <w:uiPriority w:val="99"/>
    <w:rsid w:val="00AC53DB"/>
  </w:style>
  <w:style w:type="paragraph" w:styleId="Title">
    <w:name w:val="Title"/>
    <w:basedOn w:val="Normal"/>
    <w:next w:val="Normal"/>
    <w:link w:val="TitleChar"/>
    <w:uiPriority w:val="10"/>
    <w:rsid w:val="00AC53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C53D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C53D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C53DB"/>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AC53DB"/>
    <w:rPr>
      <w:i/>
      <w:iCs/>
    </w:rPr>
  </w:style>
  <w:style w:type="paragraph" w:styleId="NoSpacing">
    <w:name w:val="No Spacing"/>
    <w:uiPriority w:val="1"/>
    <w:qFormat/>
    <w:rsid w:val="00AC53DB"/>
    <w:rPr>
      <w:rFonts w:eastAsiaTheme="minorHAnsi" w:cstheme="minorBidi"/>
      <w:sz w:val="24"/>
      <w:szCs w:val="22"/>
      <w:lang w:val="en-US" w:eastAsia="en-US" w:bidi="en-US"/>
    </w:rPr>
  </w:style>
  <w:style w:type="paragraph" w:styleId="ListParagraph">
    <w:name w:val="List Paragraph"/>
    <w:basedOn w:val="Normal"/>
    <w:uiPriority w:val="34"/>
    <w:qFormat/>
    <w:rsid w:val="00AC53DB"/>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AC53D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C53DB"/>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AC53DB"/>
    <w:rPr>
      <w:i/>
      <w:iCs/>
      <w:color w:val="808080" w:themeColor="text1" w:themeTint="7F"/>
    </w:rPr>
  </w:style>
  <w:style w:type="character" w:styleId="IntenseEmphasis">
    <w:name w:val="Intense Emphasis"/>
    <w:basedOn w:val="DefaultParagraphFont"/>
    <w:uiPriority w:val="21"/>
    <w:rsid w:val="00AC53DB"/>
    <w:rPr>
      <w:b/>
      <w:bCs/>
      <w:i/>
      <w:iCs/>
      <w:color w:val="4F81BD" w:themeColor="accent1"/>
    </w:rPr>
  </w:style>
  <w:style w:type="character" w:styleId="SubtleReference">
    <w:name w:val="Subtle Reference"/>
    <w:basedOn w:val="DefaultParagraphFont"/>
    <w:uiPriority w:val="31"/>
    <w:rsid w:val="00AC53DB"/>
    <w:rPr>
      <w:smallCaps/>
      <w:color w:val="C0504D" w:themeColor="accent2"/>
      <w:u w:val="single"/>
    </w:rPr>
  </w:style>
  <w:style w:type="character" w:styleId="IntenseReference">
    <w:name w:val="Intense Reference"/>
    <w:basedOn w:val="DefaultParagraphFont"/>
    <w:uiPriority w:val="32"/>
    <w:rsid w:val="00AC53DB"/>
    <w:rPr>
      <w:b/>
      <w:bCs/>
      <w:smallCaps/>
      <w:color w:val="C0504D" w:themeColor="accent2"/>
      <w:spacing w:val="5"/>
      <w:u w:val="single"/>
    </w:rPr>
  </w:style>
  <w:style w:type="character" w:styleId="BookTitle">
    <w:name w:val="Book Title"/>
    <w:basedOn w:val="DefaultParagraphFont"/>
    <w:uiPriority w:val="33"/>
    <w:rsid w:val="00AC53DB"/>
    <w:rPr>
      <w:b/>
      <w:bCs/>
      <w:smallCaps/>
      <w:spacing w:val="5"/>
    </w:rPr>
  </w:style>
  <w:style w:type="paragraph" w:styleId="TOCHeading">
    <w:name w:val="TOC Heading"/>
    <w:basedOn w:val="Heading1"/>
    <w:next w:val="Normal"/>
    <w:uiPriority w:val="39"/>
    <w:unhideWhenUsed/>
    <w:qFormat/>
    <w:rsid w:val="00AC53DB"/>
    <w:pPr>
      <w:spacing w:before="480" w:after="0"/>
      <w:ind w:left="0" w:firstLine="0"/>
      <w:outlineLvl w:val="9"/>
    </w:pPr>
    <w:rPr>
      <w:color w:val="auto"/>
      <w:lang w:val="en-US" w:eastAsia="en-US" w:bidi="en-US"/>
    </w:rPr>
  </w:style>
  <w:style w:type="paragraph" w:styleId="Caption">
    <w:name w:val="caption"/>
    <w:basedOn w:val="Normal"/>
    <w:next w:val="Normal"/>
    <w:uiPriority w:val="35"/>
    <w:semiHidden/>
    <w:unhideWhenUsed/>
    <w:qFormat/>
    <w:rsid w:val="00AC53DB"/>
    <w:rPr>
      <w:rFonts w:eastAsiaTheme="minorHAnsi" w:cstheme="minorBidi"/>
      <w:b/>
      <w:bCs/>
      <w:color w:val="4F81BD" w:themeColor="accent1"/>
      <w:sz w:val="18"/>
      <w:szCs w:val="18"/>
      <w:lang w:val="en-US" w:eastAsia="en-US" w:bidi="en-US"/>
    </w:rPr>
  </w:style>
  <w:style w:type="character" w:styleId="CommentReference">
    <w:name w:val="annotation reference"/>
    <w:basedOn w:val="DefaultParagraphFont"/>
    <w:uiPriority w:val="99"/>
    <w:semiHidden/>
    <w:unhideWhenUsed/>
    <w:rsid w:val="00AC53DB"/>
    <w:rPr>
      <w:sz w:val="16"/>
      <w:szCs w:val="16"/>
    </w:rPr>
  </w:style>
  <w:style w:type="paragraph" w:styleId="CommentText">
    <w:name w:val="annotation text"/>
    <w:basedOn w:val="Normal"/>
    <w:link w:val="CommentTextChar"/>
    <w:uiPriority w:val="99"/>
    <w:semiHidden/>
    <w:unhideWhenUsed/>
    <w:rsid w:val="00AC53DB"/>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AC53DB"/>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AC53DB"/>
    <w:rPr>
      <w:b/>
      <w:bCs/>
    </w:rPr>
  </w:style>
  <w:style w:type="character" w:customStyle="1" w:styleId="CommentSubjectChar">
    <w:name w:val="Comment Subject Char"/>
    <w:basedOn w:val="CommentTextChar"/>
    <w:link w:val="CommentSubject"/>
    <w:uiPriority w:val="99"/>
    <w:semiHidden/>
    <w:rsid w:val="00AC53DB"/>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AC53DB"/>
    <w:rPr>
      <w:smallCaps/>
      <w:sz w:val="24"/>
      <w:szCs w:val="24"/>
    </w:rPr>
  </w:style>
  <w:style w:type="paragraph" w:customStyle="1" w:styleId="TableParagraph">
    <w:name w:val="Table Paragraph"/>
    <w:basedOn w:val="Normal"/>
    <w:uiPriority w:val="1"/>
    <w:rsid w:val="00AC53DB"/>
    <w:pPr>
      <w:widowControl w:val="0"/>
    </w:pPr>
    <w:rPr>
      <w:rFonts w:asciiTheme="minorHAnsi" w:eastAsiaTheme="minorHAnsi" w:hAnsiTheme="minorHAnsi" w:cstheme="minorBidi"/>
      <w:sz w:val="22"/>
      <w:szCs w:val="22"/>
      <w:lang w:val="en-US" w:eastAsia="en-US"/>
    </w:rPr>
  </w:style>
  <w:style w:type="character" w:customStyle="1" w:styleId="SCCLowerCourtName">
    <w:name w:val="SCC.LowerCourtName"/>
    <w:basedOn w:val="DefaultParagraphFont"/>
    <w:uiPriority w:val="1"/>
    <w:rsid w:val="00AC53DB"/>
    <w:rPr>
      <w:b/>
    </w:rPr>
  </w:style>
  <w:style w:type="character" w:customStyle="1" w:styleId="SCCLowerCourtJudge">
    <w:name w:val="SCC.LowerCourtJudge"/>
    <w:basedOn w:val="DefaultParagraphFont"/>
    <w:uiPriority w:val="1"/>
    <w:rsid w:val="00AC53DB"/>
  </w:style>
  <w:style w:type="paragraph" w:customStyle="1" w:styleId="SCCLowerCourtText">
    <w:name w:val="SCC.LowerCourtText"/>
    <w:basedOn w:val="Normal"/>
    <w:next w:val="Normal"/>
    <w:link w:val="SCCLowerCourtTextChar"/>
    <w:rsid w:val="00AC53DB"/>
    <w:pPr>
      <w:jc w:val="both"/>
    </w:pPr>
  </w:style>
  <w:style w:type="character" w:customStyle="1" w:styleId="SCCLowerCourtTextChar">
    <w:name w:val="SCC.LowerCourtText Char"/>
    <w:basedOn w:val="DefaultParagraphFont"/>
    <w:link w:val="SCCLowerCourtText"/>
    <w:rsid w:val="00AC53DB"/>
    <w:rPr>
      <w:sz w:val="24"/>
    </w:rPr>
  </w:style>
  <w:style w:type="paragraph" w:styleId="BodyText">
    <w:name w:val="Body Text"/>
    <w:basedOn w:val="Normal"/>
    <w:link w:val="BodyTextChar"/>
    <w:uiPriority w:val="1"/>
    <w:rsid w:val="00AC53DB"/>
    <w:pPr>
      <w:widowControl w:val="0"/>
      <w:ind w:left="102"/>
    </w:pPr>
    <w:rPr>
      <w:rFonts w:cstheme="minorBidi"/>
      <w:szCs w:val="24"/>
      <w:lang w:val="en-US" w:eastAsia="en-US"/>
    </w:rPr>
  </w:style>
  <w:style w:type="character" w:customStyle="1" w:styleId="BodyTextChar">
    <w:name w:val="Body Text Char"/>
    <w:basedOn w:val="DefaultParagraphFont"/>
    <w:link w:val="BodyText"/>
    <w:uiPriority w:val="1"/>
    <w:rsid w:val="00AC53DB"/>
    <w:rPr>
      <w:rFonts w:cstheme="minorBidi"/>
      <w:sz w:val="24"/>
      <w:szCs w:val="24"/>
      <w:lang w:val="en-US" w:eastAsia="en-US"/>
    </w:rPr>
  </w:style>
  <w:style w:type="character" w:styleId="FollowedHyperlink">
    <w:name w:val="FollowedHyperlink"/>
    <w:basedOn w:val="DefaultParagraphFont"/>
    <w:uiPriority w:val="99"/>
    <w:semiHidden/>
    <w:unhideWhenUsed/>
    <w:rsid w:val="00AC53DB"/>
    <w:rPr>
      <w:color w:val="800080" w:themeColor="followedHyperlink"/>
      <w:u w:val="single"/>
    </w:rPr>
  </w:style>
  <w:style w:type="paragraph" w:styleId="Revision">
    <w:name w:val="Revision"/>
    <w:hidden/>
    <w:uiPriority w:val="99"/>
    <w:semiHidden/>
    <w:rsid w:val="00AC53DB"/>
    <w:rPr>
      <w:rFonts w:eastAsiaTheme="minorHAnsi" w:cstheme="minorBidi"/>
      <w:sz w:val="24"/>
      <w:szCs w:val="22"/>
      <w:lang w:val="en-US" w:eastAsia="en-US" w:bidi="en-US"/>
    </w:rPr>
  </w:style>
  <w:style w:type="character" w:customStyle="1" w:styleId="Italic">
    <w:name w:val="Italic"/>
    <w:basedOn w:val="DefaultParagraphFont"/>
    <w:uiPriority w:val="1"/>
    <w:rsid w:val="00AC53DB"/>
    <w:rPr>
      <w:i/>
    </w:rPr>
  </w:style>
  <w:style w:type="paragraph" w:customStyle="1" w:styleId="section">
    <w:name w:val="section"/>
    <w:basedOn w:val="Normal"/>
    <w:rsid w:val="00AC53DB"/>
    <w:pPr>
      <w:spacing w:before="100" w:beforeAutospacing="1" w:after="100" w:afterAutospacing="1"/>
    </w:pPr>
    <w:rPr>
      <w:szCs w:val="24"/>
      <w:lang w:val="en-US" w:eastAsia="en-US"/>
    </w:rPr>
  </w:style>
  <w:style w:type="character" w:customStyle="1" w:styleId="sectionlabel">
    <w:name w:val="sectionlabel"/>
    <w:basedOn w:val="DefaultParagraphFont"/>
    <w:rsid w:val="00AC53DB"/>
  </w:style>
  <w:style w:type="paragraph" w:customStyle="1" w:styleId="paragraph">
    <w:name w:val="paragraph"/>
    <w:basedOn w:val="Normal"/>
    <w:rsid w:val="00AC53DB"/>
    <w:pPr>
      <w:spacing w:before="100" w:beforeAutospacing="1" w:after="100" w:afterAutospacing="1"/>
    </w:pPr>
    <w:rPr>
      <w:szCs w:val="24"/>
      <w:lang w:val="en-US" w:eastAsia="en-US"/>
    </w:rPr>
  </w:style>
  <w:style w:type="character" w:customStyle="1" w:styleId="lawlabel">
    <w:name w:val="lawlabel"/>
    <w:basedOn w:val="DefaultParagraphFont"/>
    <w:rsid w:val="00AC53DB"/>
  </w:style>
  <w:style w:type="character" w:customStyle="1" w:styleId="nowrap">
    <w:name w:val="nowrap"/>
    <w:basedOn w:val="DefaultParagraphFont"/>
    <w:rsid w:val="00AC53DB"/>
  </w:style>
  <w:style w:type="character" w:customStyle="1" w:styleId="sccappellantforindexchar0">
    <w:name w:val="sccappellantforindexchar"/>
    <w:basedOn w:val="DefaultParagraphFont"/>
    <w:rsid w:val="00AC53DB"/>
  </w:style>
  <w:style w:type="character" w:customStyle="1" w:styleId="sccrespondentforindexchar0">
    <w:name w:val="sccrespondentforindexchar"/>
    <w:basedOn w:val="DefaultParagraphFont"/>
    <w:rsid w:val="00AC53DB"/>
  </w:style>
  <w:style w:type="character" w:customStyle="1" w:styleId="reflex3-block">
    <w:name w:val="reflex3-block"/>
    <w:basedOn w:val="DefaultParagraphFont"/>
    <w:rsid w:val="00AC53DB"/>
  </w:style>
  <w:style w:type="character" w:customStyle="1" w:styleId="reflex3-alt">
    <w:name w:val="reflex3-alt"/>
    <w:basedOn w:val="DefaultParagraphFont"/>
    <w:rsid w:val="00AC53DB"/>
  </w:style>
  <w:style w:type="table" w:customStyle="1" w:styleId="TableGrid2">
    <w:name w:val="Table Grid2"/>
    <w:basedOn w:val="TableNormal"/>
    <w:next w:val="TableGrid"/>
    <w:uiPriority w:val="59"/>
    <w:rsid w:val="00AC53D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3495F"/>
    <w:rPr>
      <w:lang w:val="en-CA"/>
    </w:rPr>
  </w:style>
  <w:style w:type="paragraph" w:customStyle="1" w:styleId="SCCLsocPrefix">
    <w:name w:val="SCC.Lsoc.Prefix"/>
    <w:basedOn w:val="Normal"/>
    <w:next w:val="Normal"/>
    <w:link w:val="SCCLsocPrefixChar"/>
    <w:rsid w:val="0023495F"/>
    <w:rPr>
      <w:rFonts w:eastAsiaTheme="minorHAnsi" w:cstheme="minorBidi"/>
      <w:b/>
      <w:smallCaps/>
      <w:szCs w:val="24"/>
      <w:lang w:eastAsia="en-US"/>
    </w:rPr>
  </w:style>
  <w:style w:type="character" w:customStyle="1" w:styleId="SCCLsocPrefixChar">
    <w:name w:val="SCC.Lsoc.Prefix Char"/>
    <w:basedOn w:val="DefaultParagraphFont"/>
    <w:link w:val="SCCLsocPrefix"/>
    <w:rsid w:val="0023495F"/>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62FB5-374F-43B2-8820-0406E818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18120</Words>
  <Characters>103284</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2018-06-20T13:43:00Z</dcterms:created>
  <dcterms:modified xsi:type="dcterms:W3CDTF">2019-03-25T19:08:00Z</dcterms:modified>
</cp:coreProperties>
</file>