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3D" w:rsidRPr="00E653D0" w:rsidRDefault="001B733D" w:rsidP="001B733D">
      <w:pPr>
        <w:spacing w:before="100" w:beforeAutospacing="1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9"/>
        <w:gridCol w:w="888"/>
        <w:gridCol w:w="3756"/>
        <w:gridCol w:w="17"/>
      </w:tblGrid>
      <w:tr w:rsidR="001B733D" w:rsidTr="008E32ED">
        <w:trPr>
          <w:trHeight w:val="1784"/>
        </w:trPr>
        <w:tc>
          <w:tcPr>
            <w:tcW w:w="5000" w:type="pct"/>
            <w:gridSpan w:val="4"/>
          </w:tcPr>
          <w:p w:rsidR="001B733D" w:rsidRDefault="001B733D" w:rsidP="008E32ED">
            <w:pPr>
              <w:jc w:val="center"/>
            </w:pPr>
            <w:r w:rsidRPr="00C22905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pt;height:64.7pt" o:ole="">
                  <v:imagedata r:id="rId8" o:title=""/>
                </v:shape>
                <o:OLEObject Type="Embed" ProgID="Presentations.Drawing.15" ShapeID="_x0000_i1025" DrawAspect="Content" ObjectID="_1766495504" r:id="rId9"/>
              </w:object>
            </w:r>
          </w:p>
          <w:p w:rsidR="001B733D" w:rsidRDefault="001B733D" w:rsidP="008E32ED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1B733D" w:rsidTr="008E32ED">
        <w:trPr>
          <w:gridAfter w:val="1"/>
          <w:wAfter w:w="10" w:type="pct"/>
        </w:trPr>
        <w:tc>
          <w:tcPr>
            <w:tcW w:w="2186" w:type="pct"/>
            <w:tcMar>
              <w:top w:w="284" w:type="dxa"/>
            </w:tcMar>
          </w:tcPr>
          <w:p w:rsidR="001B733D" w:rsidRDefault="001B733D" w:rsidP="008E32ED">
            <w:pPr>
              <w:spacing w:before="100" w:beforeAutospacing="1"/>
              <w:rPr>
                <w:rFonts w:eastAsia="Calibri"/>
              </w:rPr>
            </w:pPr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 xml:space="preserve">Armstrong </w:t>
            </w:r>
            <w:r w:rsidRPr="00314726">
              <w:rPr>
                <w:i/>
              </w:rPr>
              <w:t>v</w:t>
            </w:r>
            <w:r>
              <w:t>. Ward, 2021 SCC 1, [2021] 1 S.C.R. 3</w:t>
            </w:r>
          </w:p>
        </w:tc>
        <w:tc>
          <w:tcPr>
            <w:tcW w:w="536" w:type="pct"/>
          </w:tcPr>
          <w:p w:rsidR="001B733D" w:rsidRDefault="001B733D" w:rsidP="008E32ED">
            <w:pPr>
              <w:rPr>
                <w:b/>
                <w:smallCaps/>
              </w:rPr>
            </w:pPr>
          </w:p>
        </w:tc>
        <w:tc>
          <w:tcPr>
            <w:tcW w:w="2268" w:type="pct"/>
            <w:tcMar>
              <w:top w:w="284" w:type="dxa"/>
            </w:tcMar>
          </w:tcPr>
          <w:p w:rsidR="001B733D" w:rsidRPr="006B210C" w:rsidRDefault="001B733D" w:rsidP="008E32ED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18, 2021</w:t>
            </w:r>
          </w:p>
          <w:p w:rsidR="001B733D" w:rsidRDefault="001B733D" w:rsidP="008E32ED">
            <w:r>
              <w:rPr>
                <w:b/>
                <w:smallCaps/>
              </w:rPr>
              <w:t>Judgment Rendered:</w:t>
            </w:r>
            <w:r w:rsidRPr="006B210C">
              <w:t xml:space="preserve"> </w:t>
            </w:r>
            <w:r>
              <w:t>January 18, 2021</w:t>
            </w:r>
          </w:p>
          <w:p w:rsidR="001B733D" w:rsidRPr="006B210C" w:rsidRDefault="001B733D" w:rsidP="008E32ED">
            <w:r w:rsidRPr="00527E81">
              <w:rPr>
                <w:b/>
                <w:smallCaps/>
              </w:rPr>
              <w:t>Docket:</w:t>
            </w:r>
            <w:r>
              <w:t xml:space="preserve"> 39049</w:t>
            </w:r>
          </w:p>
        </w:tc>
      </w:tr>
      <w:tr w:rsidR="001B733D" w:rsidTr="008E32ED">
        <w:tc>
          <w:tcPr>
            <w:tcW w:w="5000" w:type="pct"/>
            <w:gridSpan w:val="4"/>
          </w:tcPr>
          <w:p w:rsidR="001B733D" w:rsidRPr="00003966" w:rsidRDefault="001B733D" w:rsidP="008E32ED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003966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1B733D" w:rsidRPr="00A31DCF" w:rsidRDefault="001B733D" w:rsidP="008E32ED">
            <w:pPr>
              <w:rPr>
                <w:rFonts w:eastAsiaTheme="minorHAnsi" w:cstheme="minorBidi"/>
                <w:szCs w:val="24"/>
                <w:lang w:eastAsia="en-US"/>
              </w:rPr>
            </w:pPr>
          </w:p>
          <w:p w:rsidR="001B733D" w:rsidRPr="00166ADB" w:rsidRDefault="001B733D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b/>
                <w:szCs w:val="24"/>
                <w:lang w:eastAsia="en-US"/>
              </w:rPr>
              <w:t>Karen Armstrong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1B733D" w:rsidRDefault="001B733D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b/>
                <w:szCs w:val="24"/>
                <w:lang w:eastAsia="en-US"/>
              </w:rPr>
              <w:t>Colin Ward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szCs w:val="24"/>
                <w:lang w:eastAsia="en-US"/>
              </w:rPr>
              <w:t xml:space="preserve">- and </w:t>
            </w:r>
            <w:r>
              <w:rPr>
                <w:rFonts w:eastAsiaTheme="minorHAnsi" w:cstheme="minorBidi"/>
                <w:szCs w:val="24"/>
                <w:lang w:eastAsia="en-US"/>
              </w:rPr>
              <w:t>-</w:t>
            </w:r>
          </w:p>
          <w:p w:rsidR="001B733D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1B733D" w:rsidRPr="00166ADB" w:rsidRDefault="001B733D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b/>
                <w:szCs w:val="24"/>
                <w:lang w:eastAsia="en-US"/>
              </w:rPr>
              <w:t xml:space="preserve">Healthcare </w:t>
            </w:r>
            <w:r>
              <w:rPr>
                <w:rFonts w:eastAsiaTheme="minorHAnsi" w:cstheme="minorBidi"/>
                <w:b/>
                <w:szCs w:val="24"/>
                <w:lang w:eastAsia="en-US"/>
              </w:rPr>
              <w:t>Insurance Reciprocal of Canada and Ontario Trial Lawyers</w:t>
            </w:r>
            <w:r w:rsidRPr="00166ADB">
              <w:rPr>
                <w:rFonts w:eastAsiaTheme="minorHAnsi" w:cstheme="minorBidi"/>
                <w:b/>
                <w:szCs w:val="24"/>
                <w:lang w:eastAsia="en-US"/>
              </w:rPr>
              <w:t xml:space="preserve"> Association</w:t>
            </w:r>
          </w:p>
          <w:p w:rsidR="001B733D" w:rsidRPr="00A31DCF" w:rsidRDefault="001B733D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166ADB">
              <w:rPr>
                <w:rFonts w:eastAsiaTheme="minorHAnsi" w:cstheme="minorBidi"/>
                <w:szCs w:val="24"/>
                <w:lang w:eastAsia="en-US"/>
              </w:rPr>
              <w:t>Interveners</w:t>
            </w:r>
          </w:p>
          <w:p w:rsidR="001B733D" w:rsidRPr="00C22905" w:rsidRDefault="001B733D" w:rsidP="008E32ED">
            <w:pPr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2"/>
        <w:gridCol w:w="2212"/>
        <w:gridCol w:w="4206"/>
      </w:tblGrid>
      <w:tr w:rsidR="001B733D" w:rsidRPr="00C22905" w:rsidTr="008E32ED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B733D" w:rsidRPr="00C22905" w:rsidRDefault="001B733D" w:rsidP="008E32ED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166ADB">
              <w:rPr>
                <w:rFonts w:eastAsiaTheme="minorHAnsi" w:cstheme="minorBidi"/>
              </w:rPr>
              <w:t>Wagner C.J. and Abella, Moldaver, Karakatsanis, Côté, Brown and Rowe JJ.</w:t>
            </w:r>
          </w:p>
        </w:tc>
      </w:tr>
      <w:tr w:rsidR="001B733D" w:rsidRPr="00C22905" w:rsidTr="008E32ED">
        <w:trPr>
          <w:gridAfter w:val="1"/>
          <w:wAfter w:w="2540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1B733D" w:rsidRPr="00CE08B9" w:rsidRDefault="001B733D" w:rsidP="008E32ED">
            <w:pPr>
              <w:spacing w:before="120"/>
              <w:rPr>
                <w:smallCaps/>
              </w:rPr>
            </w:pPr>
            <w:r>
              <w:rPr>
                <w:b/>
                <w:smallCaps/>
              </w:rPr>
              <w:t xml:space="preserve">Unanimous </w:t>
            </w:r>
            <w:r w:rsidRPr="006B210C">
              <w:rPr>
                <w:b/>
                <w:smallCaps/>
              </w:rPr>
              <w:t>Judgment</w:t>
            </w:r>
            <w:r>
              <w:rPr>
                <w:b/>
                <w:smallCaps/>
              </w:rPr>
              <w:t xml:space="preserve"> Read By:</w:t>
            </w:r>
          </w:p>
          <w:p w:rsidR="001B733D" w:rsidRDefault="001B733D" w:rsidP="008E32ED">
            <w:pPr>
              <w:rPr>
                <w:b/>
                <w:smallCaps/>
              </w:rPr>
            </w:pPr>
            <w:r>
              <w:t>(paras. 1 to 2)</w:t>
            </w:r>
          </w:p>
        </w:tc>
        <w:tc>
          <w:tcPr>
            <w:tcW w:w="1336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1B733D" w:rsidRDefault="001B733D" w:rsidP="008E32ED">
            <w:pPr>
              <w:spacing w:before="120"/>
            </w:pPr>
            <w:r>
              <w:t>Wagner C.J.</w:t>
            </w:r>
          </w:p>
          <w:p w:rsidR="001B733D" w:rsidRDefault="001B733D" w:rsidP="008E32ED">
            <w:pPr>
              <w:rPr>
                <w:b/>
                <w:smallCaps/>
              </w:rPr>
            </w:pPr>
          </w:p>
        </w:tc>
      </w:tr>
      <w:tr w:rsidR="001B733D" w:rsidRPr="00C22905" w:rsidTr="008E32ED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B733D" w:rsidRPr="00C22905" w:rsidRDefault="001B733D" w:rsidP="008E32ED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312"/>
        <w:gridCol w:w="2484"/>
      </w:tblGrid>
      <w:tr w:rsidR="001B733D" w:rsidTr="008E32ED">
        <w:tc>
          <w:tcPr>
            <w:tcW w:w="1500" w:type="pct"/>
            <w:tcMar>
              <w:top w:w="284" w:type="dxa"/>
            </w:tcMar>
          </w:tcPr>
          <w:p w:rsidR="001B733D" w:rsidRDefault="001B733D" w:rsidP="008E32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1B733D" w:rsidRDefault="001B733D" w:rsidP="008E32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1B733D" w:rsidRDefault="001B733D" w:rsidP="008E32ED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B733D" w:rsidRDefault="001B733D" w:rsidP="001B733D">
      <w:pPr>
        <w:spacing w:after="720"/>
        <w:jc w:val="both"/>
        <w:rPr>
          <w:smallCaps/>
          <w:lang w:val="en-US"/>
        </w:rPr>
        <w:sectPr w:rsidR="001B733D" w:rsidSect="000648CC">
          <w:pgSz w:w="12240" w:h="15840"/>
          <w:pgMar w:top="1267" w:right="2160" w:bottom="720" w:left="1800" w:header="1802" w:footer="720" w:gutter="0"/>
          <w:cols w:space="720"/>
          <w:docGrid w:linePitch="326"/>
        </w:sectPr>
      </w:pPr>
    </w:p>
    <w:p w:rsidR="00A704B2" w:rsidRPr="003B2AC5" w:rsidRDefault="00A704B2" w:rsidP="001B733D">
      <w:pPr>
        <w:spacing w:after="720"/>
        <w:jc w:val="both"/>
        <w:rPr>
          <w:lang w:val="en-US"/>
        </w:rPr>
      </w:pPr>
      <w:bookmarkStart w:id="0" w:name="_GoBack"/>
      <w:bookmarkEnd w:id="0"/>
      <w:r w:rsidRPr="00AE3A60">
        <w:rPr>
          <w:smallCaps/>
          <w:lang w:val="en-US"/>
        </w:rPr>
        <w:lastRenderedPageBreak/>
        <w:t>armstrong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 w:rsidRPr="00AE3A60">
        <w:rPr>
          <w:i/>
          <w:lang w:val="en-US"/>
        </w:rPr>
        <w:t>.</w:t>
      </w:r>
      <w:r w:rsidRPr="00AE3A60">
        <w:rPr>
          <w:lang w:val="en-US"/>
        </w:rPr>
        <w:t xml:space="preserve"> </w:t>
      </w:r>
      <w:r w:rsidRPr="00AE3A60">
        <w:rPr>
          <w:smallCaps/>
          <w:lang w:val="en-US"/>
        </w:rPr>
        <w:t>ward</w:t>
      </w:r>
    </w:p>
    <w:p w:rsidR="00A704B2" w:rsidRPr="003B2AC5" w:rsidRDefault="00A704B2" w:rsidP="00A704B2">
      <w:pPr>
        <w:pStyle w:val="SCCLsocLastPartyInRole"/>
        <w:rPr>
          <w:lang w:val="en-US"/>
        </w:rPr>
      </w:pPr>
      <w:r w:rsidRPr="004735FC">
        <w:rPr>
          <w:bCs/>
        </w:rPr>
        <w:t>Karen Armstrong</w:t>
      </w:r>
      <w:r w:rsidRPr="003B2AC5">
        <w:rPr>
          <w:rStyle w:val="SCCLsocPartyRole"/>
          <w:lang w:val="en-US"/>
        </w:rPr>
        <w:tab/>
        <w:t>Appellant</w:t>
      </w:r>
    </w:p>
    <w:p w:rsidR="00A704B2" w:rsidRDefault="00A704B2" w:rsidP="00A704B2">
      <w:pPr>
        <w:pStyle w:val="SCCLsocVersus"/>
      </w:pPr>
      <w:r>
        <w:t>v.</w:t>
      </w:r>
    </w:p>
    <w:p w:rsidR="00A704B2" w:rsidRPr="00775F17" w:rsidRDefault="00A704B2" w:rsidP="00A704B2">
      <w:pPr>
        <w:pStyle w:val="SCCLsocLastPartyInRole"/>
      </w:pPr>
      <w:r w:rsidRPr="004735FC">
        <w:rPr>
          <w:bCs/>
        </w:rPr>
        <w:t>Colin Ward</w:t>
      </w:r>
      <w:r>
        <w:rPr>
          <w:rStyle w:val="SCCLsocPartyRole"/>
        </w:rPr>
        <w:tab/>
        <w:t>Respondent</w:t>
      </w:r>
      <w:r w:rsidRPr="004735FC">
        <w:t xml:space="preserve"> </w:t>
      </w:r>
    </w:p>
    <w:p w:rsidR="00A704B2" w:rsidRPr="00775F17" w:rsidRDefault="00A704B2" w:rsidP="00A704B2">
      <w:pPr>
        <w:pStyle w:val="SCCLsocVersus"/>
        <w:rPr>
          <w:i w:val="0"/>
          <w:lang w:val="en-US"/>
        </w:rPr>
      </w:pPr>
      <w:r w:rsidRPr="00775F17">
        <w:rPr>
          <w:i w:val="0"/>
          <w:lang w:val="en-US"/>
        </w:rPr>
        <w:t>and</w:t>
      </w:r>
    </w:p>
    <w:p w:rsidR="00A704B2" w:rsidRPr="004735FC" w:rsidRDefault="00A704B2" w:rsidP="00A704B2">
      <w:pPr>
        <w:pStyle w:val="SCCLsocLastPartyInRole"/>
        <w:rPr>
          <w:bCs/>
          <w:color w:val="000000"/>
        </w:rPr>
      </w:pPr>
      <w:r w:rsidRPr="004735FC">
        <w:rPr>
          <w:bCs/>
          <w:color w:val="000000"/>
        </w:rPr>
        <w:t>Healthcare Insurance Reciprocal of Canada and</w:t>
      </w:r>
    </w:p>
    <w:p w:rsidR="00A704B2" w:rsidRPr="00775F17" w:rsidRDefault="00A704B2" w:rsidP="00A704B2">
      <w:pPr>
        <w:pStyle w:val="SCCLsocLastPartyInRole"/>
        <w:rPr>
          <w:lang w:val="en-US"/>
        </w:rPr>
      </w:pPr>
      <w:r w:rsidRPr="004735FC">
        <w:rPr>
          <w:bCs/>
        </w:rPr>
        <w:t>Ontario Trial Lawyers Association</w:t>
      </w:r>
      <w:r w:rsidRPr="00775F17">
        <w:rPr>
          <w:rStyle w:val="SCCLsocPartyRole"/>
          <w:lang w:val="en-US"/>
        </w:rPr>
        <w:tab/>
        <w:t>Intervener</w:t>
      </w:r>
      <w:r>
        <w:rPr>
          <w:rStyle w:val="SCCLsocPartyRole"/>
          <w:lang w:val="en-US"/>
        </w:rPr>
        <w:t>s</w:t>
      </w:r>
    </w:p>
    <w:p w:rsidR="00A704B2" w:rsidRPr="00426659" w:rsidRDefault="00A704B2" w:rsidP="00A704B2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b/>
          <w:lang w:val="en-US"/>
        </w:rPr>
        <w:t xml:space="preserve">Armstrong </w:t>
      </w:r>
      <w:r w:rsidRPr="00AE3A60">
        <w:rPr>
          <w:b/>
          <w:i/>
          <w:iCs/>
          <w:lang w:val="en-US"/>
        </w:rPr>
        <w:t>v</w:t>
      </w:r>
      <w:r w:rsidRPr="00AE3A60">
        <w:rPr>
          <w:b/>
          <w:lang w:val="en-US"/>
        </w:rPr>
        <w:t>. Ward</w:t>
      </w:r>
    </w:p>
    <w:p w:rsidR="00A704B2" w:rsidRPr="00C02092" w:rsidRDefault="00A704B2" w:rsidP="00A704B2">
      <w:pPr>
        <w:pStyle w:val="SCCSystemYear"/>
        <w:spacing w:after="720"/>
        <w:jc w:val="both"/>
      </w:pPr>
      <w:r>
        <w:t>2021 SCC 1</w:t>
      </w:r>
    </w:p>
    <w:p w:rsidR="00A704B2" w:rsidRDefault="00A704B2" w:rsidP="00A704B2">
      <w:pPr>
        <w:spacing w:after="720"/>
        <w:jc w:val="both"/>
      </w:pPr>
      <w:r>
        <w:t xml:space="preserve">File No.: </w:t>
      </w:r>
      <w:r>
        <w:rPr>
          <w:color w:val="000000"/>
        </w:rPr>
        <w:t>39049</w:t>
      </w:r>
      <w:r w:rsidRPr="001426A9">
        <w:t>.</w:t>
      </w:r>
    </w:p>
    <w:p w:rsidR="00A704B2" w:rsidRDefault="00A704B2" w:rsidP="00A704B2">
      <w:pPr>
        <w:spacing w:after="720"/>
        <w:jc w:val="both"/>
      </w:pPr>
      <w:r>
        <w:rPr>
          <w:color w:val="000000"/>
        </w:rPr>
        <w:t>2021</w:t>
      </w:r>
      <w:r>
        <w:t xml:space="preserve">: </w:t>
      </w:r>
      <w:r>
        <w:rPr>
          <w:color w:val="000000"/>
        </w:rPr>
        <w:t>January 18</w:t>
      </w:r>
      <w:r w:rsidRPr="001426A9">
        <w:t>.</w:t>
      </w:r>
    </w:p>
    <w:p w:rsidR="00A704B2" w:rsidRDefault="00A704B2" w:rsidP="00A704B2">
      <w:pPr>
        <w:spacing w:after="720"/>
        <w:jc w:val="both"/>
      </w:pPr>
      <w:r w:rsidRPr="001426A9">
        <w:t xml:space="preserve">Present: </w:t>
      </w:r>
      <w:r>
        <w:rPr>
          <w:color w:val="000000"/>
        </w:rPr>
        <w:t>Wagner C.J. and Abella, Moldaver, Karakatsanis, Côté, Brown and Rowe JJ.</w:t>
      </w:r>
    </w:p>
    <w:p w:rsidR="00A704B2" w:rsidRPr="001C779F" w:rsidRDefault="00A704B2" w:rsidP="00A704B2">
      <w:pPr>
        <w:pStyle w:val="SCCLowerCourtNameLowercase"/>
        <w:spacing w:after="720" w:line="240" w:lineRule="auto"/>
      </w:pPr>
      <w:r>
        <w:t xml:space="preserve">on appeal from the court of appeal for </w:t>
      </w:r>
      <w:r>
        <w:rPr>
          <w:color w:val="000000"/>
        </w:rPr>
        <w:t>ontario</w:t>
      </w:r>
    </w:p>
    <w:p w:rsidR="00A704B2" w:rsidRPr="00F424CC" w:rsidRDefault="00A704B2" w:rsidP="00A704B2">
      <w:pPr>
        <w:pStyle w:val="SCCNormalDoubleSpacing"/>
        <w:spacing w:after="480"/>
        <w:rPr>
          <w:i/>
        </w:rPr>
      </w:pPr>
      <w:r>
        <w:tab/>
      </w:r>
      <w:r>
        <w:rPr>
          <w:i/>
        </w:rPr>
        <w:t xml:space="preserve">Torts — Negligence — Standard of care — Patient’s left ureter injured during laparoscopic colectomy — Injury causing blockage of ureter leading to removal </w:t>
      </w:r>
      <w:r>
        <w:rPr>
          <w:i/>
        </w:rPr>
        <w:lastRenderedPageBreak/>
        <w:t xml:space="preserve">of left kidney — Patient </w:t>
      </w:r>
      <w:r w:rsidRPr="001304D5">
        <w:rPr>
          <w:i/>
        </w:rPr>
        <w:t xml:space="preserve">suing surgeon </w:t>
      </w:r>
      <w:r>
        <w:rPr>
          <w:i/>
        </w:rPr>
        <w:t xml:space="preserve">— Trial judge finding that surgeon breached standard of care and that breach caused damage to patient’s ureter which required removal of kidney — Majority of Court of Appeal holding that trial judge erred in law in identifying and applying standard of care and setting aside trial decision — Dissenting judge finding that there was no basis to interfere with trial judge’s approach to standard of care and that trial judge’s conclusions were fully supported by evidence — </w:t>
      </w:r>
      <w:r w:rsidRPr="001304D5">
        <w:rPr>
          <w:i/>
        </w:rPr>
        <w:t>Trial decision restored</w:t>
      </w:r>
      <w:r>
        <w:rPr>
          <w:i/>
        </w:rPr>
        <w:t>.</w:t>
      </w:r>
    </w:p>
    <w:p w:rsidR="00A704B2" w:rsidRPr="004735FC" w:rsidRDefault="00A704B2" w:rsidP="00A704B2">
      <w:pPr>
        <w:pStyle w:val="SCCNormalDoubleSpacing"/>
        <w:spacing w:after="480"/>
      </w:pPr>
      <w:r w:rsidRPr="001426A9">
        <w:tab/>
        <w:t xml:space="preserve">APPEAL from a judgment of the </w:t>
      </w:r>
      <w:r>
        <w:t>Ontario Court of Appeal (</w:t>
      </w:r>
      <w:r w:rsidRPr="004735FC">
        <w:t>Juriansz</w:t>
      </w:r>
      <w:r>
        <w:t xml:space="preserve">, </w:t>
      </w:r>
      <w:r w:rsidRPr="004735FC">
        <w:t>van Rensburg</w:t>
      </w:r>
      <w:r>
        <w:t xml:space="preserve"> and </w:t>
      </w:r>
      <w:r w:rsidRPr="004735FC">
        <w:t>Paciocco JJ.A.</w:t>
      </w:r>
      <w:r>
        <w:t xml:space="preserve">), </w:t>
      </w:r>
      <w:r>
        <w:rPr>
          <w:color w:val="000000"/>
        </w:rPr>
        <w:t xml:space="preserve">2019 ONCA 963 </w:t>
      </w:r>
      <w:r w:rsidRPr="00F424CC">
        <w:rPr>
          <w:bCs/>
        </w:rPr>
        <w:t>(</w:t>
      </w:r>
      <w:r w:rsidRPr="00F424CC">
        <w:rPr>
          <w:bCs/>
          <w:i/>
        </w:rPr>
        <w:t xml:space="preserve">sub nom. </w:t>
      </w:r>
      <w:r w:rsidRPr="00F424CC">
        <w:rPr>
          <w:i/>
        </w:rPr>
        <w:t>Armstrong v. Royal Victoria Hospital</w:t>
      </w:r>
      <w:r w:rsidRPr="00F424CC">
        <w:t>)</w:t>
      </w:r>
      <w:r>
        <w:rPr>
          <w:color w:val="000000"/>
        </w:rPr>
        <w:t xml:space="preserve">, </w:t>
      </w:r>
      <w:r w:rsidRPr="004735FC">
        <w:rPr>
          <w:color w:val="000000"/>
        </w:rPr>
        <w:t>452 D.L.R. (4th) 555, 61 C.C.L.T. (4th) 181</w:t>
      </w:r>
      <w:r>
        <w:rPr>
          <w:color w:val="000000"/>
        </w:rPr>
        <w:t xml:space="preserve">, </w:t>
      </w:r>
      <w:r w:rsidRPr="004735FC">
        <w:rPr>
          <w:color w:val="000000"/>
        </w:rPr>
        <w:t>[2019]</w:t>
      </w:r>
      <w:r>
        <w:rPr>
          <w:color w:val="000000"/>
        </w:rPr>
        <w:t xml:space="preserve"> O.J. No. </w:t>
      </w:r>
      <w:r w:rsidRPr="004735FC">
        <w:rPr>
          <w:color w:val="000000"/>
        </w:rPr>
        <w:t>6187</w:t>
      </w:r>
      <w:r>
        <w:rPr>
          <w:color w:val="000000"/>
        </w:rPr>
        <w:t xml:space="preserve"> (QL), </w:t>
      </w:r>
      <w:r w:rsidRPr="004735FC">
        <w:rPr>
          <w:color w:val="000000"/>
        </w:rPr>
        <w:t>2019 CarswellOnt 19957</w:t>
      </w:r>
      <w:r>
        <w:rPr>
          <w:color w:val="000000"/>
        </w:rPr>
        <w:t xml:space="preserve"> (WL Can.), </w:t>
      </w:r>
      <w:r w:rsidRPr="00173A02">
        <w:t>setting aside a decision of</w:t>
      </w:r>
      <w:r>
        <w:t xml:space="preserve"> Mulligan </w:t>
      </w:r>
      <w:r w:rsidRPr="004735FC">
        <w:t>J.</w:t>
      </w:r>
      <w:r>
        <w:t xml:space="preserve">, </w:t>
      </w:r>
      <w:r w:rsidRPr="004735FC">
        <w:t>2018 ONSC 2439</w:t>
      </w:r>
      <w:r>
        <w:t xml:space="preserve">, </w:t>
      </w:r>
      <w:r w:rsidRPr="004735FC">
        <w:rPr>
          <w:bCs/>
        </w:rPr>
        <w:t>[2018] O.J. No. 2010</w:t>
      </w:r>
      <w:r>
        <w:rPr>
          <w:bCs/>
        </w:rPr>
        <w:t xml:space="preserve"> (QL). Appeal allowed.</w:t>
      </w:r>
    </w:p>
    <w:p w:rsidR="00A704B2" w:rsidRDefault="00A704B2" w:rsidP="00A704B2">
      <w:pPr>
        <w:pStyle w:val="SCCNormalDoubleSpacing"/>
        <w:spacing w:after="480"/>
        <w:rPr>
          <w:lang w:val="en-US"/>
        </w:rPr>
      </w:pPr>
      <w:r>
        <w:rPr>
          <w:iCs/>
          <w:lang w:val="en-US"/>
        </w:rPr>
        <w:tab/>
      </w:r>
      <w:r w:rsidRPr="00425303">
        <w:rPr>
          <w:i/>
          <w:iCs/>
          <w:lang w:val="en-US"/>
        </w:rPr>
        <w:t>Ryan Breedon</w:t>
      </w:r>
      <w:r>
        <w:rPr>
          <w:lang w:val="en-US"/>
        </w:rPr>
        <w:t xml:space="preserve"> </w:t>
      </w:r>
      <w:r w:rsidRPr="00906F2E">
        <w:rPr>
          <w:lang w:val="en-US"/>
        </w:rPr>
        <w:t>and</w:t>
      </w:r>
      <w:r>
        <w:rPr>
          <w:lang w:val="en-US"/>
        </w:rPr>
        <w:t xml:space="preserve"> </w:t>
      </w:r>
      <w:r w:rsidRPr="00425303">
        <w:rPr>
          <w:i/>
          <w:iCs/>
          <w:lang w:val="en-US"/>
        </w:rPr>
        <w:t>Jan Marin</w:t>
      </w:r>
      <w:r w:rsidRPr="00906F2E">
        <w:rPr>
          <w:lang w:val="en-US"/>
        </w:rPr>
        <w:t>, for the appellant.</w:t>
      </w:r>
    </w:p>
    <w:p w:rsidR="00A704B2" w:rsidRDefault="00A704B2" w:rsidP="00A704B2">
      <w:pPr>
        <w:pStyle w:val="SCCNormalDoubleSpacing"/>
        <w:spacing w:after="480"/>
        <w:rPr>
          <w:lang w:val="en-US"/>
        </w:rPr>
      </w:pPr>
      <w:r>
        <w:rPr>
          <w:iCs/>
          <w:lang w:val="en-US"/>
        </w:rPr>
        <w:tab/>
      </w:r>
      <w:r w:rsidRPr="00425303">
        <w:rPr>
          <w:i/>
          <w:iCs/>
          <w:lang w:val="en-US"/>
        </w:rPr>
        <w:t>Mark Veneziano</w:t>
      </w:r>
      <w:r>
        <w:rPr>
          <w:lang w:val="en-US"/>
        </w:rPr>
        <w:t xml:space="preserve"> </w:t>
      </w:r>
      <w:r w:rsidRPr="00906F2E">
        <w:rPr>
          <w:lang w:val="en-US"/>
        </w:rPr>
        <w:t>and</w:t>
      </w:r>
      <w:r>
        <w:rPr>
          <w:lang w:val="en-US"/>
        </w:rPr>
        <w:t xml:space="preserve"> </w:t>
      </w:r>
      <w:r w:rsidRPr="00425303">
        <w:rPr>
          <w:i/>
          <w:iCs/>
          <w:lang w:val="en-US"/>
        </w:rPr>
        <w:t>Jaan Lilles</w:t>
      </w:r>
      <w:r w:rsidRPr="00906F2E">
        <w:rPr>
          <w:lang w:val="en-US"/>
        </w:rPr>
        <w:t>, for the respondent.</w:t>
      </w:r>
    </w:p>
    <w:p w:rsidR="00A704B2" w:rsidRPr="00906F2E" w:rsidRDefault="00A704B2" w:rsidP="00A704B2">
      <w:pPr>
        <w:pStyle w:val="SCCNormalDoubleSpacing"/>
        <w:spacing w:after="480"/>
        <w:rPr>
          <w:i/>
          <w:lang w:val="en-US"/>
        </w:rPr>
      </w:pPr>
      <w:r>
        <w:rPr>
          <w:iCs/>
          <w:lang w:val="en-US"/>
        </w:rPr>
        <w:tab/>
      </w:r>
      <w:r w:rsidRPr="00425303">
        <w:rPr>
          <w:i/>
          <w:iCs/>
          <w:lang w:val="en-US"/>
        </w:rPr>
        <w:t>Anna Marrison</w:t>
      </w:r>
      <w:r w:rsidRPr="00906F2E">
        <w:rPr>
          <w:lang w:val="en-US"/>
        </w:rPr>
        <w:t>, for the intervener the Healthcare Insurance Reciprocal of Canada.</w:t>
      </w:r>
    </w:p>
    <w:p w:rsidR="00A704B2" w:rsidRDefault="00A704B2" w:rsidP="00A704B2">
      <w:pPr>
        <w:pStyle w:val="SCCNormalDoubleSpacing"/>
        <w:spacing w:after="480"/>
        <w:rPr>
          <w:i/>
          <w:lang w:val="en-US"/>
        </w:rPr>
      </w:pPr>
      <w:r>
        <w:rPr>
          <w:iCs/>
          <w:lang w:val="en-US"/>
        </w:rPr>
        <w:tab/>
      </w:r>
      <w:r w:rsidRPr="00425303">
        <w:rPr>
          <w:i/>
          <w:iCs/>
          <w:lang w:val="en-US"/>
        </w:rPr>
        <w:t>Barbara Legate</w:t>
      </w:r>
      <w:r w:rsidRPr="00906F2E">
        <w:rPr>
          <w:lang w:val="en-US"/>
        </w:rPr>
        <w:t>, for the intervener the Ontario Trial Lawyers Association.</w:t>
      </w:r>
    </w:p>
    <w:p w:rsidR="00A704B2" w:rsidRPr="00765808" w:rsidRDefault="00A704B2" w:rsidP="00A704B2">
      <w:pPr>
        <w:pStyle w:val="SCCNormalDoubleSpacing"/>
        <w:spacing w:after="480"/>
        <w:rPr>
          <w:lang w:val="en-US"/>
        </w:rPr>
      </w:pPr>
      <w:r>
        <w:rPr>
          <w:lang w:val="en-US"/>
        </w:rPr>
        <w:tab/>
      </w:r>
      <w:r>
        <w:rPr>
          <w:color w:val="000000"/>
        </w:rPr>
        <w:t>The judgment of the Court was delivered orally by</w:t>
      </w:r>
    </w:p>
    <w:p w:rsidR="00A704B2" w:rsidRDefault="00A704B2" w:rsidP="00A704B2">
      <w:pPr>
        <w:pStyle w:val="SCCNormalDoubleSpacing"/>
        <w:spacing w:after="480"/>
      </w:pPr>
      <w:r>
        <w:rPr>
          <w:smallCaps/>
        </w:rPr>
        <w:lastRenderedPageBreak/>
        <w:t>[1]</w:t>
      </w:r>
      <w:r>
        <w:rPr>
          <w:smallCaps/>
        </w:rPr>
        <w:tab/>
      </w:r>
      <w:r w:rsidRPr="00F73CBB">
        <w:rPr>
          <w:smallCaps/>
        </w:rPr>
        <w:t>The Chief Justice</w:t>
      </w:r>
      <w:r w:rsidRPr="00F73CBB">
        <w:t xml:space="preserve"> — The appeal is allowed </w:t>
      </w:r>
      <w:r>
        <w:t xml:space="preserve">for the reasons of Justice </w:t>
      </w:r>
      <w:r w:rsidRPr="007431A9">
        <w:t>van Rensburg</w:t>
      </w:r>
      <w:r>
        <w:t xml:space="preserve">, </w:t>
      </w:r>
      <w:r w:rsidRPr="00F73CBB">
        <w:t>with costs throughout.</w:t>
      </w:r>
    </w:p>
    <w:p w:rsidR="00A704B2" w:rsidRPr="00F73CBB" w:rsidRDefault="00A704B2" w:rsidP="00A704B2">
      <w:pPr>
        <w:pStyle w:val="SCCNormalDoubleSpacing"/>
        <w:spacing w:after="480"/>
      </w:pPr>
      <w:r>
        <w:t>[2]</w:t>
      </w:r>
      <w:r>
        <w:tab/>
      </w:r>
      <w:r w:rsidRPr="009C60BD">
        <w:t>The judgment of the Court of Appeal is set aside and the trial judgment is restored.</w:t>
      </w:r>
    </w:p>
    <w:p w:rsidR="00A704B2" w:rsidRDefault="00A704B2" w:rsidP="00A704B2">
      <w:pPr>
        <w:pStyle w:val="SCCNormalDoubleSpacing"/>
        <w:spacing w:after="480"/>
        <w:rPr>
          <w:i/>
          <w:iCs/>
          <w:color w:val="000000"/>
        </w:rPr>
      </w:pPr>
      <w:r>
        <w:rPr>
          <w:i/>
          <w:iCs/>
          <w:color w:val="000000"/>
        </w:rPr>
        <w:tab/>
        <w:t>Judgment accordingly.</w:t>
      </w:r>
    </w:p>
    <w:p w:rsidR="00A704B2" w:rsidRPr="00425303" w:rsidRDefault="00A704B2" w:rsidP="00A704B2">
      <w:pPr>
        <w:pStyle w:val="SCCNormalDoubleSpacing"/>
        <w:spacing w:after="480"/>
        <w:rPr>
          <w:i/>
        </w:rPr>
      </w:pPr>
      <w:r>
        <w:tab/>
      </w:r>
      <w:r w:rsidRPr="00425303">
        <w:rPr>
          <w:i/>
        </w:rPr>
        <w:t>Solicitors for the appellant:</w:t>
      </w:r>
      <w:r w:rsidRPr="00425303">
        <w:rPr>
          <w:bCs/>
          <w:i/>
          <w:szCs w:val="24"/>
          <w:lang w:val="en-US" w:eastAsia="en-US"/>
        </w:rPr>
        <w:t xml:space="preserve"> </w:t>
      </w:r>
      <w:r w:rsidRPr="00425303">
        <w:rPr>
          <w:bCs/>
          <w:i/>
          <w:lang w:val="en-US"/>
        </w:rPr>
        <w:t>Breedon Litigation, Barrie, Ont.; Gluckstein Lawyers</w:t>
      </w:r>
      <w:r w:rsidRPr="00425303">
        <w:rPr>
          <w:i/>
        </w:rPr>
        <w:t>, Toronto.</w:t>
      </w:r>
    </w:p>
    <w:p w:rsidR="00A704B2" w:rsidRPr="00425303" w:rsidRDefault="00A704B2" w:rsidP="00A704B2">
      <w:pPr>
        <w:pStyle w:val="SCCNormalDoubleSpacing"/>
        <w:spacing w:after="480"/>
        <w:rPr>
          <w:i/>
        </w:rPr>
      </w:pPr>
      <w:r w:rsidRPr="00425303">
        <w:rPr>
          <w:i/>
        </w:rPr>
        <w:tab/>
        <w:t xml:space="preserve">Solicitors for the respondent: </w:t>
      </w:r>
      <w:r w:rsidRPr="00425303">
        <w:rPr>
          <w:bCs/>
          <w:i/>
        </w:rPr>
        <w:t>Lenczner</w:t>
      </w:r>
      <w:r w:rsidRPr="00425303">
        <w:rPr>
          <w:i/>
        </w:rPr>
        <w:t xml:space="preserve"> Slaght Royce Smith Griffin, Toronto.</w:t>
      </w:r>
    </w:p>
    <w:p w:rsidR="00A704B2" w:rsidRPr="00425303" w:rsidRDefault="00A704B2" w:rsidP="00A704B2">
      <w:pPr>
        <w:pStyle w:val="SCCNormalDoubleSpacing"/>
        <w:spacing w:after="480"/>
        <w:rPr>
          <w:i/>
          <w:lang w:val="en-US"/>
        </w:rPr>
      </w:pPr>
      <w:r>
        <w:tab/>
      </w:r>
      <w:r w:rsidRPr="00425303">
        <w:rPr>
          <w:i/>
        </w:rPr>
        <w:t>Solicitors for the</w:t>
      </w:r>
      <w:r w:rsidRPr="00425303">
        <w:rPr>
          <w:i/>
          <w:lang w:val="en-US"/>
        </w:rPr>
        <w:t xml:space="preserve"> intervener the Healthcare Insurance Reciprocal of Canada: Borden Ladner Gervais, Toronto.</w:t>
      </w:r>
    </w:p>
    <w:p w:rsidR="00A704B2" w:rsidRPr="00425303" w:rsidRDefault="00A704B2" w:rsidP="00A704B2">
      <w:pPr>
        <w:pStyle w:val="SCCNormalDoubleSpacing"/>
        <w:spacing w:after="480"/>
        <w:rPr>
          <w:i/>
        </w:rPr>
      </w:pPr>
      <w:r>
        <w:tab/>
      </w:r>
      <w:r w:rsidRPr="00425303">
        <w:rPr>
          <w:i/>
        </w:rPr>
        <w:t xml:space="preserve">Solicitors for the </w:t>
      </w:r>
      <w:r w:rsidRPr="00425303">
        <w:rPr>
          <w:i/>
          <w:lang w:val="en-US"/>
        </w:rPr>
        <w:t xml:space="preserve">intervener the Ontario Trial Lawyers Association: Legate Personal Injury Lawyers, </w:t>
      </w:r>
      <w:r w:rsidRPr="00425303">
        <w:rPr>
          <w:i/>
        </w:rPr>
        <w:t>London, Ont</w:t>
      </w:r>
      <w:r w:rsidRPr="00425303">
        <w:rPr>
          <w:i/>
          <w:lang w:val="en-US"/>
        </w:rPr>
        <w:t>.</w:t>
      </w:r>
    </w:p>
    <w:p w:rsidR="00CB4D46" w:rsidRPr="00A704B2" w:rsidRDefault="00CB4D46" w:rsidP="00A704B2"/>
    <w:sectPr w:rsidR="00CB4D46" w:rsidRPr="00A704B2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3C" w:rsidRDefault="002E6C3C">
      <w:r>
        <w:separator/>
      </w:r>
    </w:p>
  </w:endnote>
  <w:endnote w:type="continuationSeparator" w:id="0">
    <w:p w:rsidR="002E6C3C" w:rsidRDefault="002E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3C" w:rsidRDefault="002E6C3C">
      <w:r>
        <w:separator/>
      </w:r>
    </w:p>
  </w:footnote>
  <w:footnote w:type="continuationSeparator" w:id="0">
    <w:p w:rsidR="002E6C3C" w:rsidRDefault="002E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5763"/>
    <w:rsid w:val="00026467"/>
    <w:rsid w:val="00040D1B"/>
    <w:rsid w:val="00040F00"/>
    <w:rsid w:val="00041BDD"/>
    <w:rsid w:val="00045E41"/>
    <w:rsid w:val="000578A3"/>
    <w:rsid w:val="000648CC"/>
    <w:rsid w:val="000707D4"/>
    <w:rsid w:val="00076E46"/>
    <w:rsid w:val="00094FED"/>
    <w:rsid w:val="000B5CFA"/>
    <w:rsid w:val="000B69B5"/>
    <w:rsid w:val="000C3FCE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6ADB"/>
    <w:rsid w:val="001677C1"/>
    <w:rsid w:val="00170592"/>
    <w:rsid w:val="0018066E"/>
    <w:rsid w:val="00186351"/>
    <w:rsid w:val="00195D83"/>
    <w:rsid w:val="00196FDC"/>
    <w:rsid w:val="001977DB"/>
    <w:rsid w:val="001A00C1"/>
    <w:rsid w:val="001A42A4"/>
    <w:rsid w:val="001B33E0"/>
    <w:rsid w:val="001B4573"/>
    <w:rsid w:val="001B733D"/>
    <w:rsid w:val="001C779F"/>
    <w:rsid w:val="001D2AC1"/>
    <w:rsid w:val="001D4DDF"/>
    <w:rsid w:val="001D4E88"/>
    <w:rsid w:val="001D65FF"/>
    <w:rsid w:val="001D6E70"/>
    <w:rsid w:val="001E477D"/>
    <w:rsid w:val="00205B20"/>
    <w:rsid w:val="0021455A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70D93"/>
    <w:rsid w:val="002745CC"/>
    <w:rsid w:val="0029178F"/>
    <w:rsid w:val="002A3593"/>
    <w:rsid w:val="002B7924"/>
    <w:rsid w:val="002B7ABA"/>
    <w:rsid w:val="002D2226"/>
    <w:rsid w:val="002D28C3"/>
    <w:rsid w:val="002D294E"/>
    <w:rsid w:val="002D39A4"/>
    <w:rsid w:val="002E6189"/>
    <w:rsid w:val="002E6705"/>
    <w:rsid w:val="002E6C3C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352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97AF7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A55"/>
    <w:rsid w:val="00411300"/>
    <w:rsid w:val="00415417"/>
    <w:rsid w:val="0041747D"/>
    <w:rsid w:val="00424FE1"/>
    <w:rsid w:val="00426659"/>
    <w:rsid w:val="00426D16"/>
    <w:rsid w:val="00450352"/>
    <w:rsid w:val="00454BDB"/>
    <w:rsid w:val="00463A7A"/>
    <w:rsid w:val="00464800"/>
    <w:rsid w:val="00464BF6"/>
    <w:rsid w:val="00465132"/>
    <w:rsid w:val="00465EF1"/>
    <w:rsid w:val="00470DB3"/>
    <w:rsid w:val="00473E3C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A4F85"/>
    <w:rsid w:val="005A6079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48DB"/>
    <w:rsid w:val="006B51B8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430D"/>
    <w:rsid w:val="00766D14"/>
    <w:rsid w:val="00767A0F"/>
    <w:rsid w:val="007A05F6"/>
    <w:rsid w:val="007B6F4A"/>
    <w:rsid w:val="007C0D4B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22BD"/>
    <w:rsid w:val="008323C4"/>
    <w:rsid w:val="00833E0A"/>
    <w:rsid w:val="00834F73"/>
    <w:rsid w:val="00847F55"/>
    <w:rsid w:val="00851F3D"/>
    <w:rsid w:val="008544FA"/>
    <w:rsid w:val="00864CF8"/>
    <w:rsid w:val="00872819"/>
    <w:rsid w:val="00874914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F3947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4722"/>
    <w:rsid w:val="00976EB5"/>
    <w:rsid w:val="00981B4D"/>
    <w:rsid w:val="00985340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27AA"/>
    <w:rsid w:val="00A030CE"/>
    <w:rsid w:val="00A12217"/>
    <w:rsid w:val="00A149DF"/>
    <w:rsid w:val="00A1755C"/>
    <w:rsid w:val="00A21B90"/>
    <w:rsid w:val="00A244B9"/>
    <w:rsid w:val="00A3695A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04B2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75D98"/>
    <w:rsid w:val="00B815FC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BE3A39"/>
    <w:rsid w:val="00C02092"/>
    <w:rsid w:val="00C14AA0"/>
    <w:rsid w:val="00C22905"/>
    <w:rsid w:val="00C229CD"/>
    <w:rsid w:val="00C24D91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4D46"/>
    <w:rsid w:val="00CC34BD"/>
    <w:rsid w:val="00CE08B9"/>
    <w:rsid w:val="00CE161A"/>
    <w:rsid w:val="00CE3171"/>
    <w:rsid w:val="00CE7262"/>
    <w:rsid w:val="00CF1601"/>
    <w:rsid w:val="00D0172F"/>
    <w:rsid w:val="00D068A7"/>
    <w:rsid w:val="00D173CE"/>
    <w:rsid w:val="00D17476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14E0"/>
    <w:rsid w:val="00D63A1C"/>
    <w:rsid w:val="00D67CB1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4712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635"/>
    <w:rsid w:val="00F50D2D"/>
    <w:rsid w:val="00F56C8B"/>
    <w:rsid w:val="00F66810"/>
    <w:rsid w:val="00F75F4E"/>
    <w:rsid w:val="00F846D9"/>
    <w:rsid w:val="00F84DF4"/>
    <w:rsid w:val="00F85C97"/>
    <w:rsid w:val="00F94A57"/>
    <w:rsid w:val="00FA51A0"/>
    <w:rsid w:val="00FB0B4C"/>
    <w:rsid w:val="00FB37D2"/>
    <w:rsid w:val="00FB7D08"/>
    <w:rsid w:val="00FC3788"/>
    <w:rsid w:val="00FC4EFB"/>
    <w:rsid w:val="00FD068D"/>
    <w:rsid w:val="00FD4F28"/>
    <w:rsid w:val="00FE0416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473E3C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473E3C"/>
    <w:rPr>
      <w:rFonts w:eastAsiaTheme="minorHAnsi" w:cstheme="minorBidi"/>
      <w:b/>
      <w:smallCaps/>
      <w:sz w:val="24"/>
      <w:szCs w:val="24"/>
      <w:lang w:eastAsia="en-US"/>
    </w:rPr>
  </w:style>
  <w:style w:type="character" w:customStyle="1" w:styleId="SCCLsocPartyRoleChar">
    <w:name w:val="SCC.Lsoc.PartyRole Char"/>
    <w:basedOn w:val="DefaultParagraphFont"/>
    <w:rsid w:val="00CB4D46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4D6E-5990-485A-8C1E-2CF2F3C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2021-01-20T20:32:00Z</dcterms:created>
  <dcterms:modified xsi:type="dcterms:W3CDTF">2024-01-11T21:24:00Z</dcterms:modified>
</cp:coreProperties>
</file>