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0"/>
        <w:gridCol w:w="1630"/>
        <w:gridCol w:w="3143"/>
        <w:gridCol w:w="17"/>
      </w:tblGrid>
      <w:tr w:rsidR="006742D3" w:rsidTr="008E32ED">
        <w:trPr>
          <w:trHeight w:val="1784"/>
        </w:trPr>
        <w:tc>
          <w:tcPr>
            <w:tcW w:w="5000" w:type="pct"/>
            <w:gridSpan w:val="4"/>
          </w:tcPr>
          <w:p w:rsidR="006742D3" w:rsidRDefault="006742D3"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8pt" o:ole="">
                  <v:imagedata r:id="rId8" o:title=""/>
                </v:shape>
                <o:OLEObject Type="Embed" ProgID="Presentations.Drawing.15" ShapeID="_x0000_i1025" DrawAspect="Content" ObjectID="_1766495786" r:id="rId9"/>
              </w:object>
            </w:r>
          </w:p>
          <w:p w:rsidR="006742D3" w:rsidRDefault="006742D3" w:rsidP="008E32ED">
            <w:pPr>
              <w:spacing w:before="120" w:after="100" w:afterAutospacing="1"/>
              <w:jc w:val="center"/>
              <w:rPr>
                <w:rFonts w:eastAsia="Calibri"/>
              </w:rPr>
            </w:pPr>
            <w:r w:rsidRPr="00C22905">
              <w:rPr>
                <w:rFonts w:eastAsia="Calibri"/>
                <w:b/>
                <w:szCs w:val="24"/>
                <w:lang w:eastAsia="en-US"/>
              </w:rPr>
              <w:t>SUPREME COURT OF CANADA</w:t>
            </w:r>
          </w:p>
        </w:tc>
      </w:tr>
      <w:tr w:rsidR="006742D3" w:rsidTr="008E32ED">
        <w:trPr>
          <w:gridAfter w:val="1"/>
          <w:wAfter w:w="10" w:type="pct"/>
        </w:trPr>
        <w:tc>
          <w:tcPr>
            <w:tcW w:w="2108" w:type="pct"/>
            <w:tcMar>
              <w:top w:w="284" w:type="dxa"/>
            </w:tcMar>
          </w:tcPr>
          <w:p w:rsidR="006742D3" w:rsidRPr="00E42546" w:rsidRDefault="006742D3" w:rsidP="008E32ED">
            <w:pPr>
              <w:spacing w:before="100" w:beforeAutospacing="1"/>
              <w:rPr>
                <w:rFonts w:eastAsia="Calibri"/>
                <w:lang w:val="fr-CA"/>
              </w:rPr>
            </w:pPr>
            <w:r w:rsidRPr="00E42546">
              <w:rPr>
                <w:b/>
                <w:smallCaps/>
                <w:lang w:val="fr-CA"/>
              </w:rPr>
              <w:t>Citation:</w:t>
            </w:r>
            <w:r w:rsidRPr="00E42546">
              <w:rPr>
                <w:lang w:val="fr-CA"/>
              </w:rPr>
              <w:t xml:space="preserve"> R. </w:t>
            </w:r>
            <w:r w:rsidRPr="00E42546">
              <w:rPr>
                <w:i/>
                <w:lang w:val="fr-CA"/>
              </w:rPr>
              <w:t>v.</w:t>
            </w:r>
            <w:r w:rsidRPr="00E42546">
              <w:rPr>
                <w:lang w:val="fr-CA"/>
              </w:rPr>
              <w:t xml:space="preserve"> Deslauriers, 2021 SCC 3</w:t>
            </w:r>
            <w:r>
              <w:rPr>
                <w:lang w:val="fr-CA"/>
              </w:rPr>
              <w:t>, [2021] 1 S.C.R. 9</w:t>
            </w:r>
          </w:p>
        </w:tc>
        <w:tc>
          <w:tcPr>
            <w:tcW w:w="984" w:type="pct"/>
          </w:tcPr>
          <w:p w:rsidR="006742D3" w:rsidRPr="00E42546" w:rsidRDefault="006742D3" w:rsidP="008E32ED">
            <w:pPr>
              <w:rPr>
                <w:b/>
                <w:smallCaps/>
                <w:lang w:val="fr-CA"/>
              </w:rPr>
            </w:pPr>
          </w:p>
        </w:tc>
        <w:tc>
          <w:tcPr>
            <w:tcW w:w="1898" w:type="pct"/>
            <w:tcMar>
              <w:top w:w="284" w:type="dxa"/>
            </w:tcMar>
          </w:tcPr>
          <w:p w:rsidR="006742D3" w:rsidRPr="006B210C" w:rsidRDefault="006742D3" w:rsidP="008E32ED">
            <w:r>
              <w:rPr>
                <w:b/>
                <w:smallCaps/>
              </w:rPr>
              <w:t>Appeal Heard:</w:t>
            </w:r>
            <w:r w:rsidRPr="006B210C">
              <w:t xml:space="preserve"> </w:t>
            </w:r>
            <w:r>
              <w:t>January 20, 2021</w:t>
            </w:r>
          </w:p>
          <w:p w:rsidR="006742D3" w:rsidRDefault="006742D3" w:rsidP="008E32ED">
            <w:r>
              <w:rPr>
                <w:b/>
                <w:smallCaps/>
              </w:rPr>
              <w:t>Judgment Rendered:</w:t>
            </w:r>
            <w:r w:rsidRPr="006B210C">
              <w:t xml:space="preserve"> </w:t>
            </w:r>
            <w:r>
              <w:t>January 20, 2021</w:t>
            </w:r>
          </w:p>
          <w:p w:rsidR="006742D3" w:rsidRPr="006B210C" w:rsidRDefault="006742D3" w:rsidP="008E32ED">
            <w:r w:rsidRPr="00527E81">
              <w:rPr>
                <w:b/>
                <w:smallCaps/>
              </w:rPr>
              <w:t>Docket:</w:t>
            </w:r>
            <w:r>
              <w:t xml:space="preserve"> 39131</w:t>
            </w:r>
          </w:p>
        </w:tc>
      </w:tr>
      <w:tr w:rsidR="006742D3" w:rsidRPr="00E42546" w:rsidTr="008E32ED">
        <w:tc>
          <w:tcPr>
            <w:tcW w:w="5000" w:type="pct"/>
            <w:gridSpan w:val="4"/>
          </w:tcPr>
          <w:p w:rsidR="006742D3" w:rsidRDefault="006742D3" w:rsidP="008E32ED">
            <w:pPr>
              <w:rPr>
                <w:rFonts w:eastAsiaTheme="minorHAnsi" w:cstheme="minorBidi"/>
                <w:b/>
                <w:szCs w:val="24"/>
                <w:lang w:eastAsia="en-US"/>
              </w:rPr>
            </w:pPr>
          </w:p>
          <w:p w:rsidR="006742D3" w:rsidRPr="004A4030" w:rsidRDefault="006742D3" w:rsidP="008E32ED">
            <w:pPr>
              <w:rPr>
                <w:rFonts w:eastAsiaTheme="minorHAnsi" w:cstheme="minorBidi"/>
                <w:b/>
                <w:smallCaps/>
                <w:szCs w:val="24"/>
                <w:lang w:val="en-US" w:eastAsia="en-US"/>
              </w:rPr>
            </w:pPr>
            <w:r w:rsidRPr="00E42546">
              <w:rPr>
                <w:rFonts w:eastAsiaTheme="minorHAnsi" w:cstheme="minorBidi"/>
                <w:b/>
                <w:smallCaps/>
                <w:szCs w:val="24"/>
                <w:lang w:val="en-US" w:eastAsia="en-US"/>
              </w:rPr>
              <w:t>Between</w:t>
            </w:r>
            <w:r>
              <w:rPr>
                <w:rFonts w:eastAsiaTheme="minorHAnsi" w:cstheme="minorBidi"/>
                <w:b/>
                <w:smallCaps/>
                <w:szCs w:val="24"/>
                <w:lang w:val="en-US" w:eastAsia="en-US"/>
              </w:rPr>
              <w:t>:</w:t>
            </w:r>
          </w:p>
          <w:p w:rsidR="006742D3" w:rsidRPr="004A4030" w:rsidRDefault="006742D3" w:rsidP="008E32ED">
            <w:pPr>
              <w:jc w:val="center"/>
              <w:rPr>
                <w:rFonts w:eastAsiaTheme="minorHAnsi" w:cstheme="minorBidi"/>
                <w:b/>
                <w:szCs w:val="24"/>
                <w:lang w:val="en-US" w:eastAsia="en-US"/>
              </w:rPr>
            </w:pPr>
            <w:r w:rsidRPr="00E42546">
              <w:rPr>
                <w:rFonts w:eastAsiaTheme="minorHAnsi" w:cstheme="minorBidi"/>
                <w:b/>
                <w:szCs w:val="24"/>
                <w:lang w:val="en-US" w:eastAsia="en-US"/>
              </w:rPr>
              <w:t>Her Majesty The Queen</w:t>
            </w:r>
          </w:p>
          <w:p w:rsidR="006742D3" w:rsidRPr="00E42546" w:rsidRDefault="006742D3" w:rsidP="008E32ED">
            <w:pPr>
              <w:jc w:val="center"/>
              <w:rPr>
                <w:rFonts w:eastAsiaTheme="minorHAnsi" w:cstheme="minorBidi"/>
                <w:szCs w:val="24"/>
                <w:lang w:val="en-US" w:eastAsia="en-US"/>
              </w:rPr>
            </w:pPr>
            <w:r w:rsidRPr="00E42546">
              <w:rPr>
                <w:rFonts w:eastAsiaTheme="minorHAnsi" w:cstheme="minorBidi"/>
                <w:szCs w:val="24"/>
                <w:lang w:val="en-US" w:eastAsia="en-US"/>
              </w:rPr>
              <w:t>A</w:t>
            </w:r>
            <w:r>
              <w:rPr>
                <w:rFonts w:eastAsiaTheme="minorHAnsi" w:cstheme="minorBidi"/>
                <w:szCs w:val="24"/>
                <w:lang w:val="en-US" w:eastAsia="en-US"/>
              </w:rPr>
              <w:t>ppellant</w:t>
            </w:r>
          </w:p>
          <w:p w:rsidR="006742D3" w:rsidRPr="004A4030" w:rsidRDefault="006742D3" w:rsidP="008E32ED">
            <w:pPr>
              <w:jc w:val="center"/>
              <w:rPr>
                <w:rFonts w:eastAsiaTheme="minorHAnsi" w:cstheme="minorBidi"/>
                <w:szCs w:val="24"/>
                <w:lang w:val="en-US" w:eastAsia="en-US"/>
              </w:rPr>
            </w:pPr>
          </w:p>
          <w:p w:rsidR="006742D3" w:rsidRDefault="006742D3" w:rsidP="008E32ED">
            <w:pPr>
              <w:jc w:val="center"/>
              <w:rPr>
                <w:rFonts w:eastAsiaTheme="minorHAnsi" w:cstheme="minorBidi"/>
                <w:szCs w:val="24"/>
                <w:lang w:val="fr-CA" w:eastAsia="en-US"/>
              </w:rPr>
            </w:pPr>
            <w:r>
              <w:rPr>
                <w:rFonts w:eastAsiaTheme="minorHAnsi" w:cstheme="minorBidi"/>
                <w:szCs w:val="24"/>
                <w:lang w:val="fr-CA" w:eastAsia="en-US"/>
              </w:rPr>
              <w:t>and</w:t>
            </w:r>
          </w:p>
          <w:p w:rsidR="006742D3" w:rsidRPr="004A4030" w:rsidRDefault="006742D3" w:rsidP="008E32ED">
            <w:pPr>
              <w:jc w:val="center"/>
              <w:rPr>
                <w:rFonts w:eastAsiaTheme="minorHAnsi" w:cstheme="minorBidi"/>
                <w:szCs w:val="24"/>
                <w:lang w:val="fr-CA" w:eastAsia="en-US"/>
              </w:rPr>
            </w:pPr>
          </w:p>
          <w:p w:rsidR="006742D3" w:rsidRPr="004A4030" w:rsidRDefault="006742D3" w:rsidP="008E32ED">
            <w:pPr>
              <w:jc w:val="center"/>
              <w:rPr>
                <w:rFonts w:eastAsiaTheme="minorHAnsi" w:cstheme="minorBidi"/>
                <w:b/>
                <w:szCs w:val="24"/>
                <w:lang w:val="fr-CA" w:eastAsia="en-US"/>
              </w:rPr>
            </w:pPr>
            <w:r w:rsidRPr="004A4030">
              <w:rPr>
                <w:rFonts w:eastAsiaTheme="minorHAnsi" w:cstheme="minorBidi"/>
                <w:b/>
                <w:szCs w:val="24"/>
                <w:lang w:val="fr-CA" w:eastAsia="en-US"/>
              </w:rPr>
              <w:t>Éric Deslauriers</w:t>
            </w:r>
          </w:p>
          <w:p w:rsidR="006742D3" w:rsidRPr="00E42546" w:rsidRDefault="006742D3" w:rsidP="008E32ED">
            <w:pPr>
              <w:jc w:val="center"/>
              <w:rPr>
                <w:rFonts w:eastAsiaTheme="minorHAnsi" w:cstheme="minorBidi"/>
                <w:szCs w:val="24"/>
                <w:lang w:val="fr-CA" w:eastAsia="en-US"/>
              </w:rPr>
            </w:pPr>
            <w:r>
              <w:rPr>
                <w:rFonts w:eastAsiaTheme="minorHAnsi" w:cstheme="minorBidi"/>
                <w:szCs w:val="24"/>
                <w:lang w:val="fr-CA" w:eastAsia="en-US"/>
              </w:rPr>
              <w:t>Respondent</w:t>
            </w:r>
          </w:p>
          <w:p w:rsidR="006742D3" w:rsidRDefault="006742D3" w:rsidP="008E32ED">
            <w:pPr>
              <w:rPr>
                <w:rFonts w:eastAsiaTheme="minorHAnsi" w:cstheme="minorBidi"/>
                <w:b/>
                <w:szCs w:val="24"/>
                <w:lang w:val="fr-CA" w:eastAsia="en-US"/>
              </w:rPr>
            </w:pPr>
          </w:p>
          <w:p w:rsidR="006742D3" w:rsidRPr="00E42546" w:rsidRDefault="006742D3" w:rsidP="008E32ED">
            <w:pPr>
              <w:rPr>
                <w:rFonts w:eastAsiaTheme="minorHAnsi" w:cstheme="minorBidi"/>
                <w:b/>
                <w:szCs w:val="24"/>
                <w:lang w:val="fr-CA" w:eastAsia="en-US"/>
              </w:rPr>
            </w:pPr>
          </w:p>
          <w:p w:rsidR="006742D3" w:rsidRPr="00E42546" w:rsidRDefault="006742D3" w:rsidP="008E32ED">
            <w:pPr>
              <w:jc w:val="center"/>
              <w:rPr>
                <w:b/>
                <w:smallCaps/>
                <w:lang w:val="fr-CA"/>
              </w:rPr>
            </w:pPr>
            <w:r>
              <w:rPr>
                <w:b/>
                <w:smallCaps/>
                <w:lang w:val="fr-CA"/>
              </w:rPr>
              <w:t>Official English Translation</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80"/>
        <w:gridCol w:w="6983"/>
        <w:gridCol w:w="17"/>
      </w:tblGrid>
      <w:tr w:rsidR="006742D3" w:rsidRPr="00C22905" w:rsidTr="008E32ED">
        <w:trPr>
          <w:cantSplit/>
          <w:trHeight w:val="508"/>
        </w:trPr>
        <w:tc>
          <w:tcPr>
            <w:tcW w:w="5000" w:type="pct"/>
            <w:gridSpan w:val="3"/>
            <w:tcMar>
              <w:top w:w="284" w:type="dxa"/>
              <w:bottom w:w="57" w:type="dxa"/>
            </w:tcMar>
            <w:vAlign w:val="center"/>
          </w:tcPr>
          <w:p w:rsidR="006742D3" w:rsidRPr="00C22905" w:rsidRDefault="006742D3" w:rsidP="008E32ED">
            <w:r w:rsidRPr="006B210C">
              <w:rPr>
                <w:b/>
                <w:smallCaps/>
              </w:rPr>
              <w:t>Coram</w:t>
            </w:r>
            <w:r>
              <w:rPr>
                <w:b/>
                <w:smallCaps/>
              </w:rPr>
              <w:t>:</w:t>
            </w:r>
            <w:r w:rsidRPr="006B210C">
              <w:t xml:space="preserve"> </w:t>
            </w:r>
            <w:r>
              <w:t>Wagner C.J. and Abella, Moldaver, Côté, Brown, Rowe and Kasirer JJ.</w:t>
            </w:r>
          </w:p>
        </w:tc>
      </w:tr>
      <w:tr w:rsidR="006742D3" w:rsidRPr="00C22905" w:rsidTr="008E32ED">
        <w:trPr>
          <w:gridAfter w:val="1"/>
          <w:wAfter w:w="10" w:type="pct"/>
          <w:cantSplit/>
          <w:trHeight w:val="508"/>
        </w:trPr>
        <w:tc>
          <w:tcPr>
            <w:tcW w:w="773" w:type="pct"/>
            <w:tcMar>
              <w:top w:w="28" w:type="dxa"/>
              <w:left w:w="57" w:type="dxa"/>
              <w:bottom w:w="57" w:type="dxa"/>
              <w:right w:w="57" w:type="dxa"/>
            </w:tcMar>
            <w:vAlign w:val="center"/>
          </w:tcPr>
          <w:p w:rsidR="006742D3" w:rsidRPr="00CE08B9" w:rsidRDefault="006742D3" w:rsidP="008E32ED">
            <w:pPr>
              <w:spacing w:before="120"/>
              <w:rPr>
                <w:smallCaps/>
              </w:rPr>
            </w:pPr>
            <w:r w:rsidRPr="006B210C">
              <w:rPr>
                <w:b/>
                <w:smallCaps/>
              </w:rPr>
              <w:t>Judgment</w:t>
            </w:r>
            <w:r>
              <w:rPr>
                <w:b/>
                <w:smallCaps/>
              </w:rPr>
              <w:t xml:space="preserve"> Read By:</w:t>
            </w:r>
          </w:p>
          <w:p w:rsidR="006742D3" w:rsidRPr="0038798F" w:rsidRDefault="006742D3" w:rsidP="008E32ED">
            <w:r>
              <w:t xml:space="preserve">(paras. 1 </w:t>
            </w:r>
            <w:r w:rsidRPr="00A027C8">
              <w:t>to 5)</w:t>
            </w:r>
          </w:p>
        </w:tc>
        <w:tc>
          <w:tcPr>
            <w:tcW w:w="4217" w:type="pct"/>
            <w:tcMar>
              <w:top w:w="28" w:type="dxa"/>
              <w:left w:w="57" w:type="dxa"/>
              <w:bottom w:w="57" w:type="dxa"/>
              <w:right w:w="57" w:type="dxa"/>
            </w:tcMar>
            <w:vAlign w:val="center"/>
          </w:tcPr>
          <w:p w:rsidR="006742D3" w:rsidRDefault="006742D3" w:rsidP="008E32ED">
            <w:pPr>
              <w:spacing w:before="240"/>
            </w:pPr>
            <w:r>
              <w:t>Wagner C.J.</w:t>
            </w:r>
          </w:p>
          <w:p w:rsidR="006742D3" w:rsidRPr="00E42546" w:rsidRDefault="006742D3" w:rsidP="008E32ED">
            <w:pPr>
              <w:spacing w:before="120"/>
              <w:rPr>
                <w:smallCaps/>
              </w:rPr>
            </w:pPr>
          </w:p>
        </w:tc>
      </w:tr>
      <w:tr w:rsidR="006742D3" w:rsidRPr="00C22905" w:rsidTr="008E32ED">
        <w:trPr>
          <w:gridAfter w:val="1"/>
          <w:wAfter w:w="11" w:type="pct"/>
          <w:cantSplit/>
          <w:trHeight w:val="508"/>
        </w:trPr>
        <w:tc>
          <w:tcPr>
            <w:tcW w:w="773" w:type="pct"/>
            <w:tcMar>
              <w:top w:w="28" w:type="dxa"/>
              <w:left w:w="57" w:type="dxa"/>
              <w:bottom w:w="57" w:type="dxa"/>
              <w:right w:w="57" w:type="dxa"/>
            </w:tcMar>
            <w:vAlign w:val="center"/>
          </w:tcPr>
          <w:p w:rsidR="006742D3" w:rsidRPr="006B210C" w:rsidRDefault="006742D3" w:rsidP="008E32ED">
            <w:pPr>
              <w:spacing w:before="120"/>
              <w:rPr>
                <w:b/>
                <w:smallCaps/>
              </w:rPr>
            </w:pPr>
            <w:r>
              <w:rPr>
                <w:b/>
                <w:smallCaps/>
              </w:rPr>
              <w:t>Majority:</w:t>
            </w:r>
          </w:p>
        </w:tc>
        <w:tc>
          <w:tcPr>
            <w:tcW w:w="4216" w:type="pct"/>
            <w:tcMar>
              <w:top w:w="28" w:type="dxa"/>
              <w:left w:w="57" w:type="dxa"/>
              <w:bottom w:w="57" w:type="dxa"/>
              <w:right w:w="57" w:type="dxa"/>
            </w:tcMar>
            <w:vAlign w:val="center"/>
          </w:tcPr>
          <w:p w:rsidR="006742D3" w:rsidRDefault="006742D3" w:rsidP="008E32ED">
            <w:pPr>
              <w:spacing w:before="120"/>
            </w:pPr>
            <w:r>
              <w:t>Wagner C.J. and Moldaver, Côté, Rowe and Kasirer JJ.</w:t>
            </w:r>
          </w:p>
        </w:tc>
      </w:tr>
      <w:tr w:rsidR="006742D3" w:rsidRPr="00C22905" w:rsidTr="008E32ED">
        <w:trPr>
          <w:gridAfter w:val="1"/>
          <w:wAfter w:w="11" w:type="pct"/>
          <w:cantSplit/>
          <w:trHeight w:val="508"/>
        </w:trPr>
        <w:tc>
          <w:tcPr>
            <w:tcW w:w="773" w:type="pct"/>
            <w:tcMar>
              <w:top w:w="28" w:type="dxa"/>
              <w:left w:w="57" w:type="dxa"/>
              <w:bottom w:w="57" w:type="dxa"/>
              <w:right w:w="57" w:type="dxa"/>
            </w:tcMar>
            <w:vAlign w:val="center"/>
          </w:tcPr>
          <w:p w:rsidR="006742D3" w:rsidRDefault="006742D3" w:rsidP="008E32ED">
            <w:pPr>
              <w:spacing w:before="120"/>
              <w:rPr>
                <w:b/>
                <w:smallCaps/>
              </w:rPr>
            </w:pPr>
            <w:r>
              <w:rPr>
                <w:b/>
                <w:smallCaps/>
              </w:rPr>
              <w:t>Dissent:</w:t>
            </w:r>
          </w:p>
        </w:tc>
        <w:tc>
          <w:tcPr>
            <w:tcW w:w="4216" w:type="pct"/>
            <w:tcMar>
              <w:top w:w="28" w:type="dxa"/>
              <w:left w:w="57" w:type="dxa"/>
              <w:bottom w:w="57" w:type="dxa"/>
              <w:right w:w="57" w:type="dxa"/>
            </w:tcMar>
            <w:vAlign w:val="center"/>
          </w:tcPr>
          <w:p w:rsidR="006742D3" w:rsidRDefault="006742D3" w:rsidP="008E32ED">
            <w:pPr>
              <w:spacing w:before="120"/>
            </w:pPr>
            <w:r>
              <w:t>Abella and Brown JJ.</w:t>
            </w:r>
          </w:p>
        </w:tc>
      </w:tr>
      <w:tr w:rsidR="006742D3" w:rsidRPr="00E42546" w:rsidTr="008E32ED">
        <w:trPr>
          <w:cantSplit/>
        </w:trPr>
        <w:tc>
          <w:tcPr>
            <w:tcW w:w="5000" w:type="pct"/>
            <w:gridSpan w:val="3"/>
            <w:tcMar>
              <w:top w:w="284" w:type="dxa"/>
              <w:bottom w:w="57" w:type="dxa"/>
            </w:tcMar>
            <w:vAlign w:val="center"/>
          </w:tcPr>
          <w:p w:rsidR="006742D3" w:rsidRPr="00E42546" w:rsidRDefault="006742D3" w:rsidP="008E32ED"/>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742D3" w:rsidTr="008E32ED">
        <w:trPr>
          <w:trHeight w:val="15"/>
        </w:trPr>
        <w:tc>
          <w:tcPr>
            <w:tcW w:w="1500" w:type="pct"/>
            <w:tcMar>
              <w:top w:w="284" w:type="dxa"/>
            </w:tcMar>
          </w:tcPr>
          <w:p w:rsidR="006742D3" w:rsidRDefault="006742D3" w:rsidP="008E32ED">
            <w:pPr>
              <w:rPr>
                <w:rFonts w:eastAsia="Calibri"/>
                <w:szCs w:val="24"/>
                <w:lang w:eastAsia="en-US"/>
              </w:rPr>
            </w:pPr>
          </w:p>
        </w:tc>
        <w:tc>
          <w:tcPr>
            <w:tcW w:w="2000" w:type="pct"/>
            <w:tcBorders>
              <w:bottom w:val="single" w:sz="4" w:space="0" w:color="auto"/>
            </w:tcBorders>
            <w:tcMar>
              <w:top w:w="284" w:type="dxa"/>
            </w:tcMar>
          </w:tcPr>
          <w:p w:rsidR="006742D3" w:rsidRDefault="006742D3" w:rsidP="008E32ED">
            <w:pPr>
              <w:rPr>
                <w:rFonts w:eastAsia="Calibri"/>
                <w:szCs w:val="24"/>
                <w:lang w:eastAsia="en-US"/>
              </w:rPr>
            </w:pPr>
          </w:p>
        </w:tc>
        <w:tc>
          <w:tcPr>
            <w:tcW w:w="1500" w:type="pct"/>
            <w:tcMar>
              <w:top w:w="284" w:type="dxa"/>
            </w:tcMar>
          </w:tcPr>
          <w:p w:rsidR="006742D3" w:rsidRDefault="006742D3" w:rsidP="008E32ED">
            <w:pPr>
              <w:rPr>
                <w:rFonts w:eastAsia="Calibri"/>
                <w:szCs w:val="24"/>
                <w:lang w:eastAsia="en-US"/>
              </w:rPr>
            </w:pPr>
          </w:p>
        </w:tc>
      </w:tr>
    </w:tbl>
    <w:p w:rsidR="006742D3" w:rsidRDefault="006742D3" w:rsidP="00D850DF">
      <w:pPr>
        <w:spacing w:after="720"/>
        <w:jc w:val="both"/>
        <w:rPr>
          <w:smallCaps/>
          <w:lang w:val="en-US"/>
        </w:rPr>
        <w:sectPr w:rsidR="006742D3" w:rsidSect="000648CC">
          <w:pgSz w:w="12240" w:h="15840"/>
          <w:pgMar w:top="1267" w:right="2160" w:bottom="720" w:left="1800" w:header="1802" w:footer="720" w:gutter="0"/>
          <w:cols w:space="720"/>
          <w:docGrid w:linePitch="326"/>
        </w:sectPr>
      </w:pPr>
    </w:p>
    <w:p w:rsidR="00D850DF" w:rsidRPr="003B2AC5" w:rsidRDefault="00D850DF" w:rsidP="00D850DF">
      <w:pPr>
        <w:spacing w:after="720"/>
        <w:jc w:val="both"/>
        <w:rPr>
          <w:lang w:val="en-US"/>
        </w:rPr>
      </w:pPr>
      <w:bookmarkStart w:id="0" w:name="_GoBack"/>
      <w:bookmarkEnd w:id="0"/>
      <w:r w:rsidRPr="000973B5">
        <w:rPr>
          <w:smallCaps/>
          <w:lang w:val="en-US"/>
        </w:rPr>
        <w:lastRenderedPageBreak/>
        <w:t xml:space="preserve">r. </w:t>
      </w:r>
      <w:r w:rsidRPr="000973B5">
        <w:rPr>
          <w:i/>
          <w:lang w:val="en-US"/>
        </w:rPr>
        <w:t>v.</w:t>
      </w:r>
      <w:r w:rsidRPr="000973B5">
        <w:rPr>
          <w:smallCaps/>
          <w:lang w:val="en-US"/>
        </w:rPr>
        <w:t xml:space="preserve"> deslauriers</w:t>
      </w:r>
    </w:p>
    <w:p w:rsidR="00D850DF" w:rsidRPr="003B2AC5" w:rsidRDefault="00D850DF" w:rsidP="00D850DF">
      <w:pPr>
        <w:pStyle w:val="SCCLsocLastPartyInRole"/>
        <w:rPr>
          <w:lang w:val="en-US"/>
        </w:rPr>
      </w:pPr>
      <w:r w:rsidRPr="000973B5">
        <w:rPr>
          <w:bCs/>
        </w:rPr>
        <w:t>Her Majesty The Queen</w:t>
      </w:r>
      <w:r w:rsidRPr="003B2AC5">
        <w:rPr>
          <w:rStyle w:val="SCCLsocPartyRole"/>
          <w:lang w:val="en-US"/>
        </w:rPr>
        <w:tab/>
        <w:t>Appellant</w:t>
      </w:r>
    </w:p>
    <w:p w:rsidR="00D850DF" w:rsidRDefault="00D850DF" w:rsidP="00D850DF">
      <w:pPr>
        <w:pStyle w:val="SCCLsocVersus"/>
      </w:pPr>
      <w:r>
        <w:t>v.</w:t>
      </w:r>
    </w:p>
    <w:p w:rsidR="00D850DF" w:rsidRPr="00775F17" w:rsidRDefault="00D850DF" w:rsidP="00D850DF">
      <w:pPr>
        <w:pStyle w:val="SCCLsocLastPartyInRole"/>
      </w:pPr>
      <w:r w:rsidRPr="000973B5">
        <w:rPr>
          <w:bCs/>
        </w:rPr>
        <w:t>Éric Deslauriers</w:t>
      </w:r>
      <w:r>
        <w:rPr>
          <w:rStyle w:val="SCCLsocPartyRole"/>
        </w:rPr>
        <w:tab/>
        <w:t>Respondent</w:t>
      </w:r>
    </w:p>
    <w:p w:rsidR="00D850DF" w:rsidRPr="00426659" w:rsidRDefault="00D850DF" w:rsidP="00D850DF">
      <w:pPr>
        <w:spacing w:after="720"/>
        <w:jc w:val="both"/>
        <w:rPr>
          <w:b/>
        </w:rPr>
      </w:pPr>
      <w:r w:rsidRPr="00426659">
        <w:rPr>
          <w:b/>
        </w:rPr>
        <w:t>Indexed as:</w:t>
      </w:r>
      <w:r>
        <w:rPr>
          <w:b/>
        </w:rPr>
        <w:t xml:space="preserve"> </w:t>
      </w:r>
      <w:r w:rsidRPr="000973B5">
        <w:rPr>
          <w:b/>
          <w:lang w:val="en-US"/>
        </w:rPr>
        <w:t xml:space="preserve">R. </w:t>
      </w:r>
      <w:r w:rsidRPr="000973B5">
        <w:rPr>
          <w:b/>
          <w:i/>
          <w:lang w:val="en-US"/>
        </w:rPr>
        <w:t>v.</w:t>
      </w:r>
      <w:r w:rsidRPr="000973B5">
        <w:rPr>
          <w:b/>
          <w:lang w:val="en-US"/>
        </w:rPr>
        <w:t xml:space="preserve"> Deslauriers</w:t>
      </w:r>
    </w:p>
    <w:p w:rsidR="00D850DF" w:rsidRPr="00C02092" w:rsidRDefault="00D850DF" w:rsidP="00D850DF">
      <w:pPr>
        <w:pStyle w:val="SCCSystemYear"/>
        <w:spacing w:after="720"/>
        <w:jc w:val="both"/>
      </w:pPr>
      <w:r>
        <w:t>2021 SCC 3</w:t>
      </w:r>
    </w:p>
    <w:p w:rsidR="00D850DF" w:rsidRDefault="00D850DF" w:rsidP="00D850DF">
      <w:pPr>
        <w:spacing w:after="720"/>
        <w:jc w:val="both"/>
      </w:pPr>
      <w:r>
        <w:t xml:space="preserve">File No.: </w:t>
      </w:r>
      <w:r>
        <w:rPr>
          <w:color w:val="000000"/>
        </w:rPr>
        <w:t>39131</w:t>
      </w:r>
      <w:r w:rsidRPr="001426A9">
        <w:t>.</w:t>
      </w:r>
    </w:p>
    <w:p w:rsidR="00D850DF" w:rsidRDefault="00D850DF" w:rsidP="00D850DF">
      <w:pPr>
        <w:spacing w:after="720"/>
        <w:jc w:val="both"/>
      </w:pPr>
      <w:r>
        <w:rPr>
          <w:color w:val="000000"/>
        </w:rPr>
        <w:t>2021</w:t>
      </w:r>
      <w:r>
        <w:t xml:space="preserve">: </w:t>
      </w:r>
      <w:r>
        <w:rPr>
          <w:color w:val="000000"/>
        </w:rPr>
        <w:t>January 20</w:t>
      </w:r>
      <w:r w:rsidRPr="001426A9">
        <w:t>.</w:t>
      </w:r>
    </w:p>
    <w:p w:rsidR="00D850DF" w:rsidRDefault="00D850DF" w:rsidP="00D850DF">
      <w:pPr>
        <w:spacing w:after="720"/>
        <w:jc w:val="both"/>
      </w:pPr>
      <w:r w:rsidRPr="001426A9">
        <w:t xml:space="preserve">Present: </w:t>
      </w:r>
      <w:r>
        <w:rPr>
          <w:color w:val="000000"/>
        </w:rPr>
        <w:t>Wagner C.J. and Abella, Moldaver, Côté, Brown, Rowe and Kasirer JJ.</w:t>
      </w:r>
    </w:p>
    <w:p w:rsidR="00D850DF" w:rsidRPr="001C779F" w:rsidRDefault="00D850DF" w:rsidP="00D850DF">
      <w:pPr>
        <w:pStyle w:val="SCCLowerCourtNameLowercase"/>
        <w:spacing w:after="720" w:line="240" w:lineRule="auto"/>
      </w:pPr>
      <w:r>
        <w:t xml:space="preserve">on appeal from the court of appeal for </w:t>
      </w:r>
      <w:r>
        <w:rPr>
          <w:color w:val="000000"/>
        </w:rPr>
        <w:t>quebec</w:t>
      </w:r>
    </w:p>
    <w:p w:rsidR="00D850DF" w:rsidRPr="00400AFA" w:rsidRDefault="00D850DF" w:rsidP="00D850DF">
      <w:pPr>
        <w:pStyle w:val="SCCNormalDoubleSpacing"/>
        <w:spacing w:after="480"/>
        <w:rPr>
          <w:i/>
          <w:iCs/>
        </w:rPr>
      </w:pPr>
      <w:r w:rsidRPr="00400AFA">
        <w:tab/>
      </w:r>
      <w:r>
        <w:rPr>
          <w:i/>
        </w:rPr>
        <w:t>Criminal law</w:t>
      </w:r>
      <w:r w:rsidRPr="00400AFA">
        <w:rPr>
          <w:i/>
        </w:rPr>
        <w:t xml:space="preserve"> — </w:t>
      </w:r>
      <w:r>
        <w:rPr>
          <w:i/>
        </w:rPr>
        <w:t>Evidence</w:t>
      </w:r>
      <w:r w:rsidRPr="00400AFA">
        <w:rPr>
          <w:i/>
        </w:rPr>
        <w:t xml:space="preserve"> — </w:t>
      </w:r>
      <w:r w:rsidRPr="00400AFA">
        <w:rPr>
          <w:i/>
          <w:iCs/>
        </w:rPr>
        <w:t>Admissibilit</w:t>
      </w:r>
      <w:r>
        <w:rPr>
          <w:i/>
          <w:iCs/>
        </w:rPr>
        <w:t>y</w:t>
      </w:r>
      <w:r w:rsidRPr="00400AFA">
        <w:rPr>
          <w:i/>
          <w:iCs/>
        </w:rPr>
        <w:t xml:space="preserve"> — </w:t>
      </w:r>
      <w:r>
        <w:rPr>
          <w:i/>
          <w:iCs/>
        </w:rPr>
        <w:t>Assessment</w:t>
      </w:r>
      <w:r w:rsidRPr="00400AFA">
        <w:rPr>
          <w:i/>
        </w:rPr>
        <w:t xml:space="preserve"> — </w:t>
      </w:r>
      <w:r>
        <w:rPr>
          <w:i/>
        </w:rPr>
        <w:t>Expert evidence</w:t>
      </w:r>
      <w:r w:rsidRPr="00400AFA">
        <w:rPr>
          <w:i/>
        </w:rPr>
        <w:t xml:space="preserve"> — </w:t>
      </w:r>
      <w:r>
        <w:rPr>
          <w:i/>
        </w:rPr>
        <w:t>Young person dying as result of police officer’s use of firearm</w:t>
      </w:r>
      <w:r w:rsidRPr="00400AFA">
        <w:rPr>
          <w:i/>
        </w:rPr>
        <w:t xml:space="preserve"> — Polic</w:t>
      </w:r>
      <w:r>
        <w:rPr>
          <w:i/>
        </w:rPr>
        <w:t>e officer charged with manslaughter and criminal negligence causing death and convicted on first count</w:t>
      </w:r>
      <w:r w:rsidRPr="00400AFA">
        <w:rPr>
          <w:i/>
        </w:rPr>
        <w:t xml:space="preserve"> — </w:t>
      </w:r>
      <w:r>
        <w:rPr>
          <w:i/>
        </w:rPr>
        <w:t>Majority of Court of Appeal holding that trial judge erred in dismissing accused’s motion for disclosure of evidence in possession of third parties</w:t>
      </w:r>
      <w:r w:rsidRPr="00400AFA">
        <w:rPr>
          <w:i/>
          <w:iCs/>
        </w:rPr>
        <w:t>,</w:t>
      </w:r>
      <w:r>
        <w:rPr>
          <w:i/>
          <w:iCs/>
        </w:rPr>
        <w:t xml:space="preserve"> in accepting version of facts that was inconsistent with evidence on certain points</w:t>
      </w:r>
      <w:r w:rsidRPr="00400AFA">
        <w:rPr>
          <w:i/>
          <w:iCs/>
        </w:rPr>
        <w:t xml:space="preserve">, </w:t>
      </w:r>
      <w:r>
        <w:rPr>
          <w:i/>
          <w:iCs/>
        </w:rPr>
        <w:t>and in rejecting expert’s testimony as regards conformity of accused’s conduct</w:t>
      </w:r>
      <w:r w:rsidRPr="00400AFA">
        <w:rPr>
          <w:i/>
          <w:iCs/>
        </w:rPr>
        <w:t xml:space="preserve"> </w:t>
      </w:r>
      <w:r>
        <w:rPr>
          <w:i/>
          <w:iCs/>
        </w:rPr>
        <w:t xml:space="preserve">with </w:t>
      </w:r>
      <w:r>
        <w:rPr>
          <w:i/>
          <w:iCs/>
        </w:rPr>
        <w:lastRenderedPageBreak/>
        <w:t>training given to police officers</w:t>
      </w:r>
      <w:r w:rsidRPr="00400AFA">
        <w:rPr>
          <w:i/>
          <w:iCs/>
        </w:rPr>
        <w:t xml:space="preserve"> — </w:t>
      </w:r>
      <w:r>
        <w:rPr>
          <w:i/>
          <w:iCs/>
        </w:rPr>
        <w:t>Court of Appeal setting aside conviction and ordering new trial on both counts</w:t>
      </w:r>
      <w:r w:rsidRPr="00400AFA">
        <w:rPr>
          <w:i/>
          <w:iCs/>
          <w:color w:val="000000"/>
        </w:rPr>
        <w:t xml:space="preserve"> </w:t>
      </w:r>
      <w:r w:rsidRPr="00400AFA">
        <w:rPr>
          <w:i/>
          <w:iCs/>
        </w:rPr>
        <w:t xml:space="preserve">— </w:t>
      </w:r>
      <w:r>
        <w:rPr>
          <w:i/>
          <w:iCs/>
        </w:rPr>
        <w:t>New trial warranted</w:t>
      </w:r>
      <w:r w:rsidRPr="00400AFA">
        <w:rPr>
          <w:i/>
          <w:iCs/>
        </w:rPr>
        <w:t>.</w:t>
      </w:r>
    </w:p>
    <w:p w:rsidR="00D850DF" w:rsidRDefault="00D850DF" w:rsidP="00D850DF">
      <w:pPr>
        <w:pStyle w:val="SCCNormalDoubleSpacing"/>
        <w:widowControl w:val="0"/>
        <w:spacing w:after="720" w:line="240" w:lineRule="auto"/>
        <w:rPr>
          <w:b/>
        </w:rPr>
      </w:pPr>
      <w:r w:rsidRPr="00314E01">
        <w:rPr>
          <w:b/>
        </w:rPr>
        <w:t>Cases Cited</w:t>
      </w:r>
    </w:p>
    <w:p w:rsidR="00D850DF" w:rsidRPr="007E1C47" w:rsidRDefault="00D850DF" w:rsidP="00D850DF">
      <w:pPr>
        <w:pStyle w:val="SCCNormalDoubleSpacing"/>
        <w:widowControl w:val="0"/>
        <w:spacing w:after="480"/>
      </w:pPr>
      <w:r>
        <w:tab/>
      </w:r>
      <w:r w:rsidRPr="00314E01">
        <w:rPr>
          <w:b/>
        </w:rPr>
        <w:t>Referred to:</w:t>
      </w:r>
      <w:r w:rsidRPr="00BD0E9E">
        <w:t xml:space="preserve"> </w:t>
      </w:r>
      <w:r>
        <w:rPr>
          <w:i/>
          <w:iCs/>
          <w:color w:val="000000"/>
        </w:rPr>
        <w:t>R. v. O’Connor</w:t>
      </w:r>
      <w:r>
        <w:rPr>
          <w:color w:val="000000"/>
        </w:rPr>
        <w:t xml:space="preserve">, [1995] 4 S.C.R. 411; </w:t>
      </w:r>
      <w:r>
        <w:rPr>
          <w:i/>
          <w:iCs/>
          <w:color w:val="000000"/>
        </w:rPr>
        <w:t>R. v. McNeil</w:t>
      </w:r>
      <w:r>
        <w:rPr>
          <w:color w:val="000000"/>
        </w:rPr>
        <w:t xml:space="preserve">, 2009 SCC 3, [2009] 1 S.C.R. 66; </w:t>
      </w:r>
      <w:r>
        <w:rPr>
          <w:i/>
          <w:iCs/>
          <w:color w:val="000000"/>
        </w:rPr>
        <w:t>R. v. Sekhon</w:t>
      </w:r>
      <w:r>
        <w:rPr>
          <w:color w:val="000000"/>
        </w:rPr>
        <w:t>, 2014 SCC 15, [2014] 1 S.C.R. 272.</w:t>
      </w:r>
    </w:p>
    <w:p w:rsidR="00D850DF" w:rsidRPr="004735FC" w:rsidRDefault="00D850DF" w:rsidP="00D850DF">
      <w:pPr>
        <w:pStyle w:val="SCCNormalDoubleSpacing"/>
        <w:spacing w:after="480"/>
      </w:pPr>
      <w:r w:rsidRPr="001426A9">
        <w:tab/>
      </w:r>
      <w:r w:rsidRPr="00765C0A">
        <w:t xml:space="preserve">APPEAL from a judgment of the Quebec Court of Appeal (Duval </w:t>
      </w:r>
      <w:r>
        <w:t xml:space="preserve">Hesler </w:t>
      </w:r>
      <w:r w:rsidRPr="00CB0648">
        <w:t>C.</w:t>
      </w:r>
      <w:r>
        <w:t xml:space="preserve">J. and Chamberland and Schrager </w:t>
      </w:r>
      <w:r w:rsidRPr="00CB0648">
        <w:t xml:space="preserve">JJ.A.), </w:t>
      </w:r>
      <w:r w:rsidRPr="00CB0648">
        <w:rPr>
          <w:color w:val="000000"/>
        </w:rPr>
        <w:t xml:space="preserve">2020 QCCA 484, 453 D.L.R. (4th) 234, 63 C.R. (7th) 179, [2020] Q.J. No. 2073 (QL), 2020 CarswellQue 12673 (WL Can.), </w:t>
      </w:r>
      <w:r w:rsidRPr="00D97AA4">
        <w:t xml:space="preserve">setting aside </w:t>
      </w:r>
      <w:r w:rsidRPr="00D97AA4">
        <w:rPr>
          <w:color w:val="000000"/>
        </w:rPr>
        <w:t>the</w:t>
      </w:r>
      <w:r w:rsidRPr="003F4BBD">
        <w:t xml:space="preserve"> </w:t>
      </w:r>
      <w:r w:rsidRPr="003F4BBD">
        <w:rPr>
          <w:color w:val="000000"/>
        </w:rPr>
        <w:t>conviction for manslaughter</w:t>
      </w:r>
      <w:r w:rsidRPr="00D97AA4">
        <w:rPr>
          <w:color w:val="000000"/>
        </w:rPr>
        <w:t xml:space="preserve"> entered by </w:t>
      </w:r>
      <w:r>
        <w:t xml:space="preserve">Roy </w:t>
      </w:r>
      <w:r w:rsidRPr="00D97AA4">
        <w:t>J.</w:t>
      </w:r>
      <w:r w:rsidRPr="00345FFE">
        <w:t xml:space="preserve">, 2017 QCCQ 11018, </w:t>
      </w:r>
      <w:r w:rsidRPr="00345FFE">
        <w:rPr>
          <w:bCs/>
        </w:rPr>
        <w:t>[2017] J.Q. n</w:t>
      </w:r>
      <w:r w:rsidRPr="00345FFE">
        <w:rPr>
          <w:bCs/>
          <w:vertAlign w:val="superscript"/>
        </w:rPr>
        <w:t>o</w:t>
      </w:r>
      <w:r w:rsidRPr="00345FFE">
        <w:rPr>
          <w:bCs/>
        </w:rPr>
        <w:t xml:space="preserve"> 13259 (QL), 2017 CarswellQue 8663 (WL Can.), </w:t>
      </w:r>
      <w:r w:rsidRPr="000150DD">
        <w:t>and ordering a new trial</w:t>
      </w:r>
      <w:r w:rsidRPr="00345FFE">
        <w:rPr>
          <w:bCs/>
        </w:rPr>
        <w:t xml:space="preserve">. </w:t>
      </w:r>
      <w:r w:rsidRPr="00F44965">
        <w:rPr>
          <w:bCs/>
        </w:rPr>
        <w:t xml:space="preserve">Appeal dismissed, </w:t>
      </w:r>
      <w:r>
        <w:rPr>
          <w:color w:val="000000"/>
        </w:rPr>
        <w:t xml:space="preserve">Abella and Brown </w:t>
      </w:r>
      <w:r w:rsidRPr="00F44965">
        <w:rPr>
          <w:color w:val="000000"/>
        </w:rPr>
        <w:t>JJ. dissenting</w:t>
      </w:r>
      <w:r w:rsidRPr="00F44965">
        <w:rPr>
          <w:bCs/>
        </w:rPr>
        <w:t>.</w:t>
      </w:r>
    </w:p>
    <w:p w:rsidR="00D850DF" w:rsidRPr="006F5AA9" w:rsidRDefault="00D850DF" w:rsidP="00D850DF">
      <w:pPr>
        <w:pStyle w:val="SCCNormalDoubleSpacing"/>
        <w:spacing w:after="480"/>
        <w:rPr>
          <w:highlight w:val="yellow"/>
          <w:lang w:val="en-US"/>
        </w:rPr>
      </w:pPr>
      <w:r>
        <w:rPr>
          <w:iCs/>
          <w:lang w:val="en-US"/>
        </w:rPr>
        <w:tab/>
      </w:r>
      <w:r w:rsidRPr="00E34D5E">
        <w:rPr>
          <w:i/>
          <w:iCs/>
          <w:lang w:val="en-US"/>
        </w:rPr>
        <w:t>Julie Laborde</w:t>
      </w:r>
      <w:r w:rsidRPr="00441C64">
        <w:rPr>
          <w:iCs/>
          <w:lang w:val="en-US"/>
        </w:rPr>
        <w:t xml:space="preserve"> and</w:t>
      </w:r>
      <w:r>
        <w:rPr>
          <w:iCs/>
          <w:lang w:val="en-US"/>
        </w:rPr>
        <w:t xml:space="preserve"> </w:t>
      </w:r>
      <w:r w:rsidRPr="00E34D5E">
        <w:rPr>
          <w:i/>
          <w:iCs/>
          <w:lang w:val="en-US"/>
        </w:rPr>
        <w:t>Marie</w:t>
      </w:r>
      <w:r w:rsidRPr="00E34D5E">
        <w:rPr>
          <w:i/>
          <w:iCs/>
          <w:lang w:val="en-US"/>
        </w:rPr>
        <w:noBreakHyphen/>
        <w:t>Claude Bourassa</w:t>
      </w:r>
      <w:r w:rsidRPr="00441C64">
        <w:rPr>
          <w:lang w:val="en-US"/>
        </w:rPr>
        <w:t>, for the appellant.</w:t>
      </w:r>
    </w:p>
    <w:p w:rsidR="00D850DF" w:rsidRPr="006F5AA9" w:rsidRDefault="00D850DF" w:rsidP="00D850DF">
      <w:pPr>
        <w:pStyle w:val="SCCNormalDoubleSpacing"/>
        <w:spacing w:after="480"/>
        <w:rPr>
          <w:highlight w:val="yellow"/>
          <w:lang w:val="en-US"/>
        </w:rPr>
      </w:pPr>
      <w:r w:rsidRPr="00441C64">
        <w:rPr>
          <w:iCs/>
          <w:lang w:val="en-US"/>
        </w:rPr>
        <w:tab/>
      </w:r>
      <w:r w:rsidRPr="00E34D5E">
        <w:rPr>
          <w:i/>
          <w:iCs/>
          <w:lang w:val="en-US"/>
        </w:rPr>
        <w:t>Tristan Desjardins</w:t>
      </w:r>
      <w:r w:rsidRPr="00441C64">
        <w:rPr>
          <w:iCs/>
          <w:lang w:val="en-US"/>
        </w:rPr>
        <w:t xml:space="preserve"> and </w:t>
      </w:r>
      <w:r w:rsidRPr="00E34D5E">
        <w:rPr>
          <w:i/>
          <w:iCs/>
          <w:lang w:val="en-US"/>
        </w:rPr>
        <w:t>Nadine Touma</w:t>
      </w:r>
      <w:r w:rsidRPr="00441C64">
        <w:rPr>
          <w:lang w:val="en-US"/>
        </w:rPr>
        <w:t>, for the respondent.</w:t>
      </w:r>
    </w:p>
    <w:p w:rsidR="00D850DF" w:rsidRPr="00906F2E" w:rsidRDefault="00D850DF" w:rsidP="00D850DF">
      <w:pPr>
        <w:pStyle w:val="SCCNormalDoubleSpacing"/>
        <w:spacing w:after="480"/>
        <w:rPr>
          <w:lang w:val="en-US"/>
        </w:rPr>
      </w:pPr>
      <w:r w:rsidRPr="0091269B">
        <w:rPr>
          <w:lang w:val="en-US"/>
        </w:rPr>
        <w:tab/>
      </w:r>
      <w:r w:rsidRPr="0091269B">
        <w:t>English version of the judgment of the Court delivered orally by</w:t>
      </w:r>
    </w:p>
    <w:p w:rsidR="00D850DF" w:rsidRDefault="00D850DF" w:rsidP="00D850DF">
      <w:pPr>
        <w:pStyle w:val="SCCNormalDoubleSpacing"/>
        <w:spacing w:after="480"/>
      </w:pPr>
      <w:r>
        <w:rPr>
          <w:smallCaps/>
        </w:rPr>
        <w:t>[1]</w:t>
      </w:r>
      <w:r>
        <w:rPr>
          <w:smallCaps/>
        </w:rPr>
        <w:tab/>
      </w:r>
      <w:r w:rsidRPr="00F73CBB">
        <w:rPr>
          <w:smallCaps/>
        </w:rPr>
        <w:t>The Chief Justice</w:t>
      </w:r>
      <w:r w:rsidRPr="00F73CBB">
        <w:t xml:space="preserve"> — </w:t>
      </w:r>
      <w:r>
        <w:rPr>
          <w:color w:val="000000"/>
        </w:rPr>
        <w:t>The Crown appeals as of right on questions of law further to the majority judgment of the Quebec Court of Appeal setting aside the guilty verdict entered by Judge Joëlle Roy of the Court of Québec and ordering a new trial. A majority of this Court would dismiss the appeal for the reasons given by Chamberland J.A.</w:t>
      </w:r>
    </w:p>
    <w:p w:rsidR="00D850DF" w:rsidRDefault="00D850DF" w:rsidP="00D850DF">
      <w:pPr>
        <w:pStyle w:val="SCCNormalDoubleSpacing"/>
        <w:spacing w:after="480"/>
        <w:rPr>
          <w:color w:val="000000"/>
        </w:rPr>
      </w:pPr>
      <w:r>
        <w:lastRenderedPageBreak/>
        <w:t>[2]</w:t>
      </w:r>
      <w:r>
        <w:tab/>
      </w:r>
      <w:r>
        <w:rPr>
          <w:color w:val="000000"/>
        </w:rPr>
        <w:t>Judge Roy erred in law in denying Mr. Deslauriers the right to obtain and, if need be, file documents relating to the existence of three criminal investigations and a report from the Centre jeunesse des Laurentides involving the victim. There was a likely and reasonable possibility that the information in question could assist Mr. Deslauriers in exercising his right to make full answer and defence.</w:t>
      </w:r>
    </w:p>
    <w:p w:rsidR="00D850DF" w:rsidRDefault="00D850DF" w:rsidP="00D850DF">
      <w:pPr>
        <w:pStyle w:val="SCCNormalDoubleSpacing"/>
        <w:spacing w:after="480"/>
      </w:pPr>
      <w:r>
        <w:t>[3]</w:t>
      </w:r>
      <w:r>
        <w:tab/>
      </w:r>
      <w:r>
        <w:rPr>
          <w:color w:val="000000"/>
        </w:rPr>
        <w:t>Moreover, Judge Roy erred in her interpretation and treatment of the evidence crucial to the accused, such as to cause a miscarriage of justice. Because of our reasons, however, it is not necessary to dispose of this question already decided by the Quebec Court of Appeal. Judge Roy also erred in her treatment of the testimony given by an expert, Mr. Poulin, concerning Mr. Deslauriers’s conduct as a police officer, which was central to his defences.</w:t>
      </w:r>
    </w:p>
    <w:p w:rsidR="00D850DF" w:rsidRDefault="00D850DF" w:rsidP="00D850DF">
      <w:pPr>
        <w:pStyle w:val="SCCNormalDoubleSpacing"/>
        <w:spacing w:after="480"/>
      </w:pPr>
      <w:r>
        <w:t>[4]</w:t>
      </w:r>
      <w:r>
        <w:tab/>
      </w:r>
      <w:r>
        <w:rPr>
          <w:color w:val="000000"/>
        </w:rPr>
        <w:t>Finally, although it is not necessary to deal with the recusation aspect of the judgment under appeal, and insofar as the Crown wishes to continue the proceedings leading to a second trial, it will have to proceed before another trial judge. For these reasons, the appeal is dismissed.</w:t>
      </w:r>
    </w:p>
    <w:p w:rsidR="00D850DF" w:rsidRPr="00F73CBB" w:rsidRDefault="00D850DF" w:rsidP="00D850DF">
      <w:pPr>
        <w:pStyle w:val="SCCNormalDoubleSpacing"/>
        <w:spacing w:after="480"/>
      </w:pPr>
      <w:r>
        <w:t>[5]</w:t>
      </w:r>
      <w:r>
        <w:tab/>
      </w:r>
      <w:r>
        <w:rPr>
          <w:color w:val="000000"/>
        </w:rPr>
        <w:t xml:space="preserve">Abella and Brown JJ. are of the view that the documents sought by the defence do not meet the threshold of “likely relevance” within the meaning of </w:t>
      </w:r>
      <w:r>
        <w:rPr>
          <w:i/>
          <w:iCs/>
          <w:color w:val="000000"/>
        </w:rPr>
        <w:t>R. v.</w:t>
      </w:r>
      <w:r>
        <w:rPr>
          <w:color w:val="000000"/>
        </w:rPr>
        <w:t xml:space="preserve"> </w:t>
      </w:r>
      <w:r>
        <w:rPr>
          <w:i/>
          <w:iCs/>
          <w:color w:val="000000"/>
        </w:rPr>
        <w:t>O’Connor</w:t>
      </w:r>
      <w:r>
        <w:rPr>
          <w:color w:val="000000"/>
        </w:rPr>
        <w:t xml:space="preserve">, [1995] 4 S.C.R. 411, and </w:t>
      </w:r>
      <w:r>
        <w:rPr>
          <w:i/>
          <w:iCs/>
          <w:color w:val="000000"/>
        </w:rPr>
        <w:t>R. v.</w:t>
      </w:r>
      <w:r>
        <w:rPr>
          <w:color w:val="000000"/>
        </w:rPr>
        <w:t xml:space="preserve"> </w:t>
      </w:r>
      <w:r>
        <w:rPr>
          <w:i/>
          <w:iCs/>
          <w:color w:val="000000"/>
        </w:rPr>
        <w:t>McNeil</w:t>
      </w:r>
      <w:r>
        <w:rPr>
          <w:color w:val="000000"/>
        </w:rPr>
        <w:t xml:space="preserve">, 2009 SCC 3, [2009] 1 S.C.R. 66. They are also of the view that the expert, Bruno Poulin, strayed beyond the proper scope of his expert evidence and that his testimony was neither relevant nor necessary within the meaning of </w:t>
      </w:r>
      <w:r>
        <w:rPr>
          <w:i/>
          <w:iCs/>
          <w:color w:val="000000"/>
        </w:rPr>
        <w:t>R. v.</w:t>
      </w:r>
      <w:r>
        <w:rPr>
          <w:color w:val="000000"/>
        </w:rPr>
        <w:t xml:space="preserve"> </w:t>
      </w:r>
      <w:r>
        <w:rPr>
          <w:i/>
          <w:iCs/>
          <w:color w:val="000000"/>
        </w:rPr>
        <w:t>Sekhon</w:t>
      </w:r>
      <w:r>
        <w:rPr>
          <w:color w:val="000000"/>
        </w:rPr>
        <w:t xml:space="preserve">, 2014 SCC 15, [2014] 1 S.C.R. 272. For these </w:t>
      </w:r>
      <w:r>
        <w:rPr>
          <w:color w:val="000000"/>
        </w:rPr>
        <w:lastRenderedPageBreak/>
        <w:t>reasons, they would have allowed the appeal, set aside the Court of Appeal’s judgment and restored the guilty verdict.</w:t>
      </w:r>
    </w:p>
    <w:p w:rsidR="00D850DF" w:rsidRPr="00B24B72" w:rsidRDefault="00D850DF" w:rsidP="00D850DF">
      <w:pPr>
        <w:pStyle w:val="SCCNormalDoubleSpacing"/>
        <w:spacing w:after="480"/>
        <w:rPr>
          <w:i/>
          <w:iCs/>
          <w:color w:val="000000"/>
        </w:rPr>
      </w:pPr>
      <w:r>
        <w:rPr>
          <w:i/>
          <w:iCs/>
          <w:color w:val="000000"/>
        </w:rPr>
        <w:tab/>
      </w:r>
      <w:r w:rsidRPr="00B24B72">
        <w:rPr>
          <w:i/>
          <w:iCs/>
          <w:color w:val="000000"/>
        </w:rPr>
        <w:t>Judgment accordingly.</w:t>
      </w:r>
    </w:p>
    <w:p w:rsidR="00D850DF" w:rsidRPr="00E34D5E" w:rsidRDefault="00D850DF" w:rsidP="00D850DF">
      <w:pPr>
        <w:pStyle w:val="SCCNormalDoubleSpacing"/>
        <w:spacing w:after="480"/>
        <w:rPr>
          <w:i/>
          <w:lang w:val="en-US"/>
        </w:rPr>
      </w:pPr>
      <w:r w:rsidRPr="00B2112E">
        <w:tab/>
      </w:r>
      <w:r w:rsidRPr="00E34D5E">
        <w:rPr>
          <w:i/>
          <w:lang w:val="en-US"/>
        </w:rPr>
        <w:t>Solicitor for the appellant:</w:t>
      </w:r>
      <w:r w:rsidRPr="00E34D5E">
        <w:rPr>
          <w:bCs/>
          <w:i/>
          <w:szCs w:val="24"/>
          <w:lang w:val="en-US" w:eastAsia="en-US"/>
        </w:rPr>
        <w:t xml:space="preserve"> </w:t>
      </w:r>
      <w:r w:rsidRPr="00E34D5E">
        <w:rPr>
          <w:bCs/>
          <w:i/>
          <w:lang w:val="en-US"/>
        </w:rPr>
        <w:t>Director of Criminal and Penal Prosecutions</w:t>
      </w:r>
      <w:r w:rsidRPr="00E34D5E">
        <w:rPr>
          <w:i/>
          <w:lang w:val="en-US"/>
        </w:rPr>
        <w:t>, Longueuil.</w:t>
      </w:r>
    </w:p>
    <w:p w:rsidR="00D850DF" w:rsidRPr="00E34D5E" w:rsidRDefault="00D850DF" w:rsidP="00D850DF">
      <w:pPr>
        <w:pStyle w:val="SCCNormalDoubleSpacing"/>
        <w:spacing w:after="480"/>
        <w:rPr>
          <w:i/>
          <w:lang w:val="fr-CA"/>
        </w:rPr>
      </w:pPr>
      <w:r w:rsidRPr="00FF2346">
        <w:rPr>
          <w:lang w:val="en-US"/>
        </w:rPr>
        <w:tab/>
      </w:r>
      <w:r w:rsidRPr="00E34D5E">
        <w:rPr>
          <w:i/>
          <w:lang w:val="fr-CA"/>
        </w:rPr>
        <w:t>Solicitors for the respondent: Desjardins Côté, Montréal; Poupart, Touma, Montréal.</w:t>
      </w:r>
    </w:p>
    <w:p w:rsidR="00242F1F" w:rsidRPr="00D850DF" w:rsidRDefault="00242F1F" w:rsidP="00D850DF">
      <w:pPr>
        <w:tabs>
          <w:tab w:val="left" w:pos="576"/>
          <w:tab w:val="right" w:pos="9360"/>
        </w:tabs>
        <w:rPr>
          <w:lang w:val="fr-CA"/>
        </w:rPr>
      </w:pPr>
    </w:p>
    <w:sectPr w:rsidR="00242F1F" w:rsidRPr="00D850DF"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3B" w:rsidRDefault="007B633B">
      <w:r>
        <w:separator/>
      </w:r>
    </w:p>
  </w:endnote>
  <w:endnote w:type="continuationSeparator" w:id="0">
    <w:p w:rsidR="007B633B" w:rsidRDefault="007B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3B" w:rsidRDefault="007B633B">
      <w:r>
        <w:separator/>
      </w:r>
    </w:p>
  </w:footnote>
  <w:footnote w:type="continuationSeparator" w:id="0">
    <w:p w:rsidR="007B633B" w:rsidRDefault="007B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5763"/>
    <w:rsid w:val="00026467"/>
    <w:rsid w:val="00026D0A"/>
    <w:rsid w:val="00040D1B"/>
    <w:rsid w:val="00040F00"/>
    <w:rsid w:val="00041BDD"/>
    <w:rsid w:val="000578A3"/>
    <w:rsid w:val="000648CC"/>
    <w:rsid w:val="00076E46"/>
    <w:rsid w:val="00094FED"/>
    <w:rsid w:val="000B5CFA"/>
    <w:rsid w:val="000B69B5"/>
    <w:rsid w:val="000C3FCE"/>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2F1F"/>
    <w:rsid w:val="00243EC8"/>
    <w:rsid w:val="00264B77"/>
    <w:rsid w:val="00270D93"/>
    <w:rsid w:val="002745CC"/>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25D03"/>
    <w:rsid w:val="003310DE"/>
    <w:rsid w:val="003323B0"/>
    <w:rsid w:val="00337C82"/>
    <w:rsid w:val="00342089"/>
    <w:rsid w:val="00347BA4"/>
    <w:rsid w:val="0035169A"/>
    <w:rsid w:val="0035259D"/>
    <w:rsid w:val="00353B79"/>
    <w:rsid w:val="00355C66"/>
    <w:rsid w:val="003624B0"/>
    <w:rsid w:val="00362ADA"/>
    <w:rsid w:val="00364B18"/>
    <w:rsid w:val="0038798F"/>
    <w:rsid w:val="00396BF3"/>
    <w:rsid w:val="003A125D"/>
    <w:rsid w:val="003A4C70"/>
    <w:rsid w:val="003B215F"/>
    <w:rsid w:val="003C2CFF"/>
    <w:rsid w:val="003C799C"/>
    <w:rsid w:val="003D0399"/>
    <w:rsid w:val="003E1C71"/>
    <w:rsid w:val="003E2693"/>
    <w:rsid w:val="003E53AC"/>
    <w:rsid w:val="003F327B"/>
    <w:rsid w:val="003F7ACB"/>
    <w:rsid w:val="00400B24"/>
    <w:rsid w:val="004038BC"/>
    <w:rsid w:val="00404D28"/>
    <w:rsid w:val="0040508D"/>
    <w:rsid w:val="00406166"/>
    <w:rsid w:val="0040704B"/>
    <w:rsid w:val="00407839"/>
    <w:rsid w:val="00410003"/>
    <w:rsid w:val="00410A55"/>
    <w:rsid w:val="00411300"/>
    <w:rsid w:val="00415417"/>
    <w:rsid w:val="00415D5B"/>
    <w:rsid w:val="0041747D"/>
    <w:rsid w:val="00424FE1"/>
    <w:rsid w:val="00426659"/>
    <w:rsid w:val="00426D16"/>
    <w:rsid w:val="00450352"/>
    <w:rsid w:val="00451D0C"/>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83EDE"/>
    <w:rsid w:val="00586928"/>
    <w:rsid w:val="005A4F85"/>
    <w:rsid w:val="005A6079"/>
    <w:rsid w:val="005B2582"/>
    <w:rsid w:val="005C7840"/>
    <w:rsid w:val="005E4698"/>
    <w:rsid w:val="006003EE"/>
    <w:rsid w:val="00610539"/>
    <w:rsid w:val="00613969"/>
    <w:rsid w:val="0061523C"/>
    <w:rsid w:val="00617208"/>
    <w:rsid w:val="006230B6"/>
    <w:rsid w:val="00625C35"/>
    <w:rsid w:val="00626A7D"/>
    <w:rsid w:val="0062787A"/>
    <w:rsid w:val="00635521"/>
    <w:rsid w:val="006408ED"/>
    <w:rsid w:val="006468AB"/>
    <w:rsid w:val="00656313"/>
    <w:rsid w:val="006565F4"/>
    <w:rsid w:val="0066108F"/>
    <w:rsid w:val="006742D3"/>
    <w:rsid w:val="006763FD"/>
    <w:rsid w:val="00684EEA"/>
    <w:rsid w:val="006908E8"/>
    <w:rsid w:val="0069689B"/>
    <w:rsid w:val="006A1551"/>
    <w:rsid w:val="006A48DB"/>
    <w:rsid w:val="006B5FF5"/>
    <w:rsid w:val="006B7618"/>
    <w:rsid w:val="006B7683"/>
    <w:rsid w:val="006D4200"/>
    <w:rsid w:val="006F30AF"/>
    <w:rsid w:val="007009A0"/>
    <w:rsid w:val="00701759"/>
    <w:rsid w:val="00701CF2"/>
    <w:rsid w:val="00705C15"/>
    <w:rsid w:val="0070642B"/>
    <w:rsid w:val="00712E55"/>
    <w:rsid w:val="00713025"/>
    <w:rsid w:val="007154A1"/>
    <w:rsid w:val="00715A65"/>
    <w:rsid w:val="0071600E"/>
    <w:rsid w:val="00717FDC"/>
    <w:rsid w:val="007208D1"/>
    <w:rsid w:val="0072428C"/>
    <w:rsid w:val="00730177"/>
    <w:rsid w:val="00742119"/>
    <w:rsid w:val="00747288"/>
    <w:rsid w:val="00747DD3"/>
    <w:rsid w:val="007549C8"/>
    <w:rsid w:val="00754A0B"/>
    <w:rsid w:val="00766D14"/>
    <w:rsid w:val="00767A0F"/>
    <w:rsid w:val="007A05F6"/>
    <w:rsid w:val="007B633B"/>
    <w:rsid w:val="007B6F4A"/>
    <w:rsid w:val="007D097E"/>
    <w:rsid w:val="007E1C47"/>
    <w:rsid w:val="007E337A"/>
    <w:rsid w:val="007E5C70"/>
    <w:rsid w:val="007F2FF5"/>
    <w:rsid w:val="007F3F08"/>
    <w:rsid w:val="00804CC6"/>
    <w:rsid w:val="00813B48"/>
    <w:rsid w:val="0081470C"/>
    <w:rsid w:val="00817190"/>
    <w:rsid w:val="008201FB"/>
    <w:rsid w:val="00820EE5"/>
    <w:rsid w:val="008244E9"/>
    <w:rsid w:val="008260E2"/>
    <w:rsid w:val="008322BD"/>
    <w:rsid w:val="008323C4"/>
    <w:rsid w:val="00833E0A"/>
    <w:rsid w:val="00834F73"/>
    <w:rsid w:val="00847F55"/>
    <w:rsid w:val="00851F3D"/>
    <w:rsid w:val="008544FA"/>
    <w:rsid w:val="00864CF8"/>
    <w:rsid w:val="00872819"/>
    <w:rsid w:val="00874914"/>
    <w:rsid w:val="00891422"/>
    <w:rsid w:val="00892E1A"/>
    <w:rsid w:val="008A3F29"/>
    <w:rsid w:val="008B660A"/>
    <w:rsid w:val="008B70F9"/>
    <w:rsid w:val="008C01DA"/>
    <w:rsid w:val="008C02C9"/>
    <w:rsid w:val="008C7263"/>
    <w:rsid w:val="008D2104"/>
    <w:rsid w:val="008F78E9"/>
    <w:rsid w:val="00903C32"/>
    <w:rsid w:val="00911989"/>
    <w:rsid w:val="009179F9"/>
    <w:rsid w:val="0093031F"/>
    <w:rsid w:val="00931C1C"/>
    <w:rsid w:val="00933E5E"/>
    <w:rsid w:val="00935218"/>
    <w:rsid w:val="009403F3"/>
    <w:rsid w:val="009555B7"/>
    <w:rsid w:val="009567AA"/>
    <w:rsid w:val="0096473A"/>
    <w:rsid w:val="00967374"/>
    <w:rsid w:val="00976EB5"/>
    <w:rsid w:val="00981B4D"/>
    <w:rsid w:val="009A343A"/>
    <w:rsid w:val="009A4E51"/>
    <w:rsid w:val="009A520F"/>
    <w:rsid w:val="009B2F23"/>
    <w:rsid w:val="009B57B3"/>
    <w:rsid w:val="009B6FFE"/>
    <w:rsid w:val="009C5B92"/>
    <w:rsid w:val="009D2920"/>
    <w:rsid w:val="009D5AEB"/>
    <w:rsid w:val="009F0E33"/>
    <w:rsid w:val="009F1E77"/>
    <w:rsid w:val="00A003F4"/>
    <w:rsid w:val="00A027C8"/>
    <w:rsid w:val="00A030CE"/>
    <w:rsid w:val="00A12217"/>
    <w:rsid w:val="00A149DF"/>
    <w:rsid w:val="00A1755C"/>
    <w:rsid w:val="00A21B90"/>
    <w:rsid w:val="00A244B9"/>
    <w:rsid w:val="00A41805"/>
    <w:rsid w:val="00A42DCD"/>
    <w:rsid w:val="00A44699"/>
    <w:rsid w:val="00A52AFB"/>
    <w:rsid w:val="00A548CB"/>
    <w:rsid w:val="00A5521C"/>
    <w:rsid w:val="00A557A1"/>
    <w:rsid w:val="00A55CEF"/>
    <w:rsid w:val="00A643E7"/>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43559"/>
    <w:rsid w:val="00B45C1E"/>
    <w:rsid w:val="00B50C81"/>
    <w:rsid w:val="00B557F8"/>
    <w:rsid w:val="00B56AAF"/>
    <w:rsid w:val="00B67199"/>
    <w:rsid w:val="00B815FC"/>
    <w:rsid w:val="00B93FBC"/>
    <w:rsid w:val="00B954EB"/>
    <w:rsid w:val="00BA066D"/>
    <w:rsid w:val="00BA7DA0"/>
    <w:rsid w:val="00BB2366"/>
    <w:rsid w:val="00BB2640"/>
    <w:rsid w:val="00BB2EE4"/>
    <w:rsid w:val="00BB5AE6"/>
    <w:rsid w:val="00BC2108"/>
    <w:rsid w:val="00BC5642"/>
    <w:rsid w:val="00BD0E9E"/>
    <w:rsid w:val="00BD1BEC"/>
    <w:rsid w:val="00BD32FF"/>
    <w:rsid w:val="00BD67ED"/>
    <w:rsid w:val="00C02092"/>
    <w:rsid w:val="00C02266"/>
    <w:rsid w:val="00C14AA0"/>
    <w:rsid w:val="00C22905"/>
    <w:rsid w:val="00C229CD"/>
    <w:rsid w:val="00C24D91"/>
    <w:rsid w:val="00C53F14"/>
    <w:rsid w:val="00C600CF"/>
    <w:rsid w:val="00C6084F"/>
    <w:rsid w:val="00C62A66"/>
    <w:rsid w:val="00C62FD6"/>
    <w:rsid w:val="00C71458"/>
    <w:rsid w:val="00C77613"/>
    <w:rsid w:val="00C828E7"/>
    <w:rsid w:val="00C86719"/>
    <w:rsid w:val="00C921DD"/>
    <w:rsid w:val="00CA6391"/>
    <w:rsid w:val="00CA7B39"/>
    <w:rsid w:val="00CC34BD"/>
    <w:rsid w:val="00CE08B9"/>
    <w:rsid w:val="00CE161A"/>
    <w:rsid w:val="00CE3171"/>
    <w:rsid w:val="00CE7262"/>
    <w:rsid w:val="00CF1601"/>
    <w:rsid w:val="00D0172F"/>
    <w:rsid w:val="00D068A7"/>
    <w:rsid w:val="00D173CE"/>
    <w:rsid w:val="00D17476"/>
    <w:rsid w:val="00D26B67"/>
    <w:rsid w:val="00D32086"/>
    <w:rsid w:val="00D360E6"/>
    <w:rsid w:val="00D37A3F"/>
    <w:rsid w:val="00D4431D"/>
    <w:rsid w:val="00D4667A"/>
    <w:rsid w:val="00D469D5"/>
    <w:rsid w:val="00D47BFC"/>
    <w:rsid w:val="00D614A5"/>
    <w:rsid w:val="00D614E0"/>
    <w:rsid w:val="00D63A1C"/>
    <w:rsid w:val="00D67CB1"/>
    <w:rsid w:val="00D7516F"/>
    <w:rsid w:val="00D83628"/>
    <w:rsid w:val="00D850DF"/>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2546"/>
    <w:rsid w:val="00E45109"/>
    <w:rsid w:val="00E47B7A"/>
    <w:rsid w:val="00E50A79"/>
    <w:rsid w:val="00E56A44"/>
    <w:rsid w:val="00E60269"/>
    <w:rsid w:val="00E653D0"/>
    <w:rsid w:val="00E65A2E"/>
    <w:rsid w:val="00E71951"/>
    <w:rsid w:val="00E77932"/>
    <w:rsid w:val="00E83FDA"/>
    <w:rsid w:val="00E92347"/>
    <w:rsid w:val="00E92FEF"/>
    <w:rsid w:val="00E97830"/>
    <w:rsid w:val="00EA1D3B"/>
    <w:rsid w:val="00EB0B7C"/>
    <w:rsid w:val="00ED60AA"/>
    <w:rsid w:val="00ED681A"/>
    <w:rsid w:val="00EE5737"/>
    <w:rsid w:val="00EE643C"/>
    <w:rsid w:val="00EF0683"/>
    <w:rsid w:val="00EF69D2"/>
    <w:rsid w:val="00EF766E"/>
    <w:rsid w:val="00F0070C"/>
    <w:rsid w:val="00F00EB7"/>
    <w:rsid w:val="00F36AB6"/>
    <w:rsid w:val="00F37A09"/>
    <w:rsid w:val="00F409CE"/>
    <w:rsid w:val="00F4379D"/>
    <w:rsid w:val="00F50635"/>
    <w:rsid w:val="00F50D2D"/>
    <w:rsid w:val="00F56C8B"/>
    <w:rsid w:val="00F66810"/>
    <w:rsid w:val="00F75F4E"/>
    <w:rsid w:val="00F846D9"/>
    <w:rsid w:val="00F84DF4"/>
    <w:rsid w:val="00F85C97"/>
    <w:rsid w:val="00F94A57"/>
    <w:rsid w:val="00FA51A0"/>
    <w:rsid w:val="00FB34ED"/>
    <w:rsid w:val="00FB37D2"/>
    <w:rsid w:val="00FB7D08"/>
    <w:rsid w:val="00FC3788"/>
    <w:rsid w:val="00FC4EFB"/>
    <w:rsid w:val="00FD068D"/>
    <w:rsid w:val="00FD4F28"/>
    <w:rsid w:val="00FE0416"/>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242F1F"/>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242F1F"/>
    <w:rPr>
      <w:rFonts w:eastAsiaTheme="minorHAnsi" w:cstheme="minorBidi"/>
      <w:b/>
      <w:szCs w:val="22"/>
      <w:lang w:val="fr-CA" w:eastAsia="en-US"/>
    </w:rPr>
  </w:style>
  <w:style w:type="character" w:customStyle="1" w:styleId="SCCLsocPrefixChar">
    <w:name w:val="SCC.Lsoc.Prefix Char"/>
    <w:basedOn w:val="DefaultParagraphFont"/>
    <w:link w:val="SCCLsocPrefix"/>
    <w:rsid w:val="00242F1F"/>
    <w:rPr>
      <w:rFonts w:eastAsiaTheme="minorHAnsi"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F89C-526A-4C87-95D4-FF40A649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2021-01-27T12:48:00Z</dcterms:created>
  <dcterms:modified xsi:type="dcterms:W3CDTF">2024-01-11T21:29:00Z</dcterms:modified>
</cp:coreProperties>
</file>