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1047"/>
        <w:gridCol w:w="3728"/>
        <w:gridCol w:w="15"/>
      </w:tblGrid>
      <w:tr w:rsidR="00012E89" w:rsidRPr="00190ED6" w14:paraId="34C72C81" w14:textId="77777777" w:rsidTr="00FE0CC2">
        <w:trPr>
          <w:trHeight w:val="1784"/>
        </w:trPr>
        <w:tc>
          <w:tcPr>
            <w:tcW w:w="5000" w:type="pct"/>
            <w:gridSpan w:val="4"/>
          </w:tcPr>
          <w:p w14:paraId="64F64818" w14:textId="77777777" w:rsidR="00012E89" w:rsidRPr="00190ED6" w:rsidRDefault="00012E89" w:rsidP="00FE0CC2">
            <w:pPr>
              <w:jc w:val="center"/>
            </w:pPr>
            <w:r w:rsidRPr="00190ED6">
              <w:rPr>
                <w:rFonts w:eastAsia="Calibri" w:cs="Times New Roman"/>
                <w:szCs w:val="20"/>
                <w:lang w:val="en-CA" w:eastAsia="en-CA"/>
              </w:rPr>
              <w:object w:dxaOrig="1365" w:dyaOrig="1440" w14:anchorId="1F965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65pt" o:ole="">
                  <v:imagedata r:id="rId7" o:title=""/>
                </v:shape>
                <o:OLEObject Type="Embed" ProgID="Presentations.Drawing.15" ShapeID="_x0000_i1025" DrawAspect="Content" ObjectID="_1766496230" r:id="rId8"/>
              </w:object>
            </w:r>
          </w:p>
          <w:p w14:paraId="5738B010" w14:textId="77777777" w:rsidR="00012E89" w:rsidRPr="00190ED6" w:rsidRDefault="00012E89" w:rsidP="00FE0CC2">
            <w:pPr>
              <w:spacing w:before="120" w:after="100" w:afterAutospacing="1"/>
              <w:jc w:val="center"/>
            </w:pPr>
            <w:r w:rsidRPr="00190ED6">
              <w:rPr>
                <w:b/>
              </w:rPr>
              <w:t>SUPREME COURT OF CANADA</w:t>
            </w:r>
          </w:p>
        </w:tc>
      </w:tr>
      <w:tr w:rsidR="00012E89" w:rsidRPr="00190ED6" w14:paraId="4E59D911" w14:textId="77777777" w:rsidTr="00FE0CC2">
        <w:trPr>
          <w:gridAfter w:val="1"/>
          <w:wAfter w:w="9" w:type="pct"/>
        </w:trPr>
        <w:tc>
          <w:tcPr>
            <w:tcW w:w="2108" w:type="pct"/>
            <w:tcMar>
              <w:top w:w="284" w:type="dxa"/>
            </w:tcMar>
          </w:tcPr>
          <w:p w14:paraId="580330C5" w14:textId="77777777" w:rsidR="00012E89" w:rsidRPr="00190ED6" w:rsidRDefault="00012E89" w:rsidP="00FE0CC2">
            <w:pPr>
              <w:spacing w:before="100" w:beforeAutospacing="1"/>
              <w:rPr>
                <w:lang w:val="fr-CA"/>
              </w:rPr>
            </w:pPr>
            <w:r w:rsidRPr="00190ED6">
              <w:rPr>
                <w:b/>
                <w:smallCaps/>
                <w:lang w:val="fr-CA"/>
              </w:rPr>
              <w:t>Citation:</w:t>
            </w:r>
            <w:r w:rsidRPr="00190ED6">
              <w:rPr>
                <w:lang w:val="fr-CA"/>
              </w:rPr>
              <w:t xml:space="preserve"> R. </w:t>
            </w:r>
            <w:r w:rsidRPr="00190ED6">
              <w:rPr>
                <w:i/>
                <w:lang w:val="fr-CA"/>
              </w:rPr>
              <w:t xml:space="preserve">v. </w:t>
            </w:r>
            <w:r w:rsidRPr="00190ED6">
              <w:rPr>
                <w:lang w:val="fr-CA"/>
              </w:rPr>
              <w:t>T.J.M., 202</w:t>
            </w:r>
            <w:r>
              <w:rPr>
                <w:lang w:val="fr-CA"/>
              </w:rPr>
              <w:t>1</w:t>
            </w:r>
            <w:r w:rsidRPr="00190ED6">
              <w:rPr>
                <w:lang w:val="fr-CA"/>
              </w:rPr>
              <w:t xml:space="preserve"> SCC 6</w:t>
            </w:r>
            <w:r>
              <w:rPr>
                <w:lang w:val="fr-CA"/>
              </w:rPr>
              <w:t>, [2021] 1 S.C.R. 17</w:t>
            </w:r>
          </w:p>
        </w:tc>
        <w:tc>
          <w:tcPr>
            <w:tcW w:w="632" w:type="pct"/>
          </w:tcPr>
          <w:p w14:paraId="0D72E297" w14:textId="77777777" w:rsidR="00012E89" w:rsidRPr="00190ED6" w:rsidRDefault="00012E89" w:rsidP="00FE0CC2">
            <w:pPr>
              <w:rPr>
                <w:b/>
                <w:smallCaps/>
                <w:lang w:val="fr-CA"/>
              </w:rPr>
            </w:pPr>
          </w:p>
        </w:tc>
        <w:tc>
          <w:tcPr>
            <w:tcW w:w="2251" w:type="pct"/>
            <w:tcMar>
              <w:top w:w="284" w:type="dxa"/>
            </w:tcMar>
          </w:tcPr>
          <w:p w14:paraId="0B6B7959" w14:textId="77777777" w:rsidR="00012E89" w:rsidRPr="00190ED6" w:rsidRDefault="00012E89" w:rsidP="00FE0CC2">
            <w:r w:rsidRPr="00190ED6">
              <w:rPr>
                <w:b/>
                <w:smallCaps/>
              </w:rPr>
              <w:t>Appeal Heard:</w:t>
            </w:r>
            <w:r w:rsidRPr="00190ED6">
              <w:t xml:space="preserve"> November 9, 2020</w:t>
            </w:r>
          </w:p>
          <w:p w14:paraId="351B118A" w14:textId="77777777" w:rsidR="00012E89" w:rsidRPr="00190ED6" w:rsidRDefault="00012E89" w:rsidP="00FE0CC2">
            <w:r w:rsidRPr="00190ED6">
              <w:rPr>
                <w:b/>
                <w:smallCaps/>
              </w:rPr>
              <w:t>Judgment Rendered:</w:t>
            </w:r>
            <w:r w:rsidRPr="00190ED6">
              <w:t xml:space="preserve"> January 29, 2021</w:t>
            </w:r>
          </w:p>
          <w:p w14:paraId="6A7CBC8A" w14:textId="77777777" w:rsidR="00012E89" w:rsidRPr="00190ED6" w:rsidRDefault="00012E89" w:rsidP="00FE0CC2">
            <w:r w:rsidRPr="00190ED6">
              <w:rPr>
                <w:b/>
                <w:smallCaps/>
              </w:rPr>
              <w:t>Docket:</w:t>
            </w:r>
            <w:r w:rsidRPr="00190ED6">
              <w:t xml:space="preserve"> 38944</w:t>
            </w:r>
          </w:p>
        </w:tc>
      </w:tr>
    </w:tbl>
    <w:p w14:paraId="67E94055" w14:textId="77777777" w:rsidR="00012E89" w:rsidRPr="00190ED6" w:rsidRDefault="00012E89" w:rsidP="00012E89">
      <w:pPr>
        <w:rPr>
          <w:rFonts w:eastAsiaTheme="minorHAnsi" w:cstheme="minorBidi"/>
          <w:szCs w:val="24"/>
          <w:lang w:eastAsia="en-US"/>
        </w:rPr>
      </w:pPr>
    </w:p>
    <w:p w14:paraId="7A55F0F1" w14:textId="77777777" w:rsidR="00012E89" w:rsidRPr="00190ED6" w:rsidRDefault="00012E89" w:rsidP="00012E89">
      <w:pPr>
        <w:rPr>
          <w:rFonts w:eastAsiaTheme="minorHAnsi" w:cstheme="minorBidi"/>
          <w:b/>
          <w:smallCaps/>
          <w:szCs w:val="24"/>
          <w:lang w:eastAsia="en-US"/>
        </w:rPr>
      </w:pPr>
      <w:r w:rsidRPr="00190ED6">
        <w:rPr>
          <w:rFonts w:eastAsiaTheme="minorHAnsi" w:cstheme="minorBidi"/>
          <w:b/>
          <w:smallCaps/>
          <w:szCs w:val="24"/>
          <w:lang w:eastAsia="en-US"/>
        </w:rPr>
        <w:t>Between:</w:t>
      </w:r>
    </w:p>
    <w:p w14:paraId="4E093540" w14:textId="77777777" w:rsidR="00012E89" w:rsidRPr="00190ED6" w:rsidRDefault="00012E89" w:rsidP="00012E89">
      <w:pPr>
        <w:jc w:val="center"/>
        <w:rPr>
          <w:rFonts w:eastAsiaTheme="minorHAnsi" w:cstheme="minorBidi"/>
          <w:b/>
          <w:szCs w:val="24"/>
          <w:lang w:eastAsia="en-US"/>
        </w:rPr>
      </w:pPr>
      <w:r w:rsidRPr="00190ED6">
        <w:rPr>
          <w:rFonts w:eastAsiaTheme="minorHAnsi" w:cstheme="minorBidi"/>
          <w:b/>
          <w:szCs w:val="24"/>
          <w:lang w:eastAsia="en-US"/>
        </w:rPr>
        <w:t>T.J.M.</w:t>
      </w:r>
    </w:p>
    <w:p w14:paraId="524CC113" w14:textId="77777777" w:rsidR="00012E89" w:rsidRPr="00190ED6" w:rsidRDefault="00012E89" w:rsidP="00012E89">
      <w:pPr>
        <w:jc w:val="center"/>
        <w:rPr>
          <w:rFonts w:eastAsiaTheme="minorHAnsi" w:cstheme="minorBidi"/>
          <w:szCs w:val="24"/>
          <w:lang w:eastAsia="en-US"/>
        </w:rPr>
      </w:pPr>
      <w:r w:rsidRPr="00190ED6">
        <w:rPr>
          <w:rFonts w:eastAsiaTheme="minorHAnsi" w:cstheme="minorBidi"/>
          <w:szCs w:val="24"/>
          <w:lang w:eastAsia="en-US"/>
        </w:rPr>
        <w:t>Appellant</w:t>
      </w:r>
    </w:p>
    <w:p w14:paraId="6597D429" w14:textId="77777777" w:rsidR="00012E89" w:rsidRPr="00190ED6" w:rsidRDefault="00012E89" w:rsidP="00012E89">
      <w:pPr>
        <w:rPr>
          <w:rFonts w:eastAsiaTheme="minorHAnsi" w:cstheme="minorBidi"/>
          <w:szCs w:val="24"/>
          <w:lang w:eastAsia="en-US"/>
        </w:rPr>
      </w:pPr>
    </w:p>
    <w:p w14:paraId="0CB31612" w14:textId="77777777" w:rsidR="00012E89" w:rsidRPr="00190ED6" w:rsidRDefault="00012E89" w:rsidP="00012E89">
      <w:pPr>
        <w:jc w:val="center"/>
        <w:rPr>
          <w:rFonts w:eastAsiaTheme="minorHAnsi" w:cstheme="minorBidi"/>
          <w:szCs w:val="24"/>
          <w:lang w:eastAsia="en-US"/>
        </w:rPr>
      </w:pPr>
      <w:r w:rsidRPr="00190ED6">
        <w:rPr>
          <w:rFonts w:eastAsiaTheme="minorHAnsi" w:cstheme="minorBidi"/>
          <w:szCs w:val="24"/>
          <w:lang w:eastAsia="en-US"/>
        </w:rPr>
        <w:t>and</w:t>
      </w:r>
    </w:p>
    <w:p w14:paraId="4D62569A" w14:textId="77777777" w:rsidR="00012E89" w:rsidRPr="00190ED6" w:rsidRDefault="00012E89" w:rsidP="00012E89">
      <w:pPr>
        <w:jc w:val="center"/>
        <w:rPr>
          <w:rFonts w:eastAsiaTheme="minorHAnsi" w:cstheme="minorBidi"/>
          <w:b/>
          <w:szCs w:val="24"/>
          <w:lang w:eastAsia="en-US"/>
        </w:rPr>
      </w:pPr>
    </w:p>
    <w:p w14:paraId="50A13646" w14:textId="77777777" w:rsidR="00012E89" w:rsidRPr="00190ED6" w:rsidRDefault="00012E89" w:rsidP="00012E89">
      <w:pPr>
        <w:jc w:val="center"/>
        <w:rPr>
          <w:rFonts w:eastAsiaTheme="minorHAnsi" w:cstheme="minorBidi"/>
          <w:b/>
          <w:szCs w:val="24"/>
          <w:lang w:eastAsia="en-US"/>
        </w:rPr>
      </w:pPr>
      <w:r w:rsidRPr="00190ED6">
        <w:rPr>
          <w:rFonts w:eastAsiaTheme="minorHAnsi" w:cstheme="minorBidi"/>
          <w:b/>
          <w:szCs w:val="24"/>
          <w:lang w:eastAsia="en-US"/>
        </w:rPr>
        <w:t>Her Majesty The Queen</w:t>
      </w:r>
    </w:p>
    <w:p w14:paraId="53ABFD96" w14:textId="77777777" w:rsidR="00012E89" w:rsidRPr="00190ED6" w:rsidRDefault="00012E89" w:rsidP="00012E89">
      <w:pPr>
        <w:jc w:val="center"/>
        <w:rPr>
          <w:rFonts w:eastAsiaTheme="minorHAnsi" w:cstheme="minorBidi"/>
          <w:szCs w:val="24"/>
          <w:lang w:eastAsia="en-US"/>
        </w:rPr>
      </w:pPr>
      <w:r w:rsidRPr="00190ED6">
        <w:rPr>
          <w:rFonts w:eastAsiaTheme="minorHAnsi" w:cstheme="minorBidi"/>
          <w:szCs w:val="24"/>
          <w:lang w:eastAsia="en-US"/>
        </w:rPr>
        <w:t>Respondent</w:t>
      </w:r>
    </w:p>
    <w:p w14:paraId="082C3B63" w14:textId="77777777" w:rsidR="00012E89" w:rsidRPr="00190ED6" w:rsidRDefault="00012E89" w:rsidP="00012E89">
      <w:pPr>
        <w:rPr>
          <w:rFonts w:eastAsiaTheme="minorHAnsi" w:cstheme="minorBidi"/>
          <w:szCs w:val="24"/>
          <w:lang w:eastAsia="en-US"/>
        </w:rPr>
      </w:pPr>
    </w:p>
    <w:p w14:paraId="23EEFAEA" w14:textId="77777777" w:rsidR="00012E89" w:rsidRPr="00190ED6" w:rsidRDefault="00012E89" w:rsidP="00012E89">
      <w:pPr>
        <w:rPr>
          <w:rFonts w:eastAsiaTheme="minorHAnsi" w:cstheme="minorBidi"/>
          <w:szCs w:val="24"/>
          <w:lang w:eastAsia="en-US"/>
        </w:rPr>
      </w:pPr>
    </w:p>
    <w:p w14:paraId="221CB475" w14:textId="77777777" w:rsidR="00012E89" w:rsidRPr="00190ED6" w:rsidRDefault="00012E89" w:rsidP="00012E89">
      <w:pPr>
        <w:rPr>
          <w:rFonts w:eastAsiaTheme="minorHAnsi" w:cstheme="minorBidi"/>
          <w:szCs w:val="24"/>
          <w:lang w:eastAsia="en-US"/>
        </w:rPr>
      </w:pPr>
    </w:p>
    <w:p w14:paraId="4243B0FD" w14:textId="77777777" w:rsidR="00012E89" w:rsidRPr="00190ED6" w:rsidRDefault="00012E89" w:rsidP="00012E89">
      <w:pPr>
        <w:rPr>
          <w:rFonts w:eastAsiaTheme="minorHAnsi" w:cstheme="minorBidi"/>
          <w:szCs w:val="24"/>
          <w:lang w:eastAsia="en-US"/>
        </w:rPr>
      </w:pPr>
      <w:r w:rsidRPr="00190ED6">
        <w:rPr>
          <w:rFonts w:eastAsiaTheme="minorHAnsi" w:cstheme="minorBidi"/>
          <w:b/>
          <w:smallCaps/>
          <w:szCs w:val="24"/>
          <w:lang w:eastAsia="en-US"/>
        </w:rPr>
        <w:t>Coram:</w:t>
      </w:r>
      <w:r w:rsidRPr="00190ED6">
        <w:rPr>
          <w:rFonts w:eastAsiaTheme="minorHAnsi" w:cstheme="minorBidi"/>
          <w:szCs w:val="24"/>
          <w:lang w:eastAsia="en-US"/>
        </w:rPr>
        <w:t xml:space="preserve"> Wagner C.J. and Abella, Moldaver, Karakatsanis, Côté, Brown, Rowe, Martin and Kasirer JJ.</w:t>
      </w:r>
    </w:p>
    <w:p w14:paraId="39E9B480" w14:textId="77777777" w:rsidR="00012E89" w:rsidRPr="00190ED6" w:rsidRDefault="00012E89" w:rsidP="00012E8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12E89" w:rsidRPr="00190ED6" w14:paraId="09BAB825" w14:textId="77777777" w:rsidTr="00FE0CC2">
        <w:trPr>
          <w:cantSplit/>
        </w:trPr>
        <w:tc>
          <w:tcPr>
            <w:tcW w:w="3618" w:type="dxa"/>
          </w:tcPr>
          <w:p w14:paraId="55BE5D21" w14:textId="77777777" w:rsidR="00012E89" w:rsidRPr="00190ED6" w:rsidRDefault="00012E89" w:rsidP="00FE0CC2">
            <w:r w:rsidRPr="00190ED6">
              <w:rPr>
                <w:b/>
                <w:smallCaps/>
              </w:rPr>
              <w:t>Reasons for Judgment:</w:t>
            </w:r>
          </w:p>
          <w:p w14:paraId="03079189" w14:textId="77777777" w:rsidR="00012E89" w:rsidRPr="00190ED6" w:rsidRDefault="00012E89" w:rsidP="00FE0CC2">
            <w:r w:rsidRPr="00190ED6">
              <w:t>(paras. 1 to 28)</w:t>
            </w:r>
          </w:p>
        </w:tc>
        <w:tc>
          <w:tcPr>
            <w:tcW w:w="5958" w:type="dxa"/>
          </w:tcPr>
          <w:p w14:paraId="5466E060" w14:textId="77777777" w:rsidR="00012E89" w:rsidRPr="00190ED6" w:rsidRDefault="00012E89" w:rsidP="00FE0CC2">
            <w:r w:rsidRPr="00190ED6">
              <w:t>Brown J. (Wagner C.J. and Abella, Moldaver, Karakatsanis, Côté, Rowe, Martin and Kasirer JJ. concurring)</w:t>
            </w:r>
          </w:p>
        </w:tc>
      </w:tr>
    </w:tbl>
    <w:p w14:paraId="5B3711D2" w14:textId="77777777" w:rsidR="00012E89" w:rsidRPr="00190ED6" w:rsidRDefault="00012E89" w:rsidP="00012E89">
      <w:pPr>
        <w:rPr>
          <w:rFonts w:eastAsiaTheme="minorHAnsi" w:cstheme="minorBidi"/>
          <w:szCs w:val="24"/>
          <w:lang w:eastAsia="en-US"/>
        </w:rPr>
      </w:pPr>
    </w:p>
    <w:p w14:paraId="6AB38FD6" w14:textId="77777777" w:rsidR="00012E89" w:rsidRPr="00190ED6" w:rsidRDefault="00012E89" w:rsidP="00012E89">
      <w:pPr>
        <w:rPr>
          <w:smallCaps/>
          <w:lang w:val="en-US"/>
        </w:rPr>
      </w:pPr>
      <w:r w:rsidRPr="00190ED6">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05A1E9D3" wp14:editId="2F93F86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6DE3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sidRPr="00190ED6">
        <w:rPr>
          <w:smallCaps/>
          <w:lang w:val="en-US"/>
        </w:rPr>
        <w:br w:type="page"/>
      </w:r>
    </w:p>
    <w:p w14:paraId="376D60CA" w14:textId="11CFFCB9" w:rsidR="008322BD" w:rsidRPr="00F3653F" w:rsidRDefault="00F23EE7" w:rsidP="00701887">
      <w:pPr>
        <w:spacing w:after="720"/>
        <w:jc w:val="both"/>
        <w:rPr>
          <w:lang w:val="fr-CA"/>
        </w:rPr>
      </w:pPr>
      <w:bookmarkStart w:id="0" w:name="_GoBack"/>
      <w:bookmarkEnd w:id="0"/>
      <w:r w:rsidRPr="00F3653F">
        <w:rPr>
          <w:smallCaps/>
          <w:lang w:val="fr-CA"/>
        </w:rPr>
        <w:lastRenderedPageBreak/>
        <w:t>r.</w:t>
      </w:r>
      <w:r w:rsidRPr="00F3653F">
        <w:rPr>
          <w:lang w:val="fr-CA"/>
        </w:rPr>
        <w:t xml:space="preserve"> </w:t>
      </w:r>
      <w:r w:rsidRPr="00F3653F">
        <w:rPr>
          <w:i/>
          <w:lang w:val="fr-CA"/>
        </w:rPr>
        <w:t>v.</w:t>
      </w:r>
      <w:r w:rsidRPr="00F3653F">
        <w:rPr>
          <w:lang w:val="fr-CA"/>
        </w:rPr>
        <w:t xml:space="preserve"> </w:t>
      </w:r>
      <w:r w:rsidRPr="00F3653F">
        <w:rPr>
          <w:rStyle w:val="SCCAppellantForRunningHeadChar"/>
          <w:lang w:val="fr-CA"/>
        </w:rPr>
        <w:t>t.j.m.</w:t>
      </w:r>
    </w:p>
    <w:p w14:paraId="7FC96D05" w14:textId="77777777" w:rsidR="00132D5C" w:rsidRPr="00F3653F" w:rsidRDefault="00673449" w:rsidP="00701887">
      <w:pPr>
        <w:pStyle w:val="SCCLsocLastPartyInRole"/>
        <w:rPr>
          <w:lang w:val="fr-CA"/>
        </w:rPr>
      </w:pPr>
      <w:r w:rsidRPr="00F3653F">
        <w:rPr>
          <w:lang w:val="fr-CA"/>
        </w:rPr>
        <w:t>T.J.M.</w:t>
      </w:r>
      <w:r w:rsidRPr="00F3653F">
        <w:rPr>
          <w:rStyle w:val="SCCLsocPartyRole"/>
          <w:lang w:val="fr-CA"/>
        </w:rPr>
        <w:tab/>
        <w:t>Appellant</w:t>
      </w:r>
    </w:p>
    <w:p w14:paraId="6D6848FB" w14:textId="77777777" w:rsidR="00132D5C" w:rsidRPr="00F3653F" w:rsidRDefault="00673449" w:rsidP="00701887">
      <w:pPr>
        <w:pStyle w:val="SCCLsocVersus"/>
      </w:pPr>
      <w:r w:rsidRPr="00F3653F">
        <w:t>v.</w:t>
      </w:r>
    </w:p>
    <w:p w14:paraId="54C4C23D" w14:textId="77777777" w:rsidR="00132D5C" w:rsidRPr="00F3653F" w:rsidRDefault="00673449" w:rsidP="00701887">
      <w:pPr>
        <w:pStyle w:val="SCCLsocLastPartyInRole"/>
      </w:pPr>
      <w:r w:rsidRPr="00F3653F">
        <w:t xml:space="preserve">Her Majesty </w:t>
      </w:r>
      <w:r w:rsidR="00F23EE7" w:rsidRPr="00F3653F">
        <w:t>T</w:t>
      </w:r>
      <w:r w:rsidRPr="00F3653F">
        <w:t>he Queen</w:t>
      </w:r>
      <w:r w:rsidRPr="00F3653F">
        <w:rPr>
          <w:rStyle w:val="SCCLsocPartyRole"/>
        </w:rPr>
        <w:tab/>
        <w:t>Respondent</w:t>
      </w:r>
    </w:p>
    <w:p w14:paraId="132D443B" w14:textId="70C8B37C" w:rsidR="00426659" w:rsidRPr="00F3653F" w:rsidRDefault="00426659" w:rsidP="00701887">
      <w:pPr>
        <w:spacing w:after="720"/>
        <w:jc w:val="both"/>
        <w:rPr>
          <w:b/>
        </w:rPr>
      </w:pPr>
      <w:r w:rsidRPr="00F3653F">
        <w:rPr>
          <w:b/>
        </w:rPr>
        <w:t>Indexed as:</w:t>
      </w:r>
      <w:r w:rsidR="00A03CDE" w:rsidRPr="00F3653F">
        <w:rPr>
          <w:b/>
        </w:rPr>
        <w:t xml:space="preserve"> </w:t>
      </w:r>
      <w:r w:rsidR="00F23EE7" w:rsidRPr="00F3653F">
        <w:rPr>
          <w:b/>
        </w:rPr>
        <w:t xml:space="preserve">R. </w:t>
      </w:r>
      <w:r w:rsidRPr="00F3653F">
        <w:rPr>
          <w:b/>
          <w:i/>
        </w:rPr>
        <w:t>v.</w:t>
      </w:r>
      <w:r w:rsidRPr="00F3653F">
        <w:rPr>
          <w:b/>
        </w:rPr>
        <w:t xml:space="preserve"> </w:t>
      </w:r>
      <w:r w:rsidR="00F23EE7" w:rsidRPr="00F3653F">
        <w:rPr>
          <w:rStyle w:val="SCCAppellantForIndexChar"/>
        </w:rPr>
        <w:t>T.J.M.</w:t>
      </w:r>
    </w:p>
    <w:p w14:paraId="332C0982" w14:textId="2A7C7A7E" w:rsidR="00426659" w:rsidRPr="00F3653F" w:rsidRDefault="00AE4535" w:rsidP="00701887">
      <w:pPr>
        <w:pStyle w:val="SCCSystemYear"/>
        <w:spacing w:after="720"/>
        <w:jc w:val="both"/>
      </w:pPr>
      <w:r w:rsidRPr="00F3653F">
        <w:t>202</w:t>
      </w:r>
      <w:r w:rsidR="002322E1">
        <w:t>1</w:t>
      </w:r>
      <w:r w:rsidR="003D0399" w:rsidRPr="00F3653F">
        <w:t xml:space="preserve"> </w:t>
      </w:r>
      <w:r w:rsidR="00426659" w:rsidRPr="00F3653F">
        <w:t>SCC </w:t>
      </w:r>
      <w:r w:rsidR="00365F31" w:rsidRPr="00F3653F">
        <w:t>6</w:t>
      </w:r>
    </w:p>
    <w:p w14:paraId="4E581136" w14:textId="6B4C81B9" w:rsidR="008322BD" w:rsidRPr="00F3653F" w:rsidRDefault="009B57B3" w:rsidP="00701887">
      <w:pPr>
        <w:spacing w:after="720"/>
        <w:jc w:val="both"/>
      </w:pPr>
      <w:r w:rsidRPr="00F3653F">
        <w:t>File No.:</w:t>
      </w:r>
      <w:r w:rsidR="00A03CDE" w:rsidRPr="00F3653F">
        <w:t xml:space="preserve"> </w:t>
      </w:r>
      <w:r w:rsidRPr="00F3653F">
        <w:t>38944.</w:t>
      </w:r>
    </w:p>
    <w:p w14:paraId="0AB56FCC" w14:textId="43CB6600" w:rsidR="008322BD" w:rsidRPr="00F3653F" w:rsidRDefault="00701887" w:rsidP="00701887">
      <w:pPr>
        <w:spacing w:after="720"/>
        <w:jc w:val="both"/>
      </w:pPr>
      <w:r w:rsidRPr="00F3653F">
        <w:t>2020: November </w:t>
      </w:r>
      <w:r w:rsidR="00AE4535" w:rsidRPr="00F3653F">
        <w:t>9</w:t>
      </w:r>
      <w:r w:rsidR="009B57B3" w:rsidRPr="00F3653F">
        <w:t xml:space="preserve">; </w:t>
      </w:r>
      <w:r w:rsidR="00355CCE" w:rsidRPr="00F3653F">
        <w:t>202</w:t>
      </w:r>
      <w:r w:rsidRPr="00F3653F">
        <w:t>1: January </w:t>
      </w:r>
      <w:r w:rsidR="00355CCE" w:rsidRPr="00F3653F">
        <w:t>29</w:t>
      </w:r>
      <w:r w:rsidR="009B57B3" w:rsidRPr="00F3653F">
        <w:t>.</w:t>
      </w:r>
    </w:p>
    <w:p w14:paraId="0D187410" w14:textId="7B8144EC" w:rsidR="008322BD" w:rsidRPr="00F3653F" w:rsidRDefault="009B57B3" w:rsidP="00701887">
      <w:pPr>
        <w:spacing w:after="720"/>
        <w:jc w:val="both"/>
      </w:pPr>
      <w:r w:rsidRPr="00F3653F">
        <w:t>Present:</w:t>
      </w:r>
      <w:r w:rsidR="00A03CDE" w:rsidRPr="00F3653F">
        <w:t xml:space="preserve"> </w:t>
      </w:r>
      <w:r w:rsidRPr="00F3653F">
        <w:t>Wagner C.J. and Abella, Moldaver, Karakatsanis, Côté, Brown, Rowe, Martin and Kasirer JJ.</w:t>
      </w:r>
    </w:p>
    <w:p w14:paraId="671389C4" w14:textId="77777777" w:rsidR="008322BD" w:rsidRPr="00F3653F" w:rsidRDefault="00656313" w:rsidP="00701887">
      <w:pPr>
        <w:pStyle w:val="SCCLowerCourtNameLowercase"/>
        <w:spacing w:after="720" w:line="240" w:lineRule="auto"/>
      </w:pPr>
      <w:r w:rsidRPr="00F3653F">
        <w:t>o</w:t>
      </w:r>
      <w:r w:rsidR="00170592" w:rsidRPr="00F3653F">
        <w:t>n</w:t>
      </w:r>
      <w:r w:rsidR="00224FC0" w:rsidRPr="00F3653F">
        <w:t xml:space="preserve"> </w:t>
      </w:r>
      <w:r w:rsidRPr="00F3653F">
        <w:t>a</w:t>
      </w:r>
      <w:r w:rsidR="00170592" w:rsidRPr="00F3653F">
        <w:t>ppeal</w:t>
      </w:r>
      <w:r w:rsidR="00224FC0" w:rsidRPr="00F3653F">
        <w:t xml:space="preserve"> </w:t>
      </w:r>
      <w:r w:rsidR="00170592" w:rsidRPr="00F3653F">
        <w:t>from</w:t>
      </w:r>
      <w:r w:rsidR="009567AA" w:rsidRPr="00F3653F">
        <w:t xml:space="preserve"> the</w:t>
      </w:r>
      <w:r w:rsidR="00224FC0" w:rsidRPr="00F3653F">
        <w:t xml:space="preserve"> </w:t>
      </w:r>
      <w:r w:rsidR="009B57B3" w:rsidRPr="00F3653F">
        <w:t>court of queen</w:t>
      </w:r>
      <w:r w:rsidR="00EE12D4" w:rsidRPr="00F3653F">
        <w:t>’</w:t>
      </w:r>
      <w:r w:rsidR="009B57B3" w:rsidRPr="00F3653F">
        <w:t>s bench of alberta</w:t>
      </w:r>
    </w:p>
    <w:p w14:paraId="66FD3928" w14:textId="5D4B7E3B" w:rsidR="008B79D0" w:rsidRPr="00F3653F" w:rsidRDefault="009B57B3" w:rsidP="00701887">
      <w:pPr>
        <w:pStyle w:val="SCCNormalDoubleSpacing"/>
        <w:spacing w:after="480"/>
        <w:rPr>
          <w:i/>
        </w:rPr>
      </w:pPr>
      <w:r w:rsidRPr="00F3653F">
        <w:tab/>
      </w:r>
      <w:r w:rsidR="008B79D0" w:rsidRPr="00F3653F">
        <w:rPr>
          <w:i/>
        </w:rPr>
        <w:t>Criminal law — Young persons — Judicial interim release — Young person ch</w:t>
      </w:r>
      <w:r w:rsidR="00701887" w:rsidRPr="00F3653F">
        <w:rPr>
          <w:i/>
        </w:rPr>
        <w:t>arged with offence listed in s. </w:t>
      </w:r>
      <w:r w:rsidR="008B79D0" w:rsidRPr="00F3653F">
        <w:rPr>
          <w:i/>
        </w:rPr>
        <w:t xml:space="preserve">469 of Criminal Code and electing to be tried by judge of superior court of criminal jurisdiction — Whether judge of superior court has jurisdiction to hear and adjudicate young person’s application for judicial interim release — If so, whether jurisdiction is exclusive or is held concurrently with judges of </w:t>
      </w:r>
      <w:r w:rsidR="008B79D0" w:rsidRPr="00F3653F">
        <w:rPr>
          <w:i/>
        </w:rPr>
        <w:lastRenderedPageBreak/>
        <w:t>designated youth justice court for province</w:t>
      </w:r>
      <w:r w:rsidR="008B79D0" w:rsidRPr="00F3653F">
        <w:t xml:space="preserve"> </w:t>
      </w:r>
      <w:r w:rsidR="008B79D0" w:rsidRPr="00F3653F">
        <w:rPr>
          <w:i/>
        </w:rPr>
        <w:t>— Youth Criminal Justice Act</w:t>
      </w:r>
      <w:r w:rsidR="008B79D0" w:rsidRPr="00F3653F">
        <w:t xml:space="preserve">, </w:t>
      </w:r>
      <w:r w:rsidR="00701887" w:rsidRPr="00F3653F">
        <w:rPr>
          <w:i/>
        </w:rPr>
        <w:t xml:space="preserve">S.C. 2002, c. 1, </w:t>
      </w:r>
      <w:r w:rsidR="00C00B5B">
        <w:rPr>
          <w:i/>
        </w:rPr>
        <w:t>ss. </w:t>
      </w:r>
      <w:r w:rsidR="008B79D0" w:rsidRPr="00F3653F">
        <w:rPr>
          <w:i/>
        </w:rPr>
        <w:t>13(1), (2), (3), 33(8).</w:t>
      </w:r>
    </w:p>
    <w:p w14:paraId="173A4109" w14:textId="672CB1F9" w:rsidR="008B79D0" w:rsidRPr="00F3653F" w:rsidRDefault="00AF1159" w:rsidP="00701887">
      <w:pPr>
        <w:pStyle w:val="SCCNormalDoubleSpacing"/>
        <w:spacing w:after="480"/>
      </w:pPr>
      <w:r w:rsidRPr="00F3653F">
        <w:tab/>
      </w:r>
      <w:r w:rsidR="008B79D0" w:rsidRPr="00F3653F">
        <w:t xml:space="preserve">M, a </w:t>
      </w:r>
      <w:r w:rsidRPr="00F3653F">
        <w:t>young person, was charged with second degree murder</w:t>
      </w:r>
      <w:r w:rsidR="008B79D0" w:rsidRPr="00F3653F">
        <w:t xml:space="preserve">, an offence listed in s. 469 of the </w:t>
      </w:r>
      <w:r w:rsidR="008B79D0" w:rsidRPr="00F3653F">
        <w:rPr>
          <w:i/>
        </w:rPr>
        <w:t>Criminal Code</w:t>
      </w:r>
      <w:r w:rsidRPr="00F3653F">
        <w:t xml:space="preserve">. </w:t>
      </w:r>
      <w:r w:rsidR="008B79D0" w:rsidRPr="00F3653F">
        <w:t>The Crown gave notice of its intention to seek an adult sentence, entitling M to elect the mode of tri</w:t>
      </w:r>
      <w:r w:rsidR="00C00B5B">
        <w:t>al.</w:t>
      </w:r>
      <w:r w:rsidR="00935247">
        <w:t xml:space="preserve"> </w:t>
      </w:r>
      <w:r w:rsidR="008B79D0" w:rsidRPr="00F3653F">
        <w:t>He elected trial by a superior court judge sitting without a jury, requested a preliminary inquiry, and sought judicial interim release before a justice of the Court o</w:t>
      </w:r>
      <w:r w:rsidRPr="00F3653F">
        <w:t xml:space="preserve">f Queen’s Bench of Alberta. </w:t>
      </w:r>
      <w:r w:rsidR="008B79D0" w:rsidRPr="00F3653F">
        <w:t>The application judge held that he had no jurisdiction to grant judicial interim release to a young person, finding that the Provinc</w:t>
      </w:r>
      <w:r w:rsidRPr="00F3653F">
        <w:t>ial Court of Alberta, which is</w:t>
      </w:r>
      <w:r w:rsidR="008B79D0" w:rsidRPr="00F3653F">
        <w:t xml:space="preserve"> the designated youth court for the provinc</w:t>
      </w:r>
      <w:r w:rsidRPr="00F3653F">
        <w:t xml:space="preserve">e, had exclusive jurisdiction. </w:t>
      </w:r>
      <w:r w:rsidR="008B79D0" w:rsidRPr="00F3653F">
        <w:t>M appeals to the Court from th</w:t>
      </w:r>
      <w:r w:rsidRPr="00F3653F">
        <w:t>e application judge’s decision.</w:t>
      </w:r>
    </w:p>
    <w:p w14:paraId="447DA246" w14:textId="77777777" w:rsidR="008B79D0" w:rsidRPr="00F3653F" w:rsidRDefault="008B79D0" w:rsidP="00701887">
      <w:pPr>
        <w:pStyle w:val="SCCNormalDoubleSpacing"/>
        <w:spacing w:after="480"/>
      </w:pPr>
      <w:r w:rsidRPr="00F3653F">
        <w:tab/>
      </w:r>
      <w:r w:rsidRPr="00F3653F">
        <w:rPr>
          <w:i/>
        </w:rPr>
        <w:t>Held</w:t>
      </w:r>
      <w:r w:rsidRPr="00F3653F">
        <w:t>: The appeal should be allowed.</w:t>
      </w:r>
    </w:p>
    <w:p w14:paraId="4C27B35A" w14:textId="5FC19BEF" w:rsidR="008B79D0" w:rsidRPr="00F3653F" w:rsidRDefault="00AF1159" w:rsidP="00701887">
      <w:pPr>
        <w:pStyle w:val="SCCNormalDoubleSpacing"/>
        <w:spacing w:after="480"/>
      </w:pPr>
      <w:r w:rsidRPr="00F3653F">
        <w:tab/>
      </w:r>
      <w:r w:rsidR="008B79D0" w:rsidRPr="00F3653F">
        <w:t>A superior court justice has jurisdiction to hear and decide an application for judicial interim release brought by a young person charg</w:t>
      </w:r>
      <w:r w:rsidR="00A03CDE" w:rsidRPr="00F3653F">
        <w:t>ed with an offence listed in s. </w:t>
      </w:r>
      <w:r w:rsidR="008B79D0" w:rsidRPr="00F3653F">
        <w:t xml:space="preserve">469 of the </w:t>
      </w:r>
      <w:r w:rsidR="008B79D0" w:rsidRPr="00F3653F">
        <w:rPr>
          <w:i/>
        </w:rPr>
        <w:t>Criminal Code</w:t>
      </w:r>
      <w:r w:rsidR="00C73626" w:rsidRPr="00F3653F">
        <w:t>,</w:t>
      </w:r>
      <w:r w:rsidRPr="00F3653F">
        <w:t xml:space="preserve"> and</w:t>
      </w:r>
      <w:r w:rsidR="008B79D0" w:rsidRPr="00F3653F">
        <w:t xml:space="preserve"> that jurisdiction is held concurrently with the judges of the designated youth court for the province.</w:t>
      </w:r>
    </w:p>
    <w:p w14:paraId="072A5B85" w14:textId="34109B20" w:rsidR="008B79D0" w:rsidRPr="00F3653F" w:rsidRDefault="00AF1159" w:rsidP="00701887">
      <w:pPr>
        <w:pStyle w:val="SCCNormalDoubleSpacing"/>
        <w:spacing w:after="480"/>
      </w:pPr>
      <w:r w:rsidRPr="00F3653F">
        <w:tab/>
      </w:r>
      <w:r w:rsidR="008B79D0" w:rsidRPr="00F3653F">
        <w:t xml:space="preserve">Where a superior court judge becomes a youth justice court judge by operation </w:t>
      </w:r>
      <w:r w:rsidR="00701887" w:rsidRPr="00F3653F">
        <w:t>of the deeming provisions in s. 13(2) or s. </w:t>
      </w:r>
      <w:r w:rsidR="00F00E48">
        <w:t>13</w:t>
      </w:r>
      <w:r w:rsidRPr="00F3653F">
        <w:t xml:space="preserve">(3) </w:t>
      </w:r>
      <w:r w:rsidR="008B79D0" w:rsidRPr="00F3653F">
        <w:t xml:space="preserve">of the </w:t>
      </w:r>
      <w:r w:rsidR="008B79D0" w:rsidRPr="00F3653F">
        <w:rPr>
          <w:i/>
        </w:rPr>
        <w:t xml:space="preserve">Youth Criminal Justice Act </w:t>
      </w:r>
      <w:r w:rsidR="008B79D0" w:rsidRPr="00F3653F">
        <w:t>(“</w:t>
      </w:r>
      <w:r w:rsidR="008B79D0" w:rsidRPr="00F3653F">
        <w:rPr>
          <w:i/>
        </w:rPr>
        <w:t>YCJA</w:t>
      </w:r>
      <w:r w:rsidRPr="00F3653F">
        <w:t>”)</w:t>
      </w:r>
      <w:r w:rsidR="008B79D0" w:rsidRPr="00F3653F">
        <w:t>, the superior court is so deemed for the purpose of the procee</w:t>
      </w:r>
      <w:r w:rsidRPr="00F3653F">
        <w:t xml:space="preserve">ding. As it is used in </w:t>
      </w:r>
      <w:r w:rsidR="00C00B5B">
        <w:t>ss. </w:t>
      </w:r>
      <w:r w:rsidR="001F1EE2">
        <w:t>13(2) and (</w:t>
      </w:r>
      <w:r w:rsidRPr="00F3653F">
        <w:t>3)</w:t>
      </w:r>
      <w:r w:rsidR="008B79D0" w:rsidRPr="00F3653F">
        <w:t>, “the proceeding”</w:t>
      </w:r>
      <w:r w:rsidRPr="00F3653F">
        <w:t xml:space="preserve"> is not confined to the trial, but rather</w:t>
      </w:r>
      <w:r w:rsidR="008B79D0" w:rsidRPr="00F3653F">
        <w:t xml:space="preserve"> </w:t>
      </w:r>
      <w:r w:rsidR="008B79D0" w:rsidRPr="00F3653F">
        <w:lastRenderedPageBreak/>
        <w:t>includes any step taken by a youth justice court judge after the young person elects to be tried at the superior court, including any pre</w:t>
      </w:r>
      <w:r w:rsidR="00C00B5B">
        <w:noBreakHyphen/>
      </w:r>
      <w:r w:rsidR="008B79D0" w:rsidRPr="00F3653F">
        <w:t>trial application for</w:t>
      </w:r>
      <w:r w:rsidRPr="00F3653F">
        <w:t xml:space="preserve"> judicial interim release, </w:t>
      </w:r>
      <w:r w:rsidR="008B79D0" w:rsidRPr="00F3653F">
        <w:t>until trial.</w:t>
      </w:r>
    </w:p>
    <w:p w14:paraId="165F6450" w14:textId="592ED12C" w:rsidR="008B79D0" w:rsidRPr="00F3653F" w:rsidRDefault="00AF1159" w:rsidP="00701887">
      <w:pPr>
        <w:pStyle w:val="SCCNormalDoubleSpacing"/>
        <w:spacing w:after="480"/>
      </w:pPr>
      <w:r w:rsidRPr="00F3653F">
        <w:tab/>
      </w:r>
      <w:r w:rsidR="008B79D0" w:rsidRPr="00F3653F">
        <w:t xml:space="preserve">Section 33(8) of the </w:t>
      </w:r>
      <w:r w:rsidR="008B79D0" w:rsidRPr="00F3653F">
        <w:rPr>
          <w:i/>
        </w:rPr>
        <w:t xml:space="preserve">YCJA </w:t>
      </w:r>
      <w:r w:rsidR="008B79D0" w:rsidRPr="00F3653F">
        <w:t>confers exclusive jurisdiction upon “a youth justice court ju</w:t>
      </w:r>
      <w:r w:rsidRPr="00F3653F">
        <w:t xml:space="preserve">dge” to release a young person </w:t>
      </w:r>
      <w:r w:rsidR="008B79D0" w:rsidRPr="00F3653F">
        <w:t>charged wi</w:t>
      </w:r>
      <w:r w:rsidR="00701887" w:rsidRPr="00F3653F">
        <w:t>th an offence referred to in s. </w:t>
      </w:r>
      <w:r w:rsidR="008B79D0" w:rsidRPr="00F3653F">
        <w:t xml:space="preserve">522 of the </w:t>
      </w:r>
      <w:r w:rsidR="008B79D0" w:rsidRPr="00F3653F">
        <w:rPr>
          <w:i/>
        </w:rPr>
        <w:t>Criminal Code</w:t>
      </w:r>
      <w:r w:rsidR="008B79D0" w:rsidRPr="00F3653F">
        <w:t>, which incorporates s.</w:t>
      </w:r>
      <w:r w:rsidR="00701887" w:rsidRPr="00F3653F">
        <w:t> </w:t>
      </w:r>
      <w:r w:rsidRPr="00F3653F">
        <w:t xml:space="preserve">469 offences, from custody. </w:t>
      </w:r>
      <w:r w:rsidR="00935247">
        <w:t xml:space="preserve">It </w:t>
      </w:r>
      <w:r w:rsidR="008B79D0" w:rsidRPr="00F3653F">
        <w:t>does not qualify the term “youth justice court judge” so as to include only those superior court justices deemed u</w:t>
      </w:r>
      <w:r w:rsidR="00716010" w:rsidRPr="00F3653F">
        <w:t xml:space="preserve">nder </w:t>
      </w:r>
      <w:r w:rsidR="00C00B5B">
        <w:t>ss. </w:t>
      </w:r>
      <w:r w:rsidR="001F1EE2">
        <w:t xml:space="preserve">13(2) and </w:t>
      </w:r>
      <w:r w:rsidR="008B79D0" w:rsidRPr="00F3653F">
        <w:t>(3) to be youth justice</w:t>
      </w:r>
      <w:r w:rsidRPr="00F3653F">
        <w:t xml:space="preserve"> court judges. </w:t>
      </w:r>
      <w:r w:rsidR="00716010" w:rsidRPr="00F3653F">
        <w:t xml:space="preserve">Just as </w:t>
      </w:r>
      <w:r w:rsidR="00C00B5B">
        <w:t>ss. </w:t>
      </w:r>
      <w:r w:rsidR="001F1EE2">
        <w:t>13(2) and (</w:t>
      </w:r>
      <w:r w:rsidR="008B79D0" w:rsidRPr="00F3653F">
        <w:t xml:space="preserve">3) of the </w:t>
      </w:r>
      <w:r w:rsidR="008B79D0" w:rsidRPr="00F3653F">
        <w:rPr>
          <w:i/>
        </w:rPr>
        <w:t xml:space="preserve">YCJA </w:t>
      </w:r>
      <w:r w:rsidR="008B79D0" w:rsidRPr="00F3653F">
        <w:t>deem a superior court judge to be a youth justice court judge, s.</w:t>
      </w:r>
      <w:r w:rsidR="00716010" w:rsidRPr="00F3653F">
        <w:t> </w:t>
      </w:r>
      <w:r w:rsidR="008B79D0" w:rsidRPr="00F3653F">
        <w:t>13(1) also designates as a youth justice court judge a judge sitting in the court established by the province as a y</w:t>
      </w:r>
      <w:r w:rsidRPr="00F3653F">
        <w:t xml:space="preserve">outh justice court. Accordingly, </w:t>
      </w:r>
      <w:r w:rsidR="008B79D0" w:rsidRPr="00F3653F">
        <w:t>the jurisdiction is concurrent, and not exclusive to either of them.</w:t>
      </w:r>
    </w:p>
    <w:p w14:paraId="64CF9E79" w14:textId="2A8159B2" w:rsidR="00610539" w:rsidRPr="00F3653F" w:rsidRDefault="00AF1159" w:rsidP="00701887">
      <w:pPr>
        <w:pStyle w:val="SCCNormalDoubleSpacing"/>
        <w:spacing w:after="480"/>
      </w:pPr>
      <w:r w:rsidRPr="00F3653F">
        <w:tab/>
      </w:r>
      <w:r w:rsidR="008B79D0" w:rsidRPr="00F3653F">
        <w:t>By conferring concurrent jurisdiction to decide release following the young person’s election where charged with a s.</w:t>
      </w:r>
      <w:r w:rsidR="00716010" w:rsidRPr="00F3653F">
        <w:t> </w:t>
      </w:r>
      <w:r w:rsidR="008B79D0" w:rsidRPr="00F3653F">
        <w:t xml:space="preserve">469 offence, Parliament sought to introduce a measure of flexibility that is absent from the adult criminal justice system in order to achieve the aims of the </w:t>
      </w:r>
      <w:r w:rsidR="008B79D0" w:rsidRPr="00F3653F">
        <w:rPr>
          <w:i/>
        </w:rPr>
        <w:t>YCJA</w:t>
      </w:r>
      <w:r w:rsidRPr="00F3653F">
        <w:t xml:space="preserve">. </w:t>
      </w:r>
      <w:r w:rsidR="008B79D0" w:rsidRPr="00F3653F">
        <w:t>This is particularly significant for young persons in rural areas, including, in particular, Indigenous youth, for whom provincially designated youth justice courts will be more accessible than a superior court.</w:t>
      </w:r>
    </w:p>
    <w:p w14:paraId="61AD85E1" w14:textId="77777777" w:rsidR="007E1C47" w:rsidRPr="00F3653F" w:rsidRDefault="002E6705" w:rsidP="00716010">
      <w:pPr>
        <w:pStyle w:val="SCCNormalDoubleSpacing"/>
        <w:spacing w:after="480"/>
        <w:rPr>
          <w:b/>
        </w:rPr>
      </w:pPr>
      <w:r w:rsidRPr="00F3653F">
        <w:rPr>
          <w:b/>
        </w:rPr>
        <w:t>Cases Cited</w:t>
      </w:r>
    </w:p>
    <w:p w14:paraId="6FB6AEC2" w14:textId="1E930E61" w:rsidR="004E2C26" w:rsidRPr="00F3653F" w:rsidRDefault="002E6705" w:rsidP="00716010">
      <w:pPr>
        <w:pStyle w:val="SCCNormalDoubleSpacing"/>
        <w:spacing w:after="480"/>
        <w:rPr>
          <w:lang w:val="en-US"/>
        </w:rPr>
      </w:pPr>
      <w:r w:rsidRPr="00F3653F">
        <w:lastRenderedPageBreak/>
        <w:tab/>
      </w:r>
      <w:r w:rsidRPr="00F3653F">
        <w:rPr>
          <w:b/>
        </w:rPr>
        <w:t>Referred to:</w:t>
      </w:r>
      <w:r w:rsidR="00BD0E9E" w:rsidRPr="00F3653F">
        <w:t xml:space="preserve"> </w:t>
      </w:r>
      <w:r w:rsidR="00F55C82" w:rsidRPr="00F3653F">
        <w:rPr>
          <w:i/>
        </w:rPr>
        <w:t>Borowski v. Canada (Attorney General)</w:t>
      </w:r>
      <w:r w:rsidR="00F55C82" w:rsidRPr="00F3653F">
        <w:t xml:space="preserve">, [1989] 1 S.C.R. 342; </w:t>
      </w:r>
      <w:r w:rsidR="00201C81" w:rsidRPr="00F3653F">
        <w:rPr>
          <w:i/>
        </w:rPr>
        <w:t>R</w:t>
      </w:r>
      <w:r w:rsidR="00436414" w:rsidRPr="00F3653F">
        <w:rPr>
          <w:i/>
        </w:rPr>
        <w:t>.</w:t>
      </w:r>
      <w:r w:rsidR="00201C81" w:rsidRPr="00F3653F">
        <w:rPr>
          <w:i/>
        </w:rPr>
        <w:t xml:space="preserve"> v. T.R.M.</w:t>
      </w:r>
      <w:r w:rsidR="00201C81" w:rsidRPr="00F3653F">
        <w:t>,</w:t>
      </w:r>
      <w:r w:rsidR="00201C81" w:rsidRPr="00F3653F">
        <w:rPr>
          <w:i/>
        </w:rPr>
        <w:t xml:space="preserve"> </w:t>
      </w:r>
      <w:r w:rsidR="00201C81" w:rsidRPr="00F3653F">
        <w:t xml:space="preserve">2013 ABQB 571, 571 A.R. 121; </w:t>
      </w:r>
      <w:r w:rsidR="007F66AC" w:rsidRPr="00F3653F">
        <w:rPr>
          <w:i/>
        </w:rPr>
        <w:t>R</w:t>
      </w:r>
      <w:r w:rsidR="00436414" w:rsidRPr="00F3653F">
        <w:rPr>
          <w:i/>
        </w:rPr>
        <w:t>.</w:t>
      </w:r>
      <w:r w:rsidR="007F66AC" w:rsidRPr="00F3653F">
        <w:rPr>
          <w:i/>
        </w:rPr>
        <w:t xml:space="preserve"> v. K. (T.)</w:t>
      </w:r>
      <w:r w:rsidR="007F66AC" w:rsidRPr="00F3653F">
        <w:t>,</w:t>
      </w:r>
      <w:r w:rsidR="007F66AC" w:rsidRPr="00F3653F">
        <w:rPr>
          <w:i/>
        </w:rPr>
        <w:t xml:space="preserve"> </w:t>
      </w:r>
      <w:r w:rsidR="007F66AC" w:rsidRPr="00F3653F">
        <w:t xml:space="preserve">2004 ONCJ 410, 192 C.C.C. (3d) 279; </w:t>
      </w:r>
      <w:r w:rsidR="00567B0A" w:rsidRPr="00F3653F">
        <w:rPr>
          <w:i/>
        </w:rPr>
        <w:t>Protection de la jeunesse ⸺ 177486</w:t>
      </w:r>
      <w:r w:rsidR="00567B0A" w:rsidRPr="00F3653F">
        <w:t xml:space="preserve">, 2017 QCCS 5165; </w:t>
      </w:r>
      <w:r w:rsidR="004A0AAE" w:rsidRPr="00F3653F">
        <w:rPr>
          <w:i/>
        </w:rPr>
        <w:t>R</w:t>
      </w:r>
      <w:r w:rsidR="00F635AA" w:rsidRPr="00F3653F">
        <w:rPr>
          <w:i/>
        </w:rPr>
        <w:t>.</w:t>
      </w:r>
      <w:r w:rsidR="004A0AAE" w:rsidRPr="00F3653F">
        <w:rPr>
          <w:i/>
        </w:rPr>
        <w:t xml:space="preserve"> v. B.W.H.</w:t>
      </w:r>
      <w:r w:rsidR="006905CF" w:rsidRPr="00F3653F">
        <w:rPr>
          <w:i/>
        </w:rPr>
        <w:t xml:space="preserve"> </w:t>
      </w:r>
      <w:r w:rsidR="006905CF" w:rsidRPr="00F3653F">
        <w:t>(2005)</w:t>
      </w:r>
      <w:r w:rsidR="004A0AAE" w:rsidRPr="00F3653F">
        <w:t>,</w:t>
      </w:r>
      <w:r w:rsidR="004A0AAE" w:rsidRPr="00F3653F">
        <w:rPr>
          <w:i/>
        </w:rPr>
        <w:t xml:space="preserve"> </w:t>
      </w:r>
      <w:r w:rsidR="004A0AAE" w:rsidRPr="00F3653F">
        <w:rPr>
          <w:lang w:val="en"/>
        </w:rPr>
        <w:t xml:space="preserve">198 Man. R. (2d) 264; </w:t>
      </w:r>
      <w:r w:rsidR="00BF45A1" w:rsidRPr="00F3653F">
        <w:rPr>
          <w:i/>
        </w:rPr>
        <w:t>R. v. N.M.</w:t>
      </w:r>
      <w:r w:rsidR="00BF45A1" w:rsidRPr="00F3653F">
        <w:t>, 2010 MBPC 45, 257 Man. R. (2d) 207</w:t>
      </w:r>
      <w:r w:rsidR="00F635AA" w:rsidRPr="00F3653F">
        <w:t xml:space="preserve">; </w:t>
      </w:r>
      <w:r w:rsidR="00DC69C9" w:rsidRPr="00F3653F">
        <w:rPr>
          <w:i/>
        </w:rPr>
        <w:t>R. v. W. (E.E.)</w:t>
      </w:r>
      <w:r w:rsidR="00DC69C9" w:rsidRPr="00F3653F">
        <w:t>,</w:t>
      </w:r>
      <w:r w:rsidR="00DC69C9" w:rsidRPr="00F3653F">
        <w:rPr>
          <w:i/>
        </w:rPr>
        <w:t xml:space="preserve"> </w:t>
      </w:r>
      <w:r w:rsidR="00DC69C9" w:rsidRPr="00F3653F">
        <w:t xml:space="preserve">2004 SKCA 114, 188 C.C.C. (3d) 467; </w:t>
      </w:r>
      <w:r w:rsidR="00BF5AB5" w:rsidRPr="00F3653F">
        <w:rPr>
          <w:i/>
        </w:rPr>
        <w:t>R. v. B. (J.)</w:t>
      </w:r>
      <w:r w:rsidR="00BF5AB5" w:rsidRPr="00F3653F">
        <w:t>,</w:t>
      </w:r>
      <w:r w:rsidR="00BF5AB5" w:rsidRPr="00F3653F">
        <w:rPr>
          <w:i/>
        </w:rPr>
        <w:t xml:space="preserve"> </w:t>
      </w:r>
      <w:r w:rsidR="00BF5AB5" w:rsidRPr="00F3653F">
        <w:t>2012 ONSC 4957, 291 C.C.C. (3d) 43;</w:t>
      </w:r>
      <w:r w:rsidR="00ED6DC6" w:rsidRPr="00F3653F">
        <w:rPr>
          <w:i/>
        </w:rPr>
        <w:t xml:space="preserve"> R. v. F. (M.)</w:t>
      </w:r>
      <w:r w:rsidR="00ED6DC6" w:rsidRPr="00F3653F">
        <w:t>,</w:t>
      </w:r>
      <w:r w:rsidR="00ED6DC6" w:rsidRPr="00F3653F">
        <w:rPr>
          <w:i/>
        </w:rPr>
        <w:t xml:space="preserve"> </w:t>
      </w:r>
      <w:r w:rsidR="00ED6DC6" w:rsidRPr="00F3653F">
        <w:t>2006 ONCJ 161, 210 C.C.C. (3d) 146;</w:t>
      </w:r>
      <w:r w:rsidR="004D78C0" w:rsidRPr="00F3653F">
        <w:rPr>
          <w:i/>
        </w:rPr>
        <w:t xml:space="preserve"> Ontario v. Canadian Pacific Ltd.</w:t>
      </w:r>
      <w:r w:rsidR="004D78C0" w:rsidRPr="00F3653F">
        <w:t>,</w:t>
      </w:r>
      <w:r w:rsidR="004D78C0" w:rsidRPr="00F3653F">
        <w:rPr>
          <w:i/>
        </w:rPr>
        <w:t xml:space="preserve"> </w:t>
      </w:r>
      <w:r w:rsidR="004D78C0" w:rsidRPr="00F3653F">
        <w:t xml:space="preserve">[1995] 2 S.C.R. 1031; </w:t>
      </w:r>
      <w:r w:rsidR="0067794A" w:rsidRPr="00F3653F">
        <w:rPr>
          <w:i/>
        </w:rPr>
        <w:t>Bristol</w:t>
      </w:r>
      <w:r w:rsidR="00C00B5B">
        <w:rPr>
          <w:i/>
        </w:rPr>
        <w:noBreakHyphen/>
      </w:r>
      <w:r w:rsidR="0067794A" w:rsidRPr="00F3653F">
        <w:rPr>
          <w:i/>
        </w:rPr>
        <w:t>Myers Squibb Co. v. Canada (Attorney General)</w:t>
      </w:r>
      <w:r w:rsidR="0067794A" w:rsidRPr="00F3653F">
        <w:t>,</w:t>
      </w:r>
      <w:r w:rsidR="0067794A" w:rsidRPr="00F3653F">
        <w:rPr>
          <w:i/>
        </w:rPr>
        <w:t xml:space="preserve"> </w:t>
      </w:r>
      <w:r w:rsidR="0067794A" w:rsidRPr="00F3653F">
        <w:t xml:space="preserve">2005 SCC 26, [2005] 1 S.C.R. 533; </w:t>
      </w:r>
      <w:r w:rsidR="00E41ED0" w:rsidRPr="00F3653F">
        <w:rPr>
          <w:i/>
        </w:rPr>
        <w:t>R. v. K.J.M.</w:t>
      </w:r>
      <w:r w:rsidR="00E41ED0" w:rsidRPr="00F3653F">
        <w:t>, 2019 SCC 55.</w:t>
      </w:r>
    </w:p>
    <w:p w14:paraId="1C59AB7B" w14:textId="77777777" w:rsidR="003B215F" w:rsidRPr="00F3653F" w:rsidRDefault="002E6705" w:rsidP="00701887">
      <w:pPr>
        <w:pStyle w:val="SCCNormalDoubleSpacing"/>
        <w:spacing w:after="720" w:line="240" w:lineRule="auto"/>
      </w:pPr>
      <w:r w:rsidRPr="00F3653F">
        <w:rPr>
          <w:b/>
        </w:rPr>
        <w:t>Statutes and Regulations Cite</w:t>
      </w:r>
      <w:r w:rsidR="00A41805" w:rsidRPr="00F3653F">
        <w:rPr>
          <w:b/>
        </w:rPr>
        <w:t>d</w:t>
      </w:r>
    </w:p>
    <w:p w14:paraId="2214110A" w14:textId="1029D69D" w:rsidR="00A149DF" w:rsidRPr="00BE59A7" w:rsidRDefault="00C8037A" w:rsidP="00716010">
      <w:pPr>
        <w:pStyle w:val="SCCNormalDoubleSpacing"/>
        <w:spacing w:after="240" w:line="240" w:lineRule="auto"/>
        <w:ind w:left="539" w:hanging="539"/>
      </w:pPr>
      <w:r w:rsidRPr="00BE59A7">
        <w:rPr>
          <w:i/>
        </w:rPr>
        <w:t>Criminal Code</w:t>
      </w:r>
      <w:r w:rsidR="00716010" w:rsidRPr="00BE59A7">
        <w:t>, R.S.C. 1985, c. C</w:t>
      </w:r>
      <w:r w:rsidR="00C00B5B" w:rsidRPr="00BE59A7">
        <w:noBreakHyphen/>
      </w:r>
      <w:r w:rsidR="00716010" w:rsidRPr="00BE59A7">
        <w:t xml:space="preserve">46, </w:t>
      </w:r>
      <w:r w:rsidR="00C00B5B" w:rsidRPr="00BE59A7">
        <w:t>ss. </w:t>
      </w:r>
      <w:r w:rsidRPr="00BE59A7">
        <w:t>469</w:t>
      </w:r>
      <w:r w:rsidR="00981962" w:rsidRPr="00BE59A7">
        <w:t xml:space="preserve">, </w:t>
      </w:r>
      <w:r w:rsidR="004B4704" w:rsidRPr="00BE59A7">
        <w:t xml:space="preserve">Part XVI, </w:t>
      </w:r>
      <w:r w:rsidR="00981962" w:rsidRPr="00BE59A7">
        <w:t>522</w:t>
      </w:r>
      <w:r w:rsidR="002075A8" w:rsidRPr="00BE59A7">
        <w:t>.</w:t>
      </w:r>
    </w:p>
    <w:p w14:paraId="4DDD2F8A" w14:textId="23DE609B" w:rsidR="002B2C0E" w:rsidRPr="00F3653F" w:rsidRDefault="002B2C0E" w:rsidP="00716010">
      <w:pPr>
        <w:pStyle w:val="SCCNormalDoubleSpacing"/>
        <w:spacing w:after="240" w:line="240" w:lineRule="auto"/>
        <w:ind w:left="539" w:hanging="539"/>
        <w:rPr>
          <w:lang w:val="en-US"/>
        </w:rPr>
      </w:pPr>
      <w:r w:rsidRPr="00F3653F">
        <w:rPr>
          <w:i/>
        </w:rPr>
        <w:t>Interpretation Act</w:t>
      </w:r>
      <w:r w:rsidR="00716010" w:rsidRPr="00F3653F">
        <w:t>, R.S.C. 1985, c. </w:t>
      </w:r>
      <w:r w:rsidRPr="00F3653F">
        <w:t>I</w:t>
      </w:r>
      <w:r w:rsidR="00C00B5B">
        <w:noBreakHyphen/>
      </w:r>
      <w:r w:rsidRPr="00F3653F">
        <w:t>21</w:t>
      </w:r>
      <w:r w:rsidR="00716010" w:rsidRPr="00F3653F">
        <w:t>, s. </w:t>
      </w:r>
      <w:r w:rsidRPr="00F3653F">
        <w:t>33(2).</w:t>
      </w:r>
    </w:p>
    <w:p w14:paraId="707F0BD9" w14:textId="45326EEC" w:rsidR="00F27679" w:rsidRPr="00F3653F" w:rsidRDefault="00F27679" w:rsidP="00716010">
      <w:pPr>
        <w:pStyle w:val="SCCNormalDoubleSpacing"/>
        <w:spacing w:after="240" w:line="240" w:lineRule="auto"/>
        <w:ind w:left="539" w:hanging="539"/>
      </w:pPr>
      <w:r w:rsidRPr="00F3653F">
        <w:rPr>
          <w:i/>
        </w:rPr>
        <w:t>Provincial Court Act</w:t>
      </w:r>
      <w:r w:rsidR="00716010" w:rsidRPr="00F3653F">
        <w:t>, R.S.A. 2000, c. P</w:t>
      </w:r>
      <w:r w:rsidR="00C00B5B">
        <w:noBreakHyphen/>
      </w:r>
      <w:r w:rsidR="00716010" w:rsidRPr="00F3653F">
        <w:t>31, s. </w:t>
      </w:r>
      <w:r w:rsidRPr="00F3653F">
        <w:t>11.</w:t>
      </w:r>
    </w:p>
    <w:p w14:paraId="10DAD785" w14:textId="17ADD4E4" w:rsidR="00F55C82" w:rsidRPr="00F3653F" w:rsidRDefault="00F55C82" w:rsidP="00701887">
      <w:pPr>
        <w:pStyle w:val="SCCNormalDoubleSpacing"/>
        <w:spacing w:after="720" w:line="240" w:lineRule="auto"/>
        <w:ind w:left="540" w:hanging="540"/>
        <w:rPr>
          <w:lang w:val="en-US"/>
        </w:rPr>
      </w:pPr>
      <w:r w:rsidRPr="00F3653F">
        <w:rPr>
          <w:i/>
        </w:rPr>
        <w:t>Youth Criminal Justice Act</w:t>
      </w:r>
      <w:r w:rsidRPr="00F3653F">
        <w:t>, S.C. 2002, c</w:t>
      </w:r>
      <w:r w:rsidR="00DF5E97" w:rsidRPr="00F3653F">
        <w:t>.</w:t>
      </w:r>
      <w:r w:rsidR="00716010" w:rsidRPr="00F3653F">
        <w:t> </w:t>
      </w:r>
      <w:r w:rsidRPr="00F3653F">
        <w:t xml:space="preserve">1, </w:t>
      </w:r>
      <w:r w:rsidR="00C00B5B">
        <w:t>ss. </w:t>
      </w:r>
      <w:r w:rsidR="004730A7" w:rsidRPr="00F3653F">
        <w:t>2 “youth justice court”, “youth justice court judge”</w:t>
      </w:r>
      <w:r w:rsidR="006E2DAB" w:rsidRPr="00F3653F">
        <w:t>, 3(1)</w:t>
      </w:r>
      <w:r w:rsidR="006C2802" w:rsidRPr="00F3653F">
        <w:t>(b)(iii</w:t>
      </w:r>
      <w:r w:rsidR="00F80092" w:rsidRPr="00F3653F">
        <w:t xml:space="preserve">), </w:t>
      </w:r>
      <w:r w:rsidR="006C2802" w:rsidRPr="00F3653F">
        <w:t xml:space="preserve">(v), </w:t>
      </w:r>
      <w:r w:rsidR="006E2DAB" w:rsidRPr="00F3653F">
        <w:t>(d)(iv)</w:t>
      </w:r>
      <w:r w:rsidR="004730A7" w:rsidRPr="00F3653F">
        <w:t xml:space="preserve">, </w:t>
      </w:r>
      <w:r w:rsidR="00C231DE" w:rsidRPr="00F3653F">
        <w:t>13</w:t>
      </w:r>
      <w:r w:rsidR="00905FEA" w:rsidRPr="00F3653F">
        <w:t>,</w:t>
      </w:r>
      <w:r w:rsidR="00C231DE" w:rsidRPr="00F3653F">
        <w:t xml:space="preserve"> </w:t>
      </w:r>
      <w:r w:rsidR="0019473E" w:rsidRPr="00F3653F">
        <w:t xml:space="preserve">20(1), </w:t>
      </w:r>
      <w:r w:rsidR="00E84424" w:rsidRPr="00F3653F">
        <w:t>25(3)(c), (4),</w:t>
      </w:r>
      <w:r w:rsidR="0093103B" w:rsidRPr="00F3653F">
        <w:t xml:space="preserve"> 26(9), (10),</w:t>
      </w:r>
      <w:r w:rsidR="00D961E6" w:rsidRPr="00F3653F">
        <w:t xml:space="preserve"> 28,</w:t>
      </w:r>
      <w:r w:rsidR="00E84424" w:rsidRPr="00F3653F">
        <w:t xml:space="preserve"> </w:t>
      </w:r>
      <w:r w:rsidR="00981962" w:rsidRPr="00F3653F">
        <w:t>33(8)</w:t>
      </w:r>
      <w:r w:rsidR="00135858" w:rsidRPr="00F3653F">
        <w:t>,</w:t>
      </w:r>
      <w:r w:rsidR="00981962" w:rsidRPr="00F3653F">
        <w:t xml:space="preserve"> </w:t>
      </w:r>
      <w:r w:rsidR="00067E09" w:rsidRPr="00F3653F">
        <w:t>67.</w:t>
      </w:r>
    </w:p>
    <w:p w14:paraId="03206D6E" w14:textId="77777777" w:rsidR="002E6705" w:rsidRPr="00F3653F" w:rsidRDefault="002E6705" w:rsidP="00701887">
      <w:pPr>
        <w:pStyle w:val="SCCNormalDoubleSpacing"/>
        <w:spacing w:after="720" w:line="240" w:lineRule="auto"/>
        <w:rPr>
          <w:b/>
        </w:rPr>
      </w:pPr>
      <w:r w:rsidRPr="00F3653F">
        <w:rPr>
          <w:b/>
        </w:rPr>
        <w:t>Authors Cited</w:t>
      </w:r>
    </w:p>
    <w:p w14:paraId="0374CD49" w14:textId="74D93F4C" w:rsidR="00A149DF" w:rsidRPr="00F3653F" w:rsidRDefault="00C053F8" w:rsidP="00716010">
      <w:pPr>
        <w:pStyle w:val="SCCNormalDoubleSpacing"/>
        <w:spacing w:after="240" w:line="240" w:lineRule="auto"/>
        <w:ind w:left="539" w:hanging="539"/>
      </w:pPr>
      <w:r w:rsidRPr="00F3653F">
        <w:rPr>
          <w:i/>
        </w:rPr>
        <w:t>Black’s Law Dictionary</w:t>
      </w:r>
      <w:r w:rsidRPr="00F3653F">
        <w:t>,</w:t>
      </w:r>
      <w:r w:rsidR="009B45F5" w:rsidRPr="00F3653F">
        <w:t xml:space="preserve"> </w:t>
      </w:r>
      <w:r w:rsidRPr="00F3653F">
        <w:t>11th ed., by Bryan A. Garner. St. Paul, Minn.: Thomson Reuters, 2019, “proceeding”.</w:t>
      </w:r>
    </w:p>
    <w:p w14:paraId="5A05D90D" w14:textId="44322280" w:rsidR="00075D1D" w:rsidRPr="00F3653F" w:rsidRDefault="00075D1D" w:rsidP="00716010">
      <w:pPr>
        <w:pStyle w:val="SCCNormalDoubleSpacing"/>
        <w:spacing w:after="240" w:line="240" w:lineRule="auto"/>
        <w:ind w:left="539" w:hanging="539"/>
      </w:pPr>
      <w:r w:rsidRPr="00F3653F">
        <w:rPr>
          <w:shd w:val="clear" w:color="auto" w:fill="FFFFFF"/>
        </w:rPr>
        <w:t>Davis</w:t>
      </w:r>
      <w:r w:rsidR="00C00B5B">
        <w:rPr>
          <w:shd w:val="clear" w:color="auto" w:fill="FFFFFF"/>
        </w:rPr>
        <w:noBreakHyphen/>
      </w:r>
      <w:r w:rsidRPr="00F3653F">
        <w:rPr>
          <w:shd w:val="clear" w:color="auto" w:fill="FFFFFF"/>
        </w:rPr>
        <w:t>Barron, Sherri. </w:t>
      </w:r>
      <w:r w:rsidRPr="00F3653F">
        <w:rPr>
          <w:i/>
          <w:iCs/>
          <w:shd w:val="clear" w:color="auto" w:fill="FFFFFF"/>
        </w:rPr>
        <w:t>Youth and the Criminal Law in Canada</w:t>
      </w:r>
      <w:r w:rsidRPr="00F3653F">
        <w:rPr>
          <w:shd w:val="clear" w:color="auto" w:fill="FFFFFF"/>
        </w:rPr>
        <w:t>, 2nd ed. Toronto: LexisNexis, 2015.</w:t>
      </w:r>
    </w:p>
    <w:p w14:paraId="1B442812" w14:textId="21442DB9" w:rsidR="0006760B" w:rsidRPr="00F3653F" w:rsidRDefault="0006760B" w:rsidP="00701887">
      <w:pPr>
        <w:pStyle w:val="SCCNormalDoubleSpacing"/>
        <w:spacing w:after="720" w:line="240" w:lineRule="auto"/>
        <w:ind w:left="540" w:hanging="540"/>
      </w:pPr>
      <w:r w:rsidRPr="00F3653F">
        <w:t>Lacombe,</w:t>
      </w:r>
      <w:r w:rsidR="00716010" w:rsidRPr="00F3653F">
        <w:t xml:space="preserve"> Étienne </w:t>
      </w:r>
      <w:r w:rsidRPr="00F3653F">
        <w:t xml:space="preserve">F. </w:t>
      </w:r>
      <w:r w:rsidR="00261D13" w:rsidRPr="00F3653F">
        <w:t>“</w:t>
      </w:r>
      <w:r w:rsidRPr="00F3653F">
        <w:t xml:space="preserve">Prioritizing Children’s Best Interests in Canadian Youth Justice: Article 3 of the UN </w:t>
      </w:r>
      <w:r w:rsidRPr="00F3653F">
        <w:rPr>
          <w:i/>
        </w:rPr>
        <w:t>Convention on the Rights of the Child</w:t>
      </w:r>
      <w:r w:rsidRPr="00F3653F">
        <w:t xml:space="preserve"> and Child</w:t>
      </w:r>
      <w:r w:rsidR="00C00B5B">
        <w:noBreakHyphen/>
      </w:r>
      <w:r w:rsidRPr="00F3653F">
        <w:t xml:space="preserve">Friendly Alternatives” (2017), 34 </w:t>
      </w:r>
      <w:r w:rsidRPr="00F3653F">
        <w:rPr>
          <w:i/>
        </w:rPr>
        <w:t xml:space="preserve">Windsor Y.B. Access Just. </w:t>
      </w:r>
      <w:r w:rsidRPr="00F3653F">
        <w:t>209.</w:t>
      </w:r>
    </w:p>
    <w:p w14:paraId="69291FB7" w14:textId="047320D0" w:rsidR="00656313" w:rsidRPr="00F3653F" w:rsidRDefault="009B57B3" w:rsidP="00701887">
      <w:pPr>
        <w:pStyle w:val="SCCNormalDoubleSpacing"/>
        <w:spacing w:after="480"/>
        <w:rPr>
          <w:lang w:val="en-US"/>
        </w:rPr>
      </w:pPr>
      <w:r w:rsidRPr="00F3653F">
        <w:lastRenderedPageBreak/>
        <w:tab/>
        <w:t xml:space="preserve">APPEAL from a </w:t>
      </w:r>
      <w:r w:rsidR="008B6824" w:rsidRPr="00F3653F">
        <w:t>decision</w:t>
      </w:r>
      <w:r w:rsidRPr="00F3653F">
        <w:t xml:space="preserve"> of the </w:t>
      </w:r>
      <w:r w:rsidR="009B45F5" w:rsidRPr="00F3653F">
        <w:t xml:space="preserve">Alberta </w:t>
      </w:r>
      <w:r w:rsidRPr="00F3653F">
        <w:t>Court of Queen</w:t>
      </w:r>
      <w:r w:rsidR="00EE12D4" w:rsidRPr="00F3653F">
        <w:t>’</w:t>
      </w:r>
      <w:r w:rsidRPr="00F3653F">
        <w:t xml:space="preserve">s Bench </w:t>
      </w:r>
      <w:r w:rsidR="008C29A2" w:rsidRPr="00F3653F">
        <w:t>(</w:t>
      </w:r>
      <w:r w:rsidR="003E3DAB" w:rsidRPr="00F3653F">
        <w:t>Renke</w:t>
      </w:r>
      <w:r w:rsidR="00716010" w:rsidRPr="00F3653F">
        <w:t> </w:t>
      </w:r>
      <w:r w:rsidR="003E3DAB" w:rsidRPr="00F3653F">
        <w:t>J.)</w:t>
      </w:r>
      <w:r w:rsidR="008B6824" w:rsidRPr="00F3653F">
        <w:t>,</w:t>
      </w:r>
      <w:r w:rsidR="00A315E3" w:rsidRPr="00F3653F">
        <w:t xml:space="preserve"> 190794529U1,</w:t>
      </w:r>
      <w:r w:rsidR="008B6824" w:rsidRPr="00F3653F">
        <w:t xml:space="preserve"> </w:t>
      </w:r>
      <w:r w:rsidR="00716010" w:rsidRPr="00F3653F">
        <w:t>October </w:t>
      </w:r>
      <w:r w:rsidR="00842DF6" w:rsidRPr="00F3653F">
        <w:t xml:space="preserve">9, 2019, </w:t>
      </w:r>
      <w:r w:rsidR="003346D8" w:rsidRPr="00F3653F">
        <w:t>ruling that a justice of a superior court does not have jurisdiction to hear and adjudicate an application for judicial interim release of a young person</w:t>
      </w:r>
      <w:r w:rsidR="00A315E3" w:rsidRPr="00F3653F">
        <w:t xml:space="preserve">. Appeal </w:t>
      </w:r>
      <w:r w:rsidR="009B45F5" w:rsidRPr="00F3653F">
        <w:t>allowed</w:t>
      </w:r>
      <w:r w:rsidR="00A315E3" w:rsidRPr="00F3653F">
        <w:t>.</w:t>
      </w:r>
    </w:p>
    <w:p w14:paraId="01CC3AA5" w14:textId="77777777" w:rsidR="00132D5C" w:rsidRPr="00F3653F" w:rsidRDefault="00673449" w:rsidP="00701887">
      <w:pPr>
        <w:pStyle w:val="SCCNormalDoubleSpacing"/>
        <w:spacing w:after="480"/>
      </w:pPr>
      <w:r w:rsidRPr="00F3653F">
        <w:rPr>
          <w:rStyle w:val="SCCCounselNameChar"/>
        </w:rPr>
        <w:tab/>
        <w:t>Graham Johnson</w:t>
      </w:r>
      <w:r w:rsidRPr="00F3653F">
        <w:rPr>
          <w:rStyle w:val="SCCCounselPartyRoleChar"/>
        </w:rPr>
        <w:t>, for the appellant.</w:t>
      </w:r>
    </w:p>
    <w:p w14:paraId="7CF21353" w14:textId="072BE1BC" w:rsidR="00132D5C" w:rsidRDefault="00716010" w:rsidP="00190ED6">
      <w:pPr>
        <w:pStyle w:val="SCCNormalDoubleSpacing"/>
        <w:spacing w:after="480"/>
        <w:rPr>
          <w:rStyle w:val="SCCCounselPartyRoleChar"/>
        </w:rPr>
      </w:pPr>
      <w:r w:rsidRPr="00F3653F">
        <w:rPr>
          <w:rStyle w:val="SCCCounselNameChar"/>
        </w:rPr>
        <w:tab/>
        <w:t>Matthew </w:t>
      </w:r>
      <w:r w:rsidR="00673449" w:rsidRPr="00F3653F">
        <w:rPr>
          <w:rStyle w:val="SCCCounselNameChar"/>
        </w:rPr>
        <w:t>W. Griener</w:t>
      </w:r>
      <w:r w:rsidR="00673449" w:rsidRPr="00F3653F">
        <w:rPr>
          <w:rStyle w:val="SCCCounselPartyRoleChar"/>
        </w:rPr>
        <w:t>, for the respondent.</w:t>
      </w:r>
    </w:p>
    <w:p w14:paraId="7E4F412E" w14:textId="638EB83A" w:rsidR="00190ED6" w:rsidRDefault="001F1EE2" w:rsidP="001F1EE2">
      <w:pPr>
        <w:pStyle w:val="ParaNoNdepar-AltN"/>
        <w:numPr>
          <w:ilvl w:val="0"/>
          <w:numId w:val="0"/>
        </w:numPr>
        <w:tabs>
          <w:tab w:val="left" w:pos="1166"/>
        </w:tabs>
      </w:pPr>
      <w:r>
        <w:tab/>
      </w:r>
      <w:r w:rsidR="00190ED6" w:rsidRPr="00397FF7">
        <w:t xml:space="preserve">The </w:t>
      </w:r>
      <w:r w:rsidR="00190ED6">
        <w:t>judgment of the Court was</w:t>
      </w:r>
      <w:r w:rsidR="00190ED6" w:rsidRPr="00397FF7">
        <w:t xml:space="preserve"> delivered by</w:t>
      </w:r>
    </w:p>
    <w:p w14:paraId="41848DFA" w14:textId="77777777" w:rsidR="00190ED6" w:rsidRPr="00397FF7" w:rsidRDefault="00190ED6" w:rsidP="00190ED6"/>
    <w:p w14:paraId="268614FE" w14:textId="77777777" w:rsidR="00190ED6" w:rsidRPr="00512C71" w:rsidRDefault="00190ED6" w:rsidP="00190ED6">
      <w:pPr>
        <w:pStyle w:val="JudgeJuge"/>
      </w:pPr>
      <w:r w:rsidRPr="00512C71">
        <w:tab/>
        <w:t xml:space="preserve">Brown J. — </w:t>
      </w:r>
    </w:p>
    <w:p w14:paraId="00E00CD9" w14:textId="77777777" w:rsidR="00190ED6" w:rsidRPr="00512C71" w:rsidRDefault="00190ED6" w:rsidP="00190ED6">
      <w:pPr>
        <w:pStyle w:val="Title1LevelTitre1Niveau-AltL"/>
        <w:rPr>
          <w:rFonts w:cs="Times New Roman"/>
        </w:rPr>
      </w:pPr>
      <w:r w:rsidRPr="00512C71">
        <w:rPr>
          <w:rFonts w:cs="Times New Roman"/>
        </w:rPr>
        <w:t>Overview</w:t>
      </w:r>
    </w:p>
    <w:p w14:paraId="2E5999A1" w14:textId="77777777" w:rsidR="00190ED6" w:rsidRPr="00512C71" w:rsidRDefault="00190ED6" w:rsidP="00190ED6">
      <w:pPr>
        <w:pStyle w:val="ParaNoNdepar-AltN"/>
        <w:rPr>
          <w:rFonts w:cs="Times New Roman"/>
        </w:rPr>
      </w:pPr>
      <w:r w:rsidRPr="00512C71">
        <w:rPr>
          <w:rFonts w:cs="Times New Roman"/>
        </w:rPr>
        <w:t xml:space="preserve">The narrow issue before us is this: does a justice of a superior court of criminal jurisdiction have jurisdiction to hear and adjudicate an application for judicial interim release of a young person charged with an offence listed in s. 469 of the </w:t>
      </w:r>
      <w:r w:rsidRPr="00512C71">
        <w:rPr>
          <w:rFonts w:cs="Times New Roman"/>
          <w:i/>
        </w:rPr>
        <w:t>Criminal Code</w:t>
      </w:r>
      <w:r w:rsidRPr="00512C71">
        <w:rPr>
          <w:rFonts w:cs="Times New Roman"/>
        </w:rPr>
        <w:t>, R.S.C. 1985, c. C</w:t>
      </w:r>
      <w:r w:rsidRPr="00512C71">
        <w:rPr>
          <w:rFonts w:cs="Times New Roman"/>
        </w:rPr>
        <w:noBreakHyphen/>
        <w:t xml:space="preserve">46? And, if so, (1) under what circumstances? and (2) is such jurisdiction exclusive, or is it held concurrently with judges of the designated youth justice court for the province? </w:t>
      </w:r>
    </w:p>
    <w:p w14:paraId="3E678331" w14:textId="77777777" w:rsidR="00190ED6" w:rsidRPr="00512C71" w:rsidRDefault="00190ED6" w:rsidP="00190ED6">
      <w:pPr>
        <w:pStyle w:val="ParaNoNdepar-AltN"/>
        <w:rPr>
          <w:rFonts w:cs="Times New Roman"/>
        </w:rPr>
      </w:pPr>
      <w:r w:rsidRPr="00512C71">
        <w:rPr>
          <w:rFonts w:cs="Times New Roman"/>
        </w:rPr>
        <w:t xml:space="preserve">This appeal is brought by T.J.M., a young person, who was charged with an offence listed in s. 469 of the </w:t>
      </w:r>
      <w:r w:rsidRPr="00512C71">
        <w:rPr>
          <w:rFonts w:cs="Times New Roman"/>
          <w:i/>
        </w:rPr>
        <w:t>Criminal Code</w:t>
      </w:r>
      <w:r w:rsidRPr="00512C71">
        <w:rPr>
          <w:rFonts w:cs="Times New Roman"/>
        </w:rPr>
        <w:t>. The Crown gave notice of its intention to seek an adult sentence for second degree murder, entitling T.J.M. to elect the mode of trial. He elected trial by a superior court judge sitting without a jury, requested a preliminary inquiry, and sought judicial interim release before the application judge, who is a justice of the Court of Queen’s Bench of Alberta. The application judge held that he had no jurisdiction to grant judicial interim release to a young person, finding that Parliament had vested exclusive jurisdiction in the designated youth court for the province ⸺ in this case, the Provincial Court of Alberta (</w:t>
      </w:r>
      <w:r w:rsidRPr="00512C71">
        <w:rPr>
          <w:rFonts w:cs="Times New Roman"/>
          <w:i/>
        </w:rPr>
        <w:t>Provincial Court Act</w:t>
      </w:r>
      <w:r w:rsidRPr="00512C71">
        <w:rPr>
          <w:rFonts w:cs="Times New Roman"/>
        </w:rPr>
        <w:t>, R.S.A. 2000, c. P</w:t>
      </w:r>
      <w:r w:rsidRPr="00512C71">
        <w:rPr>
          <w:rFonts w:cs="Times New Roman"/>
        </w:rPr>
        <w:noBreakHyphen/>
        <w:t xml:space="preserve">31, s. 11). </w:t>
      </w:r>
    </w:p>
    <w:p w14:paraId="2420BBA4" w14:textId="77777777" w:rsidR="00190ED6" w:rsidRPr="00512C71" w:rsidRDefault="00190ED6" w:rsidP="00190ED6">
      <w:pPr>
        <w:pStyle w:val="ParaNoNdepar-AltN"/>
        <w:rPr>
          <w:rFonts w:cs="Times New Roman"/>
        </w:rPr>
      </w:pPr>
      <w:r w:rsidRPr="00512C71">
        <w:rPr>
          <w:rFonts w:cs="Times New Roman"/>
        </w:rPr>
        <w:t xml:space="preserve">Upon examination of the pertinent provisions of the </w:t>
      </w:r>
      <w:r w:rsidRPr="00512C71">
        <w:rPr>
          <w:rFonts w:cs="Times New Roman"/>
          <w:i/>
        </w:rPr>
        <w:t>Youth Criminal Justice Act</w:t>
      </w:r>
      <w:r w:rsidRPr="00512C71">
        <w:rPr>
          <w:rFonts w:cs="Times New Roman"/>
        </w:rPr>
        <w:t>, S.C. 2002, c. 1 (“</w:t>
      </w:r>
      <w:r w:rsidRPr="00512C71">
        <w:rPr>
          <w:rFonts w:cs="Times New Roman"/>
          <w:i/>
        </w:rPr>
        <w:t>YCJA</w:t>
      </w:r>
      <w:r w:rsidRPr="00512C71">
        <w:rPr>
          <w:rFonts w:cs="Times New Roman"/>
        </w:rPr>
        <w:t xml:space="preserve">”), and of the </w:t>
      </w:r>
      <w:r w:rsidRPr="00512C71">
        <w:rPr>
          <w:rFonts w:cs="Times New Roman"/>
          <w:i/>
        </w:rPr>
        <w:t>Criminal Code</w:t>
      </w:r>
      <w:r w:rsidRPr="00512C71">
        <w:rPr>
          <w:rFonts w:cs="Times New Roman"/>
        </w:rPr>
        <w:t xml:space="preserve">, and for the reasons that follow, I respectfully draw the opposite conclusion: a superior court justice has jurisdiction to hear and decide an application for judicial interim release brought by a young person charged with an offence listed in s. 469 of the </w:t>
      </w:r>
      <w:r w:rsidRPr="00512C71">
        <w:rPr>
          <w:rFonts w:cs="Times New Roman"/>
          <w:i/>
        </w:rPr>
        <w:t>Criminal Code</w:t>
      </w:r>
      <w:r w:rsidRPr="00512C71">
        <w:rPr>
          <w:rFonts w:cs="Times New Roman"/>
        </w:rPr>
        <w:t xml:space="preserve">. Further, that jurisdiction is held concurrently with the judges of the designated youth justice court for the province. I would therefore allow the appeal, but would make no further order. Both the Crown and the appellant, T.J.M., agree that this appeal is moot, the Crown having entered a stay of proceedings, but say that it is open to this Court to exercise its discretion to hear the merits of the appeal in accordance with </w:t>
      </w:r>
      <w:r w:rsidRPr="00512C71">
        <w:rPr>
          <w:rFonts w:cs="Times New Roman"/>
          <w:i/>
        </w:rPr>
        <w:t>Borowski v. Canada (Attorney General)</w:t>
      </w:r>
      <w:r w:rsidRPr="00512C71">
        <w:rPr>
          <w:rFonts w:cs="Times New Roman"/>
        </w:rPr>
        <w:t>, [1989] 1 S.C.R. 342, at pp. 358</w:t>
      </w:r>
      <w:r w:rsidRPr="00512C71">
        <w:rPr>
          <w:rFonts w:cs="Times New Roman"/>
        </w:rPr>
        <w:noBreakHyphen/>
        <w:t xml:space="preserve">63. I agree. </w:t>
      </w:r>
    </w:p>
    <w:p w14:paraId="16CB53A7" w14:textId="77777777" w:rsidR="00190ED6" w:rsidRPr="00512C71" w:rsidRDefault="00190ED6" w:rsidP="00190ED6">
      <w:pPr>
        <w:pStyle w:val="Title1LevelTitre1Niveau-AltL"/>
        <w:rPr>
          <w:rFonts w:cs="Times New Roman"/>
        </w:rPr>
      </w:pPr>
      <w:r w:rsidRPr="00512C71">
        <w:rPr>
          <w:rFonts w:cs="Times New Roman"/>
        </w:rPr>
        <w:t>Analysis</w:t>
      </w:r>
    </w:p>
    <w:p w14:paraId="1154F5AD" w14:textId="77777777" w:rsidR="00190ED6" w:rsidRPr="00512C71" w:rsidRDefault="00190ED6" w:rsidP="00190ED6">
      <w:pPr>
        <w:pStyle w:val="Title2LevelTitre2Niveau"/>
        <w:rPr>
          <w:rFonts w:cs="Times New Roman"/>
        </w:rPr>
      </w:pPr>
      <w:r w:rsidRPr="00512C71">
        <w:rPr>
          <w:rFonts w:cs="Times New Roman"/>
        </w:rPr>
        <w:t>The Youth Justice Court Judge</w:t>
      </w:r>
    </w:p>
    <w:p w14:paraId="0361B6AF" w14:textId="77777777" w:rsidR="00190ED6" w:rsidRPr="00512C71" w:rsidRDefault="00190ED6" w:rsidP="00190ED6">
      <w:pPr>
        <w:pStyle w:val="ParaNoNdepar-AltN"/>
        <w:rPr>
          <w:rFonts w:cs="Times New Roman"/>
        </w:rPr>
      </w:pPr>
      <w:r w:rsidRPr="00512C71">
        <w:rPr>
          <w:rFonts w:cs="Times New Roman"/>
        </w:rPr>
        <w:lastRenderedPageBreak/>
        <w:t xml:space="preserve">Section 33(8) of the </w:t>
      </w:r>
      <w:r w:rsidRPr="00512C71">
        <w:rPr>
          <w:rFonts w:cs="Times New Roman"/>
          <w:i/>
        </w:rPr>
        <w:t xml:space="preserve">YCJA </w:t>
      </w:r>
      <w:r w:rsidRPr="00512C71">
        <w:rPr>
          <w:rFonts w:cs="Times New Roman"/>
        </w:rPr>
        <w:t>provides that “</w:t>
      </w:r>
      <w:r w:rsidRPr="00512C71">
        <w:rPr>
          <w:rFonts w:cs="Times New Roman"/>
          <w:u w:val="single"/>
        </w:rPr>
        <w:t>a youth justice court judge</w:t>
      </w:r>
      <w:r w:rsidRPr="00512C71">
        <w:rPr>
          <w:rFonts w:cs="Times New Roman"/>
        </w:rPr>
        <w:t xml:space="preserve">, but no other court, judge or justice” may order the release of a young person charged with an offence referred to in s. 522 of the </w:t>
      </w:r>
      <w:r w:rsidRPr="00512C71">
        <w:rPr>
          <w:rFonts w:cs="Times New Roman"/>
          <w:i/>
        </w:rPr>
        <w:t>Criminal Code</w:t>
      </w:r>
      <w:r w:rsidRPr="00512C71">
        <w:rPr>
          <w:rFonts w:cs="Times New Roman"/>
        </w:rPr>
        <w:t xml:space="preserve">. Section 522 incorporates s. 469 offences by reference. Central to deciding this appeal, then, is identifying who is “a youth justice court judge”. This appeal therefore rests on the proper interpretation of certain provisions of the </w:t>
      </w:r>
      <w:r w:rsidRPr="00512C71">
        <w:rPr>
          <w:rFonts w:cs="Times New Roman"/>
          <w:i/>
        </w:rPr>
        <w:t xml:space="preserve">YCJA </w:t>
      </w:r>
      <w:r w:rsidRPr="00512C71">
        <w:rPr>
          <w:rFonts w:cs="Times New Roman"/>
        </w:rPr>
        <w:t xml:space="preserve">touching on this question. </w:t>
      </w:r>
    </w:p>
    <w:p w14:paraId="56A9F9F7" w14:textId="77777777" w:rsidR="00190ED6" w:rsidRPr="00512C71" w:rsidRDefault="00190ED6" w:rsidP="00190ED6">
      <w:pPr>
        <w:pStyle w:val="ParaNoNdepar-AltN"/>
        <w:rPr>
          <w:rFonts w:cs="Times New Roman"/>
        </w:rPr>
      </w:pPr>
      <w:r w:rsidRPr="00512C71">
        <w:rPr>
          <w:rFonts w:cs="Times New Roman"/>
        </w:rPr>
        <w:t xml:space="preserve">Section 2 of the </w:t>
      </w:r>
      <w:r w:rsidRPr="00512C71">
        <w:rPr>
          <w:rFonts w:cs="Times New Roman"/>
          <w:i/>
        </w:rPr>
        <w:t xml:space="preserve">YCJA </w:t>
      </w:r>
      <w:r w:rsidRPr="00512C71">
        <w:rPr>
          <w:rFonts w:cs="Times New Roman"/>
        </w:rPr>
        <w:t xml:space="preserve">defines a “youth justice court” and a “youth justice court judge” as “a youth justice court referred to in section 13” and “a youth justice court judge referred to in section 13”, respectively. </w:t>
      </w:r>
    </w:p>
    <w:p w14:paraId="51E760E1" w14:textId="77777777" w:rsidR="00190ED6" w:rsidRPr="00512C71" w:rsidRDefault="00190ED6" w:rsidP="00190ED6">
      <w:pPr>
        <w:pStyle w:val="ParaNoNdepar-AltN"/>
        <w:rPr>
          <w:rFonts w:cs="Times New Roman"/>
        </w:rPr>
      </w:pPr>
      <w:r w:rsidRPr="00512C71">
        <w:rPr>
          <w:rFonts w:cs="Times New Roman"/>
        </w:rPr>
        <w:t>Section 13 provides, in relevant part:</w:t>
      </w:r>
    </w:p>
    <w:p w14:paraId="347C8403" w14:textId="77777777" w:rsidR="00190ED6" w:rsidRPr="00512C71" w:rsidRDefault="00190ED6" w:rsidP="00190ED6">
      <w:pPr>
        <w:pStyle w:val="Citation-AltC"/>
        <w:rPr>
          <w:b/>
          <w:lang w:val="en-US"/>
        </w:rPr>
      </w:pPr>
      <w:r w:rsidRPr="00512C71">
        <w:rPr>
          <w:b/>
          <w:lang w:val="en-US"/>
        </w:rPr>
        <w:t>Designation of the youth justice court</w:t>
      </w:r>
    </w:p>
    <w:p w14:paraId="27E12CA0" w14:textId="77777777" w:rsidR="00190ED6" w:rsidRPr="00512C71" w:rsidRDefault="00190ED6" w:rsidP="00190ED6">
      <w:pPr>
        <w:pStyle w:val="Citation-AltC"/>
        <w:rPr>
          <w:b/>
          <w:lang w:val="en-US"/>
        </w:rPr>
      </w:pPr>
      <w:r w:rsidRPr="00512C71">
        <w:rPr>
          <w:b/>
          <w:lang w:val="en-US"/>
        </w:rPr>
        <w:t>13 (1)</w:t>
      </w:r>
      <w:r w:rsidRPr="00512C71">
        <w:rPr>
          <w:lang w:val="en-US"/>
        </w:rPr>
        <w:t xml:space="preserve"> A youth justice court is any court that may be established or designated by or under an Act of the legislature of a province, or designated by the Governor in Council or the lieutenant governor in council of a province, as a youth justice court for the purposes of this Act, and a youth justice court judge is a person who may be appointed or designated as a judge of the youth justice court or a judge sitting in a court established or designated as a youth justice court.</w:t>
      </w:r>
    </w:p>
    <w:p w14:paraId="0479BF2F" w14:textId="77777777" w:rsidR="00190ED6" w:rsidRPr="00512C71" w:rsidRDefault="00190ED6" w:rsidP="00190ED6">
      <w:pPr>
        <w:pStyle w:val="Citation-AltC"/>
        <w:rPr>
          <w:b/>
          <w:lang w:val="en-US"/>
        </w:rPr>
      </w:pPr>
    </w:p>
    <w:p w14:paraId="4DA8255F" w14:textId="77777777" w:rsidR="00190ED6" w:rsidRPr="00512C71" w:rsidRDefault="00190ED6" w:rsidP="00190ED6">
      <w:pPr>
        <w:pStyle w:val="Citation-AltC"/>
        <w:rPr>
          <w:b/>
          <w:lang w:val="en-US"/>
        </w:rPr>
      </w:pPr>
      <w:r w:rsidRPr="00512C71">
        <w:rPr>
          <w:b/>
          <w:lang w:val="en-US"/>
        </w:rPr>
        <w:t>Deemed youth justice court</w:t>
      </w:r>
    </w:p>
    <w:p w14:paraId="46AE894C" w14:textId="77777777" w:rsidR="00190ED6" w:rsidRPr="00512C71" w:rsidRDefault="00190ED6" w:rsidP="00190ED6">
      <w:pPr>
        <w:pStyle w:val="Citation-AltC"/>
        <w:rPr>
          <w:lang w:val="en-US"/>
        </w:rPr>
      </w:pPr>
      <w:r w:rsidRPr="00512C71">
        <w:rPr>
          <w:b/>
          <w:lang w:val="en-US"/>
        </w:rPr>
        <w:t>(2)</w:t>
      </w:r>
      <w:r w:rsidRPr="00512C71">
        <w:rPr>
          <w:lang w:val="en-US"/>
        </w:rPr>
        <w:t xml:space="preserve"> When a young person elects to be tried by a judge without a jury, the judge shall be a judge as defined in section 552 of the </w:t>
      </w:r>
      <w:r w:rsidRPr="00512C71">
        <w:rPr>
          <w:i/>
          <w:iCs/>
          <w:lang w:val="en-US"/>
        </w:rPr>
        <w:t>Criminal Code</w:t>
      </w:r>
      <w:r w:rsidRPr="00512C71">
        <w:rPr>
          <w:lang w:val="en-US"/>
        </w:rPr>
        <w:t>, or if it is an offence set out in section 469 of that Act, the judge shall be a judge of the superior court of criminal jurisdiction in the province in which the election is made. In either case, the judge is deemed to be a youth justice court judge and the court is deemed to be a youth justice court for the purpose of the proceeding.</w:t>
      </w:r>
    </w:p>
    <w:p w14:paraId="30D61602" w14:textId="77777777" w:rsidR="00190ED6" w:rsidRPr="00512C71" w:rsidRDefault="00190ED6" w:rsidP="00190ED6">
      <w:pPr>
        <w:pStyle w:val="Citation-AltC"/>
        <w:rPr>
          <w:b/>
          <w:lang w:val="en-US"/>
        </w:rPr>
      </w:pPr>
    </w:p>
    <w:p w14:paraId="201705B3" w14:textId="77777777" w:rsidR="00190ED6" w:rsidRPr="00512C71" w:rsidRDefault="00190ED6" w:rsidP="00190ED6">
      <w:pPr>
        <w:pStyle w:val="Citation-AltC"/>
        <w:rPr>
          <w:b/>
          <w:lang w:val="en-US"/>
        </w:rPr>
      </w:pPr>
      <w:r w:rsidRPr="00512C71">
        <w:rPr>
          <w:b/>
          <w:lang w:val="en-US"/>
        </w:rPr>
        <w:t>Deemed youth justice court</w:t>
      </w:r>
    </w:p>
    <w:p w14:paraId="2E4255A2" w14:textId="77777777" w:rsidR="00190ED6" w:rsidRPr="00512C71" w:rsidRDefault="00190ED6" w:rsidP="00190ED6">
      <w:pPr>
        <w:pStyle w:val="Citation-AltC"/>
      </w:pPr>
      <w:r w:rsidRPr="00512C71">
        <w:rPr>
          <w:b/>
          <w:lang w:val="en-US"/>
        </w:rPr>
        <w:t>(3)</w:t>
      </w:r>
      <w:r w:rsidRPr="00512C71">
        <w:rPr>
          <w:lang w:val="en-US"/>
        </w:rPr>
        <w:t xml:space="preserve"> When a young person elects or is deemed to have elected to be tried by a court composed of a judge and jury, the superior court of criminal </w:t>
      </w:r>
      <w:r w:rsidRPr="00512C71">
        <w:rPr>
          <w:lang w:val="en-US"/>
        </w:rPr>
        <w:lastRenderedPageBreak/>
        <w:t>jurisdiction in the province in which the election is made or deemed to have been made is deemed to be a youth justice court for the purpose of the proceeding, and the superior court judge is deemed to be a youth justice court judge.</w:t>
      </w:r>
    </w:p>
    <w:p w14:paraId="41DBE4C5" w14:textId="61B57967" w:rsidR="00190ED6" w:rsidRPr="00512C71" w:rsidRDefault="00190ED6" w:rsidP="00190ED6">
      <w:pPr>
        <w:pStyle w:val="ParaNoNdepar-AltN"/>
        <w:rPr>
          <w:rFonts w:cs="Times New Roman"/>
        </w:rPr>
      </w:pPr>
      <w:r w:rsidRPr="00512C71">
        <w:rPr>
          <w:rFonts w:cs="Times New Roman"/>
        </w:rPr>
        <w:t>Section 13(1), therefore, designates as a youth justice court “any court . . . established or designated by . . . [the province] as a youth justice court”, and designates as a youth justice court judge “a judge sitting in [the] court established . . . as [the] youth just</w:t>
      </w:r>
      <w:r w:rsidR="00B23F7F">
        <w:rPr>
          <w:rFonts w:cs="Times New Roman"/>
        </w:rPr>
        <w:t xml:space="preserve">ice court”. Sections 13(2) and </w:t>
      </w:r>
      <w:r w:rsidRPr="00512C71">
        <w:rPr>
          <w:rFonts w:cs="Times New Roman"/>
        </w:rPr>
        <w:t xml:space="preserve">(3) apply where any of the three circumstances described in s. 67 of the </w:t>
      </w:r>
      <w:r w:rsidRPr="00512C71">
        <w:rPr>
          <w:rFonts w:cs="Times New Roman"/>
          <w:i/>
        </w:rPr>
        <w:t>YCJA</w:t>
      </w:r>
      <w:r w:rsidRPr="00512C71">
        <w:rPr>
          <w:rFonts w:cs="Times New Roman"/>
        </w:rPr>
        <w:t xml:space="preserve"> as triggering a right to election</w:t>
      </w:r>
      <w:r w:rsidRPr="00190ED6">
        <w:rPr>
          <w:rStyle w:val="Hyperlink"/>
          <w:vertAlign w:val="superscript"/>
        </w:rPr>
        <w:footnoteReference w:id="1"/>
      </w:r>
      <w:r w:rsidRPr="00512C71">
        <w:rPr>
          <w:rFonts w:cs="Times New Roman"/>
        </w:rPr>
        <w:t xml:space="preserve"> apply, and the young person elects to be tried by a judge with or without a jury. In the case of a young person charged with a s. 469 offence, a judge of the superior court will have jurisdiction when the young person elects a trial in the superior court of criminal jurisdiction sitting without (in the case of s. 13(2)) or with (in the case of s. 13(3)) a jury. This is because, when a young person charged with a s. 469 offence is put to an election, s. 67(2) of the </w:t>
      </w:r>
      <w:r w:rsidRPr="00512C71">
        <w:rPr>
          <w:rFonts w:cs="Times New Roman"/>
          <w:i/>
        </w:rPr>
        <w:t xml:space="preserve">YCJA </w:t>
      </w:r>
      <w:r w:rsidRPr="00512C71">
        <w:rPr>
          <w:rFonts w:cs="Times New Roman"/>
        </w:rPr>
        <w:t xml:space="preserve">gives the young person three options: (1) a trial before a s. 13(1) judge of the court designated by the province as a youth justice court; (2) a trial before a judge of the superior court of criminal jurisdiction, who is </w:t>
      </w:r>
      <w:r w:rsidRPr="00512C71">
        <w:rPr>
          <w:rFonts w:cs="Times New Roman"/>
          <w:i/>
        </w:rPr>
        <w:t>deemed</w:t>
      </w:r>
      <w:r w:rsidRPr="00512C71">
        <w:rPr>
          <w:rFonts w:cs="Times New Roman"/>
        </w:rPr>
        <w:t xml:space="preserve"> by s. 13(2) to be a youth justice court judge, sitting alone; and (3) a trial before a judge of the </w:t>
      </w:r>
      <w:r w:rsidRPr="00512C71">
        <w:rPr>
          <w:rFonts w:cs="Times New Roman"/>
        </w:rPr>
        <w:lastRenderedPageBreak/>
        <w:t xml:space="preserve">superior court of criminal jurisdiction, who is </w:t>
      </w:r>
      <w:r w:rsidRPr="00512C71">
        <w:rPr>
          <w:rFonts w:cs="Times New Roman"/>
          <w:i/>
        </w:rPr>
        <w:t>deemed</w:t>
      </w:r>
      <w:r w:rsidRPr="00512C71">
        <w:rPr>
          <w:rFonts w:cs="Times New Roman"/>
        </w:rPr>
        <w:t xml:space="preserve"> by s. 13(3) to be a youth justice court judge, sitting with a jury. </w:t>
      </w:r>
    </w:p>
    <w:p w14:paraId="2BE426E5" w14:textId="77777777" w:rsidR="00190ED6" w:rsidRPr="00512C71" w:rsidRDefault="00190ED6" w:rsidP="00190ED6">
      <w:pPr>
        <w:pStyle w:val="ParaNoNdepar-AltN"/>
        <w:rPr>
          <w:rFonts w:cs="Times New Roman"/>
        </w:rPr>
      </w:pPr>
      <w:r w:rsidRPr="00512C71">
        <w:rPr>
          <w:rFonts w:cs="Times New Roman"/>
        </w:rPr>
        <w:t xml:space="preserve">The critical point is this: irrespective of the mode of trial elected, the </w:t>
      </w:r>
      <w:r w:rsidRPr="00512C71">
        <w:rPr>
          <w:rFonts w:cs="Times New Roman"/>
          <w:i/>
        </w:rPr>
        <w:t>YCJA</w:t>
      </w:r>
      <w:r w:rsidRPr="00512C71">
        <w:rPr>
          <w:rFonts w:cs="Times New Roman"/>
        </w:rPr>
        <w:t xml:space="preserve"> requires that a young person be tried before </w:t>
      </w:r>
      <w:r w:rsidRPr="00512C71">
        <w:rPr>
          <w:rFonts w:cs="Times New Roman"/>
          <w:i/>
        </w:rPr>
        <w:t>a youth justice court judge</w:t>
      </w:r>
      <w:r w:rsidRPr="00512C71">
        <w:rPr>
          <w:rFonts w:cs="Times New Roman"/>
        </w:rPr>
        <w:t xml:space="preserve">. This is so, whether the trial is before a judge of the provincially designated youth justice court under s. 13(1), or before a superior court justice who is </w:t>
      </w:r>
      <w:r w:rsidRPr="00512C71">
        <w:rPr>
          <w:rFonts w:cs="Times New Roman"/>
          <w:i/>
        </w:rPr>
        <w:t>deemed</w:t>
      </w:r>
      <w:r w:rsidRPr="00512C71">
        <w:rPr>
          <w:rFonts w:cs="Times New Roman"/>
        </w:rPr>
        <w:t xml:space="preserve"> a youth justice court judge under s. 13(2) (where sitting alone) or under s. 13(3) (where sitting with a jury). And in the latter two instances ⸺ that is, where a superior court judge becomes a youth justice court judge by operation of the deeming provisions in s. 13(2) or s. 13(3)</w:t>
      </w:r>
      <w:r>
        <w:rPr>
          <w:rFonts w:cs="Times New Roman"/>
        </w:rPr>
        <w:t xml:space="preserve"> </w:t>
      </w:r>
      <w:r w:rsidRPr="00512C71">
        <w:rPr>
          <w:rFonts w:cs="Times New Roman"/>
        </w:rPr>
        <w:t xml:space="preserve">⸺ the superior court is so deemed “for the purpose of </w:t>
      </w:r>
      <w:r w:rsidRPr="00512C71">
        <w:rPr>
          <w:rFonts w:cs="Times New Roman"/>
          <w:u w:val="single"/>
        </w:rPr>
        <w:t>the proceeding</w:t>
      </w:r>
      <w:r w:rsidRPr="00512C71">
        <w:rPr>
          <w:rFonts w:cs="Times New Roman"/>
        </w:rPr>
        <w:t>”. It is to the meaning of that statutory text that I now turn.</w:t>
      </w:r>
    </w:p>
    <w:p w14:paraId="6AB4E40C" w14:textId="77777777" w:rsidR="00190ED6" w:rsidRPr="00512C71" w:rsidRDefault="00190ED6" w:rsidP="00190ED6">
      <w:pPr>
        <w:pStyle w:val="Title2LevelTitre2Niveau"/>
        <w:rPr>
          <w:rFonts w:cs="Times New Roman"/>
        </w:rPr>
      </w:pPr>
      <w:r w:rsidRPr="00512C71">
        <w:rPr>
          <w:rFonts w:cs="Times New Roman"/>
        </w:rPr>
        <w:t>The Meaning of “Proceeding” as Stated in Sections 13(2) and 13(3)</w:t>
      </w:r>
    </w:p>
    <w:p w14:paraId="389D9DCA" w14:textId="77777777" w:rsidR="00190ED6" w:rsidRPr="00512C71" w:rsidRDefault="00190ED6" w:rsidP="00190ED6">
      <w:pPr>
        <w:pStyle w:val="ParaNoNdepar-AltN"/>
        <w:rPr>
          <w:rFonts w:cs="Times New Roman"/>
        </w:rPr>
      </w:pPr>
      <w:r w:rsidRPr="00512C71">
        <w:rPr>
          <w:rFonts w:cs="Times New Roman"/>
        </w:rPr>
        <w:t xml:space="preserve">If a superior court justice is deemed, by s. 13(2), a youth justice court judge “for the purpose of </w:t>
      </w:r>
      <w:r w:rsidRPr="00512C71">
        <w:rPr>
          <w:rFonts w:cs="Times New Roman"/>
          <w:u w:val="single"/>
        </w:rPr>
        <w:t>the proceeding</w:t>
      </w:r>
      <w:r w:rsidRPr="00512C71">
        <w:rPr>
          <w:rFonts w:cs="Times New Roman"/>
        </w:rPr>
        <w:t>”, what procedural steps fall within “the proceeding”? The application judge concluded “the proceeding” refers only to the trial. T.J.M. argues that it has broader application, and that it governs his application for judicial interim release. I agree; the scope of the term “the proceeding”, as it is used in these two sections, is not confined to the trial. Rather, and as I will now explain, it includes any step taken by a youth justice court judge after the young person elects to be tried at the superior court, including any pre</w:t>
      </w:r>
      <w:r w:rsidRPr="00512C71">
        <w:rPr>
          <w:rFonts w:cs="Times New Roman"/>
        </w:rPr>
        <w:noBreakHyphen/>
        <w:t xml:space="preserve">trial application for judicial interim release. </w:t>
      </w:r>
    </w:p>
    <w:p w14:paraId="11BB2AC6" w14:textId="77777777" w:rsidR="00190ED6" w:rsidRPr="00512C71" w:rsidRDefault="00190ED6" w:rsidP="00190ED6">
      <w:pPr>
        <w:pStyle w:val="ParaNoNdepar-AltN"/>
        <w:rPr>
          <w:rFonts w:cs="Times New Roman"/>
        </w:rPr>
      </w:pPr>
      <w:r w:rsidRPr="00512C71">
        <w:rPr>
          <w:rFonts w:cs="Times New Roman"/>
        </w:rPr>
        <w:lastRenderedPageBreak/>
        <w:t xml:space="preserve">The term “the proceeding” is not defined in the </w:t>
      </w:r>
      <w:r w:rsidRPr="00512C71">
        <w:rPr>
          <w:rFonts w:cs="Times New Roman"/>
          <w:i/>
        </w:rPr>
        <w:t>YCJA</w:t>
      </w:r>
      <w:r w:rsidRPr="00512C71">
        <w:rPr>
          <w:rFonts w:cs="Times New Roman"/>
        </w:rPr>
        <w:t>. The resolution to this issue therefore lies in the principles of statutory interpretation, by which the statutory text is to be read in its grammatical and ordinary sense, and understood in the context of the entire statute and in harmony with the statute’s schemes and objects.</w:t>
      </w:r>
    </w:p>
    <w:p w14:paraId="54649FFB" w14:textId="77777777" w:rsidR="00190ED6" w:rsidRPr="00512C71" w:rsidRDefault="00190ED6" w:rsidP="00190ED6">
      <w:pPr>
        <w:pStyle w:val="ParaNoNdepar-AltN"/>
        <w:rPr>
          <w:rFonts w:cs="Times New Roman"/>
          <w:lang w:val="en"/>
        </w:rPr>
      </w:pPr>
      <w:r w:rsidRPr="00512C71">
        <w:rPr>
          <w:rFonts w:cs="Times New Roman"/>
        </w:rPr>
        <w:t xml:space="preserve">The caselaw reveals three different approaches having variously prevailed. The first ⸺ which the application judge adopted ⸺ proceeds narrowly, equating “the proceeding” with the trial. This understands ss. 13(2) and 13(3) as deeming a superior court judge to be a youth justice court judge </w:t>
      </w:r>
      <w:r w:rsidRPr="00512C71">
        <w:rPr>
          <w:rFonts w:cs="Times New Roman"/>
          <w:i/>
        </w:rPr>
        <w:t>only</w:t>
      </w:r>
      <w:r w:rsidRPr="00512C71">
        <w:rPr>
          <w:rFonts w:cs="Times New Roman"/>
        </w:rPr>
        <w:t xml:space="preserve"> for the purpose of </w:t>
      </w:r>
      <w:r w:rsidRPr="00512C71">
        <w:rPr>
          <w:rFonts w:cs="Times New Roman"/>
          <w:i/>
        </w:rPr>
        <w:t>the trial</w:t>
      </w:r>
      <w:r w:rsidRPr="00512C71">
        <w:rPr>
          <w:rFonts w:cs="Times New Roman"/>
        </w:rPr>
        <w:t xml:space="preserve">, leaving a s. 13(1) youth justice court judge (meaning, in the circumstances of this appeal, a judge of the Provincial Court of Alberta) with </w:t>
      </w:r>
      <w:r w:rsidRPr="00512C71">
        <w:rPr>
          <w:rFonts w:cs="Times New Roman"/>
          <w:i/>
        </w:rPr>
        <w:t>exclusive</w:t>
      </w:r>
      <w:r w:rsidRPr="00512C71">
        <w:rPr>
          <w:rFonts w:cs="Times New Roman"/>
        </w:rPr>
        <w:t xml:space="preserve"> jurisdiction over the judicial interim release of young persons charged with s. 469 offences, irrespective of the mode of trial elected (see </w:t>
      </w:r>
      <w:r w:rsidRPr="00512C71">
        <w:rPr>
          <w:rFonts w:cs="Times New Roman"/>
          <w:i/>
        </w:rPr>
        <w:t>R. v. T.R.M.</w:t>
      </w:r>
      <w:r w:rsidRPr="00512C71">
        <w:rPr>
          <w:rFonts w:cs="Times New Roman"/>
        </w:rPr>
        <w:t>,</w:t>
      </w:r>
      <w:r w:rsidRPr="00512C71">
        <w:rPr>
          <w:rFonts w:cs="Times New Roman"/>
          <w:i/>
        </w:rPr>
        <w:t xml:space="preserve"> </w:t>
      </w:r>
      <w:r w:rsidRPr="00512C71">
        <w:rPr>
          <w:rFonts w:cs="Times New Roman"/>
        </w:rPr>
        <w:t>2013 ABQB 571, 571 A.R. 121, at paras. 63</w:t>
      </w:r>
      <w:r w:rsidRPr="00512C71">
        <w:rPr>
          <w:rFonts w:cs="Times New Roman"/>
        </w:rPr>
        <w:noBreakHyphen/>
        <w:t xml:space="preserve">64; </w:t>
      </w:r>
      <w:r w:rsidRPr="00512C71">
        <w:rPr>
          <w:rFonts w:cs="Times New Roman"/>
          <w:i/>
        </w:rPr>
        <w:t>R. v. K. (T.)</w:t>
      </w:r>
      <w:r w:rsidRPr="00512C71">
        <w:rPr>
          <w:rFonts w:cs="Times New Roman"/>
        </w:rPr>
        <w:t>,</w:t>
      </w:r>
      <w:r w:rsidRPr="00512C71">
        <w:rPr>
          <w:rFonts w:cs="Times New Roman"/>
          <w:i/>
        </w:rPr>
        <w:t xml:space="preserve"> </w:t>
      </w:r>
      <w:r w:rsidRPr="00512C71">
        <w:rPr>
          <w:rFonts w:cs="Times New Roman"/>
        </w:rPr>
        <w:t>2004 ONCJ 410, 192 C.C.C. (3d) 279, at pp. 282</w:t>
      </w:r>
      <w:r w:rsidRPr="00512C71">
        <w:rPr>
          <w:rFonts w:cs="Times New Roman"/>
        </w:rPr>
        <w:noBreakHyphen/>
        <w:t>83).</w:t>
      </w:r>
    </w:p>
    <w:p w14:paraId="335A46E9" w14:textId="087FE52C" w:rsidR="00190ED6" w:rsidRPr="00512C71" w:rsidRDefault="00190ED6" w:rsidP="00190ED6">
      <w:pPr>
        <w:pStyle w:val="ParaNoNdepar-AltN"/>
        <w:rPr>
          <w:rFonts w:cs="Times New Roman"/>
        </w:rPr>
      </w:pPr>
      <w:r w:rsidRPr="00512C71">
        <w:rPr>
          <w:rFonts w:cs="Times New Roman"/>
        </w:rPr>
        <w:t xml:space="preserve">A second approach which emerges from the caselaw understands “the proceeding” as including every step taken after the young person is committed to stand trial or arraigned before the superior court of criminal jurisdiction. This reads “the proceeding”, </w:t>
      </w:r>
      <w:r w:rsidR="00B23F7F">
        <w:rPr>
          <w:rFonts w:cs="Times New Roman"/>
        </w:rPr>
        <w:t xml:space="preserve">as it appears in ss. 13(2) and </w:t>
      </w:r>
      <w:r w:rsidRPr="00512C71">
        <w:rPr>
          <w:rFonts w:cs="Times New Roman"/>
        </w:rPr>
        <w:t xml:space="preserve">(3), together with the direction in s. 67(7) of the </w:t>
      </w:r>
      <w:r w:rsidRPr="00512C71">
        <w:rPr>
          <w:rFonts w:cs="Times New Roman"/>
          <w:i/>
        </w:rPr>
        <w:t>YCJA</w:t>
      </w:r>
      <w:r w:rsidRPr="00512C71">
        <w:rPr>
          <w:rFonts w:cs="Times New Roman"/>
        </w:rPr>
        <w:t xml:space="preserve"> that, after the young person is committed to stand trial upon conclusion of a preliminary hearing, “the proceedings shall be conducted” in the trial court. Therefore, the argument goes, “the proceeding”, seen in the light of the reference to “the proceedings” in s. 67(7), refers only to the trial, and a justice of the superior court is </w:t>
      </w:r>
      <w:r w:rsidRPr="00512C71">
        <w:rPr>
          <w:rFonts w:cs="Times New Roman"/>
        </w:rPr>
        <w:lastRenderedPageBreak/>
        <w:t xml:space="preserve">not deemed a youth justice court judge under s. 13(2) or s. 13(3) until the young person is committed to stand trial, which step triggers the transfer of jurisdiction to the superior court (see </w:t>
      </w:r>
      <w:r w:rsidRPr="00512C71">
        <w:rPr>
          <w:rFonts w:cs="Times New Roman"/>
          <w:i/>
        </w:rPr>
        <w:t>Protection de la jeunesse ⸺ 177486</w:t>
      </w:r>
      <w:r w:rsidRPr="00512C71">
        <w:rPr>
          <w:rFonts w:cs="Times New Roman"/>
        </w:rPr>
        <w:t>, 2017 QCCS 5165, at paras. 34</w:t>
      </w:r>
      <w:r w:rsidRPr="00512C71">
        <w:rPr>
          <w:rFonts w:cs="Times New Roman"/>
        </w:rPr>
        <w:noBreakHyphen/>
        <w:t xml:space="preserve">35 (CanLII); </w:t>
      </w:r>
      <w:r w:rsidRPr="00512C71">
        <w:rPr>
          <w:rFonts w:cs="Times New Roman"/>
          <w:i/>
        </w:rPr>
        <w:t xml:space="preserve">R. v. B.W.H. </w:t>
      </w:r>
      <w:r w:rsidRPr="00512C71">
        <w:rPr>
          <w:rFonts w:cs="Times New Roman"/>
        </w:rPr>
        <w:t>(2005),</w:t>
      </w:r>
      <w:r w:rsidRPr="00512C71">
        <w:rPr>
          <w:rFonts w:cs="Times New Roman"/>
          <w:i/>
        </w:rPr>
        <w:t xml:space="preserve"> </w:t>
      </w:r>
      <w:r w:rsidRPr="00512C71">
        <w:rPr>
          <w:rFonts w:cs="Times New Roman"/>
        </w:rPr>
        <w:t>198 Man. R. (2d) 264 (Prov. Ct.), at paras. 37</w:t>
      </w:r>
      <w:r w:rsidRPr="00512C71">
        <w:rPr>
          <w:rFonts w:cs="Times New Roman"/>
        </w:rPr>
        <w:noBreakHyphen/>
        <w:t xml:space="preserve">38; </w:t>
      </w:r>
      <w:r w:rsidRPr="00512C71">
        <w:rPr>
          <w:rFonts w:cs="Times New Roman"/>
          <w:i/>
        </w:rPr>
        <w:t>R. v. N.M.</w:t>
      </w:r>
      <w:r w:rsidRPr="00512C71">
        <w:rPr>
          <w:rFonts w:cs="Times New Roman"/>
        </w:rPr>
        <w:t>, 2010 MBPC 45, 257 Man. R. (2d) 207, at paras. 45</w:t>
      </w:r>
      <w:r w:rsidRPr="00512C71">
        <w:rPr>
          <w:rFonts w:cs="Times New Roman"/>
        </w:rPr>
        <w:noBreakHyphen/>
        <w:t>55). Further, under this view of the matter, once the jurisdiction transfers to the superior court, the jurisdiction is exclusive.</w:t>
      </w:r>
    </w:p>
    <w:p w14:paraId="295F339C" w14:textId="4BF62CD2" w:rsidR="00190ED6" w:rsidRPr="00512C71" w:rsidRDefault="00190ED6" w:rsidP="00190ED6">
      <w:pPr>
        <w:pStyle w:val="ParaNoNdepar-AltN"/>
        <w:rPr>
          <w:rFonts w:cs="Times New Roman"/>
        </w:rPr>
      </w:pPr>
      <w:r w:rsidRPr="00512C71">
        <w:rPr>
          <w:rFonts w:cs="Times New Roman"/>
        </w:rPr>
        <w:t>Finally, a third approach views “the proceeding” as referring broadly to any step in the prosecution. Where, therefore, a young person elects a trial before a justice of the</w:t>
      </w:r>
      <w:r w:rsidR="00B23F7F">
        <w:rPr>
          <w:rFonts w:cs="Times New Roman"/>
        </w:rPr>
        <w:t xml:space="preserve"> superior court, ss. 13(2) and </w:t>
      </w:r>
      <w:r w:rsidRPr="00512C71">
        <w:rPr>
          <w:rFonts w:cs="Times New Roman"/>
        </w:rPr>
        <w:t xml:space="preserve">(3) of the </w:t>
      </w:r>
      <w:r w:rsidRPr="00512C71">
        <w:rPr>
          <w:rFonts w:cs="Times New Roman"/>
          <w:i/>
        </w:rPr>
        <w:t>YCJA</w:t>
      </w:r>
      <w:r w:rsidRPr="00512C71">
        <w:rPr>
          <w:rFonts w:cs="Times New Roman"/>
        </w:rPr>
        <w:t xml:space="preserve"> deem that justice a youth justice court judge for </w:t>
      </w:r>
      <w:r w:rsidRPr="00512C71">
        <w:rPr>
          <w:rFonts w:cs="Times New Roman"/>
          <w:i/>
        </w:rPr>
        <w:t>any procedural step</w:t>
      </w:r>
      <w:r w:rsidRPr="00512C71">
        <w:rPr>
          <w:rFonts w:cs="Times New Roman"/>
        </w:rPr>
        <w:t xml:space="preserve"> from the time the young person charged with a s. 469 offence elects to be tried in the superior court, and right up to trial. This approach has been coupled with the view that the jurisdiction granted to that judge is </w:t>
      </w:r>
      <w:r w:rsidRPr="00512C71">
        <w:rPr>
          <w:rFonts w:cs="Times New Roman"/>
          <w:i/>
        </w:rPr>
        <w:t>exclusive</w:t>
      </w:r>
      <w:r w:rsidRPr="00512C71">
        <w:rPr>
          <w:rFonts w:cs="Times New Roman"/>
        </w:rPr>
        <w:t xml:space="preserve">. To be clear, this would mean that s. 13(1) youth justice court judges (such as judges of the Provincial Court of Alberta) do </w:t>
      </w:r>
      <w:r w:rsidRPr="00512C71">
        <w:rPr>
          <w:rFonts w:cs="Times New Roman"/>
          <w:i/>
        </w:rPr>
        <w:t>not</w:t>
      </w:r>
      <w:r w:rsidRPr="00512C71">
        <w:rPr>
          <w:rFonts w:cs="Times New Roman"/>
        </w:rPr>
        <w:t xml:space="preserve"> have jurisdiction to hear judicial interim release applications brought by young persons charged with s. 469 offences who have elected to be tried before a superior court judge, sitting with or without a jury (see </w:t>
      </w:r>
      <w:r w:rsidRPr="00512C71">
        <w:rPr>
          <w:rFonts w:cs="Times New Roman"/>
          <w:i/>
        </w:rPr>
        <w:t>R. v. W. (E.E.)</w:t>
      </w:r>
      <w:r w:rsidRPr="00512C71">
        <w:rPr>
          <w:rFonts w:cs="Times New Roman"/>
        </w:rPr>
        <w:t>,</w:t>
      </w:r>
      <w:r w:rsidRPr="00512C71">
        <w:rPr>
          <w:rFonts w:cs="Times New Roman"/>
          <w:i/>
        </w:rPr>
        <w:t xml:space="preserve"> </w:t>
      </w:r>
      <w:r w:rsidRPr="00512C71">
        <w:rPr>
          <w:rFonts w:cs="Times New Roman"/>
        </w:rPr>
        <w:t xml:space="preserve">2004 SKCA 114, 188 C.C.C. (3d) 467, at paras. 14 and 21; </w:t>
      </w:r>
      <w:r w:rsidRPr="00512C71">
        <w:rPr>
          <w:rFonts w:cs="Times New Roman"/>
          <w:i/>
        </w:rPr>
        <w:t>R. v. B. (J.)</w:t>
      </w:r>
      <w:r w:rsidRPr="00512C71">
        <w:rPr>
          <w:rFonts w:cs="Times New Roman"/>
        </w:rPr>
        <w:t>,</w:t>
      </w:r>
      <w:r w:rsidRPr="00512C71">
        <w:rPr>
          <w:rFonts w:cs="Times New Roman"/>
          <w:i/>
        </w:rPr>
        <w:t xml:space="preserve"> </w:t>
      </w:r>
      <w:r w:rsidRPr="00512C71">
        <w:rPr>
          <w:rFonts w:cs="Times New Roman"/>
        </w:rPr>
        <w:t>2012 ONSC 4957, 291 C.C.C. (3d) 43, at paras. 1</w:t>
      </w:r>
      <w:r w:rsidRPr="00512C71">
        <w:rPr>
          <w:rFonts w:cs="Times New Roman"/>
        </w:rPr>
        <w:noBreakHyphen/>
        <w:t xml:space="preserve">20 and 32; </w:t>
      </w:r>
      <w:r w:rsidRPr="00512C71">
        <w:rPr>
          <w:rFonts w:cs="Times New Roman"/>
          <w:i/>
        </w:rPr>
        <w:t>R. v. F. (M.)</w:t>
      </w:r>
      <w:r w:rsidRPr="00512C71">
        <w:rPr>
          <w:rFonts w:cs="Times New Roman"/>
        </w:rPr>
        <w:t>,</w:t>
      </w:r>
      <w:r w:rsidRPr="00512C71">
        <w:rPr>
          <w:rFonts w:cs="Times New Roman"/>
          <w:i/>
        </w:rPr>
        <w:t xml:space="preserve"> </w:t>
      </w:r>
      <w:r w:rsidRPr="00512C71">
        <w:rPr>
          <w:rFonts w:cs="Times New Roman"/>
        </w:rPr>
        <w:t>2006 ONCJ 161, 210 C.C.C. (3d) 146, at paras. 46 and 49</w:t>
      </w:r>
      <w:r w:rsidRPr="00512C71">
        <w:rPr>
          <w:rFonts w:cs="Times New Roman"/>
        </w:rPr>
        <w:noBreakHyphen/>
        <w:t>52).</w:t>
      </w:r>
    </w:p>
    <w:p w14:paraId="444BAEC7" w14:textId="7A094C7F" w:rsidR="00190ED6" w:rsidRPr="00512C71" w:rsidRDefault="00190ED6" w:rsidP="00190ED6">
      <w:pPr>
        <w:pStyle w:val="ParaNoNdepar-AltN"/>
        <w:rPr>
          <w:rFonts w:cs="Times New Roman"/>
        </w:rPr>
      </w:pPr>
      <w:r w:rsidRPr="00512C71">
        <w:rPr>
          <w:rFonts w:cs="Times New Roman"/>
        </w:rPr>
        <w:lastRenderedPageBreak/>
        <w:t xml:space="preserve">In my respectful view, the first two approaches cannot be correct. The ordinary and grammatical meaning of the term “the proceeding” is not so narrow. </w:t>
      </w:r>
      <w:r w:rsidRPr="00512C71">
        <w:rPr>
          <w:rFonts w:cs="Times New Roman"/>
          <w:i/>
        </w:rPr>
        <w:t>Black’s Law Dictionary</w:t>
      </w:r>
      <w:r w:rsidRPr="00512C71">
        <w:rPr>
          <w:rFonts w:cs="Times New Roman"/>
        </w:rPr>
        <w:t xml:space="preserve"> (11th ed. 2019), by B. A. Garner, at p. 1457, defines “proceeding” as “[a]n act or step that is part of a larger action” or “[t]he regular and orderly progression of a lawsuit, including all acts and events between the time of commencement and the entry of judgment”. And no text in s. 13 remotely suggests that “proceeding”, </w:t>
      </w:r>
      <w:r w:rsidR="00B23F7F">
        <w:rPr>
          <w:rFonts w:cs="Times New Roman"/>
        </w:rPr>
        <w:t>as it appears in ss. 13(2) and</w:t>
      </w:r>
      <w:r w:rsidR="00B23F7F" w:rsidRPr="00512C71">
        <w:rPr>
          <w:rFonts w:cs="Times New Roman"/>
        </w:rPr>
        <w:t xml:space="preserve"> </w:t>
      </w:r>
      <w:r w:rsidRPr="00512C71">
        <w:rPr>
          <w:rFonts w:cs="Times New Roman"/>
        </w:rPr>
        <w:t>(3), refers to anything other than the entire process of a criminal prosecution after the young person elects to be tried at the superior court. We must accept that Parliament legislates deliberately, and that the specific words it chooses have meaning (</w:t>
      </w:r>
      <w:r w:rsidRPr="00512C71">
        <w:rPr>
          <w:rFonts w:cs="Times New Roman"/>
          <w:i/>
        </w:rPr>
        <w:t>Ontario v. Canadian Pacific Ltd.</w:t>
      </w:r>
      <w:r w:rsidRPr="00512C71">
        <w:rPr>
          <w:rFonts w:cs="Times New Roman"/>
        </w:rPr>
        <w:t>,</w:t>
      </w:r>
      <w:r w:rsidRPr="00512C71">
        <w:rPr>
          <w:rFonts w:cs="Times New Roman"/>
          <w:i/>
        </w:rPr>
        <w:t xml:space="preserve"> </w:t>
      </w:r>
      <w:r w:rsidRPr="00512C71">
        <w:rPr>
          <w:rFonts w:cs="Times New Roman"/>
        </w:rPr>
        <w:t>[1995] 2 S.C.R. 1031, at para. 11); had Parliament intended to confine the operation of the deemin</w:t>
      </w:r>
      <w:r w:rsidR="00B23F7F">
        <w:rPr>
          <w:rFonts w:cs="Times New Roman"/>
        </w:rPr>
        <w:t xml:space="preserve">g provisions in ss. 13(2) and </w:t>
      </w:r>
      <w:r w:rsidRPr="00512C71">
        <w:rPr>
          <w:rFonts w:cs="Times New Roman"/>
        </w:rPr>
        <w:t xml:space="preserve">(3) to the trial, it would have used the term “trial”, as it did in several other provisions of the </w:t>
      </w:r>
      <w:r w:rsidRPr="00512C71">
        <w:rPr>
          <w:rFonts w:cs="Times New Roman"/>
          <w:i/>
        </w:rPr>
        <w:t xml:space="preserve">YCJA </w:t>
      </w:r>
      <w:r w:rsidRPr="00512C71">
        <w:rPr>
          <w:rFonts w:cs="Times New Roman"/>
        </w:rPr>
        <w:t xml:space="preserve">(see, for example, ss. 25(3)(c) (“at trial”) and 25(4) (“the . . . trial”)). </w:t>
      </w:r>
    </w:p>
    <w:p w14:paraId="267CF098" w14:textId="1382659D" w:rsidR="00190ED6" w:rsidRPr="00512C71" w:rsidRDefault="00190ED6" w:rsidP="00190ED6">
      <w:pPr>
        <w:pStyle w:val="ParaNoNdepar-AltN"/>
        <w:rPr>
          <w:rFonts w:cs="Times New Roman"/>
        </w:rPr>
      </w:pPr>
      <w:r w:rsidRPr="00512C71">
        <w:rPr>
          <w:rFonts w:cs="Times New Roman"/>
        </w:rPr>
        <w:t>The better view, then, in light of the ordinary and grammatical sense of the term “the proceeding”, is that Parliament intended superior court justices who are deemed youth justice court judges</w:t>
      </w:r>
      <w:r w:rsidR="00B23F7F">
        <w:rPr>
          <w:rFonts w:cs="Times New Roman"/>
        </w:rPr>
        <w:t xml:space="preserve"> by operation of ss. 13(2) and </w:t>
      </w:r>
      <w:r w:rsidRPr="00512C71">
        <w:rPr>
          <w:rFonts w:cs="Times New Roman"/>
        </w:rPr>
        <w:t xml:space="preserve">(3) of the </w:t>
      </w:r>
      <w:r w:rsidRPr="00512C71">
        <w:rPr>
          <w:rFonts w:cs="Times New Roman"/>
          <w:i/>
        </w:rPr>
        <w:t>YCJA</w:t>
      </w:r>
      <w:r w:rsidRPr="00512C71">
        <w:rPr>
          <w:rFonts w:cs="Times New Roman"/>
        </w:rPr>
        <w:t xml:space="preserve"> to be so deemed for the purpose of </w:t>
      </w:r>
      <w:r w:rsidRPr="00512C71">
        <w:rPr>
          <w:rFonts w:cs="Times New Roman"/>
          <w:i/>
        </w:rPr>
        <w:t>all</w:t>
      </w:r>
      <w:r w:rsidRPr="00512C71">
        <w:rPr>
          <w:rFonts w:cs="Times New Roman"/>
        </w:rPr>
        <w:t xml:space="preserve"> steps taken after the young person charged with a s. 469 offence elects a trial in the superior court, until trial. </w:t>
      </w:r>
    </w:p>
    <w:p w14:paraId="2226CB11" w14:textId="2C066C85" w:rsidR="00190ED6" w:rsidRPr="00512C71" w:rsidRDefault="00190ED6" w:rsidP="00190ED6">
      <w:pPr>
        <w:pStyle w:val="ParaNoNdepar-AltN"/>
        <w:rPr>
          <w:rFonts w:cs="Times New Roman"/>
        </w:rPr>
      </w:pPr>
      <w:r w:rsidRPr="00512C71">
        <w:rPr>
          <w:rFonts w:cs="Times New Roman"/>
        </w:rPr>
        <w:t>I am not moved from this view by the argument that r</w:t>
      </w:r>
      <w:r w:rsidR="00B23F7F">
        <w:rPr>
          <w:rFonts w:cs="Times New Roman"/>
        </w:rPr>
        <w:t xml:space="preserve">elies on reading ss. 13(2) and </w:t>
      </w:r>
      <w:r w:rsidRPr="00512C71">
        <w:rPr>
          <w:rFonts w:cs="Times New Roman"/>
        </w:rPr>
        <w:t xml:space="preserve">(3) together with s. 67(7). This is so, irrespective of whether the English </w:t>
      </w:r>
      <w:r w:rsidRPr="00512C71">
        <w:rPr>
          <w:rFonts w:cs="Times New Roman"/>
        </w:rPr>
        <w:lastRenderedPageBreak/>
        <w:t xml:space="preserve">or French version of the </w:t>
      </w:r>
      <w:r w:rsidRPr="00512C71">
        <w:rPr>
          <w:rFonts w:cs="Times New Roman"/>
          <w:i/>
        </w:rPr>
        <w:t>YCJA</w:t>
      </w:r>
      <w:r w:rsidRPr="00512C71">
        <w:rPr>
          <w:rFonts w:cs="Times New Roman"/>
        </w:rPr>
        <w:t xml:space="preserve"> is examined. To recount, s. 67(7) directs that, where a young person charged with a s. 469 offence is committed to stand trial at the conclusion of a preliminary inquiry, “the proceedings shall be conducted” (or, in the French version, “</w:t>
      </w:r>
      <w:r w:rsidRPr="00512C71">
        <w:rPr>
          <w:rFonts w:cs="Times New Roman"/>
          <w:i/>
        </w:rPr>
        <w:t>le procès</w:t>
      </w:r>
      <w:r w:rsidRPr="00512C71">
        <w:rPr>
          <w:rFonts w:cs="Times New Roman"/>
        </w:rPr>
        <w:t xml:space="preserve">” (“the trial”)) in the superior court. </w:t>
      </w:r>
    </w:p>
    <w:p w14:paraId="45490878" w14:textId="6D590FDE" w:rsidR="00190ED6" w:rsidRPr="00512C71" w:rsidRDefault="00190ED6" w:rsidP="00190ED6">
      <w:pPr>
        <w:pStyle w:val="ParaNoNdepar-AltN"/>
        <w:rPr>
          <w:rFonts w:cs="Times New Roman"/>
          <w:lang w:val="en-US"/>
        </w:rPr>
      </w:pPr>
      <w:r w:rsidRPr="00512C71">
        <w:rPr>
          <w:rFonts w:cs="Times New Roman"/>
        </w:rPr>
        <w:t xml:space="preserve">I note, first, that nothing of significance turns on the use of the plural “proceedings” in s. 67(7) and the singular </w:t>
      </w:r>
      <w:r w:rsidR="00B23F7F">
        <w:rPr>
          <w:rFonts w:cs="Times New Roman"/>
        </w:rPr>
        <w:t xml:space="preserve">“proceeding” in ss. 13(2) and </w:t>
      </w:r>
      <w:r w:rsidRPr="00512C71">
        <w:rPr>
          <w:rFonts w:cs="Times New Roman"/>
        </w:rPr>
        <w:t xml:space="preserve">(3). Indeed, the </w:t>
      </w:r>
      <w:r w:rsidRPr="00512C71">
        <w:rPr>
          <w:rFonts w:cs="Times New Roman"/>
          <w:i/>
        </w:rPr>
        <w:t>Interpretation Act</w:t>
      </w:r>
      <w:r w:rsidRPr="00512C71">
        <w:rPr>
          <w:rFonts w:cs="Times New Roman"/>
        </w:rPr>
        <w:t>, R.S.C. 1985, c. I</w:t>
      </w:r>
      <w:r w:rsidRPr="00512C71">
        <w:rPr>
          <w:rFonts w:cs="Times New Roman"/>
        </w:rPr>
        <w:noBreakHyphen/>
        <w:t>21, directs that words expressed in their singular form in an Act are to be read as including the word’s plural form, and vice versa (s. 33(2)). Further, and more to the point, Parliament cannot, in my view, reasonably be taken as having intended its reference to “the proceedings” (or “</w:t>
      </w:r>
      <w:r w:rsidRPr="00512C71">
        <w:rPr>
          <w:rFonts w:cs="Times New Roman"/>
          <w:i/>
        </w:rPr>
        <w:t>le procès</w:t>
      </w:r>
      <w:r w:rsidRPr="00512C71">
        <w:rPr>
          <w:rFonts w:cs="Times New Roman"/>
        </w:rPr>
        <w:t>”) in s. 67(7) to define the scope of “th</w:t>
      </w:r>
      <w:r w:rsidR="00B23F7F">
        <w:rPr>
          <w:rFonts w:cs="Times New Roman"/>
        </w:rPr>
        <w:t xml:space="preserve">e proceeding” in ss. 13(2) and </w:t>
      </w:r>
      <w:r w:rsidRPr="00512C71">
        <w:rPr>
          <w:rFonts w:cs="Times New Roman"/>
        </w:rPr>
        <w:t xml:space="preserve">(3) or in the </w:t>
      </w:r>
      <w:r w:rsidRPr="00512C71">
        <w:rPr>
          <w:rFonts w:cs="Times New Roman"/>
          <w:i/>
        </w:rPr>
        <w:t xml:space="preserve">YCJA </w:t>
      </w:r>
      <w:r w:rsidRPr="00512C71">
        <w:rPr>
          <w:rFonts w:cs="Times New Roman"/>
        </w:rPr>
        <w:t xml:space="preserve">generally. The </w:t>
      </w:r>
      <w:r w:rsidRPr="00512C71">
        <w:rPr>
          <w:rFonts w:cs="Times New Roman"/>
          <w:i/>
        </w:rPr>
        <w:t>YCJA</w:t>
      </w:r>
      <w:r w:rsidRPr="00512C71">
        <w:rPr>
          <w:rFonts w:cs="Times New Roman"/>
        </w:rPr>
        <w:t xml:space="preserve"> contains 35 </w:t>
      </w:r>
      <w:r w:rsidRPr="00512C71">
        <w:rPr>
          <w:rFonts w:cs="Times New Roman"/>
          <w:i/>
        </w:rPr>
        <w:t>other</w:t>
      </w:r>
      <w:r w:rsidRPr="00512C71">
        <w:rPr>
          <w:rFonts w:cs="Times New Roman"/>
        </w:rPr>
        <w:t xml:space="preserve"> references to “the proceedings”, while the French version also variously and frequently refers to “</w:t>
      </w:r>
      <w:r w:rsidRPr="00512C71">
        <w:rPr>
          <w:rFonts w:cs="Times New Roman"/>
          <w:i/>
        </w:rPr>
        <w:t>les procédures</w:t>
      </w:r>
      <w:r w:rsidRPr="00512C71">
        <w:rPr>
          <w:rFonts w:cs="Times New Roman"/>
        </w:rPr>
        <w:t>” and “</w:t>
      </w:r>
      <w:r w:rsidRPr="00512C71">
        <w:rPr>
          <w:rFonts w:cs="Times New Roman"/>
          <w:i/>
        </w:rPr>
        <w:t>les procédures en cause</w:t>
      </w:r>
      <w:r w:rsidRPr="00512C71">
        <w:rPr>
          <w:rFonts w:cs="Times New Roman"/>
        </w:rPr>
        <w:t>”. Ascribing significance to its use in s. 67(7) to limit the scope of the term “the</w:t>
      </w:r>
      <w:r w:rsidR="00B23F7F">
        <w:rPr>
          <w:rFonts w:cs="Times New Roman"/>
        </w:rPr>
        <w:t xml:space="preserve"> proceeding” in ss. 13(2) and </w:t>
      </w:r>
      <w:r w:rsidRPr="00512C71">
        <w:rPr>
          <w:rFonts w:cs="Times New Roman"/>
        </w:rPr>
        <w:t xml:space="preserve">(3) would render at least some of those other references to “the proceedings” in the </w:t>
      </w:r>
      <w:r w:rsidRPr="00512C71">
        <w:rPr>
          <w:rFonts w:cs="Times New Roman"/>
          <w:i/>
        </w:rPr>
        <w:t>YCJA</w:t>
      </w:r>
      <w:r w:rsidRPr="00512C71">
        <w:rPr>
          <w:rFonts w:cs="Times New Roman"/>
        </w:rPr>
        <w:t xml:space="preserve"> nonsensical.  </w:t>
      </w:r>
    </w:p>
    <w:p w14:paraId="1DD6AD67" w14:textId="50BD100A" w:rsidR="00190ED6" w:rsidRPr="00512C71" w:rsidRDefault="00190ED6" w:rsidP="00190ED6">
      <w:pPr>
        <w:pStyle w:val="ParaNoNdepar-AltN"/>
        <w:rPr>
          <w:rFonts w:cs="Times New Roman"/>
          <w:lang w:val="en-US"/>
        </w:rPr>
      </w:pPr>
      <w:r w:rsidRPr="00512C71">
        <w:rPr>
          <w:rFonts w:cs="Times New Roman"/>
        </w:rPr>
        <w:t xml:space="preserve">By way of example, s. 20(1) of the </w:t>
      </w:r>
      <w:r w:rsidRPr="00512C71">
        <w:rPr>
          <w:rFonts w:cs="Times New Roman"/>
          <w:i/>
        </w:rPr>
        <w:t>YCJA</w:t>
      </w:r>
      <w:r w:rsidRPr="00512C71">
        <w:rPr>
          <w:rFonts w:cs="Times New Roman"/>
        </w:rPr>
        <w:t xml:space="preserve"> states that “[a]ny proceeding that may be carried out before a justice under the </w:t>
      </w:r>
      <w:r w:rsidRPr="00512C71">
        <w:rPr>
          <w:rFonts w:cs="Times New Roman"/>
          <w:i/>
        </w:rPr>
        <w:t>Criminal Code</w:t>
      </w:r>
      <w:r w:rsidRPr="00512C71">
        <w:rPr>
          <w:rFonts w:cs="Times New Roman"/>
        </w:rPr>
        <w:t xml:space="preserve">, </w:t>
      </w:r>
      <w:r w:rsidRPr="00512C71">
        <w:rPr>
          <w:rFonts w:cs="Times New Roman"/>
          <w:u w:val="single"/>
        </w:rPr>
        <w:t>other than a plea, a trial or an adjudication</w:t>
      </w:r>
      <w:r w:rsidRPr="00512C71">
        <w:rPr>
          <w:rFonts w:cs="Times New Roman"/>
        </w:rPr>
        <w:t xml:space="preserve">, may be carried out”. Here, “proceeding” clearly contemplates procedural steps </w:t>
      </w:r>
      <w:r w:rsidRPr="00512C71">
        <w:rPr>
          <w:rFonts w:cs="Times New Roman"/>
          <w:i/>
        </w:rPr>
        <w:t>other than</w:t>
      </w:r>
      <w:r w:rsidRPr="00512C71">
        <w:rPr>
          <w:rFonts w:cs="Times New Roman"/>
        </w:rPr>
        <w:t xml:space="preserve"> a trial. </w:t>
      </w:r>
      <w:r w:rsidRPr="00512C71">
        <w:rPr>
          <w:rFonts w:cs="Times New Roman"/>
          <w:lang w:val="en-US"/>
        </w:rPr>
        <w:t xml:space="preserve">Similarly, </w:t>
      </w:r>
      <w:r w:rsidRPr="00512C71">
        <w:rPr>
          <w:rFonts w:cs="Times New Roman"/>
        </w:rPr>
        <w:t xml:space="preserve">s. 26(9) of the </w:t>
      </w:r>
      <w:r w:rsidRPr="00512C71">
        <w:rPr>
          <w:rFonts w:cs="Times New Roman"/>
          <w:i/>
        </w:rPr>
        <w:t>YCJA</w:t>
      </w:r>
      <w:r w:rsidRPr="00512C71">
        <w:rPr>
          <w:rFonts w:cs="Times New Roman"/>
        </w:rPr>
        <w:t xml:space="preserve"> states that “failure to give a notice [to the young person’s parents] . . . does not affect the validity of </w:t>
      </w:r>
      <w:r w:rsidRPr="00512C71">
        <w:rPr>
          <w:rFonts w:cs="Times New Roman"/>
          <w:u w:val="single"/>
        </w:rPr>
        <w:lastRenderedPageBreak/>
        <w:t>proceedings</w:t>
      </w:r>
      <w:r w:rsidRPr="00512C71">
        <w:rPr>
          <w:rFonts w:cs="Times New Roman"/>
        </w:rPr>
        <w:t xml:space="preserve"> under this Act”. This is subject to s. 26(10), which provides that failure to give such notice </w:t>
      </w:r>
      <w:r w:rsidRPr="00512C71">
        <w:rPr>
          <w:rFonts w:cs="Times New Roman"/>
          <w:i/>
        </w:rPr>
        <w:t xml:space="preserve">does </w:t>
      </w:r>
      <w:r w:rsidRPr="00512C71">
        <w:rPr>
          <w:rFonts w:cs="Times New Roman"/>
        </w:rPr>
        <w:t xml:space="preserve">invalidate “subsequent proceedings” unless, </w:t>
      </w:r>
      <w:r w:rsidRPr="00512C71">
        <w:rPr>
          <w:rFonts w:cs="Times New Roman"/>
          <w:i/>
        </w:rPr>
        <w:t>inter alia</w:t>
      </w:r>
      <w:r w:rsidRPr="00512C71">
        <w:rPr>
          <w:rFonts w:cs="Times New Roman"/>
        </w:rPr>
        <w:t xml:space="preserve">, </w:t>
      </w:r>
      <w:r w:rsidRPr="00512C71">
        <w:rPr>
          <w:rFonts w:cs="Times New Roman"/>
          <w:lang w:val="en-US"/>
        </w:rPr>
        <w:t xml:space="preserve">“a youth justice court judge or a justice before whom proceedings are held against the young person adjourns </w:t>
      </w:r>
      <w:r w:rsidRPr="00512C71">
        <w:rPr>
          <w:rFonts w:cs="Times New Roman"/>
          <w:u w:val="single"/>
          <w:lang w:val="en-US"/>
        </w:rPr>
        <w:t>the proceedings</w:t>
      </w:r>
      <w:r w:rsidRPr="00512C71">
        <w:rPr>
          <w:rFonts w:cs="Times New Roman"/>
          <w:lang w:val="en-US"/>
        </w:rPr>
        <w:t xml:space="preserve"> and orders that the notice be given in the manner and to the persons that the judge or justice directs”. </w:t>
      </w:r>
      <w:r w:rsidRPr="00512C71">
        <w:rPr>
          <w:rFonts w:cs="Times New Roman"/>
        </w:rPr>
        <w:t xml:space="preserve">Interpreting “proceedings” (or “the proceedings”) here to mean </w:t>
      </w:r>
      <w:r w:rsidRPr="00512C71">
        <w:rPr>
          <w:rFonts w:cs="Times New Roman"/>
          <w:i/>
        </w:rPr>
        <w:t>only</w:t>
      </w:r>
      <w:r w:rsidRPr="00512C71">
        <w:rPr>
          <w:rFonts w:cs="Times New Roman"/>
        </w:rPr>
        <w:t xml:space="preserve"> the trial would be absurd in light of the reference to “subsequent proceedings”, and would undermine the purpose of this provision, which is to preserve the validity of procedural steps already taken, while ensuring that the young person’s parents have notice of all further procedural steps to be taken in the prosecution of their child so that they may be encouraged to support the child in addressing the offending behaviour (s. 3(1)(d)(iv) </w:t>
      </w:r>
      <w:r w:rsidRPr="00512C71">
        <w:rPr>
          <w:rFonts w:cs="Times New Roman"/>
          <w:i/>
        </w:rPr>
        <w:t>YCJA</w:t>
      </w:r>
      <w:r w:rsidRPr="00512C71">
        <w:rPr>
          <w:rFonts w:cs="Times New Roman"/>
        </w:rPr>
        <w:t xml:space="preserve">). </w:t>
      </w:r>
    </w:p>
    <w:p w14:paraId="4FC6F8AC" w14:textId="77777777" w:rsidR="00190ED6" w:rsidRPr="00512C71" w:rsidRDefault="00190ED6" w:rsidP="00190ED6">
      <w:pPr>
        <w:pStyle w:val="ParaNoNdepar-AltN"/>
        <w:rPr>
          <w:rFonts w:cs="Times New Roman"/>
        </w:rPr>
      </w:pPr>
      <w:r w:rsidRPr="00512C71">
        <w:rPr>
          <w:rFonts w:cs="Times New Roman"/>
        </w:rPr>
        <w:t xml:space="preserve">Further yet, s. 67(7) vests exclusive jurisdiction in “the youth justice court [judge] referred to in subsection 13(1)” to conduct a preliminary inquiry. If, however, a superior court judge who is deemed to be a youth justice court judge could never acquire jurisdiction until the trial, it would not have been necessary for Parliament to make specific reference to s. 13(1) in s. 67(7). This is so because, on that view, a s. 13(1) youth justice court judge would be the </w:t>
      </w:r>
      <w:r w:rsidRPr="00512C71">
        <w:rPr>
          <w:rFonts w:cs="Times New Roman"/>
          <w:i/>
        </w:rPr>
        <w:t>only</w:t>
      </w:r>
      <w:r w:rsidRPr="00512C71">
        <w:rPr>
          <w:rFonts w:cs="Times New Roman"/>
        </w:rPr>
        <w:t xml:space="preserve"> youth justice court judge who could possibly have jurisdiction over a pre</w:t>
      </w:r>
      <w:r w:rsidRPr="00512C71">
        <w:rPr>
          <w:rFonts w:cs="Times New Roman"/>
        </w:rPr>
        <w:noBreakHyphen/>
        <w:t>trial procedure such as a preliminary inquiry. Parliament is presumed to avoid “superfluous or meaningless words, phrases and larger units such as paragraphs, sections and parts of a legislative scheme” (</w:t>
      </w:r>
      <w:r w:rsidRPr="00512C71">
        <w:rPr>
          <w:rFonts w:cs="Times New Roman"/>
          <w:i/>
        </w:rPr>
        <w:t>Bristol</w:t>
      </w:r>
      <w:r w:rsidRPr="00512C71">
        <w:rPr>
          <w:rFonts w:cs="Times New Roman"/>
          <w:i/>
        </w:rPr>
        <w:noBreakHyphen/>
        <w:t>Myers Squibb Co. v. Canada (Attorney General)</w:t>
      </w:r>
      <w:r w:rsidRPr="00512C71">
        <w:rPr>
          <w:rFonts w:cs="Times New Roman"/>
        </w:rPr>
        <w:t>,</w:t>
      </w:r>
      <w:r w:rsidRPr="00512C71">
        <w:rPr>
          <w:rFonts w:cs="Times New Roman"/>
          <w:i/>
        </w:rPr>
        <w:t xml:space="preserve"> </w:t>
      </w:r>
      <w:r w:rsidRPr="00512C71">
        <w:rPr>
          <w:rFonts w:cs="Times New Roman"/>
        </w:rPr>
        <w:t>2005 SCC 26, [2005] 1 S.C.R. 533, at para. 178).</w:t>
      </w:r>
    </w:p>
    <w:p w14:paraId="1F3EB76D" w14:textId="77777777" w:rsidR="00190ED6" w:rsidRPr="00512C71" w:rsidRDefault="00190ED6" w:rsidP="00190ED6">
      <w:pPr>
        <w:pStyle w:val="ParaNoNdepar-AltN"/>
        <w:rPr>
          <w:rFonts w:cs="Times New Roman"/>
        </w:rPr>
      </w:pPr>
      <w:r w:rsidRPr="00512C71">
        <w:rPr>
          <w:rFonts w:cs="Times New Roman"/>
        </w:rPr>
        <w:lastRenderedPageBreak/>
        <w:t xml:space="preserve">As a final point, I observe that there is a subtle, but important, difference between the text of s. 13(2) and of s. 13(3) that supports the correctness of interpreting “the proceeding” more broadly. Section 13(2) deems a superior court to be a youth justice court </w:t>
      </w:r>
      <w:r w:rsidRPr="00512C71">
        <w:rPr>
          <w:rFonts w:cs="Times New Roman"/>
          <w:i/>
        </w:rPr>
        <w:t>and</w:t>
      </w:r>
      <w:r w:rsidRPr="00512C71">
        <w:rPr>
          <w:rFonts w:cs="Times New Roman"/>
        </w:rPr>
        <w:t xml:space="preserve"> deems a superior court justice to be a youth justice court judge </w:t>
      </w:r>
      <w:r w:rsidRPr="00512C71">
        <w:rPr>
          <w:rFonts w:cs="Times New Roman"/>
          <w:i/>
        </w:rPr>
        <w:t>for the purpose of the proceeding</w:t>
      </w:r>
      <w:r w:rsidRPr="00512C71">
        <w:rPr>
          <w:rFonts w:cs="Times New Roman"/>
        </w:rPr>
        <w:t xml:space="preserve">. But while s. 13(3) also deems a superior court to be a youth justice court </w:t>
      </w:r>
      <w:r w:rsidRPr="00512C71">
        <w:rPr>
          <w:rFonts w:cs="Times New Roman"/>
          <w:i/>
        </w:rPr>
        <w:t>for the purpose of the proceeding</w:t>
      </w:r>
      <w:r w:rsidRPr="00512C71">
        <w:rPr>
          <w:rFonts w:cs="Times New Roman"/>
        </w:rPr>
        <w:t xml:space="preserve">, it deems a superior court </w:t>
      </w:r>
      <w:r w:rsidRPr="00512C71">
        <w:rPr>
          <w:rFonts w:cs="Times New Roman"/>
          <w:i/>
        </w:rPr>
        <w:t>judge</w:t>
      </w:r>
      <w:r w:rsidRPr="00512C71">
        <w:rPr>
          <w:rFonts w:cs="Times New Roman"/>
        </w:rPr>
        <w:t xml:space="preserve"> to be a youth justice court judge </w:t>
      </w:r>
      <w:r w:rsidRPr="00512C71">
        <w:rPr>
          <w:rFonts w:cs="Times New Roman"/>
          <w:i/>
        </w:rPr>
        <w:t>without qualification</w:t>
      </w:r>
      <w:r w:rsidRPr="00512C71">
        <w:rPr>
          <w:rFonts w:cs="Times New Roman"/>
        </w:rPr>
        <w:t xml:space="preserve">. That is to say, s. 13(3) does not, on its face, confine the jurisdiction of a superior court judge who is deemed to be a youth justice court judge to the purpose of the proceeding. Interpreting “the proceeding” to mean only the trial proper would, therefore, create an anomalous situation whereby a superior court justice who is deemed by s. 13(3) to be a youth justice court judge would have jurisdiction to hear T.J.M.’s application, while a superior court judge deemed by s. 13(2) to be a youth justice court judge would not. Yet, the only distinction between the two is that at trial the former sits with a jury, and the latter sits alone. Parliament could not have intended such a result. </w:t>
      </w:r>
    </w:p>
    <w:p w14:paraId="440F9B60" w14:textId="77777777" w:rsidR="00190ED6" w:rsidRPr="00512C71" w:rsidRDefault="00190ED6" w:rsidP="00190ED6">
      <w:pPr>
        <w:pStyle w:val="Title2LevelTitre2Niveau"/>
        <w:rPr>
          <w:rFonts w:cs="Times New Roman"/>
        </w:rPr>
      </w:pPr>
      <w:r w:rsidRPr="00512C71">
        <w:rPr>
          <w:rFonts w:cs="Times New Roman"/>
        </w:rPr>
        <w:t>Exclusive Versus Concurrent Jurisdiction</w:t>
      </w:r>
    </w:p>
    <w:p w14:paraId="25C8965B" w14:textId="381F5D39" w:rsidR="00190ED6" w:rsidRPr="00512C71" w:rsidRDefault="00190ED6" w:rsidP="00190ED6">
      <w:pPr>
        <w:pStyle w:val="ParaNoNdepar-AltN"/>
        <w:rPr>
          <w:rFonts w:cs="Times New Roman"/>
        </w:rPr>
      </w:pPr>
      <w:r w:rsidRPr="00512C71">
        <w:rPr>
          <w:rFonts w:cs="Times New Roman"/>
        </w:rPr>
        <w:t xml:space="preserve">It being clear that a superior court judge has jurisdiction to hear and adjudicate an application for judicial interim release of a young person charged with an offence listed in s. 469 of the </w:t>
      </w:r>
      <w:r w:rsidRPr="00512C71">
        <w:rPr>
          <w:rFonts w:cs="Times New Roman"/>
          <w:i/>
        </w:rPr>
        <w:t xml:space="preserve">Criminal Code </w:t>
      </w:r>
      <w:r w:rsidRPr="00512C71">
        <w:rPr>
          <w:rFonts w:cs="Times New Roman"/>
        </w:rPr>
        <w:t xml:space="preserve">following their election, it remains to decide whether that jurisdiction is exclusive, or whether it also continues to vest in the courts designated by the province as a youth justice court. On this point, the caselaw is </w:t>
      </w:r>
      <w:r w:rsidRPr="00512C71">
        <w:rPr>
          <w:rFonts w:cs="Times New Roman"/>
        </w:rPr>
        <w:lastRenderedPageBreak/>
        <w:t xml:space="preserve">divided (see, for example, </w:t>
      </w:r>
      <w:r w:rsidRPr="00512C71">
        <w:rPr>
          <w:rFonts w:cs="Times New Roman"/>
          <w:i/>
        </w:rPr>
        <w:t>Protection de la jeunesse</w:t>
      </w:r>
      <w:r w:rsidRPr="00512C71">
        <w:rPr>
          <w:rFonts w:cs="Times New Roman"/>
        </w:rPr>
        <w:t>, at paras. 34</w:t>
      </w:r>
      <w:r w:rsidRPr="00512C71">
        <w:rPr>
          <w:rFonts w:cs="Times New Roman"/>
        </w:rPr>
        <w:noBreakHyphen/>
        <w:t xml:space="preserve">35; </w:t>
      </w:r>
      <w:r w:rsidRPr="00512C71">
        <w:rPr>
          <w:rFonts w:cs="Times New Roman"/>
          <w:i/>
        </w:rPr>
        <w:t>B.W.H.</w:t>
      </w:r>
      <w:r w:rsidRPr="00512C71">
        <w:rPr>
          <w:rFonts w:cs="Times New Roman"/>
        </w:rPr>
        <w:t>,</w:t>
      </w:r>
      <w:r w:rsidRPr="00512C71">
        <w:rPr>
          <w:rFonts w:cs="Times New Roman"/>
          <w:i/>
        </w:rPr>
        <w:t xml:space="preserve"> </w:t>
      </w:r>
      <w:r w:rsidRPr="00512C71">
        <w:rPr>
          <w:rFonts w:cs="Times New Roman"/>
        </w:rPr>
        <w:t>at paras. 37</w:t>
      </w:r>
      <w:r w:rsidRPr="00512C71">
        <w:rPr>
          <w:rFonts w:cs="Times New Roman"/>
        </w:rPr>
        <w:noBreakHyphen/>
        <w:t xml:space="preserve">38; </w:t>
      </w:r>
      <w:r w:rsidRPr="00512C71">
        <w:rPr>
          <w:rFonts w:cs="Times New Roman"/>
          <w:i/>
        </w:rPr>
        <w:t>N.M.</w:t>
      </w:r>
      <w:r w:rsidRPr="00512C71">
        <w:rPr>
          <w:rFonts w:cs="Times New Roman"/>
        </w:rPr>
        <w:t>, at paras. 45</w:t>
      </w:r>
      <w:r w:rsidRPr="00512C71">
        <w:rPr>
          <w:rFonts w:cs="Times New Roman"/>
        </w:rPr>
        <w:noBreakHyphen/>
        <w:t>55;</w:t>
      </w:r>
      <w:r w:rsidRPr="00512C71">
        <w:rPr>
          <w:rFonts w:cs="Times New Roman"/>
          <w:i/>
        </w:rPr>
        <w:t xml:space="preserve"> W.</w:t>
      </w:r>
      <w:r w:rsidR="00B23F7F">
        <w:rPr>
          <w:rFonts w:cs="Times New Roman"/>
          <w:i/>
        </w:rPr>
        <w:t> </w:t>
      </w:r>
      <w:r w:rsidRPr="00512C71">
        <w:rPr>
          <w:rFonts w:cs="Times New Roman"/>
          <w:i/>
        </w:rPr>
        <w:t>(E.E.)</w:t>
      </w:r>
      <w:r w:rsidRPr="00512C71">
        <w:rPr>
          <w:rFonts w:cs="Times New Roman"/>
        </w:rPr>
        <w:t>,</w:t>
      </w:r>
      <w:r w:rsidRPr="00512C71">
        <w:rPr>
          <w:rFonts w:cs="Times New Roman"/>
          <w:i/>
        </w:rPr>
        <w:t xml:space="preserve"> </w:t>
      </w:r>
      <w:r w:rsidRPr="00512C71">
        <w:rPr>
          <w:rFonts w:cs="Times New Roman"/>
        </w:rPr>
        <w:t xml:space="preserve">at paras. 14 and 21; </w:t>
      </w:r>
      <w:r w:rsidRPr="00512C71">
        <w:rPr>
          <w:rFonts w:cs="Times New Roman"/>
          <w:i/>
        </w:rPr>
        <w:t>B. (J.)</w:t>
      </w:r>
      <w:r w:rsidRPr="00512C71">
        <w:rPr>
          <w:rFonts w:cs="Times New Roman"/>
        </w:rPr>
        <w:t>,</w:t>
      </w:r>
      <w:r w:rsidRPr="00512C71">
        <w:rPr>
          <w:rFonts w:cs="Times New Roman"/>
          <w:i/>
        </w:rPr>
        <w:t xml:space="preserve"> </w:t>
      </w:r>
      <w:r w:rsidRPr="00512C71">
        <w:rPr>
          <w:rFonts w:cs="Times New Roman"/>
        </w:rPr>
        <w:t>at paras. 1</w:t>
      </w:r>
      <w:r w:rsidRPr="00512C71">
        <w:rPr>
          <w:rFonts w:cs="Times New Roman"/>
        </w:rPr>
        <w:noBreakHyphen/>
        <w:t xml:space="preserve">20 and 32; </w:t>
      </w:r>
      <w:r w:rsidRPr="00512C71">
        <w:rPr>
          <w:rFonts w:cs="Times New Roman"/>
          <w:i/>
        </w:rPr>
        <w:t>F. (M.)</w:t>
      </w:r>
      <w:r w:rsidRPr="00512C71">
        <w:rPr>
          <w:rFonts w:cs="Times New Roman"/>
        </w:rPr>
        <w:t>,</w:t>
      </w:r>
      <w:r w:rsidRPr="00512C71">
        <w:rPr>
          <w:rFonts w:cs="Times New Roman"/>
          <w:i/>
        </w:rPr>
        <w:t xml:space="preserve"> </w:t>
      </w:r>
      <w:r w:rsidRPr="00512C71">
        <w:rPr>
          <w:rFonts w:cs="Times New Roman"/>
        </w:rPr>
        <w:t>at paras. 46 and 49</w:t>
      </w:r>
      <w:r w:rsidRPr="00512C71">
        <w:rPr>
          <w:rFonts w:cs="Times New Roman"/>
        </w:rPr>
        <w:noBreakHyphen/>
        <w:t>51).</w:t>
      </w:r>
    </w:p>
    <w:p w14:paraId="1B3CEACA" w14:textId="77777777" w:rsidR="00190ED6" w:rsidRPr="00512C71" w:rsidRDefault="00190ED6" w:rsidP="00190ED6">
      <w:pPr>
        <w:pStyle w:val="ParaNoNdepar-AltN"/>
        <w:rPr>
          <w:rFonts w:cs="Times New Roman"/>
        </w:rPr>
      </w:pPr>
      <w:r w:rsidRPr="00512C71">
        <w:rPr>
          <w:rFonts w:cs="Times New Roman"/>
        </w:rPr>
        <w:t xml:space="preserve">The argument that a young person’s election to be tried before a superior court judge triggers the superior court’s </w:t>
      </w:r>
      <w:r w:rsidRPr="00512C71">
        <w:rPr>
          <w:rFonts w:cs="Times New Roman"/>
          <w:i/>
        </w:rPr>
        <w:t>exclusive</w:t>
      </w:r>
      <w:r w:rsidRPr="00512C71">
        <w:rPr>
          <w:rFonts w:cs="Times New Roman"/>
        </w:rPr>
        <w:t xml:space="preserve"> jurisdiction over young persons charged with s. 469 offences is grounded in s. 522(1) of the </w:t>
      </w:r>
      <w:r w:rsidRPr="00512C71">
        <w:rPr>
          <w:rFonts w:cs="Times New Roman"/>
          <w:i/>
        </w:rPr>
        <w:t>Criminal Code</w:t>
      </w:r>
      <w:r w:rsidRPr="00512C71">
        <w:rPr>
          <w:rFonts w:cs="Times New Roman"/>
        </w:rPr>
        <w:t xml:space="preserve">, which is found in Part XVI ⸺ “Compelling Appearance of Accused Before a Justice and Interim Release”. It states that “no court, judge or justice, </w:t>
      </w:r>
      <w:r w:rsidRPr="00512C71">
        <w:rPr>
          <w:rFonts w:cs="Times New Roman"/>
          <w:u w:val="single"/>
        </w:rPr>
        <w:t>other than a judge of or a judge presiding in a superior court of criminal jurisdiction</w:t>
      </w:r>
      <w:r w:rsidRPr="00512C71">
        <w:rPr>
          <w:rFonts w:cs="Times New Roman"/>
        </w:rPr>
        <w:t xml:space="preserve"> . . . may release the accused </w:t>
      </w:r>
      <w:r w:rsidRPr="00512C71">
        <w:rPr>
          <w:rFonts w:cs="Times New Roman"/>
          <w:u w:val="single"/>
        </w:rPr>
        <w:t>before or after the accused has been ordered to stand trial</w:t>
      </w:r>
      <w:r w:rsidRPr="00512C71">
        <w:rPr>
          <w:rFonts w:cs="Times New Roman"/>
        </w:rPr>
        <w:t>”. Standing alone, this would appear to oust the jurisdiction of a s. 13(1) judge of the provincially designated youth justice court to hear and decide the application for judicial interim release (</w:t>
      </w:r>
      <w:r w:rsidRPr="00512C71">
        <w:rPr>
          <w:rFonts w:cs="Times New Roman"/>
          <w:i/>
        </w:rPr>
        <w:t>B. (J.)</w:t>
      </w:r>
      <w:r w:rsidRPr="00512C71">
        <w:rPr>
          <w:rFonts w:cs="Times New Roman"/>
        </w:rPr>
        <w:t>,</w:t>
      </w:r>
      <w:r w:rsidRPr="00512C71">
        <w:rPr>
          <w:rFonts w:cs="Times New Roman"/>
          <w:i/>
        </w:rPr>
        <w:t xml:space="preserve"> </w:t>
      </w:r>
      <w:r w:rsidRPr="00512C71">
        <w:rPr>
          <w:rFonts w:cs="Times New Roman"/>
        </w:rPr>
        <w:t>at paras. 17</w:t>
      </w:r>
      <w:r w:rsidRPr="00512C71">
        <w:rPr>
          <w:rFonts w:cs="Times New Roman"/>
        </w:rPr>
        <w:noBreakHyphen/>
        <w:t xml:space="preserve">20; </w:t>
      </w:r>
      <w:r w:rsidRPr="00512C71">
        <w:rPr>
          <w:rFonts w:cs="Times New Roman"/>
          <w:i/>
        </w:rPr>
        <w:t>F. (M.)</w:t>
      </w:r>
      <w:r w:rsidRPr="00512C71">
        <w:rPr>
          <w:rFonts w:cs="Times New Roman"/>
        </w:rPr>
        <w:t>,</w:t>
      </w:r>
      <w:r w:rsidRPr="00512C71">
        <w:rPr>
          <w:rFonts w:cs="Times New Roman"/>
          <w:i/>
        </w:rPr>
        <w:t xml:space="preserve"> </w:t>
      </w:r>
      <w:r w:rsidRPr="00512C71">
        <w:rPr>
          <w:rFonts w:cs="Times New Roman"/>
        </w:rPr>
        <w:t>at paras. 49</w:t>
      </w:r>
      <w:r w:rsidRPr="00512C71">
        <w:rPr>
          <w:rFonts w:cs="Times New Roman"/>
        </w:rPr>
        <w:noBreakHyphen/>
        <w:t>51).</w:t>
      </w:r>
    </w:p>
    <w:p w14:paraId="0B081709" w14:textId="345B5BC0" w:rsidR="00190ED6" w:rsidRPr="00512C71" w:rsidRDefault="00190ED6" w:rsidP="00190ED6">
      <w:pPr>
        <w:pStyle w:val="ParaNoNdepar-AltN"/>
        <w:rPr>
          <w:rFonts w:cs="Times New Roman"/>
        </w:rPr>
      </w:pPr>
      <w:r w:rsidRPr="00512C71">
        <w:rPr>
          <w:rFonts w:cs="Times New Roman"/>
        </w:rPr>
        <w:t>But s</w:t>
      </w:r>
      <w:r w:rsidR="00123759">
        <w:rPr>
          <w:rFonts w:cs="Times New Roman"/>
        </w:rPr>
        <w:t>ection</w:t>
      </w:r>
      <w:r w:rsidRPr="00512C71">
        <w:rPr>
          <w:rFonts w:cs="Times New Roman"/>
        </w:rPr>
        <w:t xml:space="preserve"> 522 is subject to the caveat in s. 28 of the </w:t>
      </w:r>
      <w:r w:rsidRPr="00512C71">
        <w:rPr>
          <w:rFonts w:cs="Times New Roman"/>
          <w:i/>
        </w:rPr>
        <w:t>YCJA</w:t>
      </w:r>
      <w:r w:rsidRPr="00512C71">
        <w:rPr>
          <w:rFonts w:cs="Times New Roman"/>
        </w:rPr>
        <w:t xml:space="preserve">, which states that the provisions of Part XVI of the </w:t>
      </w:r>
      <w:r w:rsidRPr="00512C71">
        <w:rPr>
          <w:rFonts w:cs="Times New Roman"/>
          <w:i/>
        </w:rPr>
        <w:t>Criminal Code</w:t>
      </w:r>
      <w:r w:rsidRPr="00512C71">
        <w:rPr>
          <w:rFonts w:cs="Times New Roman"/>
        </w:rPr>
        <w:t xml:space="preserve"> apply to the detention and release of young persons under the </w:t>
      </w:r>
      <w:r w:rsidRPr="00512C71">
        <w:rPr>
          <w:rFonts w:cs="Times New Roman"/>
          <w:i/>
        </w:rPr>
        <w:t>YCJA</w:t>
      </w:r>
      <w:r w:rsidRPr="00512C71">
        <w:rPr>
          <w:rFonts w:cs="Times New Roman"/>
        </w:rPr>
        <w:t xml:space="preserve"> “[e]xcept to the extent that they are inconsistent with or excluded by [the </w:t>
      </w:r>
      <w:r w:rsidRPr="00512C71">
        <w:rPr>
          <w:rFonts w:cs="Times New Roman"/>
          <w:i/>
        </w:rPr>
        <w:t>YCJA</w:t>
      </w:r>
      <w:r w:rsidRPr="00512C71">
        <w:rPr>
          <w:rFonts w:cs="Times New Roman"/>
        </w:rPr>
        <w:t xml:space="preserve">]”. Meaning, Part XVI of the </w:t>
      </w:r>
      <w:r w:rsidRPr="00512C71">
        <w:rPr>
          <w:rFonts w:cs="Times New Roman"/>
          <w:i/>
        </w:rPr>
        <w:t>Criminal Code</w:t>
      </w:r>
      <w:r w:rsidRPr="00512C71">
        <w:rPr>
          <w:rFonts w:cs="Times New Roman"/>
        </w:rPr>
        <w:t xml:space="preserve"> governs matters of detention and release of young persons unless the </w:t>
      </w:r>
      <w:r w:rsidRPr="00512C71">
        <w:rPr>
          <w:rFonts w:cs="Times New Roman"/>
          <w:i/>
        </w:rPr>
        <w:t xml:space="preserve">YCJA </w:t>
      </w:r>
      <w:r w:rsidRPr="00512C71">
        <w:rPr>
          <w:rFonts w:cs="Times New Roman"/>
        </w:rPr>
        <w:t xml:space="preserve">provides otherwise, in which case the </w:t>
      </w:r>
      <w:r w:rsidRPr="00512C71">
        <w:rPr>
          <w:rFonts w:cs="Times New Roman"/>
          <w:i/>
        </w:rPr>
        <w:t>YCJA</w:t>
      </w:r>
      <w:r w:rsidRPr="00512C71">
        <w:rPr>
          <w:rFonts w:cs="Times New Roman"/>
        </w:rPr>
        <w:t xml:space="preserve"> prevails. And significantly, as already recounted, where a young person is charged with an offence referred to in s. 522 (which describes “an offence listed in section 469”), s. 33(8) of the </w:t>
      </w:r>
      <w:r w:rsidRPr="00512C71">
        <w:rPr>
          <w:rFonts w:cs="Times New Roman"/>
          <w:i/>
        </w:rPr>
        <w:t xml:space="preserve">YCJA </w:t>
      </w:r>
      <w:r w:rsidRPr="00512C71">
        <w:rPr>
          <w:rFonts w:cs="Times New Roman"/>
        </w:rPr>
        <w:t xml:space="preserve">confers exclusive jurisdiction (“no other court, </w:t>
      </w:r>
      <w:r w:rsidRPr="00512C71">
        <w:rPr>
          <w:rFonts w:cs="Times New Roman"/>
        </w:rPr>
        <w:lastRenderedPageBreak/>
        <w:t xml:space="preserve">judge or justice”) upon “a youth justice court judge” to release a young person from custody. </w:t>
      </w:r>
    </w:p>
    <w:p w14:paraId="50686AF7" w14:textId="5ECD685D" w:rsidR="00190ED6" w:rsidRPr="00512C71" w:rsidRDefault="00190ED6" w:rsidP="00190ED6">
      <w:pPr>
        <w:pStyle w:val="ParaNoNdepar-AltN"/>
        <w:rPr>
          <w:rFonts w:cs="Times New Roman"/>
        </w:rPr>
      </w:pPr>
      <w:r w:rsidRPr="00512C71">
        <w:rPr>
          <w:rFonts w:cs="Times New Roman"/>
        </w:rPr>
        <w:t>It is critical here to reca</w:t>
      </w:r>
      <w:r w:rsidR="00123759">
        <w:rPr>
          <w:rFonts w:cs="Times New Roman"/>
        </w:rPr>
        <w:t xml:space="preserve">ll that, just as ss. 13(2) and </w:t>
      </w:r>
      <w:r w:rsidRPr="00512C71">
        <w:rPr>
          <w:rFonts w:cs="Times New Roman"/>
        </w:rPr>
        <w:t xml:space="preserve">(3) of the </w:t>
      </w:r>
      <w:r w:rsidRPr="00512C71">
        <w:rPr>
          <w:rFonts w:cs="Times New Roman"/>
          <w:i/>
        </w:rPr>
        <w:t>YCJA</w:t>
      </w:r>
      <w:r w:rsidRPr="00512C71">
        <w:rPr>
          <w:rFonts w:cs="Times New Roman"/>
        </w:rPr>
        <w:t xml:space="preserve"> deem a superior court judge to be a youth justice court judge, s. 13(1) </w:t>
      </w:r>
      <w:r w:rsidRPr="00512C71">
        <w:rPr>
          <w:rFonts w:cs="Times New Roman"/>
          <w:i/>
        </w:rPr>
        <w:t>also</w:t>
      </w:r>
      <w:r w:rsidRPr="00512C71">
        <w:rPr>
          <w:rFonts w:cs="Times New Roman"/>
        </w:rPr>
        <w:t xml:space="preserve"> designates as a youth justice court judge a judge sitting in the court established by the province as the youth justice court. While, therefore, s. 522 of the </w:t>
      </w:r>
      <w:r w:rsidRPr="00512C71">
        <w:rPr>
          <w:rFonts w:cs="Times New Roman"/>
          <w:i/>
        </w:rPr>
        <w:t>Criminal Code</w:t>
      </w:r>
      <w:r w:rsidRPr="00512C71">
        <w:rPr>
          <w:rFonts w:cs="Times New Roman"/>
        </w:rPr>
        <w:t xml:space="preserve">, as I say, appears to deprive a s. 13(1) court and judge of jurisdiction to hear and decide a judicial interim release application, s. 33(8) of the </w:t>
      </w:r>
      <w:r w:rsidRPr="00512C71">
        <w:rPr>
          <w:rFonts w:cs="Times New Roman"/>
          <w:i/>
        </w:rPr>
        <w:t>YCJA</w:t>
      </w:r>
      <w:r w:rsidRPr="00512C71">
        <w:rPr>
          <w:rFonts w:cs="Times New Roman"/>
        </w:rPr>
        <w:t xml:space="preserve"> is categorical in providing otherwise. It does not qualify the term “youth justice court judge” so as to include only those superior court justices deemed under ss. 13(2) and (3) to be youth justice court judges. Rather, “</w:t>
      </w:r>
      <w:r w:rsidRPr="00512C71">
        <w:rPr>
          <w:rFonts w:cs="Times New Roman"/>
          <w:u w:val="single"/>
        </w:rPr>
        <w:t>a</w:t>
      </w:r>
      <w:r w:rsidRPr="00512C71">
        <w:rPr>
          <w:rFonts w:cs="Times New Roman"/>
        </w:rPr>
        <w:t xml:space="preserve"> youth justice court judge” may release a young person. Inasmuch as s. 522 would remove that power from a s. 13(1) youth justice court judge by conferring exclusive jurisdiction upon “</w:t>
      </w:r>
      <w:r w:rsidRPr="00512C71">
        <w:rPr>
          <w:rFonts w:cs="Times New Roman"/>
          <w:u w:val="single"/>
        </w:rPr>
        <w:t>a judge of or a judge presiding in a superior court of criminal jurisdiction</w:t>
      </w:r>
      <w:r w:rsidRPr="00512C71">
        <w:rPr>
          <w:rFonts w:cs="Times New Roman"/>
        </w:rPr>
        <w:t xml:space="preserve">” to hear and decide judicial interim release applications where a young person is charged with an offence listed in s. 469 of the </w:t>
      </w:r>
      <w:r w:rsidRPr="00512C71">
        <w:rPr>
          <w:rFonts w:cs="Times New Roman"/>
          <w:i/>
        </w:rPr>
        <w:t>Criminal Code</w:t>
      </w:r>
      <w:r w:rsidRPr="00512C71">
        <w:rPr>
          <w:rFonts w:cs="Times New Roman"/>
        </w:rPr>
        <w:t xml:space="preserve">, it is inconsistent with s. 33(8) and does not apply. </w:t>
      </w:r>
    </w:p>
    <w:p w14:paraId="50DC767F" w14:textId="77777777" w:rsidR="00190ED6" w:rsidRPr="00512C71" w:rsidRDefault="00190ED6" w:rsidP="00190ED6">
      <w:pPr>
        <w:pStyle w:val="ParaNoNdepar-AltN"/>
        <w:rPr>
          <w:rFonts w:cs="Times New Roman"/>
        </w:rPr>
      </w:pPr>
      <w:r w:rsidRPr="00512C71">
        <w:rPr>
          <w:rFonts w:cs="Times New Roman"/>
        </w:rPr>
        <w:t xml:space="preserve">It follows from the foregoing that while, as I have explained, a superior court justice deemed under s. 13(2) or s. 13(3) of the </w:t>
      </w:r>
      <w:r w:rsidRPr="00512C71">
        <w:rPr>
          <w:rFonts w:cs="Times New Roman"/>
          <w:i/>
        </w:rPr>
        <w:t xml:space="preserve">YCJA </w:t>
      </w:r>
      <w:r w:rsidRPr="00512C71">
        <w:rPr>
          <w:rFonts w:cs="Times New Roman"/>
        </w:rPr>
        <w:t xml:space="preserve">to be a youth justice court judge has jurisdiction to hear and adjudicate an application for judicial interim release of a young person charged with an offence listed in s. 469 of the </w:t>
      </w:r>
      <w:r w:rsidRPr="00512C71">
        <w:rPr>
          <w:rFonts w:cs="Times New Roman"/>
          <w:i/>
        </w:rPr>
        <w:t xml:space="preserve">Criminal Code </w:t>
      </w:r>
      <w:r w:rsidRPr="00512C71">
        <w:rPr>
          <w:rFonts w:cs="Times New Roman"/>
        </w:rPr>
        <w:t>and who has elected to be tried in the superior court,</w:t>
      </w:r>
      <w:r w:rsidRPr="00512C71">
        <w:rPr>
          <w:rFonts w:cs="Times New Roman"/>
          <w:i/>
        </w:rPr>
        <w:t xml:space="preserve"> </w:t>
      </w:r>
      <w:r w:rsidRPr="00512C71">
        <w:rPr>
          <w:rFonts w:cs="Times New Roman"/>
        </w:rPr>
        <w:t xml:space="preserve">so does a judge of a court that has been </w:t>
      </w:r>
      <w:r w:rsidRPr="00512C71">
        <w:rPr>
          <w:rFonts w:cs="Times New Roman"/>
        </w:rPr>
        <w:lastRenderedPageBreak/>
        <w:t xml:space="preserve">designated by the province as a youth justice court. In other words, the jurisdiction is </w:t>
      </w:r>
      <w:r w:rsidRPr="00512C71">
        <w:rPr>
          <w:rFonts w:cs="Times New Roman"/>
          <w:i/>
        </w:rPr>
        <w:t>concurrent</w:t>
      </w:r>
      <w:r w:rsidRPr="00512C71">
        <w:rPr>
          <w:rFonts w:cs="Times New Roman"/>
        </w:rPr>
        <w:t xml:space="preserve">, and not exclusive to either of them. </w:t>
      </w:r>
    </w:p>
    <w:p w14:paraId="34BACE23" w14:textId="77777777" w:rsidR="00190ED6" w:rsidRPr="00512C71" w:rsidRDefault="00190ED6" w:rsidP="00190ED6">
      <w:pPr>
        <w:pStyle w:val="ParaNoNdepar-AltN"/>
        <w:rPr>
          <w:rFonts w:cs="Times New Roman"/>
        </w:rPr>
      </w:pPr>
      <w:r w:rsidRPr="00512C71">
        <w:rPr>
          <w:rFonts w:cs="Times New Roman"/>
        </w:rPr>
        <w:t xml:space="preserve">While this result is compelled by the clear direction of Parliament regarding the relationship between the </w:t>
      </w:r>
      <w:r w:rsidRPr="00512C71">
        <w:rPr>
          <w:rFonts w:cs="Times New Roman"/>
          <w:i/>
        </w:rPr>
        <w:t>YCJA</w:t>
      </w:r>
      <w:r w:rsidRPr="00512C71">
        <w:rPr>
          <w:rFonts w:cs="Times New Roman"/>
        </w:rPr>
        <w:t xml:space="preserve"> and Part XVI of the </w:t>
      </w:r>
      <w:r w:rsidRPr="00512C71">
        <w:rPr>
          <w:rFonts w:cs="Times New Roman"/>
          <w:i/>
        </w:rPr>
        <w:t>Criminal Code</w:t>
      </w:r>
      <w:r w:rsidRPr="00512C71">
        <w:rPr>
          <w:rFonts w:cs="Times New Roman"/>
        </w:rPr>
        <w:t xml:space="preserve">, I add that it is not surprising that Parliament would so direct. As this Court has recognized, Parliament’s intention when enacting the </w:t>
      </w:r>
      <w:r w:rsidRPr="00512C71">
        <w:rPr>
          <w:rFonts w:cs="Times New Roman"/>
          <w:i/>
        </w:rPr>
        <w:t xml:space="preserve">YCJA </w:t>
      </w:r>
      <w:r w:rsidRPr="00512C71">
        <w:rPr>
          <w:rFonts w:cs="Times New Roman"/>
        </w:rPr>
        <w:t xml:space="preserve">was to provide young persons with enhanced procedural protections throughout the criminal process in recognition of their age, and to create less formal and more expeditious proceedings (ss. 3(1)(b)(iii) and (v); </w:t>
      </w:r>
      <w:r w:rsidRPr="00512C71">
        <w:rPr>
          <w:rFonts w:cs="Times New Roman"/>
          <w:i/>
        </w:rPr>
        <w:t>R. v. K.J.M.</w:t>
      </w:r>
      <w:r w:rsidRPr="00512C71">
        <w:rPr>
          <w:rFonts w:cs="Times New Roman"/>
        </w:rPr>
        <w:t>, 2019 SCC 55,</w:t>
      </w:r>
      <w:r w:rsidRPr="00512C71">
        <w:rPr>
          <w:rFonts w:cs="Times New Roman"/>
          <w:i/>
        </w:rPr>
        <w:t xml:space="preserve"> </w:t>
      </w:r>
      <w:r w:rsidRPr="00512C71">
        <w:rPr>
          <w:rFonts w:cs="Times New Roman"/>
        </w:rPr>
        <w:t>at paras. 51</w:t>
      </w:r>
      <w:r w:rsidRPr="00512C71">
        <w:rPr>
          <w:rFonts w:cs="Times New Roman"/>
        </w:rPr>
        <w:noBreakHyphen/>
        <w:t xml:space="preserve">52 (per Moldaver J.) and 136 (per Abella and Brown JJ., dissenting, but not on this point); </w:t>
      </w:r>
      <w:r w:rsidRPr="00512C71">
        <w:rPr>
          <w:rFonts w:cs="Times New Roman"/>
          <w:shd w:val="clear" w:color="auto" w:fill="FFFFFF"/>
        </w:rPr>
        <w:t>S. Davis</w:t>
      </w:r>
      <w:r w:rsidRPr="00512C71">
        <w:rPr>
          <w:rFonts w:cs="Times New Roman"/>
          <w:shd w:val="clear" w:color="auto" w:fill="FFFFFF"/>
        </w:rPr>
        <w:noBreakHyphen/>
        <w:t xml:space="preserve">Barron, </w:t>
      </w:r>
      <w:r w:rsidRPr="00512C71">
        <w:rPr>
          <w:rFonts w:cs="Times New Roman"/>
          <w:i/>
          <w:iCs/>
          <w:shd w:val="clear" w:color="auto" w:fill="FFFFFF"/>
        </w:rPr>
        <w:t xml:space="preserve">Youth and the Criminal Law in Canada </w:t>
      </w:r>
      <w:r w:rsidRPr="00512C71">
        <w:rPr>
          <w:rFonts w:cs="Times New Roman"/>
          <w:iCs/>
          <w:shd w:val="clear" w:color="auto" w:fill="FFFFFF"/>
        </w:rPr>
        <w:t>(2nd ed. 2015</w:t>
      </w:r>
      <w:r w:rsidRPr="00512C71">
        <w:rPr>
          <w:rFonts w:cs="Times New Roman"/>
          <w:shd w:val="clear" w:color="auto" w:fill="FFFFFF"/>
        </w:rPr>
        <w:t>), at p. 177).</w:t>
      </w:r>
      <w:r w:rsidRPr="00512C71">
        <w:rPr>
          <w:rFonts w:cs="Times New Roman"/>
        </w:rPr>
        <w:t xml:space="preserve"> By conferring concurrent jurisdiction to decide release following the young person’s election where charged with a s. 469 offence, Parliament would have sought to introduce a measure of flexibility that is absent from the adult criminal justice system in order to achieve the aims of the </w:t>
      </w:r>
      <w:r w:rsidRPr="00512C71">
        <w:rPr>
          <w:rFonts w:cs="Times New Roman"/>
          <w:i/>
        </w:rPr>
        <w:t xml:space="preserve">YCJA </w:t>
      </w:r>
      <w:r w:rsidRPr="00512C71">
        <w:rPr>
          <w:rFonts w:cs="Times New Roman"/>
        </w:rPr>
        <w:t xml:space="preserve">(É. F. Lacombe, “Prioritizing Children’s Best Interests in Canadian Youth Justice: Article 3 of the UN </w:t>
      </w:r>
      <w:r w:rsidRPr="00512C71">
        <w:rPr>
          <w:rFonts w:cs="Times New Roman"/>
          <w:i/>
        </w:rPr>
        <w:t>Convention on the Rights of the Child</w:t>
      </w:r>
      <w:r w:rsidRPr="00512C71">
        <w:rPr>
          <w:rFonts w:cs="Times New Roman"/>
        </w:rPr>
        <w:t xml:space="preserve"> and Child</w:t>
      </w:r>
      <w:r w:rsidRPr="00512C71">
        <w:rPr>
          <w:rFonts w:cs="Times New Roman"/>
        </w:rPr>
        <w:noBreakHyphen/>
        <w:t xml:space="preserve">Friendly Alternatives” (2017), 34 </w:t>
      </w:r>
      <w:r w:rsidRPr="00512C71">
        <w:rPr>
          <w:rFonts w:cs="Times New Roman"/>
          <w:i/>
        </w:rPr>
        <w:t xml:space="preserve">Windsor Y.B. Access Just. </w:t>
      </w:r>
      <w:r w:rsidRPr="00512C71">
        <w:rPr>
          <w:rFonts w:cs="Times New Roman"/>
        </w:rPr>
        <w:t xml:space="preserve">209, at p. 217). This is particularly significant for young persons in rural areas, including, in particular, Indigenous youth, for whom provincially designated youth justice courts will be more accessible than a superior court. </w:t>
      </w:r>
    </w:p>
    <w:p w14:paraId="7D82F30C" w14:textId="77777777" w:rsidR="00190ED6" w:rsidRPr="00512C71" w:rsidRDefault="00190ED6" w:rsidP="00190ED6">
      <w:pPr>
        <w:pStyle w:val="ParaNoNdepar-AltN"/>
        <w:rPr>
          <w:rFonts w:cs="Times New Roman"/>
        </w:rPr>
      </w:pPr>
      <w:r w:rsidRPr="00512C71">
        <w:rPr>
          <w:rFonts w:cs="Times New Roman"/>
        </w:rPr>
        <w:lastRenderedPageBreak/>
        <w:t xml:space="preserve">A final word of caution. This appeal concerned only the question of jurisdiction over judicial interim release before the start of trial. Of course, once the trial has started, it will typically be the case that a judicial interim release application would be brought before the trial judge. Whether it </w:t>
      </w:r>
      <w:r w:rsidRPr="00512C71">
        <w:rPr>
          <w:rFonts w:cs="Times New Roman"/>
          <w:i/>
        </w:rPr>
        <w:t xml:space="preserve">must </w:t>
      </w:r>
      <w:r w:rsidRPr="00512C71">
        <w:rPr>
          <w:rFonts w:cs="Times New Roman"/>
        </w:rPr>
        <w:t>be brought before the trial judge, however ⸺ for example, where the trial has adjourned ⸺ is a question that I need not decide here, and I am content to leave it open for another day when it is properly before the Court.</w:t>
      </w:r>
    </w:p>
    <w:p w14:paraId="23B30780" w14:textId="77777777" w:rsidR="00190ED6" w:rsidRPr="00512C71" w:rsidRDefault="00190ED6" w:rsidP="00190ED6">
      <w:pPr>
        <w:pStyle w:val="Title1LevelTitre1Niveau-AltL"/>
        <w:rPr>
          <w:rFonts w:cs="Times New Roman"/>
        </w:rPr>
      </w:pPr>
      <w:r w:rsidRPr="00512C71">
        <w:rPr>
          <w:rFonts w:cs="Times New Roman"/>
        </w:rPr>
        <w:t>Conclusion</w:t>
      </w:r>
    </w:p>
    <w:p w14:paraId="263381F5" w14:textId="77777777" w:rsidR="00190ED6" w:rsidRPr="00512C71" w:rsidRDefault="00190ED6" w:rsidP="00190ED6">
      <w:pPr>
        <w:pStyle w:val="ParaNoNdepar-AltN"/>
        <w:rPr>
          <w:rFonts w:cs="Times New Roman"/>
        </w:rPr>
      </w:pPr>
      <w:r w:rsidRPr="00512C71">
        <w:rPr>
          <w:rFonts w:cs="Times New Roman"/>
        </w:rPr>
        <w:t xml:space="preserve">I would allow the appeal. The application judge had jurisdiction to hear T.J.M.’s application for judicial interim release ⸺ a jurisdiction he shared concurrently with the designated youth justice court for the province. As the appeal is moot, no further order is necessary. </w:t>
      </w:r>
    </w:p>
    <w:p w14:paraId="39A58915" w14:textId="4FBE7AFE" w:rsidR="00132D5C" w:rsidRPr="00F3653F" w:rsidRDefault="00E350E6" w:rsidP="00716010">
      <w:pPr>
        <w:pStyle w:val="SCCNormalDoubleSpacing"/>
        <w:spacing w:after="480"/>
      </w:pPr>
      <w:r w:rsidRPr="00F3653F">
        <w:tab/>
      </w:r>
      <w:r w:rsidR="002A04C6" w:rsidRPr="00F3653F">
        <w:rPr>
          <w:i/>
        </w:rPr>
        <w:t>Appeal</w:t>
      </w:r>
      <w:r w:rsidR="002A04C6" w:rsidRPr="00F3653F">
        <w:t xml:space="preserve"> </w:t>
      </w:r>
      <w:r w:rsidR="009B45F5" w:rsidRPr="00F3653F">
        <w:rPr>
          <w:i/>
        </w:rPr>
        <w:t>allowed.</w:t>
      </w:r>
    </w:p>
    <w:p w14:paraId="7D849CAE" w14:textId="2BE14F4D" w:rsidR="00132D5C" w:rsidRPr="00F3653F" w:rsidRDefault="00673449" w:rsidP="00701887">
      <w:pPr>
        <w:pStyle w:val="SCCLawFirm"/>
        <w:spacing w:after="480"/>
      </w:pPr>
      <w:r w:rsidRPr="00F3653F">
        <w:tab/>
        <w:t>Solic</w:t>
      </w:r>
      <w:r w:rsidR="00F65F66" w:rsidRPr="00F3653F">
        <w:t>itor</w:t>
      </w:r>
      <w:r w:rsidRPr="00F3653F">
        <w:t>s for the appellant:</w:t>
      </w:r>
      <w:r w:rsidR="00A03CDE" w:rsidRPr="00F3653F">
        <w:t> </w:t>
      </w:r>
      <w:r w:rsidRPr="00F3653F">
        <w:t>Dawson Duckett Garcia &amp; Johnson, Edmonton.</w:t>
      </w:r>
    </w:p>
    <w:p w14:paraId="1C0C6709" w14:textId="32E7AB26" w:rsidR="00132D5C" w:rsidRPr="00F3653F" w:rsidRDefault="00F65F66">
      <w:pPr>
        <w:pStyle w:val="SCCLawFirm"/>
      </w:pPr>
      <w:r w:rsidRPr="00F3653F">
        <w:tab/>
        <w:t>Solicitor</w:t>
      </w:r>
      <w:r w:rsidR="00A03CDE" w:rsidRPr="00F3653F">
        <w:t xml:space="preserve"> for the respondent: </w:t>
      </w:r>
      <w:r w:rsidR="00673449" w:rsidRPr="00F3653F">
        <w:t>Attorney General of Alberta, Edmonton.</w:t>
      </w:r>
    </w:p>
    <w:sectPr w:rsidR="00132D5C" w:rsidRPr="00F3653F" w:rsidSect="00701887">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1D780" w14:textId="77777777" w:rsidR="000B6695" w:rsidRDefault="000B6695">
      <w:r>
        <w:separator/>
      </w:r>
    </w:p>
  </w:endnote>
  <w:endnote w:type="continuationSeparator" w:id="0">
    <w:p w14:paraId="3A4284A9" w14:textId="77777777" w:rsidR="000B6695" w:rsidRDefault="000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A5BD"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3F8C" w14:textId="77777777"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BD7" w14:textId="77777777" w:rsidR="002F45B5" w:rsidRDefault="002F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FDAD" w14:textId="77777777" w:rsidR="000B6695" w:rsidRDefault="000B6695">
      <w:r>
        <w:separator/>
      </w:r>
    </w:p>
  </w:footnote>
  <w:footnote w:type="continuationSeparator" w:id="0">
    <w:p w14:paraId="79297C12" w14:textId="77777777" w:rsidR="000B6695" w:rsidRDefault="000B6695">
      <w:r>
        <w:continuationSeparator/>
      </w:r>
    </w:p>
  </w:footnote>
  <w:footnote w:id="1">
    <w:p w14:paraId="210D6048" w14:textId="77777777" w:rsidR="00190ED6" w:rsidRPr="00B669F5" w:rsidRDefault="00190ED6" w:rsidP="00190ED6">
      <w:pPr>
        <w:pStyle w:val="FootnoteText"/>
        <w:tabs>
          <w:tab w:val="clear" w:pos="180"/>
        </w:tabs>
        <w:rPr>
          <w:lang w:val="en-US"/>
        </w:rPr>
      </w:pPr>
      <w:r>
        <w:rPr>
          <w:rStyle w:val="FootnoteReference"/>
        </w:rPr>
        <w:footnoteRef/>
      </w:r>
      <w:r>
        <w:t xml:space="preserve">  (1) </w:t>
      </w:r>
      <w:r w:rsidRPr="001B5E86">
        <w:t>where the Attorney General has given notice under s. 64(2) of the intention to seek an adult sentence (s.</w:t>
      </w:r>
      <w:r>
        <w:rPr>
          <w:i/>
        </w:rPr>
        <w:t> </w:t>
      </w:r>
      <w:r w:rsidRPr="001B5E86">
        <w:t xml:space="preserve">67(1)(b)); </w:t>
      </w:r>
      <w:r>
        <w:t>(2) where the</w:t>
      </w:r>
      <w:r w:rsidRPr="001B5E86">
        <w:t xml:space="preserve"> </w:t>
      </w:r>
      <w:r w:rsidRPr="00843DA9">
        <w:t xml:space="preserve">young </w:t>
      </w:r>
      <w:r w:rsidRPr="001B5E86">
        <w:t>person is charged with fi</w:t>
      </w:r>
      <w:r>
        <w:t>rst or second degree murder (s. </w:t>
      </w:r>
      <w:r w:rsidRPr="001B5E86">
        <w:t xml:space="preserve">67(1)(c)); and </w:t>
      </w:r>
      <w:r>
        <w:t xml:space="preserve">(3) </w:t>
      </w:r>
      <w:r w:rsidRPr="001B5E86">
        <w:rPr>
          <w:bCs/>
          <w:lang w:val="en-US"/>
        </w:rPr>
        <w:t xml:space="preserve">where </w:t>
      </w:r>
      <w:r>
        <w:rPr>
          <w:bCs/>
          <w:lang w:val="en-US"/>
        </w:rPr>
        <w:t>s.</w:t>
      </w:r>
      <w:r w:rsidRPr="001B5E86">
        <w:rPr>
          <w:bCs/>
          <w:lang w:val="en-US"/>
        </w:rPr>
        <w:t xml:space="preserve"> 16 of the </w:t>
      </w:r>
      <w:r w:rsidRPr="001B5E86">
        <w:rPr>
          <w:bCs/>
          <w:i/>
          <w:lang w:val="en-US"/>
        </w:rPr>
        <w:t xml:space="preserve">YCJA </w:t>
      </w:r>
      <w:r w:rsidRPr="001B5E86">
        <w:rPr>
          <w:bCs/>
          <w:lang w:val="en-US"/>
        </w:rPr>
        <w:t>(status of accused uncertain) applies and the young person, after attaining the age of fourteen, is charged with an offence for which an adult would be entitled to an election under s</w:t>
      </w:r>
      <w:r>
        <w:rPr>
          <w:bCs/>
          <w:lang w:val="en-US"/>
        </w:rPr>
        <w:t>.</w:t>
      </w:r>
      <w:r w:rsidRPr="001B5E86">
        <w:rPr>
          <w:bCs/>
          <w:lang w:val="en-US"/>
        </w:rPr>
        <w:t xml:space="preserve"> 536 of the </w:t>
      </w:r>
      <w:r w:rsidRPr="001B5E86">
        <w:rPr>
          <w:bCs/>
          <w:i/>
          <w:iCs/>
          <w:lang w:val="en-US"/>
        </w:rPr>
        <w:t>Criminal Code</w:t>
      </w:r>
      <w:r w:rsidRPr="001B5E86">
        <w:rPr>
          <w:bCs/>
          <w:lang w:val="en-US"/>
        </w:rPr>
        <w:t>, or over which a superior court of criminal jurisdiction would have exclusive jurisdiction under s</w:t>
      </w:r>
      <w:r>
        <w:rPr>
          <w:bCs/>
          <w:lang w:val="en-US"/>
        </w:rPr>
        <w:t>.</w:t>
      </w:r>
      <w:r w:rsidRPr="001B5E86">
        <w:rPr>
          <w:bCs/>
          <w:lang w:val="en-US"/>
        </w:rPr>
        <w:t xml:space="preserve"> 469 of the </w:t>
      </w:r>
      <w:r w:rsidRPr="001B5E86">
        <w:rPr>
          <w:bCs/>
          <w:i/>
          <w:lang w:val="en-US"/>
        </w:rPr>
        <w:t xml:space="preserve">Criminal Code </w:t>
      </w:r>
      <w:r>
        <w:rPr>
          <w:bCs/>
          <w:lang w:val="en-US"/>
        </w:rPr>
        <w:t>(s. </w:t>
      </w:r>
      <w:r w:rsidRPr="001B5E86">
        <w:rPr>
          <w:bCs/>
          <w:lang w:val="en-US"/>
        </w:rPr>
        <w:t>67(1)(d)).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C434"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B74C" w14:textId="45EECE83" w:rsidR="00450352" w:rsidRPr="002F45B5" w:rsidRDefault="00450352" w:rsidP="002F4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2FDB7" w14:textId="77777777" w:rsidR="002F45B5" w:rsidRDefault="002F4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9676C19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E89"/>
    <w:rsid w:val="00025198"/>
    <w:rsid w:val="000578A3"/>
    <w:rsid w:val="000648CC"/>
    <w:rsid w:val="0006760B"/>
    <w:rsid w:val="00067E09"/>
    <w:rsid w:val="00075D1D"/>
    <w:rsid w:val="000B6695"/>
    <w:rsid w:val="000C59B8"/>
    <w:rsid w:val="000C6AF0"/>
    <w:rsid w:val="00104F33"/>
    <w:rsid w:val="00111DE2"/>
    <w:rsid w:val="00116B38"/>
    <w:rsid w:val="00123759"/>
    <w:rsid w:val="00132D5C"/>
    <w:rsid w:val="00135406"/>
    <w:rsid w:val="00135858"/>
    <w:rsid w:val="00135972"/>
    <w:rsid w:val="001426A9"/>
    <w:rsid w:val="00154D7C"/>
    <w:rsid w:val="001570B0"/>
    <w:rsid w:val="0015752C"/>
    <w:rsid w:val="00157737"/>
    <w:rsid w:val="00165277"/>
    <w:rsid w:val="00170592"/>
    <w:rsid w:val="00186351"/>
    <w:rsid w:val="00190ED6"/>
    <w:rsid w:val="0019473E"/>
    <w:rsid w:val="00195D83"/>
    <w:rsid w:val="001A00C1"/>
    <w:rsid w:val="001B33E0"/>
    <w:rsid w:val="001B4573"/>
    <w:rsid w:val="001C779F"/>
    <w:rsid w:val="001D2AC1"/>
    <w:rsid w:val="001D4E88"/>
    <w:rsid w:val="001E7014"/>
    <w:rsid w:val="001F1EE2"/>
    <w:rsid w:val="00201C81"/>
    <w:rsid w:val="002075A8"/>
    <w:rsid w:val="00220FC2"/>
    <w:rsid w:val="002222F4"/>
    <w:rsid w:val="00224FC0"/>
    <w:rsid w:val="00225EA4"/>
    <w:rsid w:val="00226EAF"/>
    <w:rsid w:val="00231F3A"/>
    <w:rsid w:val="002322E1"/>
    <w:rsid w:val="00234199"/>
    <w:rsid w:val="002406EE"/>
    <w:rsid w:val="00243EC8"/>
    <w:rsid w:val="00261D13"/>
    <w:rsid w:val="00270D93"/>
    <w:rsid w:val="002745CC"/>
    <w:rsid w:val="002A04C6"/>
    <w:rsid w:val="002A54F5"/>
    <w:rsid w:val="002B2C0E"/>
    <w:rsid w:val="002B7924"/>
    <w:rsid w:val="002D28C3"/>
    <w:rsid w:val="002D39A4"/>
    <w:rsid w:val="002E6705"/>
    <w:rsid w:val="002F45B5"/>
    <w:rsid w:val="00301D08"/>
    <w:rsid w:val="0030329A"/>
    <w:rsid w:val="0031086F"/>
    <w:rsid w:val="0031414C"/>
    <w:rsid w:val="00314E01"/>
    <w:rsid w:val="0032089D"/>
    <w:rsid w:val="003310DE"/>
    <w:rsid w:val="003323B0"/>
    <w:rsid w:val="003346D8"/>
    <w:rsid w:val="0035169A"/>
    <w:rsid w:val="0035259D"/>
    <w:rsid w:val="00355CCE"/>
    <w:rsid w:val="00364B18"/>
    <w:rsid w:val="00365F31"/>
    <w:rsid w:val="003A125D"/>
    <w:rsid w:val="003A4C70"/>
    <w:rsid w:val="003B215F"/>
    <w:rsid w:val="003C5C3D"/>
    <w:rsid w:val="003C799C"/>
    <w:rsid w:val="003D0399"/>
    <w:rsid w:val="003E1C71"/>
    <w:rsid w:val="003E3DAB"/>
    <w:rsid w:val="003F327B"/>
    <w:rsid w:val="00406166"/>
    <w:rsid w:val="0040704B"/>
    <w:rsid w:val="00410A55"/>
    <w:rsid w:val="00411300"/>
    <w:rsid w:val="00415417"/>
    <w:rsid w:val="00426659"/>
    <w:rsid w:val="00436414"/>
    <w:rsid w:val="00450352"/>
    <w:rsid w:val="004517F7"/>
    <w:rsid w:val="00454BDB"/>
    <w:rsid w:val="00464800"/>
    <w:rsid w:val="00465132"/>
    <w:rsid w:val="004730A7"/>
    <w:rsid w:val="00480C90"/>
    <w:rsid w:val="0048396F"/>
    <w:rsid w:val="00493C18"/>
    <w:rsid w:val="004A0AAE"/>
    <w:rsid w:val="004A600C"/>
    <w:rsid w:val="004A6118"/>
    <w:rsid w:val="004B4704"/>
    <w:rsid w:val="004C478D"/>
    <w:rsid w:val="004D78C0"/>
    <w:rsid w:val="004E2C26"/>
    <w:rsid w:val="004E5F61"/>
    <w:rsid w:val="004F36FF"/>
    <w:rsid w:val="005125A8"/>
    <w:rsid w:val="00521AE8"/>
    <w:rsid w:val="00527180"/>
    <w:rsid w:val="0054201E"/>
    <w:rsid w:val="00555291"/>
    <w:rsid w:val="00566AD1"/>
    <w:rsid w:val="00567B0A"/>
    <w:rsid w:val="00583EDE"/>
    <w:rsid w:val="005A6079"/>
    <w:rsid w:val="005E4698"/>
    <w:rsid w:val="00610539"/>
    <w:rsid w:val="00613969"/>
    <w:rsid w:val="00625C35"/>
    <w:rsid w:val="00656313"/>
    <w:rsid w:val="006565F4"/>
    <w:rsid w:val="00673449"/>
    <w:rsid w:val="0067794A"/>
    <w:rsid w:val="00684EEA"/>
    <w:rsid w:val="006905CF"/>
    <w:rsid w:val="0069689B"/>
    <w:rsid w:val="00696AFE"/>
    <w:rsid w:val="006A1551"/>
    <w:rsid w:val="006B5FF5"/>
    <w:rsid w:val="006C2802"/>
    <w:rsid w:val="006E2DAB"/>
    <w:rsid w:val="006F30AF"/>
    <w:rsid w:val="00701759"/>
    <w:rsid w:val="00701887"/>
    <w:rsid w:val="00705C15"/>
    <w:rsid w:val="0071600E"/>
    <w:rsid w:val="00716010"/>
    <w:rsid w:val="007208D1"/>
    <w:rsid w:val="00747288"/>
    <w:rsid w:val="00747DD3"/>
    <w:rsid w:val="007549C8"/>
    <w:rsid w:val="00754A0B"/>
    <w:rsid w:val="00766D14"/>
    <w:rsid w:val="00767A0F"/>
    <w:rsid w:val="007A05F6"/>
    <w:rsid w:val="007B6F4A"/>
    <w:rsid w:val="007E1C47"/>
    <w:rsid w:val="007E337A"/>
    <w:rsid w:val="007E5C70"/>
    <w:rsid w:val="007F2FF5"/>
    <w:rsid w:val="007F3F08"/>
    <w:rsid w:val="007F66AC"/>
    <w:rsid w:val="00804CC6"/>
    <w:rsid w:val="00805A4F"/>
    <w:rsid w:val="00817190"/>
    <w:rsid w:val="00820EE5"/>
    <w:rsid w:val="008260E2"/>
    <w:rsid w:val="008322BD"/>
    <w:rsid w:val="00833E0A"/>
    <w:rsid w:val="00834F73"/>
    <w:rsid w:val="00842DF6"/>
    <w:rsid w:val="00864CF8"/>
    <w:rsid w:val="00872819"/>
    <w:rsid w:val="00873A2F"/>
    <w:rsid w:val="00874914"/>
    <w:rsid w:val="00891422"/>
    <w:rsid w:val="00892E1A"/>
    <w:rsid w:val="008A2D55"/>
    <w:rsid w:val="008A3F29"/>
    <w:rsid w:val="008B660A"/>
    <w:rsid w:val="008B6824"/>
    <w:rsid w:val="008B79D0"/>
    <w:rsid w:val="008C01DA"/>
    <w:rsid w:val="008C29A2"/>
    <w:rsid w:val="008E56B3"/>
    <w:rsid w:val="008F78E9"/>
    <w:rsid w:val="00905FEA"/>
    <w:rsid w:val="00911989"/>
    <w:rsid w:val="009179F9"/>
    <w:rsid w:val="0093103B"/>
    <w:rsid w:val="00933E5E"/>
    <w:rsid w:val="00935218"/>
    <w:rsid w:val="00935247"/>
    <w:rsid w:val="009403F3"/>
    <w:rsid w:val="009555B7"/>
    <w:rsid w:val="009567AA"/>
    <w:rsid w:val="00967374"/>
    <w:rsid w:val="00981962"/>
    <w:rsid w:val="009A343A"/>
    <w:rsid w:val="009A3D35"/>
    <w:rsid w:val="009B2F23"/>
    <w:rsid w:val="009B45F5"/>
    <w:rsid w:val="009B57B3"/>
    <w:rsid w:val="009C5B92"/>
    <w:rsid w:val="009D2920"/>
    <w:rsid w:val="009D5AEB"/>
    <w:rsid w:val="009F0E33"/>
    <w:rsid w:val="00A030CE"/>
    <w:rsid w:val="00A03CDE"/>
    <w:rsid w:val="00A149DF"/>
    <w:rsid w:val="00A1755C"/>
    <w:rsid w:val="00A21B90"/>
    <w:rsid w:val="00A315E3"/>
    <w:rsid w:val="00A41805"/>
    <w:rsid w:val="00A42DCD"/>
    <w:rsid w:val="00A52AFB"/>
    <w:rsid w:val="00A548CB"/>
    <w:rsid w:val="00A5521C"/>
    <w:rsid w:val="00A643E7"/>
    <w:rsid w:val="00A73C38"/>
    <w:rsid w:val="00A92D16"/>
    <w:rsid w:val="00AB670D"/>
    <w:rsid w:val="00AE4535"/>
    <w:rsid w:val="00AF03C5"/>
    <w:rsid w:val="00AF1159"/>
    <w:rsid w:val="00B000D8"/>
    <w:rsid w:val="00B00F75"/>
    <w:rsid w:val="00B145B6"/>
    <w:rsid w:val="00B23F7F"/>
    <w:rsid w:val="00B279EB"/>
    <w:rsid w:val="00B50C81"/>
    <w:rsid w:val="00B557F8"/>
    <w:rsid w:val="00B7755D"/>
    <w:rsid w:val="00B815FC"/>
    <w:rsid w:val="00B93FBC"/>
    <w:rsid w:val="00BA7DA0"/>
    <w:rsid w:val="00BB2EE4"/>
    <w:rsid w:val="00BC2108"/>
    <w:rsid w:val="00BD0E9E"/>
    <w:rsid w:val="00BD1BEC"/>
    <w:rsid w:val="00BD32FF"/>
    <w:rsid w:val="00BE2C38"/>
    <w:rsid w:val="00BE59A7"/>
    <w:rsid w:val="00BF45A1"/>
    <w:rsid w:val="00BF5AB5"/>
    <w:rsid w:val="00C00B5B"/>
    <w:rsid w:val="00C02092"/>
    <w:rsid w:val="00C053F8"/>
    <w:rsid w:val="00C231DE"/>
    <w:rsid w:val="00C24D91"/>
    <w:rsid w:val="00C53F14"/>
    <w:rsid w:val="00C600CF"/>
    <w:rsid w:val="00C6084F"/>
    <w:rsid w:val="00C62A66"/>
    <w:rsid w:val="00C71458"/>
    <w:rsid w:val="00C73626"/>
    <w:rsid w:val="00C77613"/>
    <w:rsid w:val="00C8037A"/>
    <w:rsid w:val="00C828E7"/>
    <w:rsid w:val="00C86719"/>
    <w:rsid w:val="00C921DD"/>
    <w:rsid w:val="00CA6391"/>
    <w:rsid w:val="00CB0D3A"/>
    <w:rsid w:val="00CC34BD"/>
    <w:rsid w:val="00CE161A"/>
    <w:rsid w:val="00CE3171"/>
    <w:rsid w:val="00CF1601"/>
    <w:rsid w:val="00D0007C"/>
    <w:rsid w:val="00D0172F"/>
    <w:rsid w:val="00D0401B"/>
    <w:rsid w:val="00D068A7"/>
    <w:rsid w:val="00D17476"/>
    <w:rsid w:val="00D32086"/>
    <w:rsid w:val="00D37A3F"/>
    <w:rsid w:val="00D4431D"/>
    <w:rsid w:val="00D4667A"/>
    <w:rsid w:val="00D63A1C"/>
    <w:rsid w:val="00D7516F"/>
    <w:rsid w:val="00D8579F"/>
    <w:rsid w:val="00D95F8E"/>
    <w:rsid w:val="00D961E6"/>
    <w:rsid w:val="00DA0590"/>
    <w:rsid w:val="00DB7BEA"/>
    <w:rsid w:val="00DC1739"/>
    <w:rsid w:val="00DC1788"/>
    <w:rsid w:val="00DC69C9"/>
    <w:rsid w:val="00DE319C"/>
    <w:rsid w:val="00DF0CA8"/>
    <w:rsid w:val="00DF2B48"/>
    <w:rsid w:val="00DF49A7"/>
    <w:rsid w:val="00DF5E97"/>
    <w:rsid w:val="00E07EE2"/>
    <w:rsid w:val="00E07FD1"/>
    <w:rsid w:val="00E176D8"/>
    <w:rsid w:val="00E24573"/>
    <w:rsid w:val="00E25E1E"/>
    <w:rsid w:val="00E27EE7"/>
    <w:rsid w:val="00E350E6"/>
    <w:rsid w:val="00E35404"/>
    <w:rsid w:val="00E41ED0"/>
    <w:rsid w:val="00E45109"/>
    <w:rsid w:val="00E47B7A"/>
    <w:rsid w:val="00E56A44"/>
    <w:rsid w:val="00E60269"/>
    <w:rsid w:val="00E77932"/>
    <w:rsid w:val="00E84424"/>
    <w:rsid w:val="00E85DB8"/>
    <w:rsid w:val="00E97830"/>
    <w:rsid w:val="00ED6DC6"/>
    <w:rsid w:val="00EE12D4"/>
    <w:rsid w:val="00EE643C"/>
    <w:rsid w:val="00EF0683"/>
    <w:rsid w:val="00EF69D2"/>
    <w:rsid w:val="00EF766E"/>
    <w:rsid w:val="00F0070C"/>
    <w:rsid w:val="00F00E48"/>
    <w:rsid w:val="00F00EB7"/>
    <w:rsid w:val="00F23EE7"/>
    <w:rsid w:val="00F27679"/>
    <w:rsid w:val="00F3653F"/>
    <w:rsid w:val="00F36AB6"/>
    <w:rsid w:val="00F37A09"/>
    <w:rsid w:val="00F409CE"/>
    <w:rsid w:val="00F4379D"/>
    <w:rsid w:val="00F46063"/>
    <w:rsid w:val="00F50D2D"/>
    <w:rsid w:val="00F55C82"/>
    <w:rsid w:val="00F56C8B"/>
    <w:rsid w:val="00F635AA"/>
    <w:rsid w:val="00F65F66"/>
    <w:rsid w:val="00F66810"/>
    <w:rsid w:val="00F80092"/>
    <w:rsid w:val="00F846D9"/>
    <w:rsid w:val="00F84DF4"/>
    <w:rsid w:val="00F85C97"/>
    <w:rsid w:val="00FB37D2"/>
    <w:rsid w:val="00FC4EFB"/>
    <w:rsid w:val="00FD068D"/>
    <w:rsid w:val="00FD4F28"/>
    <w:rsid w:val="00FE6784"/>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D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9B45F5"/>
    <w:rPr>
      <w:rFonts w:cs="Tahoma"/>
      <w:sz w:val="22"/>
      <w:szCs w:val="16"/>
    </w:rPr>
  </w:style>
  <w:style w:type="character" w:customStyle="1" w:styleId="BalloonTextChar">
    <w:name w:val="Balloon Text Char"/>
    <w:basedOn w:val="DefaultParagraphFont"/>
    <w:link w:val="BalloonText"/>
    <w:uiPriority w:val="99"/>
    <w:semiHidden/>
    <w:rsid w:val="009B45F5"/>
    <w:rPr>
      <w:rFonts w:cs="Tahoma"/>
      <w:sz w:val="22"/>
      <w:szCs w:val="16"/>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7F66AC"/>
    <w:rPr>
      <w:sz w:val="16"/>
      <w:szCs w:val="16"/>
    </w:rPr>
  </w:style>
  <w:style w:type="paragraph" w:styleId="CommentText">
    <w:name w:val="annotation text"/>
    <w:basedOn w:val="Normal"/>
    <w:link w:val="CommentTextChar"/>
    <w:uiPriority w:val="99"/>
    <w:semiHidden/>
    <w:unhideWhenUsed/>
    <w:rsid w:val="007F66AC"/>
    <w:rPr>
      <w:sz w:val="20"/>
    </w:rPr>
  </w:style>
  <w:style w:type="character" w:customStyle="1" w:styleId="CommentTextChar">
    <w:name w:val="Comment Text Char"/>
    <w:basedOn w:val="DefaultParagraphFont"/>
    <w:link w:val="CommentText"/>
    <w:uiPriority w:val="99"/>
    <w:semiHidden/>
    <w:rsid w:val="007F66AC"/>
  </w:style>
  <w:style w:type="paragraph" w:styleId="CommentSubject">
    <w:name w:val="annotation subject"/>
    <w:basedOn w:val="CommentText"/>
    <w:next w:val="CommentText"/>
    <w:link w:val="CommentSubjectChar"/>
    <w:uiPriority w:val="99"/>
    <w:semiHidden/>
    <w:unhideWhenUsed/>
    <w:rsid w:val="009B45F5"/>
    <w:rPr>
      <w:b/>
      <w:bCs/>
    </w:rPr>
  </w:style>
  <w:style w:type="character" w:customStyle="1" w:styleId="CommentSubjectChar">
    <w:name w:val="Comment Subject Char"/>
    <w:basedOn w:val="CommentTextChar"/>
    <w:link w:val="CommentSubject"/>
    <w:uiPriority w:val="99"/>
    <w:semiHidden/>
    <w:rsid w:val="009B45F5"/>
    <w:rPr>
      <w:b/>
      <w:bCs/>
    </w:rPr>
  </w:style>
  <w:style w:type="paragraph" w:customStyle="1" w:styleId="Citation-AltC">
    <w:name w:val="Citation - Alt C"/>
    <w:uiPriority w:val="2"/>
    <w:qFormat/>
    <w:rsid w:val="00190ED6"/>
    <w:pPr>
      <w:spacing w:after="720"/>
      <w:ind w:left="1166"/>
      <w:contextualSpacing/>
      <w:jc w:val="both"/>
    </w:pPr>
    <w:rPr>
      <w:sz w:val="24"/>
      <w:szCs w:val="24"/>
    </w:rPr>
  </w:style>
  <w:style w:type="paragraph" w:customStyle="1" w:styleId="JudgeJuge">
    <w:name w:val="Judge / Juge"/>
    <w:uiPriority w:val="3"/>
    <w:rsid w:val="00190ED6"/>
    <w:pPr>
      <w:tabs>
        <w:tab w:val="left" w:pos="1166"/>
      </w:tabs>
      <w:spacing w:after="480" w:line="480" w:lineRule="auto"/>
    </w:pPr>
    <w:rPr>
      <w:smallCaps/>
      <w:sz w:val="24"/>
      <w:szCs w:val="24"/>
    </w:rPr>
  </w:style>
  <w:style w:type="paragraph" w:customStyle="1" w:styleId="ParaNoNdepar-AltN">
    <w:name w:val="Para. No. / Nº de par. - Alt N"/>
    <w:qFormat/>
    <w:rsid w:val="00190ED6"/>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90ED6"/>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90ED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90ED6"/>
    <w:pPr>
      <w:numPr>
        <w:ilvl w:val="2"/>
      </w:numPr>
      <w:outlineLvl w:val="2"/>
    </w:pPr>
  </w:style>
  <w:style w:type="paragraph" w:customStyle="1" w:styleId="Title4LevelTitre4Niveau">
    <w:name w:val="Title 4 Level / Titre 4 Niveau"/>
    <w:basedOn w:val="Title3LevelTitre3Niveau"/>
    <w:next w:val="ParaNoNdepar-AltN"/>
    <w:uiPriority w:val="4"/>
    <w:qFormat/>
    <w:rsid w:val="00190ED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90ED6"/>
    <w:pPr>
      <w:numPr>
        <w:ilvl w:val="4"/>
      </w:numPr>
      <w:outlineLvl w:val="4"/>
    </w:pPr>
  </w:style>
  <w:style w:type="paragraph" w:customStyle="1" w:styleId="Title6LevelTitre6Niveau">
    <w:name w:val="Title 6 Level / Titre 6 Niveau"/>
    <w:basedOn w:val="Title5LevelTitre5Niveau"/>
    <w:next w:val="ParaNoNdepar-AltN"/>
    <w:uiPriority w:val="4"/>
    <w:qFormat/>
    <w:rsid w:val="00190ED6"/>
    <w:pPr>
      <w:numPr>
        <w:ilvl w:val="5"/>
      </w:numPr>
      <w:outlineLvl w:val="5"/>
    </w:pPr>
    <w:rPr>
      <w:i/>
      <w:u w:val="none"/>
    </w:rPr>
  </w:style>
  <w:style w:type="paragraph" w:styleId="FootnoteText">
    <w:name w:val="footnote text"/>
    <w:basedOn w:val="Normal"/>
    <w:link w:val="FootnoteTextChar"/>
    <w:uiPriority w:val="99"/>
    <w:unhideWhenUsed/>
    <w:rsid w:val="00190ED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90ED6"/>
  </w:style>
  <w:style w:type="character" w:styleId="FootnoteReference">
    <w:name w:val="footnote reference"/>
    <w:basedOn w:val="DefaultParagraphFont"/>
    <w:uiPriority w:val="99"/>
    <w:semiHidden/>
    <w:unhideWhenUsed/>
    <w:rsid w:val="00190ED6"/>
    <w:rPr>
      <w:vertAlign w:val="superscript"/>
    </w:rPr>
  </w:style>
  <w:style w:type="table" w:styleId="TableGrid">
    <w:name w:val="Table Grid"/>
    <w:basedOn w:val="TableNormal"/>
    <w:uiPriority w:val="59"/>
    <w:rsid w:val="00190ED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9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4544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2021-01-28T19:42:00Z</dcterms:created>
  <dcterms:modified xsi:type="dcterms:W3CDTF">2024-01-11T21:37:00Z</dcterms:modified>
</cp:coreProperties>
</file>