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52"/>
        <w:gridCol w:w="1985"/>
        <w:gridCol w:w="3831"/>
        <w:gridCol w:w="18"/>
      </w:tblGrid>
      <w:tr w:rsidR="00CA68A3" w:rsidTr="00CA68A3">
        <w:trPr>
          <w:trHeight w:val="2103"/>
        </w:trPr>
        <w:tc>
          <w:tcPr>
            <w:tcW w:w="5000" w:type="pct"/>
            <w:gridSpan w:val="4"/>
            <w:hideMark/>
          </w:tcPr>
          <w:p w:rsidR="00CA68A3" w:rsidRDefault="00CA68A3">
            <w:pPr>
              <w:jc w:val="center"/>
            </w:pPr>
            <w:r>
              <w:rPr>
                <w:noProof/>
                <w:lang w:val="fr-CA" w:eastAsia="fr-CA"/>
              </w:rPr>
              <w:drawing>
                <wp:inline distT="0" distB="0" distL="0" distR="0">
                  <wp:extent cx="1188720" cy="1638300"/>
                  <wp:effectExtent l="0" t="0" r="0"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rsidR="00CA68A3" w:rsidRDefault="00CA68A3">
            <w:pPr>
              <w:spacing w:before="120" w:after="100" w:afterAutospacing="1"/>
              <w:jc w:val="center"/>
              <w:rPr>
                <w:rFonts w:eastAsia="Calibri"/>
              </w:rPr>
            </w:pPr>
            <w:r>
              <w:rPr>
                <w:rFonts w:eastAsia="Calibri"/>
                <w:b/>
                <w:szCs w:val="24"/>
                <w:lang w:eastAsia="en-US"/>
              </w:rPr>
              <w:t>SUPREME COURT OF CANADA</w:t>
            </w:r>
          </w:p>
        </w:tc>
      </w:tr>
      <w:tr w:rsidR="00CA68A3" w:rsidTr="00CA68A3">
        <w:trPr>
          <w:gridAfter w:val="1"/>
          <w:wAfter w:w="9" w:type="pct"/>
        </w:trPr>
        <w:tc>
          <w:tcPr>
            <w:tcW w:w="2108" w:type="pct"/>
            <w:tcMar>
              <w:top w:w="284" w:type="dxa"/>
              <w:left w:w="57" w:type="dxa"/>
              <w:bottom w:w="57" w:type="dxa"/>
              <w:right w:w="57" w:type="dxa"/>
            </w:tcMar>
            <w:hideMark/>
          </w:tcPr>
          <w:p w:rsidR="00CA68A3" w:rsidRDefault="00CA68A3">
            <w:pPr>
              <w:spacing w:before="100" w:beforeAutospacing="1"/>
              <w:rPr>
                <w:rFonts w:eastAsia="Calibri"/>
                <w:lang w:val="en-US"/>
              </w:rPr>
            </w:pPr>
            <w:r>
              <w:rPr>
                <w:b/>
                <w:smallCaps/>
                <w:lang w:val="en-US"/>
              </w:rPr>
              <w:t>Citation:</w:t>
            </w:r>
            <w:r>
              <w:rPr>
                <w:lang w:val="en-US"/>
              </w:rPr>
              <w:t xml:space="preserve"> R. </w:t>
            </w:r>
            <w:r>
              <w:rPr>
                <w:i/>
                <w:lang w:val="en-US"/>
              </w:rPr>
              <w:t>v.</w:t>
            </w:r>
            <w:r>
              <w:rPr>
                <w:lang w:val="en-US"/>
              </w:rPr>
              <w:t xml:space="preserve"> Smith, 2021 SCC 16, [2021] 1 S.C.R. 530</w:t>
            </w:r>
          </w:p>
        </w:tc>
        <w:tc>
          <w:tcPr>
            <w:tcW w:w="984" w:type="pct"/>
          </w:tcPr>
          <w:p w:rsidR="00CA68A3" w:rsidRDefault="00CA68A3">
            <w:pPr>
              <w:rPr>
                <w:b/>
                <w:smallCaps/>
                <w:lang w:val="en-US"/>
              </w:rPr>
            </w:pPr>
          </w:p>
        </w:tc>
        <w:tc>
          <w:tcPr>
            <w:tcW w:w="1899" w:type="pct"/>
            <w:tcMar>
              <w:top w:w="284" w:type="dxa"/>
              <w:left w:w="57" w:type="dxa"/>
              <w:bottom w:w="57" w:type="dxa"/>
              <w:right w:w="57" w:type="dxa"/>
            </w:tcMar>
            <w:hideMark/>
          </w:tcPr>
          <w:p w:rsidR="00CA68A3" w:rsidRDefault="00CA68A3">
            <w:r>
              <w:rPr>
                <w:b/>
                <w:smallCaps/>
              </w:rPr>
              <w:t>Appeal Heard:</w:t>
            </w:r>
            <w:r>
              <w:t xml:space="preserve"> April 22, 2021</w:t>
            </w:r>
          </w:p>
          <w:p w:rsidR="00CA68A3" w:rsidRDefault="00CA68A3">
            <w:r>
              <w:rPr>
                <w:b/>
                <w:smallCaps/>
              </w:rPr>
              <w:t>Judgment Rendered:</w:t>
            </w:r>
            <w:r>
              <w:t xml:space="preserve"> April 22, 2021</w:t>
            </w:r>
          </w:p>
          <w:p w:rsidR="00CA68A3" w:rsidRDefault="00CA68A3">
            <w:r>
              <w:rPr>
                <w:b/>
                <w:smallCaps/>
              </w:rPr>
              <w:t>Docket:</w:t>
            </w:r>
            <w:r>
              <w:t xml:space="preserve"> 39401</w:t>
            </w:r>
          </w:p>
        </w:tc>
      </w:tr>
      <w:tr w:rsidR="00CA68A3" w:rsidTr="00CA68A3">
        <w:tc>
          <w:tcPr>
            <w:tcW w:w="5000" w:type="pct"/>
            <w:gridSpan w:val="4"/>
          </w:tcPr>
          <w:p w:rsidR="00CA68A3" w:rsidRDefault="00CA68A3">
            <w:pPr>
              <w:rPr>
                <w:rFonts w:eastAsiaTheme="minorHAnsi" w:cstheme="minorBidi"/>
                <w:b/>
                <w:szCs w:val="24"/>
                <w:lang w:eastAsia="en-US"/>
              </w:rPr>
            </w:pPr>
          </w:p>
          <w:p w:rsidR="00CA68A3" w:rsidRDefault="00CA68A3">
            <w:pPr>
              <w:rPr>
                <w:rFonts w:eastAsiaTheme="minorHAnsi" w:cstheme="minorBidi"/>
                <w:b/>
                <w:smallCaps/>
                <w:szCs w:val="24"/>
                <w:lang w:eastAsia="en-US"/>
              </w:rPr>
            </w:pPr>
            <w:r>
              <w:rPr>
                <w:rFonts w:eastAsiaTheme="minorHAnsi" w:cstheme="minorBidi"/>
                <w:b/>
                <w:smallCaps/>
                <w:szCs w:val="24"/>
                <w:lang w:eastAsia="en-US"/>
              </w:rPr>
              <w:t>Between:</w:t>
            </w:r>
          </w:p>
          <w:p w:rsidR="00CA68A3" w:rsidRDefault="00CA68A3">
            <w:pPr>
              <w:rPr>
                <w:rFonts w:eastAsiaTheme="minorHAnsi" w:cstheme="minorBidi"/>
                <w:b/>
                <w:smallCaps/>
                <w:szCs w:val="24"/>
                <w:lang w:eastAsia="en-US"/>
              </w:rPr>
            </w:pPr>
          </w:p>
          <w:p w:rsidR="00CA68A3" w:rsidRDefault="00CA68A3">
            <w:pPr>
              <w:jc w:val="center"/>
              <w:rPr>
                <w:rFonts w:eastAsiaTheme="minorHAnsi" w:cstheme="minorBidi"/>
                <w:szCs w:val="24"/>
                <w:lang w:eastAsia="en-US"/>
              </w:rPr>
            </w:pPr>
            <w:r>
              <w:rPr>
                <w:rFonts w:eastAsiaTheme="minorHAnsi" w:cstheme="minorBidi"/>
                <w:b/>
                <w:szCs w:val="24"/>
                <w:lang w:eastAsia="en-US"/>
              </w:rPr>
              <w:t>Her Majesty The Queen</w:t>
            </w:r>
            <w:r>
              <w:rPr>
                <w:rFonts w:eastAsiaTheme="minorHAnsi" w:cstheme="minorBidi"/>
                <w:szCs w:val="24"/>
                <w:lang w:eastAsia="en-US"/>
              </w:rPr>
              <w:t xml:space="preserve"> </w:t>
            </w:r>
          </w:p>
          <w:p w:rsidR="00CA68A3" w:rsidRDefault="00CA68A3">
            <w:pPr>
              <w:jc w:val="center"/>
              <w:rPr>
                <w:rFonts w:eastAsiaTheme="minorHAnsi" w:cstheme="minorBidi"/>
                <w:szCs w:val="24"/>
                <w:lang w:eastAsia="en-US"/>
              </w:rPr>
            </w:pPr>
            <w:r>
              <w:rPr>
                <w:rFonts w:eastAsiaTheme="minorHAnsi" w:cstheme="minorBidi"/>
                <w:szCs w:val="24"/>
                <w:lang w:eastAsia="en-US"/>
              </w:rPr>
              <w:t>Appellant</w:t>
            </w:r>
          </w:p>
          <w:p w:rsidR="00CA68A3" w:rsidRDefault="00CA68A3">
            <w:pPr>
              <w:jc w:val="center"/>
              <w:rPr>
                <w:rFonts w:eastAsiaTheme="minorHAnsi" w:cstheme="minorBidi"/>
                <w:szCs w:val="24"/>
                <w:lang w:eastAsia="en-US"/>
              </w:rPr>
            </w:pPr>
          </w:p>
          <w:p w:rsidR="00CA68A3" w:rsidRDefault="00CA68A3">
            <w:pPr>
              <w:jc w:val="center"/>
              <w:rPr>
                <w:rFonts w:eastAsiaTheme="minorHAnsi" w:cstheme="minorBidi"/>
                <w:szCs w:val="24"/>
                <w:lang w:eastAsia="en-US"/>
              </w:rPr>
            </w:pPr>
            <w:r>
              <w:rPr>
                <w:rFonts w:eastAsiaTheme="minorHAnsi" w:cstheme="minorBidi"/>
                <w:szCs w:val="24"/>
                <w:lang w:eastAsia="en-US"/>
              </w:rPr>
              <w:t>and</w:t>
            </w:r>
          </w:p>
          <w:p w:rsidR="00CA68A3" w:rsidRDefault="00CA68A3">
            <w:pPr>
              <w:jc w:val="center"/>
              <w:rPr>
                <w:rFonts w:eastAsiaTheme="minorHAnsi" w:cstheme="minorBidi"/>
                <w:szCs w:val="24"/>
                <w:lang w:eastAsia="en-US"/>
              </w:rPr>
            </w:pPr>
          </w:p>
          <w:p w:rsidR="00CA68A3" w:rsidRDefault="00CA68A3">
            <w:pPr>
              <w:jc w:val="center"/>
              <w:rPr>
                <w:rFonts w:eastAsiaTheme="minorHAnsi" w:cstheme="minorBidi"/>
                <w:b/>
                <w:szCs w:val="24"/>
                <w:lang w:eastAsia="en-US"/>
              </w:rPr>
            </w:pPr>
            <w:r>
              <w:rPr>
                <w:rFonts w:eastAsiaTheme="minorHAnsi" w:cstheme="minorBidi"/>
                <w:b/>
                <w:szCs w:val="24"/>
                <w:lang w:eastAsia="en-US"/>
              </w:rPr>
              <w:t>Mark Anthony Smith</w:t>
            </w:r>
          </w:p>
          <w:p w:rsidR="00CA68A3" w:rsidRDefault="00CA68A3">
            <w:pPr>
              <w:jc w:val="center"/>
              <w:rPr>
                <w:rFonts w:eastAsiaTheme="minorHAnsi" w:cstheme="minorBidi"/>
                <w:szCs w:val="24"/>
                <w:lang w:eastAsia="en-US"/>
              </w:rPr>
            </w:pPr>
            <w:r>
              <w:rPr>
                <w:rFonts w:eastAsiaTheme="minorHAnsi" w:cstheme="minorBidi"/>
                <w:szCs w:val="24"/>
                <w:lang w:eastAsia="en-US"/>
              </w:rPr>
              <w:t>Respondent</w:t>
            </w:r>
          </w:p>
          <w:p w:rsidR="00CA68A3" w:rsidRDefault="00CA68A3">
            <w:pPr>
              <w:jc w:val="center"/>
              <w:rPr>
                <w:rFonts w:eastAsiaTheme="minorHAnsi" w:cstheme="minorBidi"/>
                <w:szCs w:val="24"/>
                <w:lang w:eastAsia="en-US"/>
              </w:rPr>
            </w:pPr>
          </w:p>
          <w:p w:rsidR="00CA68A3" w:rsidRDefault="00CA68A3">
            <w:pP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2268"/>
        <w:gridCol w:w="7798"/>
        <w:gridCol w:w="20"/>
      </w:tblGrid>
      <w:tr w:rsidR="00CA68A3" w:rsidRPr="00CA68A3" w:rsidTr="00CA68A3">
        <w:trPr>
          <w:cantSplit/>
          <w:trHeight w:val="508"/>
        </w:trPr>
        <w:tc>
          <w:tcPr>
            <w:tcW w:w="5000" w:type="pct"/>
            <w:gridSpan w:val="3"/>
            <w:tcMar>
              <w:top w:w="284" w:type="dxa"/>
              <w:left w:w="58" w:type="dxa"/>
              <w:bottom w:w="57" w:type="dxa"/>
              <w:right w:w="58" w:type="dxa"/>
            </w:tcMar>
            <w:vAlign w:val="center"/>
          </w:tcPr>
          <w:p w:rsidR="00CA68A3" w:rsidRDefault="00CA68A3">
            <w:r>
              <w:rPr>
                <w:b/>
                <w:smallCaps/>
              </w:rPr>
              <w:t>Coram:</w:t>
            </w:r>
            <w:r>
              <w:t xml:space="preserve"> Moldaver, Karakatsanis, Brown, Rowe and Kasirer JJ.</w:t>
            </w:r>
          </w:p>
          <w:p w:rsidR="00CA68A3" w:rsidRDefault="00CA68A3"/>
        </w:tc>
      </w:tr>
      <w:tr w:rsidR="00CA68A3" w:rsidTr="00CA68A3">
        <w:trPr>
          <w:gridAfter w:val="1"/>
          <w:wAfter w:w="10" w:type="pct"/>
          <w:cantSplit/>
          <w:trHeight w:val="508"/>
        </w:trPr>
        <w:tc>
          <w:tcPr>
            <w:tcW w:w="1124" w:type="pct"/>
            <w:tcMar>
              <w:top w:w="28" w:type="dxa"/>
              <w:left w:w="57" w:type="dxa"/>
              <w:bottom w:w="57" w:type="dxa"/>
              <w:right w:w="57" w:type="dxa"/>
            </w:tcMar>
            <w:vAlign w:val="center"/>
            <w:hideMark/>
          </w:tcPr>
          <w:p w:rsidR="00CA68A3" w:rsidRDefault="00CA68A3">
            <w:pPr>
              <w:spacing w:before="120"/>
              <w:rPr>
                <w:smallCaps/>
              </w:rPr>
            </w:pPr>
            <w:r>
              <w:rPr>
                <w:b/>
                <w:smallCaps/>
              </w:rPr>
              <w:t>Unanimous Judgment Read By:</w:t>
            </w:r>
          </w:p>
          <w:p w:rsidR="00CA68A3" w:rsidRDefault="00CA68A3">
            <w:pPr>
              <w:rPr>
                <w:b/>
                <w:smallCaps/>
              </w:rPr>
            </w:pPr>
            <w:r>
              <w:t>(paras. 1 to 3)</w:t>
            </w:r>
          </w:p>
        </w:tc>
        <w:tc>
          <w:tcPr>
            <w:tcW w:w="3866" w:type="pct"/>
            <w:tcMar>
              <w:top w:w="28" w:type="dxa"/>
              <w:left w:w="57" w:type="dxa"/>
              <w:bottom w:w="57" w:type="dxa"/>
              <w:right w:w="57" w:type="dxa"/>
            </w:tcMar>
            <w:vAlign w:val="center"/>
            <w:hideMark/>
          </w:tcPr>
          <w:p w:rsidR="00CA68A3" w:rsidRDefault="00CA68A3">
            <w:pPr>
              <w:spacing w:after="120"/>
            </w:pPr>
            <w:r>
              <w:t>Brown J.</w:t>
            </w:r>
          </w:p>
        </w:tc>
      </w:tr>
      <w:tr w:rsidR="00CA68A3" w:rsidTr="00CA68A3">
        <w:trPr>
          <w:cantSplit/>
        </w:trPr>
        <w:tc>
          <w:tcPr>
            <w:tcW w:w="5000" w:type="pct"/>
            <w:gridSpan w:val="3"/>
            <w:tcMar>
              <w:top w:w="284" w:type="dxa"/>
              <w:left w:w="58" w:type="dxa"/>
              <w:bottom w:w="57" w:type="dxa"/>
              <w:right w:w="58" w:type="dxa"/>
            </w:tcMar>
            <w:vAlign w:val="center"/>
          </w:tcPr>
          <w:p w:rsidR="00CA68A3" w:rsidRDefault="00CA68A3"/>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4034"/>
        <w:gridCol w:w="3026"/>
      </w:tblGrid>
      <w:tr w:rsidR="00CA68A3" w:rsidRPr="00CA68A3" w:rsidTr="00CA68A3">
        <w:tc>
          <w:tcPr>
            <w:tcW w:w="1500" w:type="pct"/>
            <w:tcMar>
              <w:top w:w="284" w:type="dxa"/>
              <w:left w:w="108" w:type="dxa"/>
              <w:bottom w:w="0" w:type="dxa"/>
              <w:right w:w="108" w:type="dxa"/>
            </w:tcMar>
          </w:tcPr>
          <w:p w:rsidR="00CA68A3" w:rsidRDefault="00CA68A3">
            <w:pPr>
              <w:rPr>
                <w:rFonts w:eastAsia="Calibri"/>
                <w:szCs w:val="24"/>
                <w:lang w:eastAsia="en-US"/>
              </w:rPr>
            </w:pPr>
          </w:p>
        </w:tc>
        <w:tc>
          <w:tcPr>
            <w:tcW w:w="2000" w:type="pct"/>
            <w:tcBorders>
              <w:top w:val="nil"/>
              <w:left w:val="nil"/>
              <w:bottom w:val="single" w:sz="4" w:space="0" w:color="auto"/>
              <w:right w:val="nil"/>
            </w:tcBorders>
            <w:tcMar>
              <w:top w:w="284" w:type="dxa"/>
              <w:left w:w="108" w:type="dxa"/>
              <w:bottom w:w="0" w:type="dxa"/>
              <w:right w:w="108" w:type="dxa"/>
            </w:tcMar>
          </w:tcPr>
          <w:p w:rsidR="00CA68A3" w:rsidRDefault="00CA68A3">
            <w:pPr>
              <w:rPr>
                <w:rFonts w:eastAsia="Calibri"/>
                <w:szCs w:val="24"/>
                <w:lang w:eastAsia="en-US"/>
              </w:rPr>
            </w:pPr>
          </w:p>
        </w:tc>
        <w:tc>
          <w:tcPr>
            <w:tcW w:w="1500" w:type="pct"/>
            <w:tcMar>
              <w:top w:w="284" w:type="dxa"/>
              <w:left w:w="108" w:type="dxa"/>
              <w:bottom w:w="0" w:type="dxa"/>
              <w:right w:w="108" w:type="dxa"/>
            </w:tcMar>
          </w:tcPr>
          <w:p w:rsidR="00CA68A3" w:rsidRDefault="00CA68A3">
            <w:pPr>
              <w:rPr>
                <w:rFonts w:eastAsia="Calibri"/>
                <w:szCs w:val="24"/>
                <w:lang w:eastAsia="en-US"/>
              </w:rPr>
            </w:pPr>
          </w:p>
        </w:tc>
      </w:tr>
    </w:tbl>
    <w:p w:rsidR="00CA68A3" w:rsidRDefault="00CA68A3" w:rsidP="00CA68A3">
      <w:pPr>
        <w:rPr>
          <w:rFonts w:eastAsia="Calibri"/>
          <w:szCs w:val="24"/>
          <w:lang w:eastAsia="en-US"/>
        </w:rPr>
        <w:sectPr w:rsidR="00CA68A3">
          <w:pgSz w:w="12240" w:h="15840"/>
          <w:pgMar w:top="1134" w:right="1077" w:bottom="1134" w:left="1077" w:header="1803" w:footer="720" w:gutter="0"/>
          <w:cols w:space="720"/>
        </w:sectPr>
      </w:pPr>
    </w:p>
    <w:p w:rsidR="00C1088C" w:rsidRPr="003B2AC5" w:rsidRDefault="00C1088C" w:rsidP="00C1088C">
      <w:pPr>
        <w:pStyle w:val="SCCLsocLastPartyInRole"/>
        <w:rPr>
          <w:lang w:val="en-US"/>
        </w:rPr>
      </w:pPr>
      <w:bookmarkStart w:id="0" w:name="_GoBack"/>
      <w:bookmarkEnd w:id="0"/>
      <w:r w:rsidRPr="004B16D4">
        <w:rPr>
          <w:bCs/>
        </w:rPr>
        <w:lastRenderedPageBreak/>
        <w:t>Her Majesty The Queen</w:t>
      </w:r>
      <w:r w:rsidRPr="003B2AC5">
        <w:rPr>
          <w:rStyle w:val="SCCLsocPartyRole"/>
          <w:lang w:val="en-US"/>
        </w:rPr>
        <w:tab/>
        <w:t>Appellant</w:t>
      </w:r>
    </w:p>
    <w:p w:rsidR="00C1088C" w:rsidRDefault="00C1088C" w:rsidP="00C1088C">
      <w:pPr>
        <w:pStyle w:val="SCCLsocVersus"/>
      </w:pPr>
      <w:r>
        <w:t>v.</w:t>
      </w:r>
    </w:p>
    <w:p w:rsidR="00C1088C" w:rsidRPr="00775F17" w:rsidRDefault="00C1088C" w:rsidP="00C1088C">
      <w:pPr>
        <w:pStyle w:val="SCCLsocLastPartyInRole"/>
      </w:pPr>
      <w:r w:rsidRPr="004B16D4">
        <w:rPr>
          <w:bCs/>
        </w:rPr>
        <w:t>Mark Anthony Smith</w:t>
      </w:r>
      <w:r>
        <w:rPr>
          <w:rStyle w:val="SCCLsocPartyRole"/>
        </w:rPr>
        <w:tab/>
        <w:t>Respondent</w:t>
      </w:r>
      <w:r w:rsidRPr="004735FC">
        <w:t xml:space="preserve"> </w:t>
      </w:r>
    </w:p>
    <w:p w:rsidR="00C1088C" w:rsidRPr="00426659" w:rsidRDefault="00C1088C" w:rsidP="00C1088C">
      <w:pPr>
        <w:spacing w:after="720"/>
        <w:jc w:val="both"/>
        <w:rPr>
          <w:b/>
        </w:rPr>
      </w:pPr>
      <w:r w:rsidRPr="00426659">
        <w:rPr>
          <w:b/>
        </w:rPr>
        <w:t>Indexed as:</w:t>
      </w:r>
      <w:r>
        <w:rPr>
          <w:b/>
        </w:rPr>
        <w:t xml:space="preserve"> </w:t>
      </w:r>
      <w:r w:rsidRPr="000973B5">
        <w:rPr>
          <w:b/>
          <w:lang w:val="en-US"/>
        </w:rPr>
        <w:t xml:space="preserve">R. </w:t>
      </w:r>
      <w:r w:rsidRPr="000973B5">
        <w:rPr>
          <w:b/>
          <w:i/>
          <w:lang w:val="en-US"/>
        </w:rPr>
        <w:t>v.</w:t>
      </w:r>
      <w:r w:rsidRPr="000973B5">
        <w:rPr>
          <w:b/>
          <w:lang w:val="en-US"/>
        </w:rPr>
        <w:t xml:space="preserve"> </w:t>
      </w:r>
      <w:r w:rsidRPr="004B16D4">
        <w:rPr>
          <w:b/>
        </w:rPr>
        <w:t>Smith</w:t>
      </w:r>
    </w:p>
    <w:p w:rsidR="00C1088C" w:rsidRPr="00C02092" w:rsidRDefault="00C1088C" w:rsidP="00C1088C">
      <w:pPr>
        <w:pStyle w:val="SCCSystemYear"/>
        <w:spacing w:after="720"/>
        <w:jc w:val="both"/>
      </w:pPr>
      <w:r>
        <w:t>2021 SCC 16</w:t>
      </w:r>
    </w:p>
    <w:p w:rsidR="00C1088C" w:rsidRDefault="00C1088C" w:rsidP="00C1088C">
      <w:pPr>
        <w:spacing w:after="720"/>
        <w:jc w:val="both"/>
      </w:pPr>
      <w:r>
        <w:t xml:space="preserve">File No.: </w:t>
      </w:r>
      <w:r>
        <w:rPr>
          <w:color w:val="000000"/>
        </w:rPr>
        <w:t>39401</w:t>
      </w:r>
      <w:r w:rsidRPr="001426A9">
        <w:t>.</w:t>
      </w:r>
    </w:p>
    <w:p w:rsidR="00C1088C" w:rsidRDefault="00C1088C" w:rsidP="00C1088C">
      <w:pPr>
        <w:spacing w:after="720"/>
        <w:jc w:val="both"/>
      </w:pPr>
      <w:r>
        <w:rPr>
          <w:color w:val="000000"/>
        </w:rPr>
        <w:t>2021</w:t>
      </w:r>
      <w:r>
        <w:t xml:space="preserve">: </w:t>
      </w:r>
      <w:r>
        <w:rPr>
          <w:color w:val="000000"/>
        </w:rPr>
        <w:t>April 22</w:t>
      </w:r>
      <w:r w:rsidRPr="001426A9">
        <w:t>.</w:t>
      </w:r>
    </w:p>
    <w:p w:rsidR="00C1088C" w:rsidRDefault="00C1088C" w:rsidP="00C1088C">
      <w:pPr>
        <w:spacing w:after="720"/>
        <w:jc w:val="both"/>
      </w:pPr>
      <w:r w:rsidRPr="001426A9">
        <w:t xml:space="preserve">Present: </w:t>
      </w:r>
      <w:r>
        <w:rPr>
          <w:color w:val="000000"/>
        </w:rPr>
        <w:t>Moldaver, Karakatsanis, Brown, Rowe and Kasirer</w:t>
      </w:r>
      <w:r w:rsidRPr="00BE77F5">
        <w:rPr>
          <w:color w:val="000000"/>
        </w:rPr>
        <w:t> JJ</w:t>
      </w:r>
      <w:r>
        <w:rPr>
          <w:color w:val="000000"/>
        </w:rPr>
        <w:t>.</w:t>
      </w:r>
    </w:p>
    <w:p w:rsidR="00C1088C" w:rsidRPr="001C779F" w:rsidRDefault="00C1088C" w:rsidP="00C1088C">
      <w:pPr>
        <w:pStyle w:val="SCCLowerCourtNameLowercase"/>
        <w:spacing w:after="720" w:line="240" w:lineRule="auto"/>
      </w:pPr>
      <w:r>
        <w:t xml:space="preserve">on appeal from the court of appeal for </w:t>
      </w:r>
      <w:r>
        <w:rPr>
          <w:color w:val="000000"/>
        </w:rPr>
        <w:t>british columbia</w:t>
      </w:r>
    </w:p>
    <w:p w:rsidR="00C1088C" w:rsidRPr="00D14565" w:rsidRDefault="00C1088C" w:rsidP="00C1088C">
      <w:pPr>
        <w:pStyle w:val="SCCNormalDoubleSpacing"/>
        <w:spacing w:after="480"/>
        <w:rPr>
          <w:i/>
        </w:rPr>
      </w:pPr>
      <w:r>
        <w:tab/>
      </w:r>
      <w:r>
        <w:rPr>
          <w:i/>
        </w:rPr>
        <w:t>Criminal law — Appeals — Misapprehension of evidence — Miscarriage of justice — Accused convicted of sexual assault — Majority of Court of Appeal ordering new trial on basis that trial judge committed</w:t>
      </w:r>
      <w:r w:rsidRPr="00FE007A">
        <w:rPr>
          <w:i/>
        </w:rPr>
        <w:t xml:space="preserve"> errors in essential part of reasoning process </w:t>
      </w:r>
      <w:r>
        <w:rPr>
          <w:i/>
        </w:rPr>
        <w:t>and that her</w:t>
      </w:r>
      <w:r w:rsidRPr="00FE007A">
        <w:rPr>
          <w:i/>
        </w:rPr>
        <w:t xml:space="preserve"> failure to recognize and specifically address certain inconsistencies constituted misapprehension of evidence</w:t>
      </w:r>
      <w:r>
        <w:rPr>
          <w:i/>
        </w:rPr>
        <w:t xml:space="preserve"> — Dissenting judge concluding that trial judge did not misapprehend evidence and that conviction should be upheld — Conviction restored.</w:t>
      </w:r>
    </w:p>
    <w:p w:rsidR="00C1088C" w:rsidRDefault="00C1088C" w:rsidP="00C1088C">
      <w:pPr>
        <w:pStyle w:val="SCCNormalDoubleSpacing"/>
        <w:widowControl w:val="0"/>
        <w:spacing w:after="720" w:line="240" w:lineRule="auto"/>
        <w:rPr>
          <w:b/>
        </w:rPr>
      </w:pPr>
      <w:r w:rsidRPr="00314E01">
        <w:rPr>
          <w:b/>
        </w:rPr>
        <w:t>Cases Cited</w:t>
      </w:r>
    </w:p>
    <w:p w:rsidR="00C1088C" w:rsidRDefault="00C1088C" w:rsidP="00C1088C">
      <w:pPr>
        <w:pStyle w:val="SCCNormalDoubleSpacing"/>
        <w:spacing w:after="480"/>
      </w:pPr>
      <w:r>
        <w:tab/>
      </w:r>
      <w:r w:rsidRPr="00314E01">
        <w:rPr>
          <w:b/>
        </w:rPr>
        <w:t>Referred to:</w:t>
      </w:r>
      <w:r w:rsidRPr="000513FA">
        <w:rPr>
          <w:i/>
          <w:iCs/>
          <w:color w:val="000000"/>
        </w:rPr>
        <w:t xml:space="preserve"> </w:t>
      </w:r>
      <w:r>
        <w:rPr>
          <w:i/>
          <w:iCs/>
          <w:color w:val="000000"/>
        </w:rPr>
        <w:t>R. v. Burns</w:t>
      </w:r>
      <w:r>
        <w:rPr>
          <w:color w:val="000000"/>
        </w:rPr>
        <w:t>, [1994] 1 S.C.R. 656;</w:t>
      </w:r>
      <w:r w:rsidRPr="000513FA">
        <w:rPr>
          <w:i/>
          <w:iCs/>
          <w:color w:val="000000"/>
        </w:rPr>
        <w:t xml:space="preserve"> </w:t>
      </w:r>
      <w:r>
        <w:rPr>
          <w:i/>
          <w:iCs/>
          <w:color w:val="000000"/>
        </w:rPr>
        <w:t>R. v. Morrissey</w:t>
      </w:r>
      <w:r>
        <w:rPr>
          <w:color w:val="000000"/>
        </w:rPr>
        <w:t xml:space="preserve"> (1995), 97 C.C.C. (3d) 193; </w:t>
      </w:r>
      <w:r>
        <w:rPr>
          <w:i/>
          <w:iCs/>
          <w:color w:val="000000"/>
        </w:rPr>
        <w:t>R. v. Lohrer</w:t>
      </w:r>
      <w:r>
        <w:rPr>
          <w:color w:val="000000"/>
        </w:rPr>
        <w:t xml:space="preserve">, 2004 </w:t>
      </w:r>
      <w:r>
        <w:rPr>
          <w:rStyle w:val="solexhl"/>
          <w:rFonts w:eastAsiaTheme="majorEastAsia"/>
          <w:color w:val="000000"/>
        </w:rPr>
        <w:t>SCC</w:t>
      </w:r>
      <w:r>
        <w:rPr>
          <w:color w:val="000000"/>
        </w:rPr>
        <w:t xml:space="preserve"> 80, [2004] 3 S.C.R. 732.</w:t>
      </w:r>
    </w:p>
    <w:p w:rsidR="00C1088C" w:rsidRPr="004735FC" w:rsidRDefault="00C1088C" w:rsidP="00C1088C">
      <w:pPr>
        <w:pStyle w:val="SCCNormalDoubleSpacing"/>
        <w:spacing w:after="480"/>
      </w:pPr>
      <w:r w:rsidRPr="004B16D4">
        <w:rPr>
          <w:lang w:val="en-US"/>
        </w:rPr>
        <w:tab/>
      </w:r>
      <w:r w:rsidRPr="001426A9">
        <w:t xml:space="preserve">APPEAL from a judgment of the </w:t>
      </w:r>
      <w:r>
        <w:rPr>
          <w:color w:val="000000"/>
        </w:rPr>
        <w:t>British Columbia</w:t>
      </w:r>
      <w:r>
        <w:t xml:space="preserve"> Court of Appeal (</w:t>
      </w:r>
      <w:r w:rsidRPr="004B16D4">
        <w:t>Newbury, Saunders</w:t>
      </w:r>
      <w:r w:rsidRPr="004A5560">
        <w:t xml:space="preserve"> </w:t>
      </w:r>
      <w:r>
        <w:t>and</w:t>
      </w:r>
      <w:r w:rsidRPr="004A4E8F">
        <w:t xml:space="preserve"> </w:t>
      </w:r>
      <w:r w:rsidRPr="004B16D4">
        <w:t>Dickson</w:t>
      </w:r>
      <w:r>
        <w:t> </w:t>
      </w:r>
      <w:r w:rsidRPr="004735FC">
        <w:t>JJ.A.</w:t>
      </w:r>
      <w:r>
        <w:t xml:space="preserve">), </w:t>
      </w:r>
      <w:r>
        <w:rPr>
          <w:color w:val="000000"/>
        </w:rPr>
        <w:t xml:space="preserve">2020 BCCA 271, </w:t>
      </w:r>
      <w:r w:rsidRPr="004B16D4">
        <w:rPr>
          <w:color w:val="000000"/>
        </w:rPr>
        <w:t>393 C.C.C. (3d) 581, 456 D.L.R. (4th) 553</w:t>
      </w:r>
      <w:r>
        <w:rPr>
          <w:color w:val="000000"/>
        </w:rPr>
        <w:t>, [2020] B.C.J. No. </w:t>
      </w:r>
      <w:r w:rsidRPr="004B16D4">
        <w:rPr>
          <w:color w:val="000000"/>
        </w:rPr>
        <w:t>1582</w:t>
      </w:r>
      <w:r>
        <w:rPr>
          <w:color w:val="000000"/>
        </w:rPr>
        <w:t xml:space="preserve"> (QL), </w:t>
      </w:r>
      <w:r w:rsidRPr="004B16D4">
        <w:rPr>
          <w:color w:val="000000"/>
        </w:rPr>
        <w:t>2020 CarswellBC 2493</w:t>
      </w:r>
      <w:r>
        <w:rPr>
          <w:color w:val="000000"/>
        </w:rPr>
        <w:t xml:space="preserve"> (WL Can.), </w:t>
      </w:r>
      <w:r w:rsidRPr="00950718">
        <w:t xml:space="preserve">affirming the conviction for </w:t>
      </w:r>
      <w:r w:rsidRPr="00D666E9">
        <w:t>sexual assault</w:t>
      </w:r>
      <w:r>
        <w:t xml:space="preserve"> entered by </w:t>
      </w:r>
      <w:r w:rsidRPr="004B16D4">
        <w:t>Gropper</w:t>
      </w:r>
      <w:r>
        <w:t> J., 2018 BCSC 1376, [2018] B.C.J. No. </w:t>
      </w:r>
      <w:r w:rsidRPr="004B16D4">
        <w:t>7269</w:t>
      </w:r>
      <w:r>
        <w:t xml:space="preserve"> (QL), </w:t>
      </w:r>
      <w:r w:rsidRPr="004B16D4">
        <w:t>2018 CarswellBC 4138</w:t>
      </w:r>
      <w:r>
        <w:t xml:space="preserve"> (WL Can.)</w:t>
      </w:r>
      <w:r>
        <w:rPr>
          <w:bCs/>
        </w:rPr>
        <w:t>. Appeal allowed.</w:t>
      </w:r>
    </w:p>
    <w:p w:rsidR="00C1088C" w:rsidRDefault="00C1088C" w:rsidP="00C1088C">
      <w:pPr>
        <w:pStyle w:val="SCCNormalDoubleSpacing"/>
        <w:spacing w:after="480"/>
        <w:rPr>
          <w:lang w:val="en-US"/>
        </w:rPr>
      </w:pPr>
      <w:r>
        <w:rPr>
          <w:iCs/>
          <w:lang w:val="en-US"/>
        </w:rPr>
        <w:tab/>
      </w:r>
      <w:r w:rsidRPr="00C1088C">
        <w:rPr>
          <w:i/>
          <w:iCs/>
        </w:rPr>
        <w:t>Mila Shah</w:t>
      </w:r>
      <w:r>
        <w:rPr>
          <w:iCs/>
        </w:rPr>
        <w:t xml:space="preserve"> </w:t>
      </w:r>
      <w:r w:rsidRPr="00B77682">
        <w:rPr>
          <w:iCs/>
        </w:rPr>
        <w:t>and</w:t>
      </w:r>
      <w:r>
        <w:rPr>
          <w:iCs/>
        </w:rPr>
        <w:t xml:space="preserve"> </w:t>
      </w:r>
      <w:r w:rsidRPr="00C1088C">
        <w:rPr>
          <w:i/>
          <w:iCs/>
        </w:rPr>
        <w:t>John R.</w:t>
      </w:r>
      <w:r w:rsidR="00AD3EF4">
        <w:rPr>
          <w:i/>
          <w:iCs/>
        </w:rPr>
        <w:t xml:space="preserve"> </w:t>
      </w:r>
      <w:r w:rsidRPr="00C1088C">
        <w:rPr>
          <w:i/>
          <w:iCs/>
        </w:rPr>
        <w:t>W. Caldwell</w:t>
      </w:r>
      <w:r w:rsidRPr="00906F2E">
        <w:rPr>
          <w:lang w:val="en-US"/>
        </w:rPr>
        <w:t>, for the appellant.</w:t>
      </w:r>
    </w:p>
    <w:p w:rsidR="00C1088C" w:rsidRDefault="00C1088C" w:rsidP="00C1088C">
      <w:pPr>
        <w:pStyle w:val="SCCNormalDoubleSpacing"/>
        <w:spacing w:after="480"/>
        <w:rPr>
          <w:lang w:val="en-US"/>
        </w:rPr>
      </w:pPr>
      <w:r>
        <w:rPr>
          <w:iCs/>
          <w:lang w:val="en-US"/>
        </w:rPr>
        <w:tab/>
      </w:r>
      <w:r w:rsidRPr="00C1088C">
        <w:rPr>
          <w:i/>
          <w:iCs/>
        </w:rPr>
        <w:t>Eric Purtzki</w:t>
      </w:r>
      <w:r>
        <w:rPr>
          <w:iCs/>
        </w:rPr>
        <w:t xml:space="preserve"> </w:t>
      </w:r>
      <w:r w:rsidRPr="00B77682">
        <w:rPr>
          <w:iCs/>
        </w:rPr>
        <w:t>and</w:t>
      </w:r>
      <w:r>
        <w:rPr>
          <w:iCs/>
        </w:rPr>
        <w:t xml:space="preserve"> </w:t>
      </w:r>
      <w:r w:rsidRPr="00C1088C">
        <w:rPr>
          <w:i/>
          <w:iCs/>
        </w:rPr>
        <w:t>Garth Barriere</w:t>
      </w:r>
      <w:r w:rsidRPr="00906F2E">
        <w:rPr>
          <w:lang w:val="en-US"/>
        </w:rPr>
        <w:t>, for the respondent.</w:t>
      </w:r>
    </w:p>
    <w:p w:rsidR="00C1088C" w:rsidRPr="00906F2E" w:rsidRDefault="00C1088C" w:rsidP="00C1088C">
      <w:pPr>
        <w:pStyle w:val="SCCNormalDoubleSpacing"/>
        <w:spacing w:after="480"/>
        <w:rPr>
          <w:lang w:val="en-US"/>
        </w:rPr>
      </w:pPr>
      <w:r>
        <w:rPr>
          <w:lang w:val="en-US"/>
        </w:rPr>
        <w:tab/>
      </w:r>
      <w:r>
        <w:rPr>
          <w:color w:val="000000"/>
        </w:rPr>
        <w:t>The judgment of the Court was delivered orally by</w:t>
      </w:r>
    </w:p>
    <w:p w:rsidR="00C1088C" w:rsidRDefault="00C1088C" w:rsidP="00C1088C">
      <w:pPr>
        <w:pStyle w:val="SCCNormalDoubleSpacing"/>
        <w:spacing w:after="480"/>
        <w:rPr>
          <w:color w:val="000000"/>
        </w:rPr>
      </w:pPr>
      <w:r>
        <w:rPr>
          <w:smallCaps/>
        </w:rPr>
        <w:t>[1]</w:t>
      </w:r>
      <w:r>
        <w:rPr>
          <w:smallCaps/>
        </w:rPr>
        <w:tab/>
      </w:r>
      <w:r w:rsidRPr="00B77682">
        <w:rPr>
          <w:smallCaps/>
        </w:rPr>
        <w:t>Brown J.</w:t>
      </w:r>
      <w:r w:rsidRPr="00F73CBB">
        <w:t xml:space="preserve"> — </w:t>
      </w:r>
      <w:r>
        <w:rPr>
          <w:color w:val="000000"/>
        </w:rPr>
        <w:t>We would allow the appeal, set aside the order for a new trial and restore the respondent’s conviction for sexual assault, substantially for the reasons of Dickson J.A. In particular, we agree with Dickson J.A. that the trial judge’s failure to deal properly with the prior inconsistent statements does not mean that she failed to consider or give effect to them (</w:t>
      </w:r>
      <w:r>
        <w:rPr>
          <w:i/>
          <w:iCs/>
          <w:color w:val="000000"/>
        </w:rPr>
        <w:t>R. v. Burns</w:t>
      </w:r>
      <w:r>
        <w:rPr>
          <w:color w:val="000000"/>
        </w:rPr>
        <w:t>, [1994] 1 S.C.R. 656, at p. 665). Further, and even if the trial judge did not consider the statements in assessing the complainant’s credibility and reliability, that error did not cause a miscarriage of justice.</w:t>
      </w:r>
    </w:p>
    <w:p w:rsidR="00C1088C" w:rsidRDefault="00C1088C" w:rsidP="00C1088C">
      <w:pPr>
        <w:pStyle w:val="SCCNormalDoubleSpacing"/>
        <w:spacing w:after="480"/>
        <w:rPr>
          <w:color w:val="000000"/>
        </w:rPr>
      </w:pPr>
      <w:r>
        <w:rPr>
          <w:color w:val="000000"/>
        </w:rPr>
        <w:t>[2]</w:t>
      </w:r>
      <w:r>
        <w:rPr>
          <w:color w:val="000000"/>
        </w:rPr>
        <w:tab/>
        <w:t>Determining whether a misapprehension of evidence has caused a miscarriage of justice requires that the appellate court assess the nature and extent of the error and its significance to the verdict (</w:t>
      </w:r>
      <w:r>
        <w:rPr>
          <w:i/>
          <w:iCs/>
          <w:color w:val="000000"/>
        </w:rPr>
        <w:t>R. v. Morrissey</w:t>
      </w:r>
      <w:r>
        <w:rPr>
          <w:color w:val="000000"/>
        </w:rPr>
        <w:t xml:space="preserve"> (1995), 97 C.C.C. (3d) 193 (Ont. C.A.), at p. 221). It is a stringent standard, met only where the misapprehension could have affected the outcome (</w:t>
      </w:r>
      <w:r>
        <w:rPr>
          <w:i/>
          <w:iCs/>
          <w:color w:val="000000"/>
        </w:rPr>
        <w:t>R. v. Lohrer</w:t>
      </w:r>
      <w:r>
        <w:rPr>
          <w:color w:val="000000"/>
        </w:rPr>
        <w:t xml:space="preserve">, 2004 </w:t>
      </w:r>
      <w:r>
        <w:rPr>
          <w:rStyle w:val="solexhl"/>
          <w:rFonts w:eastAsiaTheme="majorEastAsia"/>
          <w:color w:val="000000"/>
        </w:rPr>
        <w:t>SCC</w:t>
      </w:r>
      <w:r>
        <w:rPr>
          <w:color w:val="000000"/>
        </w:rPr>
        <w:t xml:space="preserve"> 80, [2004] 3 S.C.R. 732, at para. 7). While testimonial inconsistencies may be relevant when assessing a witness’s credibility and reliability, only some are of such significance that failing to consider them will meet this standard.</w:t>
      </w:r>
    </w:p>
    <w:p w:rsidR="00C1088C" w:rsidRPr="00B77682" w:rsidRDefault="00C1088C" w:rsidP="00C1088C">
      <w:pPr>
        <w:pStyle w:val="SCCNormalDoubleSpacing"/>
        <w:spacing w:after="480"/>
        <w:rPr>
          <w:color w:val="000000"/>
        </w:rPr>
      </w:pPr>
      <w:r>
        <w:rPr>
          <w:color w:val="000000"/>
        </w:rPr>
        <w:t>[3]</w:t>
      </w:r>
      <w:r>
        <w:rPr>
          <w:color w:val="000000"/>
        </w:rPr>
        <w:tab/>
        <w:t xml:space="preserve">In this case, we agree with Dickson J.A. that the inconsistencies — assuming they </w:t>
      </w:r>
      <w:r>
        <w:rPr>
          <w:i/>
          <w:iCs/>
          <w:color w:val="000000"/>
        </w:rPr>
        <w:t>are</w:t>
      </w:r>
      <w:r>
        <w:rPr>
          <w:color w:val="000000"/>
        </w:rPr>
        <w:t xml:space="preserve"> inconsistencies — between the complainant’s statements to her friend shortly after the assault and her trial testimony are not significant. While it may have been preferable for the trial judge to address them, her failure to do so does not cast doubt on her assessment of the complainant’s credibility and reliability or the safety of the conviction. Consequently, the threshold for a miscarriage of justice has not been met.</w:t>
      </w:r>
    </w:p>
    <w:p w:rsidR="00C1088C" w:rsidRDefault="00C1088C" w:rsidP="00C1088C">
      <w:pPr>
        <w:pStyle w:val="SCCNormalDoubleSpacing"/>
        <w:spacing w:after="480"/>
        <w:rPr>
          <w:i/>
          <w:iCs/>
          <w:color w:val="000000"/>
        </w:rPr>
      </w:pPr>
      <w:r>
        <w:rPr>
          <w:i/>
          <w:iCs/>
          <w:color w:val="000000"/>
        </w:rPr>
        <w:tab/>
        <w:t>Judgment accordingly.</w:t>
      </w:r>
    </w:p>
    <w:p w:rsidR="00C1088C" w:rsidRDefault="00C1088C" w:rsidP="00C1088C">
      <w:pPr>
        <w:pStyle w:val="SCCNormalDoubleSpacing"/>
        <w:spacing w:after="480"/>
        <w:rPr>
          <w:i/>
          <w:lang w:val="en-US"/>
        </w:rPr>
      </w:pPr>
      <w:r>
        <w:rPr>
          <w:i/>
          <w:lang w:val="en-US"/>
        </w:rPr>
        <w:tab/>
      </w:r>
      <w:r w:rsidRPr="000B2D7D">
        <w:rPr>
          <w:i/>
          <w:lang w:val="en-US"/>
        </w:rPr>
        <w:t>Solicitor for the appellant:</w:t>
      </w:r>
      <w:r w:rsidRPr="000B2D7D">
        <w:rPr>
          <w:bCs/>
          <w:i/>
          <w:szCs w:val="24"/>
          <w:lang w:val="en-US" w:eastAsia="en-US"/>
        </w:rPr>
        <w:t xml:space="preserve"> </w:t>
      </w:r>
      <w:r w:rsidRPr="00B77682">
        <w:rPr>
          <w:bCs/>
          <w:i/>
          <w:lang w:val="en-US"/>
        </w:rPr>
        <w:t>Attorney General of British Columbia</w:t>
      </w:r>
      <w:r w:rsidRPr="000B2D7D">
        <w:rPr>
          <w:i/>
          <w:iCs/>
          <w:lang w:val="en-US"/>
        </w:rPr>
        <w:t xml:space="preserve">, </w:t>
      </w:r>
      <w:r>
        <w:rPr>
          <w:i/>
          <w:iCs/>
          <w:lang w:val="en-US"/>
        </w:rPr>
        <w:t>Vancouver</w:t>
      </w:r>
      <w:r w:rsidRPr="000B2D7D">
        <w:rPr>
          <w:i/>
          <w:lang w:val="en-US"/>
        </w:rPr>
        <w:t>.</w:t>
      </w:r>
    </w:p>
    <w:p w:rsidR="00C1088C" w:rsidRPr="000B2D7D" w:rsidRDefault="00C1088C" w:rsidP="00C1088C">
      <w:pPr>
        <w:pStyle w:val="SCCNormalDoubleSpacing"/>
        <w:spacing w:after="480"/>
        <w:rPr>
          <w:i/>
          <w:iCs/>
          <w:color w:val="000000"/>
        </w:rPr>
      </w:pPr>
      <w:r>
        <w:rPr>
          <w:i/>
          <w:lang w:val="en-US"/>
        </w:rPr>
        <w:tab/>
      </w:r>
      <w:r w:rsidRPr="000B2D7D">
        <w:rPr>
          <w:i/>
          <w:lang w:val="en-US"/>
        </w:rPr>
        <w:t>Solicitor</w:t>
      </w:r>
      <w:r>
        <w:rPr>
          <w:i/>
          <w:lang w:val="en-US"/>
        </w:rPr>
        <w:t>s</w:t>
      </w:r>
      <w:r w:rsidRPr="000B2D7D">
        <w:rPr>
          <w:i/>
          <w:lang w:val="en-US"/>
        </w:rPr>
        <w:t xml:space="preserve"> for the respondent: </w:t>
      </w:r>
      <w:r w:rsidRPr="00B77682">
        <w:rPr>
          <w:bCs/>
          <w:i/>
        </w:rPr>
        <w:t>Melville Law Chambers</w:t>
      </w:r>
      <w:r w:rsidRPr="000B2D7D">
        <w:rPr>
          <w:i/>
          <w:lang w:val="en-US"/>
        </w:rPr>
        <w:t xml:space="preserve">, </w:t>
      </w:r>
      <w:r>
        <w:rPr>
          <w:i/>
          <w:iCs/>
          <w:lang w:val="en-US"/>
        </w:rPr>
        <w:t>Vancouver</w:t>
      </w:r>
      <w:r w:rsidRPr="000B2D7D">
        <w:rPr>
          <w:i/>
          <w:lang w:val="en-US"/>
        </w:rPr>
        <w:t>.</w:t>
      </w:r>
    </w:p>
    <w:sectPr w:rsidR="00C1088C" w:rsidRPr="000B2D7D"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797" w:rsidRDefault="00AF6797">
      <w:r>
        <w:separator/>
      </w:r>
    </w:p>
  </w:endnote>
  <w:endnote w:type="continuationSeparator" w:id="0">
    <w:p w:rsidR="00AF6797" w:rsidRDefault="00AF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797" w:rsidRDefault="00AF6797">
      <w:r>
        <w:separator/>
      </w:r>
    </w:p>
  </w:footnote>
  <w:footnote w:type="continuationSeparator" w:id="0">
    <w:p w:rsidR="00AF6797" w:rsidRDefault="00AF6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5198"/>
    <w:rsid w:val="00025763"/>
    <w:rsid w:val="00026467"/>
    <w:rsid w:val="00040D1B"/>
    <w:rsid w:val="00040F00"/>
    <w:rsid w:val="00041BDD"/>
    <w:rsid w:val="000578A3"/>
    <w:rsid w:val="000648CC"/>
    <w:rsid w:val="00076E46"/>
    <w:rsid w:val="00094FED"/>
    <w:rsid w:val="000B5CFA"/>
    <w:rsid w:val="000B69B5"/>
    <w:rsid w:val="000C3FCE"/>
    <w:rsid w:val="000C433D"/>
    <w:rsid w:val="000C59B8"/>
    <w:rsid w:val="000C6AF0"/>
    <w:rsid w:val="000C78C2"/>
    <w:rsid w:val="000F0995"/>
    <w:rsid w:val="000F2039"/>
    <w:rsid w:val="000F2FF1"/>
    <w:rsid w:val="00103309"/>
    <w:rsid w:val="00104F33"/>
    <w:rsid w:val="00106D75"/>
    <w:rsid w:val="00111905"/>
    <w:rsid w:val="00111DE2"/>
    <w:rsid w:val="0011492A"/>
    <w:rsid w:val="001160DE"/>
    <w:rsid w:val="00116378"/>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625A"/>
    <w:rsid w:val="001677C1"/>
    <w:rsid w:val="00170592"/>
    <w:rsid w:val="0018066E"/>
    <w:rsid w:val="00186351"/>
    <w:rsid w:val="00195D83"/>
    <w:rsid w:val="001977DB"/>
    <w:rsid w:val="001A00C1"/>
    <w:rsid w:val="001A42A4"/>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3EC8"/>
    <w:rsid w:val="00264B77"/>
    <w:rsid w:val="00270D93"/>
    <w:rsid w:val="002745CC"/>
    <w:rsid w:val="0027628B"/>
    <w:rsid w:val="0029178F"/>
    <w:rsid w:val="002B7924"/>
    <w:rsid w:val="002B7ABA"/>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7C82"/>
    <w:rsid w:val="00342089"/>
    <w:rsid w:val="00347BA4"/>
    <w:rsid w:val="0035169A"/>
    <w:rsid w:val="0035259D"/>
    <w:rsid w:val="00353B79"/>
    <w:rsid w:val="00354BF8"/>
    <w:rsid w:val="00355C66"/>
    <w:rsid w:val="00362ADA"/>
    <w:rsid w:val="00364B18"/>
    <w:rsid w:val="00396BF3"/>
    <w:rsid w:val="003A125D"/>
    <w:rsid w:val="003A4C70"/>
    <w:rsid w:val="003B215F"/>
    <w:rsid w:val="003B5CEE"/>
    <w:rsid w:val="003C2CFF"/>
    <w:rsid w:val="003C799C"/>
    <w:rsid w:val="003D0399"/>
    <w:rsid w:val="003E1C71"/>
    <w:rsid w:val="003E2693"/>
    <w:rsid w:val="003E53AC"/>
    <w:rsid w:val="003F327B"/>
    <w:rsid w:val="003F7ACB"/>
    <w:rsid w:val="00400B24"/>
    <w:rsid w:val="00404D28"/>
    <w:rsid w:val="0040508D"/>
    <w:rsid w:val="00406166"/>
    <w:rsid w:val="0040704B"/>
    <w:rsid w:val="00407839"/>
    <w:rsid w:val="00410003"/>
    <w:rsid w:val="00410A55"/>
    <w:rsid w:val="00411300"/>
    <w:rsid w:val="00415417"/>
    <w:rsid w:val="0041747D"/>
    <w:rsid w:val="00424FE1"/>
    <w:rsid w:val="00426659"/>
    <w:rsid w:val="00426D16"/>
    <w:rsid w:val="00450352"/>
    <w:rsid w:val="00454BDB"/>
    <w:rsid w:val="00463A7A"/>
    <w:rsid w:val="00464800"/>
    <w:rsid w:val="00464BF6"/>
    <w:rsid w:val="00465132"/>
    <w:rsid w:val="00465EF1"/>
    <w:rsid w:val="00470DB3"/>
    <w:rsid w:val="0047411A"/>
    <w:rsid w:val="00480C90"/>
    <w:rsid w:val="0048396F"/>
    <w:rsid w:val="00493C18"/>
    <w:rsid w:val="00495D96"/>
    <w:rsid w:val="004A600C"/>
    <w:rsid w:val="004A6118"/>
    <w:rsid w:val="004B0DBD"/>
    <w:rsid w:val="004C2314"/>
    <w:rsid w:val="004C25EE"/>
    <w:rsid w:val="004C478D"/>
    <w:rsid w:val="004D4FEC"/>
    <w:rsid w:val="004E0D6A"/>
    <w:rsid w:val="004E2C26"/>
    <w:rsid w:val="004E61A7"/>
    <w:rsid w:val="004F36FF"/>
    <w:rsid w:val="004F7454"/>
    <w:rsid w:val="005125A8"/>
    <w:rsid w:val="00516DED"/>
    <w:rsid w:val="00521AE8"/>
    <w:rsid w:val="00524449"/>
    <w:rsid w:val="00527180"/>
    <w:rsid w:val="00533A2E"/>
    <w:rsid w:val="005341CE"/>
    <w:rsid w:val="00534AB2"/>
    <w:rsid w:val="0054201E"/>
    <w:rsid w:val="005541DB"/>
    <w:rsid w:val="00555291"/>
    <w:rsid w:val="0056265A"/>
    <w:rsid w:val="00566AD1"/>
    <w:rsid w:val="0057257D"/>
    <w:rsid w:val="00583EDE"/>
    <w:rsid w:val="00586928"/>
    <w:rsid w:val="005A4F85"/>
    <w:rsid w:val="005A6079"/>
    <w:rsid w:val="005C7840"/>
    <w:rsid w:val="005E4698"/>
    <w:rsid w:val="006003EE"/>
    <w:rsid w:val="00605E8D"/>
    <w:rsid w:val="00610539"/>
    <w:rsid w:val="00613969"/>
    <w:rsid w:val="0061523C"/>
    <w:rsid w:val="00617208"/>
    <w:rsid w:val="006230B6"/>
    <w:rsid w:val="00625C35"/>
    <w:rsid w:val="00626A7D"/>
    <w:rsid w:val="0062787A"/>
    <w:rsid w:val="00635521"/>
    <w:rsid w:val="00641023"/>
    <w:rsid w:val="006468AB"/>
    <w:rsid w:val="00656313"/>
    <w:rsid w:val="006565F4"/>
    <w:rsid w:val="0066108F"/>
    <w:rsid w:val="006763FD"/>
    <w:rsid w:val="00684EEA"/>
    <w:rsid w:val="006908E8"/>
    <w:rsid w:val="0069689B"/>
    <w:rsid w:val="006A1551"/>
    <w:rsid w:val="006A31A1"/>
    <w:rsid w:val="006A48DB"/>
    <w:rsid w:val="006B5FF5"/>
    <w:rsid w:val="006B7683"/>
    <w:rsid w:val="006D4200"/>
    <w:rsid w:val="006F30AF"/>
    <w:rsid w:val="007009A0"/>
    <w:rsid w:val="00701759"/>
    <w:rsid w:val="00701CF2"/>
    <w:rsid w:val="00705C15"/>
    <w:rsid w:val="00712E55"/>
    <w:rsid w:val="00713025"/>
    <w:rsid w:val="007154A1"/>
    <w:rsid w:val="00715A65"/>
    <w:rsid w:val="0071600E"/>
    <w:rsid w:val="00717FDC"/>
    <w:rsid w:val="007208D1"/>
    <w:rsid w:val="0072428C"/>
    <w:rsid w:val="00730177"/>
    <w:rsid w:val="00741606"/>
    <w:rsid w:val="00742119"/>
    <w:rsid w:val="00747288"/>
    <w:rsid w:val="00747DD3"/>
    <w:rsid w:val="007549C8"/>
    <w:rsid w:val="00754A0B"/>
    <w:rsid w:val="00766D14"/>
    <w:rsid w:val="00767A0F"/>
    <w:rsid w:val="00780E64"/>
    <w:rsid w:val="007A05F6"/>
    <w:rsid w:val="007B6F4A"/>
    <w:rsid w:val="007D097E"/>
    <w:rsid w:val="007E1C47"/>
    <w:rsid w:val="007E337A"/>
    <w:rsid w:val="007E5C70"/>
    <w:rsid w:val="007F2FF5"/>
    <w:rsid w:val="007F3F08"/>
    <w:rsid w:val="00804CC6"/>
    <w:rsid w:val="00813B48"/>
    <w:rsid w:val="0081470C"/>
    <w:rsid w:val="00815B40"/>
    <w:rsid w:val="00817190"/>
    <w:rsid w:val="008201FB"/>
    <w:rsid w:val="00820EE5"/>
    <w:rsid w:val="008244E9"/>
    <w:rsid w:val="008260E2"/>
    <w:rsid w:val="008322BD"/>
    <w:rsid w:val="008323C4"/>
    <w:rsid w:val="00833E0A"/>
    <w:rsid w:val="00834F73"/>
    <w:rsid w:val="00847F55"/>
    <w:rsid w:val="00851F3D"/>
    <w:rsid w:val="008544FA"/>
    <w:rsid w:val="0086153A"/>
    <w:rsid w:val="00864CF8"/>
    <w:rsid w:val="00872819"/>
    <w:rsid w:val="00874914"/>
    <w:rsid w:val="00891422"/>
    <w:rsid w:val="00892E1A"/>
    <w:rsid w:val="00895EB7"/>
    <w:rsid w:val="008A3F29"/>
    <w:rsid w:val="008B660A"/>
    <w:rsid w:val="008B70F9"/>
    <w:rsid w:val="008C01DA"/>
    <w:rsid w:val="008C02C9"/>
    <w:rsid w:val="008C1723"/>
    <w:rsid w:val="008C7263"/>
    <w:rsid w:val="008D2104"/>
    <w:rsid w:val="008F78E9"/>
    <w:rsid w:val="00903C32"/>
    <w:rsid w:val="00911011"/>
    <w:rsid w:val="00911989"/>
    <w:rsid w:val="009179F9"/>
    <w:rsid w:val="0093031F"/>
    <w:rsid w:val="00931C1C"/>
    <w:rsid w:val="00933E5E"/>
    <w:rsid w:val="00935218"/>
    <w:rsid w:val="009403F3"/>
    <w:rsid w:val="009555B7"/>
    <w:rsid w:val="009567AA"/>
    <w:rsid w:val="0096473A"/>
    <w:rsid w:val="00967374"/>
    <w:rsid w:val="0097107A"/>
    <w:rsid w:val="00976EB5"/>
    <w:rsid w:val="00981B4D"/>
    <w:rsid w:val="009A343A"/>
    <w:rsid w:val="009A4E51"/>
    <w:rsid w:val="009A520F"/>
    <w:rsid w:val="009B2F23"/>
    <w:rsid w:val="009B57B3"/>
    <w:rsid w:val="009B6FFE"/>
    <w:rsid w:val="009C5B92"/>
    <w:rsid w:val="009D2920"/>
    <w:rsid w:val="009D5AEB"/>
    <w:rsid w:val="009D79D6"/>
    <w:rsid w:val="009F0E33"/>
    <w:rsid w:val="009F1E77"/>
    <w:rsid w:val="00A003F4"/>
    <w:rsid w:val="00A030CE"/>
    <w:rsid w:val="00A03212"/>
    <w:rsid w:val="00A03C10"/>
    <w:rsid w:val="00A12217"/>
    <w:rsid w:val="00A149DF"/>
    <w:rsid w:val="00A1755C"/>
    <w:rsid w:val="00A21B90"/>
    <w:rsid w:val="00A244B9"/>
    <w:rsid w:val="00A41805"/>
    <w:rsid w:val="00A42DCD"/>
    <w:rsid w:val="00A44699"/>
    <w:rsid w:val="00A52AFB"/>
    <w:rsid w:val="00A548CB"/>
    <w:rsid w:val="00A5521C"/>
    <w:rsid w:val="00A557A1"/>
    <w:rsid w:val="00A55CEF"/>
    <w:rsid w:val="00A643E7"/>
    <w:rsid w:val="00A73C38"/>
    <w:rsid w:val="00A8352B"/>
    <w:rsid w:val="00A83B17"/>
    <w:rsid w:val="00AA552C"/>
    <w:rsid w:val="00AB305A"/>
    <w:rsid w:val="00AB670D"/>
    <w:rsid w:val="00AC5BFC"/>
    <w:rsid w:val="00AC6FA4"/>
    <w:rsid w:val="00AD2826"/>
    <w:rsid w:val="00AD342F"/>
    <w:rsid w:val="00AD3EF4"/>
    <w:rsid w:val="00AD4C25"/>
    <w:rsid w:val="00AE25FE"/>
    <w:rsid w:val="00AE4535"/>
    <w:rsid w:val="00AF03C5"/>
    <w:rsid w:val="00AF0B26"/>
    <w:rsid w:val="00AF6797"/>
    <w:rsid w:val="00B000D8"/>
    <w:rsid w:val="00B00F75"/>
    <w:rsid w:val="00B071D4"/>
    <w:rsid w:val="00B11735"/>
    <w:rsid w:val="00B145B6"/>
    <w:rsid w:val="00B2215E"/>
    <w:rsid w:val="00B279EB"/>
    <w:rsid w:val="00B30E18"/>
    <w:rsid w:val="00B32357"/>
    <w:rsid w:val="00B43559"/>
    <w:rsid w:val="00B50C81"/>
    <w:rsid w:val="00B557F8"/>
    <w:rsid w:val="00B56AAF"/>
    <w:rsid w:val="00B67199"/>
    <w:rsid w:val="00B815FC"/>
    <w:rsid w:val="00B91A56"/>
    <w:rsid w:val="00B93FBC"/>
    <w:rsid w:val="00BA066D"/>
    <w:rsid w:val="00BA7DA0"/>
    <w:rsid w:val="00BB2366"/>
    <w:rsid w:val="00BB2640"/>
    <w:rsid w:val="00BB2EE4"/>
    <w:rsid w:val="00BB5AE6"/>
    <w:rsid w:val="00BC2108"/>
    <w:rsid w:val="00BC5642"/>
    <w:rsid w:val="00BD0E9E"/>
    <w:rsid w:val="00BD1BEC"/>
    <w:rsid w:val="00BD32FF"/>
    <w:rsid w:val="00BD67ED"/>
    <w:rsid w:val="00C02092"/>
    <w:rsid w:val="00C1088C"/>
    <w:rsid w:val="00C14AA0"/>
    <w:rsid w:val="00C22905"/>
    <w:rsid w:val="00C229CD"/>
    <w:rsid w:val="00C24D91"/>
    <w:rsid w:val="00C34A0C"/>
    <w:rsid w:val="00C47FDE"/>
    <w:rsid w:val="00C53F14"/>
    <w:rsid w:val="00C600CF"/>
    <w:rsid w:val="00C6084F"/>
    <w:rsid w:val="00C62A66"/>
    <w:rsid w:val="00C62FD6"/>
    <w:rsid w:val="00C71458"/>
    <w:rsid w:val="00C77613"/>
    <w:rsid w:val="00C828E7"/>
    <w:rsid w:val="00C8650B"/>
    <w:rsid w:val="00C86719"/>
    <w:rsid w:val="00C921DD"/>
    <w:rsid w:val="00CA6391"/>
    <w:rsid w:val="00CA68A3"/>
    <w:rsid w:val="00CA7B39"/>
    <w:rsid w:val="00CC34BD"/>
    <w:rsid w:val="00CD6453"/>
    <w:rsid w:val="00CE08B9"/>
    <w:rsid w:val="00CE161A"/>
    <w:rsid w:val="00CE3171"/>
    <w:rsid w:val="00CE7262"/>
    <w:rsid w:val="00CF1601"/>
    <w:rsid w:val="00D0172F"/>
    <w:rsid w:val="00D068A7"/>
    <w:rsid w:val="00D173CE"/>
    <w:rsid w:val="00D17476"/>
    <w:rsid w:val="00D2527D"/>
    <w:rsid w:val="00D26B67"/>
    <w:rsid w:val="00D32086"/>
    <w:rsid w:val="00D360E6"/>
    <w:rsid w:val="00D37A3F"/>
    <w:rsid w:val="00D4431D"/>
    <w:rsid w:val="00D4667A"/>
    <w:rsid w:val="00D469D5"/>
    <w:rsid w:val="00D47BFC"/>
    <w:rsid w:val="00D614A5"/>
    <w:rsid w:val="00D614E0"/>
    <w:rsid w:val="00D63A1C"/>
    <w:rsid w:val="00D67CB1"/>
    <w:rsid w:val="00D7516F"/>
    <w:rsid w:val="00D83628"/>
    <w:rsid w:val="00D8579F"/>
    <w:rsid w:val="00D90B9E"/>
    <w:rsid w:val="00D91A89"/>
    <w:rsid w:val="00D95F8E"/>
    <w:rsid w:val="00DA0590"/>
    <w:rsid w:val="00DA09F8"/>
    <w:rsid w:val="00DB7BEA"/>
    <w:rsid w:val="00DC1739"/>
    <w:rsid w:val="00DC1788"/>
    <w:rsid w:val="00DC2F37"/>
    <w:rsid w:val="00DD105B"/>
    <w:rsid w:val="00DE319C"/>
    <w:rsid w:val="00DE54B0"/>
    <w:rsid w:val="00DF0CA8"/>
    <w:rsid w:val="00DF2B48"/>
    <w:rsid w:val="00DF49A7"/>
    <w:rsid w:val="00E07EE2"/>
    <w:rsid w:val="00E07FD1"/>
    <w:rsid w:val="00E176D8"/>
    <w:rsid w:val="00E24573"/>
    <w:rsid w:val="00E25E1E"/>
    <w:rsid w:val="00E27EE7"/>
    <w:rsid w:val="00E31D67"/>
    <w:rsid w:val="00E3214F"/>
    <w:rsid w:val="00E333F9"/>
    <w:rsid w:val="00E35404"/>
    <w:rsid w:val="00E42BC1"/>
    <w:rsid w:val="00E45109"/>
    <w:rsid w:val="00E47B7A"/>
    <w:rsid w:val="00E50A79"/>
    <w:rsid w:val="00E56A44"/>
    <w:rsid w:val="00E60269"/>
    <w:rsid w:val="00E653D0"/>
    <w:rsid w:val="00E65A2E"/>
    <w:rsid w:val="00E71951"/>
    <w:rsid w:val="00E77932"/>
    <w:rsid w:val="00E83FDA"/>
    <w:rsid w:val="00E86E02"/>
    <w:rsid w:val="00E915DC"/>
    <w:rsid w:val="00E92347"/>
    <w:rsid w:val="00E97830"/>
    <w:rsid w:val="00EA1D3B"/>
    <w:rsid w:val="00EB0B7C"/>
    <w:rsid w:val="00EC5B39"/>
    <w:rsid w:val="00ED60AA"/>
    <w:rsid w:val="00ED681A"/>
    <w:rsid w:val="00EE5737"/>
    <w:rsid w:val="00EE643C"/>
    <w:rsid w:val="00EF0683"/>
    <w:rsid w:val="00EF69D2"/>
    <w:rsid w:val="00EF766E"/>
    <w:rsid w:val="00F0070C"/>
    <w:rsid w:val="00F00EB7"/>
    <w:rsid w:val="00F31258"/>
    <w:rsid w:val="00F36AB6"/>
    <w:rsid w:val="00F37A09"/>
    <w:rsid w:val="00F409CE"/>
    <w:rsid w:val="00F4379D"/>
    <w:rsid w:val="00F50635"/>
    <w:rsid w:val="00F50D2D"/>
    <w:rsid w:val="00F56C8B"/>
    <w:rsid w:val="00F66810"/>
    <w:rsid w:val="00F75F4E"/>
    <w:rsid w:val="00F846D9"/>
    <w:rsid w:val="00F84DF4"/>
    <w:rsid w:val="00F85C97"/>
    <w:rsid w:val="00F94A57"/>
    <w:rsid w:val="00FA51A0"/>
    <w:rsid w:val="00FB37D2"/>
    <w:rsid w:val="00FB7D08"/>
    <w:rsid w:val="00FC3788"/>
    <w:rsid w:val="00FC4EFB"/>
    <w:rsid w:val="00FD068D"/>
    <w:rsid w:val="00FD4F28"/>
    <w:rsid w:val="00FE0416"/>
    <w:rsid w:val="00FE6784"/>
    <w:rsid w:val="00FF18AC"/>
    <w:rsid w:val="00FF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F31258"/>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F31258"/>
    <w:rPr>
      <w:rFonts w:eastAsiaTheme="minorHAnsi" w:cstheme="minorBidi"/>
      <w:b/>
      <w:szCs w:val="22"/>
      <w:lang w:eastAsia="en-US"/>
    </w:rPr>
  </w:style>
  <w:style w:type="character" w:customStyle="1" w:styleId="SCCLsocPrefixChar">
    <w:name w:val="SCC.Lsoc.Prefix Char"/>
    <w:basedOn w:val="DefaultParagraphFont"/>
    <w:link w:val="SCCLsocPrefix"/>
    <w:rsid w:val="00F31258"/>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743533">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 w:id="19457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5A5D-29A8-453A-9A31-358BBB5F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3145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2021-04-27T19:03:00Z</dcterms:created>
  <dcterms:modified xsi:type="dcterms:W3CDTF">2024-02-19T21:31:00Z</dcterms:modified>
</cp:coreProperties>
</file>