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8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244"/>
        <w:gridCol w:w="1539"/>
        <w:gridCol w:w="1679"/>
        <w:gridCol w:w="3609"/>
        <w:gridCol w:w="33"/>
      </w:tblGrid>
      <w:tr w:rsidR="00EF72F1" w:rsidRPr="00F33948" w14:paraId="23E95CB5" w14:textId="77777777" w:rsidTr="00B76741">
        <w:trPr>
          <w:trHeight w:val="2103"/>
        </w:trPr>
        <w:tc>
          <w:tcPr>
            <w:tcW w:w="5000" w:type="pct"/>
            <w:gridSpan w:val="5"/>
          </w:tcPr>
          <w:p w14:paraId="3EAD8564" w14:textId="77777777" w:rsidR="00EF72F1" w:rsidRPr="00F33948" w:rsidRDefault="00EF72F1" w:rsidP="001F3E0C">
            <w:pPr>
              <w:pStyle w:val="SCCBold"/>
              <w:jc w:val="center"/>
            </w:pPr>
            <w:r w:rsidRPr="00F33948">
              <w:rPr>
                <w:noProof/>
                <w:lang w:val="fr-CA" w:eastAsia="fr-CA"/>
              </w:rPr>
              <w:drawing>
                <wp:inline distT="0" distB="0" distL="0" distR="0" wp14:anchorId="492A38F3" wp14:editId="73D790A6">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21E3315C" w14:textId="77777777" w:rsidR="00EF72F1" w:rsidRPr="00F33948" w:rsidRDefault="00EF72F1" w:rsidP="009764CA">
            <w:pPr>
              <w:spacing w:before="120" w:after="100" w:afterAutospacing="1"/>
              <w:jc w:val="center"/>
              <w:rPr>
                <w:rFonts w:eastAsia="Calibri"/>
              </w:rPr>
            </w:pPr>
            <w:r w:rsidRPr="00F33948">
              <w:rPr>
                <w:rFonts w:eastAsia="Calibri"/>
                <w:b/>
              </w:rPr>
              <w:t>SUPREME COURT OF CANADA</w:t>
            </w:r>
          </w:p>
        </w:tc>
      </w:tr>
      <w:tr w:rsidR="00EF72F1" w:rsidRPr="00F33948" w14:paraId="3CABCB94" w14:textId="77777777" w:rsidTr="00B76741">
        <w:tblPrEx>
          <w:tblCellMar>
            <w:top w:w="58" w:type="dxa"/>
            <w:left w:w="58" w:type="dxa"/>
            <w:bottom w:w="58" w:type="dxa"/>
            <w:right w:w="58" w:type="dxa"/>
          </w:tblCellMar>
        </w:tblPrEx>
        <w:trPr>
          <w:gridAfter w:val="1"/>
          <w:wAfter w:w="18" w:type="pct"/>
          <w:cantSplit/>
        </w:trPr>
        <w:tc>
          <w:tcPr>
            <w:tcW w:w="2078" w:type="pct"/>
            <w:gridSpan w:val="2"/>
          </w:tcPr>
          <w:p w14:paraId="4A964DC4" w14:textId="77777777" w:rsidR="00EF72F1" w:rsidRPr="00F33948" w:rsidRDefault="00EF72F1" w:rsidP="00FC2782">
            <w:pPr>
              <w:rPr>
                <w:b/>
                <w:smallCaps/>
                <w:lang w:val="fr-CA"/>
              </w:rPr>
            </w:pPr>
          </w:p>
          <w:p w14:paraId="03323305" w14:textId="77777777" w:rsidR="00EF72F1" w:rsidRPr="00F33948" w:rsidRDefault="00EF72F1" w:rsidP="00FC2782">
            <w:pPr>
              <w:rPr>
                <w:b/>
                <w:smallCaps/>
                <w:lang w:val="fr-CA"/>
              </w:rPr>
            </w:pPr>
            <w:r w:rsidRPr="00F33948">
              <w:rPr>
                <w:b/>
                <w:smallCaps/>
                <w:lang w:val="fr-CA"/>
              </w:rPr>
              <w:t>Citation:</w:t>
            </w:r>
            <w:r w:rsidRPr="00F33948">
              <w:rPr>
                <w:lang w:val="fr-CA"/>
              </w:rPr>
              <w:t xml:space="preserve"> </w:t>
            </w:r>
            <w:r w:rsidR="008726A9" w:rsidRPr="00F33948">
              <w:rPr>
                <w:lang w:val="fr-CA"/>
              </w:rPr>
              <w:t xml:space="preserve">R. </w:t>
            </w:r>
            <w:r w:rsidR="008726A9" w:rsidRPr="00F33948">
              <w:rPr>
                <w:i/>
                <w:lang w:val="fr-CA"/>
              </w:rPr>
              <w:t>v.</w:t>
            </w:r>
            <w:r w:rsidR="008726A9" w:rsidRPr="00F33948">
              <w:rPr>
                <w:lang w:val="fr-CA"/>
              </w:rPr>
              <w:t xml:space="preserve"> A.E., </w:t>
            </w:r>
            <w:r w:rsidRPr="00F33948">
              <w:rPr>
                <w:lang w:val="fr-CA"/>
              </w:rPr>
              <w:t>2022 SCC 4</w:t>
            </w:r>
          </w:p>
        </w:tc>
        <w:tc>
          <w:tcPr>
            <w:tcW w:w="922" w:type="pct"/>
          </w:tcPr>
          <w:p w14:paraId="37DBFFFD" w14:textId="77777777" w:rsidR="00EF72F1" w:rsidRPr="00F33948" w:rsidRDefault="00EF72F1" w:rsidP="00FC2782">
            <w:pPr>
              <w:rPr>
                <w:lang w:val="fr-CA"/>
              </w:rPr>
            </w:pPr>
          </w:p>
        </w:tc>
        <w:tc>
          <w:tcPr>
            <w:tcW w:w="1982" w:type="pct"/>
          </w:tcPr>
          <w:p w14:paraId="0DF85718" w14:textId="77777777" w:rsidR="00EF72F1" w:rsidRPr="00F33948" w:rsidRDefault="00EF72F1" w:rsidP="00451668">
            <w:pPr>
              <w:rPr>
                <w:b/>
                <w:smallCaps/>
                <w:lang w:val="fr-CA"/>
              </w:rPr>
            </w:pPr>
          </w:p>
          <w:p w14:paraId="0B31F775" w14:textId="77777777" w:rsidR="00EF72F1" w:rsidRPr="00F33948" w:rsidRDefault="00EF72F1" w:rsidP="00EA6DB9">
            <w:pPr>
              <w:jc w:val="both"/>
            </w:pPr>
            <w:r w:rsidRPr="00F33948">
              <w:rPr>
                <w:b/>
                <w:smallCaps/>
              </w:rPr>
              <w:t>Appeal</w:t>
            </w:r>
            <w:r w:rsidR="004C5EBA" w:rsidRPr="00F33948">
              <w:rPr>
                <w:b/>
                <w:smallCaps/>
              </w:rPr>
              <w:t>s</w:t>
            </w:r>
            <w:r w:rsidRPr="00F33948">
              <w:rPr>
                <w:b/>
                <w:smallCaps/>
              </w:rPr>
              <w:t xml:space="preserve"> Heard:</w:t>
            </w:r>
            <w:r w:rsidRPr="00F33948">
              <w:t xml:space="preserve"> </w:t>
            </w:r>
            <w:r w:rsidR="004C5EBA" w:rsidRPr="00F33948">
              <w:t xml:space="preserve">February 15, </w:t>
            </w:r>
            <w:r w:rsidRPr="00F33948">
              <w:t>2022</w:t>
            </w:r>
          </w:p>
          <w:p w14:paraId="16EEFEC6" w14:textId="77777777" w:rsidR="00EF72F1" w:rsidRPr="00F33948" w:rsidRDefault="00EF72F1">
            <w:r w:rsidRPr="00F33948">
              <w:rPr>
                <w:b/>
                <w:smallCaps/>
              </w:rPr>
              <w:t>Judgment Rendered:</w:t>
            </w:r>
            <w:r w:rsidRPr="00F33948">
              <w:t xml:space="preserve"> </w:t>
            </w:r>
            <w:r w:rsidR="004C5EBA" w:rsidRPr="00F33948">
              <w:t>February 15, 2022</w:t>
            </w:r>
          </w:p>
          <w:p w14:paraId="69B0BF67" w14:textId="77777777" w:rsidR="00EF72F1" w:rsidRPr="00F33948" w:rsidRDefault="00EF72F1" w:rsidP="00540106">
            <w:r w:rsidRPr="00F33948">
              <w:rPr>
                <w:b/>
                <w:smallCaps/>
              </w:rPr>
              <w:t>Docket</w:t>
            </w:r>
            <w:r w:rsidR="004C5EBA" w:rsidRPr="00F33948">
              <w:rPr>
                <w:b/>
                <w:smallCaps/>
              </w:rPr>
              <w:t>s</w:t>
            </w:r>
            <w:r w:rsidRPr="00F33948">
              <w:rPr>
                <w:b/>
                <w:smallCaps/>
              </w:rPr>
              <w:t>:</w:t>
            </w:r>
            <w:r w:rsidRPr="00F33948">
              <w:t xml:space="preserve"> 39699, 39703</w:t>
            </w:r>
          </w:p>
        </w:tc>
      </w:tr>
      <w:tr w:rsidR="00EF72F1" w:rsidRPr="00F33948" w14:paraId="61B6007B" w14:textId="77777777" w:rsidTr="00B76741">
        <w:tblPrEx>
          <w:tblCellMar>
            <w:top w:w="58" w:type="dxa"/>
            <w:left w:w="58" w:type="dxa"/>
            <w:bottom w:w="58" w:type="dxa"/>
            <w:right w:w="58" w:type="dxa"/>
          </w:tblCellMar>
        </w:tblPrEx>
        <w:tc>
          <w:tcPr>
            <w:tcW w:w="5000" w:type="pct"/>
            <w:gridSpan w:val="5"/>
          </w:tcPr>
          <w:p w14:paraId="25ADBB98" w14:textId="77777777" w:rsidR="00EF72F1" w:rsidRPr="00F33948" w:rsidRDefault="00EF72F1" w:rsidP="00EF72F1"/>
          <w:p w14:paraId="15026CFF" w14:textId="77777777" w:rsidR="000206FC" w:rsidRPr="00F33948" w:rsidRDefault="00693B4B">
            <w:pPr>
              <w:pStyle w:val="SCCLsocPrefix"/>
            </w:pPr>
            <w:r w:rsidRPr="00F33948">
              <w:t>Between:</w:t>
            </w:r>
          </w:p>
          <w:p w14:paraId="191C1DA6" w14:textId="77777777" w:rsidR="004E25A2" w:rsidRPr="00F33948" w:rsidRDefault="004E25A2" w:rsidP="004E25A2"/>
          <w:p w14:paraId="66AA26D2" w14:textId="77777777" w:rsidR="000206FC" w:rsidRPr="00F33948" w:rsidRDefault="00693B4B">
            <w:pPr>
              <w:pStyle w:val="SCCLsocParty"/>
            </w:pPr>
            <w:r w:rsidRPr="00F33948">
              <w:t>A.E</w:t>
            </w:r>
            <w:r w:rsidR="004E25A2" w:rsidRPr="00F33948">
              <w:t>.</w:t>
            </w:r>
          </w:p>
          <w:p w14:paraId="28A02500" w14:textId="77777777" w:rsidR="000206FC" w:rsidRPr="00F33948" w:rsidRDefault="00693B4B">
            <w:pPr>
              <w:pStyle w:val="SCCLsocPartyRole"/>
            </w:pPr>
            <w:r w:rsidRPr="00F33948">
              <w:t>Appellant</w:t>
            </w:r>
          </w:p>
          <w:p w14:paraId="22B83B42" w14:textId="77777777" w:rsidR="000206FC" w:rsidRPr="00F33948" w:rsidRDefault="000206FC"/>
          <w:p w14:paraId="10C606AE" w14:textId="77777777" w:rsidR="000206FC" w:rsidRPr="00F33948" w:rsidRDefault="004E25A2">
            <w:pPr>
              <w:pStyle w:val="SCCLsocVersus"/>
            </w:pPr>
            <w:r w:rsidRPr="00F33948">
              <w:t>and</w:t>
            </w:r>
          </w:p>
          <w:p w14:paraId="17FB016D" w14:textId="77777777" w:rsidR="000206FC" w:rsidRPr="00F33948" w:rsidRDefault="000206FC"/>
          <w:p w14:paraId="13727FA1" w14:textId="77777777" w:rsidR="000206FC" w:rsidRPr="00F33948" w:rsidRDefault="008726A9">
            <w:pPr>
              <w:pStyle w:val="SCCLsocParty"/>
            </w:pPr>
            <w:r w:rsidRPr="00F33948">
              <w:t>Her Majesty T</w:t>
            </w:r>
            <w:r w:rsidR="00693B4B" w:rsidRPr="00F33948">
              <w:t>he Queen</w:t>
            </w:r>
          </w:p>
          <w:p w14:paraId="2A96EC7A" w14:textId="77777777" w:rsidR="000206FC" w:rsidRPr="00F33948" w:rsidRDefault="00693B4B">
            <w:pPr>
              <w:pStyle w:val="SCCLsocPartyRole"/>
            </w:pPr>
            <w:r w:rsidRPr="00F33948">
              <w:t>Respondent</w:t>
            </w:r>
          </w:p>
          <w:p w14:paraId="7AFAC581" w14:textId="77777777" w:rsidR="000206FC" w:rsidRPr="00F33948" w:rsidRDefault="000206FC"/>
          <w:p w14:paraId="0177E71E" w14:textId="77777777" w:rsidR="000206FC" w:rsidRPr="00F33948" w:rsidRDefault="00693B4B">
            <w:pPr>
              <w:pStyle w:val="SCCLsocOtherPartySeparator"/>
            </w:pPr>
            <w:r w:rsidRPr="00F33948">
              <w:t>- and -</w:t>
            </w:r>
          </w:p>
          <w:p w14:paraId="6FEA2A1C" w14:textId="77777777" w:rsidR="000206FC" w:rsidRPr="00F33948" w:rsidRDefault="000206FC"/>
          <w:p w14:paraId="055E6791" w14:textId="77777777" w:rsidR="000206FC" w:rsidRPr="00F33948" w:rsidRDefault="00693B4B">
            <w:pPr>
              <w:pStyle w:val="SCCLsocParty"/>
            </w:pPr>
            <w:r w:rsidRPr="00F33948">
              <w:t>Director of Public Prosecutions</w:t>
            </w:r>
          </w:p>
          <w:p w14:paraId="11B7DA34" w14:textId="77777777" w:rsidR="000206FC" w:rsidRPr="00F33948" w:rsidRDefault="00693B4B">
            <w:pPr>
              <w:pStyle w:val="SCCLsocPartyRole"/>
            </w:pPr>
            <w:r w:rsidRPr="00F33948">
              <w:t>Intervener</w:t>
            </w:r>
          </w:p>
          <w:p w14:paraId="553ABD07" w14:textId="77777777" w:rsidR="000206FC" w:rsidRPr="00F33948" w:rsidRDefault="000206FC"/>
          <w:p w14:paraId="4972A1F7" w14:textId="77777777" w:rsidR="000206FC" w:rsidRPr="00F33948" w:rsidRDefault="004E25A2">
            <w:pPr>
              <w:pStyle w:val="SCCLsocPrefix"/>
            </w:pPr>
            <w:r w:rsidRPr="00F33948">
              <w:t xml:space="preserve">And </w:t>
            </w:r>
            <w:r w:rsidR="00693B4B" w:rsidRPr="00F33948">
              <w:t>Between:</w:t>
            </w:r>
          </w:p>
          <w:p w14:paraId="4DBC5433" w14:textId="77777777" w:rsidR="004E25A2" w:rsidRPr="00F33948" w:rsidRDefault="004E25A2" w:rsidP="004E25A2"/>
          <w:p w14:paraId="4CF70FB4" w14:textId="77777777" w:rsidR="000206FC" w:rsidRPr="00F33948" w:rsidRDefault="00693B4B">
            <w:pPr>
              <w:pStyle w:val="SCCLsocParty"/>
              <w:rPr>
                <w:lang w:val="en-US"/>
              </w:rPr>
            </w:pPr>
            <w:r w:rsidRPr="00F33948">
              <w:rPr>
                <w:lang w:val="en-US"/>
              </w:rPr>
              <w:t>T.C.F.</w:t>
            </w:r>
          </w:p>
          <w:p w14:paraId="3D224ACD" w14:textId="77777777" w:rsidR="000206FC" w:rsidRPr="00F33948" w:rsidRDefault="00693B4B">
            <w:pPr>
              <w:pStyle w:val="SCCLsocPartyRole"/>
              <w:rPr>
                <w:lang w:val="en-US"/>
              </w:rPr>
            </w:pPr>
            <w:r w:rsidRPr="00F33948">
              <w:rPr>
                <w:lang w:val="en-US"/>
              </w:rPr>
              <w:t>Appellant</w:t>
            </w:r>
          </w:p>
          <w:p w14:paraId="679C6F37" w14:textId="77777777" w:rsidR="000206FC" w:rsidRPr="00F33948" w:rsidRDefault="000206FC">
            <w:pPr>
              <w:rPr>
                <w:lang w:val="en-US"/>
              </w:rPr>
            </w:pPr>
          </w:p>
          <w:p w14:paraId="77637B87" w14:textId="77777777" w:rsidR="000206FC" w:rsidRPr="00F33948" w:rsidRDefault="008726A9">
            <w:pPr>
              <w:pStyle w:val="SCCLsocVersus"/>
              <w:rPr>
                <w:lang w:val="en-US"/>
              </w:rPr>
            </w:pPr>
            <w:r w:rsidRPr="00F33948">
              <w:rPr>
                <w:lang w:val="en-US"/>
              </w:rPr>
              <w:t>and</w:t>
            </w:r>
          </w:p>
          <w:p w14:paraId="3E86CF1F" w14:textId="77777777" w:rsidR="000206FC" w:rsidRPr="00F33948" w:rsidRDefault="000206FC">
            <w:pPr>
              <w:rPr>
                <w:lang w:val="en-US"/>
              </w:rPr>
            </w:pPr>
          </w:p>
          <w:p w14:paraId="54C4B373" w14:textId="77777777" w:rsidR="000206FC" w:rsidRPr="00F33948" w:rsidRDefault="00693B4B">
            <w:pPr>
              <w:pStyle w:val="SCCLsocParty"/>
            </w:pPr>
            <w:r w:rsidRPr="00F33948">
              <w:t xml:space="preserve">Her Majesty </w:t>
            </w:r>
            <w:r w:rsidR="008726A9" w:rsidRPr="00F33948">
              <w:t>T</w:t>
            </w:r>
            <w:r w:rsidRPr="00F33948">
              <w:t>he Queen</w:t>
            </w:r>
          </w:p>
          <w:p w14:paraId="19251ECB" w14:textId="77777777" w:rsidR="000206FC" w:rsidRPr="00F33948" w:rsidRDefault="00693B4B">
            <w:pPr>
              <w:pStyle w:val="SCCLsocPartyRole"/>
            </w:pPr>
            <w:r w:rsidRPr="00F33948">
              <w:t>Respondent</w:t>
            </w:r>
          </w:p>
          <w:p w14:paraId="401B0752" w14:textId="77777777" w:rsidR="000206FC" w:rsidRPr="00F33948" w:rsidRDefault="000206FC"/>
          <w:p w14:paraId="67F4A9C1" w14:textId="77777777" w:rsidR="000206FC" w:rsidRPr="00F33948" w:rsidRDefault="00693B4B">
            <w:pPr>
              <w:pStyle w:val="SCCLsocOtherPartySeparator"/>
            </w:pPr>
            <w:r w:rsidRPr="00F33948">
              <w:t>- and -</w:t>
            </w:r>
          </w:p>
          <w:p w14:paraId="30215091" w14:textId="77777777" w:rsidR="000206FC" w:rsidRPr="00F33948" w:rsidRDefault="000206FC"/>
          <w:p w14:paraId="091CA365" w14:textId="77777777" w:rsidR="000206FC" w:rsidRPr="00F33948" w:rsidRDefault="00693B4B">
            <w:pPr>
              <w:pStyle w:val="SCCLsocParty"/>
            </w:pPr>
            <w:r w:rsidRPr="00F33948">
              <w:lastRenderedPageBreak/>
              <w:t>Director of Public Prosecutions</w:t>
            </w:r>
          </w:p>
          <w:p w14:paraId="2AB50F91" w14:textId="77777777" w:rsidR="000206FC" w:rsidRPr="00F33948" w:rsidRDefault="00693B4B">
            <w:pPr>
              <w:pStyle w:val="SCCLsocPartyRole"/>
            </w:pPr>
            <w:r w:rsidRPr="00F33948">
              <w:t>Intervener</w:t>
            </w:r>
          </w:p>
          <w:p w14:paraId="7F22F827" w14:textId="77777777" w:rsidR="00843369" w:rsidRPr="00F33948" w:rsidRDefault="00843369" w:rsidP="00EF72F1"/>
          <w:p w14:paraId="7B96DF22" w14:textId="77777777" w:rsidR="00693B4B" w:rsidRPr="00F33948" w:rsidRDefault="00693B4B" w:rsidP="00EF72F1"/>
          <w:p w14:paraId="65FB1C00" w14:textId="77777777" w:rsidR="00EF72F1" w:rsidRPr="00F33948" w:rsidRDefault="00EF72F1" w:rsidP="00EF72F1"/>
          <w:p w14:paraId="6D6E278E" w14:textId="77777777" w:rsidR="00EF72F1" w:rsidRPr="00F33948" w:rsidRDefault="00EF72F1" w:rsidP="00EF72F1">
            <w:r w:rsidRPr="00F33948">
              <w:rPr>
                <w:b/>
                <w:smallCaps/>
              </w:rPr>
              <w:t>Coram:</w:t>
            </w:r>
            <w:r w:rsidRPr="00F33948">
              <w:t xml:space="preserve"> Wagner C.J. and Moldaver, Karakatsanis, Côté, Brown, Rowe, Martin, Kasirer and Jamal JJ.</w:t>
            </w:r>
          </w:p>
          <w:p w14:paraId="35F06095" w14:textId="77777777" w:rsidR="00EF72F1" w:rsidRPr="00F33948" w:rsidRDefault="00EF72F1" w:rsidP="00451668">
            <w:pPr>
              <w:rPr>
                <w:b/>
                <w:smallCaps/>
              </w:rPr>
            </w:pPr>
          </w:p>
        </w:tc>
      </w:tr>
      <w:tr w:rsidR="008726A9" w:rsidRPr="00F33948" w14:paraId="13D1F871" w14:textId="77777777" w:rsidTr="00B76741">
        <w:tblPrEx>
          <w:tblCellMar>
            <w:top w:w="58" w:type="dxa"/>
            <w:left w:w="58" w:type="dxa"/>
            <w:bottom w:w="58" w:type="dxa"/>
            <w:right w:w="58" w:type="dxa"/>
          </w:tblCellMar>
        </w:tblPrEx>
        <w:trPr>
          <w:cantSplit/>
        </w:trPr>
        <w:tc>
          <w:tcPr>
            <w:tcW w:w="1233" w:type="pct"/>
          </w:tcPr>
          <w:p w14:paraId="1E3D4C0C" w14:textId="77777777" w:rsidR="008726A9" w:rsidRPr="00F33948" w:rsidRDefault="008726A9" w:rsidP="00FA0A61">
            <w:pPr>
              <w:rPr>
                <w:b/>
                <w:bCs/>
                <w:smallCaps/>
                <w:color w:val="000000"/>
                <w:lang w:val="en-US"/>
              </w:rPr>
            </w:pPr>
            <w:r w:rsidRPr="00F33948">
              <w:rPr>
                <w:b/>
                <w:bCs/>
                <w:smallCaps/>
                <w:color w:val="000000"/>
                <w:lang w:val="en-US"/>
              </w:rPr>
              <w:lastRenderedPageBreak/>
              <w:t>Unanimous Judgment Read By:</w:t>
            </w:r>
          </w:p>
          <w:p w14:paraId="309B2846" w14:textId="77777777" w:rsidR="008726A9" w:rsidRPr="00F33948" w:rsidRDefault="008726A9" w:rsidP="00FA0A61">
            <w:pPr>
              <w:rPr>
                <w:color w:val="000000"/>
              </w:rPr>
            </w:pPr>
            <w:r w:rsidRPr="00F33948">
              <w:rPr>
                <w:color w:val="000000"/>
                <w:lang w:val="en-US"/>
              </w:rPr>
              <w:t>(paras. </w:t>
            </w:r>
            <w:r w:rsidRPr="00F33948">
              <w:rPr>
                <w:color w:val="000000"/>
              </w:rPr>
              <w:t xml:space="preserve">1 to </w:t>
            </w:r>
            <w:r w:rsidR="00E94AE9" w:rsidRPr="00F33948">
              <w:rPr>
                <w:color w:val="000000"/>
              </w:rPr>
              <w:t>6</w:t>
            </w:r>
            <w:r w:rsidRPr="00F33948">
              <w:rPr>
                <w:color w:val="000000"/>
              </w:rPr>
              <w:t>)</w:t>
            </w:r>
          </w:p>
          <w:p w14:paraId="4B64DCF2" w14:textId="77777777" w:rsidR="008726A9" w:rsidRPr="00F33948" w:rsidRDefault="008726A9" w:rsidP="00FA0A61"/>
        </w:tc>
        <w:tc>
          <w:tcPr>
            <w:tcW w:w="3767" w:type="pct"/>
            <w:gridSpan w:val="4"/>
          </w:tcPr>
          <w:p w14:paraId="777D0FBF" w14:textId="77777777" w:rsidR="008726A9" w:rsidRPr="00F33948" w:rsidRDefault="008726A9" w:rsidP="00FA0A61">
            <w:r w:rsidRPr="00F33948">
              <w:t>Moldaver </w:t>
            </w:r>
            <w:r w:rsidRPr="00F33948">
              <w:rPr>
                <w:color w:val="000000"/>
              </w:rPr>
              <w:t>J.</w:t>
            </w:r>
          </w:p>
        </w:tc>
      </w:tr>
      <w:tr w:rsidR="008726A9" w:rsidRPr="00F33948" w14:paraId="5B3E4CFA" w14:textId="77777777" w:rsidTr="00B76741">
        <w:tblPrEx>
          <w:tblCellMar>
            <w:top w:w="58" w:type="dxa"/>
            <w:left w:w="58" w:type="dxa"/>
            <w:bottom w:w="58" w:type="dxa"/>
            <w:right w:w="58" w:type="dxa"/>
          </w:tblCellMar>
        </w:tblPrEx>
        <w:trPr>
          <w:cantSplit/>
        </w:trPr>
        <w:tc>
          <w:tcPr>
            <w:tcW w:w="5000" w:type="pct"/>
            <w:gridSpan w:val="5"/>
          </w:tcPr>
          <w:p w14:paraId="7AC10DE0" w14:textId="77777777" w:rsidR="008726A9" w:rsidRPr="00F33948" w:rsidRDefault="008726A9" w:rsidP="00614291">
            <w:pPr>
              <w:rPr>
                <w:lang w:val="en-US"/>
              </w:rPr>
            </w:pPr>
          </w:p>
        </w:tc>
      </w:tr>
    </w:tbl>
    <w:p w14:paraId="5ED07408" w14:textId="77777777" w:rsidR="00904937" w:rsidRPr="00F33948" w:rsidRDefault="00904937" w:rsidP="00076773">
      <w:pPr>
        <w:pStyle w:val="SCCBold"/>
        <w:rPr>
          <w:b w:val="0"/>
        </w:rPr>
      </w:pPr>
      <w:r w:rsidRPr="00F33948">
        <w:rPr>
          <w:smallCaps/>
        </w:rPr>
        <w:t>Note:</w:t>
      </w:r>
      <w:r w:rsidRPr="00F33948">
        <w:t xml:space="preserve"> </w:t>
      </w:r>
      <w:r w:rsidRPr="00F33948">
        <w:rPr>
          <w:b w:val="0"/>
        </w:rPr>
        <w:t>This do</w:t>
      </w:r>
      <w:r w:rsidR="009E7065" w:rsidRPr="00F33948">
        <w:rPr>
          <w:b w:val="0"/>
        </w:rPr>
        <w:t>c</w:t>
      </w:r>
      <w:r w:rsidRPr="00F33948">
        <w:rPr>
          <w:b w:val="0"/>
        </w:rPr>
        <w:t xml:space="preserve">ument is subject to editorial revision before its reproduction in final form in the </w:t>
      </w:r>
      <w:r w:rsidRPr="00F33948">
        <w:rPr>
          <w:b w:val="0"/>
          <w:i/>
        </w:rPr>
        <w:t>Canada Supreme Court Reports</w:t>
      </w:r>
      <w:r w:rsidRPr="00F33948">
        <w:rPr>
          <w:b w:val="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087E50" w:rsidRPr="00F33948" w14:paraId="6DD4F3E7" w14:textId="77777777" w:rsidTr="003375C9">
        <w:tc>
          <w:tcPr>
            <w:tcW w:w="1500" w:type="pct"/>
            <w:tcMar>
              <w:top w:w="284" w:type="dxa"/>
            </w:tcMar>
          </w:tcPr>
          <w:p w14:paraId="7E004725" w14:textId="77777777" w:rsidR="00087E50" w:rsidRPr="00F33948" w:rsidRDefault="00087E50" w:rsidP="003375C9">
            <w:pPr>
              <w:rPr>
                <w:rFonts w:eastAsia="Calibri"/>
              </w:rPr>
            </w:pPr>
          </w:p>
        </w:tc>
        <w:tc>
          <w:tcPr>
            <w:tcW w:w="2000" w:type="pct"/>
            <w:tcBorders>
              <w:bottom w:val="single" w:sz="4" w:space="0" w:color="auto"/>
            </w:tcBorders>
            <w:tcMar>
              <w:top w:w="284" w:type="dxa"/>
            </w:tcMar>
          </w:tcPr>
          <w:p w14:paraId="6BB65A63" w14:textId="77777777" w:rsidR="00087E50" w:rsidRPr="00F33948" w:rsidRDefault="00087E50" w:rsidP="003375C9">
            <w:pPr>
              <w:rPr>
                <w:rFonts w:eastAsia="Calibri"/>
              </w:rPr>
            </w:pPr>
          </w:p>
        </w:tc>
        <w:tc>
          <w:tcPr>
            <w:tcW w:w="1500" w:type="pct"/>
            <w:tcMar>
              <w:top w:w="284" w:type="dxa"/>
            </w:tcMar>
          </w:tcPr>
          <w:p w14:paraId="4DB68339" w14:textId="77777777" w:rsidR="00087E50" w:rsidRPr="00F33948" w:rsidRDefault="00087E50" w:rsidP="003375C9">
            <w:pPr>
              <w:rPr>
                <w:rFonts w:eastAsia="Calibri"/>
              </w:rPr>
            </w:pPr>
          </w:p>
        </w:tc>
      </w:tr>
    </w:tbl>
    <w:p w14:paraId="1D9DC8BA" w14:textId="679B2485" w:rsidR="00B76741" w:rsidRDefault="00B76741"/>
    <w:p w14:paraId="0E8CFDA0" w14:textId="77777777" w:rsidR="00614291" w:rsidRDefault="00614291"/>
    <w:p w14:paraId="5137AF3B" w14:textId="77777777" w:rsidR="00614291" w:rsidRDefault="00614291"/>
    <w:p w14:paraId="61E4CB46" w14:textId="77777777" w:rsidR="00614291" w:rsidRPr="00614291" w:rsidRDefault="00614291" w:rsidP="00614291">
      <w:pPr>
        <w:tabs>
          <w:tab w:val="right" w:pos="8222"/>
        </w:tabs>
        <w:spacing w:after="720"/>
        <w:rPr>
          <w:rFonts w:eastAsia="Times New Roman" w:cs="Times New Roman"/>
          <w:b/>
          <w:szCs w:val="20"/>
          <w:lang w:val="en-US" w:eastAsia="en-CA"/>
        </w:rPr>
      </w:pPr>
      <w:r w:rsidRPr="00614291">
        <w:rPr>
          <w:rFonts w:eastAsia="Times New Roman" w:cs="Times New Roman"/>
          <w:b/>
          <w:szCs w:val="20"/>
          <w:lang w:val="en-US" w:eastAsia="en-CA"/>
        </w:rPr>
        <w:t>A.E.</w:t>
      </w:r>
      <w:r w:rsidRPr="00614291">
        <w:rPr>
          <w:rFonts w:eastAsia="Times New Roman" w:cs="Times New Roman"/>
          <w:i/>
          <w:szCs w:val="20"/>
          <w:lang w:val="en-US" w:eastAsia="en-CA"/>
        </w:rPr>
        <w:tab/>
        <w:t>Appellant</w:t>
      </w:r>
    </w:p>
    <w:p w14:paraId="215733DE" w14:textId="77777777" w:rsidR="00614291" w:rsidRPr="00614291" w:rsidRDefault="00614291" w:rsidP="00614291">
      <w:pPr>
        <w:spacing w:after="720"/>
        <w:rPr>
          <w:rFonts w:eastAsia="Times New Roman" w:cs="Times New Roman"/>
          <w:i/>
          <w:szCs w:val="20"/>
          <w:lang w:eastAsia="en-CA"/>
        </w:rPr>
      </w:pPr>
      <w:r w:rsidRPr="00614291">
        <w:rPr>
          <w:rFonts w:eastAsia="Times New Roman" w:cs="Times New Roman"/>
          <w:i/>
          <w:szCs w:val="20"/>
          <w:lang w:eastAsia="en-CA"/>
        </w:rPr>
        <w:t>v.</w:t>
      </w:r>
    </w:p>
    <w:p w14:paraId="296D93A8" w14:textId="77777777" w:rsidR="00614291" w:rsidRPr="00614291" w:rsidRDefault="00614291" w:rsidP="00614291">
      <w:pPr>
        <w:tabs>
          <w:tab w:val="right" w:pos="8222"/>
        </w:tabs>
        <w:spacing w:after="720"/>
        <w:rPr>
          <w:rFonts w:eastAsia="Times New Roman" w:cs="Times New Roman"/>
          <w:b/>
          <w:szCs w:val="20"/>
          <w:lang w:eastAsia="en-CA"/>
        </w:rPr>
      </w:pPr>
      <w:r w:rsidRPr="00614291">
        <w:rPr>
          <w:rFonts w:eastAsia="Times New Roman" w:cs="Times New Roman"/>
          <w:b/>
          <w:szCs w:val="20"/>
          <w:lang w:eastAsia="en-CA"/>
        </w:rPr>
        <w:t>Her Majesty The Queen</w:t>
      </w:r>
      <w:r w:rsidRPr="00614291">
        <w:rPr>
          <w:rFonts w:eastAsia="Times New Roman" w:cs="Times New Roman"/>
          <w:i/>
          <w:szCs w:val="20"/>
          <w:lang w:eastAsia="en-CA"/>
        </w:rPr>
        <w:tab/>
        <w:t>Respondent</w:t>
      </w:r>
    </w:p>
    <w:p w14:paraId="6BC65CDC" w14:textId="77777777" w:rsidR="00614291" w:rsidRPr="00614291" w:rsidRDefault="00614291" w:rsidP="00614291">
      <w:pPr>
        <w:spacing w:after="720"/>
        <w:rPr>
          <w:rFonts w:eastAsia="Times New Roman" w:cs="Times New Roman"/>
          <w:szCs w:val="20"/>
          <w:lang w:eastAsia="en-CA"/>
        </w:rPr>
      </w:pPr>
      <w:r w:rsidRPr="00614291">
        <w:rPr>
          <w:rFonts w:eastAsia="Times New Roman" w:cs="Times New Roman"/>
          <w:szCs w:val="20"/>
          <w:lang w:eastAsia="en-CA"/>
        </w:rPr>
        <w:t>and</w:t>
      </w:r>
    </w:p>
    <w:p w14:paraId="33E5530B" w14:textId="77777777" w:rsidR="00614291" w:rsidRPr="00614291" w:rsidRDefault="00614291" w:rsidP="00614291">
      <w:pPr>
        <w:tabs>
          <w:tab w:val="right" w:pos="8222"/>
        </w:tabs>
        <w:spacing w:after="720"/>
        <w:rPr>
          <w:rFonts w:eastAsia="Times New Roman" w:cs="Times New Roman"/>
          <w:i/>
          <w:szCs w:val="20"/>
          <w:lang w:eastAsia="en-CA"/>
        </w:rPr>
      </w:pPr>
      <w:r w:rsidRPr="00614291">
        <w:rPr>
          <w:rFonts w:eastAsia="Times New Roman" w:cs="Times New Roman"/>
          <w:b/>
          <w:szCs w:val="20"/>
          <w:lang w:eastAsia="en-CA"/>
        </w:rPr>
        <w:t>Director of Public Prosecutions</w:t>
      </w:r>
      <w:r w:rsidRPr="00614291">
        <w:rPr>
          <w:rFonts w:eastAsia="Times New Roman" w:cs="Times New Roman"/>
          <w:i/>
          <w:szCs w:val="20"/>
          <w:lang w:eastAsia="en-CA"/>
        </w:rPr>
        <w:tab/>
        <w:t>Intervener</w:t>
      </w:r>
    </w:p>
    <w:p w14:paraId="7FAF8EDB" w14:textId="77777777" w:rsidR="00614291" w:rsidRPr="00614291" w:rsidRDefault="00614291" w:rsidP="00614291">
      <w:pPr>
        <w:spacing w:after="720"/>
        <w:rPr>
          <w:rFonts w:eastAsia="Times New Roman" w:cs="Times New Roman"/>
          <w:szCs w:val="20"/>
          <w:lang w:eastAsia="en-CA"/>
        </w:rPr>
      </w:pPr>
      <w:r w:rsidRPr="00614291">
        <w:rPr>
          <w:rFonts w:eastAsia="Times New Roman" w:cs="Times New Roman"/>
          <w:szCs w:val="20"/>
          <w:lang w:eastAsia="en-CA"/>
        </w:rPr>
        <w:noBreakHyphen/>
        <w:t xml:space="preserve"> and </w:t>
      </w:r>
      <w:r w:rsidRPr="00614291">
        <w:rPr>
          <w:rFonts w:eastAsia="Times New Roman" w:cs="Times New Roman"/>
          <w:szCs w:val="20"/>
          <w:lang w:eastAsia="en-CA"/>
        </w:rPr>
        <w:noBreakHyphen/>
      </w:r>
    </w:p>
    <w:p w14:paraId="0D085ACD" w14:textId="77777777" w:rsidR="00614291" w:rsidRPr="00614291" w:rsidRDefault="00614291" w:rsidP="00614291">
      <w:pPr>
        <w:tabs>
          <w:tab w:val="right" w:pos="8222"/>
        </w:tabs>
        <w:spacing w:after="720"/>
        <w:rPr>
          <w:rFonts w:eastAsia="Times New Roman" w:cs="Times New Roman"/>
          <w:b/>
          <w:szCs w:val="20"/>
          <w:lang w:val="en-US" w:eastAsia="en-CA"/>
        </w:rPr>
      </w:pPr>
      <w:r w:rsidRPr="00614291">
        <w:rPr>
          <w:rFonts w:eastAsia="Times New Roman" w:cs="Times New Roman"/>
          <w:b/>
          <w:szCs w:val="20"/>
          <w:lang w:val="en-US" w:eastAsia="en-CA"/>
        </w:rPr>
        <w:t>T.C.F.</w:t>
      </w:r>
      <w:r w:rsidRPr="00614291">
        <w:rPr>
          <w:rFonts w:eastAsia="Times New Roman" w:cs="Times New Roman"/>
          <w:i/>
          <w:szCs w:val="20"/>
          <w:lang w:val="en-US" w:eastAsia="en-CA"/>
        </w:rPr>
        <w:tab/>
        <w:t>Appellant</w:t>
      </w:r>
    </w:p>
    <w:p w14:paraId="14902C0A" w14:textId="77777777" w:rsidR="00614291" w:rsidRPr="00614291" w:rsidRDefault="00614291" w:rsidP="00614291">
      <w:pPr>
        <w:spacing w:after="720"/>
        <w:rPr>
          <w:rFonts w:eastAsia="Times New Roman" w:cs="Times New Roman"/>
          <w:i/>
          <w:szCs w:val="20"/>
          <w:lang w:eastAsia="en-CA"/>
        </w:rPr>
      </w:pPr>
      <w:r w:rsidRPr="00614291">
        <w:rPr>
          <w:rFonts w:eastAsia="Times New Roman" w:cs="Times New Roman"/>
          <w:i/>
          <w:szCs w:val="20"/>
          <w:lang w:eastAsia="en-CA"/>
        </w:rPr>
        <w:t>v.</w:t>
      </w:r>
    </w:p>
    <w:p w14:paraId="79F62CA2" w14:textId="77777777" w:rsidR="00614291" w:rsidRPr="00614291" w:rsidRDefault="00614291" w:rsidP="00614291">
      <w:pPr>
        <w:tabs>
          <w:tab w:val="right" w:pos="8222"/>
        </w:tabs>
        <w:spacing w:after="720"/>
        <w:rPr>
          <w:rFonts w:eastAsia="Times New Roman" w:cs="Times New Roman"/>
          <w:b/>
          <w:szCs w:val="20"/>
          <w:lang w:eastAsia="en-CA"/>
        </w:rPr>
      </w:pPr>
      <w:r w:rsidRPr="00614291">
        <w:rPr>
          <w:rFonts w:eastAsia="Times New Roman" w:cs="Times New Roman"/>
          <w:b/>
          <w:szCs w:val="20"/>
          <w:lang w:eastAsia="en-CA"/>
        </w:rPr>
        <w:t>Her Majesty The Queen</w:t>
      </w:r>
      <w:r w:rsidRPr="00614291">
        <w:rPr>
          <w:rFonts w:eastAsia="Times New Roman" w:cs="Times New Roman"/>
          <w:i/>
          <w:szCs w:val="20"/>
          <w:lang w:eastAsia="en-CA"/>
        </w:rPr>
        <w:tab/>
        <w:t>Respondent</w:t>
      </w:r>
    </w:p>
    <w:p w14:paraId="741B3B1C" w14:textId="77777777" w:rsidR="00614291" w:rsidRPr="00614291" w:rsidRDefault="00614291" w:rsidP="00614291">
      <w:pPr>
        <w:spacing w:after="720"/>
        <w:rPr>
          <w:rFonts w:eastAsia="Times New Roman" w:cs="Times New Roman"/>
          <w:szCs w:val="20"/>
          <w:lang w:eastAsia="en-CA"/>
        </w:rPr>
      </w:pPr>
      <w:r w:rsidRPr="00614291">
        <w:rPr>
          <w:rFonts w:eastAsia="Times New Roman" w:cs="Times New Roman"/>
          <w:szCs w:val="20"/>
          <w:lang w:eastAsia="en-CA"/>
        </w:rPr>
        <w:t>and</w:t>
      </w:r>
    </w:p>
    <w:p w14:paraId="53B78F8A" w14:textId="77777777" w:rsidR="00614291" w:rsidRPr="00614291" w:rsidRDefault="00614291" w:rsidP="00614291">
      <w:pPr>
        <w:tabs>
          <w:tab w:val="right" w:pos="8222"/>
        </w:tabs>
        <w:spacing w:after="720"/>
        <w:rPr>
          <w:rFonts w:eastAsia="Times New Roman" w:cs="Times New Roman"/>
          <w:i/>
          <w:szCs w:val="20"/>
          <w:lang w:eastAsia="en-CA"/>
        </w:rPr>
      </w:pPr>
      <w:r w:rsidRPr="00614291">
        <w:rPr>
          <w:rFonts w:eastAsia="Times New Roman" w:cs="Times New Roman"/>
          <w:b/>
          <w:szCs w:val="20"/>
          <w:lang w:eastAsia="en-CA"/>
        </w:rPr>
        <w:t>Director of Public Prosecutions</w:t>
      </w:r>
      <w:r w:rsidRPr="00614291">
        <w:rPr>
          <w:rFonts w:eastAsia="Times New Roman" w:cs="Times New Roman"/>
          <w:i/>
          <w:szCs w:val="20"/>
          <w:lang w:eastAsia="en-CA"/>
        </w:rPr>
        <w:tab/>
        <w:t>Intervener</w:t>
      </w:r>
    </w:p>
    <w:p w14:paraId="440A9067" w14:textId="77777777" w:rsidR="00614291" w:rsidRPr="00614291" w:rsidRDefault="00614291" w:rsidP="00614291">
      <w:pPr>
        <w:spacing w:after="720"/>
        <w:jc w:val="both"/>
        <w:rPr>
          <w:rFonts w:eastAsia="Times New Roman" w:cs="Times New Roman"/>
          <w:b/>
          <w:szCs w:val="20"/>
          <w:lang w:eastAsia="en-CA"/>
        </w:rPr>
      </w:pPr>
      <w:r w:rsidRPr="00614291">
        <w:rPr>
          <w:rFonts w:eastAsia="Times New Roman" w:cs="Times New Roman"/>
          <w:b/>
          <w:szCs w:val="20"/>
          <w:lang w:eastAsia="en-CA"/>
        </w:rPr>
        <w:t xml:space="preserve">Indexed as: R. </w:t>
      </w:r>
      <w:r w:rsidRPr="00614291">
        <w:rPr>
          <w:rFonts w:eastAsia="Times New Roman" w:cs="Times New Roman"/>
          <w:b/>
          <w:i/>
          <w:szCs w:val="20"/>
          <w:lang w:eastAsia="en-CA"/>
        </w:rPr>
        <w:t>v.</w:t>
      </w:r>
      <w:r w:rsidRPr="00614291">
        <w:rPr>
          <w:rFonts w:eastAsia="Times New Roman" w:cs="Times New Roman"/>
          <w:b/>
          <w:szCs w:val="20"/>
          <w:lang w:eastAsia="en-CA"/>
        </w:rPr>
        <w:t xml:space="preserve"> A.E.</w:t>
      </w:r>
    </w:p>
    <w:p w14:paraId="64528F24" w14:textId="77777777" w:rsidR="00614291" w:rsidRPr="00614291" w:rsidRDefault="00614291" w:rsidP="00614291">
      <w:pPr>
        <w:spacing w:after="720"/>
        <w:jc w:val="both"/>
        <w:rPr>
          <w:rFonts w:eastAsia="Times New Roman" w:cs="Times New Roman"/>
          <w:b/>
          <w:szCs w:val="20"/>
          <w:lang w:eastAsia="en-CA"/>
        </w:rPr>
      </w:pPr>
      <w:r w:rsidRPr="00614291">
        <w:rPr>
          <w:rFonts w:eastAsia="Times New Roman" w:cs="Times New Roman"/>
          <w:b/>
          <w:szCs w:val="20"/>
          <w:lang w:eastAsia="en-CA"/>
        </w:rPr>
        <w:t>2022 SCC 4</w:t>
      </w:r>
    </w:p>
    <w:p w14:paraId="4E4A3C1B" w14:textId="77777777" w:rsidR="00614291" w:rsidRPr="00614291" w:rsidRDefault="00614291" w:rsidP="00614291">
      <w:pPr>
        <w:spacing w:after="720"/>
        <w:jc w:val="both"/>
        <w:rPr>
          <w:rFonts w:eastAsia="Times New Roman" w:cs="Times New Roman"/>
          <w:szCs w:val="20"/>
          <w:lang w:eastAsia="en-CA"/>
        </w:rPr>
      </w:pPr>
      <w:r w:rsidRPr="00614291">
        <w:rPr>
          <w:rFonts w:eastAsia="Times New Roman" w:cs="Times New Roman"/>
          <w:szCs w:val="20"/>
          <w:lang w:eastAsia="en-CA"/>
        </w:rPr>
        <w:t xml:space="preserve">File Nos.: 39699, </w:t>
      </w:r>
      <w:r w:rsidRPr="00614291">
        <w:rPr>
          <w:rFonts w:eastAsia="Times New Roman" w:cs="Times New Roman"/>
          <w:szCs w:val="20"/>
          <w:lang w:val="en-US" w:eastAsia="en-CA"/>
        </w:rPr>
        <w:t>39703</w:t>
      </w:r>
      <w:r w:rsidRPr="00614291">
        <w:rPr>
          <w:rFonts w:eastAsia="Times New Roman" w:cs="Times New Roman"/>
          <w:szCs w:val="20"/>
          <w:lang w:eastAsia="en-CA"/>
        </w:rPr>
        <w:t>.</w:t>
      </w:r>
    </w:p>
    <w:p w14:paraId="10F0C475" w14:textId="77777777" w:rsidR="00614291" w:rsidRPr="00614291" w:rsidRDefault="00614291" w:rsidP="00614291">
      <w:pPr>
        <w:spacing w:after="720"/>
        <w:jc w:val="both"/>
        <w:rPr>
          <w:rFonts w:eastAsia="Times New Roman" w:cs="Times New Roman"/>
          <w:szCs w:val="20"/>
          <w:lang w:eastAsia="en-CA"/>
        </w:rPr>
      </w:pPr>
      <w:r w:rsidRPr="00614291">
        <w:rPr>
          <w:rFonts w:eastAsia="Times New Roman" w:cs="Times New Roman"/>
          <w:szCs w:val="20"/>
          <w:lang w:eastAsia="en-CA"/>
        </w:rPr>
        <w:t>2022: February 15.</w:t>
      </w:r>
    </w:p>
    <w:p w14:paraId="7FAD7E83" w14:textId="77777777" w:rsidR="00614291" w:rsidRPr="00614291" w:rsidRDefault="00614291" w:rsidP="00614291">
      <w:pPr>
        <w:spacing w:after="720"/>
        <w:jc w:val="both"/>
        <w:rPr>
          <w:rFonts w:eastAsia="Times New Roman" w:cs="Times New Roman"/>
          <w:szCs w:val="20"/>
          <w:lang w:eastAsia="en-CA"/>
        </w:rPr>
      </w:pPr>
      <w:r w:rsidRPr="00614291">
        <w:rPr>
          <w:rFonts w:eastAsia="Times New Roman" w:cs="Times New Roman"/>
          <w:szCs w:val="20"/>
          <w:lang w:eastAsia="en-CA"/>
        </w:rPr>
        <w:t>Present: Wagner C.J. and Moldaver, Karakatsanis, Côté, Brown, Rowe, Martin, Kasirer and Jamal JJ.</w:t>
      </w:r>
    </w:p>
    <w:p w14:paraId="3DDB68C4" w14:textId="77777777" w:rsidR="00614291" w:rsidRPr="00614291" w:rsidRDefault="00614291" w:rsidP="00614291">
      <w:pPr>
        <w:tabs>
          <w:tab w:val="left" w:pos="1168"/>
        </w:tabs>
        <w:spacing w:after="720"/>
        <w:jc w:val="both"/>
        <w:rPr>
          <w:rFonts w:eastAsia="Times New Roman" w:cs="Times New Roman"/>
          <w:smallCaps/>
          <w:szCs w:val="20"/>
          <w:lang w:eastAsia="en-CA"/>
        </w:rPr>
      </w:pPr>
      <w:r w:rsidRPr="00614291">
        <w:rPr>
          <w:rFonts w:eastAsia="Times New Roman" w:cs="Times New Roman"/>
          <w:smallCaps/>
          <w:szCs w:val="20"/>
          <w:lang w:eastAsia="en-CA"/>
        </w:rPr>
        <w:t>on appeal from the court of appeal of alberta</w:t>
      </w:r>
    </w:p>
    <w:p w14:paraId="254F06BD" w14:textId="77777777" w:rsidR="00614291" w:rsidRPr="00614291" w:rsidRDefault="00614291" w:rsidP="00614291">
      <w:pPr>
        <w:tabs>
          <w:tab w:val="left" w:pos="1168"/>
        </w:tabs>
        <w:spacing w:after="480" w:line="480" w:lineRule="auto"/>
        <w:jc w:val="both"/>
        <w:rPr>
          <w:rFonts w:eastAsia="Times New Roman" w:cs="Times New Roman"/>
          <w:i/>
          <w:iCs/>
          <w:szCs w:val="20"/>
          <w:lang w:val="en-US" w:eastAsia="en-CA"/>
        </w:rPr>
      </w:pPr>
      <w:r w:rsidRPr="00614291">
        <w:rPr>
          <w:rFonts w:eastAsia="Times New Roman" w:cs="Times New Roman"/>
          <w:szCs w:val="20"/>
          <w:lang w:eastAsia="en-CA"/>
        </w:rPr>
        <w:tab/>
      </w:r>
      <w:r w:rsidRPr="00614291">
        <w:rPr>
          <w:rFonts w:eastAsia="Times New Roman" w:cs="Times New Roman"/>
          <w:i/>
          <w:szCs w:val="20"/>
          <w:lang w:val="en-US" w:eastAsia="en-CA"/>
        </w:rPr>
        <w:t>Criminal law — Sexual assault — Consent — Accused charged with</w:t>
      </w:r>
      <w:r w:rsidRPr="00614291">
        <w:rPr>
          <w:rFonts w:eastAsia="Times New Roman" w:cs="Times New Roman"/>
          <w:szCs w:val="20"/>
          <w:lang w:val="en-US" w:eastAsia="en-CA"/>
        </w:rPr>
        <w:t xml:space="preserve"> </w:t>
      </w:r>
      <w:r w:rsidRPr="00614291">
        <w:rPr>
          <w:rFonts w:eastAsia="Times New Roman" w:cs="Times New Roman"/>
          <w:i/>
          <w:szCs w:val="20"/>
          <w:lang w:val="en-US" w:eastAsia="en-CA"/>
        </w:rPr>
        <w:t xml:space="preserve">sexual assault and sexual assault with weapon after they both engaged in group sexual activity with complainant and other individual — Trial judge rejecting complainant’s evidence that she did not consent to sexual activity and acquitting both accused of sexual assault charges but convicting one accused of sexual assault with weapon charge on basis that complainant did not consent to use of weapon — Court of Appeal setting aside acquittals and entering convictions for sexual assault — </w:t>
      </w:r>
      <w:r w:rsidRPr="00614291">
        <w:rPr>
          <w:rFonts w:eastAsia="Times New Roman" w:cs="Times New Roman"/>
          <w:i/>
          <w:iCs/>
          <w:szCs w:val="20"/>
          <w:lang w:val="en-US" w:eastAsia="en-CA"/>
        </w:rPr>
        <w:t>Convictions upheld.</w:t>
      </w:r>
    </w:p>
    <w:p w14:paraId="63C24AD6" w14:textId="77777777" w:rsidR="00614291" w:rsidRPr="00614291" w:rsidRDefault="00614291" w:rsidP="00614291">
      <w:pPr>
        <w:tabs>
          <w:tab w:val="left" w:pos="1168"/>
        </w:tabs>
        <w:spacing w:after="480" w:line="480" w:lineRule="auto"/>
        <w:jc w:val="both"/>
        <w:rPr>
          <w:rFonts w:eastAsia="Times New Roman" w:cs="Times New Roman"/>
          <w:i/>
          <w:szCs w:val="20"/>
          <w:lang w:val="en-US" w:eastAsia="en-CA"/>
        </w:rPr>
      </w:pPr>
      <w:r w:rsidRPr="00614291">
        <w:rPr>
          <w:rFonts w:eastAsia="Times New Roman" w:cs="Times New Roman"/>
          <w:i/>
          <w:iCs/>
          <w:szCs w:val="20"/>
          <w:lang w:val="en-US" w:eastAsia="en-CA"/>
        </w:rPr>
        <w:tab/>
        <w:t>Criminal law — Appeals — Powers of Court of Appeal — Substituted conviction —</w:t>
      </w:r>
      <w:r w:rsidRPr="00614291">
        <w:rPr>
          <w:rFonts w:eastAsia="Times New Roman" w:cs="Times New Roman"/>
          <w:szCs w:val="20"/>
          <w:lang w:eastAsia="en-CA"/>
        </w:rPr>
        <w:t xml:space="preserve"> </w:t>
      </w:r>
      <w:r w:rsidRPr="00614291">
        <w:rPr>
          <w:rFonts w:eastAsia="Times New Roman" w:cs="Times New Roman"/>
          <w:i/>
          <w:szCs w:val="20"/>
          <w:lang w:eastAsia="en-CA"/>
        </w:rPr>
        <w:t xml:space="preserve">Accused acquitted of sexual assault charges at trial </w:t>
      </w:r>
      <w:r w:rsidRPr="00614291">
        <w:rPr>
          <w:rFonts w:eastAsia="Times New Roman" w:cs="Times New Roman"/>
          <w:i/>
          <w:iCs/>
          <w:szCs w:val="20"/>
          <w:lang w:val="en-US" w:eastAsia="en-CA"/>
        </w:rPr>
        <w:t xml:space="preserve">— Court of Appeal setting aside acquittals and entering convictions — Substituted convictions permitted — Convictions upheld — </w:t>
      </w:r>
      <w:r w:rsidRPr="00614291">
        <w:rPr>
          <w:rFonts w:eastAsia="Times New Roman" w:cs="Times New Roman"/>
          <w:i/>
          <w:szCs w:val="20"/>
          <w:lang w:eastAsia="en-CA"/>
        </w:rPr>
        <w:t>Criminal Code, R.S.C. 1985, c. C</w:t>
      </w:r>
      <w:r w:rsidRPr="00614291">
        <w:rPr>
          <w:rFonts w:eastAsia="Times New Roman" w:cs="Times New Roman"/>
          <w:i/>
          <w:szCs w:val="20"/>
          <w:lang w:eastAsia="en-CA"/>
        </w:rPr>
        <w:noBreakHyphen/>
        <w:t>46</w:t>
      </w:r>
      <w:r w:rsidRPr="00614291">
        <w:rPr>
          <w:rFonts w:eastAsia="Times New Roman" w:cs="Times New Roman"/>
          <w:i/>
          <w:iCs/>
          <w:szCs w:val="20"/>
          <w:lang w:val="en-US" w:eastAsia="en-CA"/>
        </w:rPr>
        <w:t>, s. 686(4)(b)(ii)</w:t>
      </w:r>
      <w:r w:rsidRPr="00614291">
        <w:rPr>
          <w:rFonts w:eastAsia="Times New Roman" w:cs="Times New Roman"/>
          <w:szCs w:val="20"/>
          <w:lang w:eastAsia="en-CA"/>
        </w:rPr>
        <w:t>.</w:t>
      </w:r>
    </w:p>
    <w:p w14:paraId="2FBDED34" w14:textId="77777777" w:rsidR="00614291" w:rsidRPr="00614291" w:rsidRDefault="00614291" w:rsidP="00614291">
      <w:pPr>
        <w:widowControl w:val="0"/>
        <w:tabs>
          <w:tab w:val="left" w:pos="1168"/>
        </w:tabs>
        <w:spacing w:after="720"/>
        <w:jc w:val="both"/>
        <w:rPr>
          <w:rFonts w:eastAsia="Times New Roman" w:cs="Times New Roman"/>
          <w:b/>
          <w:szCs w:val="20"/>
          <w:lang w:eastAsia="en-CA"/>
        </w:rPr>
      </w:pPr>
      <w:r w:rsidRPr="00614291">
        <w:rPr>
          <w:rFonts w:eastAsia="Times New Roman" w:cs="Times New Roman"/>
          <w:b/>
          <w:szCs w:val="20"/>
          <w:lang w:eastAsia="en-CA"/>
        </w:rPr>
        <w:t>Cases Cited</w:t>
      </w:r>
    </w:p>
    <w:p w14:paraId="2441A83A" w14:textId="77777777" w:rsidR="00614291" w:rsidRPr="00614291" w:rsidRDefault="00614291" w:rsidP="00614291">
      <w:pPr>
        <w:widowControl w:val="0"/>
        <w:tabs>
          <w:tab w:val="left" w:pos="1168"/>
        </w:tabs>
        <w:spacing w:after="480" w:line="480" w:lineRule="auto"/>
        <w:jc w:val="both"/>
        <w:rPr>
          <w:rFonts w:eastAsia="Times New Roman" w:cs="Times New Roman"/>
          <w:szCs w:val="20"/>
          <w:lang w:eastAsia="en-CA"/>
        </w:rPr>
      </w:pPr>
      <w:r w:rsidRPr="00614291">
        <w:rPr>
          <w:rFonts w:eastAsia="Times New Roman" w:cs="Times New Roman"/>
          <w:szCs w:val="20"/>
          <w:lang w:eastAsia="en-CA"/>
        </w:rPr>
        <w:tab/>
      </w:r>
      <w:r w:rsidRPr="00614291">
        <w:rPr>
          <w:rFonts w:eastAsia="Times New Roman" w:cs="Times New Roman"/>
          <w:b/>
          <w:szCs w:val="20"/>
          <w:lang w:eastAsia="en-CA"/>
        </w:rPr>
        <w:t xml:space="preserve">Applied: </w:t>
      </w:r>
      <w:r w:rsidRPr="00614291">
        <w:rPr>
          <w:rFonts w:eastAsia="Times New Roman" w:cs="Times New Roman"/>
          <w:i/>
          <w:szCs w:val="20"/>
          <w:lang w:eastAsia="en-CA"/>
        </w:rPr>
        <w:t>R. v. Cassidy</w:t>
      </w:r>
      <w:r w:rsidRPr="00614291">
        <w:rPr>
          <w:rFonts w:eastAsia="Times New Roman" w:cs="Times New Roman"/>
          <w:szCs w:val="20"/>
          <w:lang w:eastAsia="en-CA"/>
        </w:rPr>
        <w:t xml:space="preserve">, [1989] 2 S.C.R. 345; </w:t>
      </w:r>
      <w:r w:rsidRPr="00614291">
        <w:rPr>
          <w:rFonts w:eastAsia="Times New Roman" w:cs="Times New Roman"/>
          <w:b/>
          <w:szCs w:val="20"/>
          <w:lang w:eastAsia="en-CA"/>
        </w:rPr>
        <w:t>referred to:</w:t>
      </w:r>
      <w:r w:rsidRPr="00614291">
        <w:rPr>
          <w:rFonts w:eastAsia="Times New Roman" w:cs="Times New Roman"/>
          <w:szCs w:val="20"/>
          <w:lang w:eastAsia="en-CA"/>
        </w:rPr>
        <w:t xml:space="preserve"> </w:t>
      </w:r>
      <w:r w:rsidRPr="00614291">
        <w:rPr>
          <w:rFonts w:eastAsia="Times New Roman" w:cs="Times New Roman"/>
          <w:i/>
          <w:szCs w:val="20"/>
          <w:lang w:eastAsia="en-CA"/>
        </w:rPr>
        <w:t>R. v. Barton</w:t>
      </w:r>
      <w:r w:rsidRPr="00614291">
        <w:rPr>
          <w:rFonts w:eastAsia="Times New Roman" w:cs="Times New Roman"/>
          <w:szCs w:val="20"/>
          <w:lang w:eastAsia="en-CA"/>
        </w:rPr>
        <w:t>, 2019 SCC 33,</w:t>
      </w:r>
      <w:r w:rsidRPr="00614291">
        <w:rPr>
          <w:rFonts w:cs="Times New Roman"/>
          <w:color w:val="000000"/>
          <w:szCs w:val="20"/>
          <w:lang w:eastAsia="en-CA"/>
        </w:rPr>
        <w:t xml:space="preserve"> </w:t>
      </w:r>
      <w:r w:rsidRPr="00614291">
        <w:rPr>
          <w:rFonts w:eastAsia="Times New Roman" w:cs="Times New Roman"/>
          <w:szCs w:val="20"/>
          <w:lang w:eastAsia="en-CA"/>
        </w:rPr>
        <w:t xml:space="preserve">[2019] 2 S.C.R. 579; </w:t>
      </w:r>
      <w:r w:rsidRPr="00614291">
        <w:rPr>
          <w:rFonts w:eastAsia="Times New Roman" w:cs="Times New Roman"/>
          <w:i/>
          <w:szCs w:val="20"/>
          <w:lang w:val="en-US" w:eastAsia="en-CA"/>
        </w:rPr>
        <w:t>R. v. Hutchinson</w:t>
      </w:r>
      <w:r w:rsidRPr="00614291">
        <w:rPr>
          <w:rFonts w:eastAsia="Times New Roman" w:cs="Times New Roman"/>
          <w:szCs w:val="20"/>
          <w:lang w:val="en-US" w:eastAsia="en-CA"/>
        </w:rPr>
        <w:t xml:space="preserve">, 2014 SCC 19, </w:t>
      </w:r>
      <w:r w:rsidRPr="00614291">
        <w:rPr>
          <w:rFonts w:eastAsia="Times New Roman" w:cs="Times New Roman"/>
          <w:szCs w:val="20"/>
          <w:lang w:eastAsia="en-CA"/>
        </w:rPr>
        <w:t xml:space="preserve">[2014] 1 S.C.R. 346; </w:t>
      </w:r>
      <w:r w:rsidRPr="00614291">
        <w:rPr>
          <w:rFonts w:eastAsia="Times New Roman" w:cs="Times New Roman"/>
          <w:i/>
          <w:szCs w:val="20"/>
          <w:lang w:eastAsia="en-CA"/>
        </w:rPr>
        <w:t>Kienapple v. The Queen</w:t>
      </w:r>
      <w:r w:rsidRPr="00614291">
        <w:rPr>
          <w:rFonts w:eastAsia="Times New Roman" w:cs="Times New Roman"/>
          <w:szCs w:val="20"/>
          <w:lang w:eastAsia="en-CA"/>
        </w:rPr>
        <w:t xml:space="preserve">, [1975] 1 S.C.R. 729; </w:t>
      </w:r>
      <w:r w:rsidRPr="00614291">
        <w:rPr>
          <w:rFonts w:eastAsia="Times New Roman" w:cs="Times New Roman"/>
          <w:i/>
          <w:szCs w:val="20"/>
          <w:lang w:eastAsia="en-CA"/>
        </w:rPr>
        <w:t>R. v. M. (R.)</w:t>
      </w:r>
      <w:r w:rsidRPr="00614291">
        <w:rPr>
          <w:rFonts w:eastAsia="Times New Roman" w:cs="Times New Roman"/>
          <w:szCs w:val="20"/>
          <w:lang w:eastAsia="en-CA"/>
        </w:rPr>
        <w:t>, 2020 ONCA 231, 150 O.R. (3d) 369.</w:t>
      </w:r>
    </w:p>
    <w:p w14:paraId="05DF85BA" w14:textId="77777777" w:rsidR="00614291" w:rsidRPr="00614291" w:rsidRDefault="00614291" w:rsidP="00614291">
      <w:pPr>
        <w:tabs>
          <w:tab w:val="left" w:pos="1168"/>
        </w:tabs>
        <w:spacing w:after="720"/>
        <w:jc w:val="both"/>
        <w:rPr>
          <w:rFonts w:eastAsia="Times New Roman" w:cs="Times New Roman"/>
          <w:szCs w:val="20"/>
          <w:lang w:eastAsia="en-CA"/>
        </w:rPr>
      </w:pPr>
      <w:r w:rsidRPr="00614291">
        <w:rPr>
          <w:rFonts w:eastAsia="Times New Roman" w:cs="Times New Roman"/>
          <w:b/>
          <w:szCs w:val="20"/>
          <w:lang w:eastAsia="en-CA"/>
        </w:rPr>
        <w:t>Statutes and Regulations Cited</w:t>
      </w:r>
    </w:p>
    <w:p w14:paraId="6B19DD13" w14:textId="77777777" w:rsidR="00614291" w:rsidRPr="00614291" w:rsidRDefault="00614291" w:rsidP="00614291">
      <w:pPr>
        <w:tabs>
          <w:tab w:val="left" w:pos="1168"/>
        </w:tabs>
        <w:spacing w:after="720"/>
        <w:ind w:left="547" w:hanging="547"/>
        <w:jc w:val="both"/>
        <w:rPr>
          <w:rFonts w:eastAsia="Times New Roman" w:cs="Times New Roman"/>
          <w:szCs w:val="20"/>
          <w:lang w:val="en-US" w:eastAsia="en-CA"/>
        </w:rPr>
      </w:pPr>
      <w:r w:rsidRPr="00614291">
        <w:rPr>
          <w:rFonts w:eastAsia="Times New Roman" w:cs="Times New Roman"/>
          <w:i/>
          <w:szCs w:val="20"/>
          <w:lang w:val="en-US" w:eastAsia="en-CA"/>
        </w:rPr>
        <w:t>Criminal Code</w:t>
      </w:r>
      <w:r w:rsidRPr="00614291">
        <w:rPr>
          <w:rFonts w:eastAsia="Times New Roman" w:cs="Times New Roman"/>
          <w:szCs w:val="20"/>
          <w:lang w:val="en-US" w:eastAsia="en-CA"/>
        </w:rPr>
        <w:t>, R.S.C. 1985, c. C</w:t>
      </w:r>
      <w:r w:rsidRPr="00614291">
        <w:rPr>
          <w:rFonts w:eastAsia="Times New Roman" w:cs="Times New Roman"/>
          <w:szCs w:val="20"/>
          <w:lang w:val="en-US" w:eastAsia="en-CA"/>
        </w:rPr>
        <w:noBreakHyphen/>
        <w:t>46, ss. 273.2(b), 686(4)(b)(ii).</w:t>
      </w:r>
    </w:p>
    <w:p w14:paraId="5A431E0F" w14:textId="77777777" w:rsidR="00614291" w:rsidRPr="00614291" w:rsidRDefault="00614291" w:rsidP="00614291">
      <w:pPr>
        <w:tabs>
          <w:tab w:val="left" w:pos="1168"/>
        </w:tabs>
        <w:spacing w:after="480" w:line="480" w:lineRule="auto"/>
        <w:jc w:val="both"/>
        <w:rPr>
          <w:rFonts w:eastAsia="Times New Roman" w:cs="Times New Roman"/>
          <w:szCs w:val="20"/>
          <w:lang w:val="en-US" w:eastAsia="en-CA"/>
        </w:rPr>
      </w:pPr>
      <w:r w:rsidRPr="00614291">
        <w:rPr>
          <w:rFonts w:eastAsia="Times New Roman" w:cs="Times New Roman"/>
          <w:szCs w:val="20"/>
          <w:lang w:val="en-US" w:eastAsia="en-CA"/>
        </w:rPr>
        <w:tab/>
      </w:r>
      <w:r w:rsidRPr="00614291">
        <w:rPr>
          <w:rFonts w:eastAsia="Times New Roman" w:cs="Times New Roman"/>
          <w:szCs w:val="20"/>
          <w:lang w:eastAsia="en-CA"/>
        </w:rPr>
        <w:t>APPEALS from a judgment of the Alberta Court of Appeal (</w:t>
      </w:r>
      <w:r w:rsidRPr="00614291">
        <w:rPr>
          <w:rFonts w:eastAsia="Times New Roman" w:cs="Times New Roman"/>
          <w:szCs w:val="20"/>
          <w:lang w:val="en-US" w:eastAsia="en-CA"/>
        </w:rPr>
        <w:t>Martin, O’Ferrall and Pentelechuk JJ.A.</w:t>
      </w:r>
      <w:r w:rsidRPr="00614291">
        <w:rPr>
          <w:rFonts w:eastAsia="Times New Roman" w:cs="Times New Roman"/>
          <w:szCs w:val="20"/>
          <w:lang w:eastAsia="en-CA"/>
        </w:rPr>
        <w:t xml:space="preserve">), </w:t>
      </w:r>
      <w:hyperlink r:id="rId10" w:history="1">
        <w:r w:rsidRPr="00614291">
          <w:rPr>
            <w:rFonts w:eastAsia="Times New Roman" w:cs="Times New Roman"/>
            <w:color w:val="660000"/>
            <w:szCs w:val="20"/>
            <w:lang w:val="en-US" w:eastAsia="en-CA"/>
          </w:rPr>
          <w:t>2021 ABCA 172</w:t>
        </w:r>
      </w:hyperlink>
      <w:r w:rsidRPr="00614291">
        <w:rPr>
          <w:rFonts w:eastAsia="Times New Roman" w:cs="Times New Roman"/>
          <w:szCs w:val="20"/>
          <w:lang w:val="en-US" w:eastAsia="en-CA"/>
        </w:rPr>
        <w:t>, 27 Alta. L.R. (7th) 1, 466 D.L.R. (4th) 226, [2021] A.J. No. 654 (QL), 2021 CarswellAlta 1181 (WL),</w:t>
      </w:r>
      <w:r w:rsidRPr="00614291">
        <w:rPr>
          <w:rFonts w:eastAsia="Times New Roman" w:cs="Times New Roman"/>
          <w:szCs w:val="20"/>
          <w:lang w:eastAsia="en-CA"/>
        </w:rPr>
        <w:t xml:space="preserve"> setting aside the acquittals of the accused, entering convictions for sexual assault and remitting the matters for sentencing. Appeals dismissed.</w:t>
      </w:r>
    </w:p>
    <w:p w14:paraId="5BE4FE8A" w14:textId="77777777" w:rsidR="00614291" w:rsidRPr="00614291" w:rsidRDefault="00614291" w:rsidP="00614291">
      <w:pPr>
        <w:tabs>
          <w:tab w:val="left" w:pos="1168"/>
        </w:tabs>
        <w:spacing w:after="480" w:line="480" w:lineRule="auto"/>
        <w:jc w:val="both"/>
        <w:rPr>
          <w:rFonts w:eastAsia="Times New Roman" w:cs="Times New Roman"/>
          <w:szCs w:val="20"/>
          <w:lang w:eastAsia="en-CA"/>
        </w:rPr>
      </w:pPr>
      <w:r w:rsidRPr="00614291">
        <w:rPr>
          <w:rFonts w:eastAsia="Times New Roman" w:cs="Times New Roman"/>
          <w:i/>
          <w:szCs w:val="20"/>
          <w:lang w:eastAsia="en-CA"/>
        </w:rPr>
        <w:tab/>
        <w:t>Andrea Serink</w:t>
      </w:r>
      <w:r w:rsidRPr="00614291">
        <w:rPr>
          <w:rFonts w:eastAsia="Times New Roman" w:cs="Times New Roman"/>
          <w:szCs w:val="20"/>
          <w:lang w:eastAsia="en-CA"/>
        </w:rPr>
        <w:t xml:space="preserve"> and </w:t>
      </w:r>
      <w:r w:rsidRPr="00614291">
        <w:rPr>
          <w:rFonts w:eastAsia="Times New Roman" w:cs="Times New Roman"/>
          <w:i/>
          <w:szCs w:val="20"/>
          <w:lang w:eastAsia="en-CA"/>
        </w:rPr>
        <w:t>Alias Sanders</w:t>
      </w:r>
      <w:r w:rsidRPr="00614291">
        <w:rPr>
          <w:rFonts w:eastAsia="Times New Roman" w:cs="Times New Roman"/>
          <w:szCs w:val="20"/>
          <w:lang w:eastAsia="en-CA"/>
        </w:rPr>
        <w:t>, for the appellant A.E.</w:t>
      </w:r>
    </w:p>
    <w:p w14:paraId="7B05CCD8" w14:textId="77777777" w:rsidR="00614291" w:rsidRPr="00614291" w:rsidRDefault="00614291" w:rsidP="00614291">
      <w:pPr>
        <w:tabs>
          <w:tab w:val="left" w:pos="1168"/>
        </w:tabs>
        <w:spacing w:after="480" w:line="480" w:lineRule="auto"/>
        <w:jc w:val="both"/>
        <w:rPr>
          <w:rFonts w:eastAsia="Times New Roman" w:cs="Times New Roman"/>
          <w:szCs w:val="20"/>
          <w:lang w:val="en-US" w:eastAsia="en-CA"/>
        </w:rPr>
      </w:pPr>
      <w:r w:rsidRPr="00614291">
        <w:rPr>
          <w:rFonts w:eastAsia="Times New Roman" w:cs="Times New Roman"/>
          <w:i/>
          <w:szCs w:val="20"/>
          <w:lang w:val="en-US" w:eastAsia="en-CA"/>
        </w:rPr>
        <w:tab/>
        <w:t>Balfour Q. H. Der</w:t>
      </w:r>
      <w:r w:rsidRPr="00614291">
        <w:rPr>
          <w:rFonts w:eastAsia="Times New Roman" w:cs="Times New Roman"/>
          <w:szCs w:val="20"/>
          <w:lang w:val="en-US" w:eastAsia="en-CA"/>
        </w:rPr>
        <w:t>,</w:t>
      </w:r>
      <w:r w:rsidRPr="00614291">
        <w:rPr>
          <w:rFonts w:eastAsia="Times New Roman" w:cs="Times New Roman"/>
          <w:i/>
          <w:szCs w:val="20"/>
          <w:lang w:val="en-US" w:eastAsia="en-CA"/>
        </w:rPr>
        <w:t xml:space="preserve"> Q.C.</w:t>
      </w:r>
      <w:r w:rsidRPr="00614291">
        <w:rPr>
          <w:rFonts w:eastAsia="Times New Roman" w:cs="Times New Roman"/>
          <w:szCs w:val="20"/>
          <w:lang w:val="en-US" w:eastAsia="en-CA"/>
        </w:rPr>
        <w:t xml:space="preserve">, </w:t>
      </w:r>
      <w:r w:rsidRPr="00614291">
        <w:rPr>
          <w:rFonts w:eastAsia="Times New Roman" w:cs="Times New Roman"/>
          <w:i/>
          <w:szCs w:val="20"/>
          <w:lang w:val="en-US" w:eastAsia="en-CA"/>
        </w:rPr>
        <w:t>James F. McLeod</w:t>
      </w:r>
      <w:r w:rsidRPr="00614291">
        <w:rPr>
          <w:rFonts w:eastAsia="Times New Roman" w:cs="Times New Roman"/>
          <w:szCs w:val="20"/>
          <w:lang w:val="en-US" w:eastAsia="en-CA"/>
        </w:rPr>
        <w:t xml:space="preserve"> and </w:t>
      </w:r>
      <w:r w:rsidRPr="00614291">
        <w:rPr>
          <w:rFonts w:eastAsia="Times New Roman" w:cs="Times New Roman"/>
          <w:i/>
          <w:szCs w:val="20"/>
          <w:lang w:val="en-US" w:eastAsia="en-CA"/>
        </w:rPr>
        <w:t>David A. S. Roper</w:t>
      </w:r>
      <w:r w:rsidRPr="00614291">
        <w:rPr>
          <w:rFonts w:eastAsia="Times New Roman" w:cs="Times New Roman"/>
          <w:szCs w:val="20"/>
          <w:lang w:val="en-US" w:eastAsia="en-CA"/>
        </w:rPr>
        <w:t>, for the appellant T.C.F.</w:t>
      </w:r>
    </w:p>
    <w:p w14:paraId="28907D12" w14:textId="77777777" w:rsidR="00614291" w:rsidRPr="00614291" w:rsidRDefault="00614291" w:rsidP="00614291">
      <w:pPr>
        <w:tabs>
          <w:tab w:val="left" w:pos="1168"/>
        </w:tabs>
        <w:spacing w:after="480" w:line="480" w:lineRule="auto"/>
        <w:jc w:val="both"/>
        <w:rPr>
          <w:rFonts w:eastAsia="Times New Roman" w:cs="Times New Roman"/>
          <w:szCs w:val="20"/>
          <w:lang w:eastAsia="en-CA"/>
        </w:rPr>
      </w:pPr>
      <w:r w:rsidRPr="00614291">
        <w:rPr>
          <w:rFonts w:eastAsia="Times New Roman" w:cs="Times New Roman"/>
          <w:i/>
          <w:szCs w:val="20"/>
          <w:lang w:val="en-US" w:eastAsia="en-CA"/>
        </w:rPr>
        <w:tab/>
      </w:r>
      <w:r w:rsidRPr="00614291">
        <w:rPr>
          <w:rFonts w:eastAsia="Times New Roman" w:cs="Times New Roman"/>
          <w:i/>
          <w:szCs w:val="20"/>
          <w:lang w:eastAsia="en-CA"/>
        </w:rPr>
        <w:t>Andrew Barg</w:t>
      </w:r>
      <w:r w:rsidRPr="00614291">
        <w:rPr>
          <w:rFonts w:eastAsia="Times New Roman" w:cs="Times New Roman"/>
          <w:szCs w:val="20"/>
          <w:lang w:eastAsia="en-CA"/>
        </w:rPr>
        <w:t xml:space="preserve"> and </w:t>
      </w:r>
      <w:r w:rsidRPr="00614291">
        <w:rPr>
          <w:rFonts w:eastAsia="Times New Roman" w:cs="Times New Roman"/>
          <w:i/>
          <w:szCs w:val="20"/>
          <w:lang w:eastAsia="en-CA"/>
        </w:rPr>
        <w:t>Tom Spark</w:t>
      </w:r>
      <w:r w:rsidRPr="00614291">
        <w:rPr>
          <w:rFonts w:eastAsia="Times New Roman" w:cs="Times New Roman"/>
          <w:szCs w:val="20"/>
          <w:lang w:eastAsia="en-CA"/>
        </w:rPr>
        <w:t>, for the respondent.</w:t>
      </w:r>
    </w:p>
    <w:p w14:paraId="4A1AE618" w14:textId="77777777" w:rsidR="00614291" w:rsidRPr="00614291" w:rsidRDefault="00614291" w:rsidP="00614291">
      <w:pPr>
        <w:tabs>
          <w:tab w:val="left" w:pos="1168"/>
        </w:tabs>
        <w:spacing w:after="480" w:line="480" w:lineRule="auto"/>
        <w:jc w:val="both"/>
        <w:rPr>
          <w:rFonts w:eastAsia="Times New Roman" w:cs="Times New Roman"/>
          <w:szCs w:val="20"/>
          <w:lang w:eastAsia="en-CA"/>
        </w:rPr>
      </w:pPr>
      <w:r w:rsidRPr="00614291">
        <w:rPr>
          <w:rFonts w:eastAsia="Times New Roman" w:cs="Times New Roman"/>
          <w:i/>
          <w:szCs w:val="20"/>
          <w:lang w:eastAsia="en-CA"/>
        </w:rPr>
        <w:tab/>
        <w:t>Blair MacPherson</w:t>
      </w:r>
      <w:r w:rsidRPr="00614291">
        <w:rPr>
          <w:rFonts w:eastAsia="Times New Roman" w:cs="Times New Roman"/>
          <w:szCs w:val="20"/>
          <w:lang w:eastAsia="en-CA"/>
        </w:rPr>
        <w:t>, for the intervener.</w:t>
      </w:r>
    </w:p>
    <w:p w14:paraId="04F9F64C" w14:textId="77777777" w:rsidR="00614291" w:rsidRPr="00614291" w:rsidRDefault="00614291" w:rsidP="00614291">
      <w:pPr>
        <w:tabs>
          <w:tab w:val="left" w:pos="1168"/>
        </w:tabs>
        <w:spacing w:after="480" w:line="480" w:lineRule="auto"/>
        <w:jc w:val="both"/>
        <w:rPr>
          <w:rFonts w:eastAsia="Times New Roman" w:cs="Times New Roman"/>
          <w:szCs w:val="20"/>
          <w:lang w:eastAsia="en-CA"/>
        </w:rPr>
      </w:pPr>
      <w:r w:rsidRPr="00614291">
        <w:rPr>
          <w:rFonts w:eastAsia="Times New Roman" w:cs="Times New Roman"/>
          <w:i/>
          <w:szCs w:val="20"/>
          <w:lang w:eastAsia="en-CA"/>
        </w:rPr>
        <w:tab/>
      </w:r>
      <w:r w:rsidRPr="00614291">
        <w:rPr>
          <w:rFonts w:eastAsia="Times New Roman" w:cs="Times New Roman"/>
          <w:color w:val="000000"/>
          <w:szCs w:val="20"/>
          <w:lang w:eastAsia="en-CA"/>
        </w:rPr>
        <w:t>The judgment of the Court was delivered orally by</w:t>
      </w:r>
    </w:p>
    <w:p w14:paraId="046A7158" w14:textId="77777777" w:rsidR="00614291" w:rsidRPr="00614291" w:rsidRDefault="00614291" w:rsidP="00614291">
      <w:pPr>
        <w:tabs>
          <w:tab w:val="num" w:pos="1152"/>
        </w:tabs>
        <w:spacing w:after="480" w:line="480" w:lineRule="auto"/>
        <w:jc w:val="both"/>
        <w:rPr>
          <w:rFonts w:eastAsiaTheme="minorEastAsia"/>
          <w:i/>
          <w:szCs w:val="22"/>
        </w:rPr>
      </w:pPr>
      <w:r w:rsidRPr="00614291">
        <w:rPr>
          <w:rFonts w:eastAsiaTheme="minorEastAsia"/>
          <w:szCs w:val="22"/>
        </w:rPr>
        <w:t>[1]</w:t>
      </w:r>
      <w:r w:rsidRPr="00614291">
        <w:rPr>
          <w:rFonts w:eastAsiaTheme="minorEastAsia"/>
          <w:szCs w:val="22"/>
        </w:rPr>
        <w:tab/>
      </w:r>
      <w:r w:rsidRPr="00614291">
        <w:rPr>
          <w:rFonts w:eastAsiaTheme="minorEastAsia"/>
          <w:smallCaps/>
          <w:szCs w:val="22"/>
        </w:rPr>
        <w:t>Moldaver J.</w:t>
      </w:r>
      <w:r w:rsidRPr="00614291">
        <w:rPr>
          <w:rFonts w:eastAsiaTheme="minorEastAsia"/>
          <w:i/>
          <w:szCs w:val="22"/>
        </w:rPr>
        <w:t xml:space="preserve"> </w:t>
      </w:r>
      <w:r w:rsidRPr="00614291">
        <w:rPr>
          <w:rFonts w:eastAsiaTheme="minorEastAsia"/>
          <w:szCs w:val="22"/>
        </w:rPr>
        <w:t>— We would dismiss the appeals and uphold A.E. and T.C.F.’s convictions for sexual assault. The trial judge erred in law, in that he essentially applied a principle of “broad advance consent” (</w:t>
      </w:r>
      <w:r w:rsidRPr="00614291">
        <w:rPr>
          <w:rFonts w:eastAsiaTheme="minorEastAsia"/>
          <w:i/>
          <w:iCs/>
          <w:szCs w:val="22"/>
        </w:rPr>
        <w:t>R. v. Barton</w:t>
      </w:r>
      <w:r w:rsidRPr="00614291">
        <w:rPr>
          <w:rFonts w:eastAsiaTheme="minorEastAsia"/>
          <w:szCs w:val="22"/>
        </w:rPr>
        <w:t>, 2019 SCC 33, [2019] 2 S.C.R. 579, at para. 99). Consent must be linked to the sexual activity in question, it must exist at the time the activity occurs, and it can be withdrawn at any time (</w:t>
      </w:r>
      <w:r w:rsidRPr="00614291">
        <w:rPr>
          <w:rFonts w:eastAsiaTheme="minorEastAsia"/>
          <w:i/>
          <w:iCs/>
          <w:szCs w:val="22"/>
        </w:rPr>
        <w:t>Barton</w:t>
      </w:r>
      <w:r w:rsidRPr="00614291">
        <w:rPr>
          <w:rFonts w:eastAsiaTheme="minorEastAsia"/>
          <w:szCs w:val="22"/>
        </w:rPr>
        <w:t>,</w:t>
      </w:r>
      <w:r w:rsidRPr="00614291">
        <w:rPr>
          <w:rFonts w:eastAsiaTheme="minorEastAsia"/>
          <w:iCs/>
          <w:szCs w:val="22"/>
        </w:rPr>
        <w:t xml:space="preserve"> </w:t>
      </w:r>
      <w:r w:rsidRPr="00614291">
        <w:rPr>
          <w:rFonts w:eastAsiaTheme="minorEastAsia"/>
          <w:szCs w:val="22"/>
        </w:rPr>
        <w:t xml:space="preserve">at para. 88; </w:t>
      </w:r>
      <w:r w:rsidRPr="00614291">
        <w:rPr>
          <w:rFonts w:eastAsiaTheme="minorEastAsia"/>
          <w:i/>
          <w:iCs/>
          <w:szCs w:val="22"/>
        </w:rPr>
        <w:t>R. v. Hutchinson</w:t>
      </w:r>
      <w:r w:rsidRPr="00614291">
        <w:rPr>
          <w:rFonts w:eastAsiaTheme="minorEastAsia"/>
          <w:szCs w:val="22"/>
        </w:rPr>
        <w:t>, 2014 SCC 19, [2014] 1 S.C.R. 346, at para. 17). The trial judge failed to address the scope of the complainant’s consent to sexual activity and failed to consider whether her consent was withdrawn. Accordingly, the trial judge’s determination that the complainant had subjectively consented to the sexual activity in question was not entitled to deference.</w:t>
      </w:r>
    </w:p>
    <w:p w14:paraId="028AE522" w14:textId="77777777" w:rsidR="00614291" w:rsidRPr="00614291" w:rsidRDefault="00614291" w:rsidP="00614291">
      <w:pPr>
        <w:tabs>
          <w:tab w:val="num" w:pos="1152"/>
        </w:tabs>
        <w:spacing w:after="480" w:line="480" w:lineRule="auto"/>
        <w:jc w:val="both"/>
        <w:rPr>
          <w:rFonts w:eastAsiaTheme="minorEastAsia"/>
          <w:i/>
          <w:szCs w:val="22"/>
        </w:rPr>
      </w:pPr>
      <w:r w:rsidRPr="00614291">
        <w:rPr>
          <w:rFonts w:eastAsiaTheme="minorEastAsia"/>
          <w:szCs w:val="22"/>
        </w:rPr>
        <w:t>[2]</w:t>
      </w:r>
      <w:r w:rsidRPr="00614291">
        <w:rPr>
          <w:rFonts w:eastAsiaTheme="minorEastAsia"/>
          <w:szCs w:val="22"/>
        </w:rPr>
        <w:tab/>
        <w:t xml:space="preserve">As this Court set out in </w:t>
      </w:r>
      <w:r w:rsidRPr="00614291">
        <w:rPr>
          <w:rFonts w:eastAsiaTheme="minorEastAsia"/>
          <w:i/>
          <w:szCs w:val="22"/>
        </w:rPr>
        <w:t>R. v. Cassidy</w:t>
      </w:r>
      <w:r w:rsidRPr="00614291">
        <w:rPr>
          <w:rFonts w:eastAsiaTheme="minorEastAsia"/>
          <w:szCs w:val="22"/>
        </w:rPr>
        <w:t>, [1989] 2 S.C.R. 345, in order to substitute a conviction on an appeal from acquittal, “all the findings necessary to support a verdict of guilty must have been made, either explicitly or implicitly, or not be in issue” (pp. 354</w:t>
      </w:r>
      <w:r w:rsidRPr="00614291">
        <w:rPr>
          <w:rFonts w:eastAsiaTheme="minorEastAsia"/>
          <w:szCs w:val="22"/>
        </w:rPr>
        <w:noBreakHyphen/>
        <w:t xml:space="preserve">55). The Cassidy test is met in this case, thereby permitting a substituted conviction under s. 686(4)(b)(ii) of the </w:t>
      </w:r>
      <w:r w:rsidRPr="00614291">
        <w:rPr>
          <w:rFonts w:eastAsiaTheme="minorEastAsia"/>
          <w:i/>
          <w:szCs w:val="22"/>
        </w:rPr>
        <w:t>Criminal Code</w:t>
      </w:r>
      <w:r w:rsidRPr="00614291">
        <w:rPr>
          <w:rFonts w:eastAsiaTheme="minorEastAsia"/>
          <w:szCs w:val="22"/>
        </w:rPr>
        <w:t>, R.S.C. 1985, c. C</w:t>
      </w:r>
      <w:r w:rsidRPr="00614291">
        <w:rPr>
          <w:rFonts w:eastAsiaTheme="minorEastAsia"/>
          <w:szCs w:val="22"/>
        </w:rPr>
        <w:noBreakHyphen/>
        <w:t>46. The trial judge’s explicit and implicit findings demonstrate that both A.E. and T.C.F. continued, and A.E. escalated the sexual interactions with the complainant even after she cried out “No”, without taking any steps to find out if she was withdrawing her consent. Specifically, A.E. slapped the complainant’s buttocks, and T.C.F. continued to engage the complainant in sexual activity and ordered her to perform fellatio. In the circumstances, T.C.F.’s assertion of an honest but mistaken belief in consent lacks an air of reality and is unsupported by any reasonable steps (</w:t>
      </w:r>
      <w:r w:rsidRPr="00614291">
        <w:rPr>
          <w:rFonts w:eastAsiaTheme="minorEastAsia"/>
          <w:i/>
          <w:szCs w:val="22"/>
        </w:rPr>
        <w:t>Criminal Code</w:t>
      </w:r>
      <w:r w:rsidRPr="00614291">
        <w:rPr>
          <w:rFonts w:eastAsiaTheme="minorEastAsia"/>
          <w:szCs w:val="22"/>
        </w:rPr>
        <w:t xml:space="preserve">, s. 273.2(b); </w:t>
      </w:r>
      <w:r w:rsidRPr="00614291">
        <w:rPr>
          <w:rFonts w:eastAsiaTheme="minorEastAsia"/>
          <w:i/>
          <w:szCs w:val="22"/>
        </w:rPr>
        <w:t>Barton</w:t>
      </w:r>
      <w:r w:rsidRPr="00614291">
        <w:rPr>
          <w:rFonts w:eastAsiaTheme="minorEastAsia"/>
          <w:szCs w:val="22"/>
        </w:rPr>
        <w:t>, at para. 122). Finally, in view of our conclusion that the Cassidy test is met here, we need not comment on Martin J.A.’s statement of the test for substituted convictions, found at para. 91 of his reasons.</w:t>
      </w:r>
    </w:p>
    <w:p w14:paraId="25850A9E" w14:textId="77777777" w:rsidR="00614291" w:rsidRPr="00614291" w:rsidRDefault="00614291" w:rsidP="00614291">
      <w:pPr>
        <w:tabs>
          <w:tab w:val="num" w:pos="1152"/>
        </w:tabs>
        <w:spacing w:after="480" w:line="480" w:lineRule="auto"/>
        <w:jc w:val="both"/>
        <w:rPr>
          <w:rFonts w:eastAsiaTheme="minorEastAsia"/>
          <w:i/>
          <w:szCs w:val="22"/>
        </w:rPr>
      </w:pPr>
      <w:r w:rsidRPr="00614291">
        <w:rPr>
          <w:rFonts w:eastAsiaTheme="minorEastAsia"/>
          <w:szCs w:val="22"/>
        </w:rPr>
        <w:t>[3]</w:t>
      </w:r>
      <w:r w:rsidRPr="00614291">
        <w:rPr>
          <w:rFonts w:eastAsiaTheme="minorEastAsia"/>
          <w:szCs w:val="22"/>
        </w:rPr>
        <w:tab/>
        <w:t>With respect to the allegations of bias raised by A.E., we are all of the view that nothing asserted by him called into any question the integrity and impartiality of the Court of Appeal of Alberta in this case.</w:t>
      </w:r>
    </w:p>
    <w:p w14:paraId="7BF50AE4" w14:textId="77777777" w:rsidR="00614291" w:rsidRPr="00614291" w:rsidRDefault="00614291" w:rsidP="00614291">
      <w:pPr>
        <w:tabs>
          <w:tab w:val="num" w:pos="1152"/>
        </w:tabs>
        <w:spacing w:after="480" w:line="480" w:lineRule="auto"/>
        <w:jc w:val="both"/>
        <w:rPr>
          <w:rFonts w:eastAsiaTheme="minorEastAsia"/>
          <w:i/>
          <w:szCs w:val="22"/>
        </w:rPr>
      </w:pPr>
      <w:r w:rsidRPr="00614291">
        <w:rPr>
          <w:rFonts w:eastAsiaTheme="minorEastAsia"/>
          <w:szCs w:val="22"/>
        </w:rPr>
        <w:t>[4]</w:t>
      </w:r>
      <w:r w:rsidRPr="00614291">
        <w:rPr>
          <w:rFonts w:eastAsiaTheme="minorEastAsia"/>
          <w:szCs w:val="22"/>
        </w:rPr>
        <w:tab/>
        <w:t xml:space="preserve">The appellant A.E. also asks this Court to stay his conviction for sexual assault under </w:t>
      </w:r>
      <w:r w:rsidRPr="00614291">
        <w:rPr>
          <w:rFonts w:eastAsiaTheme="minorEastAsia"/>
          <w:i/>
          <w:szCs w:val="22"/>
        </w:rPr>
        <w:t>Kienapple v. The Queen</w:t>
      </w:r>
      <w:r w:rsidRPr="00614291">
        <w:rPr>
          <w:rFonts w:eastAsiaTheme="minorEastAsia"/>
          <w:szCs w:val="22"/>
        </w:rPr>
        <w:t xml:space="preserve">, [1975] 1 S.C.R. 729, on the basis that it is a lesser included count within his conviction for sexual assault with a weapon. We would not give effect to this submission. In these circumstances, the offences involve different subsets of facts and address different forms of harm (see </w:t>
      </w:r>
      <w:r w:rsidRPr="00614291">
        <w:rPr>
          <w:rFonts w:eastAsiaTheme="minorEastAsia"/>
          <w:i/>
          <w:szCs w:val="22"/>
        </w:rPr>
        <w:t>R. v. M. (R.)</w:t>
      </w:r>
      <w:r w:rsidRPr="00614291">
        <w:rPr>
          <w:rFonts w:eastAsiaTheme="minorEastAsia"/>
          <w:szCs w:val="22"/>
        </w:rPr>
        <w:t>, 2020 ONCA 231, 150 O.R. (3d) 369, at para. 52). Specifically, the charge of sexual assault with a weapon addresses the injuries that the complainant suffered as a result of the use of the toothbrush, as well as the elevated risk that it brought about.</w:t>
      </w:r>
    </w:p>
    <w:p w14:paraId="02AFC637" w14:textId="77777777" w:rsidR="00614291" w:rsidRPr="00614291" w:rsidRDefault="00614291" w:rsidP="00614291">
      <w:pPr>
        <w:tabs>
          <w:tab w:val="num" w:pos="1152"/>
        </w:tabs>
        <w:spacing w:after="480" w:line="480" w:lineRule="auto"/>
        <w:jc w:val="both"/>
        <w:rPr>
          <w:rFonts w:eastAsiaTheme="minorEastAsia"/>
          <w:i/>
          <w:szCs w:val="22"/>
        </w:rPr>
      </w:pPr>
      <w:r w:rsidRPr="00614291">
        <w:rPr>
          <w:rFonts w:eastAsiaTheme="minorEastAsia"/>
          <w:szCs w:val="22"/>
        </w:rPr>
        <w:t>[5]</w:t>
      </w:r>
      <w:r w:rsidRPr="00614291">
        <w:rPr>
          <w:rFonts w:eastAsiaTheme="minorEastAsia"/>
          <w:szCs w:val="22"/>
        </w:rPr>
        <w:tab/>
        <w:t xml:space="preserve">We note that the Court of Appeal of Alberta addressed other issues in </w:t>
      </w:r>
      <w:bookmarkStart w:id="0" w:name="_GoBack"/>
      <w:r w:rsidRPr="00614291">
        <w:rPr>
          <w:rFonts w:eastAsiaTheme="minorEastAsia"/>
          <w:i/>
          <w:szCs w:val="22"/>
        </w:rPr>
        <w:t>obiter</w:t>
      </w:r>
      <w:bookmarkEnd w:id="0"/>
      <w:r w:rsidRPr="00614291">
        <w:rPr>
          <w:rFonts w:eastAsiaTheme="minorEastAsia"/>
          <w:szCs w:val="22"/>
        </w:rPr>
        <w:t>, including: T.C.F.’s liability for sexual assault with a weapon; whether surreptitious recording constitutes fraud vitiating consent; and whether consent to sexual activity can be given in situations involving intentional bodily harm. In the circumstances, it is unnecessary for us to address these issues.</w:t>
      </w:r>
    </w:p>
    <w:p w14:paraId="2C53E959" w14:textId="77777777" w:rsidR="00614291" w:rsidRPr="00614291" w:rsidRDefault="00614291" w:rsidP="00614291">
      <w:pPr>
        <w:tabs>
          <w:tab w:val="num" w:pos="1152"/>
        </w:tabs>
        <w:spacing w:after="480" w:line="480" w:lineRule="auto"/>
        <w:jc w:val="both"/>
        <w:rPr>
          <w:rFonts w:eastAsiaTheme="minorEastAsia"/>
          <w:i/>
          <w:szCs w:val="22"/>
        </w:rPr>
      </w:pPr>
      <w:r w:rsidRPr="00614291">
        <w:rPr>
          <w:rFonts w:eastAsiaTheme="minorEastAsia"/>
          <w:szCs w:val="22"/>
        </w:rPr>
        <w:t>[6]</w:t>
      </w:r>
      <w:r w:rsidRPr="00614291">
        <w:rPr>
          <w:rFonts w:eastAsiaTheme="minorEastAsia"/>
          <w:szCs w:val="22"/>
        </w:rPr>
        <w:tab/>
        <w:t>In the result, the appeals from conviction are dismissed and the matters are remitted to the Court of Queen’s Bench for sentencing.</w:t>
      </w:r>
    </w:p>
    <w:p w14:paraId="2A2BCC1C" w14:textId="77777777" w:rsidR="00614291" w:rsidRPr="00614291" w:rsidRDefault="00614291" w:rsidP="00614291">
      <w:pPr>
        <w:tabs>
          <w:tab w:val="left" w:pos="1168"/>
        </w:tabs>
        <w:spacing w:after="480" w:line="480" w:lineRule="auto"/>
        <w:jc w:val="both"/>
        <w:rPr>
          <w:rFonts w:eastAsia="Times New Roman" w:cs="Times New Roman"/>
          <w:i/>
          <w:szCs w:val="20"/>
          <w:lang w:eastAsia="en-CA"/>
        </w:rPr>
      </w:pPr>
      <w:r w:rsidRPr="00614291">
        <w:rPr>
          <w:rFonts w:eastAsia="Times New Roman" w:cs="Times New Roman"/>
          <w:i/>
          <w:szCs w:val="20"/>
          <w:lang w:eastAsia="en-CA"/>
        </w:rPr>
        <w:tab/>
      </w:r>
      <w:r w:rsidRPr="00614291">
        <w:rPr>
          <w:rFonts w:eastAsia="Times New Roman" w:cs="Times New Roman"/>
          <w:i/>
          <w:iCs/>
          <w:szCs w:val="20"/>
          <w:lang w:eastAsia="en-CA"/>
        </w:rPr>
        <w:t>Judgment accordingly.</w:t>
      </w:r>
    </w:p>
    <w:p w14:paraId="6D42114E" w14:textId="77777777" w:rsidR="00614291" w:rsidRPr="00614291" w:rsidRDefault="00614291" w:rsidP="00614291">
      <w:pPr>
        <w:tabs>
          <w:tab w:val="left" w:pos="1168"/>
        </w:tabs>
        <w:spacing w:after="480" w:line="480" w:lineRule="auto"/>
        <w:jc w:val="both"/>
        <w:rPr>
          <w:rFonts w:eastAsia="Times New Roman" w:cs="Times New Roman"/>
          <w:i/>
          <w:szCs w:val="20"/>
          <w:lang w:eastAsia="en-CA"/>
        </w:rPr>
      </w:pPr>
      <w:r w:rsidRPr="00614291">
        <w:rPr>
          <w:rFonts w:eastAsia="Times New Roman" w:cs="Times New Roman"/>
          <w:i/>
          <w:szCs w:val="20"/>
          <w:lang w:eastAsia="en-CA"/>
        </w:rPr>
        <w:tab/>
        <w:t>Solicitors for the appellant A.E.: Serink Law Office, Calgary; Alias Sanders, Calgary.</w:t>
      </w:r>
    </w:p>
    <w:p w14:paraId="1A9ED3F3" w14:textId="77777777" w:rsidR="00614291" w:rsidRPr="00614291" w:rsidRDefault="00614291" w:rsidP="00614291">
      <w:pPr>
        <w:tabs>
          <w:tab w:val="left" w:pos="1168"/>
        </w:tabs>
        <w:spacing w:after="480" w:line="480" w:lineRule="auto"/>
        <w:jc w:val="both"/>
        <w:rPr>
          <w:rFonts w:eastAsia="Times New Roman" w:cs="Times New Roman"/>
          <w:i/>
          <w:szCs w:val="20"/>
          <w:lang w:eastAsia="en-CA"/>
        </w:rPr>
      </w:pPr>
      <w:r w:rsidRPr="00614291">
        <w:rPr>
          <w:rFonts w:eastAsia="Times New Roman" w:cs="Times New Roman"/>
          <w:i/>
          <w:szCs w:val="20"/>
          <w:lang w:eastAsia="en-CA"/>
        </w:rPr>
        <w:tab/>
        <w:t xml:space="preserve">Solicitors for the appellant T.C.F.: </w:t>
      </w:r>
      <w:r w:rsidRPr="00614291">
        <w:rPr>
          <w:rFonts w:eastAsia="Times New Roman" w:cs="Times New Roman"/>
          <w:i/>
          <w:szCs w:val="20"/>
          <w:lang w:val="en-US" w:eastAsia="en-CA"/>
        </w:rPr>
        <w:t>Der Barristers, Calgary</w:t>
      </w:r>
      <w:r w:rsidRPr="00614291">
        <w:rPr>
          <w:rFonts w:eastAsia="Times New Roman" w:cs="Times New Roman"/>
          <w:i/>
          <w:szCs w:val="20"/>
          <w:lang w:eastAsia="en-CA"/>
        </w:rPr>
        <w:t>.</w:t>
      </w:r>
    </w:p>
    <w:p w14:paraId="5A35D96F" w14:textId="77777777" w:rsidR="00614291" w:rsidRPr="00614291" w:rsidRDefault="00614291" w:rsidP="00614291">
      <w:pPr>
        <w:tabs>
          <w:tab w:val="left" w:pos="1168"/>
        </w:tabs>
        <w:spacing w:after="480" w:line="480" w:lineRule="auto"/>
        <w:jc w:val="both"/>
        <w:rPr>
          <w:rFonts w:eastAsia="Times New Roman" w:cs="Times New Roman"/>
          <w:i/>
          <w:szCs w:val="20"/>
          <w:lang w:eastAsia="en-CA"/>
        </w:rPr>
      </w:pPr>
      <w:r w:rsidRPr="00614291">
        <w:rPr>
          <w:rFonts w:eastAsia="Times New Roman" w:cs="Times New Roman"/>
          <w:i/>
          <w:szCs w:val="20"/>
          <w:lang w:eastAsia="en-CA"/>
        </w:rPr>
        <w:tab/>
        <w:t xml:space="preserve">Solicitor for the respondent: </w:t>
      </w:r>
      <w:r w:rsidRPr="00614291">
        <w:rPr>
          <w:rFonts w:eastAsia="Times New Roman" w:cs="Times New Roman"/>
          <w:i/>
          <w:szCs w:val="20"/>
          <w:lang w:val="en-US" w:eastAsia="en-CA"/>
        </w:rPr>
        <w:t>Alberta Crown Prosecution Service — Appeals and Specialized Prosecutions Office, Calgary</w:t>
      </w:r>
      <w:r w:rsidRPr="00614291">
        <w:rPr>
          <w:rFonts w:eastAsia="Times New Roman" w:cs="Times New Roman"/>
          <w:i/>
          <w:szCs w:val="20"/>
          <w:lang w:eastAsia="en-CA"/>
        </w:rPr>
        <w:t>.</w:t>
      </w:r>
    </w:p>
    <w:p w14:paraId="5EE34E17" w14:textId="77777777" w:rsidR="00614291" w:rsidRPr="00614291" w:rsidRDefault="00614291" w:rsidP="00614291">
      <w:pPr>
        <w:tabs>
          <w:tab w:val="left" w:pos="1168"/>
        </w:tabs>
        <w:spacing w:after="480" w:line="480" w:lineRule="auto"/>
        <w:jc w:val="both"/>
        <w:rPr>
          <w:rFonts w:eastAsia="Times New Roman" w:cs="Times New Roman"/>
          <w:i/>
          <w:szCs w:val="20"/>
          <w:lang w:val="en-US" w:eastAsia="en-CA"/>
        </w:rPr>
      </w:pPr>
      <w:r w:rsidRPr="00614291">
        <w:rPr>
          <w:rFonts w:eastAsia="Times New Roman" w:cs="Times New Roman"/>
          <w:i/>
          <w:szCs w:val="20"/>
          <w:lang w:eastAsia="en-CA"/>
        </w:rPr>
        <w:tab/>
        <w:t>Solicitor for the intervener: Public Prosecution Service of Canada, Yellowknife.</w:t>
      </w:r>
    </w:p>
    <w:p w14:paraId="51EA90C1" w14:textId="77777777" w:rsidR="00614291" w:rsidRPr="00614291" w:rsidRDefault="00614291">
      <w:pPr>
        <w:rPr>
          <w:lang w:val="en-US"/>
        </w:rPr>
      </w:pPr>
    </w:p>
    <w:sectPr w:rsidR="00614291" w:rsidRPr="00614291" w:rsidSect="00F72014">
      <w:pgSz w:w="12240" w:h="15840"/>
      <w:pgMar w:top="1440" w:right="1440" w:bottom="1440" w:left="1440" w:header="43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ED56B" w14:textId="77777777" w:rsidR="00EF0E44" w:rsidRDefault="00EF0E44" w:rsidP="00F72014">
      <w:r>
        <w:separator/>
      </w:r>
    </w:p>
  </w:endnote>
  <w:endnote w:type="continuationSeparator" w:id="0">
    <w:p w14:paraId="116371E5" w14:textId="77777777" w:rsidR="00EF0E44" w:rsidRDefault="00EF0E44" w:rsidP="00F7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D8C41" w14:textId="77777777" w:rsidR="00EF0E44" w:rsidRDefault="00EF0E44" w:rsidP="00F72014">
      <w:r>
        <w:separator/>
      </w:r>
    </w:p>
  </w:footnote>
  <w:footnote w:type="continuationSeparator" w:id="0">
    <w:p w14:paraId="5B0BD133" w14:textId="77777777" w:rsidR="00EF0E44" w:rsidRDefault="00EF0E44" w:rsidP="00F720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5AF7"/>
    <w:multiLevelType w:val="hybridMultilevel"/>
    <w:tmpl w:val="EC0C36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283EE8"/>
    <w:multiLevelType w:val="multilevel"/>
    <w:tmpl w:val="1E283004"/>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DA"/>
    <w:rsid w:val="00001315"/>
    <w:rsid w:val="000206FC"/>
    <w:rsid w:val="0003087F"/>
    <w:rsid w:val="00076773"/>
    <w:rsid w:val="00087E50"/>
    <w:rsid w:val="001311DA"/>
    <w:rsid w:val="001412E4"/>
    <w:rsid w:val="001648D4"/>
    <w:rsid w:val="001B0985"/>
    <w:rsid w:val="001B27ED"/>
    <w:rsid w:val="001B299D"/>
    <w:rsid w:val="001D6B8C"/>
    <w:rsid w:val="001F1F83"/>
    <w:rsid w:val="001F3E0C"/>
    <w:rsid w:val="00205C5C"/>
    <w:rsid w:val="00205C5D"/>
    <w:rsid w:val="00252460"/>
    <w:rsid w:val="00273D07"/>
    <w:rsid w:val="0028675F"/>
    <w:rsid w:val="002C1DA9"/>
    <w:rsid w:val="002C5A33"/>
    <w:rsid w:val="002D4FC9"/>
    <w:rsid w:val="00307011"/>
    <w:rsid w:val="00324391"/>
    <w:rsid w:val="00355967"/>
    <w:rsid w:val="00384384"/>
    <w:rsid w:val="003B2BE1"/>
    <w:rsid w:val="003B3C63"/>
    <w:rsid w:val="00451668"/>
    <w:rsid w:val="00460AFC"/>
    <w:rsid w:val="004C5EBA"/>
    <w:rsid w:val="004E25A2"/>
    <w:rsid w:val="004E69EC"/>
    <w:rsid w:val="004F090E"/>
    <w:rsid w:val="00524C08"/>
    <w:rsid w:val="00540106"/>
    <w:rsid w:val="00564C88"/>
    <w:rsid w:val="0057380B"/>
    <w:rsid w:val="00582136"/>
    <w:rsid w:val="005D2CFA"/>
    <w:rsid w:val="005D4801"/>
    <w:rsid w:val="0061259C"/>
    <w:rsid w:val="00614291"/>
    <w:rsid w:val="006274DE"/>
    <w:rsid w:val="00642091"/>
    <w:rsid w:val="00693B4B"/>
    <w:rsid w:val="006B210C"/>
    <w:rsid w:val="00701ABD"/>
    <w:rsid w:val="007740CA"/>
    <w:rsid w:val="00815561"/>
    <w:rsid w:val="00842677"/>
    <w:rsid w:val="00843369"/>
    <w:rsid w:val="00852D4E"/>
    <w:rsid w:val="008726A9"/>
    <w:rsid w:val="00880B14"/>
    <w:rsid w:val="00904937"/>
    <w:rsid w:val="0093524C"/>
    <w:rsid w:val="00962C82"/>
    <w:rsid w:val="00996510"/>
    <w:rsid w:val="0099776C"/>
    <w:rsid w:val="009B58B8"/>
    <w:rsid w:val="009E1B85"/>
    <w:rsid w:val="009E7065"/>
    <w:rsid w:val="00A15427"/>
    <w:rsid w:val="00A51D10"/>
    <w:rsid w:val="00A57778"/>
    <w:rsid w:val="00AB2201"/>
    <w:rsid w:val="00B523C5"/>
    <w:rsid w:val="00B76741"/>
    <w:rsid w:val="00BC2DFD"/>
    <w:rsid w:val="00BD4217"/>
    <w:rsid w:val="00C003E6"/>
    <w:rsid w:val="00C118E6"/>
    <w:rsid w:val="00CC23C6"/>
    <w:rsid w:val="00CE17A0"/>
    <w:rsid w:val="00D030DA"/>
    <w:rsid w:val="00D76BDF"/>
    <w:rsid w:val="00DA7B22"/>
    <w:rsid w:val="00DF12CD"/>
    <w:rsid w:val="00DF15D7"/>
    <w:rsid w:val="00E22DBA"/>
    <w:rsid w:val="00E356C7"/>
    <w:rsid w:val="00E5364D"/>
    <w:rsid w:val="00E54E6E"/>
    <w:rsid w:val="00E64FA7"/>
    <w:rsid w:val="00E770CB"/>
    <w:rsid w:val="00E94AE9"/>
    <w:rsid w:val="00EA6DB9"/>
    <w:rsid w:val="00EE256B"/>
    <w:rsid w:val="00EF0E44"/>
    <w:rsid w:val="00EF72F1"/>
    <w:rsid w:val="00F33948"/>
    <w:rsid w:val="00F36AF0"/>
    <w:rsid w:val="00F72014"/>
    <w:rsid w:val="00F9518C"/>
    <w:rsid w:val="00FA59EF"/>
    <w:rsid w:val="00FC2782"/>
    <w:rsid w:val="00FC70CB"/>
    <w:rsid w:val="00FE57D3"/>
    <w:rsid w:val="00FE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7C8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7ED"/>
    <w:rPr>
      <w:lang w:val="en-CA"/>
    </w:rPr>
  </w:style>
  <w:style w:type="paragraph" w:styleId="Heading8">
    <w:name w:val="heading 8"/>
    <w:basedOn w:val="ListParagraph"/>
    <w:next w:val="Normal"/>
    <w:link w:val="Heading8Char"/>
    <w:uiPriority w:val="9"/>
    <w:unhideWhenUsed/>
    <w:qFormat/>
    <w:rsid w:val="00B76741"/>
    <w:pPr>
      <w:numPr>
        <w:ilvl w:val="6"/>
        <w:numId w:val="2"/>
      </w:numPr>
      <w:tabs>
        <w:tab w:val="left" w:pos="2340"/>
      </w:tabs>
      <w:jc w:val="both"/>
      <w:outlineLvl w:val="7"/>
    </w:pPr>
    <w:rPr>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0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030DA"/>
    <w:rPr>
      <w:color w:val="808080"/>
    </w:rPr>
  </w:style>
  <w:style w:type="paragraph" w:styleId="BalloonText">
    <w:name w:val="Balloon Text"/>
    <w:basedOn w:val="Normal"/>
    <w:link w:val="BalloonTextChar"/>
    <w:uiPriority w:val="99"/>
    <w:semiHidden/>
    <w:unhideWhenUsed/>
    <w:rsid w:val="00D030DA"/>
    <w:rPr>
      <w:rFonts w:ascii="Tahoma" w:hAnsi="Tahoma" w:cs="Tahoma"/>
      <w:sz w:val="16"/>
      <w:szCs w:val="16"/>
    </w:rPr>
  </w:style>
  <w:style w:type="character" w:customStyle="1" w:styleId="BalloonTextChar">
    <w:name w:val="Balloon Text Char"/>
    <w:basedOn w:val="DefaultParagraphFont"/>
    <w:link w:val="BalloonText"/>
    <w:uiPriority w:val="99"/>
    <w:semiHidden/>
    <w:rsid w:val="00D030DA"/>
    <w:rPr>
      <w:rFonts w:ascii="Tahoma" w:hAnsi="Tahoma" w:cs="Tahoma"/>
      <w:sz w:val="16"/>
      <w:szCs w:val="16"/>
    </w:rPr>
  </w:style>
  <w:style w:type="paragraph" w:styleId="Header">
    <w:name w:val="header"/>
    <w:basedOn w:val="Normal"/>
    <w:link w:val="HeaderChar"/>
    <w:uiPriority w:val="99"/>
    <w:unhideWhenUsed/>
    <w:rsid w:val="00F72014"/>
    <w:pPr>
      <w:tabs>
        <w:tab w:val="center" w:pos="4680"/>
        <w:tab w:val="right" w:pos="9360"/>
      </w:tabs>
    </w:pPr>
  </w:style>
  <w:style w:type="character" w:customStyle="1" w:styleId="HeaderChar">
    <w:name w:val="Header Char"/>
    <w:basedOn w:val="DefaultParagraphFont"/>
    <w:link w:val="Header"/>
    <w:uiPriority w:val="99"/>
    <w:rsid w:val="00F72014"/>
  </w:style>
  <w:style w:type="paragraph" w:styleId="Footer">
    <w:name w:val="footer"/>
    <w:basedOn w:val="Normal"/>
    <w:link w:val="FooterChar"/>
    <w:uiPriority w:val="99"/>
    <w:semiHidden/>
    <w:unhideWhenUsed/>
    <w:rsid w:val="00F72014"/>
    <w:pPr>
      <w:tabs>
        <w:tab w:val="center" w:pos="4680"/>
        <w:tab w:val="right" w:pos="9360"/>
      </w:tabs>
    </w:pPr>
  </w:style>
  <w:style w:type="character" w:customStyle="1" w:styleId="FooterChar">
    <w:name w:val="Footer Char"/>
    <w:basedOn w:val="DefaultParagraphFont"/>
    <w:link w:val="Footer"/>
    <w:uiPriority w:val="99"/>
    <w:semiHidden/>
    <w:rsid w:val="00F72014"/>
  </w:style>
  <w:style w:type="paragraph" w:customStyle="1" w:styleId="SCCRestrictionOnPublicationTitle">
    <w:name w:val="SCC.RestrictionOnPublicationTitle"/>
    <w:basedOn w:val="Normal"/>
    <w:next w:val="Normal"/>
    <w:link w:val="SCCRestrictionOnPublicationTitleChar"/>
    <w:rsid w:val="00252460"/>
    <w:rPr>
      <w:b/>
      <w:smallCaps/>
    </w:rPr>
  </w:style>
  <w:style w:type="character" w:customStyle="1" w:styleId="SCCRestrictionOnPublicationTitleChar">
    <w:name w:val="SCC.RestrictionOnPublicationTitle Char"/>
    <w:basedOn w:val="DefaultParagraphFont"/>
    <w:link w:val="SCCRestrictionOnPublicationTitle"/>
    <w:rsid w:val="00252460"/>
    <w:rPr>
      <w:b/>
      <w:smallCaps/>
      <w:lang w:val="en-CA"/>
    </w:rPr>
  </w:style>
  <w:style w:type="paragraph" w:customStyle="1" w:styleId="SCCRestrictionOnPublicationText">
    <w:name w:val="SCC.RestrictionOnPublicationText"/>
    <w:basedOn w:val="Normal"/>
    <w:next w:val="Normal"/>
    <w:link w:val="SCCRestrictionOnPublicationTextChar"/>
    <w:rsid w:val="00252460"/>
  </w:style>
  <w:style w:type="character" w:customStyle="1" w:styleId="SCCRestrictionOnPublicationTextChar">
    <w:name w:val="SCC.RestrictionOnPublicationText Char"/>
    <w:basedOn w:val="DefaultParagraphFont"/>
    <w:link w:val="SCCRestrictionOnPublicationText"/>
    <w:rsid w:val="00252460"/>
    <w:rPr>
      <w:lang w:val="en-CA"/>
    </w:rPr>
  </w:style>
  <w:style w:type="paragraph" w:customStyle="1" w:styleId="SCCLsocOtherPartyRole">
    <w:name w:val="SCC.Lsoc.OtherPartyRole"/>
    <w:basedOn w:val="Normal"/>
    <w:next w:val="Normal"/>
    <w:link w:val="SCCLsocOtherPartyRoleChar"/>
    <w:rsid w:val="0099776C"/>
    <w:pPr>
      <w:jc w:val="center"/>
    </w:pPr>
  </w:style>
  <w:style w:type="character" w:customStyle="1" w:styleId="SCCLsocOtherPartyRoleChar">
    <w:name w:val="SCC.Lsoc.OtherPartyRole Char"/>
    <w:basedOn w:val="DefaultParagraphFont"/>
    <w:link w:val="SCCLsocOtherPartyRole"/>
    <w:rsid w:val="0099776C"/>
    <w:rPr>
      <w:lang w:val="en-CA"/>
    </w:rPr>
  </w:style>
  <w:style w:type="paragraph" w:customStyle="1" w:styleId="SCCLsocParty">
    <w:name w:val="SCC.Lsoc.Party"/>
    <w:basedOn w:val="Normal"/>
    <w:next w:val="Normal"/>
    <w:link w:val="SCCLsocPartyChar"/>
    <w:rsid w:val="0099776C"/>
    <w:pPr>
      <w:jc w:val="center"/>
    </w:pPr>
    <w:rPr>
      <w:b/>
    </w:rPr>
  </w:style>
  <w:style w:type="character" w:customStyle="1" w:styleId="SCCLsocPartyChar">
    <w:name w:val="SCC.Lsoc.Party Char"/>
    <w:basedOn w:val="DefaultParagraphFont"/>
    <w:link w:val="SCCLsocParty"/>
    <w:rsid w:val="0099776C"/>
    <w:rPr>
      <w:b/>
      <w:lang w:val="en-CA"/>
    </w:rPr>
  </w:style>
  <w:style w:type="paragraph" w:customStyle="1" w:styleId="SCCLsocSubfileSeparator">
    <w:name w:val="SCC.Lsoc.SubfileSeparator"/>
    <w:basedOn w:val="Normal"/>
    <w:next w:val="Normal"/>
    <w:link w:val="SCCLsocSubfileSeparatorChar"/>
    <w:rsid w:val="00FE5ED5"/>
    <w:rPr>
      <w:b/>
      <w:smallCaps/>
    </w:rPr>
  </w:style>
  <w:style w:type="character" w:customStyle="1" w:styleId="SCCLsocSubfileSeparatorChar">
    <w:name w:val="SCC.Lsoc.SubfileSeparator Char"/>
    <w:basedOn w:val="DefaultParagraphFont"/>
    <w:link w:val="SCCLsocSubfileSeparator"/>
    <w:rsid w:val="00FE5ED5"/>
    <w:rPr>
      <w:b/>
      <w:smallCaps/>
      <w:lang w:val="en-CA"/>
    </w:rPr>
  </w:style>
  <w:style w:type="paragraph" w:customStyle="1" w:styleId="SCCLsocVersus">
    <w:name w:val="SCC.Lsoc.Versus"/>
    <w:basedOn w:val="Normal"/>
    <w:next w:val="Normal"/>
    <w:link w:val="SCCLsocVersusChar"/>
    <w:rsid w:val="0099776C"/>
    <w:pPr>
      <w:jc w:val="center"/>
    </w:pPr>
  </w:style>
  <w:style w:type="character" w:customStyle="1" w:styleId="SCCLsocVersusChar">
    <w:name w:val="SCC.Lsoc.Versus Char"/>
    <w:basedOn w:val="DefaultParagraphFont"/>
    <w:link w:val="SCCLsocVersus"/>
    <w:rsid w:val="0099776C"/>
    <w:rPr>
      <w:lang w:val="en-CA"/>
    </w:rPr>
  </w:style>
  <w:style w:type="paragraph" w:customStyle="1" w:styleId="SCCLsocPartyRole">
    <w:name w:val="SCC.Lsoc.PartyRole"/>
    <w:basedOn w:val="Normal"/>
    <w:next w:val="Normal"/>
    <w:link w:val="SCCLsocPartyRoleChar"/>
    <w:rsid w:val="0099776C"/>
    <w:pPr>
      <w:jc w:val="center"/>
    </w:pPr>
  </w:style>
  <w:style w:type="character" w:customStyle="1" w:styleId="SCCLsocPartyRoleChar">
    <w:name w:val="SCC.Lsoc.PartyRole Char"/>
    <w:basedOn w:val="DefaultParagraphFont"/>
    <w:link w:val="SCCLsocPartyRole"/>
    <w:rsid w:val="0099776C"/>
    <w:rPr>
      <w:lang w:val="en-CA"/>
    </w:rPr>
  </w:style>
  <w:style w:type="paragraph" w:customStyle="1" w:styleId="SCCLsocPrefix">
    <w:name w:val="SCC.Lsoc.Prefix"/>
    <w:basedOn w:val="Normal"/>
    <w:next w:val="Normal"/>
    <w:link w:val="SCCLsocPrefixChar"/>
    <w:rsid w:val="00FE5ED5"/>
    <w:rPr>
      <w:b/>
      <w:smallCaps/>
    </w:rPr>
  </w:style>
  <w:style w:type="character" w:customStyle="1" w:styleId="SCCLsocPrefixChar">
    <w:name w:val="SCC.Lsoc.Prefix Char"/>
    <w:basedOn w:val="DefaultParagraphFont"/>
    <w:link w:val="SCCLsocPrefix"/>
    <w:rsid w:val="00FE5ED5"/>
    <w:rPr>
      <w:b/>
      <w:smallCaps/>
      <w:lang w:val="en-CA"/>
    </w:rPr>
  </w:style>
  <w:style w:type="paragraph" w:customStyle="1" w:styleId="SCCHearingJudgmentDatesText">
    <w:name w:val="SCC.HearingJudgmentDatesText"/>
    <w:basedOn w:val="Normal"/>
    <w:next w:val="Normal"/>
    <w:link w:val="SCCHearingJudgmentDatesTextChar"/>
    <w:rsid w:val="00C003E6"/>
  </w:style>
  <w:style w:type="character" w:customStyle="1" w:styleId="SCCHearingJudgmentDatesTextChar">
    <w:name w:val="SCC.HearingJudgmentDatesText Char"/>
    <w:basedOn w:val="DefaultParagraphFont"/>
    <w:link w:val="SCCHearingJudgmentDatesText"/>
    <w:rsid w:val="00C003E6"/>
    <w:rPr>
      <w:lang w:val="en-CA"/>
    </w:rPr>
  </w:style>
  <w:style w:type="paragraph" w:customStyle="1" w:styleId="SCCHearingJudgmentDatesTitle">
    <w:name w:val="SCC.HearingJudgmentDatesTitle"/>
    <w:basedOn w:val="Normal"/>
    <w:next w:val="Normal"/>
    <w:link w:val="SCCHearingJudgmentDatesTitleChar"/>
    <w:rsid w:val="00C003E6"/>
    <w:rPr>
      <w:b/>
      <w:smallCaps/>
    </w:rPr>
  </w:style>
  <w:style w:type="character" w:customStyle="1" w:styleId="SCCHearingJudgmentDatesTitleChar">
    <w:name w:val="SCC.HearingJudgmentDatesTitle Char"/>
    <w:basedOn w:val="DefaultParagraphFont"/>
    <w:link w:val="SCCHearingJudgmentDatesTitle"/>
    <w:rsid w:val="00C003E6"/>
    <w:rPr>
      <w:b/>
      <w:smallCaps/>
      <w:lang w:val="en-CA"/>
    </w:rPr>
  </w:style>
  <w:style w:type="paragraph" w:customStyle="1" w:styleId="SCCLsocOtherPartySeparator">
    <w:name w:val="SCC.Lsoc.OtherPartySeparator"/>
    <w:basedOn w:val="Normal"/>
    <w:next w:val="Normal"/>
    <w:link w:val="SCCLsocOtherPartySeparatorChar"/>
    <w:rsid w:val="002C5A33"/>
    <w:pPr>
      <w:jc w:val="center"/>
    </w:pPr>
  </w:style>
  <w:style w:type="character" w:customStyle="1" w:styleId="SCCLsocOtherPartySeparatorChar">
    <w:name w:val="SCC.Lsoc.OtherPartySeparator Char"/>
    <w:basedOn w:val="DefaultParagraphFont"/>
    <w:link w:val="SCCLsocOtherPartySeparator"/>
    <w:rsid w:val="002C5A33"/>
    <w:rPr>
      <w:lang w:val="en-CA"/>
    </w:rPr>
  </w:style>
  <w:style w:type="paragraph" w:customStyle="1" w:styleId="SCCCounselName">
    <w:name w:val="SCC.CounselName"/>
    <w:basedOn w:val="Normal"/>
    <w:next w:val="Normal"/>
    <w:link w:val="SCCCounselNameChar"/>
    <w:rsid w:val="00962C82"/>
    <w:rPr>
      <w:i/>
    </w:rPr>
  </w:style>
  <w:style w:type="character" w:customStyle="1" w:styleId="SCCCounselNameChar">
    <w:name w:val="SCC.CounselName Char"/>
    <w:basedOn w:val="DefaultParagraphFont"/>
    <w:link w:val="SCCCounselName"/>
    <w:rsid w:val="00962C82"/>
    <w:rPr>
      <w:rFonts w:eastAsia="Times New Roman" w:cs="Times New Roman"/>
      <w:i/>
      <w:szCs w:val="20"/>
      <w:lang w:val="en-CA" w:eastAsia="en-CA"/>
    </w:rPr>
  </w:style>
  <w:style w:type="paragraph" w:customStyle="1" w:styleId="SCCCounselSeparator">
    <w:name w:val="SCC.CounselSeparator"/>
    <w:basedOn w:val="Normal"/>
    <w:next w:val="Normal"/>
    <w:link w:val="SCCCounselSeparatorChar"/>
    <w:rsid w:val="00962C82"/>
  </w:style>
  <w:style w:type="character" w:customStyle="1" w:styleId="SCCCounselSeparatorChar">
    <w:name w:val="SCC.CounselSeparator Char"/>
    <w:basedOn w:val="DefaultParagraphFont"/>
    <w:link w:val="SCCCounselSeparator"/>
    <w:rsid w:val="00962C82"/>
    <w:rPr>
      <w:rFonts w:eastAsia="Times New Roman" w:cs="Times New Roman"/>
      <w:szCs w:val="20"/>
      <w:lang w:val="en-CA" w:eastAsia="en-CA"/>
    </w:rPr>
  </w:style>
  <w:style w:type="paragraph" w:customStyle="1" w:styleId="SCCCounselPartyRole">
    <w:name w:val="SCC.CounselPartyRole"/>
    <w:basedOn w:val="Normal"/>
    <w:next w:val="Normal"/>
    <w:link w:val="SCCCounselPartyRoleChar"/>
    <w:rsid w:val="00962C82"/>
  </w:style>
  <w:style w:type="character" w:customStyle="1" w:styleId="SCCCounselPartyRoleChar">
    <w:name w:val="SCC.CounselPartyRole Char"/>
    <w:basedOn w:val="DefaultParagraphFont"/>
    <w:link w:val="SCCCounselPartyRole"/>
    <w:rsid w:val="00962C82"/>
    <w:rPr>
      <w:rFonts w:eastAsia="Times New Roman" w:cs="Times New Roman"/>
      <w:szCs w:val="20"/>
      <w:lang w:val="en-CA" w:eastAsia="en-CA"/>
    </w:rPr>
  </w:style>
  <w:style w:type="paragraph" w:customStyle="1" w:styleId="SCCBold">
    <w:name w:val="SCC.Bold"/>
    <w:basedOn w:val="Normal"/>
    <w:next w:val="Normal"/>
    <w:rsid w:val="005D2CFA"/>
    <w:rPr>
      <w:b/>
    </w:rPr>
  </w:style>
  <w:style w:type="paragraph" w:customStyle="1" w:styleId="SCCReasonsTitle">
    <w:name w:val="SCC.ReasonsTitle"/>
    <w:basedOn w:val="Normal"/>
    <w:next w:val="Normal"/>
    <w:link w:val="SCCReasonsTitleChar"/>
    <w:qFormat/>
    <w:rsid w:val="00076773"/>
    <w:rPr>
      <w:b/>
    </w:rPr>
  </w:style>
  <w:style w:type="character" w:customStyle="1" w:styleId="SCCReasonsTitleChar">
    <w:name w:val="SCC.ReasonsTitle Char"/>
    <w:basedOn w:val="DefaultParagraphFont"/>
    <w:link w:val="SCCReasonsTitle"/>
    <w:rsid w:val="001B27ED"/>
    <w:rPr>
      <w:b/>
      <w:lang w:val="en-CA"/>
    </w:rPr>
  </w:style>
  <w:style w:type="character" w:styleId="CommentReference">
    <w:name w:val="annotation reference"/>
    <w:basedOn w:val="DefaultParagraphFont"/>
    <w:uiPriority w:val="99"/>
    <w:semiHidden/>
    <w:unhideWhenUsed/>
    <w:rsid w:val="00EE256B"/>
    <w:rPr>
      <w:sz w:val="16"/>
      <w:szCs w:val="16"/>
    </w:rPr>
  </w:style>
  <w:style w:type="paragraph" w:styleId="CommentText">
    <w:name w:val="annotation text"/>
    <w:basedOn w:val="Normal"/>
    <w:link w:val="CommentTextChar"/>
    <w:uiPriority w:val="99"/>
    <w:semiHidden/>
    <w:unhideWhenUsed/>
    <w:rsid w:val="00EE256B"/>
    <w:rPr>
      <w:sz w:val="20"/>
      <w:szCs w:val="20"/>
    </w:rPr>
  </w:style>
  <w:style w:type="character" w:customStyle="1" w:styleId="CommentTextChar">
    <w:name w:val="Comment Text Char"/>
    <w:basedOn w:val="DefaultParagraphFont"/>
    <w:link w:val="CommentText"/>
    <w:uiPriority w:val="99"/>
    <w:semiHidden/>
    <w:rsid w:val="00EE256B"/>
    <w:rPr>
      <w:sz w:val="20"/>
      <w:szCs w:val="20"/>
      <w:lang w:val="en-CA"/>
    </w:rPr>
  </w:style>
  <w:style w:type="paragraph" w:styleId="CommentSubject">
    <w:name w:val="annotation subject"/>
    <w:basedOn w:val="CommentText"/>
    <w:next w:val="CommentText"/>
    <w:link w:val="CommentSubjectChar"/>
    <w:uiPriority w:val="99"/>
    <w:semiHidden/>
    <w:unhideWhenUsed/>
    <w:rsid w:val="00EE256B"/>
    <w:rPr>
      <w:b/>
      <w:bCs/>
    </w:rPr>
  </w:style>
  <w:style w:type="character" w:customStyle="1" w:styleId="CommentSubjectChar">
    <w:name w:val="Comment Subject Char"/>
    <w:basedOn w:val="CommentTextChar"/>
    <w:link w:val="CommentSubject"/>
    <w:uiPriority w:val="99"/>
    <w:semiHidden/>
    <w:rsid w:val="00EE256B"/>
    <w:rPr>
      <w:b/>
      <w:bCs/>
      <w:sz w:val="20"/>
      <w:szCs w:val="20"/>
      <w:lang w:val="en-CA"/>
    </w:rPr>
  </w:style>
  <w:style w:type="character" w:customStyle="1" w:styleId="Heading8Char">
    <w:name w:val="Heading 8 Char"/>
    <w:basedOn w:val="DefaultParagraphFont"/>
    <w:link w:val="Heading8"/>
    <w:uiPriority w:val="9"/>
    <w:rsid w:val="00B76741"/>
    <w:rPr>
      <w:szCs w:val="22"/>
      <w:lang w:bidi="en-US"/>
    </w:rPr>
  </w:style>
  <w:style w:type="paragraph" w:customStyle="1" w:styleId="ParaNoNdepar-AltN">
    <w:name w:val="Para. No. / Nº de par. - Alt N"/>
    <w:link w:val="ParaNoNdepar-AltNChar"/>
    <w:qFormat/>
    <w:rsid w:val="00B76741"/>
    <w:pPr>
      <w:numPr>
        <w:numId w:val="2"/>
      </w:numPr>
      <w:spacing w:before="480" w:after="480" w:line="360" w:lineRule="auto"/>
      <w:jc w:val="both"/>
    </w:pPr>
    <w:rPr>
      <w:rFonts w:eastAsiaTheme="minorEastAsia"/>
      <w:szCs w:val="22"/>
      <w:lang w:val="en-CA"/>
    </w:rPr>
  </w:style>
  <w:style w:type="character" w:customStyle="1" w:styleId="ParaNoNdepar-AltNChar">
    <w:name w:val="Para. No. / Nº de par. - Alt N Char"/>
    <w:basedOn w:val="DefaultParagraphFont"/>
    <w:link w:val="ParaNoNdepar-AltN"/>
    <w:locked/>
    <w:rsid w:val="00B76741"/>
    <w:rPr>
      <w:rFonts w:eastAsiaTheme="minorEastAsia"/>
      <w:szCs w:val="22"/>
      <w:lang w:val="en-CA"/>
    </w:rPr>
  </w:style>
  <w:style w:type="paragraph" w:styleId="ListParagraph">
    <w:name w:val="List Paragraph"/>
    <w:basedOn w:val="Normal"/>
    <w:uiPriority w:val="34"/>
    <w:qFormat/>
    <w:rsid w:val="00B76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2493">
      <w:bodyDiv w:val="1"/>
      <w:marLeft w:val="0"/>
      <w:marRight w:val="0"/>
      <w:marTop w:val="0"/>
      <w:marBottom w:val="0"/>
      <w:divBdr>
        <w:top w:val="none" w:sz="0" w:space="0" w:color="auto"/>
        <w:left w:val="none" w:sz="0" w:space="0" w:color="auto"/>
        <w:bottom w:val="none" w:sz="0" w:space="0" w:color="auto"/>
        <w:right w:val="none" w:sz="0" w:space="0" w:color="auto"/>
      </w:divBdr>
    </w:div>
    <w:div w:id="388308635">
      <w:bodyDiv w:val="1"/>
      <w:marLeft w:val="0"/>
      <w:marRight w:val="0"/>
      <w:marTop w:val="0"/>
      <w:marBottom w:val="0"/>
      <w:divBdr>
        <w:top w:val="none" w:sz="0" w:space="0" w:color="auto"/>
        <w:left w:val="none" w:sz="0" w:space="0" w:color="auto"/>
        <w:bottom w:val="none" w:sz="0" w:space="0" w:color="auto"/>
        <w:right w:val="none" w:sz="0" w:space="0" w:color="auto"/>
      </w:divBdr>
    </w:div>
    <w:div w:id="627588026">
      <w:bodyDiv w:val="1"/>
      <w:marLeft w:val="0"/>
      <w:marRight w:val="0"/>
      <w:marTop w:val="0"/>
      <w:marBottom w:val="0"/>
      <w:divBdr>
        <w:top w:val="none" w:sz="0" w:space="0" w:color="auto"/>
        <w:left w:val="none" w:sz="0" w:space="0" w:color="auto"/>
        <w:bottom w:val="none" w:sz="0" w:space="0" w:color="auto"/>
        <w:right w:val="none" w:sz="0" w:space="0" w:color="auto"/>
      </w:divBdr>
    </w:div>
    <w:div w:id="1015765027">
      <w:bodyDiv w:val="1"/>
      <w:marLeft w:val="0"/>
      <w:marRight w:val="0"/>
      <w:marTop w:val="0"/>
      <w:marBottom w:val="0"/>
      <w:divBdr>
        <w:top w:val="none" w:sz="0" w:space="0" w:color="auto"/>
        <w:left w:val="none" w:sz="0" w:space="0" w:color="auto"/>
        <w:bottom w:val="none" w:sz="0" w:space="0" w:color="auto"/>
        <w:right w:val="none" w:sz="0" w:space="0" w:color="auto"/>
      </w:divBdr>
    </w:div>
    <w:div w:id="1145197378">
      <w:bodyDiv w:val="1"/>
      <w:marLeft w:val="0"/>
      <w:marRight w:val="0"/>
      <w:marTop w:val="0"/>
      <w:marBottom w:val="0"/>
      <w:divBdr>
        <w:top w:val="none" w:sz="0" w:space="0" w:color="auto"/>
        <w:left w:val="none" w:sz="0" w:space="0" w:color="auto"/>
        <w:bottom w:val="none" w:sz="0" w:space="0" w:color="auto"/>
        <w:right w:val="none" w:sz="0" w:space="0" w:color="auto"/>
      </w:divBdr>
    </w:div>
    <w:div w:id="1824467910">
      <w:bodyDiv w:val="1"/>
      <w:marLeft w:val="0"/>
      <w:marRight w:val="0"/>
      <w:marTop w:val="0"/>
      <w:marBottom w:val="0"/>
      <w:divBdr>
        <w:top w:val="none" w:sz="0" w:space="0" w:color="auto"/>
        <w:left w:val="none" w:sz="0" w:space="0" w:color="auto"/>
        <w:bottom w:val="none" w:sz="0" w:space="0" w:color="auto"/>
        <w:right w:val="none" w:sz="0" w:space="0" w:color="auto"/>
      </w:divBdr>
    </w:div>
    <w:div w:id="1854804274">
      <w:bodyDiv w:val="1"/>
      <w:marLeft w:val="0"/>
      <w:marRight w:val="0"/>
      <w:marTop w:val="0"/>
      <w:marBottom w:val="0"/>
      <w:divBdr>
        <w:top w:val="none" w:sz="0" w:space="0" w:color="auto"/>
        <w:left w:val="none" w:sz="0" w:space="0" w:color="auto"/>
        <w:bottom w:val="none" w:sz="0" w:space="0" w:color="auto"/>
        <w:right w:val="none" w:sz="0" w:space="0" w:color="auto"/>
      </w:divBdr>
    </w:div>
    <w:div w:id="205411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anlii.org/en/ab/abca/doc/2021/2021abca172/2021abca172.html?autocompleteStr=2021%20ABCA%20172&amp;autocompletePos=1" TargetMode="External"/><Relationship Id="rId4" Type="http://schemas.openxmlformats.org/officeDocument/2006/relationships/settings" Target="settings.xml"/><Relationship Id="rId9" Type="http://schemas.openxmlformats.org/officeDocument/2006/relationships/image" Target="cid:image001.jpg@01D72252.19B69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C8928-1FBA-49AE-8589-830F59CFA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1076</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2022-02-21T15:51:00Z</dcterms:created>
  <dcterms:modified xsi:type="dcterms:W3CDTF">2023-05-04T16:42:00Z</dcterms:modified>
</cp:coreProperties>
</file>