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71"/>
        <w:gridCol w:w="1559"/>
        <w:gridCol w:w="1557"/>
        <w:gridCol w:w="3827"/>
      </w:tblGrid>
      <w:tr w:rsidR="00EF72F1" w:rsidRPr="00D862D9" w14:paraId="23E95CB5" w14:textId="77777777" w:rsidTr="0002096B">
        <w:trPr>
          <w:trHeight w:val="2103"/>
        </w:trPr>
        <w:tc>
          <w:tcPr>
            <w:tcW w:w="5000" w:type="pct"/>
            <w:gridSpan w:val="4"/>
          </w:tcPr>
          <w:p w14:paraId="3EAD8564" w14:textId="77777777" w:rsidR="00EF72F1" w:rsidRPr="00D862D9" w:rsidRDefault="00EF72F1" w:rsidP="001F3E0C">
            <w:pPr>
              <w:pStyle w:val="SCCBold"/>
              <w:jc w:val="center"/>
            </w:pPr>
            <w:r w:rsidRPr="00D862D9">
              <w:rPr>
                <w:noProof/>
                <w:lang w:val="fr-CA" w:eastAsia="fr-CA"/>
              </w:rPr>
              <w:drawing>
                <wp:inline distT="0" distB="0" distL="0" distR="0" wp14:anchorId="492A38F3" wp14:editId="73D790A6">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21E3315C" w14:textId="77777777" w:rsidR="00EF72F1" w:rsidRPr="00D862D9" w:rsidRDefault="00EF72F1" w:rsidP="009764CA">
            <w:pPr>
              <w:spacing w:before="120" w:after="100" w:afterAutospacing="1"/>
              <w:jc w:val="center"/>
              <w:rPr>
                <w:rFonts w:eastAsia="Calibri"/>
              </w:rPr>
            </w:pPr>
            <w:r w:rsidRPr="00D862D9">
              <w:rPr>
                <w:rFonts w:eastAsia="Calibri"/>
                <w:b/>
              </w:rPr>
              <w:t>SUPREME COURT OF CANADA</w:t>
            </w:r>
          </w:p>
        </w:tc>
      </w:tr>
      <w:tr w:rsidR="00EF72F1" w:rsidRPr="00D862D9" w14:paraId="3CABCB94" w14:textId="77777777" w:rsidTr="00C2506A">
        <w:tblPrEx>
          <w:tblCellMar>
            <w:top w:w="58" w:type="dxa"/>
            <w:left w:w="58" w:type="dxa"/>
            <w:bottom w:w="58" w:type="dxa"/>
            <w:right w:w="58" w:type="dxa"/>
          </w:tblCellMar>
        </w:tblPrEx>
        <w:trPr>
          <w:cantSplit/>
        </w:trPr>
        <w:tc>
          <w:tcPr>
            <w:tcW w:w="2078" w:type="pct"/>
            <w:gridSpan w:val="2"/>
          </w:tcPr>
          <w:p w14:paraId="4A964DC4" w14:textId="77777777" w:rsidR="00EF72F1" w:rsidRPr="00D862D9" w:rsidRDefault="00EF72F1" w:rsidP="00FC2782">
            <w:pPr>
              <w:rPr>
                <w:b/>
                <w:smallCaps/>
                <w:lang w:val="fr-CA"/>
              </w:rPr>
            </w:pPr>
          </w:p>
          <w:p w14:paraId="03323305" w14:textId="5FF69DA7" w:rsidR="00EF72F1" w:rsidRPr="00D862D9" w:rsidRDefault="00EF72F1" w:rsidP="00FC2782">
            <w:pPr>
              <w:rPr>
                <w:b/>
                <w:smallCaps/>
                <w:lang w:val="fr-CA"/>
              </w:rPr>
            </w:pPr>
            <w:r w:rsidRPr="00D862D9">
              <w:rPr>
                <w:b/>
                <w:smallCaps/>
                <w:lang w:val="fr-CA"/>
              </w:rPr>
              <w:t>Citation:</w:t>
            </w:r>
            <w:r w:rsidRPr="00D862D9">
              <w:rPr>
                <w:lang w:val="fr-CA"/>
              </w:rPr>
              <w:t xml:space="preserve"> </w:t>
            </w:r>
            <w:r w:rsidR="00283C46" w:rsidRPr="00D862D9">
              <w:rPr>
                <w:lang w:val="fr-CA"/>
              </w:rPr>
              <w:t xml:space="preserve">R. </w:t>
            </w:r>
            <w:r w:rsidR="00283C46" w:rsidRPr="00D862D9">
              <w:rPr>
                <w:i/>
                <w:lang w:val="fr-CA"/>
              </w:rPr>
              <w:t>v.</w:t>
            </w:r>
            <w:r w:rsidR="00283C46" w:rsidRPr="00D862D9">
              <w:rPr>
                <w:lang w:val="fr-CA"/>
              </w:rPr>
              <w:t xml:space="preserve"> </w:t>
            </w:r>
            <w:r w:rsidR="00283C46" w:rsidRPr="00D862D9">
              <w:t>Gerrard</w:t>
            </w:r>
            <w:r w:rsidR="00283C46" w:rsidRPr="00D862D9">
              <w:rPr>
                <w:lang w:val="fr-CA"/>
              </w:rPr>
              <w:t>, 2022 SCC 13</w:t>
            </w:r>
          </w:p>
        </w:tc>
        <w:tc>
          <w:tcPr>
            <w:tcW w:w="845" w:type="pct"/>
          </w:tcPr>
          <w:p w14:paraId="37DBFFFD" w14:textId="77777777" w:rsidR="00EF72F1" w:rsidRPr="00D862D9" w:rsidRDefault="00EF72F1" w:rsidP="00FC2782">
            <w:pPr>
              <w:rPr>
                <w:lang w:val="fr-CA"/>
              </w:rPr>
            </w:pPr>
          </w:p>
        </w:tc>
        <w:tc>
          <w:tcPr>
            <w:tcW w:w="2077" w:type="pct"/>
          </w:tcPr>
          <w:p w14:paraId="0DF85718" w14:textId="77777777" w:rsidR="00EF72F1" w:rsidRPr="00D862D9" w:rsidRDefault="00EF72F1" w:rsidP="00451668">
            <w:pPr>
              <w:rPr>
                <w:b/>
                <w:smallCaps/>
                <w:lang w:val="en-US"/>
              </w:rPr>
            </w:pPr>
          </w:p>
          <w:p w14:paraId="0B31F775" w14:textId="0912F013" w:rsidR="00EF72F1" w:rsidRPr="00D862D9" w:rsidRDefault="00EF72F1" w:rsidP="00EA6DB9">
            <w:pPr>
              <w:jc w:val="both"/>
            </w:pPr>
            <w:r w:rsidRPr="00D862D9">
              <w:rPr>
                <w:b/>
                <w:smallCaps/>
              </w:rPr>
              <w:t>Appeal Heard:</w:t>
            </w:r>
            <w:r w:rsidRPr="00D862D9">
              <w:t xml:space="preserve"> </w:t>
            </w:r>
            <w:r w:rsidR="00283C46" w:rsidRPr="00D862D9">
              <w:t>April 19, 2022</w:t>
            </w:r>
          </w:p>
          <w:p w14:paraId="16EEFEC6" w14:textId="7B1FABE8" w:rsidR="00EF72F1" w:rsidRPr="00D862D9" w:rsidRDefault="00EF72F1">
            <w:r w:rsidRPr="00D862D9">
              <w:rPr>
                <w:b/>
                <w:smallCaps/>
              </w:rPr>
              <w:t>Judgment Rendered:</w:t>
            </w:r>
            <w:r w:rsidRPr="00D862D9">
              <w:t xml:space="preserve"> </w:t>
            </w:r>
            <w:r w:rsidR="00283C46" w:rsidRPr="00D862D9">
              <w:t>April 19, 2022</w:t>
            </w:r>
          </w:p>
          <w:p w14:paraId="69B0BF67" w14:textId="46EF3E53" w:rsidR="00EF72F1" w:rsidRPr="00D862D9" w:rsidRDefault="00EF72F1" w:rsidP="00540106">
            <w:r w:rsidRPr="00D862D9">
              <w:rPr>
                <w:b/>
                <w:smallCaps/>
              </w:rPr>
              <w:t>Docket:</w:t>
            </w:r>
            <w:r w:rsidRPr="00D862D9">
              <w:t xml:space="preserve"> </w:t>
            </w:r>
            <w:r w:rsidR="00283C46" w:rsidRPr="00D862D9">
              <w:t>39874</w:t>
            </w:r>
          </w:p>
        </w:tc>
      </w:tr>
      <w:tr w:rsidR="00283C46" w:rsidRPr="00D862D9" w14:paraId="61B6007B" w14:textId="77777777" w:rsidTr="0002096B">
        <w:tblPrEx>
          <w:tblCellMar>
            <w:top w:w="58" w:type="dxa"/>
            <w:left w:w="58" w:type="dxa"/>
            <w:bottom w:w="58" w:type="dxa"/>
            <w:right w:w="58" w:type="dxa"/>
          </w:tblCellMar>
        </w:tblPrEx>
        <w:tc>
          <w:tcPr>
            <w:tcW w:w="5000" w:type="pct"/>
            <w:gridSpan w:val="4"/>
          </w:tcPr>
          <w:p w14:paraId="718838D6" w14:textId="77777777" w:rsidR="00283C46" w:rsidRPr="00D862D9" w:rsidRDefault="00283C46" w:rsidP="00283C46"/>
          <w:p w14:paraId="11F96FF1" w14:textId="77777777" w:rsidR="00283C46" w:rsidRPr="00D862D9" w:rsidRDefault="00283C46" w:rsidP="00283C46">
            <w:pPr>
              <w:pStyle w:val="SCCLsocPrefix"/>
            </w:pPr>
            <w:r w:rsidRPr="00D862D9">
              <w:t>Between:</w:t>
            </w:r>
          </w:p>
          <w:p w14:paraId="29483051" w14:textId="77777777" w:rsidR="00283C46" w:rsidRPr="00D862D9" w:rsidRDefault="00283C46" w:rsidP="00283C46"/>
          <w:p w14:paraId="51725D01" w14:textId="77777777" w:rsidR="00283C46" w:rsidRPr="00D862D9" w:rsidRDefault="00283C46" w:rsidP="00283C46">
            <w:pPr>
              <w:pStyle w:val="SCCLsocParty"/>
            </w:pPr>
            <w:r w:rsidRPr="00D862D9">
              <w:t>Andre Aaron Gerrard</w:t>
            </w:r>
          </w:p>
          <w:p w14:paraId="2B66D771" w14:textId="77777777" w:rsidR="00283C46" w:rsidRPr="00D862D9" w:rsidRDefault="00283C46" w:rsidP="00283C46">
            <w:pPr>
              <w:pStyle w:val="SCCLsocPartyRole"/>
            </w:pPr>
            <w:r w:rsidRPr="00D862D9">
              <w:t>Appellant</w:t>
            </w:r>
          </w:p>
          <w:p w14:paraId="2363C8FE" w14:textId="77777777" w:rsidR="00283C46" w:rsidRPr="00D862D9" w:rsidRDefault="00283C46" w:rsidP="00283C46"/>
          <w:p w14:paraId="462281EE" w14:textId="77777777" w:rsidR="00283C46" w:rsidRPr="00D862D9" w:rsidRDefault="00283C46" w:rsidP="00283C46">
            <w:pPr>
              <w:pStyle w:val="SCCLsocVersus"/>
            </w:pPr>
            <w:r w:rsidRPr="00D862D9">
              <w:t>and</w:t>
            </w:r>
          </w:p>
          <w:p w14:paraId="34DF5024" w14:textId="77777777" w:rsidR="00283C46" w:rsidRPr="00D862D9" w:rsidRDefault="00283C46" w:rsidP="00283C46"/>
          <w:p w14:paraId="76125642" w14:textId="77777777" w:rsidR="00283C46" w:rsidRPr="00D862D9" w:rsidRDefault="00283C46" w:rsidP="00283C46">
            <w:pPr>
              <w:pStyle w:val="SCCLsocParty"/>
            </w:pPr>
            <w:r w:rsidRPr="00D862D9">
              <w:t>Her Majesty The Queen</w:t>
            </w:r>
          </w:p>
          <w:p w14:paraId="3884125F" w14:textId="77777777" w:rsidR="00283C46" w:rsidRPr="00D862D9" w:rsidRDefault="00283C46" w:rsidP="00283C46">
            <w:pPr>
              <w:pStyle w:val="SCCLsocPartyRole"/>
            </w:pPr>
            <w:r w:rsidRPr="00D862D9">
              <w:t>Respondent</w:t>
            </w:r>
          </w:p>
          <w:p w14:paraId="3DC18BAC" w14:textId="77777777" w:rsidR="00283C46" w:rsidRPr="00D862D9" w:rsidRDefault="00283C46" w:rsidP="00283C46"/>
          <w:p w14:paraId="45181210" w14:textId="77777777" w:rsidR="00283C46" w:rsidRPr="00D862D9" w:rsidRDefault="00283C46" w:rsidP="00283C46"/>
          <w:p w14:paraId="4779BBB7" w14:textId="77777777" w:rsidR="00283C46" w:rsidRPr="00D862D9" w:rsidRDefault="00283C46" w:rsidP="00283C46"/>
          <w:p w14:paraId="24233565" w14:textId="77777777" w:rsidR="00283C46" w:rsidRPr="00D862D9" w:rsidRDefault="00283C46" w:rsidP="00283C46"/>
          <w:p w14:paraId="75C43C54" w14:textId="6D1323C1" w:rsidR="00283C46" w:rsidRPr="00D862D9" w:rsidRDefault="00283C46" w:rsidP="00283C46">
            <w:r w:rsidRPr="00D862D9">
              <w:rPr>
                <w:b/>
                <w:smallCaps/>
              </w:rPr>
              <w:t>Coram:</w:t>
            </w:r>
            <w:r w:rsidRPr="00D862D9">
              <w:t xml:space="preserve"> Moldaver, </w:t>
            </w:r>
            <w:r w:rsidR="006C61CA" w:rsidRPr="00D862D9">
              <w:t xml:space="preserve">Karakatsanis, </w:t>
            </w:r>
            <w:r w:rsidRPr="00D862D9">
              <w:t>Rowe, Kasirer and Jamal JJ.</w:t>
            </w:r>
          </w:p>
          <w:p w14:paraId="35F06095" w14:textId="77777777" w:rsidR="00283C46" w:rsidRPr="00D862D9" w:rsidRDefault="00283C46" w:rsidP="00283C46">
            <w:pPr>
              <w:rPr>
                <w:b/>
                <w:smallCaps/>
              </w:rPr>
            </w:pPr>
          </w:p>
        </w:tc>
      </w:tr>
      <w:tr w:rsidR="008726A9" w:rsidRPr="00D862D9" w14:paraId="13D1F871" w14:textId="77777777" w:rsidTr="0002096B">
        <w:tblPrEx>
          <w:tblCellMar>
            <w:top w:w="58" w:type="dxa"/>
            <w:left w:w="58" w:type="dxa"/>
            <w:bottom w:w="58" w:type="dxa"/>
            <w:right w:w="58" w:type="dxa"/>
          </w:tblCellMar>
        </w:tblPrEx>
        <w:trPr>
          <w:cantSplit/>
        </w:trPr>
        <w:tc>
          <w:tcPr>
            <w:tcW w:w="1232" w:type="pct"/>
          </w:tcPr>
          <w:p w14:paraId="1E3D4C0C" w14:textId="77777777" w:rsidR="008726A9" w:rsidRPr="00D862D9" w:rsidRDefault="008726A9" w:rsidP="00FA0A61">
            <w:pPr>
              <w:rPr>
                <w:b/>
                <w:bCs/>
                <w:smallCaps/>
                <w:color w:val="000000"/>
                <w:lang w:val="en-US"/>
              </w:rPr>
            </w:pPr>
            <w:r w:rsidRPr="00D862D9">
              <w:rPr>
                <w:b/>
                <w:bCs/>
                <w:smallCaps/>
                <w:color w:val="000000"/>
                <w:lang w:val="en-US"/>
              </w:rPr>
              <w:t>Unanimous Judgment Read By:</w:t>
            </w:r>
          </w:p>
          <w:p w14:paraId="309B2846" w14:textId="009CABD3" w:rsidR="008726A9" w:rsidRPr="00D862D9" w:rsidRDefault="008726A9" w:rsidP="00FA0A61">
            <w:pPr>
              <w:rPr>
                <w:color w:val="000000"/>
              </w:rPr>
            </w:pPr>
            <w:r w:rsidRPr="00D862D9">
              <w:rPr>
                <w:color w:val="000000"/>
                <w:lang w:val="en-US"/>
              </w:rPr>
              <w:t>(paras. </w:t>
            </w:r>
            <w:r w:rsidRPr="00D862D9">
              <w:rPr>
                <w:color w:val="000000"/>
              </w:rPr>
              <w:t xml:space="preserve">1 to </w:t>
            </w:r>
            <w:r w:rsidR="00310E87" w:rsidRPr="00D862D9">
              <w:rPr>
                <w:color w:val="000000"/>
              </w:rPr>
              <w:t>6</w:t>
            </w:r>
            <w:r w:rsidRPr="00D862D9">
              <w:rPr>
                <w:color w:val="000000"/>
              </w:rPr>
              <w:t>)</w:t>
            </w:r>
          </w:p>
          <w:p w14:paraId="4B64DCF2" w14:textId="77777777" w:rsidR="008726A9" w:rsidRPr="00D862D9" w:rsidRDefault="008726A9" w:rsidP="00FA0A61"/>
        </w:tc>
        <w:tc>
          <w:tcPr>
            <w:tcW w:w="3768" w:type="pct"/>
            <w:gridSpan w:val="3"/>
          </w:tcPr>
          <w:p w14:paraId="777D0FBF" w14:textId="77777777" w:rsidR="008726A9" w:rsidRPr="00D862D9" w:rsidRDefault="008726A9" w:rsidP="00FA0A61">
            <w:r w:rsidRPr="00D862D9">
              <w:t>Moldaver </w:t>
            </w:r>
            <w:r w:rsidRPr="00D862D9">
              <w:rPr>
                <w:color w:val="000000"/>
              </w:rPr>
              <w:t>J.</w:t>
            </w:r>
          </w:p>
        </w:tc>
      </w:tr>
    </w:tbl>
    <w:p w14:paraId="5ED07408" w14:textId="77777777" w:rsidR="00904937" w:rsidRPr="00D862D9" w:rsidRDefault="00904937" w:rsidP="00076773">
      <w:pPr>
        <w:pStyle w:val="SCCBold"/>
        <w:rPr>
          <w:b w:val="0"/>
        </w:rPr>
      </w:pPr>
      <w:r w:rsidRPr="00D862D9">
        <w:rPr>
          <w:smallCaps/>
        </w:rPr>
        <w:t>Note:</w:t>
      </w:r>
      <w:r w:rsidRPr="00D862D9">
        <w:t xml:space="preserve"> </w:t>
      </w:r>
      <w:r w:rsidRPr="00D862D9">
        <w:rPr>
          <w:b w:val="0"/>
        </w:rPr>
        <w:t>This do</w:t>
      </w:r>
      <w:r w:rsidR="009E7065" w:rsidRPr="00D862D9">
        <w:rPr>
          <w:b w:val="0"/>
        </w:rPr>
        <w:t>c</w:t>
      </w:r>
      <w:r w:rsidRPr="00D862D9">
        <w:rPr>
          <w:b w:val="0"/>
        </w:rPr>
        <w:t xml:space="preserve">ument is subject to editorial revision before its reproduction in final form in the </w:t>
      </w:r>
      <w:r w:rsidRPr="00D862D9">
        <w:rPr>
          <w:b w:val="0"/>
          <w:i/>
        </w:rPr>
        <w:t>Canada Supreme Court Reports</w:t>
      </w:r>
      <w:r w:rsidRPr="00D862D9">
        <w:rPr>
          <w:b w:val="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87E50" w:rsidRPr="00D862D9" w14:paraId="6DD4F3E7" w14:textId="77777777" w:rsidTr="003375C9">
        <w:tc>
          <w:tcPr>
            <w:tcW w:w="1500" w:type="pct"/>
            <w:tcMar>
              <w:top w:w="284" w:type="dxa"/>
            </w:tcMar>
          </w:tcPr>
          <w:p w14:paraId="7E004725" w14:textId="77777777" w:rsidR="00087E50" w:rsidRPr="00D862D9" w:rsidRDefault="00087E50" w:rsidP="003375C9">
            <w:pPr>
              <w:rPr>
                <w:rFonts w:eastAsia="Calibri"/>
              </w:rPr>
            </w:pPr>
          </w:p>
        </w:tc>
        <w:tc>
          <w:tcPr>
            <w:tcW w:w="2000" w:type="pct"/>
            <w:tcBorders>
              <w:bottom w:val="single" w:sz="4" w:space="0" w:color="auto"/>
            </w:tcBorders>
            <w:tcMar>
              <w:top w:w="284" w:type="dxa"/>
            </w:tcMar>
          </w:tcPr>
          <w:p w14:paraId="6BB65A63" w14:textId="77777777" w:rsidR="00087E50" w:rsidRPr="00D862D9" w:rsidRDefault="00087E50" w:rsidP="003375C9">
            <w:pPr>
              <w:rPr>
                <w:rFonts w:eastAsia="Calibri"/>
              </w:rPr>
            </w:pPr>
          </w:p>
        </w:tc>
        <w:tc>
          <w:tcPr>
            <w:tcW w:w="1500" w:type="pct"/>
            <w:tcMar>
              <w:top w:w="284" w:type="dxa"/>
            </w:tcMar>
          </w:tcPr>
          <w:p w14:paraId="4DB68339" w14:textId="77777777" w:rsidR="00087E50" w:rsidRPr="00D862D9" w:rsidRDefault="00087E50" w:rsidP="003375C9">
            <w:pPr>
              <w:rPr>
                <w:rFonts w:eastAsia="Calibri"/>
              </w:rPr>
            </w:pPr>
          </w:p>
        </w:tc>
      </w:tr>
    </w:tbl>
    <w:p w14:paraId="305AFF88" w14:textId="7A5A3889" w:rsidR="00C2506A" w:rsidRDefault="00C2506A" w:rsidP="00671335">
      <w:pPr>
        <w:jc w:val="right"/>
      </w:pPr>
    </w:p>
    <w:p w14:paraId="1F898034" w14:textId="77777777" w:rsidR="00C2506A" w:rsidRDefault="00C2506A" w:rsidP="00671335">
      <w:pPr>
        <w:jc w:val="right"/>
      </w:pPr>
    </w:p>
    <w:p w14:paraId="7907FD8A" w14:textId="77777777" w:rsidR="00C2506A" w:rsidRDefault="00C2506A" w:rsidP="00671335">
      <w:pPr>
        <w:jc w:val="right"/>
      </w:pPr>
      <w:bookmarkStart w:id="0" w:name="_GoBack"/>
      <w:bookmarkEnd w:id="0"/>
    </w:p>
    <w:p w14:paraId="4FE09A1E" w14:textId="77777777" w:rsidR="00C2506A" w:rsidRPr="00C2506A" w:rsidRDefault="00C2506A" w:rsidP="00C2506A">
      <w:pPr>
        <w:tabs>
          <w:tab w:val="right" w:pos="8222"/>
        </w:tabs>
        <w:spacing w:after="720"/>
        <w:rPr>
          <w:rFonts w:eastAsia="Times New Roman" w:cs="Times New Roman"/>
          <w:b/>
          <w:szCs w:val="20"/>
          <w:lang w:val="fr-CA" w:eastAsia="en-CA"/>
        </w:rPr>
      </w:pPr>
      <w:proofErr w:type="spellStart"/>
      <w:r w:rsidRPr="00C2506A">
        <w:rPr>
          <w:rFonts w:eastAsia="Times New Roman" w:cs="Times New Roman"/>
          <w:b/>
          <w:szCs w:val="20"/>
          <w:lang w:val="fr-CA" w:eastAsia="en-CA"/>
        </w:rPr>
        <w:t>Andre</w:t>
      </w:r>
      <w:proofErr w:type="spellEnd"/>
      <w:r w:rsidRPr="00C2506A">
        <w:rPr>
          <w:rFonts w:eastAsia="Times New Roman" w:cs="Times New Roman"/>
          <w:b/>
          <w:szCs w:val="20"/>
          <w:lang w:val="fr-CA" w:eastAsia="en-CA"/>
        </w:rPr>
        <w:t xml:space="preserve"> Aaron </w:t>
      </w:r>
      <w:proofErr w:type="spellStart"/>
      <w:r w:rsidRPr="00C2506A">
        <w:rPr>
          <w:rFonts w:eastAsia="Times New Roman" w:cs="Times New Roman"/>
          <w:b/>
          <w:szCs w:val="20"/>
          <w:lang w:val="fr-CA" w:eastAsia="en-CA"/>
        </w:rPr>
        <w:t>Gerrard</w:t>
      </w:r>
      <w:proofErr w:type="spellEnd"/>
      <w:r w:rsidRPr="00C2506A">
        <w:rPr>
          <w:rFonts w:eastAsia="Times New Roman" w:cs="Times New Roman"/>
          <w:i/>
          <w:szCs w:val="20"/>
          <w:lang w:val="fr-CA" w:eastAsia="en-CA"/>
        </w:rPr>
        <w:tab/>
      </w:r>
      <w:proofErr w:type="spellStart"/>
      <w:r w:rsidRPr="00C2506A">
        <w:rPr>
          <w:rFonts w:eastAsia="Times New Roman" w:cs="Times New Roman"/>
          <w:i/>
          <w:szCs w:val="20"/>
          <w:lang w:val="fr-CA" w:eastAsia="en-CA"/>
        </w:rPr>
        <w:t>Appellant</w:t>
      </w:r>
      <w:proofErr w:type="spellEnd"/>
    </w:p>
    <w:p w14:paraId="768546D7" w14:textId="77777777" w:rsidR="00C2506A" w:rsidRPr="00C2506A" w:rsidRDefault="00C2506A" w:rsidP="00C2506A">
      <w:pPr>
        <w:spacing w:after="720"/>
        <w:rPr>
          <w:rFonts w:eastAsia="Times New Roman" w:cs="Times New Roman"/>
          <w:i/>
          <w:szCs w:val="20"/>
          <w:lang w:val="fr-CA" w:eastAsia="en-CA"/>
        </w:rPr>
      </w:pPr>
      <w:r w:rsidRPr="00C2506A">
        <w:rPr>
          <w:rFonts w:eastAsia="Times New Roman" w:cs="Times New Roman"/>
          <w:i/>
          <w:szCs w:val="20"/>
          <w:lang w:val="fr-CA" w:eastAsia="en-CA"/>
        </w:rPr>
        <w:t>v.</w:t>
      </w:r>
    </w:p>
    <w:p w14:paraId="71FB8D0E" w14:textId="77777777" w:rsidR="00C2506A" w:rsidRPr="00C2506A" w:rsidRDefault="00C2506A" w:rsidP="00C2506A">
      <w:pPr>
        <w:tabs>
          <w:tab w:val="right" w:pos="8222"/>
        </w:tabs>
        <w:spacing w:after="720"/>
        <w:rPr>
          <w:rFonts w:eastAsia="Times New Roman" w:cs="Times New Roman"/>
          <w:b/>
          <w:szCs w:val="20"/>
          <w:lang w:eastAsia="en-CA"/>
        </w:rPr>
      </w:pPr>
      <w:r w:rsidRPr="00C2506A">
        <w:rPr>
          <w:rFonts w:eastAsia="Times New Roman" w:cs="Times New Roman"/>
          <w:b/>
          <w:szCs w:val="20"/>
          <w:lang w:eastAsia="en-CA"/>
        </w:rPr>
        <w:t xml:space="preserve">Her Majesty </w:t>
      </w:r>
      <w:proofErr w:type="gramStart"/>
      <w:r w:rsidRPr="00C2506A">
        <w:rPr>
          <w:rFonts w:eastAsia="Times New Roman" w:cs="Times New Roman"/>
          <w:b/>
          <w:szCs w:val="20"/>
          <w:lang w:eastAsia="en-CA"/>
        </w:rPr>
        <w:t>The</w:t>
      </w:r>
      <w:proofErr w:type="gramEnd"/>
      <w:r w:rsidRPr="00C2506A">
        <w:rPr>
          <w:rFonts w:eastAsia="Times New Roman" w:cs="Times New Roman"/>
          <w:b/>
          <w:szCs w:val="20"/>
          <w:lang w:eastAsia="en-CA"/>
        </w:rPr>
        <w:t xml:space="preserve"> Queen</w:t>
      </w:r>
      <w:r w:rsidRPr="00C2506A">
        <w:rPr>
          <w:rFonts w:eastAsia="Times New Roman" w:cs="Times New Roman"/>
          <w:i/>
          <w:szCs w:val="20"/>
          <w:lang w:eastAsia="en-CA"/>
        </w:rPr>
        <w:tab/>
        <w:t>Respondent</w:t>
      </w:r>
    </w:p>
    <w:p w14:paraId="5A5F421A" w14:textId="77777777" w:rsidR="00C2506A" w:rsidRPr="00C2506A" w:rsidRDefault="00C2506A" w:rsidP="00C2506A">
      <w:pPr>
        <w:spacing w:after="720"/>
        <w:jc w:val="both"/>
        <w:rPr>
          <w:rFonts w:eastAsia="Times New Roman" w:cs="Times New Roman"/>
          <w:b/>
          <w:szCs w:val="20"/>
          <w:lang w:eastAsia="en-CA"/>
        </w:rPr>
      </w:pPr>
      <w:r w:rsidRPr="00C2506A">
        <w:rPr>
          <w:rFonts w:eastAsia="Times New Roman" w:cs="Times New Roman"/>
          <w:b/>
          <w:szCs w:val="20"/>
          <w:lang w:eastAsia="en-CA"/>
        </w:rPr>
        <w:t xml:space="preserve">Indexed as: R. </w:t>
      </w:r>
      <w:r w:rsidRPr="00C2506A">
        <w:rPr>
          <w:rFonts w:eastAsia="Times New Roman" w:cs="Times New Roman"/>
          <w:b/>
          <w:i/>
          <w:szCs w:val="20"/>
          <w:lang w:eastAsia="en-CA"/>
        </w:rPr>
        <w:t>v.</w:t>
      </w:r>
      <w:r w:rsidRPr="00C2506A">
        <w:rPr>
          <w:rFonts w:eastAsia="Times New Roman" w:cs="Times New Roman"/>
          <w:b/>
          <w:szCs w:val="20"/>
          <w:lang w:eastAsia="en-CA"/>
        </w:rPr>
        <w:t xml:space="preserve"> Gerrard</w:t>
      </w:r>
    </w:p>
    <w:p w14:paraId="1377CE91" w14:textId="77777777" w:rsidR="00C2506A" w:rsidRPr="00C2506A" w:rsidRDefault="00C2506A" w:rsidP="00C2506A">
      <w:pPr>
        <w:spacing w:after="720"/>
        <w:jc w:val="both"/>
        <w:rPr>
          <w:rFonts w:eastAsia="Times New Roman" w:cs="Times New Roman"/>
          <w:b/>
          <w:szCs w:val="20"/>
          <w:lang w:eastAsia="en-CA"/>
        </w:rPr>
      </w:pPr>
      <w:r w:rsidRPr="00C2506A">
        <w:rPr>
          <w:rFonts w:eastAsia="Times New Roman" w:cs="Times New Roman"/>
          <w:b/>
          <w:szCs w:val="20"/>
          <w:lang w:eastAsia="en-CA"/>
        </w:rPr>
        <w:t>2022 SCC 13</w:t>
      </w:r>
    </w:p>
    <w:p w14:paraId="763C5276" w14:textId="77777777" w:rsidR="00C2506A" w:rsidRPr="00C2506A" w:rsidRDefault="00C2506A" w:rsidP="00C2506A">
      <w:pPr>
        <w:spacing w:after="720"/>
        <w:jc w:val="both"/>
        <w:rPr>
          <w:rFonts w:eastAsia="Times New Roman" w:cs="Times New Roman"/>
          <w:szCs w:val="20"/>
          <w:lang w:eastAsia="en-CA"/>
        </w:rPr>
      </w:pPr>
      <w:r w:rsidRPr="00C2506A">
        <w:rPr>
          <w:rFonts w:eastAsia="Times New Roman" w:cs="Times New Roman"/>
          <w:szCs w:val="20"/>
          <w:lang w:eastAsia="en-CA"/>
        </w:rPr>
        <w:t>File No.: 39874.</w:t>
      </w:r>
    </w:p>
    <w:p w14:paraId="03346525" w14:textId="77777777" w:rsidR="00C2506A" w:rsidRPr="00C2506A" w:rsidRDefault="00C2506A" w:rsidP="00C2506A">
      <w:pPr>
        <w:spacing w:after="720"/>
        <w:jc w:val="both"/>
        <w:rPr>
          <w:rFonts w:eastAsia="Times New Roman" w:cs="Times New Roman"/>
          <w:szCs w:val="20"/>
          <w:lang w:eastAsia="en-CA"/>
        </w:rPr>
      </w:pPr>
      <w:r w:rsidRPr="00C2506A">
        <w:rPr>
          <w:rFonts w:eastAsia="Times New Roman" w:cs="Times New Roman"/>
          <w:szCs w:val="20"/>
          <w:lang w:eastAsia="en-CA"/>
        </w:rPr>
        <w:t>2022: April 19.</w:t>
      </w:r>
    </w:p>
    <w:p w14:paraId="0C18DBB1" w14:textId="77777777" w:rsidR="00C2506A" w:rsidRPr="00C2506A" w:rsidRDefault="00C2506A" w:rsidP="00C2506A">
      <w:pPr>
        <w:spacing w:after="720"/>
        <w:jc w:val="both"/>
        <w:rPr>
          <w:rFonts w:eastAsia="Times New Roman" w:cs="Times New Roman"/>
          <w:szCs w:val="20"/>
          <w:lang w:eastAsia="en-CA"/>
        </w:rPr>
      </w:pPr>
      <w:r w:rsidRPr="00C2506A">
        <w:rPr>
          <w:rFonts w:eastAsia="Times New Roman" w:cs="Times New Roman"/>
          <w:szCs w:val="20"/>
          <w:lang w:eastAsia="en-CA"/>
        </w:rPr>
        <w:t xml:space="preserve">Present: </w:t>
      </w:r>
      <w:proofErr w:type="spellStart"/>
      <w:r w:rsidRPr="00C2506A">
        <w:rPr>
          <w:rFonts w:eastAsia="Times New Roman" w:cs="Times New Roman"/>
          <w:szCs w:val="20"/>
          <w:lang w:eastAsia="en-CA"/>
        </w:rPr>
        <w:t>Moldaver</w:t>
      </w:r>
      <w:proofErr w:type="spellEnd"/>
      <w:r w:rsidRPr="00C2506A">
        <w:rPr>
          <w:rFonts w:eastAsia="Times New Roman" w:cs="Times New Roman"/>
          <w:szCs w:val="20"/>
          <w:lang w:eastAsia="en-CA"/>
        </w:rPr>
        <w:t xml:space="preserve">, </w:t>
      </w:r>
      <w:proofErr w:type="spellStart"/>
      <w:r w:rsidRPr="00C2506A">
        <w:rPr>
          <w:rFonts w:eastAsia="Times New Roman" w:cs="Times New Roman"/>
          <w:szCs w:val="20"/>
          <w:lang w:eastAsia="en-CA"/>
        </w:rPr>
        <w:t>Karakatsanis</w:t>
      </w:r>
      <w:proofErr w:type="spellEnd"/>
      <w:r w:rsidRPr="00C2506A">
        <w:rPr>
          <w:rFonts w:eastAsia="Times New Roman" w:cs="Times New Roman"/>
          <w:szCs w:val="20"/>
          <w:lang w:eastAsia="en-CA"/>
        </w:rPr>
        <w:t xml:space="preserve">, Rowe, </w:t>
      </w:r>
      <w:proofErr w:type="spellStart"/>
      <w:r w:rsidRPr="00C2506A">
        <w:rPr>
          <w:rFonts w:eastAsia="Times New Roman" w:cs="Times New Roman"/>
          <w:szCs w:val="20"/>
          <w:lang w:eastAsia="en-CA"/>
        </w:rPr>
        <w:t>Kasirer</w:t>
      </w:r>
      <w:proofErr w:type="spellEnd"/>
      <w:r w:rsidRPr="00C2506A">
        <w:rPr>
          <w:rFonts w:eastAsia="Times New Roman" w:cs="Times New Roman"/>
          <w:szCs w:val="20"/>
          <w:lang w:eastAsia="en-CA"/>
        </w:rPr>
        <w:t xml:space="preserve"> and Jamal </w:t>
      </w:r>
      <w:proofErr w:type="spellStart"/>
      <w:r w:rsidRPr="00C2506A">
        <w:rPr>
          <w:rFonts w:eastAsia="Times New Roman" w:cs="Times New Roman"/>
          <w:szCs w:val="20"/>
          <w:lang w:eastAsia="en-CA"/>
        </w:rPr>
        <w:t>JJ</w:t>
      </w:r>
      <w:proofErr w:type="spellEnd"/>
      <w:r w:rsidRPr="00C2506A">
        <w:rPr>
          <w:rFonts w:eastAsia="Times New Roman" w:cs="Times New Roman"/>
          <w:szCs w:val="20"/>
          <w:lang w:eastAsia="en-CA"/>
        </w:rPr>
        <w:t>.</w:t>
      </w:r>
    </w:p>
    <w:p w14:paraId="30B0BEF7" w14:textId="77777777" w:rsidR="00C2506A" w:rsidRPr="00C2506A" w:rsidRDefault="00C2506A" w:rsidP="00C2506A">
      <w:pPr>
        <w:tabs>
          <w:tab w:val="left" w:pos="1168"/>
        </w:tabs>
        <w:spacing w:after="720"/>
        <w:jc w:val="both"/>
        <w:rPr>
          <w:rFonts w:eastAsia="Times New Roman" w:cs="Times New Roman"/>
          <w:smallCaps/>
          <w:szCs w:val="20"/>
          <w:lang w:eastAsia="en-CA"/>
        </w:rPr>
      </w:pPr>
      <w:r w:rsidRPr="00C2506A">
        <w:rPr>
          <w:rFonts w:eastAsia="Times New Roman" w:cs="Times New Roman"/>
          <w:smallCaps/>
          <w:szCs w:val="20"/>
          <w:lang w:eastAsia="en-CA"/>
        </w:rPr>
        <w:t>on appeal from the court of appeal for nova scotia</w:t>
      </w:r>
    </w:p>
    <w:p w14:paraId="079AD3E7" w14:textId="77777777" w:rsidR="00C2506A" w:rsidRPr="00C2506A" w:rsidRDefault="00C2506A" w:rsidP="00C2506A">
      <w:pPr>
        <w:tabs>
          <w:tab w:val="left" w:pos="1168"/>
        </w:tabs>
        <w:spacing w:after="480" w:line="480" w:lineRule="auto"/>
        <w:jc w:val="both"/>
        <w:rPr>
          <w:rFonts w:eastAsia="Times New Roman" w:cs="Times New Roman"/>
          <w:i/>
          <w:szCs w:val="20"/>
          <w:lang w:val="en-US" w:eastAsia="en-CA"/>
        </w:rPr>
      </w:pPr>
      <w:r w:rsidRPr="00C2506A">
        <w:rPr>
          <w:rFonts w:eastAsia="Times New Roman" w:cs="Times New Roman"/>
          <w:szCs w:val="20"/>
          <w:lang w:eastAsia="en-CA"/>
        </w:rPr>
        <w:tab/>
      </w:r>
      <w:r w:rsidRPr="00C2506A">
        <w:rPr>
          <w:rFonts w:eastAsia="Times New Roman" w:cs="Times New Roman"/>
          <w:i/>
          <w:szCs w:val="20"/>
          <w:lang w:val="en-US" w:eastAsia="en-CA"/>
        </w:rPr>
        <w:t xml:space="preserve">Criminal law — Evidence — Assessment — Credibility — Absence of evidence of motive to lie — Lack of embellishment — Accused convicted of numerous charges for assaulting and threatening former common law spouse and damaging her property — Accused appealing convictions on basis that trial judge erred in application of </w:t>
      </w:r>
      <w:r w:rsidRPr="00C2506A">
        <w:rPr>
          <w:rFonts w:eastAsia="Times New Roman" w:cs="Times New Roman"/>
          <w:i/>
          <w:iCs/>
          <w:szCs w:val="20"/>
          <w:lang w:val="en-US" w:eastAsia="en-CA"/>
        </w:rPr>
        <w:t>W.(D.)</w:t>
      </w:r>
      <w:r w:rsidRPr="00C2506A">
        <w:rPr>
          <w:rFonts w:eastAsia="Times New Roman" w:cs="Times New Roman"/>
          <w:i/>
          <w:szCs w:val="20"/>
          <w:lang w:val="en-US" w:eastAsia="en-CA"/>
        </w:rPr>
        <w:t xml:space="preserve"> principles and in assessing complainant’s credibility — Majority of Court of Appeal holding that trial judge did not misapply </w:t>
      </w:r>
      <w:r w:rsidRPr="00C2506A">
        <w:rPr>
          <w:rFonts w:eastAsia="Times New Roman" w:cs="Times New Roman"/>
          <w:i/>
          <w:iCs/>
          <w:szCs w:val="20"/>
          <w:lang w:val="en-US" w:eastAsia="en-CA"/>
        </w:rPr>
        <w:t xml:space="preserve">W.(D.), that trial judge properly dealt with evidence of whether complainant had motive to lie, and that trial judge did not rely on complainant’s lack of embellishment in </w:t>
      </w:r>
      <w:proofErr w:type="spellStart"/>
      <w:r w:rsidRPr="00C2506A">
        <w:rPr>
          <w:rFonts w:eastAsia="Times New Roman" w:cs="Times New Roman"/>
          <w:i/>
          <w:iCs/>
          <w:szCs w:val="20"/>
          <w:lang w:val="en-US" w:eastAsia="en-CA"/>
        </w:rPr>
        <w:t>favour</w:t>
      </w:r>
      <w:proofErr w:type="spellEnd"/>
      <w:r w:rsidRPr="00C2506A">
        <w:rPr>
          <w:rFonts w:eastAsia="Times New Roman" w:cs="Times New Roman"/>
          <w:i/>
          <w:iCs/>
          <w:szCs w:val="20"/>
          <w:lang w:val="en-US" w:eastAsia="en-CA"/>
        </w:rPr>
        <w:t xml:space="preserve"> of her credibility — Convictions upheld.</w:t>
      </w:r>
    </w:p>
    <w:p w14:paraId="59C008C4" w14:textId="77777777" w:rsidR="00C2506A" w:rsidRPr="00C2506A" w:rsidRDefault="00C2506A" w:rsidP="00C2506A">
      <w:pPr>
        <w:widowControl w:val="0"/>
        <w:tabs>
          <w:tab w:val="left" w:pos="1168"/>
        </w:tabs>
        <w:spacing w:after="720"/>
        <w:jc w:val="both"/>
        <w:rPr>
          <w:rFonts w:eastAsia="Times New Roman" w:cs="Times New Roman"/>
          <w:b/>
          <w:szCs w:val="20"/>
          <w:lang w:eastAsia="en-CA"/>
        </w:rPr>
      </w:pPr>
      <w:r w:rsidRPr="00C2506A">
        <w:rPr>
          <w:rFonts w:eastAsia="Times New Roman" w:cs="Times New Roman"/>
          <w:b/>
          <w:szCs w:val="20"/>
          <w:lang w:eastAsia="en-CA"/>
        </w:rPr>
        <w:t>Cases Cited</w:t>
      </w:r>
    </w:p>
    <w:p w14:paraId="371D201B" w14:textId="77777777" w:rsidR="00C2506A" w:rsidRPr="00C2506A" w:rsidRDefault="00C2506A" w:rsidP="00C2506A">
      <w:pPr>
        <w:widowControl w:val="0"/>
        <w:tabs>
          <w:tab w:val="left" w:pos="1168"/>
        </w:tabs>
        <w:spacing w:after="480" w:line="480" w:lineRule="auto"/>
        <w:jc w:val="both"/>
        <w:rPr>
          <w:rFonts w:eastAsia="Times New Roman" w:cs="Times New Roman"/>
          <w:szCs w:val="20"/>
          <w:lang w:eastAsia="en-CA"/>
        </w:rPr>
      </w:pPr>
      <w:r w:rsidRPr="00C2506A">
        <w:rPr>
          <w:rFonts w:eastAsia="Times New Roman" w:cs="Times New Roman"/>
          <w:szCs w:val="20"/>
          <w:lang w:eastAsia="en-CA"/>
        </w:rPr>
        <w:tab/>
      </w:r>
      <w:r w:rsidRPr="00C2506A">
        <w:rPr>
          <w:rFonts w:eastAsia="Times New Roman" w:cs="Times New Roman"/>
          <w:b/>
          <w:szCs w:val="20"/>
          <w:lang w:eastAsia="en-CA"/>
        </w:rPr>
        <w:t>Referred to:</w:t>
      </w:r>
      <w:r w:rsidRPr="00C2506A">
        <w:rPr>
          <w:rFonts w:eastAsia="Times New Roman" w:cs="Times New Roman"/>
          <w:szCs w:val="20"/>
          <w:lang w:eastAsia="en-CA"/>
        </w:rPr>
        <w:t xml:space="preserve"> </w:t>
      </w:r>
      <w:r w:rsidRPr="00C2506A">
        <w:rPr>
          <w:rFonts w:eastAsia="Times New Roman" w:cs="Times New Roman"/>
          <w:i/>
          <w:szCs w:val="20"/>
          <w:lang w:eastAsia="en-CA"/>
        </w:rPr>
        <w:t>R. v. W</w:t>
      </w:r>
      <w:proofErr w:type="gramStart"/>
      <w:r w:rsidRPr="00C2506A">
        <w:rPr>
          <w:rFonts w:eastAsia="Times New Roman" w:cs="Times New Roman"/>
          <w:i/>
          <w:szCs w:val="20"/>
          <w:lang w:eastAsia="en-CA"/>
        </w:rPr>
        <w:t>.(</w:t>
      </w:r>
      <w:proofErr w:type="gramEnd"/>
      <w:r w:rsidRPr="00C2506A">
        <w:rPr>
          <w:rFonts w:eastAsia="Times New Roman" w:cs="Times New Roman"/>
          <w:i/>
          <w:szCs w:val="20"/>
          <w:lang w:eastAsia="en-CA"/>
        </w:rPr>
        <w:t>D.)</w:t>
      </w:r>
      <w:r w:rsidRPr="00C2506A">
        <w:rPr>
          <w:rFonts w:eastAsia="Times New Roman" w:cs="Times New Roman"/>
          <w:szCs w:val="20"/>
          <w:lang w:eastAsia="en-CA"/>
        </w:rPr>
        <w:t xml:space="preserve">, [1991] 1 </w:t>
      </w:r>
      <w:proofErr w:type="spellStart"/>
      <w:r w:rsidRPr="00C2506A">
        <w:rPr>
          <w:rFonts w:eastAsia="Times New Roman" w:cs="Times New Roman"/>
          <w:szCs w:val="20"/>
          <w:lang w:eastAsia="en-CA"/>
        </w:rPr>
        <w:t>S.C.R</w:t>
      </w:r>
      <w:proofErr w:type="spellEnd"/>
      <w:r w:rsidRPr="00C2506A">
        <w:rPr>
          <w:rFonts w:eastAsia="Times New Roman" w:cs="Times New Roman"/>
          <w:szCs w:val="20"/>
          <w:lang w:eastAsia="en-CA"/>
        </w:rPr>
        <w:t xml:space="preserve">. 742; </w:t>
      </w:r>
      <w:r w:rsidRPr="00C2506A">
        <w:rPr>
          <w:rFonts w:eastAsia="Times New Roman" w:cs="Times New Roman"/>
          <w:i/>
          <w:szCs w:val="20"/>
          <w:lang w:eastAsia="en-CA"/>
        </w:rPr>
        <w:t xml:space="preserve">R. v. </w:t>
      </w:r>
      <w:proofErr w:type="spellStart"/>
      <w:r w:rsidRPr="00C2506A">
        <w:rPr>
          <w:rFonts w:eastAsia="Times New Roman" w:cs="Times New Roman"/>
          <w:i/>
          <w:szCs w:val="20"/>
          <w:lang w:eastAsia="en-CA"/>
        </w:rPr>
        <w:t>Vuradin</w:t>
      </w:r>
      <w:proofErr w:type="spellEnd"/>
      <w:r w:rsidRPr="00C2506A">
        <w:rPr>
          <w:rFonts w:eastAsia="Times New Roman" w:cs="Times New Roman"/>
          <w:szCs w:val="20"/>
          <w:lang w:eastAsia="en-CA"/>
        </w:rPr>
        <w:t xml:space="preserve">, 2013 SCC 38, [2013] 2 </w:t>
      </w:r>
      <w:proofErr w:type="spellStart"/>
      <w:r w:rsidRPr="00C2506A">
        <w:rPr>
          <w:rFonts w:eastAsia="Times New Roman" w:cs="Times New Roman"/>
          <w:szCs w:val="20"/>
          <w:lang w:eastAsia="en-CA"/>
        </w:rPr>
        <w:t>S.C.R</w:t>
      </w:r>
      <w:proofErr w:type="spellEnd"/>
      <w:r w:rsidRPr="00C2506A">
        <w:rPr>
          <w:rFonts w:eastAsia="Times New Roman" w:cs="Times New Roman"/>
          <w:szCs w:val="20"/>
          <w:lang w:eastAsia="en-CA"/>
        </w:rPr>
        <w:t xml:space="preserve">. 639; </w:t>
      </w:r>
      <w:r w:rsidRPr="00C2506A">
        <w:rPr>
          <w:rFonts w:eastAsia="Times New Roman" w:cs="Times New Roman"/>
          <w:i/>
          <w:szCs w:val="20"/>
          <w:lang w:eastAsia="en-CA"/>
        </w:rPr>
        <w:t xml:space="preserve">R. v. </w:t>
      </w:r>
      <w:proofErr w:type="spellStart"/>
      <w:r w:rsidRPr="00C2506A">
        <w:rPr>
          <w:rFonts w:eastAsia="Times New Roman" w:cs="Times New Roman"/>
          <w:i/>
          <w:szCs w:val="20"/>
          <w:lang w:eastAsia="en-CA"/>
        </w:rPr>
        <w:t>G.F</w:t>
      </w:r>
      <w:proofErr w:type="spellEnd"/>
      <w:r w:rsidRPr="00C2506A">
        <w:rPr>
          <w:rFonts w:eastAsia="Times New Roman" w:cs="Times New Roman"/>
          <w:i/>
          <w:szCs w:val="20"/>
          <w:lang w:eastAsia="en-CA"/>
        </w:rPr>
        <w:t>.</w:t>
      </w:r>
      <w:r w:rsidRPr="00C2506A">
        <w:rPr>
          <w:rFonts w:eastAsia="Times New Roman" w:cs="Times New Roman"/>
          <w:szCs w:val="20"/>
          <w:lang w:eastAsia="en-CA"/>
        </w:rPr>
        <w:t xml:space="preserve">, 2021 SCC 20; </w:t>
      </w:r>
      <w:r w:rsidRPr="00C2506A">
        <w:rPr>
          <w:rFonts w:eastAsia="Times New Roman" w:cs="Times New Roman"/>
          <w:i/>
          <w:szCs w:val="20"/>
          <w:lang w:eastAsia="en-CA"/>
        </w:rPr>
        <w:t>R. v. Stirling</w:t>
      </w:r>
      <w:r w:rsidRPr="00C2506A">
        <w:rPr>
          <w:rFonts w:eastAsia="Times New Roman" w:cs="Times New Roman"/>
          <w:szCs w:val="20"/>
          <w:lang w:eastAsia="en-CA"/>
        </w:rPr>
        <w:t xml:space="preserve">, 2008 SCC 10, [2008] 1 </w:t>
      </w:r>
      <w:proofErr w:type="spellStart"/>
      <w:r w:rsidRPr="00C2506A">
        <w:rPr>
          <w:rFonts w:eastAsia="Times New Roman" w:cs="Times New Roman"/>
          <w:szCs w:val="20"/>
          <w:lang w:eastAsia="en-CA"/>
        </w:rPr>
        <w:t>S.C.R</w:t>
      </w:r>
      <w:proofErr w:type="spellEnd"/>
      <w:r w:rsidRPr="00C2506A">
        <w:rPr>
          <w:rFonts w:eastAsia="Times New Roman" w:cs="Times New Roman"/>
          <w:szCs w:val="20"/>
          <w:lang w:eastAsia="en-CA"/>
        </w:rPr>
        <w:t xml:space="preserve">. 272; </w:t>
      </w:r>
      <w:r w:rsidRPr="00C2506A">
        <w:rPr>
          <w:rFonts w:eastAsia="Times New Roman" w:cs="Times New Roman"/>
          <w:i/>
          <w:szCs w:val="20"/>
          <w:lang w:val="en-US" w:eastAsia="en-CA"/>
        </w:rPr>
        <w:t>R. v. Ignacio</w:t>
      </w:r>
      <w:r w:rsidRPr="00C2506A">
        <w:rPr>
          <w:rFonts w:eastAsia="Times New Roman" w:cs="Times New Roman"/>
          <w:szCs w:val="20"/>
          <w:lang w:val="en-US" w:eastAsia="en-CA"/>
        </w:rPr>
        <w:t xml:space="preserve">, 2021 </w:t>
      </w:r>
      <w:proofErr w:type="spellStart"/>
      <w:r w:rsidRPr="00C2506A">
        <w:rPr>
          <w:rFonts w:eastAsia="Times New Roman" w:cs="Times New Roman"/>
          <w:szCs w:val="20"/>
          <w:lang w:val="en-US" w:eastAsia="en-CA"/>
        </w:rPr>
        <w:t>ONCA</w:t>
      </w:r>
      <w:proofErr w:type="spellEnd"/>
      <w:r w:rsidRPr="00C2506A">
        <w:rPr>
          <w:rFonts w:eastAsia="Times New Roman" w:cs="Times New Roman"/>
          <w:szCs w:val="20"/>
          <w:lang w:val="en-US" w:eastAsia="en-CA"/>
        </w:rPr>
        <w:t xml:space="preserve"> 69, 400 </w:t>
      </w:r>
      <w:proofErr w:type="spellStart"/>
      <w:r w:rsidRPr="00C2506A">
        <w:rPr>
          <w:rFonts w:eastAsia="Times New Roman" w:cs="Times New Roman"/>
          <w:szCs w:val="20"/>
          <w:lang w:val="en-US" w:eastAsia="en-CA"/>
        </w:rPr>
        <w:t>C.C.C</w:t>
      </w:r>
      <w:proofErr w:type="spellEnd"/>
      <w:r w:rsidRPr="00C2506A">
        <w:rPr>
          <w:rFonts w:eastAsia="Times New Roman" w:cs="Times New Roman"/>
          <w:szCs w:val="20"/>
          <w:lang w:val="en-US" w:eastAsia="en-CA"/>
        </w:rPr>
        <w:t>. (</w:t>
      </w:r>
      <w:proofErr w:type="spellStart"/>
      <w:r w:rsidRPr="00C2506A">
        <w:rPr>
          <w:rFonts w:eastAsia="Times New Roman" w:cs="Times New Roman"/>
          <w:szCs w:val="20"/>
          <w:lang w:val="en-US" w:eastAsia="en-CA"/>
        </w:rPr>
        <w:t>3d</w:t>
      </w:r>
      <w:proofErr w:type="spellEnd"/>
      <w:r w:rsidRPr="00C2506A">
        <w:rPr>
          <w:rFonts w:eastAsia="Times New Roman" w:cs="Times New Roman"/>
          <w:szCs w:val="20"/>
          <w:lang w:val="en-US" w:eastAsia="en-CA"/>
        </w:rPr>
        <w:t xml:space="preserve">) 343; </w:t>
      </w:r>
      <w:r w:rsidRPr="00C2506A">
        <w:rPr>
          <w:rFonts w:eastAsia="Times New Roman" w:cs="Times New Roman"/>
          <w:i/>
          <w:szCs w:val="20"/>
          <w:lang w:eastAsia="en-CA"/>
        </w:rPr>
        <w:t>R. v. Swain</w:t>
      </w:r>
      <w:r w:rsidRPr="00C2506A">
        <w:rPr>
          <w:rFonts w:eastAsia="Times New Roman" w:cs="Times New Roman"/>
          <w:szCs w:val="20"/>
          <w:lang w:eastAsia="en-CA"/>
        </w:rPr>
        <w:t xml:space="preserve">, 2021 </w:t>
      </w:r>
      <w:proofErr w:type="spellStart"/>
      <w:r w:rsidRPr="00C2506A">
        <w:rPr>
          <w:rFonts w:eastAsia="Times New Roman" w:cs="Times New Roman"/>
          <w:szCs w:val="20"/>
          <w:lang w:eastAsia="en-CA"/>
        </w:rPr>
        <w:t>BCCA</w:t>
      </w:r>
      <w:proofErr w:type="spellEnd"/>
      <w:r w:rsidRPr="00C2506A">
        <w:rPr>
          <w:rFonts w:eastAsia="Times New Roman" w:cs="Times New Roman"/>
          <w:szCs w:val="20"/>
          <w:lang w:eastAsia="en-CA"/>
        </w:rPr>
        <w:t xml:space="preserve"> 207, 406 </w:t>
      </w:r>
      <w:proofErr w:type="spellStart"/>
      <w:r w:rsidRPr="00C2506A">
        <w:rPr>
          <w:rFonts w:eastAsia="Times New Roman" w:cs="Times New Roman"/>
          <w:szCs w:val="20"/>
          <w:lang w:eastAsia="en-CA"/>
        </w:rPr>
        <w:t>C.C.C</w:t>
      </w:r>
      <w:proofErr w:type="spellEnd"/>
      <w:r w:rsidRPr="00C2506A">
        <w:rPr>
          <w:rFonts w:eastAsia="Times New Roman" w:cs="Times New Roman"/>
          <w:szCs w:val="20"/>
          <w:lang w:eastAsia="en-CA"/>
        </w:rPr>
        <w:t>. (</w:t>
      </w:r>
      <w:proofErr w:type="spellStart"/>
      <w:r w:rsidRPr="00C2506A">
        <w:rPr>
          <w:rFonts w:eastAsia="Times New Roman" w:cs="Times New Roman"/>
          <w:szCs w:val="20"/>
          <w:lang w:eastAsia="en-CA"/>
        </w:rPr>
        <w:t>3d</w:t>
      </w:r>
      <w:proofErr w:type="spellEnd"/>
      <w:r w:rsidRPr="00C2506A">
        <w:rPr>
          <w:rFonts w:eastAsia="Times New Roman" w:cs="Times New Roman"/>
          <w:szCs w:val="20"/>
          <w:lang w:eastAsia="en-CA"/>
        </w:rPr>
        <w:t>) 39.</w:t>
      </w:r>
    </w:p>
    <w:p w14:paraId="73658652" w14:textId="77777777" w:rsidR="00C2506A" w:rsidRPr="00C2506A" w:rsidRDefault="00C2506A" w:rsidP="00C2506A">
      <w:pPr>
        <w:tabs>
          <w:tab w:val="left" w:pos="1168"/>
        </w:tabs>
        <w:spacing w:after="480" w:line="480" w:lineRule="auto"/>
        <w:jc w:val="both"/>
        <w:rPr>
          <w:rFonts w:eastAsia="Times New Roman" w:cs="Times New Roman"/>
          <w:szCs w:val="20"/>
          <w:lang w:val="en-US" w:eastAsia="en-CA"/>
        </w:rPr>
      </w:pPr>
      <w:r w:rsidRPr="00C2506A">
        <w:rPr>
          <w:rFonts w:eastAsia="Times New Roman" w:cs="Times New Roman"/>
          <w:szCs w:val="20"/>
          <w:lang w:eastAsia="en-CA"/>
        </w:rPr>
        <w:tab/>
        <w:t>APPEAL from a judgment of the Nova Scotia Court of Appeal (Bryson, Hamilton and Bourgeois </w:t>
      </w:r>
      <w:proofErr w:type="spellStart"/>
      <w:r w:rsidRPr="00C2506A">
        <w:rPr>
          <w:rFonts w:eastAsia="Times New Roman" w:cs="Times New Roman"/>
          <w:szCs w:val="20"/>
          <w:lang w:eastAsia="en-CA"/>
        </w:rPr>
        <w:t>JJ.A</w:t>
      </w:r>
      <w:proofErr w:type="spellEnd"/>
      <w:r w:rsidRPr="00C2506A">
        <w:rPr>
          <w:rFonts w:eastAsia="Times New Roman" w:cs="Times New Roman"/>
          <w:szCs w:val="20"/>
          <w:lang w:eastAsia="en-CA"/>
        </w:rPr>
        <w:t xml:space="preserve">.), </w:t>
      </w:r>
      <w:hyperlink r:id="rId10" w:history="1">
        <w:r w:rsidRPr="00C2506A">
          <w:rPr>
            <w:rFonts w:eastAsia="Times New Roman" w:cs="Times New Roman"/>
            <w:color w:val="660000"/>
            <w:szCs w:val="20"/>
            <w:lang w:eastAsia="en-CA"/>
          </w:rPr>
          <w:t xml:space="preserve">2021 </w:t>
        </w:r>
        <w:proofErr w:type="spellStart"/>
        <w:r w:rsidRPr="00C2506A">
          <w:rPr>
            <w:rFonts w:eastAsia="Times New Roman" w:cs="Times New Roman"/>
            <w:color w:val="660000"/>
            <w:szCs w:val="20"/>
            <w:lang w:eastAsia="en-CA"/>
          </w:rPr>
          <w:t>NSCA</w:t>
        </w:r>
        <w:proofErr w:type="spellEnd"/>
        <w:r w:rsidRPr="00C2506A">
          <w:rPr>
            <w:rFonts w:eastAsia="Times New Roman" w:cs="Times New Roman"/>
            <w:color w:val="660000"/>
            <w:szCs w:val="20"/>
            <w:lang w:eastAsia="en-CA"/>
          </w:rPr>
          <w:t xml:space="preserve"> 59</w:t>
        </w:r>
      </w:hyperlink>
      <w:r w:rsidRPr="00C2506A">
        <w:rPr>
          <w:rFonts w:eastAsia="Times New Roman" w:cs="Times New Roman"/>
          <w:szCs w:val="20"/>
          <w:lang w:eastAsia="en-CA"/>
        </w:rPr>
        <w:t xml:space="preserve">, 468 </w:t>
      </w:r>
      <w:proofErr w:type="spellStart"/>
      <w:r w:rsidRPr="00C2506A">
        <w:rPr>
          <w:rFonts w:eastAsia="Times New Roman" w:cs="Times New Roman"/>
          <w:szCs w:val="20"/>
          <w:lang w:eastAsia="en-CA"/>
        </w:rPr>
        <w:t>D.L.R</w:t>
      </w:r>
      <w:proofErr w:type="spellEnd"/>
      <w:r w:rsidRPr="00C2506A">
        <w:rPr>
          <w:rFonts w:eastAsia="Times New Roman" w:cs="Times New Roman"/>
          <w:szCs w:val="20"/>
          <w:lang w:eastAsia="en-CA"/>
        </w:rPr>
        <w:t xml:space="preserve">. (4th) 393, [2021] </w:t>
      </w:r>
      <w:proofErr w:type="spellStart"/>
      <w:r w:rsidRPr="00C2506A">
        <w:rPr>
          <w:rFonts w:eastAsia="Times New Roman" w:cs="Times New Roman"/>
          <w:szCs w:val="20"/>
          <w:lang w:eastAsia="en-CA"/>
        </w:rPr>
        <w:t>N.S.J</w:t>
      </w:r>
      <w:proofErr w:type="spellEnd"/>
      <w:r w:rsidRPr="00C2506A">
        <w:rPr>
          <w:rFonts w:eastAsia="Times New Roman" w:cs="Times New Roman"/>
          <w:szCs w:val="20"/>
          <w:lang w:eastAsia="en-CA"/>
        </w:rPr>
        <w:t>. No. 313 (</w:t>
      </w:r>
      <w:proofErr w:type="spellStart"/>
      <w:r w:rsidRPr="00C2506A">
        <w:rPr>
          <w:rFonts w:eastAsia="Times New Roman" w:cs="Times New Roman"/>
          <w:szCs w:val="20"/>
          <w:lang w:eastAsia="en-CA"/>
        </w:rPr>
        <w:t>QL</w:t>
      </w:r>
      <w:proofErr w:type="spellEnd"/>
      <w:r w:rsidRPr="00C2506A">
        <w:rPr>
          <w:rFonts w:eastAsia="Times New Roman" w:cs="Times New Roman"/>
          <w:szCs w:val="20"/>
          <w:lang w:eastAsia="en-CA"/>
        </w:rPr>
        <w:t xml:space="preserve">), 2021 </w:t>
      </w:r>
      <w:proofErr w:type="spellStart"/>
      <w:r w:rsidRPr="00C2506A">
        <w:rPr>
          <w:rFonts w:eastAsia="Times New Roman" w:cs="Times New Roman"/>
          <w:szCs w:val="20"/>
          <w:lang w:eastAsia="en-CA"/>
        </w:rPr>
        <w:t>CarswellNS</w:t>
      </w:r>
      <w:proofErr w:type="spellEnd"/>
      <w:r w:rsidRPr="00C2506A">
        <w:rPr>
          <w:rFonts w:eastAsia="Times New Roman" w:cs="Times New Roman"/>
          <w:szCs w:val="20"/>
          <w:lang w:eastAsia="en-CA"/>
        </w:rPr>
        <w:t xml:space="preserve"> 533 (WL), affirming the convictions of the accused.</w:t>
      </w:r>
      <w:r w:rsidRPr="00C2506A">
        <w:rPr>
          <w:rFonts w:eastAsia="Times New Roman" w:cs="Times New Roman"/>
          <w:szCs w:val="20"/>
          <w:lang w:val="en-US" w:eastAsia="en-CA"/>
        </w:rPr>
        <w:t xml:space="preserve"> Appeal dismissed.</w:t>
      </w:r>
    </w:p>
    <w:p w14:paraId="18DEE1D1" w14:textId="77777777" w:rsidR="00C2506A" w:rsidRPr="00C2506A" w:rsidRDefault="00C2506A" w:rsidP="00C2506A">
      <w:pPr>
        <w:tabs>
          <w:tab w:val="left" w:pos="1168"/>
        </w:tabs>
        <w:spacing w:after="480" w:line="480" w:lineRule="auto"/>
        <w:jc w:val="both"/>
        <w:rPr>
          <w:rFonts w:eastAsia="Times New Roman" w:cs="Times New Roman"/>
          <w:szCs w:val="20"/>
          <w:lang w:eastAsia="en-CA"/>
        </w:rPr>
      </w:pPr>
      <w:r w:rsidRPr="00C2506A">
        <w:rPr>
          <w:rFonts w:eastAsia="Times New Roman" w:cs="Times New Roman"/>
          <w:i/>
          <w:szCs w:val="20"/>
          <w:lang w:eastAsia="en-CA"/>
        </w:rPr>
        <w:tab/>
        <w:t>Jonathan T. Hughes</w:t>
      </w:r>
      <w:r w:rsidRPr="00C2506A">
        <w:rPr>
          <w:rFonts w:eastAsia="Times New Roman" w:cs="Times New Roman"/>
          <w:szCs w:val="20"/>
          <w:lang w:eastAsia="en-CA"/>
        </w:rPr>
        <w:t>, for the appellant.</w:t>
      </w:r>
    </w:p>
    <w:p w14:paraId="3989C34D" w14:textId="77777777" w:rsidR="00C2506A" w:rsidRPr="00C2506A" w:rsidRDefault="00C2506A" w:rsidP="00C2506A">
      <w:pPr>
        <w:tabs>
          <w:tab w:val="left" w:pos="1168"/>
        </w:tabs>
        <w:spacing w:after="480" w:line="480" w:lineRule="auto"/>
        <w:jc w:val="both"/>
        <w:rPr>
          <w:rFonts w:eastAsia="Times New Roman" w:cs="Times New Roman"/>
          <w:szCs w:val="20"/>
          <w:lang w:eastAsia="en-CA"/>
        </w:rPr>
      </w:pPr>
      <w:r w:rsidRPr="00C2506A">
        <w:rPr>
          <w:rFonts w:eastAsia="Times New Roman" w:cs="Times New Roman"/>
          <w:i/>
          <w:szCs w:val="20"/>
          <w:lang w:eastAsia="en-CA"/>
        </w:rPr>
        <w:tab/>
        <w:t>Jennifer A. MacLellan</w:t>
      </w:r>
      <w:r w:rsidRPr="00C2506A">
        <w:rPr>
          <w:rFonts w:eastAsia="Times New Roman" w:cs="Times New Roman"/>
          <w:szCs w:val="20"/>
          <w:lang w:eastAsia="en-CA"/>
        </w:rPr>
        <w:t>,</w:t>
      </w:r>
      <w:r w:rsidRPr="00C2506A">
        <w:rPr>
          <w:rFonts w:eastAsia="Times New Roman" w:cs="Times New Roman"/>
          <w:i/>
          <w:szCs w:val="20"/>
          <w:lang w:eastAsia="en-CA"/>
        </w:rPr>
        <w:t xml:space="preserve"> </w:t>
      </w:r>
      <w:proofErr w:type="spellStart"/>
      <w:r w:rsidRPr="00C2506A">
        <w:rPr>
          <w:rFonts w:eastAsia="Times New Roman" w:cs="Times New Roman"/>
          <w:i/>
          <w:szCs w:val="20"/>
          <w:lang w:eastAsia="en-CA"/>
        </w:rPr>
        <w:t>Q.C</w:t>
      </w:r>
      <w:proofErr w:type="spellEnd"/>
      <w:r w:rsidRPr="00C2506A">
        <w:rPr>
          <w:rFonts w:eastAsia="Times New Roman" w:cs="Times New Roman"/>
          <w:i/>
          <w:szCs w:val="20"/>
          <w:lang w:eastAsia="en-CA"/>
        </w:rPr>
        <w:t>.</w:t>
      </w:r>
      <w:r w:rsidRPr="00C2506A">
        <w:rPr>
          <w:rFonts w:eastAsia="Times New Roman" w:cs="Times New Roman"/>
          <w:szCs w:val="20"/>
          <w:lang w:eastAsia="en-CA"/>
        </w:rPr>
        <w:t xml:space="preserve">, and </w:t>
      </w:r>
      <w:r w:rsidRPr="00C2506A">
        <w:rPr>
          <w:rFonts w:eastAsia="Times New Roman" w:cs="Times New Roman"/>
          <w:i/>
          <w:szCs w:val="20"/>
          <w:lang w:eastAsia="en-CA"/>
        </w:rPr>
        <w:t>Mark Scott</w:t>
      </w:r>
      <w:r w:rsidRPr="00C2506A">
        <w:rPr>
          <w:rFonts w:eastAsia="Times New Roman" w:cs="Times New Roman"/>
          <w:szCs w:val="20"/>
          <w:lang w:eastAsia="en-CA"/>
        </w:rPr>
        <w:t>,</w:t>
      </w:r>
      <w:r w:rsidRPr="00C2506A">
        <w:rPr>
          <w:rFonts w:eastAsia="Times New Roman" w:cs="Times New Roman"/>
          <w:i/>
          <w:szCs w:val="20"/>
          <w:lang w:eastAsia="en-CA"/>
        </w:rPr>
        <w:t xml:space="preserve"> </w:t>
      </w:r>
      <w:proofErr w:type="spellStart"/>
      <w:r w:rsidRPr="00C2506A">
        <w:rPr>
          <w:rFonts w:eastAsia="Times New Roman" w:cs="Times New Roman"/>
          <w:i/>
          <w:szCs w:val="20"/>
          <w:lang w:eastAsia="en-CA"/>
        </w:rPr>
        <w:t>Q.C</w:t>
      </w:r>
      <w:proofErr w:type="spellEnd"/>
      <w:r w:rsidRPr="00C2506A">
        <w:rPr>
          <w:rFonts w:eastAsia="Times New Roman" w:cs="Times New Roman"/>
          <w:i/>
          <w:szCs w:val="20"/>
          <w:lang w:eastAsia="en-CA"/>
        </w:rPr>
        <w:t>.</w:t>
      </w:r>
      <w:r w:rsidRPr="00C2506A">
        <w:rPr>
          <w:rFonts w:eastAsia="Times New Roman" w:cs="Times New Roman"/>
          <w:szCs w:val="20"/>
          <w:lang w:eastAsia="en-CA"/>
        </w:rPr>
        <w:t>, for the respondent.</w:t>
      </w:r>
    </w:p>
    <w:p w14:paraId="75163989" w14:textId="77777777" w:rsidR="00C2506A" w:rsidRPr="00C2506A" w:rsidRDefault="00C2506A" w:rsidP="00C2506A">
      <w:pPr>
        <w:tabs>
          <w:tab w:val="left" w:pos="1168"/>
        </w:tabs>
        <w:spacing w:after="480" w:line="480" w:lineRule="auto"/>
        <w:jc w:val="both"/>
        <w:rPr>
          <w:rFonts w:eastAsia="Times New Roman" w:cs="Times New Roman"/>
          <w:szCs w:val="20"/>
          <w:lang w:eastAsia="en-CA"/>
        </w:rPr>
      </w:pPr>
      <w:r w:rsidRPr="00C2506A">
        <w:rPr>
          <w:rFonts w:eastAsia="Times New Roman" w:cs="Times New Roman"/>
          <w:i/>
          <w:szCs w:val="20"/>
          <w:lang w:eastAsia="en-CA"/>
        </w:rPr>
        <w:tab/>
      </w:r>
      <w:r w:rsidRPr="00C2506A">
        <w:rPr>
          <w:rFonts w:eastAsia="Times New Roman" w:cs="Times New Roman"/>
          <w:szCs w:val="20"/>
          <w:lang w:eastAsia="en-CA"/>
        </w:rPr>
        <w:t>The judgment of the Court was delivered orally by</w:t>
      </w:r>
    </w:p>
    <w:p w14:paraId="70AA316E" w14:textId="77777777" w:rsidR="00C2506A" w:rsidRPr="00C2506A" w:rsidRDefault="00C2506A" w:rsidP="00C2506A">
      <w:pPr>
        <w:tabs>
          <w:tab w:val="num" w:pos="1152"/>
        </w:tabs>
        <w:spacing w:after="480" w:line="480" w:lineRule="auto"/>
        <w:jc w:val="both"/>
        <w:rPr>
          <w:rFonts w:eastAsiaTheme="minorEastAsia"/>
          <w:szCs w:val="22"/>
        </w:rPr>
      </w:pPr>
      <w:r w:rsidRPr="00C2506A">
        <w:rPr>
          <w:rFonts w:eastAsiaTheme="minorEastAsia"/>
          <w:szCs w:val="22"/>
        </w:rPr>
        <w:t>[1]</w:t>
      </w:r>
      <w:r w:rsidRPr="00C2506A">
        <w:rPr>
          <w:rFonts w:eastAsiaTheme="minorEastAsia"/>
          <w:szCs w:val="22"/>
        </w:rPr>
        <w:tab/>
      </w:r>
      <w:proofErr w:type="spellStart"/>
      <w:r w:rsidRPr="00C2506A">
        <w:rPr>
          <w:rFonts w:eastAsiaTheme="minorEastAsia"/>
          <w:smallCaps/>
          <w:szCs w:val="22"/>
        </w:rPr>
        <w:t>Moldaver</w:t>
      </w:r>
      <w:proofErr w:type="spellEnd"/>
      <w:r w:rsidRPr="00C2506A">
        <w:rPr>
          <w:rFonts w:eastAsiaTheme="minorEastAsia"/>
          <w:smallCaps/>
          <w:szCs w:val="22"/>
        </w:rPr>
        <w:t xml:space="preserve"> J.</w:t>
      </w:r>
      <w:r w:rsidRPr="00C2506A">
        <w:rPr>
          <w:rFonts w:eastAsiaTheme="minorEastAsia"/>
          <w:szCs w:val="22"/>
        </w:rPr>
        <w:t xml:space="preserve"> — </w:t>
      </w:r>
      <w:r w:rsidRPr="00C2506A">
        <w:rPr>
          <w:rFonts w:eastAsiaTheme="minorEastAsia"/>
          <w:color w:val="000000"/>
          <w:szCs w:val="22"/>
        </w:rPr>
        <w:t xml:space="preserve">Mr. Gerrard appeals his 13 domestic violence-related convictions to this Court, as of right, based upon a dissenting opinion at the Nova Scotia Court of Appeal. A majority of the Court of Appeal rejected his submissions that the trial judge erred both in her application of </w:t>
      </w:r>
      <w:r w:rsidRPr="00C2506A">
        <w:rPr>
          <w:rFonts w:eastAsiaTheme="minorEastAsia"/>
          <w:i/>
          <w:iCs/>
          <w:color w:val="000000"/>
          <w:szCs w:val="22"/>
        </w:rPr>
        <w:t>R. v. W</w:t>
      </w:r>
      <w:proofErr w:type="gramStart"/>
      <w:r w:rsidRPr="00C2506A">
        <w:rPr>
          <w:rFonts w:eastAsiaTheme="minorEastAsia"/>
          <w:i/>
          <w:iCs/>
          <w:color w:val="000000"/>
          <w:szCs w:val="22"/>
        </w:rPr>
        <w:t>.(</w:t>
      </w:r>
      <w:proofErr w:type="gramEnd"/>
      <w:r w:rsidRPr="00C2506A">
        <w:rPr>
          <w:rFonts w:eastAsiaTheme="minorEastAsia"/>
          <w:i/>
          <w:iCs/>
          <w:color w:val="000000"/>
          <w:szCs w:val="22"/>
        </w:rPr>
        <w:t>D.)</w:t>
      </w:r>
      <w:r w:rsidRPr="00C2506A">
        <w:rPr>
          <w:rFonts w:eastAsiaTheme="minorEastAsia"/>
          <w:color w:val="000000"/>
          <w:szCs w:val="22"/>
        </w:rPr>
        <w:t xml:space="preserve">, [1991] 1 </w:t>
      </w:r>
      <w:proofErr w:type="spellStart"/>
      <w:r w:rsidRPr="00C2506A">
        <w:rPr>
          <w:rFonts w:eastAsiaTheme="minorEastAsia"/>
          <w:color w:val="000000"/>
          <w:szCs w:val="22"/>
        </w:rPr>
        <w:t>S.C.R</w:t>
      </w:r>
      <w:proofErr w:type="spellEnd"/>
      <w:r w:rsidRPr="00C2506A">
        <w:rPr>
          <w:rFonts w:eastAsiaTheme="minorEastAsia"/>
          <w:color w:val="000000"/>
          <w:szCs w:val="22"/>
        </w:rPr>
        <w:t>. 742, and her assessment of the complainant’s credibility.</w:t>
      </w:r>
    </w:p>
    <w:p w14:paraId="4C37421F" w14:textId="77777777" w:rsidR="00C2506A" w:rsidRPr="00C2506A" w:rsidRDefault="00C2506A" w:rsidP="00C2506A">
      <w:pPr>
        <w:tabs>
          <w:tab w:val="num" w:pos="1152"/>
        </w:tabs>
        <w:spacing w:after="480" w:line="480" w:lineRule="auto"/>
        <w:jc w:val="both"/>
        <w:rPr>
          <w:rFonts w:eastAsiaTheme="minorEastAsia"/>
          <w:szCs w:val="22"/>
        </w:rPr>
      </w:pPr>
      <w:r w:rsidRPr="00C2506A">
        <w:rPr>
          <w:rFonts w:eastAsiaTheme="minorEastAsia"/>
          <w:szCs w:val="22"/>
        </w:rPr>
        <w:t>[2]</w:t>
      </w:r>
      <w:r w:rsidRPr="00C2506A">
        <w:rPr>
          <w:rFonts w:eastAsiaTheme="minorEastAsia"/>
          <w:szCs w:val="22"/>
        </w:rPr>
        <w:tab/>
      </w:r>
      <w:r w:rsidRPr="00C2506A">
        <w:rPr>
          <w:rFonts w:eastAsiaTheme="minorEastAsia"/>
          <w:color w:val="000000"/>
          <w:szCs w:val="22"/>
        </w:rPr>
        <w:t xml:space="preserve">We would dismiss the appeal. On the first issue, the trial judge instructed herself correctly on the </w:t>
      </w:r>
      <w:r w:rsidRPr="00C2506A">
        <w:rPr>
          <w:rFonts w:eastAsiaTheme="minorEastAsia"/>
          <w:i/>
          <w:iCs/>
          <w:color w:val="000000"/>
          <w:szCs w:val="22"/>
        </w:rPr>
        <w:t>W</w:t>
      </w:r>
      <w:proofErr w:type="gramStart"/>
      <w:r w:rsidRPr="00C2506A">
        <w:rPr>
          <w:rFonts w:eastAsiaTheme="minorEastAsia"/>
          <w:i/>
          <w:iCs/>
          <w:color w:val="000000"/>
          <w:szCs w:val="22"/>
        </w:rPr>
        <w:t>.(</w:t>
      </w:r>
      <w:proofErr w:type="gramEnd"/>
      <w:r w:rsidRPr="00C2506A">
        <w:rPr>
          <w:rFonts w:eastAsiaTheme="minorEastAsia"/>
          <w:i/>
          <w:iCs/>
          <w:color w:val="000000"/>
          <w:szCs w:val="22"/>
        </w:rPr>
        <w:t xml:space="preserve">D.) </w:t>
      </w:r>
      <w:r w:rsidRPr="00C2506A">
        <w:rPr>
          <w:rFonts w:eastAsiaTheme="minorEastAsia"/>
          <w:color w:val="000000"/>
          <w:szCs w:val="22"/>
        </w:rPr>
        <w:t>test and its application. It is immaterial that the trial judge assessed the complainant’s credibility before the accused’s; this does not automatically demonstrate that she reversed the burden of proof (</w:t>
      </w:r>
      <w:r w:rsidRPr="00C2506A">
        <w:rPr>
          <w:rFonts w:eastAsiaTheme="minorEastAsia"/>
          <w:i/>
          <w:iCs/>
          <w:color w:val="000000"/>
          <w:szCs w:val="22"/>
        </w:rPr>
        <w:t xml:space="preserve">R. v. </w:t>
      </w:r>
      <w:proofErr w:type="spellStart"/>
      <w:r w:rsidRPr="00C2506A">
        <w:rPr>
          <w:rFonts w:eastAsiaTheme="minorEastAsia"/>
          <w:i/>
          <w:iCs/>
          <w:color w:val="000000"/>
          <w:szCs w:val="22"/>
        </w:rPr>
        <w:t>Vuradin</w:t>
      </w:r>
      <w:proofErr w:type="spellEnd"/>
      <w:r w:rsidRPr="00C2506A">
        <w:rPr>
          <w:rFonts w:eastAsiaTheme="minorEastAsia"/>
          <w:color w:val="000000"/>
          <w:szCs w:val="22"/>
        </w:rPr>
        <w:t xml:space="preserve">, 2013 SCC 38, [2013] 2 </w:t>
      </w:r>
      <w:proofErr w:type="spellStart"/>
      <w:r w:rsidRPr="00C2506A">
        <w:rPr>
          <w:rFonts w:eastAsiaTheme="minorEastAsia"/>
          <w:color w:val="000000"/>
          <w:szCs w:val="22"/>
        </w:rPr>
        <w:t>S.C.R</w:t>
      </w:r>
      <w:proofErr w:type="spellEnd"/>
      <w:r w:rsidRPr="00C2506A">
        <w:rPr>
          <w:rFonts w:eastAsiaTheme="minorEastAsia"/>
          <w:color w:val="000000"/>
          <w:szCs w:val="22"/>
        </w:rPr>
        <w:t>. 639, at para. 21). Rather, the trial judge’s reasons demonstrate that she did not evaluate the complainant’s evidence in isolation, but properly tested it against the evidence of other witnesses — including the accused — and offered cogent reasons for finding that the complainant’s evidence was credible without improperly marginalizing that of Mr. Gerrard’s or any of the other witnesses. Trial judges’ reasons must be read generously, as a whole, and with the presumption that the judge knows the law (</w:t>
      </w:r>
      <w:r w:rsidRPr="00C2506A">
        <w:rPr>
          <w:rFonts w:eastAsiaTheme="minorEastAsia"/>
          <w:i/>
          <w:iCs/>
          <w:color w:val="000000"/>
          <w:szCs w:val="22"/>
        </w:rPr>
        <w:t xml:space="preserve">R. v. </w:t>
      </w:r>
      <w:proofErr w:type="spellStart"/>
      <w:r w:rsidRPr="00C2506A">
        <w:rPr>
          <w:rFonts w:eastAsiaTheme="minorEastAsia"/>
          <w:i/>
          <w:iCs/>
          <w:color w:val="000000"/>
          <w:szCs w:val="22"/>
        </w:rPr>
        <w:t>G.F</w:t>
      </w:r>
      <w:proofErr w:type="spellEnd"/>
      <w:r w:rsidRPr="00C2506A">
        <w:rPr>
          <w:rFonts w:eastAsiaTheme="minorEastAsia"/>
          <w:i/>
          <w:iCs/>
          <w:color w:val="000000"/>
          <w:szCs w:val="22"/>
        </w:rPr>
        <w:t>.</w:t>
      </w:r>
      <w:r w:rsidRPr="00C2506A">
        <w:rPr>
          <w:rFonts w:eastAsiaTheme="minorEastAsia"/>
          <w:color w:val="000000"/>
          <w:szCs w:val="22"/>
        </w:rPr>
        <w:t>, 2021 SCC 20, at paras. 69 and 74). We see no reason to interfere with her analysis.</w:t>
      </w:r>
    </w:p>
    <w:p w14:paraId="7EF06E28" w14:textId="77777777" w:rsidR="00C2506A" w:rsidRPr="00C2506A" w:rsidRDefault="00C2506A" w:rsidP="00C2506A">
      <w:pPr>
        <w:tabs>
          <w:tab w:val="num" w:pos="1152"/>
        </w:tabs>
        <w:spacing w:after="480" w:line="480" w:lineRule="auto"/>
        <w:jc w:val="both"/>
        <w:rPr>
          <w:rFonts w:eastAsiaTheme="minorEastAsia"/>
          <w:szCs w:val="22"/>
        </w:rPr>
      </w:pPr>
      <w:r w:rsidRPr="00C2506A">
        <w:rPr>
          <w:rFonts w:eastAsiaTheme="minorEastAsia"/>
          <w:szCs w:val="22"/>
        </w:rPr>
        <w:t>[3]</w:t>
      </w:r>
      <w:r w:rsidRPr="00C2506A">
        <w:rPr>
          <w:rFonts w:eastAsiaTheme="minorEastAsia"/>
          <w:szCs w:val="22"/>
        </w:rPr>
        <w:tab/>
      </w:r>
      <w:r w:rsidRPr="00C2506A">
        <w:rPr>
          <w:rFonts w:eastAsiaTheme="minorEastAsia"/>
          <w:color w:val="000000"/>
          <w:szCs w:val="22"/>
        </w:rPr>
        <w:t xml:space="preserve">On the second issue, we do not accept Mr. Gerrard’s submission that the trial judge made improper credibility findings about the complainant regarding lack of motive to lie, lack of embellishment, and reluctance to report to the police and testify. The trial judge properly considered each of these factors in assessing the complainant’s credibility as a direct response to Mr. Gerrard’s defence at trial, namely that the complainant had long </w:t>
      </w:r>
      <w:r w:rsidRPr="00C2506A">
        <w:rPr>
          <w:rFonts w:eastAsiaTheme="majorEastAsia"/>
          <w:color w:val="000000"/>
          <w:szCs w:val="22"/>
        </w:rPr>
        <w:t xml:space="preserve">threatened </w:t>
      </w:r>
      <w:r w:rsidRPr="00C2506A">
        <w:rPr>
          <w:rFonts w:eastAsiaTheme="minorEastAsia"/>
          <w:color w:val="000000"/>
          <w:szCs w:val="22"/>
        </w:rPr>
        <w:t>to report him to the police and finally followed through with this threat by fabricating allegations because he made a derogatory comment about her to her daughter. Put another way, he alleged that she had a motive to lie and was, in fact, lying. Credibility findings are owed significant deference on appeal (</w:t>
      </w:r>
      <w:proofErr w:type="spellStart"/>
      <w:r w:rsidRPr="00C2506A">
        <w:rPr>
          <w:rFonts w:eastAsiaTheme="minorEastAsia"/>
          <w:i/>
          <w:iCs/>
          <w:color w:val="000000"/>
          <w:szCs w:val="22"/>
        </w:rPr>
        <w:t>G.F</w:t>
      </w:r>
      <w:proofErr w:type="spellEnd"/>
      <w:r w:rsidRPr="00C2506A">
        <w:rPr>
          <w:rFonts w:eastAsiaTheme="minorEastAsia"/>
          <w:i/>
          <w:iCs/>
          <w:color w:val="000000"/>
          <w:szCs w:val="22"/>
        </w:rPr>
        <w:t>.</w:t>
      </w:r>
      <w:r w:rsidRPr="00C2506A">
        <w:rPr>
          <w:rFonts w:eastAsiaTheme="minorEastAsia"/>
          <w:color w:val="000000"/>
          <w:szCs w:val="22"/>
        </w:rPr>
        <w:t>, at para.</w:t>
      </w:r>
      <w:r w:rsidRPr="00C2506A">
        <w:rPr>
          <w:rFonts w:eastAsiaTheme="minorEastAsia"/>
          <w:szCs w:val="22"/>
        </w:rPr>
        <w:t> </w:t>
      </w:r>
      <w:r w:rsidRPr="00C2506A">
        <w:rPr>
          <w:rFonts w:eastAsiaTheme="minorEastAsia"/>
          <w:color w:val="000000"/>
          <w:szCs w:val="22"/>
        </w:rPr>
        <w:t>81). The trial judge’s reasons were responsive to live issues at trial — raised by Mr. Gerrard — and reveal no error justifying intervention.</w:t>
      </w:r>
    </w:p>
    <w:p w14:paraId="68BEFEFF" w14:textId="77777777" w:rsidR="00C2506A" w:rsidRPr="00C2506A" w:rsidRDefault="00C2506A" w:rsidP="00C2506A">
      <w:pPr>
        <w:tabs>
          <w:tab w:val="num" w:pos="1152"/>
        </w:tabs>
        <w:spacing w:after="480" w:line="480" w:lineRule="auto"/>
        <w:jc w:val="both"/>
        <w:rPr>
          <w:rFonts w:eastAsiaTheme="minorEastAsia"/>
          <w:szCs w:val="22"/>
        </w:rPr>
      </w:pPr>
      <w:r w:rsidRPr="00C2506A">
        <w:rPr>
          <w:rFonts w:eastAsiaTheme="minorEastAsia"/>
          <w:szCs w:val="22"/>
        </w:rPr>
        <w:t>[4]</w:t>
      </w:r>
      <w:r w:rsidRPr="00C2506A">
        <w:rPr>
          <w:rFonts w:eastAsiaTheme="minorEastAsia"/>
          <w:szCs w:val="22"/>
        </w:rPr>
        <w:tab/>
      </w:r>
      <w:r w:rsidRPr="00C2506A">
        <w:rPr>
          <w:rFonts w:eastAsiaTheme="minorEastAsia"/>
          <w:color w:val="000000"/>
          <w:szCs w:val="22"/>
        </w:rPr>
        <w:t>Two of these factors warrant a few additional comments. Lack of evidence of a complainant’s motive to lie may be relevant in assessing credibility, particularly where the suggestion is raised by the defence (</w:t>
      </w:r>
      <w:r w:rsidRPr="00C2506A">
        <w:rPr>
          <w:rFonts w:eastAsiaTheme="minorEastAsia"/>
          <w:i/>
          <w:iCs/>
          <w:color w:val="000000"/>
          <w:szCs w:val="22"/>
        </w:rPr>
        <w:t>R. v. Stirling</w:t>
      </w:r>
      <w:r w:rsidRPr="00C2506A">
        <w:rPr>
          <w:rFonts w:eastAsiaTheme="minorEastAsia"/>
          <w:color w:val="000000"/>
          <w:szCs w:val="22"/>
        </w:rPr>
        <w:t xml:space="preserve">, 2008 SCC 10, [2008] 1 </w:t>
      </w:r>
      <w:proofErr w:type="spellStart"/>
      <w:r w:rsidRPr="00C2506A">
        <w:rPr>
          <w:rFonts w:eastAsiaTheme="minorEastAsia"/>
          <w:color w:val="000000"/>
          <w:szCs w:val="22"/>
        </w:rPr>
        <w:t>S.C.R</w:t>
      </w:r>
      <w:proofErr w:type="spellEnd"/>
      <w:r w:rsidRPr="00C2506A">
        <w:rPr>
          <w:rFonts w:eastAsiaTheme="minorEastAsia"/>
          <w:color w:val="000000"/>
          <w:szCs w:val="22"/>
        </w:rPr>
        <w:t>. 272, at paras. 10</w:t>
      </w:r>
      <w:r w:rsidRPr="00C2506A">
        <w:rPr>
          <w:rFonts w:eastAsiaTheme="minorEastAsia"/>
          <w:color w:val="000000"/>
          <w:szCs w:val="22"/>
        </w:rPr>
        <w:noBreakHyphen/>
        <w:t xml:space="preserve">11; </w:t>
      </w:r>
      <w:r w:rsidRPr="00C2506A">
        <w:rPr>
          <w:rFonts w:eastAsiaTheme="minorEastAsia"/>
          <w:i/>
          <w:iCs/>
          <w:color w:val="000000"/>
          <w:szCs w:val="22"/>
        </w:rPr>
        <w:t>R. v. Ignacio</w:t>
      </w:r>
      <w:r w:rsidRPr="00C2506A">
        <w:rPr>
          <w:rFonts w:eastAsiaTheme="minorEastAsia"/>
          <w:color w:val="000000"/>
          <w:szCs w:val="22"/>
        </w:rPr>
        <w:t xml:space="preserve">, 2021 </w:t>
      </w:r>
      <w:proofErr w:type="spellStart"/>
      <w:r w:rsidRPr="00C2506A">
        <w:rPr>
          <w:rFonts w:eastAsiaTheme="minorEastAsia"/>
          <w:color w:val="000000"/>
          <w:szCs w:val="22"/>
        </w:rPr>
        <w:t>ONCA</w:t>
      </w:r>
      <w:proofErr w:type="spellEnd"/>
      <w:r w:rsidRPr="00C2506A">
        <w:rPr>
          <w:rFonts w:eastAsiaTheme="minorEastAsia"/>
          <w:color w:val="000000"/>
          <w:szCs w:val="22"/>
        </w:rPr>
        <w:t xml:space="preserve"> 69, 400 </w:t>
      </w:r>
      <w:proofErr w:type="spellStart"/>
      <w:r w:rsidRPr="00C2506A">
        <w:rPr>
          <w:rFonts w:eastAsiaTheme="minorEastAsia"/>
          <w:color w:val="000000"/>
          <w:szCs w:val="22"/>
        </w:rPr>
        <w:t>C.C.C</w:t>
      </w:r>
      <w:proofErr w:type="spellEnd"/>
      <w:r w:rsidRPr="00C2506A">
        <w:rPr>
          <w:rFonts w:eastAsiaTheme="minorEastAsia"/>
          <w:color w:val="000000"/>
          <w:szCs w:val="22"/>
        </w:rPr>
        <w:t>. (</w:t>
      </w:r>
      <w:proofErr w:type="spellStart"/>
      <w:r w:rsidRPr="00C2506A">
        <w:rPr>
          <w:rFonts w:eastAsiaTheme="minorEastAsia"/>
          <w:color w:val="000000"/>
          <w:szCs w:val="22"/>
        </w:rPr>
        <w:t>3d</w:t>
      </w:r>
      <w:proofErr w:type="spellEnd"/>
      <w:r w:rsidRPr="00C2506A">
        <w:rPr>
          <w:rFonts w:eastAsiaTheme="minorEastAsia"/>
          <w:color w:val="000000"/>
          <w:szCs w:val="22"/>
        </w:rPr>
        <w:t>) 343, at paras. 38 and 52). Absence of evidence of motive to lie, or the existence of evidence disproving a particular motive to lie, is a common sense factor that suggests a witness may be more truthful because they do not have a reason to lie. That said, when considering this factor, trial judges must be alive to two risks: (1) the absence of evidence that a complainant has a motive to lie (i.e. there is no evidence either way) cannot be equated with evidence disproving a particular motive to lie (i.e. evidence establishing that the motive does not exist), as the latter requires evidence and is therefore a stronger indication of credibility — neither is conclusive in a credibility analysis; and (2) the burden of proof cannot be reversed by requiring the accused to demonstrate that the complainant has a motive to lie or explain why a complainant has made the allegations (</w:t>
      </w:r>
      <w:r w:rsidRPr="00C2506A">
        <w:rPr>
          <w:rFonts w:eastAsiaTheme="minorEastAsia"/>
          <w:i/>
          <w:iCs/>
          <w:color w:val="000000"/>
          <w:szCs w:val="22"/>
        </w:rPr>
        <w:t>R. v. Swain</w:t>
      </w:r>
      <w:r w:rsidRPr="00C2506A">
        <w:rPr>
          <w:rFonts w:eastAsiaTheme="minorEastAsia"/>
          <w:color w:val="000000"/>
          <w:szCs w:val="22"/>
        </w:rPr>
        <w:t xml:space="preserve">, 2021 </w:t>
      </w:r>
      <w:proofErr w:type="spellStart"/>
      <w:r w:rsidRPr="00C2506A">
        <w:rPr>
          <w:rFonts w:eastAsiaTheme="minorEastAsia"/>
          <w:color w:val="000000"/>
          <w:szCs w:val="22"/>
        </w:rPr>
        <w:t>BCCA</w:t>
      </w:r>
      <w:proofErr w:type="spellEnd"/>
      <w:r w:rsidRPr="00C2506A">
        <w:rPr>
          <w:rFonts w:eastAsiaTheme="minorEastAsia"/>
          <w:color w:val="000000"/>
          <w:szCs w:val="22"/>
        </w:rPr>
        <w:t xml:space="preserve"> 207, 406 </w:t>
      </w:r>
      <w:proofErr w:type="spellStart"/>
      <w:r w:rsidRPr="00C2506A">
        <w:rPr>
          <w:rFonts w:eastAsiaTheme="minorEastAsia"/>
          <w:color w:val="000000"/>
          <w:szCs w:val="22"/>
        </w:rPr>
        <w:t>C.C.C</w:t>
      </w:r>
      <w:proofErr w:type="spellEnd"/>
      <w:r w:rsidRPr="00C2506A">
        <w:rPr>
          <w:rFonts w:eastAsiaTheme="minorEastAsia"/>
          <w:color w:val="000000"/>
          <w:szCs w:val="22"/>
        </w:rPr>
        <w:t>. (</w:t>
      </w:r>
      <w:proofErr w:type="spellStart"/>
      <w:r w:rsidRPr="00C2506A">
        <w:rPr>
          <w:rFonts w:eastAsiaTheme="minorEastAsia"/>
          <w:color w:val="000000"/>
          <w:szCs w:val="22"/>
        </w:rPr>
        <w:t>3d</w:t>
      </w:r>
      <w:proofErr w:type="spellEnd"/>
      <w:r w:rsidRPr="00C2506A">
        <w:rPr>
          <w:rFonts w:eastAsiaTheme="minorEastAsia"/>
          <w:color w:val="000000"/>
          <w:szCs w:val="22"/>
        </w:rPr>
        <w:t>) 39, at paras. 31</w:t>
      </w:r>
      <w:r w:rsidRPr="00C2506A">
        <w:rPr>
          <w:rFonts w:eastAsiaTheme="minorEastAsia"/>
          <w:color w:val="000000"/>
          <w:szCs w:val="22"/>
        </w:rPr>
        <w:noBreakHyphen/>
        <w:t>33).</w:t>
      </w:r>
    </w:p>
    <w:p w14:paraId="02497041" w14:textId="77777777" w:rsidR="00C2506A" w:rsidRPr="00C2506A" w:rsidRDefault="00C2506A" w:rsidP="00C2506A">
      <w:pPr>
        <w:tabs>
          <w:tab w:val="num" w:pos="1152"/>
        </w:tabs>
        <w:spacing w:after="480" w:line="480" w:lineRule="auto"/>
        <w:jc w:val="both"/>
        <w:rPr>
          <w:rFonts w:eastAsiaTheme="minorEastAsia"/>
          <w:szCs w:val="22"/>
        </w:rPr>
      </w:pPr>
      <w:r w:rsidRPr="00C2506A">
        <w:rPr>
          <w:rFonts w:eastAsiaTheme="minorEastAsia"/>
          <w:szCs w:val="22"/>
        </w:rPr>
        <w:t>[5]</w:t>
      </w:r>
      <w:r w:rsidRPr="00C2506A">
        <w:rPr>
          <w:rFonts w:eastAsiaTheme="minorEastAsia"/>
          <w:szCs w:val="22"/>
        </w:rPr>
        <w:tab/>
      </w:r>
      <w:r w:rsidRPr="00C2506A">
        <w:rPr>
          <w:rFonts w:eastAsiaTheme="minorEastAsia"/>
          <w:color w:val="000000"/>
          <w:szCs w:val="22"/>
        </w:rPr>
        <w:t>Lack of embellishment may also be relevant in assessing a complainant’s credibility and often arises in response to suggestions that the complainant has a motive to lie. But, unlike absence of evidence of motive to lie, or the existence of evidence disproving a particular motive to lie, lack of embellishment is not an indicator that a witness is more likely telling the truth because both truthful and dishonest accounts can be free of exaggeration or embellishment. Lack of embellishment cannot be used to bolster the complainant’s credibility — it simply does not weigh against it. It may, however, be considered as a factor in assessing whether or not the witness had a motive to lie.</w:t>
      </w:r>
    </w:p>
    <w:p w14:paraId="56642B81" w14:textId="77777777" w:rsidR="00C2506A" w:rsidRPr="00C2506A" w:rsidRDefault="00C2506A" w:rsidP="00C2506A">
      <w:pPr>
        <w:tabs>
          <w:tab w:val="num" w:pos="1152"/>
        </w:tabs>
        <w:spacing w:after="480" w:line="480" w:lineRule="auto"/>
        <w:jc w:val="both"/>
        <w:rPr>
          <w:rFonts w:eastAsiaTheme="minorEastAsia"/>
          <w:szCs w:val="22"/>
        </w:rPr>
      </w:pPr>
      <w:r w:rsidRPr="00C2506A">
        <w:rPr>
          <w:rFonts w:eastAsiaTheme="minorEastAsia"/>
          <w:szCs w:val="22"/>
        </w:rPr>
        <w:t>[6]</w:t>
      </w:r>
      <w:r w:rsidRPr="00C2506A">
        <w:rPr>
          <w:rFonts w:eastAsiaTheme="minorEastAsia"/>
          <w:szCs w:val="22"/>
        </w:rPr>
        <w:tab/>
      </w:r>
      <w:r w:rsidRPr="00C2506A">
        <w:rPr>
          <w:rFonts w:eastAsiaTheme="minorEastAsia"/>
          <w:color w:val="000000"/>
          <w:szCs w:val="22"/>
        </w:rPr>
        <w:t>For these reasons, we would dismiss the appeal.</w:t>
      </w:r>
    </w:p>
    <w:p w14:paraId="5BE5CF0D" w14:textId="77777777" w:rsidR="00C2506A" w:rsidRPr="00C2506A" w:rsidRDefault="00C2506A" w:rsidP="00C2506A">
      <w:pPr>
        <w:tabs>
          <w:tab w:val="left" w:pos="1168"/>
        </w:tabs>
        <w:spacing w:after="480" w:line="480" w:lineRule="auto"/>
        <w:jc w:val="both"/>
        <w:rPr>
          <w:rFonts w:eastAsia="Times New Roman" w:cs="Times New Roman"/>
          <w:szCs w:val="20"/>
          <w:lang w:eastAsia="en-CA"/>
        </w:rPr>
      </w:pPr>
      <w:r w:rsidRPr="00C2506A">
        <w:rPr>
          <w:rFonts w:eastAsia="Times New Roman" w:cs="Times New Roman"/>
          <w:szCs w:val="20"/>
          <w:lang w:eastAsia="en-CA"/>
        </w:rPr>
        <w:tab/>
      </w:r>
      <w:r w:rsidRPr="00C2506A">
        <w:rPr>
          <w:rFonts w:eastAsia="Times New Roman" w:cs="Times New Roman"/>
          <w:i/>
          <w:szCs w:val="20"/>
          <w:lang w:val="en-US" w:eastAsia="en-CA"/>
        </w:rPr>
        <w:t>Judgment accordingly.</w:t>
      </w:r>
    </w:p>
    <w:p w14:paraId="1A4518BD" w14:textId="77777777" w:rsidR="00C2506A" w:rsidRPr="00C2506A" w:rsidRDefault="00C2506A" w:rsidP="00C2506A">
      <w:pPr>
        <w:tabs>
          <w:tab w:val="left" w:pos="1168"/>
        </w:tabs>
        <w:spacing w:after="480" w:line="480" w:lineRule="auto"/>
        <w:jc w:val="both"/>
        <w:rPr>
          <w:rFonts w:eastAsia="Times New Roman" w:cs="Times New Roman"/>
          <w:i/>
          <w:szCs w:val="20"/>
          <w:lang w:eastAsia="en-CA"/>
        </w:rPr>
      </w:pPr>
      <w:r w:rsidRPr="00C2506A">
        <w:rPr>
          <w:rFonts w:eastAsia="Times New Roman" w:cs="Times New Roman"/>
          <w:i/>
          <w:szCs w:val="20"/>
          <w:lang w:eastAsia="en-CA"/>
        </w:rPr>
        <w:tab/>
        <w:t>Solicitors for the appellant: JTH Law, Halifax.</w:t>
      </w:r>
    </w:p>
    <w:p w14:paraId="67D2DD87" w14:textId="77777777" w:rsidR="00C2506A" w:rsidRPr="00C2506A" w:rsidRDefault="00C2506A" w:rsidP="00C2506A">
      <w:pPr>
        <w:tabs>
          <w:tab w:val="left" w:pos="1168"/>
        </w:tabs>
        <w:spacing w:after="480" w:line="480" w:lineRule="auto"/>
        <w:jc w:val="both"/>
        <w:rPr>
          <w:rFonts w:eastAsia="Times New Roman" w:cs="Times New Roman"/>
          <w:i/>
          <w:szCs w:val="20"/>
          <w:lang w:eastAsia="en-CA"/>
        </w:rPr>
      </w:pPr>
      <w:r w:rsidRPr="00C2506A">
        <w:rPr>
          <w:rFonts w:eastAsia="Times New Roman" w:cs="Times New Roman"/>
          <w:i/>
          <w:szCs w:val="20"/>
          <w:lang w:eastAsia="en-CA"/>
        </w:rPr>
        <w:tab/>
        <w:t>Solicitor for the respondent: Nova Scotia Public Prosecution Service, Halifax.</w:t>
      </w:r>
    </w:p>
    <w:p w14:paraId="0FE2239C" w14:textId="65AA4BEE" w:rsidR="00671335" w:rsidRPr="00297D7E" w:rsidRDefault="00671335" w:rsidP="00C2506A">
      <w:pPr>
        <w:tabs>
          <w:tab w:val="left" w:pos="384"/>
        </w:tabs>
      </w:pPr>
    </w:p>
    <w:p w14:paraId="5914CB1F" w14:textId="77777777" w:rsidR="00A92D11" w:rsidRPr="00A261D8" w:rsidRDefault="00A92D11"/>
    <w:sectPr w:rsidR="00A92D11" w:rsidRPr="00A261D8" w:rsidSect="00F7201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ED56B" w14:textId="77777777" w:rsidR="00EF0E44" w:rsidRDefault="00EF0E44" w:rsidP="00F72014">
      <w:r>
        <w:separator/>
      </w:r>
    </w:p>
  </w:endnote>
  <w:endnote w:type="continuationSeparator" w:id="0">
    <w:p w14:paraId="116371E5" w14:textId="77777777" w:rsidR="00EF0E44" w:rsidRDefault="00EF0E44"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65331" w14:textId="77777777" w:rsidR="00533A91" w:rsidRDefault="00533A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7FCDE" w14:textId="77777777" w:rsidR="00533A91" w:rsidRDefault="00533A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B3D8C" w14:textId="77777777" w:rsidR="00533A91" w:rsidRDefault="00533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D8C41" w14:textId="77777777" w:rsidR="00EF0E44" w:rsidRDefault="00EF0E44" w:rsidP="00F72014">
      <w:r>
        <w:separator/>
      </w:r>
    </w:p>
  </w:footnote>
  <w:footnote w:type="continuationSeparator" w:id="0">
    <w:p w14:paraId="5B0BD133" w14:textId="77777777" w:rsidR="00EF0E44" w:rsidRDefault="00EF0E44" w:rsidP="00F7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1BF39" w14:textId="77777777" w:rsidR="00533A91" w:rsidRDefault="00533A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0D563" w14:textId="77777777" w:rsidR="00533A91" w:rsidRDefault="00533A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A076A" w14:textId="77777777" w:rsidR="00533A91" w:rsidRDefault="00533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5AF7"/>
    <w:multiLevelType w:val="hybridMultilevel"/>
    <w:tmpl w:val="EC0C3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01315"/>
    <w:rsid w:val="000206FC"/>
    <w:rsid w:val="0002096B"/>
    <w:rsid w:val="0003087F"/>
    <w:rsid w:val="00076773"/>
    <w:rsid w:val="00087E50"/>
    <w:rsid w:val="0009017B"/>
    <w:rsid w:val="000944D2"/>
    <w:rsid w:val="00095134"/>
    <w:rsid w:val="001311DA"/>
    <w:rsid w:val="001412E4"/>
    <w:rsid w:val="001648D4"/>
    <w:rsid w:val="001B0985"/>
    <w:rsid w:val="001B27ED"/>
    <w:rsid w:val="001B299D"/>
    <w:rsid w:val="001D6B8C"/>
    <w:rsid w:val="001F1F83"/>
    <w:rsid w:val="001F3E0C"/>
    <w:rsid w:val="00205C5C"/>
    <w:rsid w:val="00205C5D"/>
    <w:rsid w:val="00252460"/>
    <w:rsid w:val="002710EC"/>
    <w:rsid w:val="00273D07"/>
    <w:rsid w:val="00283C46"/>
    <w:rsid w:val="0028675F"/>
    <w:rsid w:val="00290992"/>
    <w:rsid w:val="00294F3E"/>
    <w:rsid w:val="002C1DA9"/>
    <w:rsid w:val="002C5A33"/>
    <w:rsid w:val="002C7082"/>
    <w:rsid w:val="002D4FC9"/>
    <w:rsid w:val="00307011"/>
    <w:rsid w:val="00310E87"/>
    <w:rsid w:val="00324391"/>
    <w:rsid w:val="003459E2"/>
    <w:rsid w:val="00354FA1"/>
    <w:rsid w:val="00355967"/>
    <w:rsid w:val="00384384"/>
    <w:rsid w:val="003B2BE1"/>
    <w:rsid w:val="003B3C63"/>
    <w:rsid w:val="00451668"/>
    <w:rsid w:val="00460AFC"/>
    <w:rsid w:val="004C5EBA"/>
    <w:rsid w:val="004D6BA2"/>
    <w:rsid w:val="004E25A2"/>
    <w:rsid w:val="004E69EC"/>
    <w:rsid w:val="004F090E"/>
    <w:rsid w:val="005054B1"/>
    <w:rsid w:val="00524C08"/>
    <w:rsid w:val="00533A91"/>
    <w:rsid w:val="00540106"/>
    <w:rsid w:val="00564C88"/>
    <w:rsid w:val="00582136"/>
    <w:rsid w:val="005D2CFA"/>
    <w:rsid w:val="005D4801"/>
    <w:rsid w:val="0061259C"/>
    <w:rsid w:val="006274DE"/>
    <w:rsid w:val="00642091"/>
    <w:rsid w:val="006500DC"/>
    <w:rsid w:val="00671335"/>
    <w:rsid w:val="006859D1"/>
    <w:rsid w:val="00693B4B"/>
    <w:rsid w:val="006B210C"/>
    <w:rsid w:val="006C61CA"/>
    <w:rsid w:val="006F400D"/>
    <w:rsid w:val="00701ABD"/>
    <w:rsid w:val="007740CA"/>
    <w:rsid w:val="00815561"/>
    <w:rsid w:val="00842677"/>
    <w:rsid w:val="00843369"/>
    <w:rsid w:val="00852D4E"/>
    <w:rsid w:val="008726A9"/>
    <w:rsid w:val="00880B14"/>
    <w:rsid w:val="00904937"/>
    <w:rsid w:val="0093524C"/>
    <w:rsid w:val="00962C82"/>
    <w:rsid w:val="00996510"/>
    <w:rsid w:val="0099776C"/>
    <w:rsid w:val="009B58B8"/>
    <w:rsid w:val="009E1B85"/>
    <w:rsid w:val="009E7065"/>
    <w:rsid w:val="00A15427"/>
    <w:rsid w:val="00A261D8"/>
    <w:rsid w:val="00A27E9E"/>
    <w:rsid w:val="00A51D10"/>
    <w:rsid w:val="00A57778"/>
    <w:rsid w:val="00A92D11"/>
    <w:rsid w:val="00AB2201"/>
    <w:rsid w:val="00AC51CD"/>
    <w:rsid w:val="00B2222B"/>
    <w:rsid w:val="00B523C5"/>
    <w:rsid w:val="00B60817"/>
    <w:rsid w:val="00BC2DFD"/>
    <w:rsid w:val="00BD4217"/>
    <w:rsid w:val="00C003E6"/>
    <w:rsid w:val="00C118E6"/>
    <w:rsid w:val="00C2506A"/>
    <w:rsid w:val="00CC23C6"/>
    <w:rsid w:val="00CE17A0"/>
    <w:rsid w:val="00D030DA"/>
    <w:rsid w:val="00D76BDF"/>
    <w:rsid w:val="00D862D9"/>
    <w:rsid w:val="00DA7B22"/>
    <w:rsid w:val="00DF12CD"/>
    <w:rsid w:val="00DF15D7"/>
    <w:rsid w:val="00E22DBA"/>
    <w:rsid w:val="00E356C7"/>
    <w:rsid w:val="00E5364D"/>
    <w:rsid w:val="00E54E6E"/>
    <w:rsid w:val="00E64FA7"/>
    <w:rsid w:val="00E770CB"/>
    <w:rsid w:val="00E90D04"/>
    <w:rsid w:val="00E94AE9"/>
    <w:rsid w:val="00E95E1B"/>
    <w:rsid w:val="00EA1FF6"/>
    <w:rsid w:val="00EA5B4A"/>
    <w:rsid w:val="00EA6DB9"/>
    <w:rsid w:val="00EE256B"/>
    <w:rsid w:val="00EF0E44"/>
    <w:rsid w:val="00EF72F1"/>
    <w:rsid w:val="00F36AF0"/>
    <w:rsid w:val="00F72014"/>
    <w:rsid w:val="00F9518C"/>
    <w:rsid w:val="00FA59EF"/>
    <w:rsid w:val="00FC2782"/>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7C8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unhideWhenUsed/>
    <w:rsid w:val="00F72014"/>
    <w:pPr>
      <w:tabs>
        <w:tab w:val="center" w:pos="4680"/>
        <w:tab w:val="right" w:pos="9360"/>
      </w:tabs>
    </w:pPr>
  </w:style>
  <w:style w:type="character" w:customStyle="1" w:styleId="FooterChar">
    <w:name w:val="Footer Char"/>
    <w:basedOn w:val="DefaultParagraphFont"/>
    <w:link w:val="Footer"/>
    <w:uiPriority w:val="99"/>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paragraph" w:customStyle="1" w:styleId="SCCCounselName">
    <w:name w:val="SCC.CounselName"/>
    <w:basedOn w:val="Normal"/>
    <w:next w:val="Normal"/>
    <w:link w:val="SCCCounselNameChar"/>
    <w:rsid w:val="00962C82"/>
    <w:rPr>
      <w:i/>
    </w:rPr>
  </w:style>
  <w:style w:type="character" w:customStyle="1" w:styleId="SCCCounselNameChar">
    <w:name w:val="SCC.CounselName Char"/>
    <w:basedOn w:val="DefaultParagraphFont"/>
    <w:link w:val="SCCCounselName"/>
    <w:rsid w:val="00962C82"/>
    <w:rPr>
      <w:rFonts w:eastAsia="Times New Roman" w:cs="Times New Roman"/>
      <w:i/>
      <w:szCs w:val="20"/>
      <w:lang w:val="en-CA" w:eastAsia="en-CA"/>
    </w:rPr>
  </w:style>
  <w:style w:type="paragraph" w:customStyle="1" w:styleId="SCCCounselSeparator">
    <w:name w:val="SCC.CounselSeparator"/>
    <w:basedOn w:val="Normal"/>
    <w:next w:val="Normal"/>
    <w:link w:val="SCCCounselSeparatorChar"/>
    <w:rsid w:val="00962C82"/>
  </w:style>
  <w:style w:type="character" w:customStyle="1" w:styleId="SCCCounselSeparatorChar">
    <w:name w:val="SCC.CounselSeparator Char"/>
    <w:basedOn w:val="DefaultParagraphFont"/>
    <w:link w:val="SCCCounselSeparator"/>
    <w:rsid w:val="00962C82"/>
    <w:rPr>
      <w:rFonts w:eastAsia="Times New Roman" w:cs="Times New Roman"/>
      <w:szCs w:val="20"/>
      <w:lang w:val="en-CA" w:eastAsia="en-CA"/>
    </w:rPr>
  </w:style>
  <w:style w:type="paragraph" w:customStyle="1" w:styleId="SCCCounselPartyRole">
    <w:name w:val="SCC.CounselPartyRole"/>
    <w:basedOn w:val="Normal"/>
    <w:next w:val="Normal"/>
    <w:link w:val="SCCCounselPartyRoleChar"/>
    <w:rsid w:val="00962C82"/>
  </w:style>
  <w:style w:type="character" w:customStyle="1" w:styleId="SCCCounselPartyRoleChar">
    <w:name w:val="SCC.CounselPartyRole Char"/>
    <w:basedOn w:val="DefaultParagraphFont"/>
    <w:link w:val="SCCCounselPartyRole"/>
    <w:rsid w:val="00962C82"/>
    <w:rPr>
      <w:rFonts w:eastAsia="Times New Roman" w:cs="Times New Roman"/>
      <w:szCs w:val="20"/>
      <w:lang w:val="en-CA" w:eastAsia="en-CA"/>
    </w:rPr>
  </w:style>
  <w:style w:type="paragraph" w:customStyle="1" w:styleId="SCCBold">
    <w:name w:val="SCC.Bold"/>
    <w:basedOn w:val="Normal"/>
    <w:next w:val="Normal"/>
    <w:rsid w:val="005D2CFA"/>
    <w:rPr>
      <w:b/>
    </w:rPr>
  </w:style>
  <w:style w:type="paragraph" w:customStyle="1" w:styleId="SCCReasonsTitle">
    <w:name w:val="SCC.ReasonsTitle"/>
    <w:basedOn w:val="Normal"/>
    <w:next w:val="Normal"/>
    <w:link w:val="SCCReasonsTitleChar"/>
    <w:qFormat/>
    <w:rsid w:val="00076773"/>
    <w:rPr>
      <w:b/>
    </w:rPr>
  </w:style>
  <w:style w:type="character" w:customStyle="1" w:styleId="SCCReasonsTitleChar">
    <w:name w:val="SCC.ReasonsTitle Char"/>
    <w:basedOn w:val="DefaultParagraphFont"/>
    <w:link w:val="SCCReasonsTitle"/>
    <w:rsid w:val="001B27ED"/>
    <w:rPr>
      <w:b/>
      <w:lang w:val="en-CA"/>
    </w:rPr>
  </w:style>
  <w:style w:type="character" w:styleId="CommentReference">
    <w:name w:val="annotation reference"/>
    <w:basedOn w:val="DefaultParagraphFont"/>
    <w:uiPriority w:val="99"/>
    <w:semiHidden/>
    <w:unhideWhenUsed/>
    <w:rsid w:val="00EE256B"/>
    <w:rPr>
      <w:sz w:val="16"/>
      <w:szCs w:val="16"/>
    </w:rPr>
  </w:style>
  <w:style w:type="paragraph" w:styleId="CommentText">
    <w:name w:val="annotation text"/>
    <w:basedOn w:val="Normal"/>
    <w:link w:val="CommentTextChar"/>
    <w:uiPriority w:val="99"/>
    <w:semiHidden/>
    <w:unhideWhenUsed/>
    <w:rsid w:val="00EE256B"/>
    <w:rPr>
      <w:sz w:val="20"/>
      <w:szCs w:val="20"/>
    </w:rPr>
  </w:style>
  <w:style w:type="character" w:customStyle="1" w:styleId="CommentTextChar">
    <w:name w:val="Comment Text Char"/>
    <w:basedOn w:val="DefaultParagraphFont"/>
    <w:link w:val="CommentText"/>
    <w:uiPriority w:val="99"/>
    <w:semiHidden/>
    <w:rsid w:val="00EE256B"/>
    <w:rPr>
      <w:sz w:val="20"/>
      <w:szCs w:val="20"/>
      <w:lang w:val="en-CA"/>
    </w:rPr>
  </w:style>
  <w:style w:type="paragraph" w:styleId="CommentSubject">
    <w:name w:val="annotation subject"/>
    <w:basedOn w:val="CommentText"/>
    <w:next w:val="CommentText"/>
    <w:link w:val="CommentSubjectChar"/>
    <w:uiPriority w:val="99"/>
    <w:semiHidden/>
    <w:unhideWhenUsed/>
    <w:rsid w:val="00EE256B"/>
    <w:rPr>
      <w:b/>
      <w:bCs/>
    </w:rPr>
  </w:style>
  <w:style w:type="character" w:customStyle="1" w:styleId="CommentSubjectChar">
    <w:name w:val="Comment Subject Char"/>
    <w:basedOn w:val="CommentTextChar"/>
    <w:link w:val="CommentSubject"/>
    <w:uiPriority w:val="99"/>
    <w:semiHidden/>
    <w:rsid w:val="00EE256B"/>
    <w:rPr>
      <w:b/>
      <w:bCs/>
      <w:sz w:val="20"/>
      <w:szCs w:val="20"/>
      <w:lang w:val="en-CA"/>
    </w:rPr>
  </w:style>
  <w:style w:type="character" w:styleId="Hyperlink">
    <w:name w:val="Hyperlink"/>
    <w:basedOn w:val="DefaultParagraphFont"/>
    <w:uiPriority w:val="99"/>
    <w:unhideWhenUsed/>
    <w:rsid w:val="000944D2"/>
    <w:rPr>
      <w:color w:val="780000"/>
      <w:u w:val="none"/>
    </w:rPr>
  </w:style>
  <w:style w:type="character" w:styleId="FollowedHyperlink">
    <w:name w:val="FollowedHyperlink"/>
    <w:basedOn w:val="DefaultParagraphFont"/>
    <w:uiPriority w:val="99"/>
    <w:semiHidden/>
    <w:unhideWhenUsed/>
    <w:rsid w:val="00671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2493">
      <w:bodyDiv w:val="1"/>
      <w:marLeft w:val="0"/>
      <w:marRight w:val="0"/>
      <w:marTop w:val="0"/>
      <w:marBottom w:val="0"/>
      <w:divBdr>
        <w:top w:val="none" w:sz="0" w:space="0" w:color="auto"/>
        <w:left w:val="none" w:sz="0" w:space="0" w:color="auto"/>
        <w:bottom w:val="none" w:sz="0" w:space="0" w:color="auto"/>
        <w:right w:val="none" w:sz="0" w:space="0" w:color="auto"/>
      </w:divBdr>
    </w:div>
    <w:div w:id="388308635">
      <w:bodyDiv w:val="1"/>
      <w:marLeft w:val="0"/>
      <w:marRight w:val="0"/>
      <w:marTop w:val="0"/>
      <w:marBottom w:val="0"/>
      <w:divBdr>
        <w:top w:val="none" w:sz="0" w:space="0" w:color="auto"/>
        <w:left w:val="none" w:sz="0" w:space="0" w:color="auto"/>
        <w:bottom w:val="none" w:sz="0" w:space="0" w:color="auto"/>
        <w:right w:val="none" w:sz="0" w:space="0" w:color="auto"/>
      </w:divBdr>
    </w:div>
    <w:div w:id="627588026">
      <w:bodyDiv w:val="1"/>
      <w:marLeft w:val="0"/>
      <w:marRight w:val="0"/>
      <w:marTop w:val="0"/>
      <w:marBottom w:val="0"/>
      <w:divBdr>
        <w:top w:val="none" w:sz="0" w:space="0" w:color="auto"/>
        <w:left w:val="none" w:sz="0" w:space="0" w:color="auto"/>
        <w:bottom w:val="none" w:sz="0" w:space="0" w:color="auto"/>
        <w:right w:val="none" w:sz="0" w:space="0" w:color="auto"/>
      </w:divBdr>
    </w:div>
    <w:div w:id="1015765027">
      <w:bodyDiv w:val="1"/>
      <w:marLeft w:val="0"/>
      <w:marRight w:val="0"/>
      <w:marTop w:val="0"/>
      <w:marBottom w:val="0"/>
      <w:divBdr>
        <w:top w:val="none" w:sz="0" w:space="0" w:color="auto"/>
        <w:left w:val="none" w:sz="0" w:space="0" w:color="auto"/>
        <w:bottom w:val="none" w:sz="0" w:space="0" w:color="auto"/>
        <w:right w:val="none" w:sz="0" w:space="0" w:color="auto"/>
      </w:divBdr>
    </w:div>
    <w:div w:id="1145197378">
      <w:bodyDiv w:val="1"/>
      <w:marLeft w:val="0"/>
      <w:marRight w:val="0"/>
      <w:marTop w:val="0"/>
      <w:marBottom w:val="0"/>
      <w:divBdr>
        <w:top w:val="none" w:sz="0" w:space="0" w:color="auto"/>
        <w:left w:val="none" w:sz="0" w:space="0" w:color="auto"/>
        <w:bottom w:val="none" w:sz="0" w:space="0" w:color="auto"/>
        <w:right w:val="none" w:sz="0" w:space="0" w:color="auto"/>
      </w:divBdr>
    </w:div>
    <w:div w:id="1824467910">
      <w:bodyDiv w:val="1"/>
      <w:marLeft w:val="0"/>
      <w:marRight w:val="0"/>
      <w:marTop w:val="0"/>
      <w:marBottom w:val="0"/>
      <w:divBdr>
        <w:top w:val="none" w:sz="0" w:space="0" w:color="auto"/>
        <w:left w:val="none" w:sz="0" w:space="0" w:color="auto"/>
        <w:bottom w:val="none" w:sz="0" w:space="0" w:color="auto"/>
        <w:right w:val="none" w:sz="0" w:space="0" w:color="auto"/>
      </w:divBdr>
    </w:div>
    <w:div w:id="1854804274">
      <w:bodyDiv w:val="1"/>
      <w:marLeft w:val="0"/>
      <w:marRight w:val="0"/>
      <w:marTop w:val="0"/>
      <w:marBottom w:val="0"/>
      <w:divBdr>
        <w:top w:val="none" w:sz="0" w:space="0" w:color="auto"/>
        <w:left w:val="none" w:sz="0" w:space="0" w:color="auto"/>
        <w:bottom w:val="none" w:sz="0" w:space="0" w:color="auto"/>
        <w:right w:val="none" w:sz="0" w:space="0" w:color="auto"/>
      </w:divBdr>
    </w:div>
    <w:div w:id="20541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ecisia.lexum.com/nsc/nsca/en/item/500713/index.do"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AF2FB-E089-48AA-9D5C-B2FEF664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1017</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2022-04-26T13:25:00Z</dcterms:created>
  <dcterms:modified xsi:type="dcterms:W3CDTF">2023-05-04T16:55:00Z</dcterms:modified>
</cp:coreProperties>
</file>