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689"/>
        <w:gridCol w:w="1891"/>
        <w:gridCol w:w="3761"/>
        <w:gridCol w:w="19"/>
      </w:tblGrid>
      <w:tr w:rsidR="006230B6" w:rsidRPr="00814D3F" w:rsidTr="00B91A56">
        <w:trPr>
          <w:trHeight w:val="2103"/>
        </w:trPr>
        <w:tc>
          <w:tcPr>
            <w:tcW w:w="5000" w:type="pct"/>
            <w:gridSpan w:val="4"/>
          </w:tcPr>
          <w:p w:rsidR="006230B6" w:rsidRPr="00814D3F" w:rsidRDefault="00B91A56" w:rsidP="00E92347">
            <w:pPr>
              <w:jc w:val="center"/>
              <w:rPr>
                <w:szCs w:val="24"/>
              </w:rPr>
            </w:pPr>
            <w:r w:rsidRPr="00814D3F">
              <w:rPr>
                <w:noProof/>
                <w:szCs w:val="24"/>
                <w:lang w:val="fr-CA" w:eastAsia="fr-CA"/>
              </w:rPr>
              <w:drawing>
                <wp:inline distT="0" distB="0" distL="0" distR="0">
                  <wp:extent cx="1191895" cy="1638300"/>
                  <wp:effectExtent l="0" t="0" r="8255" b="0"/>
                  <wp:docPr id="1" name="Picture 1"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6230B6" w:rsidRPr="00814D3F" w:rsidRDefault="006230B6" w:rsidP="0081470C">
            <w:pPr>
              <w:spacing w:before="120" w:after="100" w:afterAutospacing="1"/>
              <w:jc w:val="center"/>
              <w:rPr>
                <w:rFonts w:eastAsia="Calibri"/>
                <w:szCs w:val="24"/>
              </w:rPr>
            </w:pPr>
            <w:r w:rsidRPr="00814D3F">
              <w:rPr>
                <w:rFonts w:eastAsia="Calibri"/>
                <w:b/>
                <w:szCs w:val="24"/>
                <w:lang w:eastAsia="en-US"/>
              </w:rPr>
              <w:t>SUPREME COURT OF CANADA</w:t>
            </w:r>
          </w:p>
        </w:tc>
      </w:tr>
      <w:tr w:rsidR="008201FB" w:rsidRPr="00814D3F" w:rsidTr="00F138C9">
        <w:trPr>
          <w:gridAfter w:val="1"/>
          <w:wAfter w:w="10" w:type="pct"/>
        </w:trPr>
        <w:tc>
          <w:tcPr>
            <w:tcW w:w="1971" w:type="pct"/>
            <w:tcMar>
              <w:top w:w="284" w:type="dxa"/>
            </w:tcMar>
          </w:tcPr>
          <w:p w:rsidR="006230B6" w:rsidRPr="00814D3F" w:rsidRDefault="006230B6" w:rsidP="0075717D">
            <w:pPr>
              <w:spacing w:before="100" w:beforeAutospacing="1"/>
              <w:rPr>
                <w:rFonts w:eastAsia="Calibri"/>
                <w:szCs w:val="24"/>
                <w:lang w:val="fr-CA"/>
              </w:rPr>
            </w:pPr>
            <w:r w:rsidRPr="00814D3F">
              <w:rPr>
                <w:b/>
                <w:smallCaps/>
                <w:szCs w:val="24"/>
                <w:lang w:val="fr-CA"/>
              </w:rPr>
              <w:t>Citation:</w:t>
            </w:r>
            <w:r w:rsidRPr="00814D3F">
              <w:rPr>
                <w:szCs w:val="24"/>
                <w:lang w:val="fr-CA"/>
              </w:rPr>
              <w:t xml:space="preserve"> </w:t>
            </w:r>
            <w:r w:rsidR="00410588" w:rsidRPr="00814D3F">
              <w:rPr>
                <w:szCs w:val="24"/>
                <w:lang w:val="fr-CA"/>
              </w:rPr>
              <w:t xml:space="preserve">R. </w:t>
            </w:r>
            <w:r w:rsidR="00410588" w:rsidRPr="00814D3F">
              <w:rPr>
                <w:i/>
                <w:szCs w:val="24"/>
                <w:lang w:val="fr-CA"/>
              </w:rPr>
              <w:t>v.</w:t>
            </w:r>
            <w:r w:rsidR="00896C73" w:rsidRPr="00814D3F">
              <w:rPr>
                <w:szCs w:val="24"/>
                <w:lang w:val="fr-CA"/>
              </w:rPr>
              <w:t xml:space="preserve"> </w:t>
            </w:r>
            <w:r w:rsidR="00734AAE" w:rsidRPr="00814D3F">
              <w:rPr>
                <w:szCs w:val="24"/>
                <w:lang w:val="fr-CA"/>
              </w:rPr>
              <w:t>Hay</w:t>
            </w:r>
            <w:r w:rsidR="00972251" w:rsidRPr="00814D3F">
              <w:rPr>
                <w:szCs w:val="24"/>
                <w:lang w:val="fr-CA"/>
              </w:rPr>
              <w:t>, 202</w:t>
            </w:r>
            <w:r w:rsidR="002B56E8" w:rsidRPr="00814D3F">
              <w:rPr>
                <w:szCs w:val="24"/>
                <w:lang w:val="fr-CA"/>
              </w:rPr>
              <w:t>3</w:t>
            </w:r>
            <w:r w:rsidR="00972251" w:rsidRPr="00814D3F">
              <w:rPr>
                <w:szCs w:val="24"/>
                <w:lang w:val="fr-CA"/>
              </w:rPr>
              <w:t xml:space="preserve"> SCC </w:t>
            </w:r>
            <w:r w:rsidR="002B56E8" w:rsidRPr="00814D3F">
              <w:rPr>
                <w:szCs w:val="24"/>
                <w:lang w:val="fr-CA"/>
              </w:rPr>
              <w:t>1</w:t>
            </w:r>
            <w:r w:rsidR="00734AAE" w:rsidRPr="00814D3F">
              <w:rPr>
                <w:szCs w:val="24"/>
                <w:lang w:val="fr-CA"/>
              </w:rPr>
              <w:t>5</w:t>
            </w:r>
          </w:p>
        </w:tc>
        <w:tc>
          <w:tcPr>
            <w:tcW w:w="1010" w:type="pct"/>
          </w:tcPr>
          <w:p w:rsidR="006230B6" w:rsidRPr="00814D3F" w:rsidRDefault="006230B6" w:rsidP="00A12217">
            <w:pPr>
              <w:rPr>
                <w:b/>
                <w:smallCaps/>
                <w:szCs w:val="24"/>
                <w:lang w:val="fr-CA"/>
              </w:rPr>
            </w:pPr>
          </w:p>
        </w:tc>
        <w:tc>
          <w:tcPr>
            <w:tcW w:w="2009" w:type="pct"/>
            <w:tcMar>
              <w:top w:w="284" w:type="dxa"/>
            </w:tcMar>
          </w:tcPr>
          <w:p w:rsidR="006230B6" w:rsidRPr="00814D3F" w:rsidRDefault="006230B6" w:rsidP="00A12217">
            <w:pPr>
              <w:rPr>
                <w:szCs w:val="24"/>
              </w:rPr>
            </w:pPr>
            <w:r w:rsidRPr="00814D3F">
              <w:rPr>
                <w:b/>
                <w:smallCaps/>
                <w:szCs w:val="24"/>
              </w:rPr>
              <w:t>Appeal Heard:</w:t>
            </w:r>
            <w:r w:rsidR="00EA07C1" w:rsidRPr="00814D3F">
              <w:rPr>
                <w:b/>
                <w:smallCaps/>
                <w:szCs w:val="24"/>
              </w:rPr>
              <w:t xml:space="preserve"> </w:t>
            </w:r>
            <w:r w:rsidR="00734AAE" w:rsidRPr="00814D3F">
              <w:rPr>
                <w:szCs w:val="24"/>
              </w:rPr>
              <w:t>May</w:t>
            </w:r>
            <w:r w:rsidR="0075717D" w:rsidRPr="00814D3F">
              <w:rPr>
                <w:szCs w:val="24"/>
              </w:rPr>
              <w:t xml:space="preserve"> </w:t>
            </w:r>
            <w:r w:rsidR="002B56E8" w:rsidRPr="00814D3F">
              <w:rPr>
                <w:szCs w:val="24"/>
              </w:rPr>
              <w:t>1</w:t>
            </w:r>
            <w:r w:rsidR="00734AAE" w:rsidRPr="00814D3F">
              <w:rPr>
                <w:szCs w:val="24"/>
              </w:rPr>
              <w:t>9</w:t>
            </w:r>
            <w:r w:rsidR="002B56E8" w:rsidRPr="00814D3F">
              <w:rPr>
                <w:szCs w:val="24"/>
              </w:rPr>
              <w:t>, 2023</w:t>
            </w:r>
          </w:p>
          <w:p w:rsidR="006230B6" w:rsidRPr="00814D3F" w:rsidRDefault="006230B6" w:rsidP="00A12217">
            <w:pPr>
              <w:rPr>
                <w:szCs w:val="24"/>
              </w:rPr>
            </w:pPr>
            <w:r w:rsidRPr="00814D3F">
              <w:rPr>
                <w:b/>
                <w:smallCaps/>
                <w:szCs w:val="24"/>
              </w:rPr>
              <w:t>Judgment Rendered:</w:t>
            </w:r>
            <w:r w:rsidR="00EA07C1" w:rsidRPr="00814D3F">
              <w:rPr>
                <w:b/>
                <w:smallCaps/>
                <w:szCs w:val="24"/>
              </w:rPr>
              <w:t xml:space="preserve"> </w:t>
            </w:r>
            <w:r w:rsidR="00734AAE" w:rsidRPr="00814D3F">
              <w:rPr>
                <w:szCs w:val="24"/>
              </w:rPr>
              <w:t>May 19</w:t>
            </w:r>
            <w:r w:rsidR="002B56E8" w:rsidRPr="00814D3F">
              <w:rPr>
                <w:szCs w:val="24"/>
              </w:rPr>
              <w:t>, 2023</w:t>
            </w:r>
          </w:p>
          <w:p w:rsidR="006230B6" w:rsidRPr="00814D3F" w:rsidRDefault="006230B6" w:rsidP="000F2039">
            <w:pPr>
              <w:rPr>
                <w:szCs w:val="24"/>
              </w:rPr>
            </w:pPr>
            <w:r w:rsidRPr="00814D3F">
              <w:rPr>
                <w:b/>
                <w:smallCaps/>
                <w:szCs w:val="24"/>
              </w:rPr>
              <w:t>Docket:</w:t>
            </w:r>
            <w:r w:rsidRPr="00814D3F">
              <w:rPr>
                <w:szCs w:val="24"/>
              </w:rPr>
              <w:t xml:space="preserve"> </w:t>
            </w:r>
            <w:r w:rsidR="00734AAE" w:rsidRPr="00814D3F">
              <w:rPr>
                <w:szCs w:val="24"/>
                <w:lang w:val="fr-CA"/>
              </w:rPr>
              <w:t>40316</w:t>
            </w:r>
          </w:p>
        </w:tc>
      </w:tr>
      <w:tr w:rsidR="006230B6" w:rsidRPr="00814D3F" w:rsidTr="00D614E0">
        <w:tc>
          <w:tcPr>
            <w:tcW w:w="5000" w:type="pct"/>
            <w:gridSpan w:val="4"/>
          </w:tcPr>
          <w:p w:rsidR="006230B6" w:rsidRPr="00814D3F" w:rsidRDefault="006230B6" w:rsidP="00A12217">
            <w:pPr>
              <w:rPr>
                <w:rFonts w:eastAsiaTheme="minorHAnsi"/>
                <w:b/>
                <w:szCs w:val="24"/>
                <w:lang w:eastAsia="en-US"/>
              </w:rPr>
            </w:pPr>
          </w:p>
          <w:p w:rsidR="00C8650B" w:rsidRPr="00814D3F" w:rsidRDefault="00C8650B" w:rsidP="00C8650B">
            <w:pPr>
              <w:rPr>
                <w:rFonts w:eastAsiaTheme="minorHAnsi"/>
                <w:b/>
                <w:smallCaps/>
                <w:szCs w:val="24"/>
                <w:lang w:eastAsia="en-US"/>
              </w:rPr>
            </w:pPr>
            <w:r w:rsidRPr="00814D3F">
              <w:rPr>
                <w:rFonts w:eastAsiaTheme="minorHAnsi"/>
                <w:b/>
                <w:smallCaps/>
                <w:szCs w:val="24"/>
                <w:lang w:eastAsia="en-US"/>
              </w:rPr>
              <w:t>Between:</w:t>
            </w:r>
          </w:p>
          <w:p w:rsidR="0075717D" w:rsidRPr="00814D3F" w:rsidRDefault="0075717D" w:rsidP="00C8650B">
            <w:pPr>
              <w:rPr>
                <w:rFonts w:eastAsiaTheme="minorHAnsi"/>
                <w:b/>
                <w:smallCaps/>
                <w:szCs w:val="24"/>
                <w:lang w:eastAsia="en-US"/>
              </w:rPr>
            </w:pPr>
          </w:p>
          <w:p w:rsidR="00C8650B" w:rsidRPr="00814D3F" w:rsidRDefault="00734AAE" w:rsidP="00C8650B">
            <w:pPr>
              <w:jc w:val="center"/>
              <w:rPr>
                <w:rFonts w:eastAsiaTheme="minorHAnsi"/>
                <w:b/>
                <w:szCs w:val="24"/>
                <w:lang w:eastAsia="en-US"/>
              </w:rPr>
            </w:pPr>
            <w:r w:rsidRPr="00814D3F">
              <w:rPr>
                <w:rFonts w:eastAsiaTheme="minorHAnsi"/>
                <w:b/>
                <w:szCs w:val="24"/>
                <w:lang w:eastAsia="en-US"/>
              </w:rPr>
              <w:t>Jason Donald Hay</w:t>
            </w:r>
          </w:p>
          <w:p w:rsidR="00C8650B" w:rsidRPr="00814D3F" w:rsidRDefault="00C8650B" w:rsidP="00C8650B">
            <w:pPr>
              <w:jc w:val="center"/>
              <w:rPr>
                <w:rFonts w:eastAsiaTheme="minorHAnsi"/>
                <w:szCs w:val="24"/>
                <w:lang w:eastAsia="en-US"/>
              </w:rPr>
            </w:pPr>
            <w:r w:rsidRPr="00814D3F">
              <w:rPr>
                <w:rFonts w:eastAsiaTheme="minorHAnsi"/>
                <w:szCs w:val="24"/>
                <w:lang w:eastAsia="en-US"/>
              </w:rPr>
              <w:t>Appellant</w:t>
            </w:r>
          </w:p>
          <w:p w:rsidR="00DA09F8" w:rsidRPr="00814D3F" w:rsidRDefault="00DA09F8" w:rsidP="00C8650B">
            <w:pPr>
              <w:jc w:val="center"/>
              <w:rPr>
                <w:rFonts w:eastAsiaTheme="minorHAnsi"/>
                <w:szCs w:val="24"/>
                <w:lang w:eastAsia="en-US"/>
              </w:rPr>
            </w:pPr>
          </w:p>
          <w:p w:rsidR="00C8650B" w:rsidRPr="00814D3F" w:rsidRDefault="00DA09F8" w:rsidP="00C8650B">
            <w:pPr>
              <w:jc w:val="center"/>
              <w:rPr>
                <w:rFonts w:eastAsiaTheme="minorHAnsi"/>
                <w:szCs w:val="24"/>
                <w:lang w:eastAsia="en-US"/>
              </w:rPr>
            </w:pPr>
            <w:r w:rsidRPr="00814D3F">
              <w:rPr>
                <w:rFonts w:eastAsiaTheme="minorHAnsi"/>
                <w:szCs w:val="24"/>
                <w:lang w:eastAsia="en-US"/>
              </w:rPr>
              <w:t>and</w:t>
            </w:r>
          </w:p>
          <w:p w:rsidR="00DA09F8" w:rsidRPr="00814D3F" w:rsidRDefault="00DA09F8" w:rsidP="00C8650B">
            <w:pPr>
              <w:jc w:val="center"/>
              <w:rPr>
                <w:rFonts w:eastAsiaTheme="minorHAnsi"/>
                <w:szCs w:val="24"/>
                <w:lang w:eastAsia="en-US"/>
              </w:rPr>
            </w:pPr>
          </w:p>
          <w:p w:rsidR="00D33A8F" w:rsidRPr="00814D3F" w:rsidRDefault="00734AAE" w:rsidP="00C8650B">
            <w:pPr>
              <w:jc w:val="center"/>
              <w:rPr>
                <w:rFonts w:eastAsiaTheme="minorHAnsi"/>
                <w:b/>
                <w:szCs w:val="24"/>
                <w:lang w:eastAsia="en-US"/>
              </w:rPr>
            </w:pPr>
            <w:r w:rsidRPr="00814D3F">
              <w:rPr>
                <w:rStyle w:val="Strong"/>
                <w:rFonts w:eastAsiaTheme="majorEastAsia"/>
                <w:szCs w:val="24"/>
                <w:shd w:val="clear" w:color="auto" w:fill="FFFFFF"/>
              </w:rPr>
              <w:t>His Majesty The King</w:t>
            </w:r>
          </w:p>
          <w:p w:rsidR="00C8650B" w:rsidRPr="00814D3F" w:rsidRDefault="00C8650B" w:rsidP="00C8650B">
            <w:pPr>
              <w:jc w:val="center"/>
              <w:rPr>
                <w:rFonts w:eastAsiaTheme="minorHAnsi"/>
                <w:szCs w:val="24"/>
                <w:lang w:eastAsia="en-US"/>
              </w:rPr>
            </w:pPr>
            <w:r w:rsidRPr="00814D3F">
              <w:rPr>
                <w:rFonts w:eastAsiaTheme="minorHAnsi"/>
                <w:szCs w:val="24"/>
                <w:lang w:eastAsia="en-US"/>
              </w:rPr>
              <w:t>Respondent</w:t>
            </w:r>
          </w:p>
          <w:p w:rsidR="004C5B67" w:rsidRPr="00814D3F" w:rsidRDefault="004C5B67" w:rsidP="004C5B67">
            <w:pPr>
              <w:rPr>
                <w:b/>
                <w:smallCaps/>
                <w:szCs w:val="24"/>
              </w:rPr>
            </w:pPr>
          </w:p>
          <w:p w:rsidR="004C5B67" w:rsidRPr="00814D3F" w:rsidRDefault="004C5B67" w:rsidP="00E03F44">
            <w:pPr>
              <w:jc w:val="center"/>
              <w:rPr>
                <w:b/>
                <w:smallCaps/>
                <w:szCs w:val="24"/>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104"/>
        <w:gridCol w:w="7235"/>
        <w:gridCol w:w="21"/>
      </w:tblGrid>
      <w:tr w:rsidR="00E92347" w:rsidRPr="00814D3F" w:rsidTr="00E92347">
        <w:trPr>
          <w:cantSplit/>
          <w:trHeight w:val="508"/>
        </w:trPr>
        <w:tc>
          <w:tcPr>
            <w:tcW w:w="5000" w:type="pct"/>
            <w:gridSpan w:val="3"/>
            <w:tcMar>
              <w:top w:w="284" w:type="dxa"/>
              <w:bottom w:w="57" w:type="dxa"/>
            </w:tcMar>
            <w:vAlign w:val="center"/>
          </w:tcPr>
          <w:p w:rsidR="00E92347" w:rsidRPr="00814D3F" w:rsidRDefault="00A12217" w:rsidP="00FF150E">
            <w:r w:rsidRPr="00814D3F">
              <w:rPr>
                <w:b/>
                <w:smallCaps/>
              </w:rPr>
              <w:t>Coram:</w:t>
            </w:r>
            <w:r w:rsidRPr="00814D3F">
              <w:t xml:space="preserve"> </w:t>
            </w:r>
            <w:r w:rsidR="002B56E8" w:rsidRPr="00814D3F">
              <w:t>Wagner C.J. and Karakatsanis, Rowe, Martin, Kasirer</w:t>
            </w:r>
            <w:r w:rsidR="00CD637C" w:rsidRPr="00814D3F">
              <w:t>, Jamal</w:t>
            </w:r>
            <w:r w:rsidR="002B56E8" w:rsidRPr="00814D3F">
              <w:t xml:space="preserve"> and O</w:t>
            </w:r>
            <w:r w:rsidR="000D1960" w:rsidRPr="00814D3F">
              <w:t>’</w:t>
            </w:r>
            <w:r w:rsidR="00083A51" w:rsidRPr="00814D3F">
              <w:t>Bonsawin </w:t>
            </w:r>
            <w:r w:rsidR="002B56E8" w:rsidRPr="00814D3F">
              <w:t>JJ.</w:t>
            </w:r>
          </w:p>
        </w:tc>
      </w:tr>
      <w:tr w:rsidR="006230B6" w:rsidRPr="00814D3F" w:rsidTr="0040508D">
        <w:trPr>
          <w:gridAfter w:val="1"/>
          <w:wAfter w:w="11" w:type="pct"/>
          <w:cantSplit/>
          <w:trHeight w:val="508"/>
        </w:trPr>
        <w:tc>
          <w:tcPr>
            <w:tcW w:w="1124" w:type="pct"/>
            <w:tcMar>
              <w:top w:w="28" w:type="dxa"/>
              <w:left w:w="57" w:type="dxa"/>
              <w:bottom w:w="57" w:type="dxa"/>
              <w:right w:w="57" w:type="dxa"/>
            </w:tcMar>
            <w:vAlign w:val="center"/>
          </w:tcPr>
          <w:p w:rsidR="00040F00" w:rsidRPr="00814D3F" w:rsidRDefault="00734AAE" w:rsidP="00AD4C25">
            <w:pPr>
              <w:spacing w:before="120"/>
              <w:rPr>
                <w:smallCaps/>
              </w:rPr>
            </w:pPr>
            <w:r w:rsidRPr="00814D3F">
              <w:rPr>
                <w:rStyle w:val="solexhl"/>
                <w:b/>
                <w:bCs/>
                <w:smallCaps/>
                <w:color w:val="000000"/>
              </w:rPr>
              <w:t>Unanimous Judgment Read By</w:t>
            </w:r>
            <w:r w:rsidRPr="00814D3F">
              <w:rPr>
                <w:b/>
                <w:bCs/>
                <w:smallCaps/>
                <w:color w:val="000000"/>
              </w:rPr>
              <w:t>:</w:t>
            </w:r>
          </w:p>
          <w:p w:rsidR="006230B6" w:rsidRPr="00814D3F" w:rsidRDefault="00CD6453" w:rsidP="007369B5">
            <w:pPr>
              <w:rPr>
                <w:b/>
                <w:smallCaps/>
              </w:rPr>
            </w:pPr>
            <w:r w:rsidRPr="00814D3F">
              <w:t>(</w:t>
            </w:r>
            <w:r w:rsidR="00E42BC1" w:rsidRPr="00814D3F">
              <w:t>para</w:t>
            </w:r>
            <w:r w:rsidR="007369B5" w:rsidRPr="00814D3F">
              <w:t>s</w:t>
            </w:r>
            <w:r w:rsidR="00E42BC1" w:rsidRPr="00814D3F">
              <w:t>. </w:t>
            </w:r>
            <w:r w:rsidR="008C1723" w:rsidRPr="00814D3F">
              <w:t>1</w:t>
            </w:r>
            <w:r w:rsidR="00083A51" w:rsidRPr="00814D3F">
              <w:t xml:space="preserve"> to </w:t>
            </w:r>
            <w:r w:rsidR="007369B5" w:rsidRPr="00814D3F">
              <w:rPr>
                <w:lang w:val="fr-CA"/>
              </w:rPr>
              <w:t>2</w:t>
            </w:r>
            <w:r w:rsidR="006230B6" w:rsidRPr="00814D3F">
              <w:t>)</w:t>
            </w:r>
          </w:p>
        </w:tc>
        <w:tc>
          <w:tcPr>
            <w:tcW w:w="3865" w:type="pct"/>
            <w:tcMar>
              <w:top w:w="28" w:type="dxa"/>
              <w:left w:w="57" w:type="dxa"/>
              <w:bottom w:w="57" w:type="dxa"/>
              <w:right w:w="57" w:type="dxa"/>
            </w:tcMar>
            <w:vAlign w:val="center"/>
          </w:tcPr>
          <w:p w:rsidR="000C433D" w:rsidRPr="00814D3F" w:rsidRDefault="00B65301" w:rsidP="000F2039">
            <w:pPr>
              <w:spacing w:before="120"/>
            </w:pPr>
            <w:r w:rsidRPr="00814D3F">
              <w:t>Wagner C.J.</w:t>
            </w:r>
          </w:p>
        </w:tc>
      </w:tr>
      <w:tr w:rsidR="00EB0B7C" w:rsidRPr="00814D3F" w:rsidTr="00EB0B7C">
        <w:trPr>
          <w:cantSplit/>
        </w:trPr>
        <w:tc>
          <w:tcPr>
            <w:tcW w:w="5000" w:type="pct"/>
            <w:gridSpan w:val="3"/>
            <w:tcMar>
              <w:top w:w="284" w:type="dxa"/>
              <w:bottom w:w="57" w:type="dxa"/>
            </w:tcMar>
            <w:vAlign w:val="center"/>
          </w:tcPr>
          <w:p w:rsidR="001B327A" w:rsidRPr="00814D3F" w:rsidRDefault="001B327A" w:rsidP="00B065AC"/>
        </w:tc>
      </w:tr>
    </w:tbl>
    <w:p w:rsidR="00715A65" w:rsidRPr="00814D3F" w:rsidRDefault="00C22905" w:rsidP="00715A65">
      <w:pPr>
        <w:spacing w:before="100" w:beforeAutospacing="1"/>
        <w:rPr>
          <w:rFonts w:eastAsia="Calibri"/>
          <w:szCs w:val="24"/>
          <w:lang w:eastAsia="en-US"/>
        </w:rPr>
      </w:pPr>
      <w:r w:rsidRPr="00814D3F">
        <w:rPr>
          <w:rFonts w:eastAsia="Calibri"/>
          <w:b/>
          <w:smallCaps/>
          <w:szCs w:val="24"/>
          <w:lang w:eastAsia="en-US"/>
        </w:rPr>
        <w:t>Note:</w:t>
      </w:r>
      <w:r w:rsidRPr="00814D3F">
        <w:rPr>
          <w:rFonts w:eastAsia="Calibri"/>
          <w:szCs w:val="24"/>
          <w:lang w:eastAsia="en-US"/>
        </w:rPr>
        <w:t xml:space="preserve"> This document is subject to editorial revision before its reproduction in final form in the </w:t>
      </w:r>
      <w:r w:rsidRPr="00814D3F">
        <w:rPr>
          <w:rFonts w:eastAsia="Calibri"/>
          <w:i/>
          <w:szCs w:val="24"/>
          <w:lang w:eastAsia="en-US"/>
        </w:rPr>
        <w:t>Canada Supreme Court Reports</w:t>
      </w:r>
      <w:r w:rsidRPr="00814D3F">
        <w:rPr>
          <w:rFonts w:eastAsia="Calibri"/>
          <w:szCs w:val="24"/>
          <w:lang w:eastAsia="en-US"/>
        </w:rPr>
        <w:t>.</w:t>
      </w:r>
      <w:r w:rsidR="00715A65" w:rsidRPr="00814D3F">
        <w:rPr>
          <w:rFonts w:eastAsia="Calibri"/>
          <w:szCs w:val="24"/>
          <w:lang w:eastAsia="en-U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715A65" w:rsidRPr="00814D3F" w:rsidTr="00A80425">
        <w:tc>
          <w:tcPr>
            <w:tcW w:w="1500" w:type="pct"/>
            <w:tcMar>
              <w:top w:w="284" w:type="dxa"/>
            </w:tcMar>
          </w:tcPr>
          <w:p w:rsidR="00715A65" w:rsidRPr="00814D3F" w:rsidRDefault="00715A65" w:rsidP="00A80425">
            <w:pPr>
              <w:rPr>
                <w:rFonts w:eastAsia="Calibri"/>
                <w:szCs w:val="24"/>
                <w:lang w:eastAsia="en-US"/>
              </w:rPr>
            </w:pPr>
          </w:p>
        </w:tc>
        <w:tc>
          <w:tcPr>
            <w:tcW w:w="2000" w:type="pct"/>
            <w:tcBorders>
              <w:bottom w:val="single" w:sz="4" w:space="0" w:color="auto"/>
            </w:tcBorders>
            <w:tcMar>
              <w:top w:w="284" w:type="dxa"/>
            </w:tcMar>
          </w:tcPr>
          <w:p w:rsidR="00715A65" w:rsidRPr="00814D3F" w:rsidRDefault="00715A65" w:rsidP="00A80425">
            <w:pPr>
              <w:rPr>
                <w:rFonts w:eastAsia="Calibri"/>
                <w:szCs w:val="24"/>
                <w:lang w:eastAsia="en-US"/>
              </w:rPr>
            </w:pPr>
          </w:p>
        </w:tc>
        <w:tc>
          <w:tcPr>
            <w:tcW w:w="1500" w:type="pct"/>
            <w:tcMar>
              <w:top w:w="284" w:type="dxa"/>
            </w:tcMar>
          </w:tcPr>
          <w:p w:rsidR="00715A65" w:rsidRPr="00814D3F" w:rsidRDefault="00715A65" w:rsidP="00A80425">
            <w:pPr>
              <w:rPr>
                <w:rFonts w:eastAsia="Calibri"/>
                <w:szCs w:val="24"/>
                <w:lang w:eastAsia="en-US"/>
              </w:rPr>
            </w:pPr>
          </w:p>
        </w:tc>
      </w:tr>
    </w:tbl>
    <w:p w:rsidR="00715A65" w:rsidRPr="00814D3F" w:rsidRDefault="00715A65" w:rsidP="00715A65">
      <w:pPr>
        <w:rPr>
          <w:rFonts w:eastAsia="Calibri"/>
          <w:szCs w:val="24"/>
          <w:lang w:eastAsia="en-US"/>
        </w:rPr>
        <w:sectPr w:rsidR="00715A65" w:rsidRPr="00814D3F" w:rsidSect="00F138C9">
          <w:pgSz w:w="12240" w:h="15840"/>
          <w:pgMar w:top="1440" w:right="1440" w:bottom="1440" w:left="1440" w:header="1803" w:footer="720" w:gutter="0"/>
          <w:cols w:space="720"/>
          <w:docGrid w:linePitch="326"/>
        </w:sectPr>
      </w:pPr>
    </w:p>
    <w:p w:rsidR="00B065AC" w:rsidRPr="00B065AC" w:rsidRDefault="00B065AC" w:rsidP="00B065AC">
      <w:pPr>
        <w:tabs>
          <w:tab w:val="right" w:pos="8222"/>
        </w:tabs>
        <w:spacing w:after="720"/>
        <w:rPr>
          <w:b/>
        </w:rPr>
      </w:pPr>
      <w:r w:rsidRPr="00B065AC">
        <w:rPr>
          <w:b/>
        </w:rPr>
        <w:t>Jason Donald Hay</w:t>
      </w:r>
      <w:r w:rsidRPr="00B065AC">
        <w:rPr>
          <w:i/>
        </w:rPr>
        <w:tab/>
        <w:t>Appellant</w:t>
      </w:r>
    </w:p>
    <w:p w:rsidR="00B065AC" w:rsidRPr="00B065AC" w:rsidRDefault="00B065AC" w:rsidP="00B065AC">
      <w:pPr>
        <w:spacing w:after="720"/>
        <w:rPr>
          <w:i/>
        </w:rPr>
      </w:pPr>
      <w:r w:rsidRPr="00B065AC">
        <w:rPr>
          <w:i/>
        </w:rPr>
        <w:t>v.</w:t>
      </w:r>
    </w:p>
    <w:p w:rsidR="00B065AC" w:rsidRPr="00B065AC" w:rsidRDefault="00B065AC" w:rsidP="00B065AC">
      <w:pPr>
        <w:tabs>
          <w:tab w:val="right" w:pos="8222"/>
        </w:tabs>
        <w:spacing w:after="720"/>
        <w:rPr>
          <w:b/>
        </w:rPr>
      </w:pPr>
      <w:r w:rsidRPr="00B065AC">
        <w:rPr>
          <w:b/>
        </w:rPr>
        <w:t>His Majesty The King</w:t>
      </w:r>
      <w:r w:rsidRPr="00B065AC">
        <w:rPr>
          <w:i/>
        </w:rPr>
        <w:tab/>
        <w:t>Respondent</w:t>
      </w:r>
    </w:p>
    <w:p w:rsidR="00B065AC" w:rsidRPr="00B065AC" w:rsidRDefault="00B065AC" w:rsidP="00B065AC">
      <w:pPr>
        <w:spacing w:after="720"/>
        <w:jc w:val="both"/>
        <w:rPr>
          <w:b/>
        </w:rPr>
      </w:pPr>
      <w:r w:rsidRPr="00B065AC">
        <w:rPr>
          <w:b/>
        </w:rPr>
        <w:t xml:space="preserve">Indexed as: R. </w:t>
      </w:r>
      <w:r w:rsidRPr="00B065AC">
        <w:rPr>
          <w:b/>
          <w:i/>
        </w:rPr>
        <w:t>v.</w:t>
      </w:r>
      <w:r w:rsidRPr="00B065AC">
        <w:rPr>
          <w:b/>
        </w:rPr>
        <w:t xml:space="preserve"> Hay</w:t>
      </w:r>
    </w:p>
    <w:p w:rsidR="00B065AC" w:rsidRPr="00B065AC" w:rsidRDefault="00B065AC" w:rsidP="00B065AC">
      <w:pPr>
        <w:spacing w:after="720"/>
        <w:jc w:val="both"/>
        <w:rPr>
          <w:b/>
        </w:rPr>
      </w:pPr>
      <w:r w:rsidRPr="00B065AC">
        <w:rPr>
          <w:b/>
        </w:rPr>
        <w:t>2023 SCC 15</w:t>
      </w:r>
    </w:p>
    <w:p w:rsidR="00B065AC" w:rsidRPr="00B065AC" w:rsidRDefault="00B065AC" w:rsidP="00B065AC">
      <w:pPr>
        <w:spacing w:after="720"/>
        <w:jc w:val="both"/>
      </w:pPr>
      <w:r w:rsidRPr="00B065AC">
        <w:t>File No.: 40316.</w:t>
      </w:r>
    </w:p>
    <w:p w:rsidR="00B065AC" w:rsidRPr="00B065AC" w:rsidRDefault="00B065AC" w:rsidP="00B065AC">
      <w:pPr>
        <w:spacing w:after="720"/>
        <w:jc w:val="both"/>
      </w:pPr>
      <w:r w:rsidRPr="00B065AC">
        <w:t>2023: May 19.</w:t>
      </w:r>
    </w:p>
    <w:p w:rsidR="00B065AC" w:rsidRPr="00B065AC" w:rsidRDefault="00B065AC" w:rsidP="00B065AC">
      <w:pPr>
        <w:spacing w:after="720"/>
        <w:jc w:val="both"/>
      </w:pPr>
      <w:r w:rsidRPr="00B065AC">
        <w:t>Present: Wagner C.J. and Karakatsanis, Rowe, Martin, Kasirer, Jamal and O’Bonsawin JJ.</w:t>
      </w:r>
    </w:p>
    <w:p w:rsidR="00B065AC" w:rsidRPr="00B065AC" w:rsidRDefault="00B065AC" w:rsidP="00B065AC">
      <w:pPr>
        <w:tabs>
          <w:tab w:val="left" w:pos="1168"/>
        </w:tabs>
        <w:spacing w:after="720"/>
        <w:jc w:val="both"/>
        <w:rPr>
          <w:smallCaps/>
        </w:rPr>
      </w:pPr>
      <w:r w:rsidRPr="00B065AC">
        <w:rPr>
          <w:smallCaps/>
        </w:rPr>
        <w:t>on appeal from the court of appeal of alberta</w:t>
      </w:r>
    </w:p>
    <w:p w:rsidR="00B065AC" w:rsidRPr="00B065AC" w:rsidRDefault="00B065AC" w:rsidP="00B065AC">
      <w:pPr>
        <w:tabs>
          <w:tab w:val="left" w:pos="1168"/>
        </w:tabs>
        <w:spacing w:after="480" w:line="480" w:lineRule="auto"/>
        <w:jc w:val="both"/>
        <w:rPr>
          <w:i/>
        </w:rPr>
      </w:pPr>
      <w:r w:rsidRPr="00B065AC">
        <w:tab/>
      </w:r>
      <w:r w:rsidRPr="00B065AC">
        <w:rPr>
          <w:i/>
        </w:rPr>
        <w:t>Criminal law — Sexual assault — Defences — Honest but mistaken belief in communicated consent — Air of reality — Evidence — Admissibility — Prior sexual activity — Trial judge acquitting accused of one count of sexual assault — Court of Appeal setting aside acquittal and entering conviction on basis that trial judge erred in law both by admitting evidence of previous sexual conduct and by finding there was air of reality to defence of honest but mistaken belief in communicated consent — Conviction upheld.</w:t>
      </w:r>
    </w:p>
    <w:p w:rsidR="00B065AC" w:rsidRPr="00B065AC" w:rsidRDefault="00B065AC" w:rsidP="00B065AC">
      <w:pPr>
        <w:tabs>
          <w:tab w:val="left" w:pos="1168"/>
        </w:tabs>
        <w:spacing w:after="720"/>
        <w:jc w:val="both"/>
      </w:pPr>
      <w:r w:rsidRPr="00B065AC">
        <w:rPr>
          <w:b/>
        </w:rPr>
        <w:t>Statutes and Regulations Cited</w:t>
      </w:r>
    </w:p>
    <w:p w:rsidR="00B065AC" w:rsidRPr="00B065AC" w:rsidRDefault="00B065AC" w:rsidP="00B065AC">
      <w:pPr>
        <w:tabs>
          <w:tab w:val="left" w:pos="1168"/>
        </w:tabs>
        <w:spacing w:after="720"/>
        <w:ind w:left="540" w:hanging="540"/>
        <w:jc w:val="both"/>
        <w:rPr>
          <w:lang w:val="en-US"/>
        </w:rPr>
      </w:pPr>
      <w:r w:rsidRPr="00B065AC">
        <w:rPr>
          <w:i/>
          <w:lang w:val="en-US"/>
        </w:rPr>
        <w:t>Criminal Code</w:t>
      </w:r>
      <w:r w:rsidRPr="00B065AC">
        <w:rPr>
          <w:lang w:val="en-US"/>
        </w:rPr>
        <w:t>, R.S.C. 1985, c. C</w:t>
      </w:r>
      <w:r w:rsidRPr="00B065AC">
        <w:rPr>
          <w:lang w:val="en-US"/>
        </w:rPr>
        <w:noBreakHyphen/>
        <w:t>46, s. 686(4)(b)(ii).</w:t>
      </w:r>
    </w:p>
    <w:p w:rsidR="00B065AC" w:rsidRPr="00B065AC" w:rsidRDefault="00B065AC" w:rsidP="00B065AC">
      <w:pPr>
        <w:tabs>
          <w:tab w:val="left" w:pos="1168"/>
        </w:tabs>
        <w:spacing w:after="480" w:line="480" w:lineRule="auto"/>
        <w:jc w:val="both"/>
      </w:pPr>
      <w:r w:rsidRPr="00B065AC">
        <w:rPr>
          <w:lang w:val="en-US"/>
        </w:rPr>
        <w:tab/>
      </w:r>
      <w:r w:rsidRPr="00B065AC">
        <w:t xml:space="preserve">APPEAL from a judgment of the Alberta Court of Appeal (Pentelechuk, Feehan and Ho JJ.A.), </w:t>
      </w:r>
      <w:hyperlink r:id="rId10" w:history="1">
        <w:r w:rsidRPr="00B065AC">
          <w:rPr>
            <w:color w:val="660000"/>
          </w:rPr>
          <w:t>2022 ABCA 246</w:t>
        </w:r>
      </w:hyperlink>
      <w:r w:rsidRPr="00B065AC">
        <w:t xml:space="preserve">, 482 D.L.R. (4th) 3, [2022] 12 W.W.R. 226, 49 Alta. L.R. (7th) 264, [2022] A.J. No. 888 (QL), 2022 CarswellAlta 1799 (WL), setting aside the acquittal entered by Pepper Prov. Ct. J., 2021 ABPC 93, [2021] A.J. No. 639 (QL), 2021 CarswellAlta 1158 (WL), and entering a conviction for sexual assault. Appeal </w:t>
      </w:r>
      <w:r w:rsidRPr="00B065AC">
        <w:rPr>
          <w:color w:val="000000"/>
        </w:rPr>
        <w:t>dismissed.</w:t>
      </w:r>
    </w:p>
    <w:p w:rsidR="00B065AC" w:rsidRPr="00B065AC" w:rsidRDefault="00B065AC" w:rsidP="00B065AC">
      <w:pPr>
        <w:tabs>
          <w:tab w:val="left" w:pos="1168"/>
        </w:tabs>
        <w:spacing w:after="480" w:line="480" w:lineRule="auto"/>
        <w:jc w:val="both"/>
      </w:pPr>
      <w:r w:rsidRPr="00B065AC">
        <w:rPr>
          <w:i/>
        </w:rPr>
        <w:tab/>
      </w:r>
      <w:r w:rsidRPr="00B065AC">
        <w:rPr>
          <w:i/>
          <w:iCs/>
          <w:color w:val="000000"/>
        </w:rPr>
        <w:t>Balfour Q. H. Der</w:t>
      </w:r>
      <w:r w:rsidRPr="00B065AC">
        <w:rPr>
          <w:color w:val="000000"/>
        </w:rPr>
        <w:t>,</w:t>
      </w:r>
      <w:r w:rsidRPr="00B065AC">
        <w:rPr>
          <w:i/>
          <w:iCs/>
          <w:color w:val="000000"/>
        </w:rPr>
        <w:t xml:space="preserve"> K.C.</w:t>
      </w:r>
      <w:r w:rsidRPr="00B065AC">
        <w:rPr>
          <w:color w:val="000000"/>
        </w:rPr>
        <w:t xml:space="preserve">, </w:t>
      </w:r>
      <w:r w:rsidRPr="00B065AC">
        <w:rPr>
          <w:i/>
          <w:iCs/>
          <w:color w:val="000000"/>
        </w:rPr>
        <w:t>James F. McLeod</w:t>
      </w:r>
      <w:r w:rsidRPr="00B065AC">
        <w:rPr>
          <w:color w:val="000000"/>
        </w:rPr>
        <w:t xml:space="preserve"> and </w:t>
      </w:r>
      <w:r w:rsidRPr="00B065AC">
        <w:rPr>
          <w:i/>
          <w:iCs/>
          <w:color w:val="000000"/>
        </w:rPr>
        <w:t>David A. S. Roper</w:t>
      </w:r>
      <w:r w:rsidRPr="00B065AC">
        <w:t>, for the appellant.</w:t>
      </w:r>
    </w:p>
    <w:p w:rsidR="00B065AC" w:rsidRPr="00B065AC" w:rsidRDefault="00B065AC" w:rsidP="00B065AC">
      <w:pPr>
        <w:tabs>
          <w:tab w:val="left" w:pos="1168"/>
        </w:tabs>
        <w:spacing w:after="480" w:line="480" w:lineRule="auto"/>
        <w:jc w:val="both"/>
      </w:pPr>
      <w:r w:rsidRPr="00B065AC">
        <w:rPr>
          <w:i/>
        </w:rPr>
        <w:tab/>
      </w:r>
      <w:r w:rsidRPr="00B065AC">
        <w:rPr>
          <w:i/>
          <w:iCs/>
          <w:color w:val="000000"/>
        </w:rPr>
        <w:t>Christine Rideout</w:t>
      </w:r>
      <w:r w:rsidRPr="00B065AC">
        <w:rPr>
          <w:color w:val="000000"/>
        </w:rPr>
        <w:t>,</w:t>
      </w:r>
      <w:r w:rsidRPr="00B065AC">
        <w:rPr>
          <w:i/>
          <w:iCs/>
          <w:color w:val="000000"/>
        </w:rPr>
        <w:t xml:space="preserve"> K.C.</w:t>
      </w:r>
      <w:r w:rsidRPr="00B065AC">
        <w:t>, for the respondent.</w:t>
      </w:r>
    </w:p>
    <w:p w:rsidR="00B065AC" w:rsidRPr="00B065AC" w:rsidRDefault="00B065AC" w:rsidP="00B065AC">
      <w:pPr>
        <w:tabs>
          <w:tab w:val="left" w:pos="1168"/>
        </w:tabs>
        <w:spacing w:after="480" w:line="480" w:lineRule="auto"/>
        <w:jc w:val="both"/>
      </w:pPr>
      <w:r w:rsidRPr="00B065AC">
        <w:rPr>
          <w:i/>
        </w:rPr>
        <w:tab/>
      </w:r>
      <w:r w:rsidRPr="00B065AC">
        <w:t>The judgment of the Court was delivered orally by</w:t>
      </w:r>
    </w:p>
    <w:p w:rsidR="00B065AC" w:rsidRPr="00B065AC" w:rsidRDefault="00B065AC" w:rsidP="00B065AC">
      <w:pPr>
        <w:numPr>
          <w:ilvl w:val="0"/>
          <w:numId w:val="31"/>
        </w:numPr>
        <w:spacing w:after="480" w:line="480" w:lineRule="auto"/>
        <w:jc w:val="both"/>
        <w:rPr>
          <w:lang w:val="en-US"/>
        </w:rPr>
      </w:pPr>
      <w:r w:rsidRPr="00B065AC">
        <w:rPr>
          <w:smallCaps/>
          <w:color w:val="000000"/>
        </w:rPr>
        <w:t xml:space="preserve">The Chief Justice </w:t>
      </w:r>
      <w:r w:rsidRPr="00B065AC">
        <w:rPr>
          <w:color w:val="000000"/>
        </w:rPr>
        <w:t xml:space="preserve">— Mr. Hay appeals from the unanimous decision of the Court of Appeal of Alberta setting aside an acquittal and substituting a conviction, pursuant to </w:t>
      </w:r>
      <w:r w:rsidRPr="00B065AC">
        <w:rPr>
          <w:rFonts w:eastAsiaTheme="majorEastAsia"/>
        </w:rPr>
        <w:t>s. 686(4)</w:t>
      </w:r>
      <w:r w:rsidRPr="00B065AC">
        <w:rPr>
          <w:color w:val="000000"/>
        </w:rPr>
        <w:t xml:space="preserve">(b)(ii) of the </w:t>
      </w:r>
      <w:r w:rsidRPr="00B065AC">
        <w:rPr>
          <w:rFonts w:eastAsiaTheme="majorEastAsia"/>
          <w:i/>
          <w:iCs/>
          <w:color w:val="000000"/>
        </w:rPr>
        <w:t>Criminal Code</w:t>
      </w:r>
      <w:r w:rsidRPr="00B065AC">
        <w:rPr>
          <w:rFonts w:eastAsiaTheme="majorEastAsia"/>
        </w:rPr>
        <w:t>, R.S.C. 1985, c. C</w:t>
      </w:r>
      <w:r w:rsidRPr="00B065AC">
        <w:rPr>
          <w:rFonts w:eastAsiaTheme="majorEastAsia"/>
        </w:rPr>
        <w:noBreakHyphen/>
        <w:t>46</w:t>
      </w:r>
      <w:r w:rsidRPr="00B065AC">
        <w:rPr>
          <w:color w:val="000000"/>
        </w:rPr>
        <w:t>, on one count of sexual assault.</w:t>
      </w:r>
    </w:p>
    <w:p w:rsidR="00B065AC" w:rsidRPr="00B065AC" w:rsidRDefault="00B065AC" w:rsidP="00B065AC">
      <w:pPr>
        <w:numPr>
          <w:ilvl w:val="0"/>
          <w:numId w:val="31"/>
        </w:numPr>
        <w:spacing w:after="480" w:line="480" w:lineRule="auto"/>
        <w:jc w:val="both"/>
        <w:rPr>
          <w:lang w:val="fr-CA"/>
        </w:rPr>
      </w:pPr>
      <w:r w:rsidRPr="00B065AC">
        <w:rPr>
          <w:color w:val="000000"/>
        </w:rPr>
        <w:t>We are all of the view that the appeal should be dismissed, substantially for the reasons of the Court of Appeal. Mr. Hay’s defence of honest but mistaken belief in communicated consent had no air of reality, and the evidence of prior sexual activity was inadmissible. In the circumstances, the Court of Appeal properly substituted a conviction. Therefore, the appeal is dismissed.</w:t>
      </w:r>
    </w:p>
    <w:p w:rsidR="00B065AC" w:rsidRPr="00B065AC" w:rsidRDefault="00B065AC" w:rsidP="00B065AC">
      <w:pPr>
        <w:tabs>
          <w:tab w:val="left" w:pos="1168"/>
        </w:tabs>
        <w:spacing w:after="480" w:line="480" w:lineRule="auto"/>
        <w:jc w:val="both"/>
      </w:pPr>
      <w:r w:rsidRPr="00B065AC">
        <w:rPr>
          <w:lang w:val="fr-CA"/>
        </w:rPr>
        <w:tab/>
      </w:r>
      <w:r w:rsidRPr="00B065AC">
        <w:rPr>
          <w:i/>
          <w:lang w:val="en-US"/>
        </w:rPr>
        <w:t>Judgment accordingly.</w:t>
      </w:r>
    </w:p>
    <w:p w:rsidR="00B065AC" w:rsidRPr="00B065AC" w:rsidRDefault="00B065AC" w:rsidP="00B065AC">
      <w:pPr>
        <w:tabs>
          <w:tab w:val="left" w:pos="1168"/>
        </w:tabs>
        <w:spacing w:after="480" w:line="480" w:lineRule="auto"/>
        <w:jc w:val="both"/>
        <w:rPr>
          <w:i/>
        </w:rPr>
      </w:pPr>
      <w:r w:rsidRPr="00B065AC">
        <w:rPr>
          <w:i/>
        </w:rPr>
        <w:tab/>
        <w:t>Solicitors for the appellant: Der Barristers, Calgary.</w:t>
      </w:r>
    </w:p>
    <w:p w:rsidR="00B065AC" w:rsidRPr="00B065AC" w:rsidRDefault="00B065AC" w:rsidP="00B065AC">
      <w:pPr>
        <w:tabs>
          <w:tab w:val="left" w:pos="1168"/>
        </w:tabs>
        <w:spacing w:after="480" w:line="480" w:lineRule="auto"/>
        <w:jc w:val="both"/>
        <w:rPr>
          <w:i/>
        </w:rPr>
      </w:pPr>
      <w:r w:rsidRPr="00B065AC">
        <w:rPr>
          <w:i/>
        </w:rPr>
        <w:tab/>
        <w:t>Solicitor for the respondent: Alberta Crown Prosecution Service — Appeals and Specialized Prosecutions Office, Calgary.</w:t>
      </w:r>
    </w:p>
    <w:p w:rsidR="00814D3F" w:rsidRPr="00B065AC" w:rsidRDefault="00814D3F" w:rsidP="00B065AC">
      <w:pPr>
        <w:jc w:val="right"/>
      </w:pPr>
      <w:bookmarkStart w:id="0" w:name="_GoBack"/>
      <w:bookmarkEnd w:id="0"/>
    </w:p>
    <w:sectPr w:rsidR="00814D3F" w:rsidRPr="00B065AC"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DD8" w:rsidRDefault="00437DD8">
      <w:r>
        <w:separator/>
      </w:r>
    </w:p>
  </w:endnote>
  <w:endnote w:type="continuationSeparator" w:id="0">
    <w:p w:rsidR="00437DD8" w:rsidRDefault="0043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DD8" w:rsidRDefault="00437DD8">
      <w:r>
        <w:separator/>
      </w:r>
    </w:p>
  </w:footnote>
  <w:footnote w:type="continuationSeparator" w:id="0">
    <w:p w:rsidR="00437DD8" w:rsidRDefault="00437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148B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CA32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D661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2044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942DC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4A02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8262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009E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96C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2A33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5DE4692"/>
    <w:multiLevelType w:val="hybridMultilevel"/>
    <w:tmpl w:val="6C9C02D2"/>
    <w:lvl w:ilvl="0" w:tplc="D2D6D282">
      <w:start w:val="1"/>
      <w:numFmt w:val="decimal"/>
      <w:lvlText w:val="[%1]"/>
      <w:lvlJc w:val="left"/>
      <w:pPr>
        <w:tabs>
          <w:tab w:val="num" w:pos="1152"/>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9"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3"/>
  </w:num>
  <w:num w:numId="2">
    <w:abstractNumId w:val="12"/>
  </w:num>
  <w:num w:numId="3">
    <w:abstractNumId w:val="10"/>
  </w:num>
  <w:num w:numId="4">
    <w:abstractNumId w:val="20"/>
  </w:num>
  <w:num w:numId="5">
    <w:abstractNumId w:val="21"/>
  </w:num>
  <w:num w:numId="6">
    <w:abstractNumId w:val="22"/>
  </w:num>
  <w:num w:numId="7">
    <w:abstractNumId w:val="18"/>
  </w:num>
  <w:num w:numId="8">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6"/>
  </w:num>
  <w:num w:numId="10">
    <w:abstractNumId w:val="16"/>
  </w:num>
  <w:num w:numId="11">
    <w:abstractNumId w:val="13"/>
  </w:num>
  <w:num w:numId="12">
    <w:abstractNumId w:val="11"/>
  </w:num>
  <w:num w:numId="13">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4"/>
  </w:num>
  <w:num w:numId="27">
    <w:abstractNumId w:val="15"/>
  </w:num>
  <w:num w:numId="28">
    <w:abstractNumId w:val="27"/>
  </w:num>
  <w:num w:numId="29">
    <w:abstractNumId w:val="25"/>
  </w:num>
  <w:num w:numId="30">
    <w:abstractNumId w:val="1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D83"/>
    <w:rsid w:val="00011368"/>
    <w:rsid w:val="00013781"/>
    <w:rsid w:val="00016814"/>
    <w:rsid w:val="00017885"/>
    <w:rsid w:val="00025198"/>
    <w:rsid w:val="00025763"/>
    <w:rsid w:val="00025816"/>
    <w:rsid w:val="00026467"/>
    <w:rsid w:val="00040D1B"/>
    <w:rsid w:val="00040F00"/>
    <w:rsid w:val="00041BDD"/>
    <w:rsid w:val="000578A3"/>
    <w:rsid w:val="000648CC"/>
    <w:rsid w:val="00076E46"/>
    <w:rsid w:val="00083A51"/>
    <w:rsid w:val="00090AC3"/>
    <w:rsid w:val="00094FED"/>
    <w:rsid w:val="00096F6F"/>
    <w:rsid w:val="000B5CFA"/>
    <w:rsid w:val="000B69B5"/>
    <w:rsid w:val="000C3FCE"/>
    <w:rsid w:val="000C433D"/>
    <w:rsid w:val="000C59B8"/>
    <w:rsid w:val="000C6AF0"/>
    <w:rsid w:val="000C78C2"/>
    <w:rsid w:val="000D1960"/>
    <w:rsid w:val="000F0995"/>
    <w:rsid w:val="000F2039"/>
    <w:rsid w:val="000F2FF1"/>
    <w:rsid w:val="00104F33"/>
    <w:rsid w:val="00106D75"/>
    <w:rsid w:val="00111905"/>
    <w:rsid w:val="00111DE2"/>
    <w:rsid w:val="0011492A"/>
    <w:rsid w:val="001160DE"/>
    <w:rsid w:val="00116378"/>
    <w:rsid w:val="00116B38"/>
    <w:rsid w:val="00134F55"/>
    <w:rsid w:val="00135406"/>
    <w:rsid w:val="00135972"/>
    <w:rsid w:val="00136268"/>
    <w:rsid w:val="00137E61"/>
    <w:rsid w:val="001426A9"/>
    <w:rsid w:val="0014546A"/>
    <w:rsid w:val="00154563"/>
    <w:rsid w:val="00154D7C"/>
    <w:rsid w:val="001570B0"/>
    <w:rsid w:val="0015752C"/>
    <w:rsid w:val="00157737"/>
    <w:rsid w:val="00165277"/>
    <w:rsid w:val="0016625A"/>
    <w:rsid w:val="001677C1"/>
    <w:rsid w:val="00170592"/>
    <w:rsid w:val="00170CD9"/>
    <w:rsid w:val="0018066E"/>
    <w:rsid w:val="00184C66"/>
    <w:rsid w:val="00186351"/>
    <w:rsid w:val="00195D83"/>
    <w:rsid w:val="001977DB"/>
    <w:rsid w:val="001A00C1"/>
    <w:rsid w:val="001A42A4"/>
    <w:rsid w:val="001B327A"/>
    <w:rsid w:val="001B33E0"/>
    <w:rsid w:val="001B4573"/>
    <w:rsid w:val="001C779F"/>
    <w:rsid w:val="001D2AC1"/>
    <w:rsid w:val="001D4DDF"/>
    <w:rsid w:val="001D4E88"/>
    <w:rsid w:val="001D65FF"/>
    <w:rsid w:val="001D6E70"/>
    <w:rsid w:val="001E477D"/>
    <w:rsid w:val="00220FC2"/>
    <w:rsid w:val="002222F4"/>
    <w:rsid w:val="00224FC0"/>
    <w:rsid w:val="00225EA4"/>
    <w:rsid w:val="00226EAF"/>
    <w:rsid w:val="002310A2"/>
    <w:rsid w:val="00231F3A"/>
    <w:rsid w:val="00234199"/>
    <w:rsid w:val="00236389"/>
    <w:rsid w:val="00237AFE"/>
    <w:rsid w:val="002406EE"/>
    <w:rsid w:val="00243EC8"/>
    <w:rsid w:val="00264B77"/>
    <w:rsid w:val="00264F49"/>
    <w:rsid w:val="00270D93"/>
    <w:rsid w:val="002745CC"/>
    <w:rsid w:val="00284EBA"/>
    <w:rsid w:val="0029178F"/>
    <w:rsid w:val="002B56E8"/>
    <w:rsid w:val="002B7924"/>
    <w:rsid w:val="002B7ABA"/>
    <w:rsid w:val="002D0C2D"/>
    <w:rsid w:val="002D2226"/>
    <w:rsid w:val="002D28C3"/>
    <w:rsid w:val="002D294E"/>
    <w:rsid w:val="002D39A4"/>
    <w:rsid w:val="002E6189"/>
    <w:rsid w:val="002E6705"/>
    <w:rsid w:val="00301D08"/>
    <w:rsid w:val="0030329A"/>
    <w:rsid w:val="00303F14"/>
    <w:rsid w:val="00305526"/>
    <w:rsid w:val="0031086F"/>
    <w:rsid w:val="0031414C"/>
    <w:rsid w:val="00314E01"/>
    <w:rsid w:val="00317670"/>
    <w:rsid w:val="0032089D"/>
    <w:rsid w:val="00324AE2"/>
    <w:rsid w:val="003310DE"/>
    <w:rsid w:val="003323B0"/>
    <w:rsid w:val="0033435C"/>
    <w:rsid w:val="00337C82"/>
    <w:rsid w:val="00342089"/>
    <w:rsid w:val="00347BA4"/>
    <w:rsid w:val="0035169A"/>
    <w:rsid w:val="0035259D"/>
    <w:rsid w:val="00353B79"/>
    <w:rsid w:val="00354BF8"/>
    <w:rsid w:val="00355C66"/>
    <w:rsid w:val="00362ADA"/>
    <w:rsid w:val="00364B18"/>
    <w:rsid w:val="00374070"/>
    <w:rsid w:val="00396BF3"/>
    <w:rsid w:val="00397B36"/>
    <w:rsid w:val="003A125D"/>
    <w:rsid w:val="003A4C70"/>
    <w:rsid w:val="003B215F"/>
    <w:rsid w:val="003C2CFF"/>
    <w:rsid w:val="003C799C"/>
    <w:rsid w:val="003D0399"/>
    <w:rsid w:val="003E1C71"/>
    <w:rsid w:val="003E2693"/>
    <w:rsid w:val="003E53AC"/>
    <w:rsid w:val="003F327B"/>
    <w:rsid w:val="003F7ACB"/>
    <w:rsid w:val="00400B24"/>
    <w:rsid w:val="00404D28"/>
    <w:rsid w:val="0040508D"/>
    <w:rsid w:val="00406166"/>
    <w:rsid w:val="0040704B"/>
    <w:rsid w:val="00407839"/>
    <w:rsid w:val="00410003"/>
    <w:rsid w:val="00410588"/>
    <w:rsid w:val="00410A55"/>
    <w:rsid w:val="00411300"/>
    <w:rsid w:val="00415417"/>
    <w:rsid w:val="0041747D"/>
    <w:rsid w:val="00424FE1"/>
    <w:rsid w:val="00426659"/>
    <w:rsid w:val="00426D16"/>
    <w:rsid w:val="00437DD8"/>
    <w:rsid w:val="00450352"/>
    <w:rsid w:val="00454BDB"/>
    <w:rsid w:val="004567CE"/>
    <w:rsid w:val="0046210B"/>
    <w:rsid w:val="00463A7A"/>
    <w:rsid w:val="00464800"/>
    <w:rsid w:val="00464BF6"/>
    <w:rsid w:val="00465132"/>
    <w:rsid w:val="00465EF1"/>
    <w:rsid w:val="00470DB3"/>
    <w:rsid w:val="0047411A"/>
    <w:rsid w:val="00480C90"/>
    <w:rsid w:val="0048396F"/>
    <w:rsid w:val="00493C18"/>
    <w:rsid w:val="00495D96"/>
    <w:rsid w:val="004A600C"/>
    <w:rsid w:val="004A6118"/>
    <w:rsid w:val="004C2314"/>
    <w:rsid w:val="004C25EE"/>
    <w:rsid w:val="004C478D"/>
    <w:rsid w:val="004C5B67"/>
    <w:rsid w:val="004D4FEC"/>
    <w:rsid w:val="004E0D6A"/>
    <w:rsid w:val="004E2C26"/>
    <w:rsid w:val="004E61A7"/>
    <w:rsid w:val="004F36FF"/>
    <w:rsid w:val="004F7454"/>
    <w:rsid w:val="005125A8"/>
    <w:rsid w:val="00516DED"/>
    <w:rsid w:val="00521AE8"/>
    <w:rsid w:val="00524449"/>
    <w:rsid w:val="00527180"/>
    <w:rsid w:val="00533A2E"/>
    <w:rsid w:val="005341CE"/>
    <w:rsid w:val="00534AB2"/>
    <w:rsid w:val="0054201E"/>
    <w:rsid w:val="005541DB"/>
    <w:rsid w:val="00555291"/>
    <w:rsid w:val="0056265A"/>
    <w:rsid w:val="00566AD1"/>
    <w:rsid w:val="0057257D"/>
    <w:rsid w:val="00577F18"/>
    <w:rsid w:val="00583EDE"/>
    <w:rsid w:val="005857BC"/>
    <w:rsid w:val="00586928"/>
    <w:rsid w:val="005A4F85"/>
    <w:rsid w:val="005A6071"/>
    <w:rsid w:val="005A6079"/>
    <w:rsid w:val="005C5BED"/>
    <w:rsid w:val="005C7840"/>
    <w:rsid w:val="005E4698"/>
    <w:rsid w:val="006003EE"/>
    <w:rsid w:val="00610539"/>
    <w:rsid w:val="00613969"/>
    <w:rsid w:val="0061523C"/>
    <w:rsid w:val="00617208"/>
    <w:rsid w:val="006230B6"/>
    <w:rsid w:val="00625C35"/>
    <w:rsid w:val="006260EB"/>
    <w:rsid w:val="00626A7D"/>
    <w:rsid w:val="0062787A"/>
    <w:rsid w:val="00635521"/>
    <w:rsid w:val="006468AB"/>
    <w:rsid w:val="00656313"/>
    <w:rsid w:val="006565F4"/>
    <w:rsid w:val="0066108F"/>
    <w:rsid w:val="006763FD"/>
    <w:rsid w:val="00684EEA"/>
    <w:rsid w:val="006908E8"/>
    <w:rsid w:val="0069689B"/>
    <w:rsid w:val="006A1551"/>
    <w:rsid w:val="006A31A1"/>
    <w:rsid w:val="006A48DB"/>
    <w:rsid w:val="006B5FF5"/>
    <w:rsid w:val="006B7683"/>
    <w:rsid w:val="006D4200"/>
    <w:rsid w:val="006D6275"/>
    <w:rsid w:val="006F30AF"/>
    <w:rsid w:val="007000FF"/>
    <w:rsid w:val="007009A0"/>
    <w:rsid w:val="00701759"/>
    <w:rsid w:val="00701CF2"/>
    <w:rsid w:val="00705C15"/>
    <w:rsid w:val="00712E55"/>
    <w:rsid w:val="00713025"/>
    <w:rsid w:val="007154A1"/>
    <w:rsid w:val="00715A65"/>
    <w:rsid w:val="0071600E"/>
    <w:rsid w:val="00717FDC"/>
    <w:rsid w:val="007208D1"/>
    <w:rsid w:val="0072428C"/>
    <w:rsid w:val="00730177"/>
    <w:rsid w:val="0073049D"/>
    <w:rsid w:val="00734AAE"/>
    <w:rsid w:val="007369B5"/>
    <w:rsid w:val="00741E1C"/>
    <w:rsid w:val="00742119"/>
    <w:rsid w:val="00747288"/>
    <w:rsid w:val="00747DD3"/>
    <w:rsid w:val="007549C8"/>
    <w:rsid w:val="00754A0B"/>
    <w:rsid w:val="0075717D"/>
    <w:rsid w:val="00766D14"/>
    <w:rsid w:val="00767A0F"/>
    <w:rsid w:val="00780E64"/>
    <w:rsid w:val="007A05F6"/>
    <w:rsid w:val="007B6F4A"/>
    <w:rsid w:val="007D097E"/>
    <w:rsid w:val="007E1C47"/>
    <w:rsid w:val="007E337A"/>
    <w:rsid w:val="007E5C70"/>
    <w:rsid w:val="007F2FF5"/>
    <w:rsid w:val="007F3F08"/>
    <w:rsid w:val="00804CC6"/>
    <w:rsid w:val="00813B48"/>
    <w:rsid w:val="0081470C"/>
    <w:rsid w:val="00814D3F"/>
    <w:rsid w:val="00817190"/>
    <w:rsid w:val="008201FB"/>
    <w:rsid w:val="00820EE5"/>
    <w:rsid w:val="008244E9"/>
    <w:rsid w:val="008260E2"/>
    <w:rsid w:val="008311DB"/>
    <w:rsid w:val="008322BD"/>
    <w:rsid w:val="008323C4"/>
    <w:rsid w:val="00832F3F"/>
    <w:rsid w:val="00833E0A"/>
    <w:rsid w:val="00834F73"/>
    <w:rsid w:val="00847F55"/>
    <w:rsid w:val="00851F3D"/>
    <w:rsid w:val="008544FA"/>
    <w:rsid w:val="00854728"/>
    <w:rsid w:val="00864CF8"/>
    <w:rsid w:val="00872819"/>
    <w:rsid w:val="00874914"/>
    <w:rsid w:val="00891422"/>
    <w:rsid w:val="00892E1A"/>
    <w:rsid w:val="00895EB7"/>
    <w:rsid w:val="00896C73"/>
    <w:rsid w:val="008A3F29"/>
    <w:rsid w:val="008B660A"/>
    <w:rsid w:val="008B70F9"/>
    <w:rsid w:val="008C01DA"/>
    <w:rsid w:val="008C02C9"/>
    <w:rsid w:val="008C1723"/>
    <w:rsid w:val="008C7263"/>
    <w:rsid w:val="008D2104"/>
    <w:rsid w:val="008D44F3"/>
    <w:rsid w:val="008F78E9"/>
    <w:rsid w:val="00903C32"/>
    <w:rsid w:val="00911011"/>
    <w:rsid w:val="00911989"/>
    <w:rsid w:val="009179F9"/>
    <w:rsid w:val="00921B52"/>
    <w:rsid w:val="0093031F"/>
    <w:rsid w:val="00931C1C"/>
    <w:rsid w:val="00933E5E"/>
    <w:rsid w:val="00935218"/>
    <w:rsid w:val="009403F3"/>
    <w:rsid w:val="009555B7"/>
    <w:rsid w:val="009567AA"/>
    <w:rsid w:val="0096120B"/>
    <w:rsid w:val="0096473A"/>
    <w:rsid w:val="00967374"/>
    <w:rsid w:val="0097155E"/>
    <w:rsid w:val="00972251"/>
    <w:rsid w:val="00976EB5"/>
    <w:rsid w:val="00981B4D"/>
    <w:rsid w:val="009A343A"/>
    <w:rsid w:val="009A4E51"/>
    <w:rsid w:val="009A520F"/>
    <w:rsid w:val="009B2F23"/>
    <w:rsid w:val="009B57B3"/>
    <w:rsid w:val="009B6FFE"/>
    <w:rsid w:val="009B7BE6"/>
    <w:rsid w:val="009C5B92"/>
    <w:rsid w:val="009D2920"/>
    <w:rsid w:val="009D5AEB"/>
    <w:rsid w:val="009D79D6"/>
    <w:rsid w:val="009F0E33"/>
    <w:rsid w:val="009F1E77"/>
    <w:rsid w:val="00A003F4"/>
    <w:rsid w:val="00A030CE"/>
    <w:rsid w:val="00A12217"/>
    <w:rsid w:val="00A149DF"/>
    <w:rsid w:val="00A1755C"/>
    <w:rsid w:val="00A21B90"/>
    <w:rsid w:val="00A23CE6"/>
    <w:rsid w:val="00A244B9"/>
    <w:rsid w:val="00A41805"/>
    <w:rsid w:val="00A42DCD"/>
    <w:rsid w:val="00A44699"/>
    <w:rsid w:val="00A52AFB"/>
    <w:rsid w:val="00A548CB"/>
    <w:rsid w:val="00A5521C"/>
    <w:rsid w:val="00A557A1"/>
    <w:rsid w:val="00A55CEF"/>
    <w:rsid w:val="00A643E7"/>
    <w:rsid w:val="00A70913"/>
    <w:rsid w:val="00A73C38"/>
    <w:rsid w:val="00AB305A"/>
    <w:rsid w:val="00AB670D"/>
    <w:rsid w:val="00AC5BFC"/>
    <w:rsid w:val="00AC6FA4"/>
    <w:rsid w:val="00AD2826"/>
    <w:rsid w:val="00AD342F"/>
    <w:rsid w:val="00AD4C25"/>
    <w:rsid w:val="00AE25FE"/>
    <w:rsid w:val="00AE4535"/>
    <w:rsid w:val="00AF03C5"/>
    <w:rsid w:val="00AF0B26"/>
    <w:rsid w:val="00B000D8"/>
    <w:rsid w:val="00B00F75"/>
    <w:rsid w:val="00B065AC"/>
    <w:rsid w:val="00B11735"/>
    <w:rsid w:val="00B145B6"/>
    <w:rsid w:val="00B2215E"/>
    <w:rsid w:val="00B279EB"/>
    <w:rsid w:val="00B30E18"/>
    <w:rsid w:val="00B32357"/>
    <w:rsid w:val="00B36958"/>
    <w:rsid w:val="00B43559"/>
    <w:rsid w:val="00B50C81"/>
    <w:rsid w:val="00B557F8"/>
    <w:rsid w:val="00B56AAF"/>
    <w:rsid w:val="00B652DB"/>
    <w:rsid w:val="00B65301"/>
    <w:rsid w:val="00B67199"/>
    <w:rsid w:val="00B815FC"/>
    <w:rsid w:val="00B91A56"/>
    <w:rsid w:val="00B93FBC"/>
    <w:rsid w:val="00BA066D"/>
    <w:rsid w:val="00BA7DA0"/>
    <w:rsid w:val="00BB2366"/>
    <w:rsid w:val="00BB2640"/>
    <w:rsid w:val="00BB2EE4"/>
    <w:rsid w:val="00BB5AE6"/>
    <w:rsid w:val="00BC2108"/>
    <w:rsid w:val="00BC5642"/>
    <w:rsid w:val="00BD0E9E"/>
    <w:rsid w:val="00BD1BEC"/>
    <w:rsid w:val="00BD32FF"/>
    <w:rsid w:val="00BD67ED"/>
    <w:rsid w:val="00C01A6A"/>
    <w:rsid w:val="00C02092"/>
    <w:rsid w:val="00C14AA0"/>
    <w:rsid w:val="00C22905"/>
    <w:rsid w:val="00C229CD"/>
    <w:rsid w:val="00C248ED"/>
    <w:rsid w:val="00C24D91"/>
    <w:rsid w:val="00C53F14"/>
    <w:rsid w:val="00C55E34"/>
    <w:rsid w:val="00C600CF"/>
    <w:rsid w:val="00C6084F"/>
    <w:rsid w:val="00C62A66"/>
    <w:rsid w:val="00C62FD6"/>
    <w:rsid w:val="00C71458"/>
    <w:rsid w:val="00C767AD"/>
    <w:rsid w:val="00C77613"/>
    <w:rsid w:val="00C828E7"/>
    <w:rsid w:val="00C8650B"/>
    <w:rsid w:val="00C86719"/>
    <w:rsid w:val="00C921DD"/>
    <w:rsid w:val="00CA6391"/>
    <w:rsid w:val="00CA7B39"/>
    <w:rsid w:val="00CC34BD"/>
    <w:rsid w:val="00CD637C"/>
    <w:rsid w:val="00CD6453"/>
    <w:rsid w:val="00CE08B9"/>
    <w:rsid w:val="00CE161A"/>
    <w:rsid w:val="00CE3171"/>
    <w:rsid w:val="00CE7262"/>
    <w:rsid w:val="00CF09E5"/>
    <w:rsid w:val="00CF1601"/>
    <w:rsid w:val="00D0172F"/>
    <w:rsid w:val="00D068A7"/>
    <w:rsid w:val="00D173CE"/>
    <w:rsid w:val="00D17476"/>
    <w:rsid w:val="00D2527D"/>
    <w:rsid w:val="00D26B67"/>
    <w:rsid w:val="00D32086"/>
    <w:rsid w:val="00D33A8F"/>
    <w:rsid w:val="00D360E6"/>
    <w:rsid w:val="00D37A3F"/>
    <w:rsid w:val="00D4431D"/>
    <w:rsid w:val="00D4667A"/>
    <w:rsid w:val="00D469D5"/>
    <w:rsid w:val="00D47BFC"/>
    <w:rsid w:val="00D57CCA"/>
    <w:rsid w:val="00D614A5"/>
    <w:rsid w:val="00D614E0"/>
    <w:rsid w:val="00D63A1C"/>
    <w:rsid w:val="00D67CB1"/>
    <w:rsid w:val="00D745D8"/>
    <w:rsid w:val="00D7516F"/>
    <w:rsid w:val="00D83628"/>
    <w:rsid w:val="00D8579F"/>
    <w:rsid w:val="00D90B9E"/>
    <w:rsid w:val="00D91A89"/>
    <w:rsid w:val="00D94841"/>
    <w:rsid w:val="00D95F8E"/>
    <w:rsid w:val="00DA0590"/>
    <w:rsid w:val="00DA09F8"/>
    <w:rsid w:val="00DA0C16"/>
    <w:rsid w:val="00DB1C39"/>
    <w:rsid w:val="00DB7BEA"/>
    <w:rsid w:val="00DC1739"/>
    <w:rsid w:val="00DC1788"/>
    <w:rsid w:val="00DC2F37"/>
    <w:rsid w:val="00DD105B"/>
    <w:rsid w:val="00DE319C"/>
    <w:rsid w:val="00DE416C"/>
    <w:rsid w:val="00DE54B0"/>
    <w:rsid w:val="00DF0CA8"/>
    <w:rsid w:val="00DF2B48"/>
    <w:rsid w:val="00DF49A7"/>
    <w:rsid w:val="00E03F44"/>
    <w:rsid w:val="00E07EE2"/>
    <w:rsid w:val="00E07FD1"/>
    <w:rsid w:val="00E176D8"/>
    <w:rsid w:val="00E24573"/>
    <w:rsid w:val="00E25E1E"/>
    <w:rsid w:val="00E27EE7"/>
    <w:rsid w:val="00E31D67"/>
    <w:rsid w:val="00E3214F"/>
    <w:rsid w:val="00E333F9"/>
    <w:rsid w:val="00E35404"/>
    <w:rsid w:val="00E37104"/>
    <w:rsid w:val="00E42BC1"/>
    <w:rsid w:val="00E45109"/>
    <w:rsid w:val="00E47574"/>
    <w:rsid w:val="00E47B7A"/>
    <w:rsid w:val="00E50A79"/>
    <w:rsid w:val="00E56A44"/>
    <w:rsid w:val="00E60269"/>
    <w:rsid w:val="00E653D0"/>
    <w:rsid w:val="00E65A2E"/>
    <w:rsid w:val="00E71951"/>
    <w:rsid w:val="00E77932"/>
    <w:rsid w:val="00E83FDA"/>
    <w:rsid w:val="00E92347"/>
    <w:rsid w:val="00E97830"/>
    <w:rsid w:val="00EA07C1"/>
    <w:rsid w:val="00EA13F9"/>
    <w:rsid w:val="00EA1D3B"/>
    <w:rsid w:val="00EB0B7C"/>
    <w:rsid w:val="00ED60AA"/>
    <w:rsid w:val="00ED681A"/>
    <w:rsid w:val="00EE5737"/>
    <w:rsid w:val="00EE643C"/>
    <w:rsid w:val="00EF0683"/>
    <w:rsid w:val="00EF69D2"/>
    <w:rsid w:val="00EF766E"/>
    <w:rsid w:val="00F0070C"/>
    <w:rsid w:val="00F00EB7"/>
    <w:rsid w:val="00F138C9"/>
    <w:rsid w:val="00F2271D"/>
    <w:rsid w:val="00F32475"/>
    <w:rsid w:val="00F36AB6"/>
    <w:rsid w:val="00F37A09"/>
    <w:rsid w:val="00F409CE"/>
    <w:rsid w:val="00F4379D"/>
    <w:rsid w:val="00F50635"/>
    <w:rsid w:val="00F50D2D"/>
    <w:rsid w:val="00F53E0F"/>
    <w:rsid w:val="00F56C8B"/>
    <w:rsid w:val="00F66810"/>
    <w:rsid w:val="00F70A7A"/>
    <w:rsid w:val="00F75F4E"/>
    <w:rsid w:val="00F846D9"/>
    <w:rsid w:val="00F84DF4"/>
    <w:rsid w:val="00F85C97"/>
    <w:rsid w:val="00F94A57"/>
    <w:rsid w:val="00FA51A0"/>
    <w:rsid w:val="00FA61A8"/>
    <w:rsid w:val="00FB37D2"/>
    <w:rsid w:val="00FB7D08"/>
    <w:rsid w:val="00FC3788"/>
    <w:rsid w:val="00FC4EFB"/>
    <w:rsid w:val="00FD068D"/>
    <w:rsid w:val="00FD4F28"/>
    <w:rsid w:val="00FE0416"/>
    <w:rsid w:val="00FE22A8"/>
    <w:rsid w:val="00FE4398"/>
    <w:rsid w:val="00FE6784"/>
    <w:rsid w:val="00FF150E"/>
    <w:rsid w:val="00FF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814D3F"/>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814D3F"/>
    <w:rPr>
      <w:rFonts w:eastAsiaTheme="minorHAnsi" w:cstheme="minorBidi"/>
      <w:b/>
      <w:szCs w:val="22"/>
      <w:lang w:eastAsia="en-US"/>
    </w:rPr>
  </w:style>
  <w:style w:type="character" w:customStyle="1" w:styleId="SCCLsocPrefixChar">
    <w:name w:val="SCC.Lsoc.Prefix Char"/>
    <w:basedOn w:val="DefaultParagraphFont"/>
    <w:link w:val="SCCLsocPrefix"/>
    <w:rsid w:val="00814D3F"/>
    <w:rPr>
      <w:rFonts w:eastAsia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7377">
      <w:bodyDiv w:val="1"/>
      <w:marLeft w:val="0"/>
      <w:marRight w:val="0"/>
      <w:marTop w:val="0"/>
      <w:marBottom w:val="0"/>
      <w:divBdr>
        <w:top w:val="none" w:sz="0" w:space="0" w:color="auto"/>
        <w:left w:val="none" w:sz="0" w:space="0" w:color="auto"/>
        <w:bottom w:val="none" w:sz="0" w:space="0" w:color="auto"/>
        <w:right w:val="none" w:sz="0" w:space="0" w:color="auto"/>
      </w:divBdr>
    </w:div>
    <w:div w:id="403189242">
      <w:bodyDiv w:val="1"/>
      <w:marLeft w:val="0"/>
      <w:marRight w:val="0"/>
      <w:marTop w:val="0"/>
      <w:marBottom w:val="0"/>
      <w:divBdr>
        <w:top w:val="none" w:sz="0" w:space="0" w:color="auto"/>
        <w:left w:val="none" w:sz="0" w:space="0" w:color="auto"/>
        <w:bottom w:val="none" w:sz="0" w:space="0" w:color="auto"/>
        <w:right w:val="none" w:sz="0" w:space="0" w:color="auto"/>
      </w:divBdr>
    </w:div>
    <w:div w:id="427433501">
      <w:bodyDiv w:val="1"/>
      <w:marLeft w:val="0"/>
      <w:marRight w:val="0"/>
      <w:marTop w:val="0"/>
      <w:marBottom w:val="0"/>
      <w:divBdr>
        <w:top w:val="none" w:sz="0" w:space="0" w:color="auto"/>
        <w:left w:val="none" w:sz="0" w:space="0" w:color="auto"/>
        <w:bottom w:val="none" w:sz="0" w:space="0" w:color="auto"/>
        <w:right w:val="none" w:sz="0" w:space="0" w:color="auto"/>
      </w:divBdr>
    </w:div>
    <w:div w:id="510067599">
      <w:bodyDiv w:val="1"/>
      <w:marLeft w:val="0"/>
      <w:marRight w:val="0"/>
      <w:marTop w:val="0"/>
      <w:marBottom w:val="0"/>
      <w:divBdr>
        <w:top w:val="none" w:sz="0" w:space="0" w:color="auto"/>
        <w:left w:val="none" w:sz="0" w:space="0" w:color="auto"/>
        <w:bottom w:val="none" w:sz="0" w:space="0" w:color="auto"/>
        <w:right w:val="none" w:sz="0" w:space="0" w:color="auto"/>
      </w:divBdr>
    </w:div>
    <w:div w:id="675503589">
      <w:bodyDiv w:val="1"/>
      <w:marLeft w:val="0"/>
      <w:marRight w:val="0"/>
      <w:marTop w:val="0"/>
      <w:marBottom w:val="0"/>
      <w:divBdr>
        <w:top w:val="none" w:sz="0" w:space="0" w:color="auto"/>
        <w:left w:val="none" w:sz="0" w:space="0" w:color="auto"/>
        <w:bottom w:val="none" w:sz="0" w:space="0" w:color="auto"/>
        <w:right w:val="none" w:sz="0" w:space="0" w:color="auto"/>
      </w:divBdr>
    </w:div>
    <w:div w:id="714164322">
      <w:bodyDiv w:val="1"/>
      <w:marLeft w:val="0"/>
      <w:marRight w:val="0"/>
      <w:marTop w:val="0"/>
      <w:marBottom w:val="0"/>
      <w:divBdr>
        <w:top w:val="none" w:sz="0" w:space="0" w:color="auto"/>
        <w:left w:val="none" w:sz="0" w:space="0" w:color="auto"/>
        <w:bottom w:val="none" w:sz="0" w:space="0" w:color="auto"/>
        <w:right w:val="none" w:sz="0" w:space="0" w:color="auto"/>
      </w:divBdr>
    </w:div>
    <w:div w:id="746463406">
      <w:bodyDiv w:val="1"/>
      <w:marLeft w:val="0"/>
      <w:marRight w:val="0"/>
      <w:marTop w:val="0"/>
      <w:marBottom w:val="0"/>
      <w:divBdr>
        <w:top w:val="none" w:sz="0" w:space="0" w:color="auto"/>
        <w:left w:val="none" w:sz="0" w:space="0" w:color="auto"/>
        <w:bottom w:val="none" w:sz="0" w:space="0" w:color="auto"/>
        <w:right w:val="none" w:sz="0" w:space="0" w:color="auto"/>
      </w:divBdr>
    </w:div>
    <w:div w:id="981076646">
      <w:bodyDiv w:val="1"/>
      <w:marLeft w:val="0"/>
      <w:marRight w:val="0"/>
      <w:marTop w:val="0"/>
      <w:marBottom w:val="0"/>
      <w:divBdr>
        <w:top w:val="none" w:sz="0" w:space="0" w:color="auto"/>
        <w:left w:val="none" w:sz="0" w:space="0" w:color="auto"/>
        <w:bottom w:val="none" w:sz="0" w:space="0" w:color="auto"/>
        <w:right w:val="none" w:sz="0" w:space="0" w:color="auto"/>
      </w:divBdr>
    </w:div>
    <w:div w:id="1150101078">
      <w:bodyDiv w:val="1"/>
      <w:marLeft w:val="0"/>
      <w:marRight w:val="0"/>
      <w:marTop w:val="0"/>
      <w:marBottom w:val="0"/>
      <w:divBdr>
        <w:top w:val="none" w:sz="0" w:space="0" w:color="auto"/>
        <w:left w:val="none" w:sz="0" w:space="0" w:color="auto"/>
        <w:bottom w:val="none" w:sz="0" w:space="0" w:color="auto"/>
        <w:right w:val="none" w:sz="0" w:space="0" w:color="auto"/>
      </w:divBdr>
    </w:div>
    <w:div w:id="1159036783">
      <w:bodyDiv w:val="1"/>
      <w:marLeft w:val="0"/>
      <w:marRight w:val="0"/>
      <w:marTop w:val="0"/>
      <w:marBottom w:val="0"/>
      <w:divBdr>
        <w:top w:val="none" w:sz="0" w:space="0" w:color="auto"/>
        <w:left w:val="none" w:sz="0" w:space="0" w:color="auto"/>
        <w:bottom w:val="none" w:sz="0" w:space="0" w:color="auto"/>
        <w:right w:val="none" w:sz="0" w:space="0" w:color="auto"/>
      </w:divBdr>
    </w:div>
    <w:div w:id="1226144663">
      <w:bodyDiv w:val="1"/>
      <w:marLeft w:val="0"/>
      <w:marRight w:val="0"/>
      <w:marTop w:val="0"/>
      <w:marBottom w:val="0"/>
      <w:divBdr>
        <w:top w:val="none" w:sz="0" w:space="0" w:color="auto"/>
        <w:left w:val="none" w:sz="0" w:space="0" w:color="auto"/>
        <w:bottom w:val="none" w:sz="0" w:space="0" w:color="auto"/>
        <w:right w:val="none" w:sz="0" w:space="0" w:color="auto"/>
      </w:divBdr>
    </w:div>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 w:id="13252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nlii.ca/t/jqj0l"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97210-64AB-44E3-9821-96F92A45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2399</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2023-05-24T13:32:00Z</dcterms:created>
  <dcterms:modified xsi:type="dcterms:W3CDTF">2024-01-17T17:49:00Z</dcterms:modified>
</cp:coreProperties>
</file>