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CF" w:rsidRPr="00E77344" w:rsidRDefault="00A409CF" w:rsidP="00A409CF">
      <w:pPr>
        <w:tabs>
          <w:tab w:val="center" w:pos="4680"/>
          <w:tab w:val="right" w:pos="9360"/>
        </w:tabs>
        <w:rPr>
          <w:rFonts w:eastAsiaTheme="minorHAnsi" w:cstheme="minorBidi"/>
          <w:szCs w:val="24"/>
          <w:lang w:eastAsia="en-US"/>
        </w:rPr>
      </w:pPr>
      <w:r w:rsidRPr="00E77344">
        <w:rPr>
          <w:rFonts w:eastAsiaTheme="minorHAnsi" w:cstheme="minorBidi"/>
          <w:szCs w:val="24"/>
          <w:lang w:eastAsia="en-US"/>
        </w:rPr>
        <w:ptab w:relativeTo="margin" w:alignment="center" w:leader="none"/>
      </w:r>
      <w:r w:rsidRPr="00E77344">
        <w:rPr>
          <w:rFonts w:eastAsiaTheme="minorHAnsi" w:cstheme="minorBidi"/>
          <w:szCs w:val="24"/>
          <w:lang w:eastAsia="en-US"/>
        </w:rPr>
        <w:t xml:space="preserve"> </w:t>
      </w:r>
      <w:r w:rsidRPr="00E773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68947548" r:id="rId9"/>
        </w:object>
      </w:r>
      <w:r w:rsidRPr="00E77344">
        <w:rPr>
          <w:rFonts w:eastAsiaTheme="minorHAnsi" w:cstheme="minorBidi"/>
          <w:szCs w:val="24"/>
          <w:lang w:eastAsia="en-US"/>
        </w:rPr>
        <w:t xml:space="preserve"> </w:t>
      </w:r>
      <w:r w:rsidRPr="00E77344">
        <w:rPr>
          <w:rFonts w:eastAsiaTheme="minorHAnsi" w:cstheme="minorBidi"/>
          <w:szCs w:val="24"/>
          <w:lang w:eastAsia="en-US"/>
        </w:rPr>
        <w:ptab w:relativeTo="margin" w:alignment="right" w:leader="none"/>
      </w:r>
    </w:p>
    <w:p w:rsidR="00A409CF" w:rsidRPr="00E77344" w:rsidRDefault="00A409CF" w:rsidP="00A409CF">
      <w:pPr>
        <w:tabs>
          <w:tab w:val="center" w:pos="4680"/>
          <w:tab w:val="right" w:pos="9360"/>
        </w:tabs>
        <w:rPr>
          <w:rFonts w:eastAsiaTheme="minorHAnsi" w:cstheme="minorBidi"/>
          <w:szCs w:val="24"/>
          <w:lang w:eastAsia="en-US"/>
        </w:rPr>
      </w:pPr>
    </w:p>
    <w:p w:rsidR="00A409CF" w:rsidRPr="00E77344" w:rsidRDefault="00A409CF" w:rsidP="00A409CF">
      <w:pPr>
        <w:jc w:val="center"/>
        <w:rPr>
          <w:rFonts w:eastAsiaTheme="minorHAnsi" w:cstheme="minorBidi"/>
          <w:b/>
          <w:szCs w:val="24"/>
          <w:lang w:eastAsia="en-US"/>
        </w:rPr>
      </w:pPr>
      <w:r w:rsidRPr="00E77344">
        <w:rPr>
          <w:rFonts w:eastAsiaTheme="minorHAnsi" w:cstheme="minorBidi"/>
          <w:b/>
          <w:szCs w:val="24"/>
          <w:lang w:eastAsia="en-US"/>
        </w:rPr>
        <w:t>SUPREME COURT OF CANADA</w:t>
      </w:r>
    </w:p>
    <w:p w:rsidR="00A409CF" w:rsidRPr="00E77344" w:rsidRDefault="00A409CF" w:rsidP="00A409CF">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09CF" w:rsidRPr="00E77344" w:rsidTr="00BA475A">
        <w:trPr>
          <w:cantSplit/>
        </w:trPr>
        <w:tc>
          <w:tcPr>
            <w:tcW w:w="6768" w:type="dxa"/>
          </w:tcPr>
          <w:p w:rsidR="00A409CF" w:rsidRPr="00E77344" w:rsidRDefault="00A409CF" w:rsidP="00BA475A">
            <w:r w:rsidRPr="00E77344">
              <w:rPr>
                <w:b/>
                <w:smallCaps/>
              </w:rPr>
              <w:t>Citation:</w:t>
            </w:r>
            <w:r w:rsidRPr="00E77344">
              <w:t xml:space="preserve"> </w:t>
            </w:r>
            <w:proofErr w:type="spellStart"/>
            <w:r w:rsidRPr="00E77344">
              <w:t>Manuge</w:t>
            </w:r>
            <w:proofErr w:type="spellEnd"/>
            <w:r w:rsidRPr="00E77344">
              <w:t xml:space="preserve"> </w:t>
            </w:r>
            <w:r w:rsidRPr="00E77344">
              <w:rPr>
                <w:i/>
              </w:rPr>
              <w:t>v.</w:t>
            </w:r>
            <w:r w:rsidRPr="00E77344">
              <w:t xml:space="preserve"> Canada, </w:t>
            </w:r>
            <w:r>
              <w:rPr>
                <w:rStyle w:val="SCCRespondentForIndexChar"/>
                <w:b w:val="0"/>
              </w:rPr>
              <w:t>2010 SCC 67, [2010] 3 S.C.R. 672</w:t>
            </w:r>
          </w:p>
        </w:tc>
        <w:tc>
          <w:tcPr>
            <w:tcW w:w="2808" w:type="dxa"/>
          </w:tcPr>
          <w:p w:rsidR="00A409CF" w:rsidRPr="00E77344" w:rsidRDefault="00A409CF" w:rsidP="00BA475A">
            <w:r w:rsidRPr="00E77344">
              <w:rPr>
                <w:b/>
                <w:smallCaps/>
              </w:rPr>
              <w:t>Date:</w:t>
            </w:r>
            <w:r w:rsidRPr="00E77344">
              <w:t xml:space="preserve"> 20101223</w:t>
            </w:r>
          </w:p>
          <w:p w:rsidR="00A409CF" w:rsidRPr="00E77344" w:rsidRDefault="00A409CF" w:rsidP="00BA475A">
            <w:r w:rsidRPr="00E77344">
              <w:rPr>
                <w:b/>
                <w:smallCaps/>
              </w:rPr>
              <w:t>Docket:</w:t>
            </w:r>
            <w:r w:rsidRPr="00E77344">
              <w:t xml:space="preserve"> 33103</w:t>
            </w:r>
          </w:p>
        </w:tc>
      </w:tr>
    </w:tbl>
    <w:p w:rsidR="00A409CF" w:rsidRPr="00E77344" w:rsidRDefault="00A409CF" w:rsidP="00A409CF">
      <w:pPr>
        <w:rPr>
          <w:rFonts w:eastAsiaTheme="minorHAnsi" w:cstheme="minorBidi"/>
          <w:szCs w:val="24"/>
          <w:lang w:eastAsia="en-US"/>
        </w:rPr>
      </w:pPr>
    </w:p>
    <w:p w:rsidR="00A409CF" w:rsidRPr="00E77344" w:rsidRDefault="00A409CF" w:rsidP="00A409CF">
      <w:pPr>
        <w:rPr>
          <w:rFonts w:eastAsiaTheme="minorHAnsi" w:cstheme="minorBidi"/>
          <w:b/>
          <w:smallCaps/>
          <w:szCs w:val="24"/>
          <w:lang w:eastAsia="en-US"/>
        </w:rPr>
      </w:pPr>
      <w:r w:rsidRPr="00E77344">
        <w:rPr>
          <w:rFonts w:eastAsiaTheme="minorHAnsi" w:cstheme="minorBidi"/>
          <w:b/>
          <w:smallCaps/>
          <w:szCs w:val="24"/>
          <w:lang w:eastAsia="en-US"/>
        </w:rPr>
        <w:t>Between:</w:t>
      </w:r>
    </w:p>
    <w:p w:rsidR="00A409CF" w:rsidRPr="00E77344" w:rsidRDefault="00A409CF" w:rsidP="00A409CF">
      <w:pPr>
        <w:jc w:val="center"/>
        <w:rPr>
          <w:rFonts w:eastAsiaTheme="minorHAnsi" w:cstheme="minorBidi"/>
          <w:b/>
          <w:szCs w:val="24"/>
          <w:lang w:eastAsia="en-US"/>
        </w:rPr>
      </w:pPr>
      <w:r w:rsidRPr="00E77344">
        <w:rPr>
          <w:rFonts w:eastAsiaTheme="minorHAnsi" w:cstheme="minorBidi"/>
          <w:b/>
          <w:szCs w:val="24"/>
          <w:lang w:eastAsia="en-US"/>
        </w:rPr>
        <w:t xml:space="preserve">Dennis </w:t>
      </w:r>
      <w:proofErr w:type="spellStart"/>
      <w:r w:rsidRPr="00E77344">
        <w:rPr>
          <w:rFonts w:eastAsiaTheme="minorHAnsi" w:cstheme="minorBidi"/>
          <w:b/>
          <w:szCs w:val="24"/>
          <w:lang w:eastAsia="en-US"/>
        </w:rPr>
        <w:t>Manuge</w:t>
      </w:r>
      <w:proofErr w:type="spellEnd"/>
    </w:p>
    <w:p w:rsidR="00A409CF" w:rsidRPr="00E77344" w:rsidRDefault="00A409CF" w:rsidP="00A409CF">
      <w:pPr>
        <w:jc w:val="center"/>
        <w:rPr>
          <w:rFonts w:eastAsiaTheme="minorHAnsi" w:cstheme="minorBidi"/>
          <w:szCs w:val="24"/>
          <w:lang w:eastAsia="en-US"/>
        </w:rPr>
      </w:pPr>
      <w:r w:rsidRPr="00E77344">
        <w:rPr>
          <w:rFonts w:eastAsiaTheme="minorHAnsi" w:cstheme="minorBidi"/>
          <w:szCs w:val="24"/>
          <w:lang w:eastAsia="en-US"/>
        </w:rPr>
        <w:t>Appellant</w:t>
      </w:r>
    </w:p>
    <w:p w:rsidR="00A409CF" w:rsidRPr="00E77344" w:rsidRDefault="00A409CF" w:rsidP="00A409CF">
      <w:pPr>
        <w:jc w:val="center"/>
        <w:rPr>
          <w:rFonts w:eastAsiaTheme="minorHAnsi" w:cstheme="minorBidi"/>
          <w:szCs w:val="24"/>
          <w:lang w:eastAsia="en-US"/>
        </w:rPr>
      </w:pPr>
      <w:proofErr w:type="gramStart"/>
      <w:r w:rsidRPr="00E77344">
        <w:rPr>
          <w:rFonts w:eastAsiaTheme="minorHAnsi" w:cstheme="minorBidi"/>
          <w:szCs w:val="24"/>
          <w:lang w:eastAsia="en-US"/>
        </w:rPr>
        <w:t>and</w:t>
      </w:r>
      <w:proofErr w:type="gramEnd"/>
    </w:p>
    <w:p w:rsidR="00A409CF" w:rsidRPr="00E77344" w:rsidRDefault="00A409CF" w:rsidP="00A409CF">
      <w:pPr>
        <w:jc w:val="center"/>
        <w:rPr>
          <w:rFonts w:eastAsiaTheme="minorHAnsi" w:cstheme="minorBidi"/>
          <w:b/>
          <w:szCs w:val="24"/>
          <w:lang w:eastAsia="en-US"/>
        </w:rPr>
      </w:pPr>
      <w:r w:rsidRPr="00E77344">
        <w:rPr>
          <w:rFonts w:eastAsiaTheme="minorHAnsi" w:cstheme="minorBidi"/>
          <w:b/>
          <w:szCs w:val="24"/>
          <w:lang w:eastAsia="en-US"/>
        </w:rPr>
        <w:t xml:space="preserve">Her Majesty </w:t>
      </w:r>
      <w:proofErr w:type="gramStart"/>
      <w:r w:rsidRPr="00E77344">
        <w:rPr>
          <w:rFonts w:eastAsiaTheme="minorHAnsi" w:cstheme="minorBidi"/>
          <w:b/>
          <w:szCs w:val="24"/>
          <w:lang w:eastAsia="en-US"/>
        </w:rPr>
        <w:t>The</w:t>
      </w:r>
      <w:proofErr w:type="gramEnd"/>
      <w:r w:rsidRPr="00E77344">
        <w:rPr>
          <w:rFonts w:eastAsiaTheme="minorHAnsi" w:cstheme="minorBidi"/>
          <w:b/>
          <w:szCs w:val="24"/>
          <w:lang w:eastAsia="en-US"/>
        </w:rPr>
        <w:t xml:space="preserve"> Queen</w:t>
      </w:r>
    </w:p>
    <w:p w:rsidR="00A409CF" w:rsidRPr="00E77344" w:rsidRDefault="00A409CF" w:rsidP="00A409CF">
      <w:pPr>
        <w:jc w:val="center"/>
        <w:rPr>
          <w:rFonts w:eastAsiaTheme="minorHAnsi" w:cstheme="minorBidi"/>
          <w:szCs w:val="24"/>
          <w:lang w:eastAsia="en-US"/>
        </w:rPr>
      </w:pPr>
      <w:r w:rsidRPr="00E77344">
        <w:rPr>
          <w:rFonts w:eastAsiaTheme="minorHAnsi" w:cstheme="minorBidi"/>
          <w:szCs w:val="24"/>
          <w:lang w:eastAsia="en-US"/>
        </w:rPr>
        <w:t>Respondent</w:t>
      </w:r>
    </w:p>
    <w:p w:rsidR="00A409CF" w:rsidRPr="00E77344" w:rsidRDefault="00A409CF" w:rsidP="00A409CF">
      <w:pPr>
        <w:rPr>
          <w:rFonts w:eastAsiaTheme="minorHAnsi" w:cstheme="minorBidi"/>
          <w:szCs w:val="24"/>
          <w:lang w:eastAsia="en-US"/>
        </w:rPr>
      </w:pPr>
    </w:p>
    <w:p w:rsidR="00A409CF" w:rsidRPr="00E77344" w:rsidRDefault="00A409CF" w:rsidP="00A409CF">
      <w:pPr>
        <w:rPr>
          <w:rFonts w:eastAsiaTheme="minorHAnsi" w:cstheme="minorBidi"/>
          <w:szCs w:val="24"/>
          <w:lang w:eastAsia="en-US"/>
        </w:rPr>
      </w:pPr>
    </w:p>
    <w:p w:rsidR="00A409CF" w:rsidRPr="00E77344" w:rsidRDefault="00A409CF" w:rsidP="00A409CF">
      <w:pPr>
        <w:rPr>
          <w:rFonts w:eastAsiaTheme="minorHAnsi" w:cstheme="minorBidi"/>
          <w:szCs w:val="24"/>
          <w:lang w:eastAsia="en-US"/>
        </w:rPr>
      </w:pPr>
      <w:r w:rsidRPr="00E77344">
        <w:rPr>
          <w:rFonts w:eastAsiaTheme="minorHAnsi" w:cstheme="minorBidi"/>
          <w:b/>
          <w:smallCaps/>
          <w:szCs w:val="24"/>
          <w:lang w:eastAsia="en-US"/>
        </w:rPr>
        <w:t>Coram:</w:t>
      </w:r>
      <w:r w:rsidRPr="00E77344">
        <w:rPr>
          <w:rFonts w:eastAsiaTheme="minorHAnsi" w:cstheme="minorBidi"/>
          <w:szCs w:val="24"/>
          <w:lang w:eastAsia="en-US"/>
        </w:rPr>
        <w:t xml:space="preserve"> </w:t>
      </w:r>
      <w:proofErr w:type="spellStart"/>
      <w:r w:rsidRPr="00E77344">
        <w:rPr>
          <w:rFonts w:eastAsiaTheme="minorHAnsi" w:cstheme="minorBidi"/>
          <w:szCs w:val="24"/>
          <w:lang w:eastAsia="en-US"/>
        </w:rPr>
        <w:t>Binnie</w:t>
      </w:r>
      <w:proofErr w:type="spellEnd"/>
      <w:r w:rsidRPr="00E77344">
        <w:rPr>
          <w:rFonts w:eastAsiaTheme="minorHAnsi" w:cstheme="minorBidi"/>
          <w:szCs w:val="24"/>
          <w:lang w:eastAsia="en-US"/>
        </w:rPr>
        <w:t xml:space="preserve">, </w:t>
      </w:r>
      <w:proofErr w:type="spellStart"/>
      <w:r w:rsidRPr="00E77344">
        <w:rPr>
          <w:rFonts w:eastAsiaTheme="minorHAnsi" w:cstheme="minorBidi"/>
          <w:szCs w:val="24"/>
          <w:lang w:eastAsia="en-US"/>
        </w:rPr>
        <w:t>LeBel</w:t>
      </w:r>
      <w:proofErr w:type="spellEnd"/>
      <w:r w:rsidRPr="00E77344">
        <w:rPr>
          <w:rFonts w:eastAsiaTheme="minorHAnsi" w:cstheme="minorBidi"/>
          <w:szCs w:val="24"/>
          <w:lang w:eastAsia="en-US"/>
        </w:rPr>
        <w:t xml:space="preserve">, </w:t>
      </w:r>
      <w:proofErr w:type="spellStart"/>
      <w:r w:rsidRPr="00E77344">
        <w:rPr>
          <w:rFonts w:eastAsiaTheme="minorHAnsi" w:cstheme="minorBidi"/>
          <w:szCs w:val="24"/>
          <w:lang w:eastAsia="en-US"/>
        </w:rPr>
        <w:t>Deschamps</w:t>
      </w:r>
      <w:proofErr w:type="spellEnd"/>
      <w:r w:rsidRPr="00E77344">
        <w:rPr>
          <w:rFonts w:eastAsiaTheme="minorHAnsi" w:cstheme="minorBidi"/>
          <w:szCs w:val="24"/>
          <w:lang w:eastAsia="en-US"/>
        </w:rPr>
        <w:t xml:space="preserve">, </w:t>
      </w:r>
      <w:proofErr w:type="spellStart"/>
      <w:r w:rsidRPr="00E77344">
        <w:rPr>
          <w:rFonts w:eastAsiaTheme="minorHAnsi" w:cstheme="minorBidi"/>
          <w:szCs w:val="24"/>
          <w:lang w:eastAsia="en-US"/>
        </w:rPr>
        <w:t>Abella</w:t>
      </w:r>
      <w:proofErr w:type="spellEnd"/>
      <w:r w:rsidRPr="00E77344">
        <w:rPr>
          <w:rFonts w:eastAsiaTheme="minorHAnsi" w:cstheme="minorBidi"/>
          <w:szCs w:val="24"/>
          <w:lang w:eastAsia="en-US"/>
        </w:rPr>
        <w:t xml:space="preserve">, </w:t>
      </w:r>
      <w:proofErr w:type="spellStart"/>
      <w:r w:rsidRPr="00E77344">
        <w:rPr>
          <w:rFonts w:eastAsiaTheme="minorHAnsi" w:cstheme="minorBidi"/>
          <w:szCs w:val="24"/>
          <w:lang w:eastAsia="en-US"/>
        </w:rPr>
        <w:t>Charron</w:t>
      </w:r>
      <w:proofErr w:type="spellEnd"/>
      <w:r w:rsidRPr="00E77344">
        <w:rPr>
          <w:rFonts w:eastAsiaTheme="minorHAnsi" w:cstheme="minorBidi"/>
          <w:szCs w:val="24"/>
          <w:lang w:eastAsia="en-US"/>
        </w:rPr>
        <w:t>, Rothstein and Cromwell JJ.</w:t>
      </w:r>
    </w:p>
    <w:p w:rsidR="00A409CF" w:rsidRPr="00E77344" w:rsidRDefault="00A409CF" w:rsidP="00A409CF">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09CF" w:rsidRPr="00E77344" w:rsidTr="00BA475A">
        <w:trPr>
          <w:cantSplit/>
        </w:trPr>
        <w:tc>
          <w:tcPr>
            <w:tcW w:w="3618" w:type="dxa"/>
          </w:tcPr>
          <w:p w:rsidR="00A409CF" w:rsidRPr="00E77344" w:rsidRDefault="00A409CF" w:rsidP="00BA475A">
            <w:pPr>
              <w:rPr>
                <w:b/>
                <w:smallCaps/>
              </w:rPr>
            </w:pPr>
            <w:r w:rsidRPr="00E77344">
              <w:rPr>
                <w:b/>
                <w:smallCaps/>
              </w:rPr>
              <w:t>Reasons for Judgment:</w:t>
            </w:r>
          </w:p>
          <w:p w:rsidR="00A409CF" w:rsidRPr="00E77344" w:rsidRDefault="00A409CF" w:rsidP="00BA475A">
            <w:r w:rsidRPr="00E77344">
              <w:t>(</w:t>
            </w:r>
            <w:proofErr w:type="spellStart"/>
            <w:r w:rsidRPr="00E77344">
              <w:t>paras</w:t>
            </w:r>
            <w:proofErr w:type="spellEnd"/>
            <w:r w:rsidRPr="00E77344">
              <w:t>. 1 to 24)</w:t>
            </w:r>
          </w:p>
        </w:tc>
        <w:tc>
          <w:tcPr>
            <w:tcW w:w="5958" w:type="dxa"/>
          </w:tcPr>
          <w:p w:rsidR="00A409CF" w:rsidRPr="00E77344" w:rsidRDefault="00A409CF" w:rsidP="00BA475A">
            <w:proofErr w:type="spellStart"/>
            <w:r w:rsidRPr="00E77344">
              <w:t>Abella</w:t>
            </w:r>
            <w:proofErr w:type="spellEnd"/>
            <w:r w:rsidRPr="00E77344">
              <w:t xml:space="preserve"> J. (</w:t>
            </w:r>
            <w:proofErr w:type="spellStart"/>
            <w:r w:rsidRPr="00E77344">
              <w:t>Binnie</w:t>
            </w:r>
            <w:proofErr w:type="spellEnd"/>
            <w:r w:rsidRPr="00E77344">
              <w:t xml:space="preserve">, </w:t>
            </w:r>
            <w:proofErr w:type="spellStart"/>
            <w:r w:rsidRPr="00E77344">
              <w:t>LeBel</w:t>
            </w:r>
            <w:proofErr w:type="spellEnd"/>
            <w:r w:rsidRPr="00E77344">
              <w:t xml:space="preserve">, </w:t>
            </w:r>
            <w:proofErr w:type="spellStart"/>
            <w:r w:rsidRPr="00E77344">
              <w:t>Deschamps</w:t>
            </w:r>
            <w:proofErr w:type="spellEnd"/>
            <w:r w:rsidRPr="00E77344">
              <w:t xml:space="preserve">, </w:t>
            </w:r>
            <w:proofErr w:type="spellStart"/>
            <w:r w:rsidRPr="00E77344">
              <w:t>Charron</w:t>
            </w:r>
            <w:proofErr w:type="spellEnd"/>
            <w:r w:rsidRPr="00E77344">
              <w:t>, Rothstein and Cromwell JJ. concurring)</w:t>
            </w:r>
          </w:p>
        </w:tc>
      </w:tr>
    </w:tbl>
    <w:p w:rsidR="00A409CF" w:rsidRPr="00E77344" w:rsidRDefault="00A409CF" w:rsidP="00A409CF">
      <w:pPr>
        <w:rPr>
          <w:rFonts w:eastAsiaTheme="minorHAnsi" w:cstheme="minorBidi"/>
          <w:szCs w:val="24"/>
          <w:lang w:eastAsia="en-US"/>
        </w:rPr>
      </w:pPr>
    </w:p>
    <w:p w:rsidR="00A409CF" w:rsidRPr="00E77344" w:rsidRDefault="00A409CF" w:rsidP="00A409CF">
      <w:pPr>
        <w:rPr>
          <w:rFonts w:eastAsiaTheme="minorHAnsi" w:cstheme="minorBidi"/>
          <w:szCs w:val="24"/>
          <w:lang w:eastAsia="en-US"/>
        </w:rPr>
      </w:pPr>
      <w:r w:rsidRPr="00FB2D9A">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409CF" w:rsidRDefault="00A409CF" w:rsidP="00A409CF">
      <w:pPr>
        <w:rPr>
          <w:rStyle w:val="SCCAppellantForIndexChar"/>
          <w:b w:val="0"/>
        </w:rPr>
      </w:pPr>
      <w:r>
        <w:rPr>
          <w:rStyle w:val="SCCAppellantForRunningHeadChar"/>
        </w:rPr>
        <w:br w:type="page"/>
      </w:r>
    </w:p>
    <w:p w:rsidR="008322BD" w:rsidRPr="0090190C" w:rsidRDefault="007F2B2F" w:rsidP="0035169A">
      <w:pPr>
        <w:spacing w:line="480" w:lineRule="auto"/>
        <w:jc w:val="both"/>
      </w:pPr>
      <w:proofErr w:type="spellStart"/>
      <w:r w:rsidRPr="007F2B2F">
        <w:rPr>
          <w:rStyle w:val="SCCAppellantForIndexChar"/>
          <w:b w:val="0"/>
        </w:rPr>
        <w:lastRenderedPageBreak/>
        <w:t>Manuge</w:t>
      </w:r>
      <w:proofErr w:type="spellEnd"/>
      <w:r w:rsidRPr="007F2B2F">
        <w:t xml:space="preserve"> </w:t>
      </w:r>
      <w:r w:rsidRPr="007F2B2F">
        <w:rPr>
          <w:i/>
        </w:rPr>
        <w:t>v.</w:t>
      </w:r>
      <w:r w:rsidRPr="007F2B2F">
        <w:t xml:space="preserve"> </w:t>
      </w:r>
      <w:r w:rsidRPr="007F2B2F">
        <w:rPr>
          <w:rStyle w:val="SCCRespondentForIndexChar"/>
          <w:b w:val="0"/>
        </w:rPr>
        <w:t>Canada</w:t>
      </w:r>
      <w:r>
        <w:rPr>
          <w:rStyle w:val="SCCRespondentForRunningHeadChar"/>
        </w:rPr>
        <w:t xml:space="preserve">, </w:t>
      </w:r>
      <w:r>
        <w:rPr>
          <w:rStyle w:val="SCCRespondentForIndexChar"/>
          <w:b w:val="0"/>
        </w:rPr>
        <w:t>2010 SCC 67, [2010] 3 S.C.R. 672</w:t>
      </w:r>
    </w:p>
    <w:p w:rsidR="00766D14" w:rsidRPr="0090190C" w:rsidRDefault="00766D14" w:rsidP="00364BF4">
      <w:pPr>
        <w:spacing w:line="480" w:lineRule="auto"/>
        <w:jc w:val="both"/>
      </w:pPr>
    </w:p>
    <w:p w:rsidR="002679A7" w:rsidRPr="0090190C" w:rsidRDefault="00F26258" w:rsidP="00804368">
      <w:pPr>
        <w:pStyle w:val="SCCLsocParty"/>
        <w:tabs>
          <w:tab w:val="right" w:pos="8280"/>
        </w:tabs>
        <w:spacing w:after="0" w:line="480" w:lineRule="auto"/>
        <w:rPr>
          <w:i/>
        </w:rPr>
      </w:pPr>
      <w:r w:rsidRPr="000C0A99">
        <w:rPr>
          <w:b/>
        </w:rPr>
        <w:t>Dennis Manuge</w:t>
      </w:r>
      <w:r w:rsidR="00C878AC" w:rsidRPr="0090190C">
        <w:tab/>
      </w:r>
      <w:r w:rsidR="00C878AC" w:rsidRPr="0090190C">
        <w:rPr>
          <w:i/>
        </w:rPr>
        <w:t>Appellant</w:t>
      </w:r>
    </w:p>
    <w:p w:rsidR="00C878AC" w:rsidRPr="0090190C" w:rsidRDefault="00C878AC" w:rsidP="00804368">
      <w:pPr>
        <w:pStyle w:val="SCCLsocVersus"/>
        <w:spacing w:after="0" w:line="480" w:lineRule="auto"/>
      </w:pPr>
    </w:p>
    <w:p w:rsidR="00C878AC" w:rsidRPr="00F51B34" w:rsidRDefault="00F26258" w:rsidP="00804368">
      <w:pPr>
        <w:pStyle w:val="SCCLsocVersus"/>
        <w:spacing w:after="0" w:line="480" w:lineRule="auto"/>
        <w:rPr>
          <w:i/>
        </w:rPr>
      </w:pPr>
      <w:r w:rsidRPr="00F51B34">
        <w:rPr>
          <w:i/>
        </w:rPr>
        <w:t>v.</w:t>
      </w:r>
    </w:p>
    <w:p w:rsidR="002679A7" w:rsidRPr="0090190C" w:rsidRDefault="002679A7" w:rsidP="00804368">
      <w:pPr>
        <w:pStyle w:val="SCCLsocVersus"/>
        <w:spacing w:after="0" w:line="480" w:lineRule="auto"/>
      </w:pPr>
    </w:p>
    <w:p w:rsidR="002679A7" w:rsidRPr="0090190C" w:rsidRDefault="00E06B7D" w:rsidP="00804368">
      <w:pPr>
        <w:pStyle w:val="SCCLsocParty"/>
        <w:tabs>
          <w:tab w:val="right" w:pos="8280"/>
        </w:tabs>
        <w:spacing w:after="0" w:line="480" w:lineRule="auto"/>
      </w:pPr>
      <w:r w:rsidRPr="000C0A99">
        <w:rPr>
          <w:b/>
        </w:rPr>
        <w:t>Her Majesty T</w:t>
      </w:r>
      <w:r w:rsidR="00F26258" w:rsidRPr="000C0A99">
        <w:rPr>
          <w:b/>
        </w:rPr>
        <w:t>he Queen</w:t>
      </w:r>
      <w:r w:rsidR="00C878AC" w:rsidRPr="0090190C">
        <w:tab/>
      </w:r>
      <w:r w:rsidR="00C878AC" w:rsidRPr="0090190C">
        <w:rPr>
          <w:i/>
        </w:rPr>
        <w:t>Respondent</w:t>
      </w:r>
    </w:p>
    <w:p w:rsidR="00C878AC" w:rsidRPr="0090190C" w:rsidRDefault="00C878AC" w:rsidP="00364BF4">
      <w:pPr>
        <w:spacing w:line="480" w:lineRule="auto"/>
      </w:pPr>
    </w:p>
    <w:p w:rsidR="00426659" w:rsidRPr="0090190C" w:rsidRDefault="00426659" w:rsidP="00364BF4">
      <w:pPr>
        <w:spacing w:line="480" w:lineRule="auto"/>
        <w:jc w:val="both"/>
        <w:rPr>
          <w:b/>
        </w:rPr>
      </w:pPr>
      <w:r w:rsidRPr="0090190C">
        <w:rPr>
          <w:b/>
        </w:rPr>
        <w:t>Indexed as:</w:t>
      </w:r>
      <w:r w:rsidR="00D81EBC">
        <w:rPr>
          <w:b/>
        </w:rPr>
        <w:t>  </w:t>
      </w:r>
      <w:r w:rsidRPr="0090190C">
        <w:rPr>
          <w:rStyle w:val="SCCAppellantForIndexChar"/>
        </w:rPr>
        <w:t>Manuge</w:t>
      </w:r>
      <w:r w:rsidRPr="0090190C">
        <w:rPr>
          <w:b/>
        </w:rPr>
        <w:t xml:space="preserve"> </w:t>
      </w:r>
      <w:r w:rsidRPr="0090190C">
        <w:rPr>
          <w:b/>
          <w:i/>
        </w:rPr>
        <w:t>v.</w:t>
      </w:r>
      <w:r w:rsidRPr="0090190C">
        <w:rPr>
          <w:b/>
        </w:rPr>
        <w:t xml:space="preserve"> </w:t>
      </w:r>
      <w:r w:rsidR="00C878AC" w:rsidRPr="0090190C">
        <w:rPr>
          <w:rStyle w:val="SCCRespondentForIndexChar"/>
        </w:rPr>
        <w:t>Canada</w:t>
      </w:r>
    </w:p>
    <w:p w:rsidR="00A149DF" w:rsidRPr="0090190C" w:rsidRDefault="00A149DF" w:rsidP="00364BF4">
      <w:pPr>
        <w:spacing w:line="480" w:lineRule="auto"/>
        <w:jc w:val="both"/>
      </w:pPr>
    </w:p>
    <w:p w:rsidR="00426659" w:rsidRPr="0090190C" w:rsidRDefault="007F3F08" w:rsidP="00364BF4">
      <w:pPr>
        <w:pStyle w:val="SCCSystemYear"/>
        <w:spacing w:line="480" w:lineRule="auto"/>
        <w:jc w:val="both"/>
      </w:pPr>
      <w:r w:rsidRPr="0090190C">
        <w:t>2010</w:t>
      </w:r>
      <w:r w:rsidR="00D81EBC">
        <w:t> </w:t>
      </w:r>
      <w:r w:rsidR="00E06B7D" w:rsidRPr="0090190C">
        <w:t>SCC 67</w:t>
      </w:r>
    </w:p>
    <w:p w:rsidR="00426659" w:rsidRPr="0090190C" w:rsidRDefault="00426659" w:rsidP="00364BF4">
      <w:pPr>
        <w:spacing w:line="480" w:lineRule="auto"/>
        <w:jc w:val="both"/>
      </w:pPr>
    </w:p>
    <w:p w:rsidR="008322BD" w:rsidRPr="0090190C" w:rsidRDefault="00D81EBC" w:rsidP="00364BF4">
      <w:pPr>
        <w:spacing w:line="480" w:lineRule="auto"/>
        <w:jc w:val="both"/>
      </w:pPr>
      <w:r>
        <w:t>File No.:  </w:t>
      </w:r>
      <w:r w:rsidR="009B57B3" w:rsidRPr="0090190C">
        <w:t>33103.</w:t>
      </w:r>
    </w:p>
    <w:p w:rsidR="00E97830" w:rsidRPr="0090190C" w:rsidRDefault="00E97830" w:rsidP="00364BF4">
      <w:pPr>
        <w:spacing w:line="480" w:lineRule="auto"/>
        <w:jc w:val="both"/>
      </w:pPr>
    </w:p>
    <w:p w:rsidR="008322BD" w:rsidRPr="0090190C" w:rsidRDefault="00104466" w:rsidP="00364BF4">
      <w:pPr>
        <w:spacing w:line="480" w:lineRule="auto"/>
        <w:jc w:val="both"/>
      </w:pPr>
      <w:r w:rsidRPr="0090190C">
        <w:t>2010:  January </w:t>
      </w:r>
      <w:r w:rsidR="007F3F08" w:rsidRPr="0090190C">
        <w:t>20</w:t>
      </w:r>
      <w:r w:rsidR="000C292F">
        <w:t>, 21</w:t>
      </w:r>
      <w:r w:rsidR="009B57B3" w:rsidRPr="0090190C">
        <w:t xml:space="preserve">; </w:t>
      </w:r>
      <w:r w:rsidR="00B86C5A" w:rsidRPr="0090190C">
        <w:t>2010:</w:t>
      </w:r>
      <w:r w:rsidRPr="0090190C">
        <w:t>  December </w:t>
      </w:r>
      <w:r w:rsidR="00B86C5A" w:rsidRPr="0090190C">
        <w:t>23</w:t>
      </w:r>
      <w:r w:rsidR="00C878AC" w:rsidRPr="0090190C">
        <w:t>.</w:t>
      </w:r>
    </w:p>
    <w:p w:rsidR="00A149DF" w:rsidRPr="0090190C" w:rsidRDefault="00A149DF" w:rsidP="00364BF4">
      <w:pPr>
        <w:spacing w:line="480" w:lineRule="auto"/>
        <w:jc w:val="both"/>
      </w:pPr>
    </w:p>
    <w:p w:rsidR="008322BD" w:rsidRPr="0090190C" w:rsidRDefault="00D81EBC" w:rsidP="00364BF4">
      <w:pPr>
        <w:spacing w:line="480" w:lineRule="auto"/>
        <w:jc w:val="both"/>
      </w:pPr>
      <w:r>
        <w:t>Present:  </w:t>
      </w:r>
      <w:r w:rsidR="009B57B3" w:rsidRPr="0090190C">
        <w:t>Binnie, LeBel, Deschamps, Abella, Charron, Rothstein and Cromwell</w:t>
      </w:r>
      <w:r w:rsidR="001C779F" w:rsidRPr="0090190C">
        <w:t> </w:t>
      </w:r>
      <w:r w:rsidR="009B57B3" w:rsidRPr="0090190C">
        <w:t>JJ.</w:t>
      </w:r>
    </w:p>
    <w:p w:rsidR="00A149DF" w:rsidRPr="0090190C" w:rsidRDefault="00A149DF" w:rsidP="00364BF4">
      <w:pPr>
        <w:spacing w:line="480" w:lineRule="auto"/>
        <w:jc w:val="both"/>
      </w:pPr>
    </w:p>
    <w:p w:rsidR="008322BD" w:rsidRPr="0090190C" w:rsidRDefault="00656313" w:rsidP="00364BF4">
      <w:pPr>
        <w:pStyle w:val="SCCLowerCourtNameLowercase"/>
      </w:pPr>
      <w:r w:rsidRPr="0090190C">
        <w:t>o</w:t>
      </w:r>
      <w:r w:rsidR="00170592" w:rsidRPr="0090190C">
        <w:t>n</w:t>
      </w:r>
      <w:r w:rsidR="00224FC0" w:rsidRPr="0090190C">
        <w:t xml:space="preserve"> </w:t>
      </w:r>
      <w:r w:rsidRPr="0090190C">
        <w:t>a</w:t>
      </w:r>
      <w:r w:rsidR="00170592" w:rsidRPr="0090190C">
        <w:t>ppeal</w:t>
      </w:r>
      <w:r w:rsidR="00224FC0" w:rsidRPr="0090190C">
        <w:t xml:space="preserve"> </w:t>
      </w:r>
      <w:r w:rsidR="00170592" w:rsidRPr="0090190C">
        <w:t>from</w:t>
      </w:r>
      <w:r w:rsidR="009567AA" w:rsidRPr="0090190C">
        <w:t xml:space="preserve"> the</w:t>
      </w:r>
      <w:r w:rsidR="00224FC0" w:rsidRPr="0090190C">
        <w:t xml:space="preserve"> </w:t>
      </w:r>
      <w:r w:rsidR="009B57B3" w:rsidRPr="0090190C">
        <w:t>federal court of appeal</w:t>
      </w:r>
    </w:p>
    <w:p w:rsidR="00364BF4" w:rsidRPr="0090190C" w:rsidRDefault="00364BF4" w:rsidP="00104466">
      <w:pPr>
        <w:pStyle w:val="SCCNormalDoubleSpacing"/>
        <w:tabs>
          <w:tab w:val="left" w:pos="1170"/>
        </w:tabs>
      </w:pPr>
    </w:p>
    <w:p w:rsidR="00436BDE" w:rsidRPr="0090190C" w:rsidRDefault="00436BDE" w:rsidP="00104466">
      <w:pPr>
        <w:pStyle w:val="SCCNormalDoubleSpacing"/>
        <w:tabs>
          <w:tab w:val="left" w:pos="1170"/>
        </w:tabs>
        <w:rPr>
          <w:i/>
        </w:rPr>
      </w:pPr>
      <w:r w:rsidRPr="0090190C">
        <w:rPr>
          <w:i/>
        </w:rPr>
        <w:tab/>
        <w:t>Courts — Federal Court — Procedure — Plaintiff bringing action in Federal Court against federal Crown for constitutional remedies, declaratory relief and damages arising from establishment, modification and application of long</w:t>
      </w:r>
      <w:r w:rsidR="00BB6EE0" w:rsidRPr="0090190C">
        <w:rPr>
          <w:i/>
        </w:rPr>
        <w:noBreakHyphen/>
      </w:r>
      <w:r w:rsidRPr="0090190C">
        <w:rPr>
          <w:i/>
        </w:rPr>
        <w:t xml:space="preserve">term </w:t>
      </w:r>
      <w:r w:rsidRPr="0090190C">
        <w:rPr>
          <w:i/>
        </w:rPr>
        <w:lastRenderedPageBreak/>
        <w:t>disability benefits plan — Whether plaintiff entitled to proceed by way of action without first proceeding by way of judicial review — Federal Courts Act, R.S.C. 1985, c.</w:t>
      </w:r>
      <w:r w:rsidR="00104466" w:rsidRPr="0090190C">
        <w:rPr>
          <w:i/>
        </w:rPr>
        <w:t> F</w:t>
      </w:r>
      <w:r w:rsidR="00BB6EE0" w:rsidRPr="0090190C">
        <w:rPr>
          <w:i/>
        </w:rPr>
        <w:noBreakHyphen/>
      </w:r>
      <w:r w:rsidR="00104466" w:rsidRPr="0090190C">
        <w:rPr>
          <w:i/>
        </w:rPr>
        <w:t>7, ss. </w:t>
      </w:r>
      <w:r w:rsidRPr="0090190C">
        <w:rPr>
          <w:i/>
        </w:rPr>
        <w:t>17</w:t>
      </w:r>
      <w:r w:rsidR="00E06B7D" w:rsidRPr="0090190C">
        <w:rPr>
          <w:i/>
        </w:rPr>
        <w:t>,</w:t>
      </w:r>
      <w:r w:rsidRPr="0090190C">
        <w:rPr>
          <w:i/>
        </w:rPr>
        <w:t xml:space="preserve"> 18.</w:t>
      </w:r>
    </w:p>
    <w:p w:rsidR="00436BDE" w:rsidRPr="0090190C" w:rsidRDefault="00436BDE" w:rsidP="00104466">
      <w:pPr>
        <w:pStyle w:val="SCCNormalDoubleSpacing"/>
        <w:tabs>
          <w:tab w:val="left" w:pos="1170"/>
        </w:tabs>
      </w:pPr>
    </w:p>
    <w:p w:rsidR="00436BDE" w:rsidRPr="0090190C" w:rsidRDefault="00436BDE" w:rsidP="00104466">
      <w:pPr>
        <w:pStyle w:val="SCCNormalDoubleSpacing"/>
        <w:tabs>
          <w:tab w:val="left" w:pos="1170"/>
        </w:tabs>
      </w:pPr>
      <w:r w:rsidRPr="0090190C">
        <w:tab/>
        <w:t>In 2002, M</w:t>
      </w:r>
      <w:r w:rsidRPr="0090190C">
        <w:rPr>
          <w:szCs w:val="24"/>
        </w:rPr>
        <w:t xml:space="preserve"> was injured and was awarded a monthly disability pension under the </w:t>
      </w:r>
      <w:r w:rsidRPr="0090190C">
        <w:rPr>
          <w:i/>
          <w:szCs w:val="24"/>
        </w:rPr>
        <w:t>Pension Act</w:t>
      </w:r>
      <w:r w:rsidRPr="0090190C">
        <w:rPr>
          <w:szCs w:val="24"/>
        </w:rPr>
        <w:t xml:space="preserve"> in addition to his salary as a member</w:t>
      </w:r>
      <w:r w:rsidRPr="0090190C">
        <w:rPr>
          <w:b/>
          <w:szCs w:val="24"/>
        </w:rPr>
        <w:t xml:space="preserve"> </w:t>
      </w:r>
      <w:r w:rsidRPr="0090190C">
        <w:rPr>
          <w:szCs w:val="24"/>
        </w:rPr>
        <w:t xml:space="preserve">of the Canadian Forces. </w:t>
      </w:r>
      <w:r w:rsidR="00104466" w:rsidRPr="0090190C">
        <w:rPr>
          <w:szCs w:val="24"/>
        </w:rPr>
        <w:t xml:space="preserve"> </w:t>
      </w:r>
      <w:r w:rsidRPr="0090190C">
        <w:rPr>
          <w:szCs w:val="24"/>
        </w:rPr>
        <w:t>In 2003, he was given an involuntary, medically required release and was approved to receive long</w:t>
      </w:r>
      <w:r w:rsidR="00BB6EE0" w:rsidRPr="0090190C">
        <w:rPr>
          <w:szCs w:val="24"/>
        </w:rPr>
        <w:noBreakHyphen/>
      </w:r>
      <w:r w:rsidRPr="0090190C">
        <w:rPr>
          <w:szCs w:val="24"/>
        </w:rPr>
        <w:t>term disability benefits under the Canadian Forces’ disability plan.</w:t>
      </w:r>
      <w:r w:rsidR="00104466" w:rsidRPr="0090190C">
        <w:rPr>
          <w:szCs w:val="24"/>
        </w:rPr>
        <w:t xml:space="preserve"> </w:t>
      </w:r>
      <w:r w:rsidRPr="0090190C">
        <w:rPr>
          <w:szCs w:val="24"/>
        </w:rPr>
        <w:t xml:space="preserve"> </w:t>
      </w:r>
      <w:r w:rsidRPr="0090190C">
        <w:rPr>
          <w:color w:val="000000"/>
        </w:rPr>
        <w:t>For 24 months following his release, M received both a disability pension and long</w:t>
      </w:r>
      <w:r w:rsidR="00BB6EE0" w:rsidRPr="0090190C">
        <w:rPr>
          <w:color w:val="000000"/>
        </w:rPr>
        <w:noBreakHyphen/>
      </w:r>
      <w:r w:rsidRPr="0090190C">
        <w:rPr>
          <w:color w:val="000000"/>
        </w:rPr>
        <w:t>term disability benefits, but</w:t>
      </w:r>
      <w:r w:rsidR="00F91286" w:rsidRPr="0090190C">
        <w:rPr>
          <w:color w:val="000000"/>
        </w:rPr>
        <w:t>, pursuant to s. 24(a)(iv) of the plan,</w:t>
      </w:r>
      <w:r w:rsidRPr="0090190C">
        <w:rPr>
          <w:color w:val="000000"/>
        </w:rPr>
        <w:t xml:space="preserve"> the amount he received from his disability pension was deducted monthly from the amount he received for long</w:t>
      </w:r>
      <w:r w:rsidR="00BB6EE0" w:rsidRPr="0090190C">
        <w:rPr>
          <w:color w:val="000000"/>
        </w:rPr>
        <w:noBreakHyphen/>
      </w:r>
      <w:r w:rsidRPr="0090190C">
        <w:rPr>
          <w:color w:val="000000"/>
        </w:rPr>
        <w:t>term disability.</w:t>
      </w:r>
      <w:r w:rsidRPr="0090190C">
        <w:rPr>
          <w:szCs w:val="24"/>
        </w:rPr>
        <w:t xml:space="preserve"> </w:t>
      </w:r>
      <w:r w:rsidR="00E06B7D" w:rsidRPr="0090190C">
        <w:rPr>
          <w:szCs w:val="24"/>
        </w:rPr>
        <w:t xml:space="preserve"> </w:t>
      </w:r>
      <w:r w:rsidRPr="0090190C">
        <w:rPr>
          <w:szCs w:val="24"/>
        </w:rPr>
        <w:t>M</w:t>
      </w:r>
      <w:r w:rsidRPr="0090190C">
        <w:t xml:space="preserve"> </w:t>
      </w:r>
      <w:r w:rsidRPr="0090190C">
        <w:rPr>
          <w:color w:val="000000"/>
        </w:rPr>
        <w:t>brought an action in</w:t>
      </w:r>
      <w:r w:rsidRPr="0090190C">
        <w:t xml:space="preserve"> </w:t>
      </w:r>
      <w:r w:rsidRPr="0090190C">
        <w:rPr>
          <w:color w:val="000000"/>
        </w:rPr>
        <w:t xml:space="preserve">the Federal Court seeking, among other relief, constitutional remedies, declaratory relief and damages in relation to these deductions. </w:t>
      </w:r>
      <w:r w:rsidR="00E06B7D" w:rsidRPr="0090190C">
        <w:rPr>
          <w:color w:val="000000"/>
        </w:rPr>
        <w:t xml:space="preserve"> </w:t>
      </w:r>
      <w:r w:rsidRPr="0090190C">
        <w:rPr>
          <w:color w:val="000000"/>
        </w:rPr>
        <w:t xml:space="preserve">The Federal Court certified the proceeding as a class action. </w:t>
      </w:r>
      <w:r w:rsidR="00E06B7D" w:rsidRPr="0090190C">
        <w:rPr>
          <w:color w:val="000000"/>
        </w:rPr>
        <w:t xml:space="preserve"> </w:t>
      </w:r>
      <w:r w:rsidRPr="0090190C">
        <w:rPr>
          <w:szCs w:val="24"/>
        </w:rPr>
        <w:t>The Federal Court of Appeal allowed the Crown’s appeal</w:t>
      </w:r>
      <w:r w:rsidR="00F91286" w:rsidRPr="0090190C">
        <w:rPr>
          <w:szCs w:val="24"/>
        </w:rPr>
        <w:t xml:space="preserve"> based on</w:t>
      </w:r>
      <w:r w:rsidR="00F91286" w:rsidRPr="0090190C">
        <w:rPr>
          <w:i/>
        </w:rPr>
        <w:t xml:space="preserve"> Canada v. Grenier</w:t>
      </w:r>
      <w:r w:rsidR="00F91286" w:rsidRPr="0090190C">
        <w:t>, 2005 FCA 348, [2006] 2 F.C.R. 287,</w:t>
      </w:r>
      <w:r w:rsidRPr="0090190C">
        <w:rPr>
          <w:szCs w:val="24"/>
        </w:rPr>
        <w:t xml:space="preserve"> </w:t>
      </w:r>
      <w:r w:rsidR="000D435C" w:rsidRPr="0090190C">
        <w:rPr>
          <w:szCs w:val="24"/>
        </w:rPr>
        <w:t xml:space="preserve">concluding that </w:t>
      </w:r>
      <w:r w:rsidRPr="0090190C">
        <w:rPr>
          <w:szCs w:val="24"/>
        </w:rPr>
        <w:t>the lawfulness of a decision or administrative activity like s. 24(a)(iv) of the plan can only be</w:t>
      </w:r>
      <w:r w:rsidR="00F91286" w:rsidRPr="0090190C">
        <w:rPr>
          <w:szCs w:val="24"/>
        </w:rPr>
        <w:t xml:space="preserve"> challenged </w:t>
      </w:r>
      <w:r w:rsidR="000D435C" w:rsidRPr="0090190C">
        <w:rPr>
          <w:szCs w:val="24"/>
        </w:rPr>
        <w:t>by</w:t>
      </w:r>
      <w:r w:rsidR="00F91286" w:rsidRPr="0090190C">
        <w:rPr>
          <w:szCs w:val="24"/>
        </w:rPr>
        <w:t xml:space="preserve"> judicial review</w:t>
      </w:r>
      <w:r w:rsidRPr="0090190C">
        <w:rPr>
          <w:szCs w:val="24"/>
        </w:rPr>
        <w:t>.</w:t>
      </w:r>
    </w:p>
    <w:p w:rsidR="00436BDE" w:rsidRPr="0090190C" w:rsidRDefault="00436BDE" w:rsidP="00104466">
      <w:pPr>
        <w:pStyle w:val="SCCNormalDoubleSpacing"/>
        <w:tabs>
          <w:tab w:val="left" w:pos="1170"/>
        </w:tabs>
      </w:pPr>
    </w:p>
    <w:p w:rsidR="00436BDE" w:rsidRPr="0090190C" w:rsidRDefault="00436BDE" w:rsidP="00104466">
      <w:pPr>
        <w:pStyle w:val="SCCNormalDoubleSpacing"/>
        <w:tabs>
          <w:tab w:val="left" w:pos="1170"/>
        </w:tabs>
      </w:pPr>
      <w:r w:rsidRPr="0090190C">
        <w:tab/>
      </w:r>
      <w:r w:rsidRPr="0090190C">
        <w:rPr>
          <w:rStyle w:val="QuoteChar"/>
          <w:color w:val="auto"/>
          <w:lang w:val="en-CA"/>
        </w:rPr>
        <w:t>Held</w:t>
      </w:r>
      <w:r w:rsidRPr="0090190C">
        <w:rPr>
          <w:rStyle w:val="QuoteChar"/>
          <w:i w:val="0"/>
          <w:color w:val="auto"/>
          <w:lang w:val="en-CA"/>
        </w:rPr>
        <w:t>:</w:t>
      </w:r>
      <w:r w:rsidRPr="0090190C">
        <w:t xml:space="preserve">  The appeal should be allowed.</w:t>
      </w:r>
    </w:p>
    <w:p w:rsidR="00436BDE" w:rsidRPr="0090190C" w:rsidRDefault="00436BDE" w:rsidP="00104466">
      <w:pPr>
        <w:pStyle w:val="SCCNormalDoubleSpacing"/>
        <w:tabs>
          <w:tab w:val="left" w:pos="1170"/>
        </w:tabs>
      </w:pPr>
    </w:p>
    <w:p w:rsidR="00436BDE" w:rsidRPr="0090190C" w:rsidRDefault="00436BDE" w:rsidP="00104466">
      <w:pPr>
        <w:pStyle w:val="SCCNormalDoubleSpacing"/>
        <w:tabs>
          <w:tab w:val="left" w:pos="1170"/>
        </w:tabs>
      </w:pPr>
      <w:r w:rsidRPr="0090190C">
        <w:tab/>
      </w:r>
      <w:r w:rsidRPr="0090190C">
        <w:rPr>
          <w:szCs w:val="24"/>
        </w:rPr>
        <w:t xml:space="preserve">In accordance with </w:t>
      </w:r>
      <w:r w:rsidRPr="0090190C">
        <w:rPr>
          <w:i/>
          <w:szCs w:val="24"/>
        </w:rPr>
        <w:t>Canada (Attorney General) v. TeleZone Inc.</w:t>
      </w:r>
      <w:r w:rsidR="00E06B7D" w:rsidRPr="0090190C">
        <w:rPr>
          <w:szCs w:val="24"/>
        </w:rPr>
        <w:t>, 2010 SCC 62</w:t>
      </w:r>
      <w:r w:rsidR="000C292F">
        <w:rPr>
          <w:szCs w:val="24"/>
        </w:rPr>
        <w:t xml:space="preserve">, [2010] 3 S.C.R. </w:t>
      </w:r>
      <w:r w:rsidR="007F5A48">
        <w:rPr>
          <w:szCs w:val="24"/>
        </w:rPr>
        <w:t>585</w:t>
      </w:r>
      <w:r w:rsidRPr="0090190C">
        <w:rPr>
          <w:szCs w:val="24"/>
        </w:rPr>
        <w:t xml:space="preserve">, the Federal Court has jurisdiction to entertain the </w:t>
      </w:r>
      <w:r w:rsidRPr="0090190C">
        <w:rPr>
          <w:szCs w:val="24"/>
        </w:rPr>
        <w:lastRenderedPageBreak/>
        <w:t>action.  At their core, the pleadings represent a c</w:t>
      </w:r>
      <w:r w:rsidR="00DF7189" w:rsidRPr="0090190C">
        <w:rPr>
          <w:szCs w:val="24"/>
        </w:rPr>
        <w:t>laim for alleged breaches of s. </w:t>
      </w:r>
      <w:r w:rsidRPr="0090190C">
        <w:rPr>
          <w:szCs w:val="24"/>
        </w:rPr>
        <w:t xml:space="preserve">15(1) of the </w:t>
      </w:r>
      <w:r w:rsidRPr="0090190C">
        <w:rPr>
          <w:i/>
          <w:szCs w:val="24"/>
        </w:rPr>
        <w:t>Canadian Charter of Rights and Freedoms</w:t>
      </w:r>
      <w:r w:rsidR="00F91286" w:rsidRPr="0090190C">
        <w:rPr>
          <w:szCs w:val="24"/>
        </w:rPr>
        <w:t xml:space="preserve"> and the action need not, therefore, be stayed in favour of an application for judicial review.</w:t>
      </w:r>
    </w:p>
    <w:p w:rsidR="00A149DF" w:rsidRPr="0090190C" w:rsidRDefault="00A149DF" w:rsidP="00104466">
      <w:pPr>
        <w:pStyle w:val="SCCNormalDoubleSpacing"/>
        <w:tabs>
          <w:tab w:val="left" w:pos="1170"/>
        </w:tabs>
      </w:pPr>
    </w:p>
    <w:p w:rsidR="007E1C47" w:rsidRPr="0090190C" w:rsidRDefault="002E6705" w:rsidP="00104466">
      <w:pPr>
        <w:pStyle w:val="SCCNormalDoubleSpacing"/>
        <w:keepNext/>
        <w:keepLines/>
        <w:tabs>
          <w:tab w:val="left" w:pos="1170"/>
        </w:tabs>
        <w:rPr>
          <w:b/>
        </w:rPr>
      </w:pPr>
      <w:r w:rsidRPr="0090190C">
        <w:rPr>
          <w:b/>
        </w:rPr>
        <w:t>Cases Cited</w:t>
      </w:r>
    </w:p>
    <w:p w:rsidR="00A149DF" w:rsidRPr="0090190C" w:rsidRDefault="00A149DF" w:rsidP="00104466">
      <w:pPr>
        <w:pStyle w:val="SCCNormalDoubleSpacing"/>
        <w:keepNext/>
        <w:keepLines/>
        <w:tabs>
          <w:tab w:val="left" w:pos="1170"/>
        </w:tabs>
      </w:pPr>
    </w:p>
    <w:p w:rsidR="004E2C26" w:rsidRPr="0090190C" w:rsidRDefault="002E6705" w:rsidP="00104466">
      <w:pPr>
        <w:pStyle w:val="SCCNormalDoubleSpacing"/>
        <w:keepNext/>
        <w:keepLines/>
        <w:tabs>
          <w:tab w:val="left" w:pos="1170"/>
        </w:tabs>
      </w:pPr>
      <w:r w:rsidRPr="0090190C">
        <w:tab/>
      </w:r>
      <w:r w:rsidR="00E06B7D" w:rsidRPr="0090190C">
        <w:rPr>
          <w:b/>
        </w:rPr>
        <w:t>Applied:</w:t>
      </w:r>
      <w:r w:rsidR="00E06B7D" w:rsidRPr="0090190C">
        <w:t xml:space="preserve"> </w:t>
      </w:r>
      <w:r w:rsidR="008944E0" w:rsidRPr="0090190C">
        <w:t xml:space="preserve"> </w:t>
      </w:r>
      <w:r w:rsidR="00E06B7D" w:rsidRPr="0090190C">
        <w:rPr>
          <w:i/>
        </w:rPr>
        <w:t>Canada (Attorney General) v. TeleZone Inc.</w:t>
      </w:r>
      <w:r w:rsidR="00E06B7D" w:rsidRPr="0090190C">
        <w:t>, 2010 SCC 62</w:t>
      </w:r>
      <w:r w:rsidR="000C292F">
        <w:t xml:space="preserve">, [2010] 3 S.C.R. </w:t>
      </w:r>
      <w:r w:rsidR="007F5A48">
        <w:t>585</w:t>
      </w:r>
      <w:r w:rsidR="00E06B7D" w:rsidRPr="0090190C">
        <w:t xml:space="preserve">; </w:t>
      </w:r>
      <w:r w:rsidR="00CB516F" w:rsidRPr="00ED028E">
        <w:rPr>
          <w:b/>
        </w:rPr>
        <w:t>overruled:</w:t>
      </w:r>
      <w:r w:rsidR="00CB516F">
        <w:t xml:space="preserve">  </w:t>
      </w:r>
      <w:r w:rsidR="00CB516F">
        <w:rPr>
          <w:i/>
        </w:rPr>
        <w:t>Canada v. Grenier</w:t>
      </w:r>
      <w:r w:rsidR="00CB516F">
        <w:t xml:space="preserve">, 2005 FCA 348, [2006] 2 F.C.R. 287; </w:t>
      </w:r>
      <w:r w:rsidR="00E06B7D" w:rsidRPr="0090190C">
        <w:rPr>
          <w:b/>
        </w:rPr>
        <w:t>r</w:t>
      </w:r>
      <w:r w:rsidRPr="0090190C">
        <w:rPr>
          <w:b/>
        </w:rPr>
        <w:t>eferred to:</w:t>
      </w:r>
      <w:r w:rsidR="00D81EBC">
        <w:t xml:space="preserve">  </w:t>
      </w:r>
      <w:r w:rsidR="00E06B7D" w:rsidRPr="0090190C">
        <w:rPr>
          <w:i/>
          <w:szCs w:val="24"/>
        </w:rPr>
        <w:t>Hunt v. Care</w:t>
      </w:r>
      <w:r w:rsidR="00CC58EB" w:rsidRPr="0090190C">
        <w:rPr>
          <w:i/>
          <w:szCs w:val="24"/>
        </w:rPr>
        <w:t>y Canada Inc.</w:t>
      </w:r>
      <w:r w:rsidR="00CC58EB" w:rsidRPr="0090190C">
        <w:rPr>
          <w:szCs w:val="24"/>
        </w:rPr>
        <w:t xml:space="preserve">, [1990] 2 S.C.R. 959; </w:t>
      </w:r>
      <w:r w:rsidR="00CC58EB" w:rsidRPr="0090190C">
        <w:rPr>
          <w:i/>
          <w:szCs w:val="24"/>
        </w:rPr>
        <w:t xml:space="preserve">Canada (Attorney General) v. </w:t>
      </w:r>
      <w:r w:rsidR="00CC58EB" w:rsidRPr="0090190C">
        <w:rPr>
          <w:i/>
          <w:iCs/>
          <w:szCs w:val="24"/>
        </w:rPr>
        <w:t>McArthur</w:t>
      </w:r>
      <w:r w:rsidR="00E06B7D" w:rsidRPr="0090190C">
        <w:rPr>
          <w:szCs w:val="24"/>
        </w:rPr>
        <w:t>, 2010 SCC 63</w:t>
      </w:r>
      <w:r w:rsidR="000C292F">
        <w:rPr>
          <w:szCs w:val="24"/>
        </w:rPr>
        <w:t xml:space="preserve">, [2010] 3 S.C.R. </w:t>
      </w:r>
      <w:r w:rsidR="007F5A48">
        <w:rPr>
          <w:szCs w:val="24"/>
        </w:rPr>
        <w:t>626</w:t>
      </w:r>
      <w:r w:rsidR="00CC58EB" w:rsidRPr="0090190C">
        <w:rPr>
          <w:szCs w:val="24"/>
        </w:rPr>
        <w:t xml:space="preserve">; </w:t>
      </w:r>
      <w:proofErr w:type="spellStart"/>
      <w:r w:rsidR="00CC58EB" w:rsidRPr="0090190C">
        <w:rPr>
          <w:i/>
          <w:iCs/>
          <w:szCs w:val="24"/>
        </w:rPr>
        <w:t>Nu</w:t>
      </w:r>
      <w:r w:rsidR="00BB6EE0" w:rsidRPr="0090190C">
        <w:rPr>
          <w:i/>
          <w:iCs/>
          <w:szCs w:val="24"/>
        </w:rPr>
        <w:noBreakHyphen/>
      </w:r>
      <w:r w:rsidR="00CC58EB" w:rsidRPr="0090190C">
        <w:rPr>
          <w:i/>
          <w:iCs/>
          <w:szCs w:val="24"/>
        </w:rPr>
        <w:t>Pharm</w:t>
      </w:r>
      <w:proofErr w:type="spellEnd"/>
      <w:r w:rsidR="00CC58EB" w:rsidRPr="0090190C">
        <w:rPr>
          <w:i/>
          <w:iCs/>
          <w:szCs w:val="24"/>
        </w:rPr>
        <w:t xml:space="preserve"> Inc. </w:t>
      </w:r>
      <w:r w:rsidR="002224F2" w:rsidRPr="0090190C">
        <w:rPr>
          <w:i/>
          <w:iCs/>
          <w:szCs w:val="24"/>
        </w:rPr>
        <w:t>v</w:t>
      </w:r>
      <w:r w:rsidR="00CC58EB" w:rsidRPr="0090190C">
        <w:rPr>
          <w:i/>
          <w:iCs/>
          <w:szCs w:val="24"/>
        </w:rPr>
        <w:t xml:space="preserve">. </w:t>
      </w:r>
      <w:r w:rsidR="002224F2" w:rsidRPr="0090190C">
        <w:rPr>
          <w:i/>
          <w:iCs/>
          <w:szCs w:val="24"/>
        </w:rPr>
        <w:t>Canada (Attorney General)</w:t>
      </w:r>
      <w:r w:rsidR="00E06B7D" w:rsidRPr="0090190C">
        <w:rPr>
          <w:szCs w:val="24"/>
        </w:rPr>
        <w:t>, 2010 SCC 65</w:t>
      </w:r>
      <w:r w:rsidR="000C292F">
        <w:rPr>
          <w:szCs w:val="24"/>
        </w:rPr>
        <w:t>, [2010] 3 S.C.R.</w:t>
      </w:r>
      <w:r w:rsidR="007F5A48">
        <w:rPr>
          <w:szCs w:val="24"/>
        </w:rPr>
        <w:t xml:space="preserve"> 648</w:t>
      </w:r>
      <w:r w:rsidR="00767F9B" w:rsidRPr="0090190C">
        <w:rPr>
          <w:szCs w:val="24"/>
        </w:rPr>
        <w:t>.</w:t>
      </w:r>
    </w:p>
    <w:p w:rsidR="00A149DF" w:rsidRPr="0090190C" w:rsidRDefault="00A149DF" w:rsidP="004E2C26">
      <w:pPr>
        <w:pStyle w:val="SCCNormalDoubleSpacing"/>
      </w:pPr>
    </w:p>
    <w:p w:rsidR="003B215F" w:rsidRPr="0090190C" w:rsidRDefault="002E6705" w:rsidP="008944E0">
      <w:pPr>
        <w:pStyle w:val="SCCNormalDoubleSpacing"/>
        <w:keepNext/>
      </w:pPr>
      <w:r w:rsidRPr="0090190C">
        <w:rPr>
          <w:b/>
        </w:rPr>
        <w:t>Statutes and Regulations Cite</w:t>
      </w:r>
      <w:r w:rsidR="00A41805" w:rsidRPr="0090190C">
        <w:rPr>
          <w:b/>
        </w:rPr>
        <w:t>d</w:t>
      </w:r>
    </w:p>
    <w:p w:rsidR="00A41805" w:rsidRPr="0090190C" w:rsidRDefault="00A41805" w:rsidP="008944E0">
      <w:pPr>
        <w:pStyle w:val="SCCNormalDoubleSpacing"/>
        <w:keepNext/>
        <w:ind w:left="540" w:hanging="540"/>
      </w:pPr>
    </w:p>
    <w:p w:rsidR="00FD221C" w:rsidRPr="0090190C" w:rsidRDefault="00FD221C" w:rsidP="00DF7189">
      <w:pPr>
        <w:pStyle w:val="SCCNormalDoubleSpacing"/>
        <w:spacing w:line="240" w:lineRule="auto"/>
        <w:ind w:left="540" w:hanging="540"/>
      </w:pPr>
      <w:r w:rsidRPr="0090190C">
        <w:rPr>
          <w:i/>
          <w:iCs/>
          <w:szCs w:val="24"/>
        </w:rPr>
        <w:t>Act to amend</w:t>
      </w:r>
      <w:r w:rsidR="000C292F">
        <w:rPr>
          <w:i/>
          <w:iCs/>
          <w:szCs w:val="24"/>
        </w:rPr>
        <w:t xml:space="preserve"> the</w:t>
      </w:r>
      <w:r w:rsidRPr="0090190C">
        <w:rPr>
          <w:i/>
          <w:iCs/>
          <w:szCs w:val="24"/>
        </w:rPr>
        <w:t xml:space="preserve"> statute law in relation to veterans’ benefits</w:t>
      </w:r>
      <w:r w:rsidRPr="0090190C">
        <w:rPr>
          <w:szCs w:val="24"/>
        </w:rPr>
        <w:t>, S.C. 2000, c.</w:t>
      </w:r>
      <w:r w:rsidR="000C292F">
        <w:rPr>
          <w:szCs w:val="24"/>
        </w:rPr>
        <w:t xml:space="preserve"> </w:t>
      </w:r>
      <w:r w:rsidRPr="0090190C">
        <w:rPr>
          <w:szCs w:val="24"/>
        </w:rPr>
        <w:t>34.</w:t>
      </w:r>
    </w:p>
    <w:p w:rsidR="00FD221C" w:rsidRPr="0090190C" w:rsidRDefault="00FD221C" w:rsidP="00DF7189">
      <w:pPr>
        <w:pStyle w:val="SCCNormalDoubleSpacing"/>
        <w:spacing w:line="240" w:lineRule="auto"/>
        <w:ind w:left="540" w:hanging="540"/>
      </w:pPr>
    </w:p>
    <w:p w:rsidR="00CB711F" w:rsidRPr="0090190C" w:rsidRDefault="00CB711F" w:rsidP="00FC4EFB">
      <w:pPr>
        <w:pStyle w:val="SCCNormalDoubleSpacing"/>
        <w:spacing w:line="240" w:lineRule="auto"/>
        <w:ind w:left="540" w:hanging="540"/>
      </w:pPr>
      <w:r w:rsidRPr="0090190C">
        <w:rPr>
          <w:i/>
        </w:rPr>
        <w:t>Canadian Charter of Rights and Freedoms</w:t>
      </w:r>
      <w:r w:rsidRPr="0090190C">
        <w:t>, s</w:t>
      </w:r>
      <w:r w:rsidR="00C46976" w:rsidRPr="0090190C">
        <w:t>s</w:t>
      </w:r>
      <w:r w:rsidR="000C292F">
        <w:t xml:space="preserve">. </w:t>
      </w:r>
      <w:r w:rsidR="00C46976" w:rsidRPr="0090190C">
        <w:t xml:space="preserve">15(1), </w:t>
      </w:r>
      <w:r w:rsidRPr="0090190C">
        <w:t>24.</w:t>
      </w:r>
    </w:p>
    <w:p w:rsidR="00CB711F" w:rsidRPr="0090190C" w:rsidRDefault="00CB711F" w:rsidP="00FC4EFB">
      <w:pPr>
        <w:pStyle w:val="SCCNormalDoubleSpacing"/>
        <w:spacing w:line="240" w:lineRule="auto"/>
        <w:ind w:left="540" w:hanging="540"/>
      </w:pPr>
    </w:p>
    <w:p w:rsidR="00FD221C" w:rsidRPr="0090190C" w:rsidRDefault="00FD221C" w:rsidP="00FC4EFB">
      <w:pPr>
        <w:pStyle w:val="SCCNormalDoubleSpacing"/>
        <w:spacing w:line="240" w:lineRule="auto"/>
        <w:ind w:left="540" w:hanging="540"/>
      </w:pPr>
      <w:r w:rsidRPr="0090190C">
        <w:rPr>
          <w:i/>
          <w:iCs/>
          <w:szCs w:val="24"/>
        </w:rPr>
        <w:t>Canadian Forces Members and Veterans Re</w:t>
      </w:r>
      <w:r w:rsidR="00BB6EE0" w:rsidRPr="0090190C">
        <w:rPr>
          <w:i/>
          <w:iCs/>
          <w:szCs w:val="24"/>
        </w:rPr>
        <w:noBreakHyphen/>
      </w:r>
      <w:r w:rsidRPr="0090190C">
        <w:rPr>
          <w:i/>
          <w:iCs/>
          <w:szCs w:val="24"/>
        </w:rPr>
        <w:t>establishment and Compensation Act</w:t>
      </w:r>
      <w:r w:rsidRPr="0090190C">
        <w:rPr>
          <w:szCs w:val="24"/>
        </w:rPr>
        <w:t xml:space="preserve">, S.C. 2005, </w:t>
      </w:r>
      <w:r w:rsidR="000C292F">
        <w:rPr>
          <w:szCs w:val="24"/>
        </w:rPr>
        <w:t xml:space="preserve">c. </w:t>
      </w:r>
      <w:r w:rsidRPr="0090190C">
        <w:rPr>
          <w:szCs w:val="24"/>
        </w:rPr>
        <w:t>21.</w:t>
      </w:r>
    </w:p>
    <w:p w:rsidR="00FD221C" w:rsidRPr="0090190C" w:rsidRDefault="00FD221C" w:rsidP="00FC4EFB">
      <w:pPr>
        <w:pStyle w:val="SCCNormalDoubleSpacing"/>
        <w:spacing w:line="240" w:lineRule="auto"/>
        <w:ind w:left="540" w:hanging="540"/>
      </w:pPr>
    </w:p>
    <w:p w:rsidR="00CC58EB" w:rsidRPr="0090190C" w:rsidRDefault="00CC58EB" w:rsidP="00FC4EFB">
      <w:pPr>
        <w:pStyle w:val="SCCNormalDoubleSpacing"/>
        <w:spacing w:line="240" w:lineRule="auto"/>
        <w:ind w:left="540" w:hanging="540"/>
      </w:pPr>
      <w:r w:rsidRPr="0090190C">
        <w:rPr>
          <w:i/>
          <w:iCs/>
          <w:szCs w:val="24"/>
        </w:rPr>
        <w:t>Crown Liability and Proceedings Act</w:t>
      </w:r>
      <w:r w:rsidR="000C292F">
        <w:rPr>
          <w:szCs w:val="24"/>
        </w:rPr>
        <w:t xml:space="preserve">, R.S.C. 1985, c. </w:t>
      </w:r>
      <w:r w:rsidR="008944E0" w:rsidRPr="0090190C">
        <w:rPr>
          <w:szCs w:val="24"/>
        </w:rPr>
        <w:t>C</w:t>
      </w:r>
      <w:r w:rsidR="00BB6EE0" w:rsidRPr="0090190C">
        <w:rPr>
          <w:szCs w:val="24"/>
        </w:rPr>
        <w:noBreakHyphen/>
      </w:r>
      <w:r w:rsidR="008944E0" w:rsidRPr="0090190C">
        <w:rPr>
          <w:szCs w:val="24"/>
        </w:rPr>
        <w:t>50, s.</w:t>
      </w:r>
      <w:r w:rsidR="000C292F">
        <w:rPr>
          <w:szCs w:val="24"/>
        </w:rPr>
        <w:t xml:space="preserve"> </w:t>
      </w:r>
      <w:r w:rsidRPr="0090190C">
        <w:rPr>
          <w:szCs w:val="24"/>
        </w:rPr>
        <w:t>21.</w:t>
      </w:r>
    </w:p>
    <w:p w:rsidR="00CC58EB" w:rsidRPr="0090190C" w:rsidRDefault="00CC58EB" w:rsidP="00FC4EFB">
      <w:pPr>
        <w:pStyle w:val="SCCNormalDoubleSpacing"/>
        <w:spacing w:line="240" w:lineRule="auto"/>
        <w:ind w:left="540" w:hanging="540"/>
      </w:pPr>
    </w:p>
    <w:p w:rsidR="00657D93" w:rsidRPr="0090190C" w:rsidRDefault="00657D93" w:rsidP="00FC4EFB">
      <w:pPr>
        <w:pStyle w:val="SCCNormalDoubleSpacing"/>
        <w:spacing w:line="240" w:lineRule="auto"/>
        <w:ind w:left="540" w:hanging="540"/>
        <w:rPr>
          <w:szCs w:val="24"/>
        </w:rPr>
      </w:pPr>
      <w:r w:rsidRPr="0090190C">
        <w:rPr>
          <w:i/>
          <w:iCs/>
          <w:szCs w:val="24"/>
        </w:rPr>
        <w:t>Federal Courts Act</w:t>
      </w:r>
      <w:r w:rsidRPr="0090190C">
        <w:rPr>
          <w:iCs/>
          <w:szCs w:val="24"/>
        </w:rPr>
        <w:t xml:space="preserve">, </w:t>
      </w:r>
      <w:r w:rsidR="000C292F">
        <w:rPr>
          <w:szCs w:val="24"/>
        </w:rPr>
        <w:t xml:space="preserve">R.S.C. 1985, c. </w:t>
      </w:r>
      <w:r w:rsidR="008944E0" w:rsidRPr="0090190C">
        <w:rPr>
          <w:szCs w:val="24"/>
        </w:rPr>
        <w:t>F</w:t>
      </w:r>
      <w:r w:rsidR="008944E0" w:rsidRPr="0090190C">
        <w:rPr>
          <w:szCs w:val="24"/>
        </w:rPr>
        <w:noBreakHyphen/>
      </w:r>
      <w:r w:rsidRPr="0090190C">
        <w:rPr>
          <w:szCs w:val="24"/>
        </w:rPr>
        <w:t>7, s</w:t>
      </w:r>
      <w:r w:rsidR="00CC58EB" w:rsidRPr="0090190C">
        <w:rPr>
          <w:szCs w:val="24"/>
        </w:rPr>
        <w:t>s</w:t>
      </w:r>
      <w:r w:rsidR="008944E0" w:rsidRPr="0090190C">
        <w:rPr>
          <w:szCs w:val="24"/>
        </w:rPr>
        <w:t>.</w:t>
      </w:r>
      <w:r w:rsidR="000C292F">
        <w:rPr>
          <w:szCs w:val="24"/>
        </w:rPr>
        <w:t xml:space="preserve"> </w:t>
      </w:r>
      <w:r w:rsidRPr="0090190C">
        <w:rPr>
          <w:szCs w:val="24"/>
        </w:rPr>
        <w:t>2</w:t>
      </w:r>
      <w:r w:rsidR="00CC58EB" w:rsidRPr="0090190C">
        <w:rPr>
          <w:szCs w:val="24"/>
        </w:rPr>
        <w:t xml:space="preserve">, 17(1), </w:t>
      </w:r>
      <w:r w:rsidR="00C46976" w:rsidRPr="0090190C">
        <w:rPr>
          <w:szCs w:val="24"/>
        </w:rPr>
        <w:t>18</w:t>
      </w:r>
      <w:r w:rsidR="00CC58EB" w:rsidRPr="0090190C">
        <w:rPr>
          <w:szCs w:val="24"/>
        </w:rPr>
        <w:t xml:space="preserve">, </w:t>
      </w:r>
      <w:r w:rsidR="00C46976" w:rsidRPr="0090190C">
        <w:rPr>
          <w:szCs w:val="24"/>
        </w:rPr>
        <w:t xml:space="preserve">18.1, </w:t>
      </w:r>
      <w:r w:rsidR="00CC58EB" w:rsidRPr="0090190C">
        <w:rPr>
          <w:szCs w:val="24"/>
        </w:rPr>
        <w:t>18.4(2)</w:t>
      </w:r>
      <w:r w:rsidRPr="0090190C">
        <w:rPr>
          <w:szCs w:val="24"/>
        </w:rPr>
        <w:t>.</w:t>
      </w:r>
      <w:r w:rsidR="00CC58EB" w:rsidRPr="0090190C">
        <w:rPr>
          <w:szCs w:val="24"/>
        </w:rPr>
        <w:t xml:space="preserve"> </w:t>
      </w:r>
    </w:p>
    <w:p w:rsidR="00657D93" w:rsidRPr="0090190C" w:rsidRDefault="00657D93" w:rsidP="00FC4EFB">
      <w:pPr>
        <w:pStyle w:val="SCCNormalDoubleSpacing"/>
        <w:spacing w:line="240" w:lineRule="auto"/>
        <w:ind w:left="540" w:hanging="540"/>
      </w:pPr>
    </w:p>
    <w:p w:rsidR="00CB711F" w:rsidRPr="0090190C" w:rsidRDefault="00CB711F" w:rsidP="00FC4EFB">
      <w:pPr>
        <w:pStyle w:val="SCCNormalDoubleSpacing"/>
        <w:spacing w:line="240" w:lineRule="auto"/>
        <w:ind w:left="540" w:hanging="540"/>
      </w:pPr>
      <w:r w:rsidRPr="0090190C">
        <w:rPr>
          <w:i/>
          <w:iCs/>
          <w:szCs w:val="24"/>
        </w:rPr>
        <w:t>Federal Courts Rules</w:t>
      </w:r>
      <w:r w:rsidRPr="0090190C">
        <w:rPr>
          <w:szCs w:val="24"/>
        </w:rPr>
        <w:t>, SOR</w:t>
      </w:r>
      <w:r w:rsidR="000C292F">
        <w:rPr>
          <w:szCs w:val="24"/>
        </w:rPr>
        <w:t>/</w:t>
      </w:r>
      <w:r w:rsidRPr="0090190C">
        <w:rPr>
          <w:szCs w:val="24"/>
        </w:rPr>
        <w:t>98</w:t>
      </w:r>
      <w:r w:rsidR="000C292F">
        <w:rPr>
          <w:szCs w:val="24"/>
        </w:rPr>
        <w:t>-</w:t>
      </w:r>
      <w:r w:rsidRPr="0090190C">
        <w:rPr>
          <w:szCs w:val="24"/>
        </w:rPr>
        <w:t>106, r</w:t>
      </w:r>
      <w:r w:rsidR="00CC58EB" w:rsidRPr="0090190C">
        <w:rPr>
          <w:szCs w:val="24"/>
        </w:rPr>
        <w:t>r</w:t>
      </w:r>
      <w:r w:rsidR="000C292F">
        <w:rPr>
          <w:szCs w:val="24"/>
        </w:rPr>
        <w:t xml:space="preserve">. </w:t>
      </w:r>
      <w:r w:rsidR="00CC58EB" w:rsidRPr="0090190C">
        <w:rPr>
          <w:szCs w:val="24"/>
        </w:rPr>
        <w:t xml:space="preserve">334.1, 334.12, </w:t>
      </w:r>
      <w:r w:rsidR="008944E0" w:rsidRPr="0090190C">
        <w:rPr>
          <w:szCs w:val="24"/>
        </w:rPr>
        <w:t>334.16.</w:t>
      </w:r>
    </w:p>
    <w:p w:rsidR="00CB711F" w:rsidRPr="0090190C" w:rsidRDefault="00CB711F" w:rsidP="00FC4EFB">
      <w:pPr>
        <w:pStyle w:val="SCCNormalDoubleSpacing"/>
        <w:spacing w:line="240" w:lineRule="auto"/>
        <w:ind w:left="540" w:hanging="540"/>
      </w:pPr>
    </w:p>
    <w:p w:rsidR="00657D93" w:rsidRPr="0090190C" w:rsidRDefault="00657D93" w:rsidP="00FC4EFB">
      <w:pPr>
        <w:pStyle w:val="SCCNormalDoubleSpacing"/>
        <w:spacing w:line="240" w:lineRule="auto"/>
        <w:ind w:left="540" w:hanging="540"/>
      </w:pPr>
      <w:r w:rsidRPr="0090190C">
        <w:rPr>
          <w:i/>
          <w:iCs/>
          <w:szCs w:val="24"/>
        </w:rPr>
        <w:t>National Defence Act</w:t>
      </w:r>
      <w:r w:rsidR="000C292F">
        <w:rPr>
          <w:szCs w:val="24"/>
        </w:rPr>
        <w:t xml:space="preserve">, R.S.C. 1985, c. </w:t>
      </w:r>
      <w:r w:rsidR="008944E0" w:rsidRPr="0090190C">
        <w:rPr>
          <w:szCs w:val="24"/>
        </w:rPr>
        <w:t>N</w:t>
      </w:r>
      <w:r w:rsidR="008944E0" w:rsidRPr="0090190C">
        <w:rPr>
          <w:szCs w:val="24"/>
        </w:rPr>
        <w:noBreakHyphen/>
      </w:r>
      <w:r w:rsidRPr="0090190C">
        <w:rPr>
          <w:szCs w:val="24"/>
        </w:rPr>
        <w:t>5, s.</w:t>
      </w:r>
      <w:r w:rsidR="000C292F">
        <w:rPr>
          <w:szCs w:val="24"/>
        </w:rPr>
        <w:t xml:space="preserve"> </w:t>
      </w:r>
      <w:r w:rsidRPr="0090190C">
        <w:rPr>
          <w:szCs w:val="24"/>
        </w:rPr>
        <w:t xml:space="preserve">39(1). </w:t>
      </w:r>
    </w:p>
    <w:p w:rsidR="00657D93" w:rsidRPr="0090190C" w:rsidRDefault="00657D93" w:rsidP="00FC4EFB">
      <w:pPr>
        <w:pStyle w:val="SCCNormalDoubleSpacing"/>
        <w:spacing w:line="240" w:lineRule="auto"/>
        <w:ind w:left="540" w:hanging="540"/>
      </w:pPr>
    </w:p>
    <w:p w:rsidR="00657D93" w:rsidRPr="0090190C" w:rsidRDefault="00657D93" w:rsidP="00D81EBC">
      <w:pPr>
        <w:pStyle w:val="SCCNormalDoubleSpacing"/>
        <w:spacing w:after="720" w:line="240" w:lineRule="auto"/>
        <w:ind w:left="547" w:hanging="547"/>
        <w:rPr>
          <w:szCs w:val="24"/>
        </w:rPr>
      </w:pPr>
      <w:r w:rsidRPr="0090190C">
        <w:rPr>
          <w:i/>
          <w:szCs w:val="24"/>
        </w:rPr>
        <w:t>Pension Act</w:t>
      </w:r>
      <w:r w:rsidR="000C292F">
        <w:rPr>
          <w:szCs w:val="24"/>
        </w:rPr>
        <w:t xml:space="preserve">, R.S.C. 1985, c. </w:t>
      </w:r>
      <w:r w:rsidR="008944E0" w:rsidRPr="0090190C">
        <w:rPr>
          <w:szCs w:val="24"/>
        </w:rPr>
        <w:t>P</w:t>
      </w:r>
      <w:r w:rsidR="008944E0" w:rsidRPr="0090190C">
        <w:rPr>
          <w:szCs w:val="24"/>
        </w:rPr>
        <w:noBreakHyphen/>
      </w:r>
      <w:r w:rsidRPr="0090190C">
        <w:rPr>
          <w:szCs w:val="24"/>
        </w:rPr>
        <w:t>6.</w:t>
      </w:r>
      <w:r w:rsidR="00B86C5A" w:rsidRPr="0090190C">
        <w:rPr>
          <w:szCs w:val="24"/>
        </w:rPr>
        <w:t xml:space="preserve"> </w:t>
      </w:r>
    </w:p>
    <w:p w:rsidR="002E6705" w:rsidRPr="0090190C" w:rsidRDefault="002E6705" w:rsidP="008944E0">
      <w:pPr>
        <w:pStyle w:val="SCCNormalDoubleSpacing"/>
        <w:keepNext/>
        <w:rPr>
          <w:b/>
        </w:rPr>
      </w:pPr>
      <w:r w:rsidRPr="0090190C">
        <w:rPr>
          <w:b/>
        </w:rPr>
        <w:lastRenderedPageBreak/>
        <w:t>Authors Cited</w:t>
      </w:r>
    </w:p>
    <w:p w:rsidR="008944E0" w:rsidRPr="00D81EBC" w:rsidRDefault="008944E0" w:rsidP="008944E0">
      <w:pPr>
        <w:pStyle w:val="SCCNormalDoubleSpacing"/>
        <w:keepNext/>
      </w:pPr>
    </w:p>
    <w:p w:rsidR="00A149DF" w:rsidRPr="0090190C" w:rsidRDefault="00364BF4" w:rsidP="008944E0">
      <w:pPr>
        <w:pStyle w:val="SCCNormalDoubleSpacing"/>
        <w:spacing w:after="720" w:line="240" w:lineRule="auto"/>
        <w:ind w:left="547" w:hanging="547"/>
      </w:pPr>
      <w:r w:rsidRPr="0090190C">
        <w:t xml:space="preserve">Canada.  </w:t>
      </w:r>
      <w:r w:rsidR="002D1998" w:rsidRPr="0090190C">
        <w:t>Department</w:t>
      </w:r>
      <w:r w:rsidR="000238A5" w:rsidRPr="0090190C">
        <w:t xml:space="preserve"> of National Defence and Canadian Forces.  Ombudsman.  </w:t>
      </w:r>
      <w:r w:rsidR="002D1998" w:rsidRPr="0090190C">
        <w:rPr>
          <w:i/>
        </w:rPr>
        <w:t xml:space="preserve">Unfair Deductions </w:t>
      </w:r>
      <w:proofErr w:type="gramStart"/>
      <w:r w:rsidR="007F5A48">
        <w:rPr>
          <w:i/>
        </w:rPr>
        <w:t>F</w:t>
      </w:r>
      <w:r w:rsidR="002D1998" w:rsidRPr="0090190C">
        <w:rPr>
          <w:i/>
        </w:rPr>
        <w:t>rom</w:t>
      </w:r>
      <w:proofErr w:type="gramEnd"/>
      <w:r w:rsidR="002D1998" w:rsidRPr="0090190C">
        <w:rPr>
          <w:i/>
        </w:rPr>
        <w:t xml:space="preserve"> SISIP Payments to Former</w:t>
      </w:r>
      <w:r w:rsidR="00DB3218" w:rsidRPr="0090190C">
        <w:rPr>
          <w:i/>
        </w:rPr>
        <w:t xml:space="preserve"> CF</w:t>
      </w:r>
      <w:r w:rsidR="002D1998" w:rsidRPr="0090190C">
        <w:rPr>
          <w:i/>
        </w:rPr>
        <w:t xml:space="preserve"> Members</w:t>
      </w:r>
      <w:r w:rsidR="002D1998" w:rsidRPr="0090190C">
        <w:t xml:space="preserve">.  Ottawa: </w:t>
      </w:r>
      <w:r w:rsidR="008944E0" w:rsidRPr="0090190C">
        <w:t xml:space="preserve"> </w:t>
      </w:r>
      <w:r w:rsidR="002D1998" w:rsidRPr="0090190C">
        <w:t>The Department, 2003</w:t>
      </w:r>
      <w:r w:rsidRPr="0090190C">
        <w:t xml:space="preserve"> (online: </w:t>
      </w:r>
      <w:r w:rsidR="00D81EBC">
        <w:t xml:space="preserve"> </w:t>
      </w:r>
      <w:r w:rsidR="007C4204" w:rsidRPr="0090190C">
        <w:t>www.ombudsman.forces.gc.ca/rep-rap/sr-rs/sis-rar/doc/sis-rar-eng.pdf).</w:t>
      </w:r>
    </w:p>
    <w:p w:rsidR="00656313" w:rsidRPr="0090190C" w:rsidRDefault="00F26258" w:rsidP="008944E0">
      <w:pPr>
        <w:pStyle w:val="SCCNormalDoubleSpacing"/>
        <w:tabs>
          <w:tab w:val="left" w:pos="1170"/>
        </w:tabs>
      </w:pPr>
      <w:r w:rsidRPr="0090190C">
        <w:tab/>
      </w:r>
      <w:r w:rsidR="009B57B3" w:rsidRPr="0090190C">
        <w:t>APPEAL from a judgment of the Federal Court of Appeal</w:t>
      </w:r>
      <w:r w:rsidRPr="0090190C">
        <w:t xml:space="preserve"> (Létourneau, Noël and Blais JJ.A.), 2009 FCA 29, </w:t>
      </w:r>
      <w:r w:rsidR="00AA6852" w:rsidRPr="0090190C">
        <w:t xml:space="preserve">[2009] 4 F.C.R. 478, </w:t>
      </w:r>
      <w:r w:rsidRPr="0090190C">
        <w:t>384 N.R. 313, 7</w:t>
      </w:r>
      <w:r w:rsidR="008944E0" w:rsidRPr="0090190C">
        <w:t>3 C.C.P.B. 1, [2009] F.C.J. No. </w:t>
      </w:r>
      <w:r w:rsidRPr="0090190C">
        <w:t xml:space="preserve">73 (QL), </w:t>
      </w:r>
      <w:r w:rsidR="008C41BD" w:rsidRPr="0090190C">
        <w:t>2009 CarswellNat 160</w:t>
      </w:r>
      <w:r w:rsidR="0083375C" w:rsidRPr="0090190C">
        <w:t xml:space="preserve">, </w:t>
      </w:r>
      <w:r w:rsidR="00E841AD" w:rsidRPr="0090190C">
        <w:t xml:space="preserve">setting aside a </w:t>
      </w:r>
      <w:r w:rsidR="006D36C5" w:rsidRPr="0090190C">
        <w:t>decision of Barnes J., 2008 FC 624, [2009] 1 F.C.R. 416, 329 F.T.R. 167,</w:t>
      </w:r>
      <w:r w:rsidR="00BD7B7C" w:rsidRPr="0090190C">
        <w:t xml:space="preserve"> 71 C.C.P.B. 112,</w:t>
      </w:r>
      <w:r w:rsidR="008944E0" w:rsidRPr="0090190C">
        <w:t xml:space="preserve"> [2008] F.C.J. No. </w:t>
      </w:r>
      <w:r w:rsidR="006D36C5" w:rsidRPr="0090190C">
        <w:t xml:space="preserve">787 (QL), </w:t>
      </w:r>
      <w:r w:rsidR="00721B4E" w:rsidRPr="0090190C">
        <w:t xml:space="preserve">2008 CarswellNat 1495.  Appeal </w:t>
      </w:r>
      <w:r w:rsidR="00B86C5A" w:rsidRPr="0090190C">
        <w:t>allowed</w:t>
      </w:r>
      <w:r w:rsidR="00721B4E" w:rsidRPr="0090190C">
        <w:t>.</w:t>
      </w:r>
    </w:p>
    <w:p w:rsidR="00656313" w:rsidRPr="0090190C" w:rsidRDefault="00656313" w:rsidP="008944E0">
      <w:pPr>
        <w:pStyle w:val="SCCNormalDoubleSpacing"/>
        <w:tabs>
          <w:tab w:val="left" w:pos="1170"/>
        </w:tabs>
      </w:pPr>
    </w:p>
    <w:p w:rsidR="002679A7" w:rsidRPr="0090190C" w:rsidRDefault="00F26258" w:rsidP="008944E0">
      <w:pPr>
        <w:pStyle w:val="SCCNormalDoubleSpacing"/>
        <w:tabs>
          <w:tab w:val="left" w:pos="1170"/>
        </w:tabs>
      </w:pPr>
      <w:r w:rsidRPr="0090190C">
        <w:rPr>
          <w:rStyle w:val="SCCCounselNameChar"/>
        </w:rPr>
        <w:tab/>
        <w:t>Peter</w:t>
      </w:r>
      <w:r w:rsidR="000C292F">
        <w:rPr>
          <w:rStyle w:val="SCCCounselNameChar"/>
        </w:rPr>
        <w:t xml:space="preserve"> </w:t>
      </w:r>
      <w:r w:rsidRPr="0090190C">
        <w:rPr>
          <w:rStyle w:val="SCCCounselNameChar"/>
        </w:rPr>
        <w:t>J. Driscoll</w:t>
      </w:r>
      <w:r w:rsidR="00042925" w:rsidRPr="0090190C">
        <w:rPr>
          <w:rStyle w:val="SCCCounselNameChar"/>
          <w:i w:val="0"/>
        </w:rPr>
        <w:t>,</w:t>
      </w:r>
      <w:r w:rsidR="00042925" w:rsidRPr="0090190C">
        <w:rPr>
          <w:rStyle w:val="SCCCounselNameChar"/>
        </w:rPr>
        <w:t xml:space="preserve"> Michael Sobkin</w:t>
      </w:r>
      <w:r w:rsidR="00042925" w:rsidRPr="0090190C">
        <w:rPr>
          <w:rStyle w:val="SCCCounselNameChar"/>
          <w:i w:val="0"/>
        </w:rPr>
        <w:t>,</w:t>
      </w:r>
      <w:r w:rsidR="00042925" w:rsidRPr="0090190C">
        <w:rPr>
          <w:rStyle w:val="SCCCounselNameChar"/>
        </w:rPr>
        <w:t xml:space="preserve"> Ward</w:t>
      </w:r>
      <w:r w:rsidR="000C292F">
        <w:rPr>
          <w:rStyle w:val="SCCCounselNameChar"/>
        </w:rPr>
        <w:t xml:space="preserve"> </w:t>
      </w:r>
      <w:r w:rsidR="00042925" w:rsidRPr="0090190C">
        <w:rPr>
          <w:rStyle w:val="SCCCounselNameChar"/>
        </w:rPr>
        <w:t>K. Branch</w:t>
      </w:r>
      <w:r w:rsidRPr="0090190C">
        <w:rPr>
          <w:rStyle w:val="SCCCounselSeparatorChar"/>
        </w:rPr>
        <w:t xml:space="preserve"> and </w:t>
      </w:r>
      <w:r w:rsidR="008944E0" w:rsidRPr="0090190C">
        <w:rPr>
          <w:rStyle w:val="SCCCounselNameChar"/>
        </w:rPr>
        <w:t>Daniel</w:t>
      </w:r>
      <w:r w:rsidR="000C292F">
        <w:rPr>
          <w:rStyle w:val="SCCCounselNameChar"/>
        </w:rPr>
        <w:t xml:space="preserve"> </w:t>
      </w:r>
      <w:r w:rsidRPr="0090190C">
        <w:rPr>
          <w:rStyle w:val="SCCCounselNameChar"/>
        </w:rPr>
        <w:t>F. Wallace</w:t>
      </w:r>
      <w:r w:rsidRPr="0090190C">
        <w:rPr>
          <w:rStyle w:val="SCCCounselPartyRoleChar"/>
        </w:rPr>
        <w:t>, for the appellant.</w:t>
      </w:r>
    </w:p>
    <w:p w:rsidR="002679A7" w:rsidRPr="0090190C" w:rsidRDefault="002679A7" w:rsidP="008944E0">
      <w:pPr>
        <w:pStyle w:val="SCCNormalDoubleSpacing"/>
        <w:tabs>
          <w:tab w:val="left" w:pos="1170"/>
        </w:tabs>
      </w:pPr>
    </w:p>
    <w:p w:rsidR="002679A7" w:rsidRPr="0090190C" w:rsidRDefault="00F26258" w:rsidP="008944E0">
      <w:pPr>
        <w:pStyle w:val="SCCNormalDoubleSpacing"/>
        <w:tabs>
          <w:tab w:val="left" w:pos="1170"/>
        </w:tabs>
      </w:pPr>
      <w:r w:rsidRPr="0090190C">
        <w:rPr>
          <w:rStyle w:val="SCCCounselNameChar"/>
        </w:rPr>
        <w:tab/>
        <w:t>Christopher M. Rupar</w:t>
      </w:r>
      <w:r w:rsidRPr="0090190C">
        <w:rPr>
          <w:rStyle w:val="SCCCounselSeparatorChar"/>
        </w:rPr>
        <w:t xml:space="preserve">, </w:t>
      </w:r>
      <w:r w:rsidRPr="0090190C">
        <w:rPr>
          <w:rStyle w:val="SCCCounselNameChar"/>
        </w:rPr>
        <w:t>Alain Préfontaine</w:t>
      </w:r>
      <w:r w:rsidRPr="0090190C">
        <w:rPr>
          <w:rStyle w:val="SCCCounselSeparatorChar"/>
        </w:rPr>
        <w:t xml:space="preserve"> and </w:t>
      </w:r>
      <w:r w:rsidRPr="0090190C">
        <w:rPr>
          <w:rStyle w:val="SCCCounselNameChar"/>
        </w:rPr>
        <w:t>Bernard Letarte</w:t>
      </w:r>
      <w:r w:rsidRPr="0090190C">
        <w:rPr>
          <w:rStyle w:val="SCCCounselPartyRoleChar"/>
        </w:rPr>
        <w:t>, for the respondent.</w:t>
      </w:r>
    </w:p>
    <w:p w:rsidR="005A01B2" w:rsidRDefault="005A01B2" w:rsidP="005A01B2"/>
    <w:p w:rsidR="005A01B2" w:rsidRPr="00795EE7" w:rsidRDefault="000C292F" w:rsidP="0003162D">
      <w:pPr>
        <w:pStyle w:val="ReasonsNumbering-AltN"/>
        <w:numPr>
          <w:ilvl w:val="0"/>
          <w:numId w:val="0"/>
        </w:numPr>
      </w:pPr>
      <w:r>
        <w:tab/>
        <w:t>The judgment of the Court was delivered by</w:t>
      </w:r>
    </w:p>
    <w:p w:rsidR="005A01B2" w:rsidRPr="00795EE7" w:rsidRDefault="00C87436" w:rsidP="000C292F">
      <w:pPr>
        <w:pStyle w:val="ReasonsNumbering-AltN"/>
      </w:pPr>
      <w:r w:rsidRPr="00795EE7">
        <w:rPr>
          <w:smallCaps/>
        </w:rPr>
        <w:t>Abella J.</w:t>
      </w:r>
      <w:r w:rsidRPr="00795EE7">
        <w:t xml:space="preserve"> — </w:t>
      </w:r>
      <w:proofErr w:type="gramStart"/>
      <w:r w:rsidR="005A01B2" w:rsidRPr="00795EE7">
        <w:t>For</w:t>
      </w:r>
      <w:proofErr w:type="gramEnd"/>
      <w:r w:rsidR="005A01B2" w:rsidRPr="00795EE7">
        <w:t xml:space="preserve"> 24 months following his involuntary, medically required release from the Canadian Forces, Dennis Manuge received both a disability pension and long-term disability benefits.  Pursuant to the terms of the relevant policies, the amount Mr. Manuge received for his disability pension was deducted </w:t>
      </w:r>
      <w:r w:rsidR="005A01B2" w:rsidRPr="00795EE7">
        <w:lastRenderedPageBreak/>
        <w:t xml:space="preserve">monthly from the amount he received for long-term disability.  Mr. Manuge brought proceedings in the Federal Court seeking constitutional remedies, damages, declarations and restitution in relation to these deductions.  His complaint is not with the deductions </w:t>
      </w:r>
      <w:r w:rsidR="005A01B2" w:rsidRPr="00795EE7">
        <w:rPr>
          <w:i/>
        </w:rPr>
        <w:t>per se</w:t>
      </w:r>
      <w:r w:rsidR="005A01B2" w:rsidRPr="00795EE7">
        <w:t xml:space="preserve">, but with the fact that they have not been universally applied to everyone who received Canadian Forces disability benefits.  </w:t>
      </w:r>
    </w:p>
    <w:p w:rsidR="005A01B2" w:rsidRPr="00795EE7" w:rsidRDefault="005A01B2" w:rsidP="000C292F">
      <w:pPr>
        <w:pStyle w:val="ReasonsNumbering-AltN"/>
        <w:rPr>
          <w:color w:val="000000"/>
          <w:szCs w:val="24"/>
        </w:rPr>
      </w:pPr>
      <w:r w:rsidRPr="00143C94">
        <w:rPr>
          <w:color w:val="000000"/>
        </w:rPr>
        <w:t>The</w:t>
      </w:r>
      <w:r w:rsidRPr="00795EE7">
        <w:rPr>
          <w:color w:val="000000"/>
          <w:szCs w:val="24"/>
        </w:rPr>
        <w:t xml:space="preserve"> question in </w:t>
      </w:r>
      <w:r w:rsidRPr="000C0A99">
        <w:t>this</w:t>
      </w:r>
      <w:r w:rsidRPr="00795EE7">
        <w:rPr>
          <w:color w:val="000000"/>
          <w:szCs w:val="24"/>
        </w:rPr>
        <w:t xml:space="preserve"> appeal is whether Mr. Manuge, before commencing the action, must </w:t>
      </w:r>
      <w:r w:rsidRPr="00795EE7">
        <w:rPr>
          <w:szCs w:val="24"/>
        </w:rPr>
        <w:t xml:space="preserve">first seek judicial review of the provision of the disability benefit plan that authorized the deductions.  Following </w:t>
      </w:r>
      <w:r w:rsidRPr="00795EE7">
        <w:rPr>
          <w:i/>
          <w:szCs w:val="24"/>
        </w:rPr>
        <w:t>Canada (Attorney General) v. TeleZone Inc.</w:t>
      </w:r>
      <w:r w:rsidRPr="00795EE7">
        <w:rPr>
          <w:szCs w:val="24"/>
        </w:rPr>
        <w:t xml:space="preserve">, 2010 SCC </w:t>
      </w:r>
      <w:r>
        <w:rPr>
          <w:szCs w:val="24"/>
        </w:rPr>
        <w:t>62</w:t>
      </w:r>
      <w:r w:rsidR="00D603AC">
        <w:rPr>
          <w:szCs w:val="24"/>
        </w:rPr>
        <w:t xml:space="preserve">, [2010] 3 S.C.R. </w:t>
      </w:r>
      <w:r w:rsidR="007F5A48">
        <w:rPr>
          <w:szCs w:val="24"/>
        </w:rPr>
        <w:t>585</w:t>
      </w:r>
      <w:r w:rsidRPr="00795EE7">
        <w:rPr>
          <w:szCs w:val="24"/>
        </w:rPr>
        <w:t>, heard with this appeal, it is clear that the Federal Court has jurisdiction to entertain the action.  However</w:t>
      </w:r>
      <w:r w:rsidR="007F5A48">
        <w:rPr>
          <w:szCs w:val="24"/>
        </w:rPr>
        <w:t>,</w:t>
      </w:r>
      <w:r w:rsidRPr="00795EE7">
        <w:rPr>
          <w:szCs w:val="24"/>
        </w:rPr>
        <w:t xml:space="preserve"> </w:t>
      </w:r>
      <w:proofErr w:type="spellStart"/>
      <w:r w:rsidRPr="00795EE7">
        <w:rPr>
          <w:i/>
          <w:color w:val="000000"/>
          <w:szCs w:val="24"/>
        </w:rPr>
        <w:t>TeleZone</w:t>
      </w:r>
      <w:proofErr w:type="spellEnd"/>
      <w:r w:rsidRPr="00795EE7">
        <w:rPr>
          <w:i/>
          <w:color w:val="000000"/>
          <w:szCs w:val="24"/>
        </w:rPr>
        <w:t xml:space="preserve"> </w:t>
      </w:r>
      <w:r w:rsidRPr="00795EE7">
        <w:rPr>
          <w:color w:val="000000"/>
          <w:szCs w:val="24"/>
        </w:rPr>
        <w:t>also</w:t>
      </w:r>
      <w:r w:rsidRPr="00795EE7">
        <w:rPr>
          <w:i/>
          <w:color w:val="000000"/>
          <w:szCs w:val="24"/>
        </w:rPr>
        <w:t xml:space="preserve"> </w:t>
      </w:r>
      <w:r w:rsidRPr="00795EE7">
        <w:rPr>
          <w:color w:val="000000"/>
          <w:szCs w:val="24"/>
        </w:rPr>
        <w:t xml:space="preserve">states </w:t>
      </w:r>
      <w:r w:rsidRPr="00795EE7">
        <w:rPr>
          <w:szCs w:val="24"/>
        </w:rPr>
        <w:t>that there is a residual discretion to stay an action that is essentially a veiled application for judicial review.  The Crown suggests that the claim</w:t>
      </w:r>
      <w:r w:rsidRPr="00795EE7">
        <w:rPr>
          <w:color w:val="000000"/>
          <w:szCs w:val="24"/>
        </w:rPr>
        <w:t xml:space="preserve"> in this case is such an application.  With respect, given what I see as the essential character of that claim, the discretion to grant a stay should not be exercised.</w:t>
      </w:r>
    </w:p>
    <w:p w:rsidR="005A01B2" w:rsidRPr="00795EE7" w:rsidRDefault="005A01B2" w:rsidP="005A01B2">
      <w:pPr>
        <w:tabs>
          <w:tab w:val="left" w:pos="1170"/>
        </w:tabs>
        <w:spacing w:after="480" w:line="480" w:lineRule="auto"/>
        <w:jc w:val="both"/>
        <w:rPr>
          <w:b/>
          <w:color w:val="000000"/>
          <w:szCs w:val="24"/>
        </w:rPr>
      </w:pPr>
      <w:r w:rsidRPr="00795EE7">
        <w:rPr>
          <w:b/>
          <w:color w:val="000000"/>
          <w:szCs w:val="24"/>
        </w:rPr>
        <w:t>Background</w:t>
      </w:r>
    </w:p>
    <w:p w:rsidR="005A01B2" w:rsidRPr="00795EE7" w:rsidRDefault="005A01B2" w:rsidP="000C292F">
      <w:pPr>
        <w:pStyle w:val="ReasonsNumbering-AltN"/>
      </w:pPr>
      <w:r w:rsidRPr="00795EE7">
        <w:rPr>
          <w:color w:val="000000"/>
          <w:szCs w:val="24"/>
        </w:rPr>
        <w:t>Dennis Manuge is a former member</w:t>
      </w:r>
      <w:r w:rsidRPr="00795EE7">
        <w:rPr>
          <w:b/>
          <w:color w:val="000000"/>
          <w:szCs w:val="24"/>
        </w:rPr>
        <w:t xml:space="preserve"> </w:t>
      </w:r>
      <w:r w:rsidRPr="00795EE7">
        <w:rPr>
          <w:color w:val="000000"/>
          <w:szCs w:val="24"/>
        </w:rPr>
        <w:t xml:space="preserve">of the Canadian Forces.  He served from </w:t>
      </w:r>
      <w:r w:rsidRPr="00795EE7">
        <w:rPr>
          <w:szCs w:val="24"/>
        </w:rPr>
        <w:t>1994 until 2003.  In 2002, he was injured to such an extent that he was unable to continue with his regul</w:t>
      </w:r>
      <w:r w:rsidRPr="00795EE7">
        <w:rPr>
          <w:color w:val="000000"/>
          <w:szCs w:val="24"/>
        </w:rPr>
        <w:t>ar duties.</w:t>
      </w:r>
      <w:r w:rsidRPr="00795EE7">
        <w:rPr>
          <w:b/>
          <w:color w:val="000000"/>
          <w:szCs w:val="24"/>
        </w:rPr>
        <w:t xml:space="preserve">  </w:t>
      </w:r>
      <w:r w:rsidRPr="00795EE7">
        <w:rPr>
          <w:color w:val="000000"/>
          <w:szCs w:val="24"/>
        </w:rPr>
        <w:t xml:space="preserve">Pursuant to the </w:t>
      </w:r>
      <w:r w:rsidRPr="00795EE7">
        <w:rPr>
          <w:i/>
          <w:color w:val="000000"/>
          <w:szCs w:val="24"/>
        </w:rPr>
        <w:t>P</w:t>
      </w:r>
      <w:r w:rsidRPr="00795EE7">
        <w:rPr>
          <w:i/>
          <w:szCs w:val="24"/>
        </w:rPr>
        <w:t>ension Act</w:t>
      </w:r>
      <w:r w:rsidRPr="00795EE7">
        <w:rPr>
          <w:szCs w:val="24"/>
        </w:rPr>
        <w:t>, R</w:t>
      </w:r>
      <w:r w:rsidRPr="00ED6FBE">
        <w:rPr>
          <w:szCs w:val="24"/>
        </w:rPr>
        <w:t>.S.C. 1985, c. P-6,</w:t>
      </w:r>
      <w:r w:rsidRPr="00795EE7">
        <w:rPr>
          <w:i/>
          <w:szCs w:val="24"/>
        </w:rPr>
        <w:t xml:space="preserve"> </w:t>
      </w:r>
      <w:r w:rsidRPr="00795EE7">
        <w:rPr>
          <w:szCs w:val="24"/>
        </w:rPr>
        <w:t xml:space="preserve">Mr. </w:t>
      </w:r>
      <w:r w:rsidRPr="000C0A99">
        <w:t>Manuge</w:t>
      </w:r>
      <w:r w:rsidRPr="00795EE7">
        <w:rPr>
          <w:szCs w:val="24"/>
        </w:rPr>
        <w:t xml:space="preserve"> was awarded a monthly disability pension known as a “VAC benefit” </w:t>
      </w:r>
      <w:r w:rsidR="00D603AC">
        <w:rPr>
          <w:szCs w:val="24"/>
        </w:rPr>
        <w:t>—</w:t>
      </w:r>
      <w:r w:rsidRPr="00795EE7">
        <w:rPr>
          <w:szCs w:val="24"/>
        </w:rPr>
        <w:t xml:space="preserve"> calculated in relation to his injury, not his pre-disability earnings</w:t>
      </w:r>
      <w:r w:rsidRPr="00795EE7">
        <w:rPr>
          <w:i/>
          <w:color w:val="000000"/>
          <w:szCs w:val="24"/>
        </w:rPr>
        <w:t xml:space="preserve"> </w:t>
      </w:r>
      <w:r w:rsidR="00D603AC" w:rsidRPr="00D603AC">
        <w:rPr>
          <w:color w:val="000000"/>
          <w:szCs w:val="24"/>
        </w:rPr>
        <w:t>—</w:t>
      </w:r>
      <w:r w:rsidRPr="00795EE7">
        <w:rPr>
          <w:i/>
          <w:color w:val="000000"/>
          <w:szCs w:val="24"/>
        </w:rPr>
        <w:t xml:space="preserve"> </w:t>
      </w:r>
      <w:r w:rsidRPr="00D61CC3">
        <w:rPr>
          <w:color w:val="000000"/>
          <w:szCs w:val="24"/>
        </w:rPr>
        <w:t>in the amou</w:t>
      </w:r>
      <w:r w:rsidRPr="00D61CC3">
        <w:rPr>
          <w:szCs w:val="24"/>
        </w:rPr>
        <w:t xml:space="preserve">nt of </w:t>
      </w:r>
      <w:r w:rsidRPr="00D61CC3">
        <w:rPr>
          <w:szCs w:val="24"/>
        </w:rPr>
        <w:lastRenderedPageBreak/>
        <w:t>$386.28.</w:t>
      </w:r>
      <w:r w:rsidRPr="00795EE7">
        <w:rPr>
          <w:szCs w:val="24"/>
        </w:rPr>
        <w:t xml:space="preserve">  He </w:t>
      </w:r>
      <w:r w:rsidRPr="00795EE7">
        <w:rPr>
          <w:color w:val="000000"/>
          <w:szCs w:val="24"/>
        </w:rPr>
        <w:t>was awa</w:t>
      </w:r>
      <w:r w:rsidRPr="00795EE7">
        <w:rPr>
          <w:szCs w:val="24"/>
        </w:rPr>
        <w:t>rded this benefit in addition to his monthly Canadian Forces salary of $3,942.  Mr. Manuge tried to continue his work</w:t>
      </w:r>
      <w:r w:rsidRPr="00795EE7">
        <w:rPr>
          <w:color w:val="000000"/>
          <w:szCs w:val="24"/>
        </w:rPr>
        <w:t>,</w:t>
      </w:r>
      <w:r w:rsidRPr="00795EE7">
        <w:rPr>
          <w:szCs w:val="24"/>
        </w:rPr>
        <w:t xml:space="preserve"> but in December 2003 was g</w:t>
      </w:r>
      <w:r w:rsidRPr="00795EE7">
        <w:rPr>
          <w:color w:val="000000"/>
          <w:szCs w:val="24"/>
        </w:rPr>
        <w:t>iven an involuntary, medically requir</w:t>
      </w:r>
      <w:r w:rsidRPr="00795EE7">
        <w:rPr>
          <w:szCs w:val="24"/>
        </w:rPr>
        <w:t>ed release</w:t>
      </w:r>
      <w:r w:rsidRPr="00795EE7">
        <w:rPr>
          <w:color w:val="000000"/>
          <w:szCs w:val="24"/>
        </w:rPr>
        <w:t>.</w:t>
      </w:r>
      <w:r w:rsidRPr="00795EE7">
        <w:rPr>
          <w:szCs w:val="24"/>
        </w:rPr>
        <w:t xml:space="preserve"> </w:t>
      </w:r>
      <w:r w:rsidRPr="00795EE7">
        <w:rPr>
          <w:color w:val="000000"/>
          <w:szCs w:val="24"/>
        </w:rPr>
        <w:t xml:space="preserve"> For 24 months following his release, Mr. Manuge received benefits under both the </w:t>
      </w:r>
      <w:r w:rsidRPr="00895A55">
        <w:rPr>
          <w:i/>
          <w:color w:val="000000"/>
          <w:szCs w:val="24"/>
        </w:rPr>
        <w:t>Pension Act</w:t>
      </w:r>
      <w:r>
        <w:rPr>
          <w:color w:val="000000"/>
          <w:szCs w:val="24"/>
        </w:rPr>
        <w:t xml:space="preserve"> </w:t>
      </w:r>
      <w:r w:rsidRPr="00795EE7">
        <w:rPr>
          <w:color w:val="000000"/>
          <w:szCs w:val="24"/>
        </w:rPr>
        <w:t xml:space="preserve">and the Canadian Forces’ Service Income Security Insurance Plan Long Term Disability Plan (“SISIP LTD Plan”).  Under s. 24(a)(iv) of the SISIP LTD Plan, however, each of the 24 monthly LTD benefit payments he received was reduced, from an amount equal to 75 percent of his pre-release monthly income, by the amount of the </w:t>
      </w:r>
      <w:r w:rsidRPr="00795EE7">
        <w:rPr>
          <w:i/>
          <w:color w:val="000000"/>
          <w:szCs w:val="24"/>
        </w:rPr>
        <w:t xml:space="preserve">Pension Act </w:t>
      </w:r>
      <w:r w:rsidRPr="00795EE7">
        <w:rPr>
          <w:color w:val="000000"/>
          <w:szCs w:val="24"/>
        </w:rPr>
        <w:t xml:space="preserve">benefit he also received.  </w:t>
      </w:r>
    </w:p>
    <w:p w:rsidR="005A01B2" w:rsidRPr="00795EE7" w:rsidRDefault="005A01B2" w:rsidP="000C292F">
      <w:pPr>
        <w:pStyle w:val="ReasonsNumbering-AltN"/>
      </w:pPr>
      <w:r w:rsidRPr="00795EE7">
        <w:rPr>
          <w:szCs w:val="24"/>
        </w:rPr>
        <w:t xml:space="preserve">The SISIP LTD Plan was issued in 1969, as part of a document entitled SISIP Policy 901102, </w:t>
      </w:r>
      <w:r w:rsidRPr="000C0A99">
        <w:t>pursuant</w:t>
      </w:r>
      <w:r w:rsidRPr="00795EE7">
        <w:rPr>
          <w:szCs w:val="24"/>
        </w:rPr>
        <w:t xml:space="preserve"> to s. 39(1) of the </w:t>
      </w:r>
      <w:r w:rsidRPr="00795EE7">
        <w:rPr>
          <w:i/>
          <w:iCs/>
          <w:szCs w:val="24"/>
        </w:rPr>
        <w:t>National Defence Act</w:t>
      </w:r>
      <w:r w:rsidRPr="00795EE7">
        <w:rPr>
          <w:szCs w:val="24"/>
        </w:rPr>
        <w:t xml:space="preserve">, R.S.C. 1985, c. N-5. Section 39(1) grants the Chief of </w:t>
      </w:r>
      <w:r w:rsidR="00E91082">
        <w:rPr>
          <w:szCs w:val="24"/>
        </w:rPr>
        <w:t xml:space="preserve">the </w:t>
      </w:r>
      <w:r w:rsidRPr="00795EE7">
        <w:rPr>
          <w:szCs w:val="24"/>
        </w:rPr>
        <w:t>Defence Staff discretion to dispose of “[n]on-public property acquired by contribution” for the benefit of members of the Canadian Forces or their dependants.</w:t>
      </w:r>
      <w:r w:rsidRPr="00795EE7">
        <w:rPr>
          <w:b/>
          <w:szCs w:val="24"/>
        </w:rPr>
        <w:t xml:space="preserve">  </w:t>
      </w:r>
    </w:p>
    <w:p w:rsidR="005A01B2" w:rsidRPr="00795EE7" w:rsidRDefault="005A01B2" w:rsidP="000C292F">
      <w:pPr>
        <w:pStyle w:val="ReasonsNumbering-AltN"/>
      </w:pPr>
      <w:r w:rsidRPr="00795EE7">
        <w:rPr>
          <w:szCs w:val="24"/>
        </w:rPr>
        <w:t xml:space="preserve">In 1976, Part III(B) of the SISIP Policy was amended to include s. 24(a)(iv), which reduces monthly benefits payable under the SISIP LTD Plan by the value of any monthly benefits received under the </w:t>
      </w:r>
      <w:r w:rsidRPr="00795EE7">
        <w:rPr>
          <w:i/>
          <w:iCs/>
          <w:szCs w:val="24"/>
        </w:rPr>
        <w:t>Pension Act</w:t>
      </w:r>
      <w:r w:rsidRPr="00795EE7">
        <w:rPr>
          <w:szCs w:val="24"/>
        </w:rPr>
        <w:t xml:space="preserve"> (like the VAC benefit that Mr. Manuge received):  </w:t>
      </w:r>
    </w:p>
    <w:p w:rsidR="005A01B2" w:rsidRPr="00C81C99" w:rsidRDefault="005A01B2" w:rsidP="00C81C99">
      <w:pPr>
        <w:pStyle w:val="Citation-AltC"/>
        <w:tabs>
          <w:tab w:val="left" w:pos="1710"/>
        </w:tabs>
        <w:spacing w:after="240"/>
        <w:rPr>
          <w:u w:val="single"/>
        </w:rPr>
      </w:pPr>
      <w:r w:rsidRPr="00C81C99">
        <w:rPr>
          <w:u w:val="single"/>
        </w:rPr>
        <w:t>24.</w:t>
      </w:r>
      <w:r w:rsidR="00C81C99">
        <w:rPr>
          <w:u w:val="single"/>
        </w:rPr>
        <w:tab/>
      </w:r>
      <w:r w:rsidRPr="00C81C99">
        <w:rPr>
          <w:u w:val="single"/>
        </w:rPr>
        <w:t>Other Relevant Sources of Income</w:t>
      </w:r>
    </w:p>
    <w:p w:rsidR="005A01B2" w:rsidRPr="00C81C99" w:rsidRDefault="005A01B2" w:rsidP="00C81C99">
      <w:pPr>
        <w:pStyle w:val="Citation-AltC"/>
        <w:tabs>
          <w:tab w:val="left" w:pos="1710"/>
        </w:tabs>
        <w:spacing w:after="240"/>
      </w:pPr>
    </w:p>
    <w:p w:rsidR="005A01B2" w:rsidRPr="00795EE7" w:rsidRDefault="005A01B2" w:rsidP="00C81C99">
      <w:pPr>
        <w:pStyle w:val="Citation-AltC"/>
        <w:tabs>
          <w:tab w:val="left" w:pos="1710"/>
        </w:tabs>
        <w:spacing w:after="240"/>
      </w:pPr>
      <w:r w:rsidRPr="00795EE7">
        <w:t>a.</w:t>
      </w:r>
      <w:r w:rsidR="00C81C99">
        <w:tab/>
      </w:r>
      <w:r w:rsidRPr="00795EE7">
        <w:t>The monthly benefit payable at Section 23 shall be reduced by the sum of:</w:t>
      </w:r>
    </w:p>
    <w:p w:rsidR="005A01B2" w:rsidRPr="00795EE7" w:rsidRDefault="005A01B2" w:rsidP="00C81C99">
      <w:pPr>
        <w:pStyle w:val="Citation-AltC"/>
        <w:tabs>
          <w:tab w:val="left" w:pos="1710"/>
        </w:tabs>
        <w:spacing w:after="240"/>
      </w:pPr>
    </w:p>
    <w:p w:rsidR="005A01B2" w:rsidRPr="00795EE7" w:rsidRDefault="005A01B2" w:rsidP="00C81C99">
      <w:pPr>
        <w:pStyle w:val="Citation-AltC"/>
        <w:tabs>
          <w:tab w:val="left" w:pos="1710"/>
        </w:tabs>
        <w:spacing w:after="240"/>
        <w:jc w:val="center"/>
      </w:pPr>
      <w:r w:rsidRPr="00C81C99">
        <w:t>. . .</w:t>
      </w:r>
    </w:p>
    <w:p w:rsidR="005A01B2" w:rsidRPr="00795EE7" w:rsidRDefault="005A01B2" w:rsidP="00C81C99">
      <w:pPr>
        <w:pStyle w:val="Citation-AltC"/>
        <w:tabs>
          <w:tab w:val="left" w:pos="1710"/>
        </w:tabs>
        <w:spacing w:after="240"/>
      </w:pPr>
    </w:p>
    <w:p w:rsidR="005A01B2" w:rsidRDefault="00D603AC" w:rsidP="005C2B68">
      <w:pPr>
        <w:pStyle w:val="Citation-AltC"/>
        <w:tabs>
          <w:tab w:val="left" w:pos="1800"/>
          <w:tab w:val="left" w:pos="2520"/>
        </w:tabs>
        <w:spacing w:after="240"/>
        <w:ind w:left="2520" w:hanging="1350"/>
        <w:rPr>
          <w:szCs w:val="24"/>
        </w:rPr>
      </w:pPr>
      <w:r>
        <w:rPr>
          <w:szCs w:val="24"/>
        </w:rPr>
        <w:tab/>
      </w:r>
      <w:r w:rsidR="005A01B2" w:rsidRPr="00795EE7">
        <w:rPr>
          <w:szCs w:val="24"/>
        </w:rPr>
        <w:t>(iv)</w:t>
      </w:r>
      <w:r w:rsidR="00C81C99">
        <w:rPr>
          <w:szCs w:val="24"/>
        </w:rPr>
        <w:tab/>
      </w:r>
      <w:r w:rsidR="005A01B2" w:rsidRPr="00795EE7">
        <w:rPr>
          <w:szCs w:val="24"/>
        </w:rPr>
        <w:t xml:space="preserve">the </w:t>
      </w:r>
      <w:r w:rsidR="005A01B2" w:rsidRPr="00C81C99">
        <w:t>total</w:t>
      </w:r>
      <w:r w:rsidR="005A01B2" w:rsidRPr="00795EE7">
        <w:rPr>
          <w:szCs w:val="24"/>
        </w:rPr>
        <w:t xml:space="preserve"> monthly income benefits </w:t>
      </w:r>
      <w:r>
        <w:rPr>
          <w:szCs w:val="24"/>
        </w:rPr>
        <w:t xml:space="preserve">payable to the member under the </w:t>
      </w:r>
      <w:r w:rsidR="005A01B2" w:rsidRPr="00795EE7">
        <w:rPr>
          <w:iCs/>
          <w:szCs w:val="24"/>
        </w:rPr>
        <w:t>Pension Act</w:t>
      </w:r>
      <w:r w:rsidR="00652144">
        <w:rPr>
          <w:iCs/>
          <w:szCs w:val="24"/>
        </w:rPr>
        <w:t xml:space="preserve"> </w:t>
      </w:r>
      <w:r w:rsidR="005A01B2" w:rsidRPr="00795EE7">
        <w:rPr>
          <w:szCs w:val="24"/>
        </w:rPr>
        <w:t>. . . .</w:t>
      </w:r>
    </w:p>
    <w:p w:rsidR="00652144" w:rsidRPr="00795EE7" w:rsidRDefault="00652144" w:rsidP="00652144">
      <w:pPr>
        <w:pStyle w:val="Citation-AltC"/>
        <w:tabs>
          <w:tab w:val="left" w:pos="1800"/>
          <w:tab w:val="left" w:pos="2520"/>
        </w:tabs>
        <w:spacing w:after="240"/>
        <w:ind w:left="1800" w:hanging="630"/>
      </w:pPr>
    </w:p>
    <w:p w:rsidR="005A01B2" w:rsidRPr="00795EE7" w:rsidRDefault="005A01B2" w:rsidP="000C292F">
      <w:pPr>
        <w:pStyle w:val="ReasonsNumbering-AltN"/>
      </w:pPr>
      <w:r w:rsidRPr="00795EE7">
        <w:rPr>
          <w:szCs w:val="24"/>
        </w:rPr>
        <w:t xml:space="preserve">In 2000, the </w:t>
      </w:r>
      <w:r w:rsidRPr="00795EE7">
        <w:rPr>
          <w:i/>
          <w:iCs/>
          <w:szCs w:val="24"/>
        </w:rPr>
        <w:t>Act to amend</w:t>
      </w:r>
      <w:r w:rsidR="00F874F8">
        <w:rPr>
          <w:i/>
          <w:iCs/>
          <w:szCs w:val="24"/>
        </w:rPr>
        <w:t xml:space="preserve"> the </w:t>
      </w:r>
      <w:r w:rsidRPr="00795EE7">
        <w:rPr>
          <w:i/>
          <w:iCs/>
          <w:szCs w:val="24"/>
        </w:rPr>
        <w:t>statute law in relation to veterans’ benefits</w:t>
      </w:r>
      <w:r w:rsidRPr="00795EE7">
        <w:rPr>
          <w:szCs w:val="24"/>
        </w:rPr>
        <w:t>, S.C. 2000, c. 34, came into force.  This Act allows members who have suffered a disability during service, but who</w:t>
      </w:r>
      <w:r w:rsidRPr="00795EE7">
        <w:rPr>
          <w:b/>
          <w:szCs w:val="24"/>
        </w:rPr>
        <w:t xml:space="preserve"> </w:t>
      </w:r>
      <w:r w:rsidRPr="00795EE7">
        <w:rPr>
          <w:szCs w:val="24"/>
        </w:rPr>
        <w:t xml:space="preserve">can still work, to collect a </w:t>
      </w:r>
      <w:r w:rsidRPr="00795EE7">
        <w:rPr>
          <w:i/>
          <w:iCs/>
          <w:szCs w:val="24"/>
        </w:rPr>
        <w:t xml:space="preserve">Pension Act </w:t>
      </w:r>
      <w:r w:rsidRPr="00795EE7">
        <w:rPr>
          <w:szCs w:val="24"/>
        </w:rPr>
        <w:t xml:space="preserve">disability benefit while also receiving their salaries.  Mr. Manuge </w:t>
      </w:r>
      <w:r w:rsidRPr="00795EE7">
        <w:rPr>
          <w:color w:val="000000"/>
          <w:szCs w:val="24"/>
        </w:rPr>
        <w:t xml:space="preserve">claims </w:t>
      </w:r>
      <w:r w:rsidRPr="00795EE7">
        <w:rPr>
          <w:szCs w:val="24"/>
        </w:rPr>
        <w:t xml:space="preserve">that because s. 24(a)(iv) reduces </w:t>
      </w:r>
      <w:r w:rsidRPr="00795EE7">
        <w:rPr>
          <w:color w:val="000000"/>
          <w:szCs w:val="24"/>
        </w:rPr>
        <w:t xml:space="preserve">only those payments made pursuant to the </w:t>
      </w:r>
      <w:r w:rsidRPr="00795EE7">
        <w:rPr>
          <w:szCs w:val="24"/>
        </w:rPr>
        <w:t xml:space="preserve">SISIP LTD </w:t>
      </w:r>
      <w:r w:rsidRPr="00795EE7">
        <w:rPr>
          <w:color w:val="000000"/>
          <w:szCs w:val="24"/>
        </w:rPr>
        <w:t>Plan</w:t>
      </w:r>
      <w:r w:rsidRPr="00795EE7">
        <w:rPr>
          <w:szCs w:val="24"/>
        </w:rPr>
        <w:t xml:space="preserve">, those members who were able to continue their service </w:t>
      </w:r>
      <w:r w:rsidR="00652144">
        <w:rPr>
          <w:szCs w:val="24"/>
        </w:rPr>
        <w:t>—</w:t>
      </w:r>
      <w:r w:rsidRPr="00795EE7">
        <w:rPr>
          <w:szCs w:val="24"/>
        </w:rPr>
        <w:t xml:space="preserve"> and thus were no</w:t>
      </w:r>
      <w:r w:rsidR="00652144">
        <w:rPr>
          <w:szCs w:val="24"/>
        </w:rPr>
        <w:t>t receiving SISIP LTD benefits —</w:t>
      </w:r>
      <w:r w:rsidRPr="00795EE7">
        <w:rPr>
          <w:szCs w:val="24"/>
        </w:rPr>
        <w:t xml:space="preserve"> did not have their primary source of income reduced by the value of the </w:t>
      </w:r>
      <w:r w:rsidRPr="00795EE7">
        <w:rPr>
          <w:i/>
          <w:iCs/>
          <w:szCs w:val="24"/>
        </w:rPr>
        <w:t>Pension Act</w:t>
      </w:r>
      <w:r w:rsidRPr="00795EE7">
        <w:rPr>
          <w:szCs w:val="24"/>
        </w:rPr>
        <w:t xml:space="preserve"> benefits they also received.  </w:t>
      </w:r>
    </w:p>
    <w:p w:rsidR="005A01B2" w:rsidRPr="00795EE7" w:rsidRDefault="005A01B2" w:rsidP="000C292F">
      <w:pPr>
        <w:pStyle w:val="ReasonsNumbering-AltN"/>
      </w:pPr>
      <w:r w:rsidRPr="00795EE7">
        <w:rPr>
          <w:szCs w:val="24"/>
        </w:rPr>
        <w:t xml:space="preserve"> </w:t>
      </w:r>
      <w:r w:rsidRPr="00795EE7">
        <w:rPr>
          <w:color w:val="000000"/>
          <w:szCs w:val="24"/>
        </w:rPr>
        <w:t>T</w:t>
      </w:r>
      <w:r w:rsidRPr="00795EE7">
        <w:rPr>
          <w:szCs w:val="24"/>
        </w:rPr>
        <w:t xml:space="preserve">he </w:t>
      </w:r>
      <w:r w:rsidRPr="00795EE7">
        <w:rPr>
          <w:i/>
          <w:iCs/>
          <w:szCs w:val="24"/>
        </w:rPr>
        <w:t>Canadian Forces Members and Veterans Re-establishment and Compensation Act</w:t>
      </w:r>
      <w:r w:rsidRPr="00795EE7">
        <w:rPr>
          <w:szCs w:val="24"/>
        </w:rPr>
        <w:t xml:space="preserve">, S.C. 2005, c. 21 (the “New Veterans Charter”), came into force on April 1, 2006.  That Act replaced monthly benefits under the </w:t>
      </w:r>
      <w:r w:rsidRPr="00795EE7">
        <w:rPr>
          <w:i/>
          <w:iCs/>
          <w:szCs w:val="24"/>
        </w:rPr>
        <w:t xml:space="preserve">Pension Act </w:t>
      </w:r>
      <w:r w:rsidRPr="00795EE7">
        <w:rPr>
          <w:szCs w:val="24"/>
        </w:rPr>
        <w:t xml:space="preserve">with a one-time, lump </w:t>
      </w:r>
      <w:r w:rsidRPr="000C0A99">
        <w:t>sum</w:t>
      </w:r>
      <w:r w:rsidRPr="00795EE7">
        <w:rPr>
          <w:szCs w:val="24"/>
        </w:rPr>
        <w:t xml:space="preserve"> payment.  The lump sum payment is not a “monthly benefit” within the meaning of s. 24(a)(iv) of the SISIP LTD Plan, and is therefore not deducted from SISIP LTD benefits.  The effect of the enactment of the New Veterans Charter is that members injured on or after April 1, 2006, and entitled to both a SISIP LTD benefit and a lump sum payment</w:t>
      </w:r>
      <w:r w:rsidRPr="00795EE7">
        <w:rPr>
          <w:color w:val="000000"/>
          <w:szCs w:val="24"/>
        </w:rPr>
        <w:t>,</w:t>
      </w:r>
      <w:r w:rsidRPr="00795EE7">
        <w:rPr>
          <w:szCs w:val="24"/>
        </w:rPr>
        <w:t xml:space="preserve"> are not subject to a reduction of their SISIP LTD benefits.  </w:t>
      </w:r>
      <w:r w:rsidRPr="00795EE7">
        <w:rPr>
          <w:color w:val="000000"/>
          <w:szCs w:val="24"/>
        </w:rPr>
        <w:t>T</w:t>
      </w:r>
      <w:r w:rsidRPr="00795EE7">
        <w:rPr>
          <w:szCs w:val="24"/>
        </w:rPr>
        <w:t>hose, like Mr. Manuge, who were subject to a reduction before the enactment of the New Veterans Charter</w:t>
      </w:r>
      <w:r w:rsidRPr="00795EE7">
        <w:rPr>
          <w:color w:val="000000"/>
          <w:szCs w:val="24"/>
        </w:rPr>
        <w:t xml:space="preserve">, are not entitled to compensation for amounts previously </w:t>
      </w:r>
      <w:r w:rsidRPr="00795EE7">
        <w:rPr>
          <w:color w:val="000000"/>
          <w:szCs w:val="24"/>
        </w:rPr>
        <w:lastRenderedPageBreak/>
        <w:t>deducted</w:t>
      </w:r>
      <w:r w:rsidRPr="00795EE7">
        <w:rPr>
          <w:szCs w:val="24"/>
        </w:rPr>
        <w:t xml:space="preserve">.  Nor </w:t>
      </w:r>
      <w:r w:rsidRPr="00795EE7">
        <w:rPr>
          <w:color w:val="000000"/>
          <w:szCs w:val="24"/>
        </w:rPr>
        <w:t>are</w:t>
      </w:r>
      <w:r w:rsidRPr="00795EE7">
        <w:rPr>
          <w:szCs w:val="24"/>
        </w:rPr>
        <w:t xml:space="preserve"> those injured before April 1, 2006 entitled to a lump sum payment</w:t>
      </w:r>
      <w:r w:rsidRPr="00795EE7">
        <w:rPr>
          <w:color w:val="000000"/>
          <w:szCs w:val="24"/>
        </w:rPr>
        <w:t>.</w:t>
      </w:r>
      <w:r w:rsidRPr="00795EE7">
        <w:rPr>
          <w:szCs w:val="24"/>
        </w:rPr>
        <w:t xml:space="preserve"> </w:t>
      </w:r>
      <w:r w:rsidRPr="00795EE7">
        <w:rPr>
          <w:color w:val="000000"/>
          <w:szCs w:val="24"/>
        </w:rPr>
        <w:t xml:space="preserve"> Instead, they </w:t>
      </w:r>
      <w:r w:rsidRPr="00795EE7">
        <w:rPr>
          <w:szCs w:val="24"/>
        </w:rPr>
        <w:t xml:space="preserve">continue to receive monthly </w:t>
      </w:r>
      <w:r w:rsidRPr="00795EE7">
        <w:rPr>
          <w:i/>
          <w:iCs/>
          <w:szCs w:val="24"/>
        </w:rPr>
        <w:t>Pension Act</w:t>
      </w:r>
      <w:r w:rsidRPr="00795EE7">
        <w:rPr>
          <w:szCs w:val="24"/>
        </w:rPr>
        <w:t xml:space="preserve"> benefits which, pursuant to s. 24(a)(iv), result in a reduction of their SISIP LTD benefits.  </w:t>
      </w:r>
    </w:p>
    <w:p w:rsidR="005A01B2" w:rsidRPr="00795EE7" w:rsidRDefault="005A01B2" w:rsidP="000C292F">
      <w:pPr>
        <w:pStyle w:val="ReasonsNumbering-AltN"/>
      </w:pPr>
      <w:r w:rsidRPr="00795EE7">
        <w:rPr>
          <w:szCs w:val="24"/>
        </w:rPr>
        <w:t xml:space="preserve">On March 15, 2007, Mr. Manuge filed a statement of claim with the Federal Court, challenging the reduction to his SISIP LTD benefits on a variety of grounds and seeking constitutional remedies, damages, restitution and declarations.  He later applied to the Federal Court for the certification of his action as a class action pursuant to rule 334.16 of the </w:t>
      </w:r>
      <w:r w:rsidRPr="00795EE7">
        <w:rPr>
          <w:i/>
          <w:iCs/>
          <w:szCs w:val="24"/>
        </w:rPr>
        <w:t>Federal Courts Rules</w:t>
      </w:r>
      <w:r w:rsidRPr="00795EE7">
        <w:rPr>
          <w:szCs w:val="24"/>
        </w:rPr>
        <w:t xml:space="preserve">, SOR/98-106.  He purports to represent approximately 4000 other former Canadian Forces members similarly affected by s. 24(a)(iv). </w:t>
      </w:r>
    </w:p>
    <w:p w:rsidR="005A01B2" w:rsidRPr="00795EE7" w:rsidRDefault="005A01B2" w:rsidP="000C292F">
      <w:pPr>
        <w:pStyle w:val="ReasonsNumbering-AltN"/>
      </w:pPr>
      <w:r w:rsidRPr="00795EE7">
        <w:rPr>
          <w:szCs w:val="24"/>
        </w:rPr>
        <w:t>In his statement of claim,</w:t>
      </w:r>
      <w:r w:rsidRPr="00795EE7">
        <w:rPr>
          <w:b/>
          <w:szCs w:val="24"/>
        </w:rPr>
        <w:t xml:space="preserve"> </w:t>
      </w:r>
      <w:r w:rsidRPr="00795EE7">
        <w:rPr>
          <w:szCs w:val="24"/>
        </w:rPr>
        <w:t xml:space="preserve">Mr. Manuge alleges that </w:t>
      </w:r>
    </w:p>
    <w:p w:rsidR="005A01B2" w:rsidRDefault="000C0A99" w:rsidP="00AE2AE2">
      <w:pPr>
        <w:pStyle w:val="Citation-AltC"/>
        <w:tabs>
          <w:tab w:val="left" w:pos="1170"/>
        </w:tabs>
        <w:spacing w:after="240" w:line="480" w:lineRule="auto"/>
        <w:ind w:left="1170" w:hanging="1170"/>
      </w:pPr>
      <w:r>
        <w:t>(</w:t>
      </w:r>
      <w:proofErr w:type="spellStart"/>
      <w:r>
        <w:t>i</w:t>
      </w:r>
      <w:proofErr w:type="spellEnd"/>
      <w:r>
        <w:t>)</w:t>
      </w:r>
      <w:r>
        <w:tab/>
      </w:r>
      <w:r w:rsidR="00F874F8">
        <w:t>s</w:t>
      </w:r>
      <w:r w:rsidR="005A01B2" w:rsidRPr="00795EE7">
        <w:t xml:space="preserve">ection 24(a)(iv) is unlawful, </w:t>
      </w:r>
      <w:r w:rsidR="005A01B2" w:rsidRPr="00795EE7">
        <w:rPr>
          <w:i/>
          <w:iCs/>
        </w:rPr>
        <w:t>ultra vires</w:t>
      </w:r>
      <w:r w:rsidR="005A01B2" w:rsidRPr="00795EE7">
        <w:t xml:space="preserve"> and contrary to the </w:t>
      </w:r>
      <w:r w:rsidR="005A01B2" w:rsidRPr="00795EE7">
        <w:rPr>
          <w:i/>
          <w:iCs/>
        </w:rPr>
        <w:t>Pension Act</w:t>
      </w:r>
      <w:r w:rsidR="005A01B2" w:rsidRPr="00795EE7">
        <w:t>;</w:t>
      </w:r>
    </w:p>
    <w:p w:rsidR="000C0A99" w:rsidRPr="00795EE7" w:rsidRDefault="000C0A99" w:rsidP="00CB0891">
      <w:pPr>
        <w:pStyle w:val="Citation-AltC"/>
        <w:tabs>
          <w:tab w:val="left" w:pos="1800"/>
        </w:tabs>
        <w:spacing w:after="240" w:line="480" w:lineRule="auto"/>
        <w:ind w:left="1800" w:hanging="634"/>
      </w:pPr>
    </w:p>
    <w:p w:rsidR="005A01B2" w:rsidRPr="00795EE7" w:rsidRDefault="000C0A99" w:rsidP="00AE2AE2">
      <w:pPr>
        <w:pStyle w:val="Citation-AltC"/>
        <w:tabs>
          <w:tab w:val="left" w:pos="1170"/>
        </w:tabs>
        <w:spacing w:after="240" w:line="480" w:lineRule="auto"/>
        <w:ind w:left="1170" w:hanging="1170"/>
      </w:pPr>
      <w:r>
        <w:rPr>
          <w:szCs w:val="24"/>
        </w:rPr>
        <w:t>(ii)</w:t>
      </w:r>
      <w:r>
        <w:rPr>
          <w:szCs w:val="24"/>
        </w:rPr>
        <w:tab/>
      </w:r>
      <w:r w:rsidR="00F874F8">
        <w:rPr>
          <w:szCs w:val="24"/>
        </w:rPr>
        <w:t>t</w:t>
      </w:r>
      <w:r w:rsidR="005A01B2" w:rsidRPr="00795EE7">
        <w:rPr>
          <w:szCs w:val="24"/>
        </w:rPr>
        <w:t xml:space="preserve">he </w:t>
      </w:r>
      <w:r w:rsidR="005A01B2" w:rsidRPr="000C0A99">
        <w:t>Crown</w:t>
      </w:r>
      <w:r w:rsidR="005A01B2" w:rsidRPr="00795EE7">
        <w:rPr>
          <w:szCs w:val="24"/>
        </w:rPr>
        <w:t xml:space="preserve"> has breached the public law obligations owed to Mr. Manuge and the class under the </w:t>
      </w:r>
      <w:r w:rsidR="005A01B2" w:rsidRPr="00795EE7">
        <w:rPr>
          <w:i/>
          <w:iCs/>
          <w:szCs w:val="24"/>
        </w:rPr>
        <w:t>Pension Act</w:t>
      </w:r>
      <w:r w:rsidR="005A01B2" w:rsidRPr="00795EE7">
        <w:rPr>
          <w:szCs w:val="24"/>
        </w:rPr>
        <w:t>;</w:t>
      </w:r>
    </w:p>
    <w:p w:rsidR="005A01B2" w:rsidRPr="00795EE7" w:rsidRDefault="005A01B2" w:rsidP="00CB0891">
      <w:pPr>
        <w:pStyle w:val="Citation-AltC"/>
        <w:tabs>
          <w:tab w:val="left" w:pos="1800"/>
        </w:tabs>
        <w:spacing w:after="240" w:line="480" w:lineRule="auto"/>
        <w:ind w:left="1800" w:hanging="634"/>
      </w:pPr>
    </w:p>
    <w:p w:rsidR="005A01B2" w:rsidRPr="00795EE7" w:rsidRDefault="000C0A99" w:rsidP="00AE2AE2">
      <w:pPr>
        <w:pStyle w:val="Citation-AltC"/>
        <w:tabs>
          <w:tab w:val="left" w:pos="1170"/>
        </w:tabs>
        <w:spacing w:after="240" w:line="480" w:lineRule="auto"/>
        <w:ind w:left="1170" w:hanging="1170"/>
      </w:pPr>
      <w:r w:rsidRPr="00AE2AE2">
        <w:t>(iii)</w:t>
      </w:r>
      <w:r w:rsidRPr="00AE2AE2">
        <w:tab/>
      </w:r>
      <w:r w:rsidR="00F874F8">
        <w:t>s</w:t>
      </w:r>
      <w:r w:rsidR="005A01B2" w:rsidRPr="000C0A99">
        <w:t>ection</w:t>
      </w:r>
      <w:r w:rsidR="005A01B2" w:rsidRPr="00AE2AE2">
        <w:t xml:space="preserve"> 24(a)(iv) infringes s. 15(1) of the Canadian Charter of</w:t>
      </w:r>
      <w:r w:rsidR="005A01B2" w:rsidRPr="00795EE7">
        <w:rPr>
          <w:i/>
          <w:szCs w:val="24"/>
        </w:rPr>
        <w:t xml:space="preserve"> Rights and Freedoms</w:t>
      </w:r>
      <w:r w:rsidR="005A01B2" w:rsidRPr="00795EE7">
        <w:rPr>
          <w:szCs w:val="24"/>
        </w:rPr>
        <w:t xml:space="preserve"> and is not saved by s. 1; </w:t>
      </w:r>
    </w:p>
    <w:p w:rsidR="005A01B2" w:rsidRPr="00795EE7" w:rsidRDefault="005A01B2" w:rsidP="00CB0891">
      <w:pPr>
        <w:pStyle w:val="Citation-AltC"/>
        <w:tabs>
          <w:tab w:val="left" w:pos="1800"/>
        </w:tabs>
        <w:spacing w:after="240" w:line="480" w:lineRule="auto"/>
        <w:ind w:left="1800" w:hanging="634"/>
      </w:pPr>
    </w:p>
    <w:p w:rsidR="005A01B2" w:rsidRPr="00795EE7" w:rsidRDefault="000C0A99" w:rsidP="00AE2AE2">
      <w:pPr>
        <w:pStyle w:val="Citation-AltC"/>
        <w:tabs>
          <w:tab w:val="left" w:pos="1170"/>
        </w:tabs>
        <w:spacing w:after="240" w:line="480" w:lineRule="auto"/>
        <w:ind w:left="1170" w:hanging="1170"/>
      </w:pPr>
      <w:r>
        <w:rPr>
          <w:szCs w:val="24"/>
        </w:rPr>
        <w:t>(iv)</w:t>
      </w:r>
      <w:r>
        <w:rPr>
          <w:szCs w:val="24"/>
        </w:rPr>
        <w:tab/>
      </w:r>
      <w:r w:rsidR="00F874F8">
        <w:rPr>
          <w:szCs w:val="24"/>
        </w:rPr>
        <w:t>t</w:t>
      </w:r>
      <w:r w:rsidR="005A01B2" w:rsidRPr="00795EE7">
        <w:rPr>
          <w:szCs w:val="24"/>
        </w:rPr>
        <w:t xml:space="preserve">he </w:t>
      </w:r>
      <w:r w:rsidR="005A01B2" w:rsidRPr="000C0A99">
        <w:t>Crown</w:t>
      </w:r>
      <w:r w:rsidR="005A01B2" w:rsidRPr="00795EE7">
        <w:rPr>
          <w:szCs w:val="24"/>
        </w:rPr>
        <w:t xml:space="preserve"> has been unjustly enriched;</w:t>
      </w:r>
    </w:p>
    <w:p w:rsidR="005A01B2" w:rsidRPr="00795EE7" w:rsidRDefault="005A01B2" w:rsidP="00CB0891">
      <w:pPr>
        <w:pStyle w:val="Citation-AltC"/>
        <w:tabs>
          <w:tab w:val="left" w:pos="1800"/>
        </w:tabs>
        <w:spacing w:after="240" w:line="480" w:lineRule="auto"/>
        <w:ind w:left="1800" w:hanging="634"/>
      </w:pPr>
    </w:p>
    <w:p w:rsidR="005A01B2" w:rsidRPr="00795EE7" w:rsidRDefault="000C0A99" w:rsidP="00AE2AE2">
      <w:pPr>
        <w:pStyle w:val="Citation-AltC"/>
        <w:tabs>
          <w:tab w:val="left" w:pos="1170"/>
        </w:tabs>
        <w:spacing w:after="240" w:line="480" w:lineRule="auto"/>
        <w:ind w:left="1170" w:hanging="1170"/>
      </w:pPr>
      <w:r>
        <w:rPr>
          <w:szCs w:val="24"/>
        </w:rPr>
        <w:t>(v)</w:t>
      </w:r>
      <w:r>
        <w:rPr>
          <w:szCs w:val="24"/>
        </w:rPr>
        <w:tab/>
      </w:r>
      <w:r w:rsidR="00F874F8">
        <w:rPr>
          <w:szCs w:val="24"/>
        </w:rPr>
        <w:t>t</w:t>
      </w:r>
      <w:r w:rsidR="005A01B2" w:rsidRPr="00795EE7">
        <w:rPr>
          <w:szCs w:val="24"/>
        </w:rPr>
        <w:t>he Crown is a fiduciary and has breached the fiduciary duties owed to Mr. Manuge and the class; and that</w:t>
      </w:r>
    </w:p>
    <w:p w:rsidR="005A01B2" w:rsidRPr="00795EE7" w:rsidRDefault="005A01B2" w:rsidP="00CB0891">
      <w:pPr>
        <w:pStyle w:val="Citation-AltC"/>
        <w:tabs>
          <w:tab w:val="left" w:pos="1800"/>
        </w:tabs>
        <w:spacing w:after="240" w:line="480" w:lineRule="auto"/>
        <w:ind w:left="1800" w:hanging="634"/>
      </w:pPr>
    </w:p>
    <w:p w:rsidR="005A01B2" w:rsidRPr="00795EE7" w:rsidRDefault="000C0A99" w:rsidP="00AE2AE2">
      <w:pPr>
        <w:pStyle w:val="Citation-AltC"/>
        <w:tabs>
          <w:tab w:val="left" w:pos="1170"/>
        </w:tabs>
        <w:spacing w:after="480" w:line="480" w:lineRule="auto"/>
        <w:ind w:hanging="1166"/>
        <w:contextualSpacing w:val="0"/>
      </w:pPr>
      <w:r>
        <w:rPr>
          <w:szCs w:val="24"/>
        </w:rPr>
        <w:t>(vi)</w:t>
      </w:r>
      <w:r>
        <w:rPr>
          <w:szCs w:val="24"/>
        </w:rPr>
        <w:tab/>
      </w:r>
      <w:r w:rsidR="005A01B2" w:rsidRPr="00795EE7">
        <w:rPr>
          <w:szCs w:val="24"/>
        </w:rPr>
        <w:t>The Crown has acted in bad faith.</w:t>
      </w:r>
    </w:p>
    <w:p w:rsidR="005A01B2" w:rsidRPr="00795EE7" w:rsidRDefault="005A01B2" w:rsidP="000C292F">
      <w:pPr>
        <w:pStyle w:val="ReasonsNumbering-AltN"/>
      </w:pPr>
      <w:r w:rsidRPr="00795EE7">
        <w:rPr>
          <w:szCs w:val="24"/>
        </w:rPr>
        <w:t xml:space="preserve">Mr. Manuge seeks declaratory relief and, pursuant to s. 24 of the </w:t>
      </w:r>
      <w:r w:rsidRPr="00795EE7">
        <w:rPr>
          <w:i/>
          <w:szCs w:val="24"/>
        </w:rPr>
        <w:t>Charter</w:t>
      </w:r>
      <w:r w:rsidRPr="00795EE7">
        <w:rPr>
          <w:szCs w:val="24"/>
        </w:rPr>
        <w:t xml:space="preserve">, damages equal to the amount “unlawfully and wrongfully deducted” pursuant to s. 24(a)(iv) from the SISIP LTD benefits paid to the class.  In the alternative, he seeks damages in that amount.  In the further alternative, he seeks an order for restitution.  Finally, Mr. Manuge claims “liability and general damages” for discrimination, breach of fiduciary duties and bad faith, and seeks punitive, exemplary and aggravated damages, interest, and costs of the action.  </w:t>
      </w:r>
    </w:p>
    <w:p w:rsidR="005A01B2" w:rsidRPr="00795EE7" w:rsidRDefault="005A01B2" w:rsidP="000C292F">
      <w:pPr>
        <w:pStyle w:val="ReasonsNumbering-AltN"/>
        <w:rPr>
          <w:color w:val="000000"/>
        </w:rPr>
      </w:pPr>
      <w:r w:rsidRPr="00795EE7">
        <w:rPr>
          <w:color w:val="000000"/>
          <w:szCs w:val="24"/>
        </w:rPr>
        <w:t xml:space="preserve">Mr. Manuge relies on various government documents to support his contention that the scheme as a whole operates unfairly and that the amendments to the SISIP LTD Plan were made in bad faith.  Among those documents is a special report prepared by the Ombudsman for the Department of National Defence and Canadian Forces in October 2003 entitled </w:t>
      </w:r>
      <w:r w:rsidRPr="00795EE7">
        <w:rPr>
          <w:i/>
          <w:color w:val="000000"/>
          <w:szCs w:val="24"/>
        </w:rPr>
        <w:t xml:space="preserve">Unfair Deductions </w:t>
      </w:r>
      <w:r w:rsidR="00F874F8">
        <w:rPr>
          <w:i/>
          <w:color w:val="000000"/>
          <w:szCs w:val="24"/>
        </w:rPr>
        <w:t>F</w:t>
      </w:r>
      <w:r w:rsidRPr="00795EE7">
        <w:rPr>
          <w:i/>
          <w:color w:val="000000"/>
          <w:szCs w:val="24"/>
        </w:rPr>
        <w:t xml:space="preserve">rom SISIP Payments to Former </w:t>
      </w:r>
      <w:r>
        <w:rPr>
          <w:i/>
          <w:color w:val="000000"/>
          <w:szCs w:val="24"/>
        </w:rPr>
        <w:t xml:space="preserve">CF </w:t>
      </w:r>
      <w:r w:rsidRPr="00795EE7">
        <w:rPr>
          <w:i/>
          <w:color w:val="000000"/>
          <w:szCs w:val="24"/>
        </w:rPr>
        <w:t>Members</w:t>
      </w:r>
      <w:r w:rsidRPr="00795EE7">
        <w:rPr>
          <w:color w:val="000000"/>
          <w:szCs w:val="24"/>
        </w:rPr>
        <w:t>.  In that report, the Ombudsman highlighted the disparate treatment experienced by serving Canadian Forces members and those released for medical reasons as follows:</w:t>
      </w:r>
    </w:p>
    <w:p w:rsidR="005A01B2" w:rsidRPr="00795EE7" w:rsidRDefault="005A01B2" w:rsidP="005A01B2">
      <w:pPr>
        <w:pStyle w:val="Citation"/>
        <w:ind w:left="720"/>
        <w:rPr>
          <w:color w:val="000000"/>
        </w:rPr>
      </w:pPr>
      <w:r w:rsidRPr="00795EE7">
        <w:rPr>
          <w:color w:val="000000"/>
          <w:szCs w:val="24"/>
        </w:rPr>
        <w:lastRenderedPageBreak/>
        <w:t xml:space="preserve">Serving CF members receiving disability pensions through VAC under the </w:t>
      </w:r>
      <w:r w:rsidRPr="00795EE7">
        <w:rPr>
          <w:i/>
          <w:iCs/>
          <w:color w:val="000000"/>
          <w:szCs w:val="24"/>
        </w:rPr>
        <w:t>Pension Act</w:t>
      </w:r>
      <w:r w:rsidRPr="00795EE7">
        <w:rPr>
          <w:color w:val="000000"/>
          <w:szCs w:val="24"/>
        </w:rPr>
        <w:t xml:space="preserve"> do not have their income reduced because of the pension they receive to compensate them for their disability. It simply does not seem fair that injured and ill members who are released from the CF for medical reasons should have their disability insurance benefit paid, which is intended to replace their income as CF members, reduced because of the same pension benefits. [p. 14]</w:t>
      </w:r>
    </w:p>
    <w:p w:rsidR="005A01B2" w:rsidRPr="00795EE7" w:rsidRDefault="005A01B2" w:rsidP="000C0A99">
      <w:pPr>
        <w:pStyle w:val="SCCNormalDoubleSpacing"/>
        <w:spacing w:after="480"/>
      </w:pPr>
      <w:r w:rsidRPr="00795EE7">
        <w:t xml:space="preserve">The Ombudsman sent follow-up letters to the Minister of National Defence in 2005 and 2007, stating that the deduction of benefits under the </w:t>
      </w:r>
      <w:r w:rsidRPr="00795EE7">
        <w:rPr>
          <w:i/>
        </w:rPr>
        <w:t xml:space="preserve">Pension Act </w:t>
      </w:r>
      <w:r w:rsidRPr="00795EE7">
        <w:t>from SISIP LTD Plan benefits was unfair to former members like Mr. Manuge.</w:t>
      </w:r>
    </w:p>
    <w:p w:rsidR="005A01B2" w:rsidRPr="00795EE7" w:rsidRDefault="005A01B2" w:rsidP="000C292F">
      <w:pPr>
        <w:pStyle w:val="ReasonsNumbering-AltN"/>
      </w:pPr>
      <w:r w:rsidRPr="00795EE7">
        <w:rPr>
          <w:szCs w:val="24"/>
        </w:rPr>
        <w:t xml:space="preserve">The Crown opposed certification of Mr. Manuge’s claim as a class action.  Relying on </w:t>
      </w:r>
      <w:r w:rsidRPr="00795EE7">
        <w:rPr>
          <w:i/>
          <w:iCs/>
          <w:szCs w:val="24"/>
        </w:rPr>
        <w:t xml:space="preserve">Canada v. </w:t>
      </w:r>
      <w:r w:rsidRPr="00A7309B">
        <w:rPr>
          <w:i/>
        </w:rPr>
        <w:t>Grenier</w:t>
      </w:r>
      <w:r w:rsidRPr="00795EE7">
        <w:rPr>
          <w:szCs w:val="24"/>
        </w:rPr>
        <w:t>, 2005 FCA 348, [200</w:t>
      </w:r>
      <w:r>
        <w:rPr>
          <w:szCs w:val="24"/>
        </w:rPr>
        <w:t>6</w:t>
      </w:r>
      <w:r w:rsidRPr="00795EE7">
        <w:rPr>
          <w:szCs w:val="24"/>
        </w:rPr>
        <w:t xml:space="preserve">] 2 F.C.R. 287,  the Crown argued that an action was not the appropriate procedure for attacking the validity or lawfulness of a federal administrative decision, which can only be done by way of an application for judicial review.  In the Crown’s view, in establishing and modifying the SISIP LTD Plan, the Chief of </w:t>
      </w:r>
      <w:r w:rsidR="00F874F8">
        <w:rPr>
          <w:szCs w:val="24"/>
        </w:rPr>
        <w:t xml:space="preserve">the </w:t>
      </w:r>
      <w:r w:rsidRPr="00795EE7">
        <w:rPr>
          <w:szCs w:val="24"/>
        </w:rPr>
        <w:t xml:space="preserve">Defence Staff was acting as a “federal board, commission or other tribunal” within the meaning of s. 2 of the </w:t>
      </w:r>
      <w:r w:rsidRPr="00795EE7">
        <w:rPr>
          <w:i/>
          <w:iCs/>
          <w:szCs w:val="24"/>
        </w:rPr>
        <w:t>Federal Courts Act</w:t>
      </w:r>
      <w:r w:rsidRPr="00795EE7">
        <w:rPr>
          <w:iCs/>
          <w:color w:val="000000"/>
          <w:szCs w:val="24"/>
        </w:rPr>
        <w:t xml:space="preserve">, </w:t>
      </w:r>
      <w:r w:rsidRPr="00795EE7">
        <w:rPr>
          <w:color w:val="000000"/>
          <w:szCs w:val="24"/>
        </w:rPr>
        <w:t>R.S.C. 1985, c. F-7</w:t>
      </w:r>
      <w:r w:rsidRPr="00795EE7">
        <w:rPr>
          <w:szCs w:val="24"/>
        </w:rPr>
        <w:t xml:space="preserve">.  The Crown took the position that each of the claims pleaded in the statement of claim would have to be determined based on the validity of the decision to include </w:t>
      </w:r>
      <w:r w:rsidRPr="00795EE7">
        <w:rPr>
          <w:i/>
          <w:iCs/>
          <w:szCs w:val="24"/>
        </w:rPr>
        <w:t>Pension Act</w:t>
      </w:r>
      <w:r w:rsidRPr="00795EE7">
        <w:rPr>
          <w:szCs w:val="24"/>
        </w:rPr>
        <w:t xml:space="preserve"> benefits in the list of SISIP LTD </w:t>
      </w:r>
      <w:r w:rsidRPr="00795EE7">
        <w:rPr>
          <w:color w:val="000000"/>
          <w:szCs w:val="24"/>
        </w:rPr>
        <w:t xml:space="preserve">Plan </w:t>
      </w:r>
      <w:r w:rsidRPr="00795EE7">
        <w:rPr>
          <w:szCs w:val="24"/>
        </w:rPr>
        <w:t xml:space="preserve">deductions in s. 24(a)(iv).   </w:t>
      </w:r>
    </w:p>
    <w:p w:rsidR="005A01B2" w:rsidRPr="00795EE7" w:rsidRDefault="005A01B2" w:rsidP="000C292F">
      <w:pPr>
        <w:pStyle w:val="ReasonsNumbering-AltN"/>
      </w:pPr>
      <w:r w:rsidRPr="00795EE7">
        <w:rPr>
          <w:color w:val="000000"/>
          <w:szCs w:val="24"/>
        </w:rPr>
        <w:t xml:space="preserve">On </w:t>
      </w:r>
      <w:r w:rsidRPr="00795EE7">
        <w:rPr>
          <w:color w:val="000000"/>
        </w:rPr>
        <w:t xml:space="preserve">Mr. Manuge’s motion for certification in the </w:t>
      </w:r>
      <w:r w:rsidRPr="00795EE7">
        <w:rPr>
          <w:szCs w:val="24"/>
        </w:rPr>
        <w:t xml:space="preserve">Federal Court, Barnes J. noted that the decision to include s. 24(a)(iv) in the SISIP LTD Plan was made years </w:t>
      </w:r>
      <w:r w:rsidRPr="00795EE7">
        <w:rPr>
          <w:szCs w:val="24"/>
        </w:rPr>
        <w:lastRenderedPageBreak/>
        <w:t xml:space="preserve">ago by the Chief of </w:t>
      </w:r>
      <w:r w:rsidR="00F874F8">
        <w:rPr>
          <w:szCs w:val="24"/>
        </w:rPr>
        <w:t xml:space="preserve">the </w:t>
      </w:r>
      <w:r w:rsidRPr="00795EE7">
        <w:rPr>
          <w:szCs w:val="24"/>
        </w:rPr>
        <w:t xml:space="preserve">Defence Staff, and that what Mr. Manuge was challenging was the lawfulness of the </w:t>
      </w:r>
      <w:r w:rsidRPr="00795EE7">
        <w:rPr>
          <w:iCs/>
          <w:szCs w:val="24"/>
        </w:rPr>
        <w:t>policy</w:t>
      </w:r>
      <w:r w:rsidRPr="00795EE7">
        <w:rPr>
          <w:szCs w:val="24"/>
        </w:rPr>
        <w:t xml:space="preserve"> as reflected in s. 24(a)(iv) and the corresponding action to reduce his monthly income under the Plan (2008 FC 624, [2009]</w:t>
      </w:r>
      <w:r w:rsidR="00652144">
        <w:rPr>
          <w:szCs w:val="24"/>
        </w:rPr>
        <w:t xml:space="preserve"> 1</w:t>
      </w:r>
      <w:r w:rsidRPr="00795EE7">
        <w:rPr>
          <w:szCs w:val="24"/>
        </w:rPr>
        <w:t xml:space="preserve"> F.C.R. 416).  Barnes J. accepted that</w:t>
      </w:r>
      <w:r w:rsidR="00652144">
        <w:rPr>
          <w:szCs w:val="24"/>
        </w:rPr>
        <w:t>,</w:t>
      </w:r>
      <w:r w:rsidRPr="00795EE7">
        <w:rPr>
          <w:szCs w:val="24"/>
        </w:rPr>
        <w:t xml:space="preserve"> “on its face”</w:t>
      </w:r>
      <w:r w:rsidR="00063F6C">
        <w:rPr>
          <w:szCs w:val="24"/>
        </w:rPr>
        <w:t xml:space="preserve"> (</w:t>
      </w:r>
      <w:proofErr w:type="spellStart"/>
      <w:r w:rsidR="00063F6C">
        <w:rPr>
          <w:szCs w:val="24"/>
        </w:rPr>
        <w:t>para</w:t>
      </w:r>
      <w:proofErr w:type="spellEnd"/>
      <w:r w:rsidR="00063F6C">
        <w:rPr>
          <w:szCs w:val="24"/>
        </w:rPr>
        <w:t>. 15)</w:t>
      </w:r>
      <w:r w:rsidRPr="00795EE7">
        <w:rPr>
          <w:szCs w:val="24"/>
        </w:rPr>
        <w:t xml:space="preserve">, Mr. Manuge’s claim falls within s. 18(3) of the </w:t>
      </w:r>
      <w:r w:rsidRPr="00795EE7">
        <w:rPr>
          <w:i/>
          <w:szCs w:val="24"/>
        </w:rPr>
        <w:t>Federal Courts Act</w:t>
      </w:r>
      <w:r w:rsidRPr="00795EE7">
        <w:rPr>
          <w:szCs w:val="24"/>
        </w:rPr>
        <w:t xml:space="preserve">, and that “each and every occasion that Mr. Manuge and the other proposed class members are subject to the offset of VAC benefits from their SISIP income, they have a fresh claim to relief and a corresponding right to judicially attack the lawfulness of the policy giving rise to the reduction in benefits” (para. 18).  However, he found that this case is unlike </w:t>
      </w:r>
      <w:r w:rsidRPr="00795EE7">
        <w:rPr>
          <w:i/>
          <w:szCs w:val="24"/>
        </w:rPr>
        <w:t>Grenier</w:t>
      </w:r>
      <w:r w:rsidRPr="00795EE7">
        <w:rPr>
          <w:szCs w:val="24"/>
        </w:rPr>
        <w:t xml:space="preserve"> for two reasons: the decision at issue is not discrete in a temporal sense; and the action cannot be seen as a true collateral attack aimed at avoiding the short time bar on judicial review (paras. 15 and 18).  As such, he concluded that the concerns about collateral attack, finality, and deference to the administrative decision maker animating </w:t>
      </w:r>
      <w:r w:rsidRPr="00795EE7">
        <w:rPr>
          <w:i/>
          <w:szCs w:val="24"/>
        </w:rPr>
        <w:t>Grenier</w:t>
      </w:r>
      <w:r w:rsidRPr="00795EE7">
        <w:rPr>
          <w:szCs w:val="24"/>
        </w:rPr>
        <w:t xml:space="preserve"> did not “obviously apply” in this case (para. 21).  </w:t>
      </w:r>
    </w:p>
    <w:p w:rsidR="005A01B2" w:rsidRPr="00795EE7" w:rsidRDefault="005A01B2" w:rsidP="000C292F">
      <w:pPr>
        <w:pStyle w:val="ReasonsNumbering-AltN"/>
      </w:pPr>
      <w:r w:rsidRPr="00795EE7">
        <w:rPr>
          <w:szCs w:val="24"/>
        </w:rPr>
        <w:t xml:space="preserve">He went on to hold that “the strictness of the </w:t>
      </w:r>
      <w:r w:rsidRPr="00652144">
        <w:rPr>
          <w:i/>
          <w:szCs w:val="24"/>
        </w:rPr>
        <w:t>ratio</w:t>
      </w:r>
      <w:r w:rsidRPr="00795EE7">
        <w:rPr>
          <w:szCs w:val="24"/>
        </w:rPr>
        <w:t xml:space="preserve"> in </w:t>
      </w:r>
      <w:r w:rsidRPr="00795EE7">
        <w:rPr>
          <w:i/>
          <w:iCs/>
          <w:szCs w:val="24"/>
        </w:rPr>
        <w:t xml:space="preserve">Grenier </w:t>
      </w:r>
      <w:r w:rsidRPr="00795EE7">
        <w:rPr>
          <w:szCs w:val="24"/>
        </w:rPr>
        <w:t xml:space="preserve">can be mitigated in appropriate cases by the authority to convert an application for judicial review into an action” pursuant to s. 18.4(2) of the </w:t>
      </w:r>
      <w:r w:rsidRPr="00795EE7">
        <w:rPr>
          <w:i/>
          <w:szCs w:val="24"/>
        </w:rPr>
        <w:t>Federal Courts Act</w:t>
      </w:r>
      <w:r w:rsidRPr="00795EE7">
        <w:rPr>
          <w:szCs w:val="24"/>
        </w:rPr>
        <w:t xml:space="preserve"> (para. 21).  He concluded, applying the test in </w:t>
      </w:r>
      <w:r w:rsidRPr="00795EE7">
        <w:rPr>
          <w:i/>
          <w:szCs w:val="24"/>
        </w:rPr>
        <w:t>Hunt v. Carey Canada Inc.</w:t>
      </w:r>
      <w:r w:rsidRPr="00795EE7">
        <w:rPr>
          <w:szCs w:val="24"/>
        </w:rPr>
        <w:t xml:space="preserve">, [1990] 2 S.C.R. 959, that the pleadings disclosed a reasonable cause of action, and certified the action as a class action. </w:t>
      </w:r>
    </w:p>
    <w:p w:rsidR="005A01B2" w:rsidRPr="00795EE7" w:rsidRDefault="005A01B2" w:rsidP="000C292F">
      <w:pPr>
        <w:pStyle w:val="ReasonsNumbering-AltN"/>
      </w:pPr>
      <w:r w:rsidRPr="00795EE7">
        <w:rPr>
          <w:szCs w:val="24"/>
        </w:rPr>
        <w:lastRenderedPageBreak/>
        <w:t xml:space="preserve">The Federal Court of Appeal, applying </w:t>
      </w:r>
      <w:r w:rsidRPr="00795EE7">
        <w:rPr>
          <w:i/>
          <w:szCs w:val="24"/>
        </w:rPr>
        <w:t>Grenier</w:t>
      </w:r>
      <w:r w:rsidRPr="00795EE7">
        <w:rPr>
          <w:szCs w:val="24"/>
        </w:rPr>
        <w:t>, allowed the Crown’s appeal</w:t>
      </w:r>
      <w:r w:rsidRPr="00795EE7">
        <w:rPr>
          <w:i/>
          <w:color w:val="000000"/>
          <w:szCs w:val="24"/>
        </w:rPr>
        <w:t>.</w:t>
      </w:r>
      <w:r w:rsidRPr="00795EE7">
        <w:rPr>
          <w:color w:val="000000"/>
          <w:szCs w:val="24"/>
        </w:rPr>
        <w:t xml:space="preserve">  It concluded that </w:t>
      </w:r>
      <w:r w:rsidRPr="00795EE7">
        <w:rPr>
          <w:szCs w:val="24"/>
        </w:rPr>
        <w:t xml:space="preserve">the lawfulness of a decision or administrative activity like s. 24(a)(iv) of the SISIP LTD Plan could only be challenged </w:t>
      </w:r>
      <w:r w:rsidRPr="00795EE7">
        <w:rPr>
          <w:color w:val="000000"/>
          <w:szCs w:val="24"/>
        </w:rPr>
        <w:t xml:space="preserve">in </w:t>
      </w:r>
      <w:r w:rsidRPr="00795EE7">
        <w:rPr>
          <w:szCs w:val="24"/>
        </w:rPr>
        <w:t>judicial review</w:t>
      </w:r>
      <w:r w:rsidRPr="00795EE7">
        <w:rPr>
          <w:color w:val="000000"/>
          <w:szCs w:val="24"/>
        </w:rPr>
        <w:t xml:space="preserve"> proceedings</w:t>
      </w:r>
      <w:r w:rsidRPr="00795EE7">
        <w:rPr>
          <w:szCs w:val="24"/>
        </w:rPr>
        <w:t xml:space="preserve"> (2009 FCA 29, [2009] 4 F.C.R. 478).  </w:t>
      </w:r>
      <w:r w:rsidRPr="00795EE7">
        <w:rPr>
          <w:color w:val="000000"/>
          <w:szCs w:val="24"/>
        </w:rPr>
        <w:t>In such proceedings,</w:t>
      </w:r>
      <w:r w:rsidRPr="00795EE7">
        <w:rPr>
          <w:szCs w:val="24"/>
        </w:rPr>
        <w:t xml:space="preserve"> the monthly decision to reduce the benefits could be declared invalid or unlawful.  Liability stemming from an unlawful decision </w:t>
      </w:r>
      <w:r w:rsidRPr="00795EE7">
        <w:rPr>
          <w:color w:val="000000"/>
          <w:szCs w:val="24"/>
        </w:rPr>
        <w:t>could</w:t>
      </w:r>
      <w:r w:rsidRPr="00795EE7">
        <w:rPr>
          <w:szCs w:val="24"/>
        </w:rPr>
        <w:t xml:space="preserve"> be assessed separately in a legal action for </w:t>
      </w:r>
      <w:r w:rsidRPr="000C0A99">
        <w:t>damages</w:t>
      </w:r>
      <w:r w:rsidRPr="00795EE7">
        <w:rPr>
          <w:szCs w:val="24"/>
        </w:rPr>
        <w:t xml:space="preserve">.   The court further held that Barnes J. could not notionally use s. 18.4(2) of the </w:t>
      </w:r>
      <w:r w:rsidRPr="00795EE7">
        <w:rPr>
          <w:i/>
          <w:szCs w:val="24"/>
        </w:rPr>
        <w:t xml:space="preserve">Federal Courts Act </w:t>
      </w:r>
      <w:r w:rsidRPr="00795EE7">
        <w:rPr>
          <w:szCs w:val="24"/>
        </w:rPr>
        <w:t xml:space="preserve">to convert the proceedings into an action.  </w:t>
      </w:r>
    </w:p>
    <w:p w:rsidR="005A01B2" w:rsidRPr="00795EE7" w:rsidRDefault="005A01B2" w:rsidP="000C292F">
      <w:pPr>
        <w:pStyle w:val="ReasonsNumbering-AltN"/>
      </w:pPr>
      <w:r w:rsidRPr="00795EE7">
        <w:rPr>
          <w:szCs w:val="24"/>
        </w:rPr>
        <w:t>The Federal Court of Appeal gave Mr. Manuge 30 days to serve and file an application for judicial review</w:t>
      </w:r>
      <w:r w:rsidRPr="00795EE7">
        <w:rPr>
          <w:color w:val="000000"/>
          <w:szCs w:val="24"/>
        </w:rPr>
        <w:t xml:space="preserve"> and</w:t>
      </w:r>
      <w:r w:rsidRPr="00795EE7">
        <w:rPr>
          <w:szCs w:val="24"/>
        </w:rPr>
        <w:t xml:space="preserve"> suspended his action until a final decision had been made on that </w:t>
      </w:r>
      <w:r w:rsidRPr="000C0A99">
        <w:t>application</w:t>
      </w:r>
      <w:r w:rsidRPr="00795EE7">
        <w:rPr>
          <w:szCs w:val="24"/>
        </w:rPr>
        <w:t xml:space="preserve">. </w:t>
      </w:r>
      <w:r>
        <w:rPr>
          <w:szCs w:val="24"/>
        </w:rPr>
        <w:t xml:space="preserve"> </w:t>
      </w:r>
      <w:r w:rsidRPr="00795EE7">
        <w:rPr>
          <w:szCs w:val="24"/>
        </w:rPr>
        <w:t xml:space="preserve">The court noted that Mr. Manuge could apply, should he wish to do so, for certification of his application for judicial review as a class proceeding (see rules 334.1 and 334.12 of the </w:t>
      </w:r>
      <w:r w:rsidRPr="00795EE7">
        <w:rPr>
          <w:i/>
          <w:szCs w:val="24"/>
        </w:rPr>
        <w:t>Federal Courts Rules</w:t>
      </w:r>
      <w:r w:rsidRPr="00795EE7">
        <w:rPr>
          <w:szCs w:val="24"/>
        </w:rPr>
        <w:t xml:space="preserve">).  Mr. Manuge applied for judicial review on March 4, 2009.  He also appealed the decision of the Federal Court of Appeal to this Court. </w:t>
      </w:r>
    </w:p>
    <w:p w:rsidR="005A01B2" w:rsidRPr="00795EE7" w:rsidRDefault="005A01B2" w:rsidP="005A01B2">
      <w:pPr>
        <w:tabs>
          <w:tab w:val="left" w:pos="1170"/>
        </w:tabs>
        <w:spacing w:after="480" w:line="480" w:lineRule="auto"/>
        <w:jc w:val="both"/>
        <w:rPr>
          <w:b/>
        </w:rPr>
      </w:pPr>
      <w:r w:rsidRPr="00795EE7">
        <w:rPr>
          <w:b/>
        </w:rPr>
        <w:t>Analysis</w:t>
      </w:r>
    </w:p>
    <w:p w:rsidR="005A01B2" w:rsidRPr="00795EE7" w:rsidRDefault="005A01B2" w:rsidP="000C292F">
      <w:pPr>
        <w:pStyle w:val="ReasonsNumbering-AltN"/>
      </w:pPr>
      <w:r w:rsidRPr="00795EE7">
        <w:rPr>
          <w:szCs w:val="24"/>
        </w:rPr>
        <w:t xml:space="preserve">Following </w:t>
      </w:r>
      <w:r w:rsidRPr="00795EE7">
        <w:rPr>
          <w:i/>
          <w:szCs w:val="24"/>
        </w:rPr>
        <w:t>TeleZone</w:t>
      </w:r>
      <w:r w:rsidRPr="00795EE7">
        <w:rPr>
          <w:szCs w:val="24"/>
        </w:rPr>
        <w:t xml:space="preserve">, there is no question that the Federal Court has jurisdiction to entertain Mr. Manuge’s claim as an action for damages:  </w:t>
      </w:r>
      <w:r w:rsidRPr="00795EE7">
        <w:rPr>
          <w:i/>
          <w:iCs/>
          <w:szCs w:val="24"/>
        </w:rPr>
        <w:t>Federal Courts Act</w:t>
      </w:r>
      <w:r w:rsidRPr="00795EE7">
        <w:rPr>
          <w:szCs w:val="24"/>
        </w:rPr>
        <w:t xml:space="preserve">, s. 17(1); </w:t>
      </w:r>
      <w:r w:rsidRPr="00795EE7">
        <w:rPr>
          <w:i/>
          <w:iCs/>
          <w:szCs w:val="24"/>
        </w:rPr>
        <w:t xml:space="preserve">Crown </w:t>
      </w:r>
      <w:r w:rsidRPr="00A7309B">
        <w:rPr>
          <w:i/>
        </w:rPr>
        <w:t>Liability</w:t>
      </w:r>
      <w:r w:rsidRPr="00A7309B">
        <w:rPr>
          <w:i/>
          <w:iCs/>
          <w:szCs w:val="24"/>
        </w:rPr>
        <w:t xml:space="preserve"> </w:t>
      </w:r>
      <w:r w:rsidRPr="00795EE7">
        <w:rPr>
          <w:i/>
          <w:iCs/>
          <w:szCs w:val="24"/>
        </w:rPr>
        <w:t>and Proceedings Act</w:t>
      </w:r>
      <w:r w:rsidRPr="00795EE7">
        <w:rPr>
          <w:szCs w:val="24"/>
        </w:rPr>
        <w:t xml:space="preserve">, R.S.C. 1985, c. C-50, s. 21; </w:t>
      </w:r>
      <w:r w:rsidRPr="00795EE7">
        <w:rPr>
          <w:i/>
          <w:iCs/>
          <w:szCs w:val="24"/>
        </w:rPr>
        <w:t>TeleZone</w:t>
      </w:r>
      <w:r w:rsidRPr="00795EE7">
        <w:rPr>
          <w:szCs w:val="24"/>
        </w:rPr>
        <w:t xml:space="preserve">, at paras. 19-23 and 43-46; </w:t>
      </w:r>
      <w:r w:rsidRPr="00795EE7">
        <w:rPr>
          <w:i/>
          <w:szCs w:val="24"/>
        </w:rPr>
        <w:t xml:space="preserve">Canada (Attorney General) v. </w:t>
      </w:r>
      <w:r w:rsidRPr="00795EE7">
        <w:rPr>
          <w:i/>
          <w:iCs/>
          <w:szCs w:val="24"/>
        </w:rPr>
        <w:t>McArthur</w:t>
      </w:r>
      <w:r w:rsidRPr="00795EE7">
        <w:rPr>
          <w:szCs w:val="24"/>
        </w:rPr>
        <w:t xml:space="preserve">, </w:t>
      </w:r>
      <w:r w:rsidRPr="00795EE7">
        <w:rPr>
          <w:szCs w:val="24"/>
        </w:rPr>
        <w:lastRenderedPageBreak/>
        <w:t xml:space="preserve">2010 SCC </w:t>
      </w:r>
      <w:r>
        <w:rPr>
          <w:szCs w:val="24"/>
        </w:rPr>
        <w:t>63</w:t>
      </w:r>
      <w:r w:rsidR="00652144">
        <w:rPr>
          <w:szCs w:val="24"/>
        </w:rPr>
        <w:t xml:space="preserve">, [2010] 3 S.C.R. </w:t>
      </w:r>
      <w:r w:rsidR="00F874F8">
        <w:rPr>
          <w:szCs w:val="24"/>
        </w:rPr>
        <w:t>626</w:t>
      </w:r>
      <w:r w:rsidRPr="00795EE7">
        <w:rPr>
          <w:szCs w:val="24"/>
        </w:rPr>
        <w:t xml:space="preserve">, at </w:t>
      </w:r>
      <w:proofErr w:type="spellStart"/>
      <w:r w:rsidRPr="00795EE7">
        <w:rPr>
          <w:szCs w:val="24"/>
        </w:rPr>
        <w:t>para</w:t>
      </w:r>
      <w:proofErr w:type="spellEnd"/>
      <w:r w:rsidRPr="00795EE7">
        <w:rPr>
          <w:szCs w:val="24"/>
        </w:rPr>
        <w:t xml:space="preserve">. </w:t>
      </w:r>
      <w:r w:rsidRPr="00795EE7">
        <w:rPr>
          <w:szCs w:val="24"/>
          <w:lang w:val="en-US"/>
        </w:rPr>
        <w:t xml:space="preserve">17; </w:t>
      </w:r>
      <w:r w:rsidRPr="00795EE7">
        <w:rPr>
          <w:i/>
          <w:iCs/>
          <w:szCs w:val="24"/>
          <w:lang w:val="en-US"/>
        </w:rPr>
        <w:t>Nu-Pharm Inc. v.</w:t>
      </w:r>
      <w:r w:rsidR="00652144">
        <w:rPr>
          <w:i/>
          <w:iCs/>
          <w:szCs w:val="24"/>
          <w:lang w:val="en-US"/>
        </w:rPr>
        <w:t xml:space="preserve"> </w:t>
      </w:r>
      <w:r w:rsidRPr="00795EE7">
        <w:rPr>
          <w:i/>
          <w:iCs/>
          <w:szCs w:val="24"/>
          <w:lang w:val="en-US"/>
        </w:rPr>
        <w:t>Canada (Attorney General)</w:t>
      </w:r>
      <w:r w:rsidRPr="00795EE7">
        <w:rPr>
          <w:szCs w:val="24"/>
          <w:lang w:val="en-US"/>
        </w:rPr>
        <w:t xml:space="preserve">, 2010 SCC </w:t>
      </w:r>
      <w:r>
        <w:rPr>
          <w:szCs w:val="24"/>
          <w:lang w:val="en-US"/>
        </w:rPr>
        <w:t>65</w:t>
      </w:r>
      <w:r w:rsidR="00652144">
        <w:rPr>
          <w:szCs w:val="24"/>
          <w:lang w:val="en-US"/>
        </w:rPr>
        <w:t xml:space="preserve">, [2010] 3 S.C.R. </w:t>
      </w:r>
      <w:r w:rsidR="00F874F8">
        <w:rPr>
          <w:szCs w:val="24"/>
          <w:lang w:val="en-US"/>
        </w:rPr>
        <w:t>648</w:t>
      </w:r>
      <w:r w:rsidRPr="00795EE7">
        <w:rPr>
          <w:szCs w:val="24"/>
          <w:lang w:val="en-US"/>
        </w:rPr>
        <w:t xml:space="preserve">, at </w:t>
      </w:r>
      <w:proofErr w:type="spellStart"/>
      <w:r w:rsidRPr="00795EE7">
        <w:rPr>
          <w:szCs w:val="24"/>
          <w:lang w:val="en-US"/>
        </w:rPr>
        <w:t>para</w:t>
      </w:r>
      <w:proofErr w:type="spellEnd"/>
      <w:r w:rsidRPr="00795EE7">
        <w:rPr>
          <w:szCs w:val="24"/>
          <w:lang w:val="en-US"/>
        </w:rPr>
        <w:t xml:space="preserve">. </w:t>
      </w:r>
      <w:r w:rsidRPr="00795EE7">
        <w:rPr>
          <w:szCs w:val="24"/>
        </w:rPr>
        <w:t xml:space="preserve">16.  Mr. Manuge’s pleadings disclose claims against the Crown seeking remedies that the Federal Court has authority to grant in an action.  </w:t>
      </w:r>
    </w:p>
    <w:p w:rsidR="005A01B2" w:rsidRPr="00795EE7" w:rsidRDefault="005A01B2" w:rsidP="000C292F">
      <w:pPr>
        <w:pStyle w:val="ReasonsNumbering-AltN"/>
        <w:rPr>
          <w:color w:val="000000"/>
        </w:rPr>
      </w:pPr>
      <w:r w:rsidRPr="00795EE7">
        <w:rPr>
          <w:color w:val="000000"/>
          <w:szCs w:val="24"/>
        </w:rPr>
        <w:t xml:space="preserve">But under </w:t>
      </w:r>
      <w:r w:rsidRPr="00795EE7">
        <w:rPr>
          <w:i/>
          <w:color w:val="000000"/>
          <w:szCs w:val="24"/>
        </w:rPr>
        <w:t>TeleZone</w:t>
      </w:r>
      <w:r w:rsidRPr="00795EE7">
        <w:rPr>
          <w:color w:val="000000"/>
          <w:szCs w:val="24"/>
        </w:rPr>
        <w:t xml:space="preserve">, there is a </w:t>
      </w:r>
      <w:r w:rsidRPr="00795EE7">
        <w:rPr>
          <w:szCs w:val="24"/>
        </w:rPr>
        <w:t xml:space="preserve">residual discretion </w:t>
      </w:r>
      <w:r w:rsidRPr="00795EE7">
        <w:rPr>
          <w:color w:val="000000"/>
          <w:szCs w:val="24"/>
        </w:rPr>
        <w:t>to stay an action if it</w:t>
      </w:r>
      <w:r w:rsidRPr="00795EE7">
        <w:rPr>
          <w:szCs w:val="24"/>
        </w:rPr>
        <w:t xml:space="preserve"> is premised on public law </w:t>
      </w:r>
      <w:r w:rsidRPr="000C0A99">
        <w:t>considerations</w:t>
      </w:r>
      <w:r w:rsidRPr="00795EE7">
        <w:rPr>
          <w:szCs w:val="24"/>
        </w:rPr>
        <w:t xml:space="preserve"> to such a degree that, in Binnie J.’s words, “in its essential character</w:t>
      </w:r>
      <w:r>
        <w:rPr>
          <w:szCs w:val="24"/>
        </w:rPr>
        <w:t>,</w:t>
      </w:r>
      <w:r w:rsidRPr="00795EE7">
        <w:rPr>
          <w:szCs w:val="24"/>
        </w:rPr>
        <w:t xml:space="preserve"> it is a claim for judicial review with only a thin pretence to a private wrong” (</w:t>
      </w:r>
      <w:proofErr w:type="spellStart"/>
      <w:r w:rsidRPr="00795EE7">
        <w:rPr>
          <w:szCs w:val="24"/>
        </w:rPr>
        <w:t>para</w:t>
      </w:r>
      <w:proofErr w:type="spellEnd"/>
      <w:r w:rsidRPr="00795EE7">
        <w:rPr>
          <w:szCs w:val="24"/>
        </w:rPr>
        <w:t xml:space="preserve">. </w:t>
      </w:r>
      <w:r w:rsidRPr="00795EE7">
        <w:rPr>
          <w:color w:val="000000"/>
          <w:szCs w:val="24"/>
        </w:rPr>
        <w:t>78</w:t>
      </w:r>
      <w:r w:rsidRPr="00795EE7">
        <w:rPr>
          <w:szCs w:val="24"/>
        </w:rPr>
        <w:t>).</w:t>
      </w:r>
      <w:r w:rsidRPr="00795EE7">
        <w:rPr>
          <w:color w:val="000000"/>
          <w:szCs w:val="24"/>
        </w:rPr>
        <w:t xml:space="preserve">  The Crown’s argument, in essence, is that Mr. Manuge’s action should be stayed on that basis.  </w:t>
      </w:r>
    </w:p>
    <w:p w:rsidR="005A01B2" w:rsidRPr="00795EE7" w:rsidRDefault="005A01B2" w:rsidP="000C292F">
      <w:pPr>
        <w:pStyle w:val="ReasonsNumbering-AltN"/>
        <w:rPr>
          <w:color w:val="000000"/>
        </w:rPr>
      </w:pPr>
      <w:r w:rsidRPr="00795EE7">
        <w:rPr>
          <w:szCs w:val="24"/>
        </w:rPr>
        <w:t xml:space="preserve">The exercise of the </w:t>
      </w:r>
      <w:r w:rsidRPr="000C0A99">
        <w:t>discretion</w:t>
      </w:r>
      <w:r w:rsidRPr="00795EE7">
        <w:rPr>
          <w:szCs w:val="24"/>
        </w:rPr>
        <w:t xml:space="preserve"> to stay an action in this context is dependent on an identification of the essential character of the claim as an assertion of either private law or public law rights. </w:t>
      </w:r>
      <w:r w:rsidRPr="00795EE7">
        <w:rPr>
          <w:color w:val="000000"/>
          <w:szCs w:val="24"/>
        </w:rPr>
        <w:t xml:space="preserve">I agree with the Crown that some of Mr. Manuge’s claims raise issues that are amenable to judicial review.  However, the question is not just whether some aspects of Mr. Manuge’s pleadings could be addressed under ss. 18 and 18.1 of the </w:t>
      </w:r>
      <w:r w:rsidRPr="00795EE7">
        <w:rPr>
          <w:i/>
          <w:color w:val="000000"/>
          <w:szCs w:val="24"/>
        </w:rPr>
        <w:t>Federal Courts Act</w:t>
      </w:r>
      <w:r w:rsidRPr="00795EE7">
        <w:rPr>
          <w:color w:val="000000"/>
          <w:szCs w:val="24"/>
        </w:rPr>
        <w:t>, but what,  in their essential character, his claims are for.</w:t>
      </w:r>
      <w:r w:rsidRPr="00795EE7">
        <w:rPr>
          <w:i/>
          <w:color w:val="000000"/>
          <w:szCs w:val="24"/>
        </w:rPr>
        <w:t xml:space="preserve">  </w:t>
      </w:r>
    </w:p>
    <w:p w:rsidR="005A01B2" w:rsidRPr="00795EE7" w:rsidRDefault="005A01B2" w:rsidP="000C292F">
      <w:pPr>
        <w:pStyle w:val="ReasonsNumbering-AltN"/>
      </w:pPr>
      <w:r w:rsidRPr="00795EE7">
        <w:rPr>
          <w:color w:val="000000"/>
          <w:szCs w:val="24"/>
        </w:rPr>
        <w:t xml:space="preserve">In my view, with respect, the discretion to grant a stay should not be exercised in this case.  </w:t>
      </w:r>
      <w:r w:rsidRPr="00795EE7">
        <w:rPr>
          <w:szCs w:val="24"/>
        </w:rPr>
        <w:t>In the context of deciding the certification motion, Barnes J. has already addressed the question of whether the claim</w:t>
      </w:r>
      <w:r w:rsidRPr="00795EE7">
        <w:rPr>
          <w:color w:val="000000"/>
          <w:szCs w:val="24"/>
        </w:rPr>
        <w:t>s</w:t>
      </w:r>
      <w:r w:rsidRPr="00795EE7">
        <w:rPr>
          <w:szCs w:val="24"/>
        </w:rPr>
        <w:t xml:space="preserve"> alleged reasonable causes of action (paras. 39-41).  He concluded that the “allegations of unlawfulness, </w:t>
      </w:r>
      <w:r w:rsidRPr="00795EE7">
        <w:rPr>
          <w:i/>
          <w:szCs w:val="24"/>
        </w:rPr>
        <w:t>ultra vires</w:t>
      </w:r>
      <w:r w:rsidRPr="00795EE7">
        <w:rPr>
          <w:szCs w:val="24"/>
        </w:rPr>
        <w:t xml:space="preserve"> </w:t>
      </w:r>
      <w:r w:rsidRPr="00795EE7">
        <w:rPr>
          <w:szCs w:val="24"/>
        </w:rPr>
        <w:lastRenderedPageBreak/>
        <w:t>and a breach of subsection 15(1) of the</w:t>
      </w:r>
      <w:r w:rsidRPr="00F874F8">
        <w:rPr>
          <w:szCs w:val="24"/>
        </w:rPr>
        <w:t xml:space="preserve"> Charter</w:t>
      </w:r>
      <w:r w:rsidRPr="00795EE7">
        <w:rPr>
          <w:szCs w:val="24"/>
        </w:rPr>
        <w:t xml:space="preserve"> easily meet the legal threshold of a reasonable cause of action” (para. 39).  Further, he was not prepared to find that it was plain and obvious that Mr. Manuge could not succeed in his “rather sparse” allegations of breach of fiduciary duty and unjust enrichment (paras. 40-41).  The Crown does not ask us to interfere with these findings.  </w:t>
      </w:r>
      <w:r w:rsidRPr="00795EE7">
        <w:rPr>
          <w:color w:val="000000"/>
        </w:rPr>
        <w:t xml:space="preserve">Assuming that such reasonable causes of action exist, their presence rebuts the Crown’s suggestion </w:t>
      </w:r>
      <w:r w:rsidRPr="00795EE7">
        <w:rPr>
          <w:szCs w:val="24"/>
        </w:rPr>
        <w:t>that Mr. Manuge’s claims for damages disclose “only a thin pretence to a private wrong” (</w:t>
      </w:r>
      <w:r w:rsidRPr="00795EE7">
        <w:rPr>
          <w:i/>
          <w:iCs/>
          <w:szCs w:val="24"/>
        </w:rPr>
        <w:t>TeleZone</w:t>
      </w:r>
      <w:r w:rsidRPr="00795EE7">
        <w:rPr>
          <w:szCs w:val="24"/>
        </w:rPr>
        <w:t>, at para. 78).</w:t>
      </w:r>
      <w:r w:rsidRPr="00795EE7">
        <w:rPr>
          <w:szCs w:val="24"/>
        </w:rPr>
        <w:tab/>
      </w:r>
    </w:p>
    <w:p w:rsidR="005A01B2" w:rsidRPr="00795EE7" w:rsidRDefault="005A01B2" w:rsidP="000C292F">
      <w:pPr>
        <w:pStyle w:val="ReasonsNumbering-AltN"/>
      </w:pPr>
      <w:r w:rsidRPr="00795EE7">
        <w:rPr>
          <w:szCs w:val="24"/>
        </w:rPr>
        <w:t xml:space="preserve">At their core, Mr. Manuge’s claims are </w:t>
      </w:r>
      <w:r w:rsidRPr="00795EE7">
        <w:rPr>
          <w:color w:val="000000"/>
          <w:szCs w:val="24"/>
        </w:rPr>
        <w:t>less</w:t>
      </w:r>
      <w:r w:rsidRPr="00795EE7">
        <w:rPr>
          <w:szCs w:val="24"/>
        </w:rPr>
        <w:t xml:space="preserve"> about assessing the exercise of delegated statutory authority or the decision-making process that led to the promulgation or “monthly application” of s. 24(a)(iv),</w:t>
      </w:r>
      <w:r w:rsidRPr="00795EE7">
        <w:rPr>
          <w:color w:val="000000"/>
          <w:szCs w:val="24"/>
        </w:rPr>
        <w:t xml:space="preserve"> and more about </w:t>
      </w:r>
      <w:r w:rsidRPr="00795EE7">
        <w:rPr>
          <w:szCs w:val="24"/>
        </w:rPr>
        <w:t xml:space="preserve">s. 15(1) of the </w:t>
      </w:r>
      <w:r w:rsidRPr="00795EE7">
        <w:rPr>
          <w:i/>
          <w:szCs w:val="24"/>
        </w:rPr>
        <w:t>Charter</w:t>
      </w:r>
      <w:r w:rsidRPr="00795EE7">
        <w:rPr>
          <w:szCs w:val="24"/>
        </w:rPr>
        <w:t xml:space="preserve">.  He pleads that the scheme violates s. 15(1) of the </w:t>
      </w:r>
      <w:r w:rsidRPr="00795EE7">
        <w:rPr>
          <w:i/>
          <w:szCs w:val="24"/>
        </w:rPr>
        <w:t xml:space="preserve">Charter </w:t>
      </w:r>
      <w:r w:rsidRPr="00795EE7">
        <w:rPr>
          <w:szCs w:val="24"/>
        </w:rPr>
        <w:t xml:space="preserve">because it draws a distinction, based on the degree and extent of disability, between the claimants who are </w:t>
      </w:r>
      <w:r w:rsidRPr="000C0A99">
        <w:t>allegedly</w:t>
      </w:r>
      <w:r w:rsidRPr="00795EE7">
        <w:rPr>
          <w:szCs w:val="24"/>
        </w:rPr>
        <w:t xml:space="preserve"> adversely affected because they are unable to continue to serve and are thus subject</w:t>
      </w:r>
      <w:r w:rsidR="00583C50">
        <w:rPr>
          <w:szCs w:val="24"/>
        </w:rPr>
        <w:t xml:space="preserve"> to the s. 24(a)(iv) deduction —</w:t>
      </w:r>
      <w:r w:rsidRPr="00795EE7">
        <w:rPr>
          <w:szCs w:val="24"/>
        </w:rPr>
        <w:t xml:space="preserve"> and those who are able to continue to serve and who are not subject to the deduction.  He also alleges that the scheme violates s. 15(1) by subjecting those injured prior to April 1, 2006</w:t>
      </w:r>
      <w:r w:rsidR="0062569C">
        <w:rPr>
          <w:szCs w:val="24"/>
        </w:rPr>
        <w:t>,</w:t>
      </w:r>
      <w:r w:rsidRPr="00795EE7">
        <w:rPr>
          <w:szCs w:val="24"/>
        </w:rPr>
        <w:t xml:space="preserve"> to less advantageous treatment than those injured on or after April 1, 2006.  It is essentially for these alleged breaches that Mr. Manuge seeks constitutional remedies and damages</w:t>
      </w:r>
      <w:r w:rsidRPr="00795EE7">
        <w:rPr>
          <w:color w:val="000000"/>
          <w:szCs w:val="24"/>
        </w:rPr>
        <w:t xml:space="preserve">.  As </w:t>
      </w:r>
      <w:r w:rsidRPr="00795EE7">
        <w:rPr>
          <w:i/>
          <w:color w:val="000000"/>
          <w:szCs w:val="24"/>
        </w:rPr>
        <w:t xml:space="preserve">TeleZone </w:t>
      </w:r>
      <w:r w:rsidRPr="00795EE7">
        <w:rPr>
          <w:color w:val="000000"/>
          <w:szCs w:val="24"/>
        </w:rPr>
        <w:t>states, “[i]f the plaintiff has a valid cause of action for damages, he or she is normally entitled to pursue it” (para. 76).</w:t>
      </w:r>
    </w:p>
    <w:p w:rsidR="005A01B2" w:rsidRPr="00795EE7" w:rsidRDefault="005A01B2" w:rsidP="000C292F">
      <w:pPr>
        <w:pStyle w:val="ReasonsNumbering-AltN"/>
        <w:rPr>
          <w:color w:val="000000"/>
        </w:rPr>
      </w:pPr>
      <w:r w:rsidRPr="00795EE7">
        <w:rPr>
          <w:color w:val="000000"/>
          <w:szCs w:val="24"/>
        </w:rPr>
        <w:lastRenderedPageBreak/>
        <w:t xml:space="preserve">In my view, therefore, </w:t>
      </w:r>
      <w:r w:rsidRPr="00795EE7">
        <w:rPr>
          <w:szCs w:val="24"/>
        </w:rPr>
        <w:t xml:space="preserve">the </w:t>
      </w:r>
      <w:r w:rsidRPr="000C0A99">
        <w:t>residual</w:t>
      </w:r>
      <w:r w:rsidRPr="00795EE7">
        <w:rPr>
          <w:szCs w:val="24"/>
        </w:rPr>
        <w:t xml:space="preserve"> discretion </w:t>
      </w:r>
      <w:r w:rsidRPr="00795EE7">
        <w:rPr>
          <w:color w:val="000000"/>
          <w:szCs w:val="24"/>
        </w:rPr>
        <w:t xml:space="preserve">should not be exercised </w:t>
      </w:r>
      <w:r w:rsidRPr="00795EE7">
        <w:rPr>
          <w:szCs w:val="24"/>
        </w:rPr>
        <w:t xml:space="preserve">to stay Mr. Manuge’s class action in the Federal Court.  </w:t>
      </w:r>
    </w:p>
    <w:p w:rsidR="005A01B2" w:rsidRPr="00795EE7" w:rsidRDefault="005A01B2" w:rsidP="000C292F">
      <w:pPr>
        <w:pStyle w:val="ReasonsNumbering-AltN"/>
      </w:pPr>
      <w:r w:rsidRPr="00795EE7">
        <w:rPr>
          <w:szCs w:val="24"/>
        </w:rPr>
        <w:t xml:space="preserve">It is worth noting that </w:t>
      </w:r>
      <w:r w:rsidRPr="000C0A99">
        <w:t>the</w:t>
      </w:r>
      <w:r w:rsidRPr="00795EE7">
        <w:rPr>
          <w:szCs w:val="24"/>
        </w:rPr>
        <w:t xml:space="preserve"> pleadings are far from models of legal clarity.  I would, accordingly, emphasize that nothing in these reasons should be read as precluding the Crown from challenging any of them in the usual manner</w:t>
      </w:r>
      <w:r w:rsidRPr="00795EE7">
        <w:rPr>
          <w:color w:val="000000"/>
          <w:szCs w:val="24"/>
        </w:rPr>
        <w:t xml:space="preserve"> by seeking, for example,</w:t>
      </w:r>
      <w:r w:rsidRPr="00795EE7">
        <w:rPr>
          <w:szCs w:val="24"/>
        </w:rPr>
        <w:t xml:space="preserve"> particulars or other clarifications.  </w:t>
      </w:r>
    </w:p>
    <w:p w:rsidR="005A01B2" w:rsidRPr="00795EE7" w:rsidRDefault="005A01B2" w:rsidP="000C292F">
      <w:pPr>
        <w:pStyle w:val="ReasonsNumbering-AltN"/>
        <w:rPr>
          <w:lang w:val="en-US"/>
        </w:rPr>
      </w:pPr>
      <w:r w:rsidRPr="00795EE7">
        <w:rPr>
          <w:szCs w:val="24"/>
        </w:rPr>
        <w:t>I would allow the appeal</w:t>
      </w:r>
      <w:r w:rsidR="00583C50">
        <w:rPr>
          <w:szCs w:val="24"/>
        </w:rPr>
        <w:t xml:space="preserve"> and reinstate the order of </w:t>
      </w:r>
      <w:r w:rsidRPr="00795EE7">
        <w:rPr>
          <w:szCs w:val="24"/>
        </w:rPr>
        <w:t xml:space="preserve">Barnes J. certifying Mr. Manuge’s class action.  </w:t>
      </w:r>
    </w:p>
    <w:p w:rsidR="009B57B3" w:rsidRPr="0090190C" w:rsidRDefault="00F45278" w:rsidP="008944E0">
      <w:pPr>
        <w:pStyle w:val="SCCNormalDoubleSpacing"/>
        <w:tabs>
          <w:tab w:val="left" w:pos="1170"/>
        </w:tabs>
      </w:pPr>
      <w:r w:rsidRPr="0090190C">
        <w:tab/>
      </w:r>
      <w:r w:rsidR="00656313" w:rsidRPr="0090190C">
        <w:rPr>
          <w:i/>
        </w:rPr>
        <w:t>Appeal</w:t>
      </w:r>
      <w:r w:rsidRPr="0090190C">
        <w:rPr>
          <w:i/>
        </w:rPr>
        <w:t xml:space="preserve"> </w:t>
      </w:r>
      <w:r w:rsidR="00B86C5A" w:rsidRPr="0090190C">
        <w:rPr>
          <w:i/>
        </w:rPr>
        <w:t>allowed</w:t>
      </w:r>
      <w:r w:rsidRPr="0090190C">
        <w:rPr>
          <w:i/>
        </w:rPr>
        <w:t>.</w:t>
      </w:r>
    </w:p>
    <w:p w:rsidR="00A149DF" w:rsidRPr="0090190C" w:rsidRDefault="00A149DF" w:rsidP="008944E0">
      <w:pPr>
        <w:pStyle w:val="SCCNormalDoubleSpacing"/>
        <w:tabs>
          <w:tab w:val="left" w:pos="1170"/>
        </w:tabs>
      </w:pPr>
    </w:p>
    <w:p w:rsidR="002679A7" w:rsidRPr="0090190C" w:rsidRDefault="0070653E" w:rsidP="008944E0">
      <w:pPr>
        <w:pStyle w:val="SCCLawFirm"/>
        <w:tabs>
          <w:tab w:val="left" w:pos="1170"/>
        </w:tabs>
      </w:pPr>
      <w:r w:rsidRPr="0090190C">
        <w:tab/>
        <w:t>Solicitors</w:t>
      </w:r>
      <w:r w:rsidR="008944E0" w:rsidRPr="0090190C">
        <w:t xml:space="preserve"> for the appellant:  </w:t>
      </w:r>
      <w:r w:rsidR="00F26258" w:rsidRPr="0090190C">
        <w:t>McInnes Cooper, Halifax.</w:t>
      </w:r>
    </w:p>
    <w:p w:rsidR="002679A7" w:rsidRPr="0090190C" w:rsidRDefault="002679A7" w:rsidP="008944E0">
      <w:pPr>
        <w:pStyle w:val="SCCLawFirm"/>
        <w:tabs>
          <w:tab w:val="left" w:pos="1170"/>
        </w:tabs>
      </w:pPr>
    </w:p>
    <w:p w:rsidR="002679A7" w:rsidRPr="0090190C" w:rsidRDefault="0070653E" w:rsidP="008944E0">
      <w:pPr>
        <w:pStyle w:val="SCCLawFirm"/>
        <w:tabs>
          <w:tab w:val="left" w:pos="1170"/>
        </w:tabs>
      </w:pPr>
      <w:r w:rsidRPr="0090190C">
        <w:tab/>
        <w:t>Solicitor</w:t>
      </w:r>
      <w:r w:rsidR="00F26258" w:rsidRPr="0090190C">
        <w:t xml:space="preserve"> for the respondent</w:t>
      </w:r>
      <w:r w:rsidR="008944E0" w:rsidRPr="0090190C">
        <w:t>:  </w:t>
      </w:r>
      <w:r w:rsidRPr="0090190C">
        <w:t>Department of Justice</w:t>
      </w:r>
      <w:r w:rsidR="00F26258" w:rsidRPr="0090190C">
        <w:t>, Ottawa.</w:t>
      </w:r>
    </w:p>
    <w:p w:rsidR="002679A7" w:rsidRPr="0090190C" w:rsidRDefault="002679A7" w:rsidP="008944E0">
      <w:pPr>
        <w:pStyle w:val="SCCLawFirm"/>
        <w:tabs>
          <w:tab w:val="left" w:pos="1170"/>
        </w:tabs>
      </w:pPr>
    </w:p>
    <w:sectPr w:rsidR="002679A7" w:rsidRPr="0090190C" w:rsidSect="00E43B86">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9B" w:rsidRDefault="00A7309B">
      <w:r>
        <w:separator/>
      </w:r>
    </w:p>
  </w:endnote>
  <w:endnote w:type="continuationSeparator" w:id="0">
    <w:p w:rsidR="00A7309B" w:rsidRDefault="00A73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9B" w:rsidRDefault="00A7309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9B" w:rsidRDefault="00A7309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9B" w:rsidRDefault="00A7309B">
      <w:r>
        <w:separator/>
      </w:r>
    </w:p>
  </w:footnote>
  <w:footnote w:type="continuationSeparator" w:id="0">
    <w:p w:rsidR="00A7309B" w:rsidRDefault="00A73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9B" w:rsidRDefault="00A7309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9B" w:rsidRDefault="00A7309B">
    <w:pPr>
      <w:pStyle w:val="Header"/>
      <w:jc w:val="center"/>
    </w:pPr>
    <w:r>
      <w:t xml:space="preserve">- </w:t>
    </w:r>
    <w:sdt>
      <w:sdtPr>
        <w:id w:val="4489865"/>
        <w:docPartObj>
          <w:docPartGallery w:val="Page Numbers (Top of Page)"/>
          <w:docPartUnique/>
        </w:docPartObj>
      </w:sdtPr>
      <w:sdtContent>
        <w:fldSimple w:instr=" PAGE   \* MERGEFORMAT ">
          <w:r w:rsidR="00A409CF">
            <w:rPr>
              <w:noProof/>
            </w:rPr>
            <w:t>2</w:t>
          </w:r>
        </w:fldSimple>
        <w:r>
          <w:t xml:space="preserve"> -</w:t>
        </w:r>
      </w:sdtContent>
    </w:sdt>
  </w:p>
  <w:p w:rsidR="00A7309B" w:rsidRDefault="00A730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mailMerge>
    <w:mainDocumentType w:val="email"/>
    <w:dataType w:val="textFile"/>
    <w:activeRecord w:val="-1"/>
  </w:mailMerge>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31414C"/>
    <w:rsid w:val="00000ED4"/>
    <w:rsid w:val="000238A5"/>
    <w:rsid w:val="00025198"/>
    <w:rsid w:val="0003162D"/>
    <w:rsid w:val="00035BAE"/>
    <w:rsid w:val="00042925"/>
    <w:rsid w:val="000578A3"/>
    <w:rsid w:val="00063F6C"/>
    <w:rsid w:val="000648CC"/>
    <w:rsid w:val="00090765"/>
    <w:rsid w:val="00094E80"/>
    <w:rsid w:val="000C0A99"/>
    <w:rsid w:val="000C292F"/>
    <w:rsid w:val="000C59B8"/>
    <w:rsid w:val="000D435C"/>
    <w:rsid w:val="00104466"/>
    <w:rsid w:val="00111DE2"/>
    <w:rsid w:val="00116B38"/>
    <w:rsid w:val="00135406"/>
    <w:rsid w:val="00135972"/>
    <w:rsid w:val="001426A9"/>
    <w:rsid w:val="00154D7C"/>
    <w:rsid w:val="001570B0"/>
    <w:rsid w:val="0015752C"/>
    <w:rsid w:val="00157737"/>
    <w:rsid w:val="00165277"/>
    <w:rsid w:val="00170592"/>
    <w:rsid w:val="00184EE3"/>
    <w:rsid w:val="001B33E0"/>
    <w:rsid w:val="001B4573"/>
    <w:rsid w:val="001C779F"/>
    <w:rsid w:val="001D2AC1"/>
    <w:rsid w:val="001D4E88"/>
    <w:rsid w:val="001F02FC"/>
    <w:rsid w:val="00220FC2"/>
    <w:rsid w:val="002224F2"/>
    <w:rsid w:val="00222BE0"/>
    <w:rsid w:val="00224FC0"/>
    <w:rsid w:val="00225EA4"/>
    <w:rsid w:val="00226EAF"/>
    <w:rsid w:val="00231F3A"/>
    <w:rsid w:val="002406EE"/>
    <w:rsid w:val="00243EC8"/>
    <w:rsid w:val="00262519"/>
    <w:rsid w:val="002679A7"/>
    <w:rsid w:val="002745CC"/>
    <w:rsid w:val="00276DE8"/>
    <w:rsid w:val="002A5765"/>
    <w:rsid w:val="002B7924"/>
    <w:rsid w:val="002C7EC6"/>
    <w:rsid w:val="002D1998"/>
    <w:rsid w:val="002D39A4"/>
    <w:rsid w:val="002D3B7A"/>
    <w:rsid w:val="002E2DE0"/>
    <w:rsid w:val="002E6705"/>
    <w:rsid w:val="0030329A"/>
    <w:rsid w:val="0031086F"/>
    <w:rsid w:val="00310935"/>
    <w:rsid w:val="0031414C"/>
    <w:rsid w:val="00314E01"/>
    <w:rsid w:val="0032089D"/>
    <w:rsid w:val="003310DE"/>
    <w:rsid w:val="00344B4B"/>
    <w:rsid w:val="0035169A"/>
    <w:rsid w:val="0035259D"/>
    <w:rsid w:val="00364B18"/>
    <w:rsid w:val="00364BF4"/>
    <w:rsid w:val="003A4C70"/>
    <w:rsid w:val="003B215F"/>
    <w:rsid w:val="003C799C"/>
    <w:rsid w:val="003D0399"/>
    <w:rsid w:val="003D295C"/>
    <w:rsid w:val="003E1C71"/>
    <w:rsid w:val="003F327B"/>
    <w:rsid w:val="00406166"/>
    <w:rsid w:val="0040704B"/>
    <w:rsid w:val="00410A55"/>
    <w:rsid w:val="00411300"/>
    <w:rsid w:val="00415417"/>
    <w:rsid w:val="00423273"/>
    <w:rsid w:val="00426659"/>
    <w:rsid w:val="00436BDE"/>
    <w:rsid w:val="00450352"/>
    <w:rsid w:val="00454BDB"/>
    <w:rsid w:val="00465132"/>
    <w:rsid w:val="00480C90"/>
    <w:rsid w:val="0048396F"/>
    <w:rsid w:val="00493C18"/>
    <w:rsid w:val="004A600C"/>
    <w:rsid w:val="004A6118"/>
    <w:rsid w:val="004C478D"/>
    <w:rsid w:val="004E2C26"/>
    <w:rsid w:val="005125A8"/>
    <w:rsid w:val="00512D83"/>
    <w:rsid w:val="00521AE8"/>
    <w:rsid w:val="00527180"/>
    <w:rsid w:val="00552174"/>
    <w:rsid w:val="00555291"/>
    <w:rsid w:val="00583C50"/>
    <w:rsid w:val="00583EDE"/>
    <w:rsid w:val="005937EA"/>
    <w:rsid w:val="005A01B2"/>
    <w:rsid w:val="005C2B68"/>
    <w:rsid w:val="005D6871"/>
    <w:rsid w:val="005E4698"/>
    <w:rsid w:val="00610539"/>
    <w:rsid w:val="00613969"/>
    <w:rsid w:val="0062569C"/>
    <w:rsid w:val="00625C35"/>
    <w:rsid w:val="00652144"/>
    <w:rsid w:val="00656313"/>
    <w:rsid w:val="006565F4"/>
    <w:rsid w:val="00657D93"/>
    <w:rsid w:val="00680343"/>
    <w:rsid w:val="00684EEA"/>
    <w:rsid w:val="006B5FF5"/>
    <w:rsid w:val="006D36C5"/>
    <w:rsid w:val="006F128B"/>
    <w:rsid w:val="00701759"/>
    <w:rsid w:val="0070653E"/>
    <w:rsid w:val="007123A7"/>
    <w:rsid w:val="00721B4E"/>
    <w:rsid w:val="00747288"/>
    <w:rsid w:val="00747DD3"/>
    <w:rsid w:val="007549C8"/>
    <w:rsid w:val="00766D14"/>
    <w:rsid w:val="00767A0F"/>
    <w:rsid w:val="00767F9B"/>
    <w:rsid w:val="007A05F6"/>
    <w:rsid w:val="007B6F4A"/>
    <w:rsid w:val="007C4204"/>
    <w:rsid w:val="007E1C47"/>
    <w:rsid w:val="007E337A"/>
    <w:rsid w:val="007E5C70"/>
    <w:rsid w:val="007E6D68"/>
    <w:rsid w:val="007F2B2F"/>
    <w:rsid w:val="007F2FF5"/>
    <w:rsid w:val="007F3F08"/>
    <w:rsid w:val="007F5A48"/>
    <w:rsid w:val="00804368"/>
    <w:rsid w:val="00804CC6"/>
    <w:rsid w:val="00817190"/>
    <w:rsid w:val="008260E2"/>
    <w:rsid w:val="008322BD"/>
    <w:rsid w:val="0083375C"/>
    <w:rsid w:val="00834F73"/>
    <w:rsid w:val="00864CF8"/>
    <w:rsid w:val="00866B8D"/>
    <w:rsid w:val="00874914"/>
    <w:rsid w:val="00891422"/>
    <w:rsid w:val="00892E1A"/>
    <w:rsid w:val="008944E0"/>
    <w:rsid w:val="008C01DA"/>
    <w:rsid w:val="008C41BD"/>
    <w:rsid w:val="008F78E9"/>
    <w:rsid w:val="0090190C"/>
    <w:rsid w:val="009179F9"/>
    <w:rsid w:val="00933E5E"/>
    <w:rsid w:val="00935218"/>
    <w:rsid w:val="009403F3"/>
    <w:rsid w:val="009555B7"/>
    <w:rsid w:val="009567AA"/>
    <w:rsid w:val="009604ED"/>
    <w:rsid w:val="00967374"/>
    <w:rsid w:val="009A3FF5"/>
    <w:rsid w:val="009B2F23"/>
    <w:rsid w:val="009B57B3"/>
    <w:rsid w:val="009D2920"/>
    <w:rsid w:val="009D5AEB"/>
    <w:rsid w:val="009E03AD"/>
    <w:rsid w:val="009F0E33"/>
    <w:rsid w:val="00A01D46"/>
    <w:rsid w:val="00A149DF"/>
    <w:rsid w:val="00A14B06"/>
    <w:rsid w:val="00A21B90"/>
    <w:rsid w:val="00A31097"/>
    <w:rsid w:val="00A409CF"/>
    <w:rsid w:val="00A41805"/>
    <w:rsid w:val="00A548CB"/>
    <w:rsid w:val="00A5521C"/>
    <w:rsid w:val="00A643E7"/>
    <w:rsid w:val="00A6689F"/>
    <w:rsid w:val="00A7309B"/>
    <w:rsid w:val="00A73C38"/>
    <w:rsid w:val="00A868A2"/>
    <w:rsid w:val="00AA6852"/>
    <w:rsid w:val="00AE2AE2"/>
    <w:rsid w:val="00AF03C5"/>
    <w:rsid w:val="00B000D8"/>
    <w:rsid w:val="00B00F75"/>
    <w:rsid w:val="00B145B6"/>
    <w:rsid w:val="00B50C81"/>
    <w:rsid w:val="00B557F8"/>
    <w:rsid w:val="00B66708"/>
    <w:rsid w:val="00B815FC"/>
    <w:rsid w:val="00B86C5A"/>
    <w:rsid w:val="00B93FBC"/>
    <w:rsid w:val="00BB2EE4"/>
    <w:rsid w:val="00BB6EE0"/>
    <w:rsid w:val="00BC2108"/>
    <w:rsid w:val="00BC61FB"/>
    <w:rsid w:val="00BD0E9E"/>
    <w:rsid w:val="00BD1BEC"/>
    <w:rsid w:val="00BD32FF"/>
    <w:rsid w:val="00BD7B7C"/>
    <w:rsid w:val="00C02092"/>
    <w:rsid w:val="00C24D91"/>
    <w:rsid w:val="00C46976"/>
    <w:rsid w:val="00C53F14"/>
    <w:rsid w:val="00C600CF"/>
    <w:rsid w:val="00C6084F"/>
    <w:rsid w:val="00C62A66"/>
    <w:rsid w:val="00C71458"/>
    <w:rsid w:val="00C77613"/>
    <w:rsid w:val="00C81C99"/>
    <w:rsid w:val="00C828E7"/>
    <w:rsid w:val="00C86719"/>
    <w:rsid w:val="00C87436"/>
    <w:rsid w:val="00C878AC"/>
    <w:rsid w:val="00C921DD"/>
    <w:rsid w:val="00CA4800"/>
    <w:rsid w:val="00CA6391"/>
    <w:rsid w:val="00CB0891"/>
    <w:rsid w:val="00CB516F"/>
    <w:rsid w:val="00CB711F"/>
    <w:rsid w:val="00CC58EB"/>
    <w:rsid w:val="00CE3171"/>
    <w:rsid w:val="00CF1601"/>
    <w:rsid w:val="00D0172F"/>
    <w:rsid w:val="00D068A7"/>
    <w:rsid w:val="00D32086"/>
    <w:rsid w:val="00D37A3F"/>
    <w:rsid w:val="00D4431D"/>
    <w:rsid w:val="00D4667A"/>
    <w:rsid w:val="00D603AC"/>
    <w:rsid w:val="00D63A0B"/>
    <w:rsid w:val="00D7516F"/>
    <w:rsid w:val="00D81EBC"/>
    <w:rsid w:val="00D95F8E"/>
    <w:rsid w:val="00DA0590"/>
    <w:rsid w:val="00DB3218"/>
    <w:rsid w:val="00DC1788"/>
    <w:rsid w:val="00DE319C"/>
    <w:rsid w:val="00DF0CA8"/>
    <w:rsid w:val="00DF2B48"/>
    <w:rsid w:val="00DF49A7"/>
    <w:rsid w:val="00DF7189"/>
    <w:rsid w:val="00E06B7D"/>
    <w:rsid w:val="00E07EE2"/>
    <w:rsid w:val="00E07FD1"/>
    <w:rsid w:val="00E24573"/>
    <w:rsid w:val="00E25E1E"/>
    <w:rsid w:val="00E27EE7"/>
    <w:rsid w:val="00E35404"/>
    <w:rsid w:val="00E43B86"/>
    <w:rsid w:val="00E45109"/>
    <w:rsid w:val="00E47B7A"/>
    <w:rsid w:val="00E8059D"/>
    <w:rsid w:val="00E841AD"/>
    <w:rsid w:val="00E91082"/>
    <w:rsid w:val="00E97830"/>
    <w:rsid w:val="00EF0683"/>
    <w:rsid w:val="00F0070C"/>
    <w:rsid w:val="00F00EB7"/>
    <w:rsid w:val="00F26258"/>
    <w:rsid w:val="00F36AB6"/>
    <w:rsid w:val="00F37A09"/>
    <w:rsid w:val="00F409CE"/>
    <w:rsid w:val="00F40A21"/>
    <w:rsid w:val="00F4379D"/>
    <w:rsid w:val="00F45278"/>
    <w:rsid w:val="00F51B34"/>
    <w:rsid w:val="00F84DF4"/>
    <w:rsid w:val="00F85C97"/>
    <w:rsid w:val="00F874F8"/>
    <w:rsid w:val="00F91286"/>
    <w:rsid w:val="00FB192C"/>
    <w:rsid w:val="00FB37D2"/>
    <w:rsid w:val="00FC4EFB"/>
    <w:rsid w:val="00FD068D"/>
    <w:rsid w:val="00FD221C"/>
    <w:rsid w:val="00FD4F28"/>
    <w:rsid w:val="00FE6324"/>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9C"/>
    <w:rPr>
      <w:sz w:val="24"/>
    </w:rPr>
  </w:style>
  <w:style w:type="paragraph" w:styleId="Heading1">
    <w:name w:val="heading 1"/>
    <w:next w:val="ReasonsNumbering-AltN"/>
    <w:link w:val="Heading1Char"/>
    <w:uiPriority w:val="2"/>
    <w:qFormat/>
    <w:rsid w:val="0062569C"/>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6256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2569C"/>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62569C"/>
    <w:rPr>
      <w:color w:val="808080"/>
    </w:rPr>
  </w:style>
  <w:style w:type="paragraph" w:styleId="BalloonText">
    <w:name w:val="Balloon Text"/>
    <w:basedOn w:val="Normal"/>
    <w:link w:val="BalloonTextChar"/>
    <w:uiPriority w:val="99"/>
    <w:semiHidden/>
    <w:unhideWhenUsed/>
    <w:rsid w:val="0062569C"/>
    <w:rPr>
      <w:rFonts w:cs="Tahoma"/>
      <w:sz w:val="28"/>
      <w:szCs w:val="16"/>
    </w:rPr>
  </w:style>
  <w:style w:type="character" w:customStyle="1" w:styleId="BalloonTextChar">
    <w:name w:val="Balloon Text Char"/>
    <w:basedOn w:val="DefaultParagraphFont"/>
    <w:link w:val="BalloonText"/>
    <w:uiPriority w:val="99"/>
    <w:semiHidden/>
    <w:rsid w:val="0062569C"/>
    <w:rPr>
      <w:rFonts w:cs="Tahoma"/>
      <w:sz w:val="28"/>
      <w:szCs w:val="16"/>
    </w:rPr>
  </w:style>
  <w:style w:type="paragraph" w:styleId="Header">
    <w:name w:val="header"/>
    <w:basedOn w:val="Normal"/>
    <w:link w:val="HeaderChar"/>
    <w:uiPriority w:val="99"/>
    <w:unhideWhenUsed/>
    <w:rsid w:val="0062569C"/>
    <w:pPr>
      <w:tabs>
        <w:tab w:val="center" w:pos="4680"/>
        <w:tab w:val="right" w:pos="9360"/>
      </w:tabs>
    </w:pPr>
  </w:style>
  <w:style w:type="character" w:customStyle="1" w:styleId="HeaderChar">
    <w:name w:val="Header Char"/>
    <w:basedOn w:val="DefaultParagraphFont"/>
    <w:link w:val="Header"/>
    <w:uiPriority w:val="99"/>
    <w:rsid w:val="0062569C"/>
    <w:rPr>
      <w:sz w:val="24"/>
    </w:rPr>
  </w:style>
  <w:style w:type="paragraph" w:styleId="Footer">
    <w:name w:val="footer"/>
    <w:basedOn w:val="Normal"/>
    <w:link w:val="FooterChar"/>
    <w:uiPriority w:val="99"/>
    <w:semiHidden/>
    <w:unhideWhenUsed/>
    <w:rsid w:val="0062569C"/>
    <w:pPr>
      <w:tabs>
        <w:tab w:val="center" w:pos="4680"/>
        <w:tab w:val="right" w:pos="9360"/>
      </w:tabs>
    </w:pPr>
  </w:style>
  <w:style w:type="character" w:customStyle="1" w:styleId="FooterChar">
    <w:name w:val="Footer Char"/>
    <w:basedOn w:val="DefaultParagraphFont"/>
    <w:link w:val="Footer"/>
    <w:uiPriority w:val="99"/>
    <w:semiHidden/>
    <w:rsid w:val="0062569C"/>
    <w:rPr>
      <w:sz w:val="24"/>
    </w:rPr>
  </w:style>
  <w:style w:type="paragraph" w:customStyle="1" w:styleId="SCCLsocParty">
    <w:name w:val="SCC.Lsoc.Party"/>
    <w:basedOn w:val="Normal"/>
    <w:next w:val="Normal"/>
    <w:link w:val="SCCLsocPartyChar"/>
    <w:rsid w:val="0062569C"/>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62569C"/>
    <w:rPr>
      <w:rFonts w:eastAsiaTheme="minorHAnsi" w:cstheme="minorBidi"/>
      <w:sz w:val="24"/>
      <w:szCs w:val="22"/>
      <w:lang w:eastAsia="en-US"/>
    </w:rPr>
  </w:style>
  <w:style w:type="paragraph" w:customStyle="1" w:styleId="SCCLsocVersus">
    <w:name w:val="SCC.Lsoc.Versus"/>
    <w:basedOn w:val="Normal"/>
    <w:next w:val="Normal"/>
    <w:link w:val="SCCLsocVersusChar"/>
    <w:rsid w:val="0062569C"/>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62569C"/>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62569C"/>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62569C"/>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62569C"/>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62569C"/>
    <w:rPr>
      <w:rFonts w:eastAsiaTheme="minorHAnsi" w:cstheme="minorBidi"/>
      <w:sz w:val="24"/>
      <w:szCs w:val="22"/>
      <w:lang w:eastAsia="en-US"/>
    </w:rPr>
  </w:style>
  <w:style w:type="character" w:customStyle="1" w:styleId="Heading1Char">
    <w:name w:val="Heading 1 Char"/>
    <w:basedOn w:val="DefaultParagraphFont"/>
    <w:link w:val="Heading1"/>
    <w:uiPriority w:val="2"/>
    <w:rsid w:val="0062569C"/>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62569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qFormat/>
    <w:rsid w:val="00364BF4"/>
    <w:pPr>
      <w:ind w:left="720"/>
      <w:contextualSpacing/>
    </w:pPr>
  </w:style>
  <w:style w:type="character" w:styleId="Hyperlink">
    <w:name w:val="Hyperlink"/>
    <w:basedOn w:val="DefaultParagraphFont"/>
    <w:uiPriority w:val="99"/>
    <w:unhideWhenUsed/>
    <w:rsid w:val="008944E0"/>
    <w:rPr>
      <w:color w:val="0000FF" w:themeColor="hyperlink"/>
      <w:u w:val="single"/>
    </w:rPr>
  </w:style>
  <w:style w:type="paragraph" w:customStyle="1" w:styleId="SCCCoram">
    <w:name w:val="SCC.Coram"/>
    <w:basedOn w:val="Normal"/>
    <w:next w:val="Normal"/>
    <w:link w:val="SCCCoramChar"/>
    <w:rsid w:val="0062569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2569C"/>
    <w:rPr>
      <w:rFonts w:eastAsiaTheme="minorHAnsi" w:cstheme="minorBidi"/>
      <w:sz w:val="24"/>
      <w:szCs w:val="22"/>
      <w:lang w:eastAsia="en-US"/>
    </w:rPr>
  </w:style>
  <w:style w:type="table" w:styleId="TableGrid">
    <w:name w:val="Table Grid"/>
    <w:basedOn w:val="TableNormal"/>
    <w:uiPriority w:val="59"/>
    <w:rsid w:val="006256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5A01B2"/>
    <w:pPr>
      <w:spacing w:after="720"/>
      <w:ind w:left="1166"/>
      <w:contextualSpacing/>
      <w:jc w:val="both"/>
    </w:pPr>
  </w:style>
  <w:style w:type="paragraph" w:customStyle="1" w:styleId="Default">
    <w:name w:val="Default"/>
    <w:rsid w:val="005A01B2"/>
    <w:pPr>
      <w:tabs>
        <w:tab w:val="left" w:pos="709"/>
      </w:tabs>
      <w:suppressAutoHyphens/>
      <w:spacing w:line="200" w:lineRule="atLeast"/>
    </w:pPr>
    <w:rPr>
      <w:sz w:val="24"/>
    </w:rPr>
  </w:style>
  <w:style w:type="paragraph" w:customStyle="1" w:styleId="SCCLsocOtherPartyRoleSeparator">
    <w:name w:val="SCC.Lsoc.OtherPartyRoleSeparator"/>
    <w:basedOn w:val="Normal"/>
    <w:next w:val="Normal"/>
    <w:link w:val="SCCLsocOtherPartyRoleSeparatorChar"/>
    <w:rsid w:val="0062569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62569C"/>
    <w:rPr>
      <w:rFonts w:eastAsiaTheme="minorHAnsi" w:cstheme="minorBidi"/>
      <w:sz w:val="24"/>
      <w:szCs w:val="22"/>
      <w:lang w:eastAsia="en-US"/>
    </w:rPr>
  </w:style>
  <w:style w:type="character" w:customStyle="1" w:styleId="SCCBanSummaryChar">
    <w:name w:val="SCC.BanSummary Char"/>
    <w:basedOn w:val="DefaultParagraphFont"/>
    <w:link w:val="SCCBanSummary"/>
    <w:rsid w:val="0062569C"/>
    <w:rPr>
      <w:rFonts w:eastAsiaTheme="minorEastAsia"/>
      <w:b/>
      <w:sz w:val="24"/>
      <w:szCs w:val="24"/>
    </w:rPr>
  </w:style>
  <w:style w:type="paragraph" w:customStyle="1" w:styleId="ReasonsNumbering-AltN">
    <w:name w:val="Reasons Numbering - Alt N"/>
    <w:qFormat/>
    <w:rsid w:val="0062569C"/>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62569C"/>
    <w:pPr>
      <w:spacing w:after="720"/>
      <w:ind w:left="1166"/>
      <w:contextualSpacing/>
      <w:jc w:val="both"/>
    </w:pPr>
    <w:rPr>
      <w:sz w:val="24"/>
    </w:rPr>
  </w:style>
  <w:style w:type="character" w:styleId="CommentReference">
    <w:name w:val="annotation reference"/>
    <w:basedOn w:val="DefaultParagraphFont"/>
    <w:uiPriority w:val="99"/>
    <w:semiHidden/>
    <w:unhideWhenUsed/>
    <w:rsid w:val="0062569C"/>
    <w:rPr>
      <w:sz w:val="16"/>
      <w:szCs w:val="16"/>
    </w:rPr>
  </w:style>
  <w:style w:type="paragraph" w:styleId="CommentText">
    <w:name w:val="annotation text"/>
    <w:basedOn w:val="Normal"/>
    <w:link w:val="CommentTextChar"/>
    <w:uiPriority w:val="99"/>
    <w:semiHidden/>
    <w:unhideWhenUsed/>
    <w:rsid w:val="0062569C"/>
    <w:rPr>
      <w:sz w:val="20"/>
    </w:rPr>
  </w:style>
  <w:style w:type="character" w:customStyle="1" w:styleId="CommentTextChar">
    <w:name w:val="Comment Text Char"/>
    <w:basedOn w:val="DefaultParagraphFont"/>
    <w:link w:val="CommentText"/>
    <w:uiPriority w:val="99"/>
    <w:semiHidden/>
    <w:rsid w:val="0062569C"/>
  </w:style>
  <w:style w:type="paragraph" w:styleId="CommentSubject">
    <w:name w:val="annotation subject"/>
    <w:basedOn w:val="CommentText"/>
    <w:next w:val="CommentText"/>
    <w:link w:val="CommentSubjectChar"/>
    <w:uiPriority w:val="99"/>
    <w:semiHidden/>
    <w:unhideWhenUsed/>
    <w:rsid w:val="0062569C"/>
    <w:rPr>
      <w:b/>
      <w:bCs/>
    </w:rPr>
  </w:style>
  <w:style w:type="character" w:customStyle="1" w:styleId="CommentSubjectChar">
    <w:name w:val="Comment Subject Char"/>
    <w:basedOn w:val="CommentTextChar"/>
    <w:link w:val="CommentSubject"/>
    <w:uiPriority w:val="99"/>
    <w:semiHidden/>
    <w:rsid w:val="0062569C"/>
    <w:rPr>
      <w:b/>
      <w:bCs/>
    </w:rPr>
  </w:style>
  <w:style w:type="paragraph" w:customStyle="1" w:styleId="ContinueReasonsNo-AltP">
    <w:name w:val="Continue Reasons No # - Alt P"/>
    <w:next w:val="ReasonsNumbering-AltN"/>
    <w:uiPriority w:val="1"/>
    <w:qFormat/>
    <w:rsid w:val="0062569C"/>
    <w:pPr>
      <w:spacing w:before="480" w:after="480" w:line="480" w:lineRule="auto"/>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3F64-24A1-4E4F-8042-8DC150DD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16</Pages>
  <Words>3335</Words>
  <Characters>16982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2011-02-24T14:30:00Z</dcterms:created>
  <dcterms:modified xsi:type="dcterms:W3CDTF">2011-06-07T14:26:00Z</dcterms:modified>
</cp:coreProperties>
</file>