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80" w:rsidRPr="00524A90" w:rsidRDefault="00772480" w:rsidP="00772480">
      <w:pPr>
        <w:tabs>
          <w:tab w:val="center" w:pos="4680"/>
          <w:tab w:val="right" w:pos="9360"/>
        </w:tabs>
        <w:rPr>
          <w:rFonts w:eastAsiaTheme="minorHAnsi" w:cstheme="minorBidi"/>
          <w:lang w:eastAsia="en-US"/>
        </w:rPr>
      </w:pPr>
      <w:r w:rsidRPr="00524A90">
        <w:rPr>
          <w:rFonts w:eastAsiaTheme="minorHAnsi" w:cstheme="minorBidi"/>
          <w:lang w:eastAsia="en-US"/>
        </w:rPr>
        <w:ptab w:relativeTo="margin" w:alignment="center" w:leader="none"/>
      </w:r>
      <w:r w:rsidRPr="00524A90">
        <w:rPr>
          <w:rFonts w:eastAsiaTheme="minorHAnsi" w:cstheme="minorBidi"/>
          <w:lang w:eastAsia="en-US"/>
        </w:rPr>
        <w:t xml:space="preserve"> </w:t>
      </w:r>
      <w:r w:rsidRPr="00524A90">
        <w:rPr>
          <w:rFonts w:eastAsiaTheme="minorHAnsi" w:cstheme="minorBidi"/>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10160968" r:id="rId9"/>
        </w:object>
      </w:r>
      <w:r w:rsidRPr="00524A90">
        <w:rPr>
          <w:rFonts w:eastAsiaTheme="minorHAnsi" w:cstheme="minorBidi"/>
          <w:lang w:eastAsia="en-US"/>
        </w:rPr>
        <w:t xml:space="preserve"> </w:t>
      </w:r>
      <w:r w:rsidRPr="00524A90">
        <w:rPr>
          <w:rFonts w:eastAsiaTheme="minorHAnsi" w:cstheme="minorBidi"/>
          <w:lang w:eastAsia="en-US"/>
        </w:rPr>
        <w:ptab w:relativeTo="margin" w:alignment="right" w:leader="none"/>
      </w:r>
    </w:p>
    <w:p w:rsidR="00772480" w:rsidRPr="00524A90" w:rsidRDefault="00772480" w:rsidP="00772480">
      <w:pPr>
        <w:tabs>
          <w:tab w:val="center" w:pos="4680"/>
          <w:tab w:val="right" w:pos="9360"/>
        </w:tabs>
        <w:rPr>
          <w:rFonts w:eastAsiaTheme="minorHAnsi" w:cstheme="minorBidi"/>
          <w:lang w:eastAsia="en-US"/>
        </w:rPr>
      </w:pP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SUPREME COURT OF CANADA</w:t>
      </w:r>
    </w:p>
    <w:p w:rsidR="00772480" w:rsidRPr="00524A90" w:rsidRDefault="00772480" w:rsidP="00772480">
      <w:pPr>
        <w:rPr>
          <w:rFonts w:eastAsiaTheme="minorHAnsi" w:cstheme="minorBidi"/>
          <w:lang w:eastAsia="en-US"/>
        </w:rPr>
      </w:pPr>
    </w:p>
    <w:tbl>
      <w:tblPr>
        <w:tblW w:w="9576" w:type="dxa"/>
        <w:tblLayout w:type="fixed"/>
        <w:tblCellMar>
          <w:top w:w="58" w:type="dxa"/>
          <w:left w:w="58" w:type="dxa"/>
          <w:bottom w:w="58" w:type="dxa"/>
          <w:right w:w="58" w:type="dxa"/>
        </w:tblCellMar>
        <w:tblLook w:val="04A0"/>
      </w:tblPr>
      <w:tblGrid>
        <w:gridCol w:w="6768"/>
        <w:gridCol w:w="2808"/>
      </w:tblGrid>
      <w:tr w:rsidR="00772480" w:rsidRPr="00524A90" w:rsidTr="00F67C96">
        <w:trPr>
          <w:cantSplit/>
        </w:trPr>
        <w:tc>
          <w:tcPr>
            <w:tcW w:w="6768" w:type="dxa"/>
          </w:tcPr>
          <w:p w:rsidR="00772480" w:rsidRPr="00524A90" w:rsidRDefault="00772480" w:rsidP="00F67C96">
            <w:pPr>
              <w:spacing w:line="480" w:lineRule="auto"/>
              <w:jc w:val="both"/>
              <w:rPr>
                <w:smallCaps/>
              </w:rPr>
            </w:pPr>
            <w:r w:rsidRPr="00524A90">
              <w:rPr>
                <w:b/>
                <w:smallCaps/>
              </w:rPr>
              <w:t>Citation:</w:t>
            </w:r>
            <w:r w:rsidRPr="00524A90">
              <w:t xml:space="preserve"> Ontario</w:t>
            </w:r>
            <w:r w:rsidRPr="00524A90">
              <w:rPr>
                <w:b/>
              </w:rPr>
              <w:t xml:space="preserve"> </w:t>
            </w:r>
            <w:r w:rsidRPr="00524A90">
              <w:t xml:space="preserve">(Attorney General) </w:t>
            </w:r>
            <w:r w:rsidRPr="00524A90">
              <w:rPr>
                <w:i/>
              </w:rPr>
              <w:t>v.</w:t>
            </w:r>
            <w:r w:rsidRPr="00524A90">
              <w:rPr>
                <w:b/>
              </w:rPr>
              <w:t xml:space="preserve"> </w:t>
            </w:r>
            <w:r w:rsidRPr="00524A90">
              <w:t xml:space="preserve">Fraser, </w:t>
            </w:r>
            <w:r w:rsidRPr="00FA6B99">
              <w:rPr>
                <w:rStyle w:val="SCCRespondentForRunningHeadChar"/>
                <w:lang w:val="en-US"/>
              </w:rPr>
              <w:t xml:space="preserve">2011 SCC 20, [2011] </w:t>
            </w:r>
            <w:r>
              <w:rPr>
                <w:rStyle w:val="SCCRespondentForRunningHeadChar"/>
                <w:lang w:val="en-US"/>
              </w:rPr>
              <w:t>2</w:t>
            </w:r>
            <w:r w:rsidRPr="00FA6B99">
              <w:rPr>
                <w:rStyle w:val="SCCRespondentForRunningHeadChar"/>
                <w:lang w:val="en-US"/>
              </w:rPr>
              <w:t xml:space="preserve"> S.C.R. 3</w:t>
            </w:r>
          </w:p>
        </w:tc>
        <w:tc>
          <w:tcPr>
            <w:tcW w:w="2808" w:type="dxa"/>
          </w:tcPr>
          <w:p w:rsidR="00772480" w:rsidRPr="00524A90" w:rsidRDefault="00772480" w:rsidP="00F67C96">
            <w:r w:rsidRPr="00524A90">
              <w:rPr>
                <w:b/>
                <w:smallCaps/>
              </w:rPr>
              <w:t>Date:</w:t>
            </w:r>
            <w:r w:rsidRPr="00524A90">
              <w:t xml:space="preserve"> 20110429</w:t>
            </w:r>
          </w:p>
          <w:p w:rsidR="00772480" w:rsidRPr="00524A90" w:rsidRDefault="00772480" w:rsidP="00F67C96">
            <w:r w:rsidRPr="00524A90">
              <w:rPr>
                <w:b/>
                <w:smallCaps/>
              </w:rPr>
              <w:t>Docket:</w:t>
            </w:r>
            <w:r w:rsidRPr="00524A90">
              <w:t xml:space="preserve"> 32968</w:t>
            </w:r>
          </w:p>
        </w:tc>
      </w:tr>
    </w:tbl>
    <w:p w:rsidR="00772480" w:rsidRPr="00524A90" w:rsidRDefault="00772480" w:rsidP="00772480">
      <w:pPr>
        <w:rPr>
          <w:rFonts w:eastAsiaTheme="minorHAnsi" w:cstheme="minorBidi"/>
          <w:b/>
          <w:smallCaps/>
          <w:lang w:eastAsia="en-US"/>
        </w:rPr>
      </w:pPr>
      <w:r w:rsidRPr="00524A90">
        <w:rPr>
          <w:rFonts w:eastAsiaTheme="minorHAnsi" w:cstheme="minorBidi"/>
          <w:b/>
          <w:smallCaps/>
          <w:lang w:eastAsia="en-US"/>
        </w:rPr>
        <w:t>Between:</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Attorney General of Ontario</w:t>
      </w:r>
    </w:p>
    <w:p w:rsidR="00772480" w:rsidRPr="00524A90" w:rsidRDefault="00772480" w:rsidP="00772480">
      <w:pPr>
        <w:jc w:val="center"/>
        <w:rPr>
          <w:rFonts w:eastAsiaTheme="minorHAnsi" w:cstheme="minorBidi"/>
          <w:lang w:eastAsia="en-US"/>
        </w:rPr>
      </w:pPr>
      <w:r w:rsidRPr="00524A90">
        <w:rPr>
          <w:rFonts w:eastAsiaTheme="minorHAnsi" w:cstheme="minorBidi"/>
          <w:lang w:eastAsia="en-US"/>
        </w:rPr>
        <w:t>Appellant</w:t>
      </w:r>
    </w:p>
    <w:p w:rsidR="00772480" w:rsidRPr="00524A90" w:rsidRDefault="00772480" w:rsidP="00772480">
      <w:pPr>
        <w:jc w:val="center"/>
        <w:rPr>
          <w:rFonts w:eastAsiaTheme="minorHAnsi" w:cstheme="minorBidi"/>
          <w:lang w:eastAsia="en-US"/>
        </w:rPr>
      </w:pPr>
      <w:proofErr w:type="gramStart"/>
      <w:r w:rsidRPr="00524A90">
        <w:rPr>
          <w:rFonts w:eastAsiaTheme="minorHAnsi" w:cstheme="minorBidi"/>
          <w:lang w:eastAsia="en-US"/>
        </w:rPr>
        <w:t>and</w:t>
      </w:r>
      <w:proofErr w:type="gramEnd"/>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 xml:space="preserve">Michael J. Fraser on his own behalf and on behalf of the </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 xml:space="preserve">United Food and Commercial Workers Union Canada, </w:t>
      </w:r>
    </w:p>
    <w:p w:rsidR="00772480" w:rsidRPr="00524A90" w:rsidRDefault="00772480" w:rsidP="00772480">
      <w:pPr>
        <w:jc w:val="center"/>
        <w:rPr>
          <w:rFonts w:eastAsiaTheme="minorHAnsi" w:cstheme="minorBidi"/>
          <w:b/>
          <w:lang w:eastAsia="en-US"/>
        </w:rPr>
      </w:pPr>
      <w:proofErr w:type="spellStart"/>
      <w:r w:rsidRPr="00524A90">
        <w:rPr>
          <w:rFonts w:eastAsiaTheme="minorHAnsi" w:cstheme="minorBidi"/>
          <w:b/>
          <w:lang w:eastAsia="en-US"/>
        </w:rPr>
        <w:t>Xin</w:t>
      </w:r>
      <w:proofErr w:type="spellEnd"/>
      <w:r w:rsidRPr="00524A90">
        <w:rPr>
          <w:rFonts w:eastAsiaTheme="minorHAnsi" w:cstheme="minorBidi"/>
          <w:b/>
          <w:lang w:eastAsia="en-US"/>
        </w:rPr>
        <w:t xml:space="preserve"> Yuan Liu, Julia </w:t>
      </w:r>
      <w:proofErr w:type="spellStart"/>
      <w:r w:rsidRPr="00524A90">
        <w:rPr>
          <w:rFonts w:eastAsiaTheme="minorHAnsi" w:cstheme="minorBidi"/>
          <w:b/>
          <w:lang w:eastAsia="en-US"/>
        </w:rPr>
        <w:t>McGorman</w:t>
      </w:r>
      <w:proofErr w:type="spellEnd"/>
      <w:r w:rsidRPr="00524A90">
        <w:rPr>
          <w:rFonts w:eastAsiaTheme="minorHAnsi" w:cstheme="minorBidi"/>
          <w:b/>
          <w:lang w:eastAsia="en-US"/>
        </w:rPr>
        <w:t xml:space="preserve"> and Billie-Jo Church</w:t>
      </w:r>
    </w:p>
    <w:p w:rsidR="00772480" w:rsidRPr="00524A90" w:rsidRDefault="00772480" w:rsidP="00772480">
      <w:pPr>
        <w:jc w:val="center"/>
        <w:rPr>
          <w:rFonts w:eastAsiaTheme="minorHAnsi" w:cstheme="minorBidi"/>
          <w:lang w:eastAsia="en-US"/>
        </w:rPr>
      </w:pPr>
      <w:r w:rsidRPr="00524A90">
        <w:rPr>
          <w:rFonts w:eastAsiaTheme="minorHAnsi" w:cstheme="minorBidi"/>
          <w:lang w:eastAsia="en-US"/>
        </w:rPr>
        <w:t>Respondents</w:t>
      </w:r>
    </w:p>
    <w:p w:rsidR="00772480" w:rsidRPr="00524A90" w:rsidRDefault="00772480" w:rsidP="00772480">
      <w:pPr>
        <w:jc w:val="center"/>
        <w:rPr>
          <w:rFonts w:eastAsiaTheme="minorHAnsi" w:cstheme="minorBidi"/>
          <w:lang w:eastAsia="en-US"/>
        </w:rPr>
      </w:pPr>
      <w:r w:rsidRPr="00524A90">
        <w:rPr>
          <w:rFonts w:eastAsiaTheme="minorHAnsi" w:cstheme="minorBidi"/>
          <w:lang w:eastAsia="en-US"/>
        </w:rPr>
        <w:t xml:space="preserve">- </w:t>
      </w:r>
      <w:proofErr w:type="gramStart"/>
      <w:r w:rsidRPr="00524A90">
        <w:rPr>
          <w:rFonts w:eastAsiaTheme="minorHAnsi" w:cstheme="minorBidi"/>
          <w:lang w:eastAsia="en-US"/>
        </w:rPr>
        <w:t>and</w:t>
      </w:r>
      <w:proofErr w:type="gramEnd"/>
      <w:r w:rsidRPr="00524A90">
        <w:rPr>
          <w:rFonts w:eastAsiaTheme="minorHAnsi" w:cstheme="minorBidi"/>
          <w:lang w:eastAsia="en-US"/>
        </w:rPr>
        <w:t xml:space="preserve"> -</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 xml:space="preserve">Attorney General of Canada, Attorney General of Quebec, </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 xml:space="preserve">Attorney General of New Brunswick, Attorney General of British Columbia, </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 xml:space="preserve">Attorney General of Alberta, Ontario Federation of Agriculture, </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 xml:space="preserve">Federally Regulated Employers — Transportation and Communications, </w:t>
      </w:r>
    </w:p>
    <w:p w:rsidR="00772480" w:rsidRPr="00524A90" w:rsidRDefault="00772480" w:rsidP="00772480">
      <w:pPr>
        <w:jc w:val="center"/>
        <w:rPr>
          <w:rFonts w:eastAsiaTheme="minorHAnsi" w:cstheme="minorBidi"/>
          <w:b/>
          <w:lang w:eastAsia="en-US"/>
        </w:rPr>
      </w:pPr>
      <w:proofErr w:type="spellStart"/>
      <w:r w:rsidRPr="00524A90">
        <w:rPr>
          <w:rFonts w:eastAsiaTheme="minorHAnsi" w:cstheme="minorBidi"/>
          <w:b/>
          <w:lang w:eastAsia="en-US"/>
        </w:rPr>
        <w:t>Conseil</w:t>
      </w:r>
      <w:proofErr w:type="spellEnd"/>
      <w:r w:rsidRPr="00524A90">
        <w:rPr>
          <w:rFonts w:eastAsiaTheme="minorHAnsi" w:cstheme="minorBidi"/>
          <w:b/>
          <w:lang w:eastAsia="en-US"/>
        </w:rPr>
        <w:t xml:space="preserve"> du </w:t>
      </w:r>
      <w:proofErr w:type="spellStart"/>
      <w:r w:rsidRPr="00524A90">
        <w:rPr>
          <w:rFonts w:eastAsiaTheme="minorHAnsi" w:cstheme="minorBidi"/>
          <w:b/>
          <w:lang w:eastAsia="en-US"/>
        </w:rPr>
        <w:t>patronat</w:t>
      </w:r>
      <w:proofErr w:type="spellEnd"/>
      <w:r w:rsidRPr="00524A90">
        <w:rPr>
          <w:rFonts w:eastAsiaTheme="minorHAnsi" w:cstheme="minorBidi"/>
          <w:b/>
          <w:lang w:eastAsia="en-US"/>
        </w:rPr>
        <w:t xml:space="preserve"> du Québec Inc., Mounted Police Members’ Legal Fund, </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 xml:space="preserve">Canadian Employers Council, Coalition of BC Businesses, </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 xml:space="preserve">British Columbia Agriculture Council, </w:t>
      </w:r>
      <w:proofErr w:type="spellStart"/>
      <w:r w:rsidRPr="00524A90">
        <w:rPr>
          <w:rFonts w:eastAsiaTheme="minorHAnsi" w:cstheme="minorBidi"/>
          <w:b/>
          <w:lang w:eastAsia="en-US"/>
        </w:rPr>
        <w:t>Justicia</w:t>
      </w:r>
      <w:proofErr w:type="spellEnd"/>
      <w:r w:rsidRPr="00524A90">
        <w:rPr>
          <w:rFonts w:eastAsiaTheme="minorHAnsi" w:cstheme="minorBidi"/>
          <w:b/>
          <w:lang w:eastAsia="en-US"/>
        </w:rPr>
        <w:t xml:space="preserve"> for Migrant Workers, </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 xml:space="preserve">Industrial Accident Victims Group of Ontario, Canadian Labour Congress, </w:t>
      </w:r>
    </w:p>
    <w:p w:rsidR="00772480" w:rsidRPr="00524A90" w:rsidRDefault="00772480" w:rsidP="00772480">
      <w:pPr>
        <w:jc w:val="center"/>
        <w:rPr>
          <w:rFonts w:eastAsiaTheme="minorHAnsi" w:cstheme="minorBidi"/>
          <w:b/>
          <w:lang w:eastAsia="en-US"/>
        </w:rPr>
      </w:pPr>
      <w:r w:rsidRPr="00524A90">
        <w:rPr>
          <w:rFonts w:eastAsiaTheme="minorHAnsi" w:cstheme="minorBidi"/>
          <w:b/>
          <w:lang w:eastAsia="en-US"/>
        </w:rPr>
        <w:t>Canadian Police Association and Canadian Civil Liberties Association</w:t>
      </w:r>
    </w:p>
    <w:p w:rsidR="00772480" w:rsidRPr="00524A90" w:rsidRDefault="00772480" w:rsidP="00772480">
      <w:pPr>
        <w:jc w:val="center"/>
        <w:rPr>
          <w:rFonts w:eastAsiaTheme="minorHAnsi" w:cstheme="minorBidi"/>
          <w:lang w:eastAsia="en-US"/>
        </w:rPr>
      </w:pPr>
      <w:r w:rsidRPr="00524A90">
        <w:rPr>
          <w:rFonts w:eastAsiaTheme="minorHAnsi" w:cstheme="minorBidi"/>
          <w:lang w:eastAsia="en-US"/>
        </w:rPr>
        <w:t>Interveners</w:t>
      </w:r>
    </w:p>
    <w:p w:rsidR="00772480" w:rsidRPr="00524A90" w:rsidRDefault="00772480" w:rsidP="00772480">
      <w:pPr>
        <w:rPr>
          <w:rFonts w:eastAsiaTheme="minorHAnsi" w:cstheme="minorBidi"/>
          <w:b/>
          <w:smallCaps/>
          <w:lang w:eastAsia="en-US"/>
        </w:rPr>
      </w:pPr>
    </w:p>
    <w:p w:rsidR="00772480" w:rsidRPr="00524A90" w:rsidRDefault="00772480" w:rsidP="00772480">
      <w:pPr>
        <w:rPr>
          <w:rFonts w:eastAsiaTheme="minorHAnsi" w:cstheme="minorBidi"/>
          <w:lang w:eastAsia="en-US"/>
        </w:rPr>
      </w:pPr>
      <w:r w:rsidRPr="00524A90">
        <w:rPr>
          <w:rFonts w:eastAsiaTheme="minorHAnsi" w:cstheme="minorBidi"/>
          <w:b/>
          <w:smallCaps/>
          <w:lang w:eastAsia="en-US"/>
        </w:rPr>
        <w:t>Coram:</w:t>
      </w:r>
      <w:r w:rsidRPr="00524A90">
        <w:rPr>
          <w:rFonts w:eastAsiaTheme="minorHAnsi" w:cstheme="minorBidi"/>
          <w:lang w:eastAsia="en-US"/>
        </w:rPr>
        <w:t xml:space="preserve"> </w:t>
      </w:r>
      <w:proofErr w:type="spellStart"/>
      <w:r w:rsidRPr="00524A90">
        <w:rPr>
          <w:rFonts w:eastAsiaTheme="minorHAnsi" w:cstheme="minorBidi"/>
          <w:lang w:eastAsia="en-US"/>
        </w:rPr>
        <w:t>McLachlin</w:t>
      </w:r>
      <w:proofErr w:type="spellEnd"/>
      <w:r w:rsidRPr="00524A90">
        <w:rPr>
          <w:rFonts w:eastAsiaTheme="minorHAnsi" w:cstheme="minorBidi"/>
          <w:lang w:eastAsia="en-US"/>
        </w:rPr>
        <w:t xml:space="preserve"> C.J. and </w:t>
      </w:r>
      <w:proofErr w:type="spellStart"/>
      <w:r w:rsidRPr="00524A90">
        <w:rPr>
          <w:rFonts w:eastAsiaTheme="minorHAnsi" w:cstheme="minorBidi"/>
          <w:lang w:eastAsia="en-US"/>
        </w:rPr>
        <w:t>Binnie</w:t>
      </w:r>
      <w:proofErr w:type="spellEnd"/>
      <w:r w:rsidRPr="00524A90">
        <w:rPr>
          <w:rFonts w:eastAsiaTheme="minorHAnsi" w:cstheme="minorBidi"/>
          <w:lang w:eastAsia="en-US"/>
        </w:rPr>
        <w:t xml:space="preserve">, </w:t>
      </w:r>
      <w:proofErr w:type="spellStart"/>
      <w:r w:rsidRPr="00524A90">
        <w:rPr>
          <w:rFonts w:eastAsiaTheme="minorHAnsi" w:cstheme="minorBidi"/>
          <w:lang w:eastAsia="en-US"/>
        </w:rPr>
        <w:t>LeBel</w:t>
      </w:r>
      <w:proofErr w:type="spellEnd"/>
      <w:r w:rsidRPr="00524A90">
        <w:rPr>
          <w:rFonts w:eastAsiaTheme="minorHAnsi" w:cstheme="minorBidi"/>
          <w:lang w:eastAsia="en-US"/>
        </w:rPr>
        <w:t xml:space="preserve">, </w:t>
      </w:r>
      <w:proofErr w:type="spellStart"/>
      <w:r w:rsidRPr="00524A90">
        <w:rPr>
          <w:rFonts w:eastAsiaTheme="minorHAnsi" w:cstheme="minorBidi"/>
          <w:lang w:eastAsia="en-US"/>
        </w:rPr>
        <w:t>Deschamps</w:t>
      </w:r>
      <w:proofErr w:type="spellEnd"/>
      <w:r w:rsidRPr="00524A90">
        <w:rPr>
          <w:rFonts w:eastAsiaTheme="minorHAnsi" w:cstheme="minorBidi"/>
          <w:lang w:eastAsia="en-US"/>
        </w:rPr>
        <w:t xml:space="preserve">, Fish, </w:t>
      </w:r>
      <w:proofErr w:type="spellStart"/>
      <w:r w:rsidRPr="00524A90">
        <w:rPr>
          <w:rFonts w:eastAsiaTheme="minorHAnsi" w:cstheme="minorBidi"/>
          <w:lang w:eastAsia="en-US"/>
        </w:rPr>
        <w:t>Abella</w:t>
      </w:r>
      <w:proofErr w:type="spellEnd"/>
      <w:r w:rsidRPr="00524A90">
        <w:rPr>
          <w:rFonts w:eastAsiaTheme="minorHAnsi" w:cstheme="minorBidi"/>
          <w:lang w:eastAsia="en-US"/>
        </w:rPr>
        <w:t xml:space="preserve">, </w:t>
      </w:r>
      <w:proofErr w:type="spellStart"/>
      <w:r w:rsidRPr="00524A90">
        <w:rPr>
          <w:rFonts w:eastAsiaTheme="minorHAnsi" w:cstheme="minorBidi"/>
          <w:lang w:eastAsia="en-US"/>
        </w:rPr>
        <w:t>Charron</w:t>
      </w:r>
      <w:proofErr w:type="spellEnd"/>
      <w:r w:rsidRPr="00524A90">
        <w:rPr>
          <w:rFonts w:eastAsiaTheme="minorHAnsi" w:cstheme="minorBidi"/>
          <w:lang w:eastAsia="en-US"/>
        </w:rPr>
        <w:t>, Rothstein and Cromwell JJ.</w:t>
      </w:r>
    </w:p>
    <w:p w:rsidR="00772480" w:rsidRPr="00524A90" w:rsidRDefault="00772480" w:rsidP="00772480">
      <w:pPr>
        <w:rPr>
          <w:rFonts w:eastAsiaTheme="minorHAnsi" w:cstheme="minorBidi"/>
          <w:lang w:eastAsia="en-US"/>
        </w:rPr>
      </w:pPr>
    </w:p>
    <w:tbl>
      <w:tblPr>
        <w:tblW w:w="0" w:type="auto"/>
        <w:tblLayout w:type="fixed"/>
        <w:tblCellMar>
          <w:top w:w="58" w:type="dxa"/>
          <w:left w:w="58" w:type="dxa"/>
          <w:bottom w:w="58" w:type="dxa"/>
          <w:right w:w="58" w:type="dxa"/>
        </w:tblCellMar>
        <w:tblLook w:val="04A0"/>
      </w:tblPr>
      <w:tblGrid>
        <w:gridCol w:w="3618"/>
        <w:gridCol w:w="5958"/>
      </w:tblGrid>
      <w:tr w:rsidR="00772480" w:rsidRPr="00772480" w:rsidTr="00F67C96">
        <w:trPr>
          <w:cantSplit/>
        </w:trPr>
        <w:tc>
          <w:tcPr>
            <w:tcW w:w="3618" w:type="dxa"/>
          </w:tcPr>
          <w:p w:rsidR="00772480" w:rsidRPr="00524A90" w:rsidRDefault="00772480" w:rsidP="00F67C96">
            <w:pPr>
              <w:rPr>
                <w:b/>
                <w:smallCaps/>
              </w:rPr>
            </w:pPr>
            <w:r w:rsidRPr="00524A90">
              <w:rPr>
                <w:b/>
                <w:smallCaps/>
              </w:rPr>
              <w:t>Reasons for judgment:</w:t>
            </w:r>
          </w:p>
          <w:p w:rsidR="00772480" w:rsidRPr="00524A90" w:rsidRDefault="00772480" w:rsidP="00F67C96">
            <w:r w:rsidRPr="00524A90">
              <w:t>(</w:t>
            </w:r>
            <w:proofErr w:type="spellStart"/>
            <w:r w:rsidRPr="00524A90">
              <w:t>paras</w:t>
            </w:r>
            <w:proofErr w:type="spellEnd"/>
            <w:r w:rsidRPr="00524A90">
              <w:t xml:space="preserve">. 1 to 118): </w:t>
            </w:r>
          </w:p>
          <w:p w:rsidR="00772480" w:rsidRPr="00524A90" w:rsidRDefault="00772480" w:rsidP="00F67C96">
            <w:pPr>
              <w:rPr>
                <w:b/>
                <w:smallCaps/>
              </w:rPr>
            </w:pPr>
          </w:p>
          <w:p w:rsidR="00772480" w:rsidRPr="00524A90" w:rsidRDefault="00772480" w:rsidP="00F67C96">
            <w:r w:rsidRPr="00524A90">
              <w:rPr>
                <w:b/>
                <w:smallCaps/>
              </w:rPr>
              <w:t xml:space="preserve">Reasons concurring in the result </w:t>
            </w:r>
            <w:r w:rsidRPr="00524A90">
              <w:t>(</w:t>
            </w:r>
            <w:proofErr w:type="spellStart"/>
            <w:r w:rsidRPr="00524A90">
              <w:t>paras</w:t>
            </w:r>
            <w:proofErr w:type="spellEnd"/>
            <w:r w:rsidRPr="00524A90">
              <w:t xml:space="preserve">. 119 to 296): </w:t>
            </w:r>
          </w:p>
          <w:p w:rsidR="00772480" w:rsidRPr="00524A90" w:rsidRDefault="00772480" w:rsidP="00F67C96">
            <w:pPr>
              <w:rPr>
                <w:b/>
                <w:smallCaps/>
              </w:rPr>
            </w:pPr>
          </w:p>
          <w:p w:rsidR="00772480" w:rsidRPr="00524A90" w:rsidRDefault="00772480" w:rsidP="00F67C96">
            <w:r w:rsidRPr="00524A90">
              <w:rPr>
                <w:b/>
                <w:smallCaps/>
              </w:rPr>
              <w:t xml:space="preserve">Reasons concurring in the result </w:t>
            </w:r>
            <w:r w:rsidRPr="00524A90">
              <w:t>(</w:t>
            </w:r>
            <w:proofErr w:type="spellStart"/>
            <w:r w:rsidRPr="00524A90">
              <w:t>paras</w:t>
            </w:r>
            <w:proofErr w:type="spellEnd"/>
            <w:r w:rsidRPr="00524A90">
              <w:t xml:space="preserve">. 297 to 320): </w:t>
            </w:r>
          </w:p>
          <w:p w:rsidR="00772480" w:rsidRPr="00524A90" w:rsidRDefault="00772480" w:rsidP="00F67C96">
            <w:pPr>
              <w:rPr>
                <w:b/>
                <w:smallCaps/>
              </w:rPr>
            </w:pPr>
          </w:p>
          <w:p w:rsidR="00772480" w:rsidRPr="00524A90" w:rsidRDefault="00772480" w:rsidP="00F67C96">
            <w:pPr>
              <w:rPr>
                <w:b/>
                <w:smallCaps/>
              </w:rPr>
            </w:pPr>
            <w:r w:rsidRPr="00524A90">
              <w:rPr>
                <w:b/>
                <w:smallCaps/>
              </w:rPr>
              <w:t xml:space="preserve">Dissenting reasons </w:t>
            </w:r>
          </w:p>
          <w:p w:rsidR="00772480" w:rsidRPr="00524A90" w:rsidRDefault="00772480" w:rsidP="00F67C96">
            <w:r w:rsidRPr="00524A90">
              <w:t>(</w:t>
            </w:r>
            <w:proofErr w:type="spellStart"/>
            <w:r w:rsidRPr="00524A90">
              <w:t>paras</w:t>
            </w:r>
            <w:proofErr w:type="spellEnd"/>
            <w:r w:rsidRPr="00524A90">
              <w:t>. 321 to 369):</w:t>
            </w:r>
          </w:p>
        </w:tc>
        <w:tc>
          <w:tcPr>
            <w:tcW w:w="5958" w:type="dxa"/>
          </w:tcPr>
          <w:p w:rsidR="00772480" w:rsidRPr="00524A90" w:rsidRDefault="00772480" w:rsidP="00F67C96">
            <w:proofErr w:type="spellStart"/>
            <w:r w:rsidRPr="00524A90">
              <w:t>McLachlin</w:t>
            </w:r>
            <w:proofErr w:type="spellEnd"/>
            <w:r w:rsidRPr="00524A90">
              <w:t xml:space="preserve"> C.J. and </w:t>
            </w:r>
            <w:proofErr w:type="spellStart"/>
            <w:r w:rsidRPr="00524A90">
              <w:t>LeBel</w:t>
            </w:r>
            <w:proofErr w:type="spellEnd"/>
            <w:r w:rsidRPr="00524A90">
              <w:t xml:space="preserve"> J. (</w:t>
            </w:r>
            <w:proofErr w:type="spellStart"/>
            <w:r w:rsidRPr="00524A90">
              <w:t>Binnie</w:t>
            </w:r>
            <w:proofErr w:type="spellEnd"/>
            <w:r w:rsidRPr="00524A90">
              <w:t>, Fish and Cromwell JJ. concurring)</w:t>
            </w:r>
          </w:p>
          <w:p w:rsidR="00772480" w:rsidRPr="00524A90" w:rsidRDefault="00772480" w:rsidP="00F67C96"/>
          <w:p w:rsidR="00772480" w:rsidRPr="00524A90" w:rsidRDefault="00772480" w:rsidP="00F67C96">
            <w:pPr>
              <w:rPr>
                <w:lang w:val="fr-CA"/>
              </w:rPr>
            </w:pPr>
            <w:proofErr w:type="spellStart"/>
            <w:r w:rsidRPr="00524A90">
              <w:rPr>
                <w:lang w:val="fr-CA"/>
              </w:rPr>
              <w:t>Rothstein</w:t>
            </w:r>
            <w:proofErr w:type="spellEnd"/>
            <w:r w:rsidRPr="00524A90">
              <w:rPr>
                <w:lang w:val="fr-CA"/>
              </w:rPr>
              <w:t xml:space="preserve"> J. (Charron J. </w:t>
            </w:r>
            <w:proofErr w:type="spellStart"/>
            <w:r w:rsidRPr="00524A90">
              <w:rPr>
                <w:lang w:val="fr-CA"/>
              </w:rPr>
              <w:t>concurring</w:t>
            </w:r>
            <w:proofErr w:type="spellEnd"/>
            <w:r w:rsidRPr="00524A90">
              <w:rPr>
                <w:lang w:val="fr-CA"/>
              </w:rPr>
              <w:t>)</w:t>
            </w:r>
          </w:p>
          <w:p w:rsidR="00772480" w:rsidRPr="00524A90" w:rsidRDefault="00772480" w:rsidP="00F67C96">
            <w:pPr>
              <w:rPr>
                <w:lang w:val="fr-CA"/>
              </w:rPr>
            </w:pPr>
          </w:p>
          <w:p w:rsidR="00772480" w:rsidRPr="00524A90" w:rsidRDefault="00772480" w:rsidP="00F67C96">
            <w:pPr>
              <w:rPr>
                <w:lang w:val="fr-CA"/>
              </w:rPr>
            </w:pPr>
          </w:p>
          <w:p w:rsidR="00772480" w:rsidRPr="00524A90" w:rsidRDefault="00772480" w:rsidP="00F67C96">
            <w:pPr>
              <w:rPr>
                <w:lang w:val="fr-CA"/>
              </w:rPr>
            </w:pPr>
            <w:r w:rsidRPr="00524A90">
              <w:rPr>
                <w:lang w:val="fr-CA"/>
              </w:rPr>
              <w:t>Deschamps J.</w:t>
            </w:r>
          </w:p>
          <w:p w:rsidR="00772480" w:rsidRPr="00524A90" w:rsidRDefault="00772480" w:rsidP="00F67C96">
            <w:pPr>
              <w:rPr>
                <w:lang w:val="fr-CA"/>
              </w:rPr>
            </w:pPr>
          </w:p>
          <w:p w:rsidR="00772480" w:rsidRPr="00524A90" w:rsidRDefault="00772480" w:rsidP="00F67C96">
            <w:pPr>
              <w:rPr>
                <w:lang w:val="fr-CA"/>
              </w:rPr>
            </w:pPr>
          </w:p>
          <w:p w:rsidR="00772480" w:rsidRPr="00524A90" w:rsidRDefault="00772480" w:rsidP="00F67C96">
            <w:pPr>
              <w:rPr>
                <w:lang w:val="fr-CA"/>
              </w:rPr>
            </w:pPr>
            <w:r w:rsidRPr="00524A90">
              <w:rPr>
                <w:lang w:val="fr-CA"/>
              </w:rPr>
              <w:t>Abella J.</w:t>
            </w:r>
          </w:p>
          <w:p w:rsidR="00772480" w:rsidRPr="00524A90" w:rsidRDefault="00772480" w:rsidP="00F67C96">
            <w:pPr>
              <w:rPr>
                <w:lang w:val="fr-CA"/>
              </w:rPr>
            </w:pPr>
          </w:p>
        </w:tc>
      </w:tr>
    </w:tbl>
    <w:p w:rsidR="00772480" w:rsidRPr="00524A90" w:rsidRDefault="00772480" w:rsidP="00772480">
      <w:pPr>
        <w:rPr>
          <w:rStyle w:val="SCCAppellantForRunningHeadChar"/>
          <w:lang w:val="fr-CA"/>
        </w:rPr>
        <w:sectPr w:rsidR="00772480" w:rsidRPr="00524A90" w:rsidSect="00835186">
          <w:headerReference w:type="even" r:id="rId10"/>
          <w:pgSz w:w="12240" w:h="15840"/>
          <w:pgMar w:top="1440" w:right="1440" w:bottom="1440" w:left="1440" w:header="720" w:footer="720" w:gutter="0"/>
          <w:cols w:space="720"/>
          <w:docGrid w:linePitch="326"/>
        </w:sectPr>
      </w:pPr>
      <w:r w:rsidRPr="002533C8">
        <w:rPr>
          <w:rFonts w:eastAsiaTheme="minorHAnsi" w:cstheme="minorBidi"/>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8322BD" w:rsidRPr="001426A9" w:rsidRDefault="00FA6B99" w:rsidP="0035169A">
      <w:pPr>
        <w:spacing w:line="480" w:lineRule="auto"/>
        <w:jc w:val="both"/>
      </w:pPr>
      <w:r w:rsidRPr="00FA6B99">
        <w:rPr>
          <w:rStyle w:val="SCCAppellantForIndexChar"/>
          <w:b w:val="0"/>
        </w:rPr>
        <w:lastRenderedPageBreak/>
        <w:t>Ontario</w:t>
      </w:r>
      <w:r w:rsidRPr="00FA6B99">
        <w:rPr>
          <w:b/>
        </w:rPr>
        <w:t xml:space="preserve"> (</w:t>
      </w:r>
      <w:r w:rsidRPr="00FA6B99">
        <w:rPr>
          <w:rStyle w:val="SCCAppellantForIndexChar"/>
          <w:b w:val="0"/>
        </w:rPr>
        <w:t xml:space="preserve">Attorney General) </w:t>
      </w:r>
      <w:r w:rsidRPr="00FA6B99">
        <w:rPr>
          <w:i/>
        </w:rPr>
        <w:t>v.</w:t>
      </w:r>
      <w:r w:rsidRPr="00FA6B99">
        <w:t xml:space="preserve"> </w:t>
      </w:r>
      <w:r w:rsidRPr="00FA6B99">
        <w:rPr>
          <w:rStyle w:val="SCCRespondentForIndexChar"/>
          <w:b w:val="0"/>
        </w:rPr>
        <w:t>Fraser</w:t>
      </w:r>
      <w:r>
        <w:rPr>
          <w:rStyle w:val="SCCRespondentForRunningHeadChar"/>
        </w:rPr>
        <w:t xml:space="preserve">, </w:t>
      </w:r>
      <w:r w:rsidRPr="00FA6B99">
        <w:rPr>
          <w:rStyle w:val="SCCRespondentForRunningHeadChar"/>
          <w:lang w:val="en-US"/>
        </w:rPr>
        <w:t xml:space="preserve">2011 SCC 20, [2011] </w:t>
      </w:r>
      <w:r w:rsidR="00115E35">
        <w:rPr>
          <w:rStyle w:val="SCCRespondentForRunningHeadChar"/>
          <w:lang w:val="en-US"/>
        </w:rPr>
        <w:t>2</w:t>
      </w:r>
      <w:r w:rsidRPr="00FA6B99">
        <w:rPr>
          <w:rStyle w:val="SCCRespondentForRunningHeadChar"/>
          <w:lang w:val="en-US"/>
        </w:rPr>
        <w:t xml:space="preserve"> S.C.R. 3</w:t>
      </w:r>
    </w:p>
    <w:p w:rsidR="00766D14" w:rsidRDefault="00766D14" w:rsidP="00FC4EFB">
      <w:pPr>
        <w:jc w:val="both"/>
      </w:pPr>
    </w:p>
    <w:p w:rsidR="00A149DF" w:rsidRPr="001426A9" w:rsidRDefault="00A149DF" w:rsidP="00FC4EFB">
      <w:pPr>
        <w:jc w:val="both"/>
      </w:pPr>
    </w:p>
    <w:p w:rsidR="005C2295" w:rsidRDefault="0033461B" w:rsidP="00314188">
      <w:pPr>
        <w:pStyle w:val="SCCLsocParty"/>
        <w:tabs>
          <w:tab w:val="right" w:pos="8280"/>
        </w:tabs>
        <w:rPr>
          <w:b/>
          <w:i/>
        </w:rPr>
      </w:pPr>
      <w:r w:rsidRPr="00F258CD">
        <w:rPr>
          <w:b/>
        </w:rPr>
        <w:t>Attorney General of Ontario</w:t>
      </w:r>
      <w:r w:rsidR="00314188">
        <w:tab/>
      </w:r>
      <w:r w:rsidRPr="00314188">
        <w:rPr>
          <w:i/>
        </w:rPr>
        <w:t>Appellant</w:t>
      </w:r>
    </w:p>
    <w:p w:rsidR="00314188" w:rsidRPr="00314188" w:rsidRDefault="00314188" w:rsidP="00314188"/>
    <w:p w:rsidR="005C2295" w:rsidRPr="008D2013" w:rsidRDefault="0033461B">
      <w:pPr>
        <w:pStyle w:val="SCCLsocVersus"/>
        <w:rPr>
          <w:i/>
        </w:rPr>
      </w:pPr>
      <w:proofErr w:type="gramStart"/>
      <w:r w:rsidRPr="008D2013">
        <w:rPr>
          <w:i/>
        </w:rPr>
        <w:t>v</w:t>
      </w:r>
      <w:proofErr w:type="gramEnd"/>
      <w:r w:rsidRPr="008D2013">
        <w:rPr>
          <w:i/>
        </w:rPr>
        <w:t>.</w:t>
      </w:r>
      <w:r w:rsidRPr="008D2013">
        <w:rPr>
          <w:i/>
        </w:rPr>
        <w:br/>
      </w:r>
    </w:p>
    <w:p w:rsidR="00E4676B" w:rsidRPr="00F258CD" w:rsidRDefault="0033461B" w:rsidP="00F258CD">
      <w:pPr>
        <w:pStyle w:val="SCCLsocParty"/>
        <w:spacing w:after="0"/>
        <w:rPr>
          <w:b/>
        </w:rPr>
      </w:pPr>
      <w:r w:rsidRPr="00F258CD">
        <w:rPr>
          <w:b/>
        </w:rPr>
        <w:t>Michael J. Fraser on his own behalf and on behalf of the</w:t>
      </w:r>
    </w:p>
    <w:p w:rsidR="005C2295" w:rsidRPr="00F258CD" w:rsidRDefault="0033461B" w:rsidP="00F258CD">
      <w:pPr>
        <w:pStyle w:val="SCCLsocParty"/>
        <w:spacing w:after="0"/>
        <w:rPr>
          <w:b/>
        </w:rPr>
      </w:pPr>
      <w:r w:rsidRPr="00F258CD">
        <w:rPr>
          <w:b/>
        </w:rPr>
        <w:t xml:space="preserve">United Food and Commercial Workers Union Canada, </w:t>
      </w:r>
    </w:p>
    <w:p w:rsidR="005C2295" w:rsidRDefault="0033461B" w:rsidP="00314188">
      <w:pPr>
        <w:pStyle w:val="SCCLsocParty"/>
        <w:tabs>
          <w:tab w:val="right" w:pos="8280"/>
        </w:tabs>
        <w:rPr>
          <w:b/>
          <w:i/>
        </w:rPr>
      </w:pPr>
      <w:r w:rsidRPr="00F258CD">
        <w:rPr>
          <w:b/>
        </w:rPr>
        <w:t xml:space="preserve">Xin Yuan Liu, Julia </w:t>
      </w:r>
      <w:proofErr w:type="spellStart"/>
      <w:r w:rsidRPr="00F258CD">
        <w:rPr>
          <w:b/>
        </w:rPr>
        <w:t>McGorman</w:t>
      </w:r>
      <w:proofErr w:type="spellEnd"/>
      <w:r w:rsidRPr="00F258CD">
        <w:rPr>
          <w:b/>
        </w:rPr>
        <w:t xml:space="preserve"> and </w:t>
      </w:r>
      <w:proofErr w:type="spellStart"/>
      <w:r w:rsidRPr="00F258CD">
        <w:rPr>
          <w:b/>
        </w:rPr>
        <w:t>Billie</w:t>
      </w:r>
      <w:r w:rsidR="00F02F88" w:rsidRPr="00F258CD">
        <w:rPr>
          <w:b/>
        </w:rPr>
        <w:noBreakHyphen/>
      </w:r>
      <w:r w:rsidRPr="00F258CD">
        <w:rPr>
          <w:b/>
        </w:rPr>
        <w:t>Jo</w:t>
      </w:r>
      <w:proofErr w:type="spellEnd"/>
      <w:r w:rsidRPr="00F258CD">
        <w:rPr>
          <w:b/>
        </w:rPr>
        <w:t xml:space="preserve"> Church</w:t>
      </w:r>
      <w:r w:rsidR="00314188">
        <w:tab/>
      </w:r>
      <w:r w:rsidRPr="00314188">
        <w:rPr>
          <w:i/>
        </w:rPr>
        <w:t>Respondents</w:t>
      </w:r>
    </w:p>
    <w:p w:rsidR="00314188" w:rsidRPr="00314188" w:rsidRDefault="00314188" w:rsidP="00314188"/>
    <w:p w:rsidR="00314188" w:rsidRDefault="008C168F">
      <w:pPr>
        <w:pStyle w:val="SCCLsocOtherPartySeparator"/>
      </w:pPr>
      <w:proofErr w:type="gramStart"/>
      <w:r>
        <w:t>a</w:t>
      </w:r>
      <w:r w:rsidR="0033461B">
        <w:t>nd</w:t>
      </w:r>
      <w:proofErr w:type="gramEnd"/>
    </w:p>
    <w:p w:rsidR="00314188" w:rsidRDefault="00314188">
      <w:pPr>
        <w:pStyle w:val="SCCLsocParty"/>
      </w:pPr>
    </w:p>
    <w:p w:rsidR="005C2295" w:rsidRPr="00F258CD" w:rsidRDefault="0033461B" w:rsidP="00F258CD">
      <w:pPr>
        <w:pStyle w:val="SCCLsocParty"/>
        <w:spacing w:after="0"/>
        <w:rPr>
          <w:b/>
        </w:rPr>
      </w:pPr>
      <w:r w:rsidRPr="00F258CD">
        <w:rPr>
          <w:b/>
        </w:rPr>
        <w:t xml:space="preserve">Attorney General of Canada, </w:t>
      </w:r>
    </w:p>
    <w:p w:rsidR="005C2295" w:rsidRPr="00F258CD" w:rsidRDefault="0033461B" w:rsidP="00F258CD">
      <w:pPr>
        <w:pStyle w:val="SCCLsocParty"/>
        <w:spacing w:after="0"/>
        <w:rPr>
          <w:b/>
        </w:rPr>
      </w:pPr>
      <w:r w:rsidRPr="00F258CD">
        <w:rPr>
          <w:b/>
        </w:rPr>
        <w:t xml:space="preserve">Attorney General of Quebec, </w:t>
      </w:r>
    </w:p>
    <w:p w:rsidR="005C2295" w:rsidRPr="00F258CD" w:rsidRDefault="0033461B" w:rsidP="00F258CD">
      <w:pPr>
        <w:pStyle w:val="SCCLsocParty"/>
        <w:spacing w:after="0"/>
        <w:rPr>
          <w:b/>
        </w:rPr>
      </w:pPr>
      <w:r w:rsidRPr="00F258CD">
        <w:rPr>
          <w:b/>
        </w:rPr>
        <w:t xml:space="preserve">Attorney General of New Brunswick, </w:t>
      </w:r>
    </w:p>
    <w:p w:rsidR="005C2295" w:rsidRPr="00F258CD" w:rsidRDefault="0033461B" w:rsidP="00F258CD">
      <w:pPr>
        <w:pStyle w:val="SCCLsocParty"/>
        <w:spacing w:after="0"/>
        <w:rPr>
          <w:b/>
        </w:rPr>
      </w:pPr>
      <w:r w:rsidRPr="00F258CD">
        <w:rPr>
          <w:b/>
        </w:rPr>
        <w:t xml:space="preserve">Attorney General of British Columbia, </w:t>
      </w:r>
    </w:p>
    <w:p w:rsidR="005C2295" w:rsidRPr="00F258CD" w:rsidRDefault="0033461B" w:rsidP="00F258CD">
      <w:pPr>
        <w:pStyle w:val="SCCLsocParty"/>
        <w:spacing w:after="0"/>
        <w:rPr>
          <w:b/>
        </w:rPr>
      </w:pPr>
      <w:r w:rsidRPr="00F258CD">
        <w:rPr>
          <w:b/>
        </w:rPr>
        <w:t xml:space="preserve">Attorney General of Alberta, </w:t>
      </w:r>
    </w:p>
    <w:p w:rsidR="005C2295" w:rsidRPr="00F258CD" w:rsidRDefault="0033461B" w:rsidP="00F258CD">
      <w:pPr>
        <w:pStyle w:val="SCCLsocParty"/>
        <w:spacing w:after="0"/>
        <w:rPr>
          <w:b/>
        </w:rPr>
      </w:pPr>
      <w:r w:rsidRPr="00F258CD">
        <w:rPr>
          <w:b/>
        </w:rPr>
        <w:t xml:space="preserve">Ontario Federation of Agriculture, </w:t>
      </w:r>
    </w:p>
    <w:p w:rsidR="005C2295" w:rsidRPr="00F258CD" w:rsidRDefault="0033461B" w:rsidP="00F258CD">
      <w:pPr>
        <w:pStyle w:val="SCCLsocParty"/>
        <w:spacing w:after="0"/>
        <w:rPr>
          <w:b/>
        </w:rPr>
      </w:pPr>
      <w:r w:rsidRPr="00F258CD">
        <w:rPr>
          <w:b/>
        </w:rPr>
        <w:t xml:space="preserve">Federally Regulated Employers </w:t>
      </w:r>
      <w:r w:rsidR="00327E6D" w:rsidRPr="00F258CD">
        <w:rPr>
          <w:b/>
        </w:rPr>
        <w:t xml:space="preserve">— </w:t>
      </w:r>
      <w:r w:rsidRPr="00F258CD">
        <w:rPr>
          <w:b/>
        </w:rPr>
        <w:t xml:space="preserve">Transportation and Communications, </w:t>
      </w:r>
    </w:p>
    <w:p w:rsidR="005C2295" w:rsidRPr="00F258CD" w:rsidRDefault="0033461B" w:rsidP="00F258CD">
      <w:pPr>
        <w:pStyle w:val="SCCLsocParty"/>
        <w:spacing w:after="0"/>
        <w:rPr>
          <w:b/>
          <w:lang w:val="fr-CA"/>
        </w:rPr>
      </w:pPr>
      <w:r w:rsidRPr="00F258CD">
        <w:rPr>
          <w:b/>
          <w:lang w:val="fr-CA"/>
        </w:rPr>
        <w:t xml:space="preserve">Conseil du </w:t>
      </w:r>
      <w:r w:rsidRPr="00E534BC">
        <w:rPr>
          <w:b/>
          <w:lang w:val="fr-CA"/>
        </w:rPr>
        <w:t>patronat</w:t>
      </w:r>
      <w:r w:rsidRPr="00F258CD">
        <w:rPr>
          <w:b/>
          <w:lang w:val="fr-CA"/>
        </w:rPr>
        <w:t xml:space="preserve"> du Québec Inc., </w:t>
      </w:r>
    </w:p>
    <w:p w:rsidR="005C2295" w:rsidRPr="00F258CD" w:rsidRDefault="0033461B" w:rsidP="00F258CD">
      <w:pPr>
        <w:pStyle w:val="SCCLsocParty"/>
        <w:spacing w:after="0"/>
        <w:rPr>
          <w:b/>
        </w:rPr>
      </w:pPr>
      <w:r w:rsidRPr="00F258CD">
        <w:rPr>
          <w:b/>
        </w:rPr>
        <w:t>Mounted Police Members</w:t>
      </w:r>
      <w:r w:rsidR="00327E6D" w:rsidRPr="00F258CD">
        <w:rPr>
          <w:b/>
        </w:rPr>
        <w:t>’</w:t>
      </w:r>
      <w:r w:rsidRPr="00F258CD">
        <w:rPr>
          <w:b/>
        </w:rPr>
        <w:t xml:space="preserve"> Legal Fund, </w:t>
      </w:r>
    </w:p>
    <w:p w:rsidR="005C2295" w:rsidRPr="00F258CD" w:rsidRDefault="0033461B" w:rsidP="00F258CD">
      <w:pPr>
        <w:pStyle w:val="SCCLsocParty"/>
        <w:spacing w:after="0"/>
        <w:rPr>
          <w:b/>
        </w:rPr>
      </w:pPr>
      <w:r w:rsidRPr="00F258CD">
        <w:rPr>
          <w:b/>
        </w:rPr>
        <w:t xml:space="preserve">Canadian Employers Council, </w:t>
      </w:r>
    </w:p>
    <w:p w:rsidR="005C2295" w:rsidRPr="00F258CD" w:rsidRDefault="0033461B" w:rsidP="00F258CD">
      <w:pPr>
        <w:pStyle w:val="SCCLsocParty"/>
        <w:spacing w:after="0"/>
        <w:rPr>
          <w:b/>
        </w:rPr>
      </w:pPr>
      <w:r w:rsidRPr="00F258CD">
        <w:rPr>
          <w:b/>
        </w:rPr>
        <w:t>Coalition of BC Businesses</w:t>
      </w:r>
      <w:r w:rsidR="00327E6D" w:rsidRPr="00F258CD">
        <w:rPr>
          <w:b/>
        </w:rPr>
        <w:t>,</w:t>
      </w:r>
      <w:r w:rsidRPr="00F258CD">
        <w:rPr>
          <w:b/>
        </w:rPr>
        <w:t xml:space="preserve"> British Columbia Agriculture Council, </w:t>
      </w:r>
    </w:p>
    <w:p w:rsidR="005C2295" w:rsidRPr="00F258CD" w:rsidRDefault="0033461B" w:rsidP="00F258CD">
      <w:pPr>
        <w:pStyle w:val="SCCLsocParty"/>
        <w:spacing w:after="0"/>
        <w:rPr>
          <w:b/>
        </w:rPr>
      </w:pPr>
      <w:r w:rsidRPr="00F258CD">
        <w:rPr>
          <w:b/>
        </w:rPr>
        <w:t>Justicia for Migrant Workers</w:t>
      </w:r>
      <w:r w:rsidR="00327E6D" w:rsidRPr="00F258CD">
        <w:rPr>
          <w:b/>
        </w:rPr>
        <w:t>,</w:t>
      </w:r>
      <w:r w:rsidRPr="00F258CD">
        <w:rPr>
          <w:b/>
        </w:rPr>
        <w:t xml:space="preserve"> Industrial Accident Victims Group of Ontario, </w:t>
      </w:r>
    </w:p>
    <w:p w:rsidR="005C2295" w:rsidRPr="00F258CD" w:rsidRDefault="0033461B" w:rsidP="00F258CD">
      <w:pPr>
        <w:pStyle w:val="SCCLsocParty"/>
        <w:spacing w:after="0"/>
        <w:rPr>
          <w:b/>
        </w:rPr>
      </w:pPr>
      <w:r w:rsidRPr="00F258CD">
        <w:rPr>
          <w:b/>
        </w:rPr>
        <w:t xml:space="preserve">Canadian Labour Congress, </w:t>
      </w:r>
    </w:p>
    <w:p w:rsidR="005C2295" w:rsidRPr="00F258CD" w:rsidRDefault="0033461B" w:rsidP="00F258CD">
      <w:pPr>
        <w:pStyle w:val="SCCLsocParty"/>
        <w:spacing w:after="0"/>
        <w:rPr>
          <w:b/>
        </w:rPr>
      </w:pPr>
      <w:r w:rsidRPr="00F258CD">
        <w:rPr>
          <w:b/>
        </w:rPr>
        <w:t>Canadian Police Association</w:t>
      </w:r>
      <w:r w:rsidR="00327E6D" w:rsidRPr="00F258CD">
        <w:rPr>
          <w:b/>
        </w:rPr>
        <w:t xml:space="preserve"> and</w:t>
      </w:r>
      <w:r w:rsidRPr="00F258CD">
        <w:rPr>
          <w:b/>
        </w:rPr>
        <w:t xml:space="preserve"> </w:t>
      </w:r>
    </w:p>
    <w:p w:rsidR="005C2295" w:rsidRPr="00E4676B" w:rsidRDefault="0033461B" w:rsidP="00E4676B">
      <w:pPr>
        <w:pStyle w:val="SCCLsocParty"/>
        <w:tabs>
          <w:tab w:val="right" w:pos="8280"/>
        </w:tabs>
        <w:rPr>
          <w:b/>
          <w:i/>
        </w:rPr>
      </w:pPr>
      <w:r w:rsidRPr="00F258CD">
        <w:rPr>
          <w:b/>
        </w:rPr>
        <w:t>Canadian Civil Liberties Association</w:t>
      </w:r>
      <w:r w:rsidR="00E4676B">
        <w:tab/>
      </w:r>
      <w:r w:rsidRPr="00E4676B">
        <w:rPr>
          <w:i/>
        </w:rPr>
        <w:t>Interveners</w:t>
      </w:r>
    </w:p>
    <w:p w:rsidR="00E4676B" w:rsidRPr="001426A9" w:rsidRDefault="00E4676B" w:rsidP="00FC4EFB">
      <w:pPr>
        <w:jc w:val="both"/>
      </w:pPr>
    </w:p>
    <w:p w:rsidR="00426659" w:rsidRPr="00426659" w:rsidRDefault="00426659" w:rsidP="00F258CD">
      <w:pPr>
        <w:spacing w:after="480"/>
        <w:jc w:val="both"/>
        <w:rPr>
          <w:b/>
        </w:rPr>
      </w:pPr>
      <w:r w:rsidRPr="00426659">
        <w:rPr>
          <w:b/>
        </w:rPr>
        <w:t>Indexed as:</w:t>
      </w:r>
      <w:r>
        <w:rPr>
          <w:b/>
        </w:rPr>
        <w:t xml:space="preserve"> </w:t>
      </w:r>
      <w:r w:rsidRPr="00426659">
        <w:rPr>
          <w:b/>
        </w:rPr>
        <w:t xml:space="preserve"> </w:t>
      </w:r>
      <w:r>
        <w:rPr>
          <w:rStyle w:val="SCCAppellantForIndexChar"/>
        </w:rPr>
        <w:t>Ontario</w:t>
      </w:r>
      <w:r w:rsidRPr="00426659">
        <w:rPr>
          <w:b/>
        </w:rPr>
        <w:t xml:space="preserve"> </w:t>
      </w:r>
      <w:r w:rsidR="00327E6D">
        <w:rPr>
          <w:b/>
        </w:rPr>
        <w:t>(</w:t>
      </w:r>
      <w:r w:rsidR="00327E6D">
        <w:rPr>
          <w:rStyle w:val="SCCAppellantForIndexChar"/>
        </w:rPr>
        <w:t xml:space="preserve">Attorney General) </w:t>
      </w:r>
      <w:r w:rsidRPr="00426659">
        <w:rPr>
          <w:b/>
          <w:i/>
        </w:rPr>
        <w:t>v.</w:t>
      </w:r>
      <w:r w:rsidRPr="00426659">
        <w:rPr>
          <w:b/>
        </w:rPr>
        <w:t xml:space="preserve"> </w:t>
      </w:r>
      <w:r>
        <w:rPr>
          <w:rStyle w:val="SCCRespondentForIndexChar"/>
        </w:rPr>
        <w:t>Fraser</w:t>
      </w:r>
    </w:p>
    <w:p w:rsidR="00F258CD" w:rsidRDefault="00F258CD" w:rsidP="00FC4EFB">
      <w:pPr>
        <w:pStyle w:val="SCCSystemYear"/>
        <w:jc w:val="both"/>
      </w:pPr>
    </w:p>
    <w:p w:rsidR="00426659" w:rsidRPr="00C02092" w:rsidRDefault="007F3F08" w:rsidP="00F258CD">
      <w:pPr>
        <w:pStyle w:val="SCCSystemYear"/>
        <w:spacing w:after="480"/>
        <w:jc w:val="both"/>
      </w:pPr>
      <w:r>
        <w:t>201</w:t>
      </w:r>
      <w:r w:rsidR="00667FDA">
        <w:t>1</w:t>
      </w:r>
      <w:r w:rsidR="003D0399">
        <w:t xml:space="preserve"> </w:t>
      </w:r>
      <w:r w:rsidR="00426659" w:rsidRPr="00C02092">
        <w:t>SCC </w:t>
      </w:r>
      <w:r w:rsidR="007A727E">
        <w:t>20</w:t>
      </w:r>
    </w:p>
    <w:p w:rsidR="00A149DF" w:rsidRDefault="00A149DF" w:rsidP="00FC4EFB">
      <w:pPr>
        <w:jc w:val="both"/>
      </w:pPr>
    </w:p>
    <w:p w:rsidR="008322BD" w:rsidRDefault="009B57B3" w:rsidP="00F258CD">
      <w:pPr>
        <w:spacing w:after="480"/>
        <w:jc w:val="both"/>
      </w:pPr>
      <w:r w:rsidRPr="001426A9">
        <w:t xml:space="preserve">File No.:  </w:t>
      </w:r>
      <w:r>
        <w:t>32968</w:t>
      </w:r>
      <w:r w:rsidRPr="001426A9">
        <w:t>.</w:t>
      </w:r>
    </w:p>
    <w:p w:rsidR="00A149DF" w:rsidRDefault="00A149DF" w:rsidP="00F258CD">
      <w:pPr>
        <w:spacing w:after="480"/>
        <w:jc w:val="both"/>
      </w:pPr>
    </w:p>
    <w:p w:rsidR="008322BD" w:rsidRDefault="007F3F08" w:rsidP="00F258CD">
      <w:pPr>
        <w:spacing w:after="480"/>
        <w:jc w:val="both"/>
      </w:pPr>
      <w:r>
        <w:t xml:space="preserve">2009: </w:t>
      </w:r>
      <w:r w:rsidR="00E4676B">
        <w:t xml:space="preserve"> </w:t>
      </w:r>
      <w:r>
        <w:t>December 17</w:t>
      </w:r>
      <w:r w:rsidR="009B57B3" w:rsidRPr="001426A9">
        <w:t xml:space="preserve">; </w:t>
      </w:r>
      <w:r w:rsidR="003A50F0">
        <w:t>2011:</w:t>
      </w:r>
      <w:r w:rsidR="00E4676B">
        <w:t xml:space="preserve"> </w:t>
      </w:r>
      <w:r w:rsidR="003A50F0">
        <w:t xml:space="preserve"> April 29</w:t>
      </w:r>
      <w:r w:rsidR="009B57B3" w:rsidRPr="001426A9">
        <w:t>.</w:t>
      </w:r>
    </w:p>
    <w:p w:rsidR="00A149DF" w:rsidRDefault="00A149DF" w:rsidP="00F258CD">
      <w:pPr>
        <w:spacing w:after="480"/>
        <w:jc w:val="both"/>
      </w:pPr>
    </w:p>
    <w:p w:rsidR="008322BD" w:rsidRDefault="009B57B3" w:rsidP="00F258CD">
      <w:pPr>
        <w:spacing w:after="480"/>
        <w:jc w:val="both"/>
      </w:pPr>
      <w:r w:rsidRPr="001426A9">
        <w:t xml:space="preserve">Present:  </w:t>
      </w:r>
      <w:r w:rsidR="00A84F7A">
        <w:t>McLachlin </w:t>
      </w:r>
      <w:r>
        <w:t>C.J. and Binnie, LeBel, Deschamps, Fish, Abella, Charron, Rothstein and Cromwell</w:t>
      </w:r>
      <w:r w:rsidR="001C779F">
        <w:t> </w:t>
      </w:r>
      <w:r w:rsidRPr="001426A9">
        <w:t>JJ.</w:t>
      </w:r>
    </w:p>
    <w:p w:rsidR="00A149DF" w:rsidRPr="001426A9" w:rsidRDefault="00A149DF" w:rsidP="00FC4EFB">
      <w:pPr>
        <w:jc w:val="both"/>
      </w:pPr>
    </w:p>
    <w:p w:rsidR="008322BD" w:rsidRPr="001C779F" w:rsidRDefault="00656313" w:rsidP="000F1C81">
      <w:pPr>
        <w:pStyle w:val="SCCLowerCourtNameLowercase"/>
        <w:spacing w:after="48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rsidR="003A50F0" w:rsidRPr="000D19D9" w:rsidRDefault="009B57B3" w:rsidP="00316000">
      <w:pPr>
        <w:pStyle w:val="SCCNormalDoubleSpacing"/>
        <w:tabs>
          <w:tab w:val="left" w:pos="1170"/>
        </w:tabs>
        <w:spacing w:after="480"/>
        <w:rPr>
          <w:i/>
        </w:rPr>
      </w:pPr>
      <w:r w:rsidRPr="00583EDE">
        <w:tab/>
      </w:r>
      <w:r w:rsidR="003A50F0" w:rsidRPr="000D19D9">
        <w:rPr>
          <w:i/>
        </w:rPr>
        <w:t>Constitutional law</w:t>
      </w:r>
      <w:r w:rsidR="009C4F6B">
        <w:rPr>
          <w:i/>
        </w:rPr>
        <w:t xml:space="preserve"> —</w:t>
      </w:r>
      <w:r w:rsidR="003A50F0" w:rsidRPr="000D19D9">
        <w:rPr>
          <w:i/>
        </w:rPr>
        <w:t xml:space="preserve"> Charter of Rights </w:t>
      </w:r>
      <w:r w:rsidR="009C4F6B">
        <w:rPr>
          <w:i/>
        </w:rPr>
        <w:t>—</w:t>
      </w:r>
      <w:r w:rsidR="009C4F6B" w:rsidRPr="000D19D9">
        <w:rPr>
          <w:i/>
        </w:rPr>
        <w:t xml:space="preserve"> </w:t>
      </w:r>
      <w:r w:rsidR="003A50F0" w:rsidRPr="000D19D9">
        <w:rPr>
          <w:i/>
        </w:rPr>
        <w:t xml:space="preserve">Freedom of association </w:t>
      </w:r>
      <w:r w:rsidR="009C4F6B">
        <w:rPr>
          <w:i/>
        </w:rPr>
        <w:t>—</w:t>
      </w:r>
      <w:r w:rsidR="009C4F6B" w:rsidRPr="000D19D9">
        <w:rPr>
          <w:i/>
        </w:rPr>
        <w:t xml:space="preserve"> </w:t>
      </w:r>
      <w:r w:rsidR="00F25FD6">
        <w:rPr>
          <w:i/>
        </w:rPr>
        <w:t xml:space="preserve">Collective bargaining rights </w:t>
      </w:r>
      <w:r w:rsidR="009C4F6B">
        <w:rPr>
          <w:i/>
        </w:rPr>
        <w:t>—</w:t>
      </w:r>
      <w:r w:rsidR="009C4F6B" w:rsidRPr="000D19D9">
        <w:rPr>
          <w:i/>
        </w:rPr>
        <w:t xml:space="preserve"> </w:t>
      </w:r>
      <w:r w:rsidR="003A50F0">
        <w:rPr>
          <w:i/>
        </w:rPr>
        <w:t xml:space="preserve">Separate </w:t>
      </w:r>
      <w:r w:rsidR="003A50F0" w:rsidRPr="000D19D9">
        <w:rPr>
          <w:i/>
        </w:rPr>
        <w:t>labour relation</w:t>
      </w:r>
      <w:r w:rsidR="003A50F0">
        <w:rPr>
          <w:i/>
        </w:rPr>
        <w:t>s</w:t>
      </w:r>
      <w:r w:rsidR="003A50F0" w:rsidRPr="000D19D9">
        <w:rPr>
          <w:i/>
        </w:rPr>
        <w:t xml:space="preserve"> legislation governing agricultural workers in Ontario</w:t>
      </w:r>
      <w:r w:rsidR="00F25FD6">
        <w:rPr>
          <w:i/>
        </w:rPr>
        <w:t xml:space="preserve"> </w:t>
      </w:r>
      <w:r w:rsidR="009C4F6B">
        <w:rPr>
          <w:i/>
        </w:rPr>
        <w:t>—</w:t>
      </w:r>
      <w:r w:rsidR="009C4F6B" w:rsidRPr="000D19D9">
        <w:rPr>
          <w:i/>
        </w:rPr>
        <w:t xml:space="preserve"> </w:t>
      </w:r>
      <w:r w:rsidR="003A50F0">
        <w:rPr>
          <w:i/>
        </w:rPr>
        <w:t xml:space="preserve">Whether </w:t>
      </w:r>
      <w:r w:rsidR="00C837D1">
        <w:rPr>
          <w:i/>
        </w:rPr>
        <w:t>s. </w:t>
      </w:r>
      <w:r w:rsidR="003A50F0">
        <w:rPr>
          <w:i/>
        </w:rPr>
        <w:t xml:space="preserve">2(d) requires legislature to provide a particular form of collective bargaining rights to agricultural workers, in order to secure effective exercise of associational rights </w:t>
      </w:r>
      <w:r w:rsidR="009C4F6B">
        <w:rPr>
          <w:i/>
        </w:rPr>
        <w:t>—</w:t>
      </w:r>
      <w:r w:rsidR="009C4F6B" w:rsidRPr="000D19D9">
        <w:rPr>
          <w:i/>
        </w:rPr>
        <w:t xml:space="preserve"> </w:t>
      </w:r>
      <w:r w:rsidR="003A50F0">
        <w:rPr>
          <w:i/>
        </w:rPr>
        <w:t>If so, whether legislation</w:t>
      </w:r>
      <w:r w:rsidR="00574E08">
        <w:rPr>
          <w:i/>
        </w:rPr>
        <w:t xml:space="preserve"> </w:t>
      </w:r>
      <w:r w:rsidR="003A50F0">
        <w:rPr>
          <w:i/>
        </w:rPr>
        <w:t>infringes</w:t>
      </w:r>
      <w:r w:rsidR="00574E08">
        <w:rPr>
          <w:i/>
        </w:rPr>
        <w:t xml:space="preserve"> </w:t>
      </w:r>
      <w:r w:rsidR="003A50F0">
        <w:rPr>
          <w:i/>
        </w:rPr>
        <w:t xml:space="preserve">freedom of association by </w:t>
      </w:r>
      <w:r w:rsidR="003A50F0" w:rsidRPr="000D19D9">
        <w:rPr>
          <w:i/>
        </w:rPr>
        <w:t xml:space="preserve">failing to safeguard the exercise of collective bargaining rights </w:t>
      </w:r>
      <w:r w:rsidR="009C4F6B">
        <w:rPr>
          <w:i/>
        </w:rPr>
        <w:t>—</w:t>
      </w:r>
      <w:r w:rsidR="009C4F6B" w:rsidRPr="000D19D9">
        <w:rPr>
          <w:i/>
        </w:rPr>
        <w:t xml:space="preserve"> </w:t>
      </w:r>
      <w:r w:rsidR="003A50F0">
        <w:rPr>
          <w:i/>
        </w:rPr>
        <w:t>W</w:t>
      </w:r>
      <w:r w:rsidR="003A50F0" w:rsidRPr="000D19D9">
        <w:rPr>
          <w:i/>
        </w:rPr>
        <w:t xml:space="preserve">hether infringement justifiable </w:t>
      </w:r>
      <w:r w:rsidR="009C4F6B">
        <w:rPr>
          <w:i/>
        </w:rPr>
        <w:t>—</w:t>
      </w:r>
      <w:r w:rsidR="009C4F6B" w:rsidRPr="000D19D9">
        <w:rPr>
          <w:i/>
        </w:rPr>
        <w:t xml:space="preserve"> </w:t>
      </w:r>
      <w:r w:rsidR="003A50F0" w:rsidRPr="000D19D9">
        <w:rPr>
          <w:i/>
        </w:rPr>
        <w:t xml:space="preserve">Canadian Charter of Rights and Freedoms, </w:t>
      </w:r>
      <w:r w:rsidR="00F02F88">
        <w:rPr>
          <w:i/>
        </w:rPr>
        <w:t>s</w:t>
      </w:r>
      <w:r w:rsidR="00C837D1">
        <w:rPr>
          <w:i/>
        </w:rPr>
        <w:t>s. </w:t>
      </w:r>
      <w:r w:rsidR="003A50F0" w:rsidRPr="000D19D9">
        <w:rPr>
          <w:i/>
        </w:rPr>
        <w:t xml:space="preserve">1, 2(d) </w:t>
      </w:r>
      <w:r w:rsidR="009C4F6B">
        <w:rPr>
          <w:i/>
        </w:rPr>
        <w:t>—</w:t>
      </w:r>
      <w:r w:rsidR="009C4F6B" w:rsidRPr="000D19D9">
        <w:rPr>
          <w:i/>
        </w:rPr>
        <w:t xml:space="preserve"> </w:t>
      </w:r>
      <w:r w:rsidR="003A50F0" w:rsidRPr="000D19D9">
        <w:rPr>
          <w:i/>
        </w:rPr>
        <w:t>Agricultural Employees Protection Act</w:t>
      </w:r>
      <w:r w:rsidR="003A50F0" w:rsidRPr="00F25FD6">
        <w:rPr>
          <w:i/>
        </w:rPr>
        <w:t>,</w:t>
      </w:r>
      <w:r w:rsidR="003A50F0" w:rsidRPr="000D19D9">
        <w:rPr>
          <w:i/>
        </w:rPr>
        <w:t xml:space="preserve"> </w:t>
      </w:r>
      <w:r w:rsidR="003A50F0" w:rsidRPr="00F25FD6">
        <w:rPr>
          <w:i/>
        </w:rPr>
        <w:t xml:space="preserve">2002, S.O. 2002, </w:t>
      </w:r>
      <w:r w:rsidR="00C837D1">
        <w:rPr>
          <w:i/>
        </w:rPr>
        <w:t>c. </w:t>
      </w:r>
      <w:r w:rsidR="003A50F0" w:rsidRPr="00F25FD6">
        <w:rPr>
          <w:i/>
        </w:rPr>
        <w:t>16</w:t>
      </w:r>
      <w:r w:rsidR="00E64913">
        <w:t xml:space="preserve"> </w:t>
      </w:r>
      <w:r w:rsidR="009C4F6B">
        <w:rPr>
          <w:i/>
        </w:rPr>
        <w:t>—</w:t>
      </w:r>
      <w:r w:rsidR="009C4F6B" w:rsidRPr="000D19D9">
        <w:rPr>
          <w:i/>
        </w:rPr>
        <w:t xml:space="preserve"> </w:t>
      </w:r>
      <w:r w:rsidR="00E64913">
        <w:rPr>
          <w:i/>
        </w:rPr>
        <w:t xml:space="preserve">Labour Relations Act, 1995, S.O. 1995, </w:t>
      </w:r>
      <w:r w:rsidR="00C837D1">
        <w:rPr>
          <w:i/>
        </w:rPr>
        <w:t>c. </w:t>
      </w:r>
      <w:r w:rsidR="00E64913">
        <w:rPr>
          <w:i/>
        </w:rPr>
        <w:t xml:space="preserve">1, Sch. </w:t>
      </w:r>
      <w:proofErr w:type="gramStart"/>
      <w:r w:rsidR="00E64913">
        <w:rPr>
          <w:i/>
        </w:rPr>
        <w:t xml:space="preserve">A, </w:t>
      </w:r>
      <w:r w:rsidR="00C837D1">
        <w:rPr>
          <w:i/>
        </w:rPr>
        <w:t>s. </w:t>
      </w:r>
      <w:r w:rsidR="00E64913">
        <w:rPr>
          <w:i/>
        </w:rPr>
        <w:t>3(b.1)</w:t>
      </w:r>
      <w:r w:rsidR="003A50F0" w:rsidRPr="00F25FD6">
        <w:rPr>
          <w:i/>
        </w:rPr>
        <w:t>.</w:t>
      </w:r>
      <w:proofErr w:type="gramEnd"/>
    </w:p>
    <w:p w:rsidR="00E64913" w:rsidRPr="000D19D9" w:rsidRDefault="00750558" w:rsidP="00316000">
      <w:pPr>
        <w:pStyle w:val="SCCNormalDoubleSpacing"/>
        <w:tabs>
          <w:tab w:val="left" w:pos="1170"/>
        </w:tabs>
        <w:spacing w:after="480"/>
        <w:rPr>
          <w:i/>
        </w:rPr>
      </w:pPr>
      <w:r>
        <w:rPr>
          <w:i/>
        </w:rPr>
        <w:tab/>
      </w:r>
      <w:r w:rsidR="003A50F0" w:rsidRPr="000D19D9">
        <w:rPr>
          <w:i/>
        </w:rPr>
        <w:t xml:space="preserve">Constitutional law </w:t>
      </w:r>
      <w:r w:rsidR="009C4F6B">
        <w:rPr>
          <w:i/>
        </w:rPr>
        <w:t>—</w:t>
      </w:r>
      <w:r w:rsidR="009C4F6B" w:rsidRPr="000D19D9">
        <w:rPr>
          <w:i/>
        </w:rPr>
        <w:t xml:space="preserve"> </w:t>
      </w:r>
      <w:r w:rsidR="003A50F0" w:rsidRPr="000D19D9">
        <w:rPr>
          <w:i/>
        </w:rPr>
        <w:t>Charter of Rights</w:t>
      </w:r>
      <w:r w:rsidR="003A50F0">
        <w:rPr>
          <w:i/>
        </w:rPr>
        <w:t xml:space="preserve"> </w:t>
      </w:r>
      <w:r w:rsidR="009C4F6B">
        <w:rPr>
          <w:i/>
        </w:rPr>
        <w:t>—</w:t>
      </w:r>
      <w:r w:rsidR="009C4F6B" w:rsidRPr="000D19D9">
        <w:rPr>
          <w:i/>
        </w:rPr>
        <w:t xml:space="preserve"> </w:t>
      </w:r>
      <w:r w:rsidR="003A50F0" w:rsidRPr="000D19D9">
        <w:rPr>
          <w:i/>
        </w:rPr>
        <w:t xml:space="preserve">Equality rights </w:t>
      </w:r>
      <w:r w:rsidR="009C4F6B">
        <w:rPr>
          <w:i/>
        </w:rPr>
        <w:t>—</w:t>
      </w:r>
      <w:r w:rsidR="009C4F6B" w:rsidRPr="000D19D9">
        <w:rPr>
          <w:i/>
        </w:rPr>
        <w:t xml:space="preserve"> </w:t>
      </w:r>
      <w:r w:rsidR="003A50F0">
        <w:rPr>
          <w:i/>
        </w:rPr>
        <w:t xml:space="preserve">Separate </w:t>
      </w:r>
      <w:r w:rsidR="003A50F0" w:rsidRPr="000D19D9">
        <w:rPr>
          <w:i/>
        </w:rPr>
        <w:t>labour relation</w:t>
      </w:r>
      <w:r w:rsidR="003A50F0">
        <w:rPr>
          <w:i/>
        </w:rPr>
        <w:t>s</w:t>
      </w:r>
      <w:r w:rsidR="003A50F0" w:rsidRPr="000D19D9">
        <w:rPr>
          <w:i/>
        </w:rPr>
        <w:t xml:space="preserve"> legislation governing agricultural workers in Ontario </w:t>
      </w:r>
      <w:r w:rsidR="009C4F6B">
        <w:rPr>
          <w:i/>
        </w:rPr>
        <w:t>—</w:t>
      </w:r>
      <w:r w:rsidR="009C4F6B" w:rsidRPr="000D19D9">
        <w:rPr>
          <w:i/>
        </w:rPr>
        <w:t xml:space="preserve"> </w:t>
      </w:r>
      <w:r w:rsidR="003A50F0" w:rsidRPr="000D19D9">
        <w:rPr>
          <w:i/>
        </w:rPr>
        <w:t xml:space="preserve">Whether the </w:t>
      </w:r>
      <w:r w:rsidR="009C4F6B" w:rsidRPr="000D19D9">
        <w:rPr>
          <w:i/>
        </w:rPr>
        <w:t>Agricultural Employees Protection Act</w:t>
      </w:r>
      <w:r w:rsidR="009C4F6B" w:rsidRPr="00F25FD6">
        <w:rPr>
          <w:i/>
        </w:rPr>
        <w:t>,</w:t>
      </w:r>
      <w:r w:rsidR="009C4F6B" w:rsidRPr="000D19D9">
        <w:rPr>
          <w:i/>
        </w:rPr>
        <w:t xml:space="preserve"> </w:t>
      </w:r>
      <w:r w:rsidR="009C4F6B" w:rsidRPr="00F25FD6">
        <w:rPr>
          <w:i/>
        </w:rPr>
        <w:t>2002</w:t>
      </w:r>
      <w:r w:rsidR="009C4F6B">
        <w:rPr>
          <w:i/>
        </w:rPr>
        <w:t xml:space="preserve"> </w:t>
      </w:r>
      <w:r w:rsidR="003A50F0" w:rsidRPr="000D19D9">
        <w:rPr>
          <w:i/>
        </w:rPr>
        <w:t xml:space="preserve">violates </w:t>
      </w:r>
      <w:r w:rsidR="003A50F0" w:rsidRPr="009C4F6B">
        <w:rPr>
          <w:i/>
        </w:rPr>
        <w:t xml:space="preserve">workers’ </w:t>
      </w:r>
      <w:r w:rsidR="003A50F0" w:rsidRPr="000D19D9">
        <w:rPr>
          <w:i/>
        </w:rPr>
        <w:t xml:space="preserve">right to equality under </w:t>
      </w:r>
      <w:r w:rsidR="00C837D1">
        <w:rPr>
          <w:i/>
        </w:rPr>
        <w:t>s. </w:t>
      </w:r>
      <w:r w:rsidR="003A50F0" w:rsidRPr="000D19D9">
        <w:rPr>
          <w:i/>
        </w:rPr>
        <w:t>15 of the Charter</w:t>
      </w:r>
      <w:r w:rsidR="00574E08">
        <w:rPr>
          <w:i/>
        </w:rPr>
        <w:t xml:space="preserve"> </w:t>
      </w:r>
      <w:r w:rsidR="003A50F0">
        <w:rPr>
          <w:i/>
        </w:rPr>
        <w:t>by excluding workers from the protections accorded to workers in other sector</w:t>
      </w:r>
      <w:r w:rsidR="00777DAD">
        <w:rPr>
          <w:i/>
        </w:rPr>
        <w:t>s</w:t>
      </w:r>
      <w:r w:rsidR="003A50F0" w:rsidRPr="000D19D9">
        <w:rPr>
          <w:i/>
        </w:rPr>
        <w:t xml:space="preserve"> </w:t>
      </w:r>
      <w:r w:rsidR="009C4F6B">
        <w:rPr>
          <w:i/>
        </w:rPr>
        <w:t>—</w:t>
      </w:r>
      <w:r w:rsidR="009C4F6B" w:rsidRPr="000D19D9">
        <w:rPr>
          <w:i/>
        </w:rPr>
        <w:t xml:space="preserve"> </w:t>
      </w:r>
      <w:r w:rsidR="003A50F0" w:rsidRPr="000D19D9">
        <w:rPr>
          <w:i/>
        </w:rPr>
        <w:t xml:space="preserve">If so, whether infringement justifiable </w:t>
      </w:r>
      <w:r w:rsidR="009C4F6B">
        <w:rPr>
          <w:i/>
        </w:rPr>
        <w:t>—</w:t>
      </w:r>
      <w:r w:rsidR="009C4F6B" w:rsidRPr="000D19D9">
        <w:rPr>
          <w:i/>
        </w:rPr>
        <w:t xml:space="preserve"> </w:t>
      </w:r>
      <w:r w:rsidR="003A50F0" w:rsidRPr="000D19D9">
        <w:rPr>
          <w:i/>
        </w:rPr>
        <w:t xml:space="preserve">Canadian </w:t>
      </w:r>
      <w:r w:rsidR="003A50F0" w:rsidRPr="000D19D9">
        <w:rPr>
          <w:i/>
        </w:rPr>
        <w:lastRenderedPageBreak/>
        <w:t xml:space="preserve">Charter of Rights and Freedoms, </w:t>
      </w:r>
      <w:r w:rsidR="00F02F88">
        <w:rPr>
          <w:i/>
        </w:rPr>
        <w:t>ss. </w:t>
      </w:r>
      <w:r w:rsidR="003A50F0" w:rsidRPr="000D19D9">
        <w:rPr>
          <w:i/>
        </w:rPr>
        <w:t xml:space="preserve">1, </w:t>
      </w:r>
      <w:r w:rsidR="003A50F0">
        <w:rPr>
          <w:i/>
        </w:rPr>
        <w:t>15</w:t>
      </w:r>
      <w:r w:rsidR="003A50F0" w:rsidRPr="000D19D9">
        <w:rPr>
          <w:i/>
        </w:rPr>
        <w:t xml:space="preserve"> </w:t>
      </w:r>
      <w:r w:rsidR="009C4F6B">
        <w:rPr>
          <w:i/>
        </w:rPr>
        <w:t>—</w:t>
      </w:r>
      <w:r w:rsidR="009C4F6B" w:rsidRPr="000D19D9">
        <w:rPr>
          <w:i/>
        </w:rPr>
        <w:t xml:space="preserve"> </w:t>
      </w:r>
      <w:r w:rsidR="003A50F0" w:rsidRPr="000D19D9">
        <w:rPr>
          <w:i/>
        </w:rPr>
        <w:t>Agricultural Employees Protection Act</w:t>
      </w:r>
      <w:r w:rsidR="003A50F0" w:rsidRPr="00F25FD6">
        <w:rPr>
          <w:i/>
        </w:rPr>
        <w:t xml:space="preserve">, 2002, S.O. 2002, </w:t>
      </w:r>
      <w:r w:rsidR="00C837D1">
        <w:rPr>
          <w:i/>
        </w:rPr>
        <w:t>c. </w:t>
      </w:r>
      <w:r w:rsidR="003A50F0" w:rsidRPr="00F25FD6">
        <w:rPr>
          <w:i/>
        </w:rPr>
        <w:t>16</w:t>
      </w:r>
      <w:r w:rsidR="00E64913">
        <w:rPr>
          <w:i/>
        </w:rPr>
        <w:t xml:space="preserve"> </w:t>
      </w:r>
      <w:r w:rsidR="009C4F6B">
        <w:rPr>
          <w:i/>
        </w:rPr>
        <w:t>—</w:t>
      </w:r>
      <w:r w:rsidR="009C4F6B" w:rsidRPr="000D19D9">
        <w:rPr>
          <w:i/>
        </w:rPr>
        <w:t xml:space="preserve"> </w:t>
      </w:r>
      <w:r w:rsidR="00E64913">
        <w:rPr>
          <w:i/>
        </w:rPr>
        <w:t xml:space="preserve">Labour Relations Act, 1995, S.O. 1995, </w:t>
      </w:r>
      <w:r w:rsidR="00C837D1">
        <w:rPr>
          <w:i/>
        </w:rPr>
        <w:t>c. </w:t>
      </w:r>
      <w:r w:rsidR="00E64913">
        <w:rPr>
          <w:i/>
        </w:rPr>
        <w:t xml:space="preserve">1, Sch. </w:t>
      </w:r>
      <w:proofErr w:type="gramStart"/>
      <w:r w:rsidR="00E64913">
        <w:rPr>
          <w:i/>
        </w:rPr>
        <w:t xml:space="preserve">A, </w:t>
      </w:r>
      <w:r w:rsidR="00C837D1">
        <w:rPr>
          <w:i/>
        </w:rPr>
        <w:t>s. </w:t>
      </w:r>
      <w:r w:rsidR="00E64913">
        <w:rPr>
          <w:i/>
        </w:rPr>
        <w:t>3(b.1)</w:t>
      </w:r>
      <w:r w:rsidR="00E64913" w:rsidRPr="00F25FD6">
        <w:rPr>
          <w:i/>
        </w:rPr>
        <w:t>.</w:t>
      </w:r>
      <w:proofErr w:type="gramEnd"/>
    </w:p>
    <w:p w:rsidR="001C2E1B" w:rsidRDefault="009B57B3" w:rsidP="00316000">
      <w:pPr>
        <w:pStyle w:val="SCCNormalDoubleSpacing"/>
        <w:tabs>
          <w:tab w:val="left" w:pos="1170"/>
        </w:tabs>
        <w:spacing w:after="480"/>
      </w:pPr>
      <w:r w:rsidRPr="001426A9">
        <w:tab/>
      </w:r>
      <w:r w:rsidR="003A50F0" w:rsidRPr="00B92C1F">
        <w:t xml:space="preserve">In 2002, the Ontario legislature enacted the </w:t>
      </w:r>
      <w:r w:rsidR="003A50F0" w:rsidRPr="00B92C1F">
        <w:rPr>
          <w:i/>
        </w:rPr>
        <w:t>Agricultural Employees Protection Act</w:t>
      </w:r>
      <w:r w:rsidR="003A50F0" w:rsidRPr="006172FF">
        <w:rPr>
          <w:i/>
        </w:rPr>
        <w:t xml:space="preserve">, </w:t>
      </w:r>
      <w:r w:rsidR="003A50F0" w:rsidRPr="00B92C1F">
        <w:rPr>
          <w:i/>
        </w:rPr>
        <w:t>2002</w:t>
      </w:r>
      <w:r w:rsidR="003A50F0" w:rsidRPr="00B92C1F">
        <w:t xml:space="preserve"> </w:t>
      </w:r>
      <w:r w:rsidR="003A50F0">
        <w:t>(“</w:t>
      </w:r>
      <w:r w:rsidR="003A50F0" w:rsidRPr="004A7169">
        <w:rPr>
          <w:i/>
        </w:rPr>
        <w:t>AEPA</w:t>
      </w:r>
      <w:r w:rsidR="003A50F0">
        <w:t xml:space="preserve">”) </w:t>
      </w:r>
      <w:r w:rsidR="003A50F0" w:rsidRPr="004A7169">
        <w:t>which</w:t>
      </w:r>
      <w:r w:rsidR="003A50F0" w:rsidRPr="00B92C1F">
        <w:t xml:space="preserve"> excluded farm workers from the </w:t>
      </w:r>
      <w:r w:rsidR="003A50F0" w:rsidRPr="00B92C1F">
        <w:rPr>
          <w:i/>
        </w:rPr>
        <w:t>Labour Relations Act</w:t>
      </w:r>
      <w:r w:rsidR="002A07BD">
        <w:t xml:space="preserve"> (“</w:t>
      </w:r>
      <w:r w:rsidR="002A07BD">
        <w:rPr>
          <w:i/>
        </w:rPr>
        <w:t>LRA</w:t>
      </w:r>
      <w:r w:rsidR="002A07BD">
        <w:t>”)</w:t>
      </w:r>
      <w:r w:rsidR="003A50F0" w:rsidRPr="00B92C1F">
        <w:t>, but crafted a separate</w:t>
      </w:r>
      <w:r w:rsidR="00574E08">
        <w:t xml:space="preserve"> </w:t>
      </w:r>
      <w:r w:rsidR="003A50F0" w:rsidRPr="00B92C1F">
        <w:t>labour relations regime for farm workers.</w:t>
      </w:r>
      <w:r w:rsidR="00574E08">
        <w:t xml:space="preserve">  </w:t>
      </w:r>
      <w:r w:rsidR="003A50F0">
        <w:rPr>
          <w:bCs/>
          <w:color w:val="000000"/>
        </w:rPr>
        <w:t xml:space="preserve">The </w:t>
      </w:r>
      <w:r w:rsidR="003A50F0" w:rsidRPr="004A7169">
        <w:rPr>
          <w:bCs/>
          <w:i/>
          <w:color w:val="000000"/>
        </w:rPr>
        <w:t>AEPA</w:t>
      </w:r>
      <w:r w:rsidR="003A50F0">
        <w:rPr>
          <w:bCs/>
          <w:color w:val="000000"/>
        </w:rPr>
        <w:t xml:space="preserve"> </w:t>
      </w:r>
      <w:r w:rsidR="003A50F0" w:rsidRPr="004A7169">
        <w:t>was</w:t>
      </w:r>
      <w:r w:rsidR="003A50F0" w:rsidRPr="00B92C1F">
        <w:t xml:space="preserve"> a response to </w:t>
      </w:r>
      <w:r w:rsidR="003A50F0" w:rsidRPr="00B92C1F">
        <w:rPr>
          <w:i/>
        </w:rPr>
        <w:t>Dunmore v. Ontario (Attorney General)</w:t>
      </w:r>
      <w:r w:rsidR="003A50F0" w:rsidRPr="00B92C1F">
        <w:t xml:space="preserve">, 2001 SCC 94, [2001] 3 S.C.R. 1016, which found that the previous legislative scheme violated </w:t>
      </w:r>
      <w:r w:rsidR="00C837D1">
        <w:t>s. </w:t>
      </w:r>
      <w:r w:rsidR="003A50F0" w:rsidRPr="00B92C1F">
        <w:t>2(</w:t>
      </w:r>
      <w:r w:rsidR="003A50F0" w:rsidRPr="00B92C1F">
        <w:rPr>
          <w:i/>
        </w:rPr>
        <w:t>d</w:t>
      </w:r>
      <w:r w:rsidR="003A50F0" w:rsidRPr="00B92C1F">
        <w:t xml:space="preserve">) of the </w:t>
      </w:r>
      <w:r w:rsidR="003A50F0" w:rsidRPr="00B92C1F">
        <w:rPr>
          <w:i/>
        </w:rPr>
        <w:t>Canadian</w:t>
      </w:r>
      <w:r w:rsidR="003A50F0" w:rsidRPr="00B92C1F">
        <w:t xml:space="preserve"> </w:t>
      </w:r>
      <w:r w:rsidR="003A50F0" w:rsidRPr="00B92C1F">
        <w:rPr>
          <w:i/>
        </w:rPr>
        <w:t>Charter of Rights and Freedoms</w:t>
      </w:r>
      <w:r w:rsidR="00574E08">
        <w:rPr>
          <w:i/>
        </w:rPr>
        <w:t xml:space="preserve"> </w:t>
      </w:r>
      <w:r w:rsidR="003A50F0" w:rsidRPr="00B92C1F">
        <w:t>and declared it</w:t>
      </w:r>
      <w:r w:rsidR="003A50F0">
        <w:t xml:space="preserve"> constitutionally </w:t>
      </w:r>
      <w:r w:rsidR="003A50F0" w:rsidRPr="00B92C1F">
        <w:t>invalid.</w:t>
      </w:r>
      <w:r w:rsidR="00574E08">
        <w:t xml:space="preserve">  </w:t>
      </w:r>
      <w:r w:rsidR="003A50F0">
        <w:t xml:space="preserve">It </w:t>
      </w:r>
      <w:r w:rsidR="003A50F0" w:rsidRPr="00C939C2">
        <w:t>grant</w:t>
      </w:r>
      <w:r w:rsidR="003A50F0">
        <w:t>s</w:t>
      </w:r>
      <w:r w:rsidR="00574E08">
        <w:t xml:space="preserve"> </w:t>
      </w:r>
      <w:r w:rsidR="003A50F0">
        <w:t>farm workers</w:t>
      </w:r>
      <w:r w:rsidR="00574E08">
        <w:t xml:space="preserve"> </w:t>
      </w:r>
      <w:r w:rsidR="003A50F0" w:rsidRPr="00C939C2">
        <w:t>the rights to form and join an employees’ association, to participate in its activities, to assemble, to make representations to their employers through their association on their terms and conditions of employment, and the right to be protected against interference, coercion and discrimination in the exercise of their rights.</w:t>
      </w:r>
      <w:r w:rsidR="00C837D1">
        <w:t xml:space="preserve"> </w:t>
      </w:r>
      <w:r w:rsidR="003A50F0" w:rsidRPr="00C939C2">
        <w:t xml:space="preserve"> The employer must give an association the opportunity to make representations respecting terms and conditions of </w:t>
      </w:r>
      <w:proofErr w:type="gramStart"/>
      <w:r w:rsidR="003A50F0" w:rsidRPr="00C939C2">
        <w:t>employment,</w:t>
      </w:r>
      <w:proofErr w:type="gramEnd"/>
      <w:r w:rsidR="003A50F0" w:rsidRPr="00C939C2">
        <w:t xml:space="preserve"> and it must listen to those representations or read them.  The</w:t>
      </w:r>
      <w:r w:rsidR="003A50F0">
        <w:t xml:space="preserve"> </w:t>
      </w:r>
      <w:r w:rsidR="003A50F0">
        <w:rPr>
          <w:i/>
        </w:rPr>
        <w:t>AEPA</w:t>
      </w:r>
      <w:r w:rsidR="003A50F0">
        <w:t xml:space="preserve"> </w:t>
      </w:r>
      <w:r w:rsidR="003A50F0" w:rsidRPr="00C939C2">
        <w:t>tasks a tribunal</w:t>
      </w:r>
      <w:r w:rsidR="00574E08">
        <w:t xml:space="preserve"> </w:t>
      </w:r>
      <w:r w:rsidR="003A50F0" w:rsidRPr="00C939C2">
        <w:t>with hearing and deciding disputes about the appl</w:t>
      </w:r>
      <w:r w:rsidR="003A50F0">
        <w:t>ication of the Act</w:t>
      </w:r>
      <w:r w:rsidR="006C7447">
        <w:t>.</w:t>
      </w:r>
    </w:p>
    <w:p w:rsidR="003A50F0" w:rsidRPr="00B92C1F" w:rsidRDefault="001C2E1B" w:rsidP="00316000">
      <w:pPr>
        <w:pStyle w:val="SCCNormalDoubleSpacing"/>
        <w:tabs>
          <w:tab w:val="left" w:pos="1170"/>
        </w:tabs>
        <w:spacing w:after="480"/>
      </w:pPr>
      <w:r>
        <w:tab/>
      </w:r>
      <w:r w:rsidR="003A50F0" w:rsidRPr="00C939C2">
        <w:t>After limited efforts to use the new protections</w:t>
      </w:r>
      <w:r w:rsidR="00574E08">
        <w:t xml:space="preserve"> </w:t>
      </w:r>
      <w:r w:rsidR="003A50F0">
        <w:t xml:space="preserve">under the </w:t>
      </w:r>
      <w:r w:rsidR="003A50F0">
        <w:rPr>
          <w:i/>
        </w:rPr>
        <w:t>AEPA</w:t>
      </w:r>
      <w:r w:rsidR="003A50F0" w:rsidRPr="00C939C2">
        <w:t>,</w:t>
      </w:r>
      <w:r w:rsidR="003A50F0">
        <w:t xml:space="preserve"> a </w:t>
      </w:r>
      <w:r w:rsidR="003A50F0" w:rsidRPr="00C939C2">
        <w:t xml:space="preserve">constitutional challenge </w:t>
      </w:r>
      <w:r w:rsidR="003A50F0">
        <w:t>was mounted on the basis the Act infringed farm workers’ rights under</w:t>
      </w:r>
      <w:r w:rsidR="00700AF1">
        <w:t xml:space="preserve"> </w:t>
      </w:r>
      <w:r w:rsidR="00F02F88">
        <w:t>ss. </w:t>
      </w:r>
      <w:r w:rsidR="003A50F0" w:rsidRPr="00B92C1F">
        <w:t>2(</w:t>
      </w:r>
      <w:r w:rsidR="003A50F0" w:rsidRPr="00B44D26">
        <w:rPr>
          <w:i/>
        </w:rPr>
        <w:t>d</w:t>
      </w:r>
      <w:r w:rsidR="003A50F0" w:rsidRPr="00B92C1F">
        <w:t xml:space="preserve">) and 15 of the </w:t>
      </w:r>
      <w:r w:rsidR="003A50F0" w:rsidRPr="00B92C1F">
        <w:rPr>
          <w:i/>
        </w:rPr>
        <w:t>Charter</w:t>
      </w:r>
      <w:r w:rsidR="003A50F0" w:rsidRPr="00B92C1F">
        <w:t xml:space="preserve"> by </w:t>
      </w:r>
      <w:r w:rsidR="003A50F0">
        <w:t xml:space="preserve">failing to provide effective protection for the </w:t>
      </w:r>
      <w:r w:rsidR="003A50F0" w:rsidRPr="00316000">
        <w:rPr>
          <w:color w:val="000000"/>
        </w:rPr>
        <w:t>right</w:t>
      </w:r>
      <w:r w:rsidR="003A50F0">
        <w:t xml:space="preserve"> to organize and bargain collectively and by </w:t>
      </w:r>
      <w:r w:rsidR="003A50F0" w:rsidRPr="00B92C1F">
        <w:t xml:space="preserve">excluding farm workers from </w:t>
      </w:r>
      <w:r w:rsidR="003A50F0" w:rsidRPr="00B92C1F">
        <w:lastRenderedPageBreak/>
        <w:t>the protections accorded to workers in other sectors.</w:t>
      </w:r>
      <w:r w:rsidR="00700AF1">
        <w:t xml:space="preserve">  </w:t>
      </w:r>
      <w:r w:rsidR="003A50F0" w:rsidRPr="00B92C1F">
        <w:t>In 2006, the</w:t>
      </w:r>
      <w:r w:rsidR="00700AF1">
        <w:t xml:space="preserve"> </w:t>
      </w:r>
      <w:r w:rsidR="003A50F0" w:rsidRPr="00B92C1F">
        <w:t>Ontario Superior Court</w:t>
      </w:r>
      <w:r w:rsidR="00700AF1">
        <w:t xml:space="preserve"> </w:t>
      </w:r>
      <w:r w:rsidR="003A50F0" w:rsidRPr="00B92C1F">
        <w:t>dismissed the application</w:t>
      </w:r>
      <w:r w:rsidR="003A50F0">
        <w:t>.</w:t>
      </w:r>
      <w:r w:rsidR="00700AF1">
        <w:t xml:space="preserve">  </w:t>
      </w:r>
      <w:r w:rsidR="003A50F0" w:rsidRPr="00B92C1F">
        <w:t xml:space="preserve">The Court of Appeal allowed the appeal and declared the </w:t>
      </w:r>
      <w:r>
        <w:rPr>
          <w:i/>
        </w:rPr>
        <w:t xml:space="preserve">AEPA </w:t>
      </w:r>
      <w:r w:rsidR="003A50F0" w:rsidRPr="00B92C1F">
        <w:t>to be constitutionally invalid</w:t>
      </w:r>
      <w:r w:rsidR="003A50F0">
        <w:t xml:space="preserve">.  </w:t>
      </w:r>
      <w:r w:rsidR="003A50F0" w:rsidRPr="00B92C1F">
        <w:rPr>
          <w:color w:val="000000"/>
        </w:rPr>
        <w:t xml:space="preserve">It rendered its decision after the release of </w:t>
      </w:r>
      <w:r w:rsidR="003A50F0" w:rsidRPr="00B92C1F">
        <w:rPr>
          <w:i/>
        </w:rPr>
        <w:t xml:space="preserve">Health Services and Support </w:t>
      </w:r>
      <w:r w:rsidR="00F02F88">
        <w:rPr>
          <w:i/>
        </w:rPr>
        <w:t>—</w:t>
      </w:r>
      <w:r w:rsidR="003A50F0" w:rsidRPr="00B92C1F">
        <w:rPr>
          <w:i/>
        </w:rPr>
        <w:t xml:space="preserve"> Facilities Subsector Bargaining Assn. v. British Columbia</w:t>
      </w:r>
      <w:r w:rsidR="003A50F0" w:rsidRPr="00B92C1F">
        <w:t>,</w:t>
      </w:r>
      <w:r w:rsidR="003A50F0" w:rsidRPr="00B92C1F">
        <w:rPr>
          <w:i/>
        </w:rPr>
        <w:t xml:space="preserve"> </w:t>
      </w:r>
      <w:r w:rsidR="003A50F0" w:rsidRPr="00B92C1F">
        <w:t>200</w:t>
      </w:r>
      <w:r w:rsidR="003762FF">
        <w:t>7 SCC 27, [2007] 2 S.C.R. 391.</w:t>
      </w:r>
    </w:p>
    <w:p w:rsidR="003A50F0" w:rsidRDefault="009B57B3" w:rsidP="00316000">
      <w:pPr>
        <w:pStyle w:val="SCCNormalDoubleSpacing"/>
        <w:tabs>
          <w:tab w:val="left" w:pos="1170"/>
        </w:tabs>
        <w:spacing w:after="480"/>
      </w:pPr>
      <w:r w:rsidRPr="001426A9">
        <w:tab/>
      </w:r>
      <w:proofErr w:type="gramStart"/>
      <w:r w:rsidR="003A50F0" w:rsidRPr="004B5899">
        <w:rPr>
          <w:i/>
        </w:rPr>
        <w:t xml:space="preserve">Held </w:t>
      </w:r>
      <w:r w:rsidR="00DF3533">
        <w:t>(</w:t>
      </w:r>
      <w:r w:rsidR="00DF3533" w:rsidRPr="00316000">
        <w:rPr>
          <w:color w:val="000000"/>
        </w:rPr>
        <w:t>Abella</w:t>
      </w:r>
      <w:r w:rsidR="00DF3533">
        <w:t> </w:t>
      </w:r>
      <w:r w:rsidR="003A50F0" w:rsidRPr="00F25FD6">
        <w:t>J. dissenting)</w:t>
      </w:r>
      <w:r w:rsidR="003A50F0" w:rsidRPr="007C2810">
        <w:t xml:space="preserve">: </w:t>
      </w:r>
      <w:r w:rsidR="00F25FD6">
        <w:t xml:space="preserve"> </w:t>
      </w:r>
      <w:r w:rsidR="003A50F0" w:rsidRPr="007C2810">
        <w:t>The appeal should be all</w:t>
      </w:r>
      <w:r w:rsidR="00F02F88">
        <w:t>owed and the action dismissed.</w:t>
      </w:r>
      <w:proofErr w:type="gramEnd"/>
    </w:p>
    <w:p w:rsidR="00BA681C" w:rsidRDefault="00BA681C" w:rsidP="00316000">
      <w:pPr>
        <w:pStyle w:val="SCCNormalDoubleSpacing"/>
        <w:tabs>
          <w:tab w:val="left" w:pos="1170"/>
        </w:tabs>
        <w:spacing w:after="480"/>
        <w:rPr>
          <w:color w:val="000000"/>
        </w:rPr>
      </w:pPr>
      <w:r>
        <w:tab/>
      </w:r>
      <w:r>
        <w:rPr>
          <w:i/>
        </w:rPr>
        <w:t>Per</w:t>
      </w:r>
      <w:r w:rsidRPr="006172FF">
        <w:t xml:space="preserve"> </w:t>
      </w:r>
      <w:r w:rsidR="00F02F88" w:rsidRPr="009C4F6B">
        <w:t>McLachlin</w:t>
      </w:r>
      <w:r w:rsidR="00F02F88" w:rsidRPr="006172FF">
        <w:t> </w:t>
      </w:r>
      <w:r w:rsidRPr="007E6D6F">
        <w:t>C.J.</w:t>
      </w:r>
      <w:r>
        <w:t xml:space="preserve"> and </w:t>
      </w:r>
      <w:r w:rsidRPr="009C4F6B">
        <w:t>LeBel</w:t>
      </w:r>
      <w:r w:rsidRPr="002733FA">
        <w:t>,</w:t>
      </w:r>
      <w:r w:rsidR="002733FA" w:rsidRPr="002733FA">
        <w:t xml:space="preserve"> </w:t>
      </w:r>
      <w:r w:rsidR="002733FA">
        <w:t>Binnie, Fish and Cromwell</w:t>
      </w:r>
      <w:r w:rsidR="00F02F88">
        <w:t> </w:t>
      </w:r>
      <w:r w:rsidR="002733FA">
        <w:t>JJ.:</w:t>
      </w:r>
      <w:r w:rsidR="006C7447">
        <w:t xml:space="preserve"> </w:t>
      </w:r>
      <w:r w:rsidR="00700AF1">
        <w:t xml:space="preserve"> </w:t>
      </w:r>
      <w:r w:rsidR="00F02F88">
        <w:t>Section </w:t>
      </w:r>
      <w:r w:rsidRPr="00C20000">
        <w:t>2(</w:t>
      </w:r>
      <w:r w:rsidRPr="00C20000">
        <w:rPr>
          <w:i/>
        </w:rPr>
        <w:t>d</w:t>
      </w:r>
      <w:r w:rsidRPr="00C20000">
        <w:t xml:space="preserve">) of the </w:t>
      </w:r>
      <w:r w:rsidRPr="00C20000">
        <w:rPr>
          <w:i/>
        </w:rPr>
        <w:t>Charter</w:t>
      </w:r>
      <w:r w:rsidRPr="00C20000">
        <w:t xml:space="preserve"> protects the right to associate to achieve collective goals.</w:t>
      </w:r>
      <w:r w:rsidR="00700AF1">
        <w:t xml:space="preserve">  </w:t>
      </w:r>
      <w:r>
        <w:t xml:space="preserve">This </w:t>
      </w:r>
      <w:r w:rsidRPr="00316000">
        <w:rPr>
          <w:color w:val="000000"/>
        </w:rPr>
        <w:t>requires</w:t>
      </w:r>
      <w:r>
        <w:t xml:space="preserve"> a process of engagement that permits employee associations to make representations to employers, which employers must consider and discuss in good faith.  </w:t>
      </w:r>
      <w:r w:rsidRPr="00C20000">
        <w:t>Laws or state actions that substantially interfere with the ability to achieve workplace</w:t>
      </w:r>
      <w:r w:rsidRPr="00C939C2">
        <w:t xml:space="preserve"> goals through collective actions have the effect of negating the right of free association and therefo</w:t>
      </w:r>
      <w:r w:rsidR="00F02F88">
        <w:t>re constitute a limit on the s. </w:t>
      </w:r>
      <w:r w:rsidRPr="00C939C2">
        <w:t>2(</w:t>
      </w:r>
      <w:r w:rsidRPr="00C20000">
        <w:rPr>
          <w:i/>
        </w:rPr>
        <w:t>d</w:t>
      </w:r>
      <w:r w:rsidRPr="00C939C2">
        <w:t>) right of free association, which renders the law or action unconstitutional unless</w:t>
      </w:r>
      <w:r w:rsidR="00700AF1">
        <w:t xml:space="preserve"> </w:t>
      </w:r>
      <w:r w:rsidR="00F02F88">
        <w:t>justified under s. </w:t>
      </w:r>
      <w:r w:rsidRPr="00C939C2">
        <w:t xml:space="preserve">1 of the </w:t>
      </w:r>
      <w:r w:rsidRPr="00C20000">
        <w:rPr>
          <w:i/>
        </w:rPr>
        <w:t>Charter</w:t>
      </w:r>
      <w:r w:rsidR="00DF3533">
        <w:t>.</w:t>
      </w:r>
    </w:p>
    <w:p w:rsidR="00BA681C" w:rsidRDefault="00BA681C" w:rsidP="00316000">
      <w:pPr>
        <w:pStyle w:val="SCCNormalDoubleSpacing"/>
        <w:tabs>
          <w:tab w:val="left" w:pos="1170"/>
        </w:tabs>
        <w:spacing w:after="480"/>
      </w:pPr>
      <w:r>
        <w:tab/>
        <w:t>B</w:t>
      </w:r>
      <w:r w:rsidRPr="00C939C2">
        <w:rPr>
          <w:color w:val="000000"/>
        </w:rPr>
        <w:t>argaining activities protected by s.</w:t>
      </w:r>
      <w:r w:rsidRPr="00C939C2">
        <w:t> </w:t>
      </w:r>
      <w:r w:rsidRPr="00C939C2">
        <w:rPr>
          <w:color w:val="000000"/>
        </w:rPr>
        <w:t>2(</w:t>
      </w:r>
      <w:r w:rsidRPr="00C939C2">
        <w:rPr>
          <w:i/>
          <w:color w:val="000000"/>
        </w:rPr>
        <w:t>d</w:t>
      </w:r>
      <w:r w:rsidRPr="00C939C2">
        <w:rPr>
          <w:color w:val="000000"/>
        </w:rPr>
        <w:t>) in the labour relations context include good faith bargaining on important workplace issues.</w:t>
      </w:r>
      <w:r w:rsidR="00700AF1">
        <w:rPr>
          <w:color w:val="000000"/>
        </w:rPr>
        <w:t xml:space="preserve">  </w:t>
      </w:r>
      <w:r w:rsidRPr="00EC491C">
        <w:t>It requires both employer and employees to meet and to bargain in good faith, in the pursuit of a common goal of peaceful and productive accommodation.</w:t>
      </w:r>
      <w:r w:rsidR="00700AF1">
        <w:t xml:space="preserve">  </w:t>
      </w:r>
      <w:r>
        <w:t>G</w:t>
      </w:r>
      <w:r w:rsidR="00700AF1">
        <w:t xml:space="preserve">ood faith negotiation </w:t>
      </w:r>
      <w:r w:rsidRPr="00EC491C">
        <w:t xml:space="preserve">under </w:t>
      </w:r>
      <w:r w:rsidR="00C837D1">
        <w:t>s. </w:t>
      </w:r>
      <w:r w:rsidRPr="00EC491C">
        <w:t>2(</w:t>
      </w:r>
      <w:r w:rsidRPr="001B2379">
        <w:rPr>
          <w:i/>
        </w:rPr>
        <w:t>d</w:t>
      </w:r>
      <w:r w:rsidRPr="00EC491C">
        <w:t>)</w:t>
      </w:r>
      <w:r w:rsidR="00700AF1">
        <w:t xml:space="preserve"> </w:t>
      </w:r>
      <w:r w:rsidRPr="00EC491C">
        <w:t>requires the parties to meet and engage in meaningful dialogue;</w:t>
      </w:r>
      <w:r w:rsidR="00700AF1">
        <w:t xml:space="preserve"> </w:t>
      </w:r>
      <w:r w:rsidRPr="00EC491C">
        <w:t>it</w:t>
      </w:r>
      <w:r w:rsidR="00700AF1">
        <w:t xml:space="preserve"> </w:t>
      </w:r>
      <w:r w:rsidRPr="00EC491C">
        <w:t xml:space="preserve">does </w:t>
      </w:r>
      <w:r w:rsidRPr="00EC491C">
        <w:lastRenderedPageBreak/>
        <w:t>not impose a particular process;</w:t>
      </w:r>
      <w:r w:rsidR="00700AF1">
        <w:t xml:space="preserve"> </w:t>
      </w:r>
      <w:r w:rsidRPr="00EC491C">
        <w:t>it</w:t>
      </w:r>
      <w:r w:rsidR="00700AF1">
        <w:t xml:space="preserve"> </w:t>
      </w:r>
      <w:r w:rsidRPr="00EC491C">
        <w:t>does not require the parties to conclude an agreement or accept any particular terms</w:t>
      </w:r>
      <w:r>
        <w:t>;</w:t>
      </w:r>
      <w:r w:rsidR="00700AF1">
        <w:t xml:space="preserve"> </w:t>
      </w:r>
      <w:r>
        <w:t>it</w:t>
      </w:r>
      <w:r w:rsidR="00700AF1">
        <w:t xml:space="preserve"> </w:t>
      </w:r>
      <w:r w:rsidRPr="00EC491C">
        <w:t>does not guarantee a legislated dispute resolution mechanism in the case of an impasse; and</w:t>
      </w:r>
      <w:r w:rsidR="00700AF1">
        <w:t xml:space="preserve"> </w:t>
      </w:r>
      <w:r w:rsidRPr="00EC491C">
        <w:t>it</w:t>
      </w:r>
      <w:r w:rsidR="00700AF1">
        <w:t xml:space="preserve"> </w:t>
      </w:r>
      <w:r w:rsidRPr="00EC491C">
        <w:t>protects only the right to a general process of collective bargaining, not to a particular model of labour relations, nor to a speci</w:t>
      </w:r>
      <w:r>
        <w:t>fic bargaining method</w:t>
      </w:r>
      <w:r w:rsidRPr="00EC491C">
        <w:t>.</w:t>
      </w:r>
      <w:r w:rsidR="00700AF1">
        <w:t xml:space="preserve">  </w:t>
      </w:r>
      <w:r>
        <w:t xml:space="preserve">What </w:t>
      </w:r>
      <w:r w:rsidR="00C837D1">
        <w:t>s. </w:t>
      </w:r>
      <w:r>
        <w:t>2(</w:t>
      </w:r>
      <w:r w:rsidRPr="00B44D26">
        <w:rPr>
          <w:i/>
        </w:rPr>
        <w:t>d</w:t>
      </w:r>
      <w:r>
        <w:t>) guarantees in the labour relations context is a meaningful process.</w:t>
      </w:r>
    </w:p>
    <w:p w:rsidR="00622AA0" w:rsidRDefault="00BA681C" w:rsidP="00316000">
      <w:pPr>
        <w:pStyle w:val="SCCNormalDoubleSpacing"/>
        <w:tabs>
          <w:tab w:val="left" w:pos="1170"/>
        </w:tabs>
        <w:spacing w:after="480"/>
      </w:pPr>
      <w:r>
        <w:rPr>
          <w:color w:val="000000"/>
        </w:rPr>
        <w:tab/>
      </w:r>
      <w:r w:rsidRPr="00C939C2">
        <w:rPr>
          <w:color w:val="000000"/>
        </w:rPr>
        <w:t xml:space="preserve">The decision in </w:t>
      </w:r>
      <w:r w:rsidRPr="00C939C2">
        <w:rPr>
          <w:i/>
          <w:color w:val="000000"/>
        </w:rPr>
        <w:t>Health Services</w:t>
      </w:r>
      <w:r w:rsidRPr="00C939C2">
        <w:rPr>
          <w:color w:val="000000"/>
        </w:rPr>
        <w:t xml:space="preserve"> follows directly from the principles enunciated in </w:t>
      </w:r>
      <w:r w:rsidRPr="00C939C2">
        <w:rPr>
          <w:i/>
          <w:color w:val="000000"/>
        </w:rPr>
        <w:t>Dunmore</w:t>
      </w:r>
      <w:r w:rsidR="00F02F88">
        <w:rPr>
          <w:color w:val="000000"/>
        </w:rPr>
        <w:t>.  Section </w:t>
      </w:r>
      <w:r w:rsidRPr="00C939C2">
        <w:rPr>
          <w:color w:val="000000"/>
        </w:rPr>
        <w:t>2(</w:t>
      </w:r>
      <w:r w:rsidRPr="00C939C2">
        <w:rPr>
          <w:i/>
          <w:color w:val="000000"/>
        </w:rPr>
        <w:t>d</w:t>
      </w:r>
      <w:r w:rsidRPr="00C939C2">
        <w:rPr>
          <w:color w:val="000000"/>
        </w:rPr>
        <w:t xml:space="preserve">), interpreted purposively and in light of Canada’s values and commitments, protects associational collective activity in furtherance of </w:t>
      </w:r>
      <w:r w:rsidRPr="00316000">
        <w:t>workplace</w:t>
      </w:r>
      <w:r w:rsidRPr="00C939C2">
        <w:rPr>
          <w:color w:val="000000"/>
        </w:rPr>
        <w:t xml:space="preserve"> goals.  The right is not merely a paper right, but a right to a process that permits meaningful pursuit of those goals.</w:t>
      </w:r>
      <w:r w:rsidR="00700AF1">
        <w:rPr>
          <w:color w:val="000000"/>
        </w:rPr>
        <w:t xml:space="preserve">  </w:t>
      </w:r>
      <w:r>
        <w:t xml:space="preserve">The principles within </w:t>
      </w:r>
      <w:r w:rsidRPr="004A7169">
        <w:rPr>
          <w:i/>
        </w:rPr>
        <w:t xml:space="preserve">Dunmore </w:t>
      </w:r>
      <w:r>
        <w:t xml:space="preserve">and </w:t>
      </w:r>
      <w:r w:rsidRPr="004A7169">
        <w:rPr>
          <w:i/>
        </w:rPr>
        <w:t>Health Services</w:t>
      </w:r>
      <w:r w:rsidR="00700AF1">
        <w:t xml:space="preserve"> </w:t>
      </w:r>
      <w:r>
        <w:t>represent good law, should not be overturned</w:t>
      </w:r>
      <w:r w:rsidR="00700AF1">
        <w:t xml:space="preserve"> </w:t>
      </w:r>
      <w:r>
        <w:t>and</w:t>
      </w:r>
      <w:r w:rsidR="00700AF1">
        <w:t xml:space="preserve"> </w:t>
      </w:r>
      <w:r>
        <w:t>provide resolution in this appe</w:t>
      </w:r>
      <w:r w:rsidR="003762FF">
        <w:t>al.</w:t>
      </w:r>
    </w:p>
    <w:p w:rsidR="00BA681C" w:rsidRDefault="00622AA0" w:rsidP="00316000">
      <w:pPr>
        <w:pStyle w:val="SCCNormalDoubleSpacing"/>
        <w:tabs>
          <w:tab w:val="left" w:pos="1170"/>
        </w:tabs>
        <w:spacing w:after="480"/>
      </w:pPr>
      <w:r>
        <w:tab/>
      </w:r>
      <w:r w:rsidR="00BA681C">
        <w:t>The seriousness of overturning</w:t>
      </w:r>
      <w:r w:rsidR="00700AF1">
        <w:t xml:space="preserve"> </w:t>
      </w:r>
      <w:r w:rsidR="00BA681C">
        <w:t>recent precedents of this Court, representing the considered views of firm majorities, cannot be overstated.</w:t>
      </w:r>
      <w:r w:rsidR="00700AF1">
        <w:t xml:space="preserve">  </w:t>
      </w:r>
      <w:r w:rsidR="00BA681C">
        <w:rPr>
          <w:color w:val="000000"/>
        </w:rPr>
        <w:t>T</w:t>
      </w:r>
      <w:r w:rsidR="00BA681C" w:rsidRPr="00C939C2">
        <w:rPr>
          <w:lang w:val="en-US"/>
        </w:rPr>
        <w:t>he arguments advance</w:t>
      </w:r>
      <w:r w:rsidR="00BA681C" w:rsidRPr="00C939C2">
        <w:rPr>
          <w:color w:val="000000"/>
          <w:lang w:val="en-US"/>
        </w:rPr>
        <w:t>d</w:t>
      </w:r>
      <w:r w:rsidR="00700AF1">
        <w:rPr>
          <w:color w:val="000000"/>
          <w:lang w:val="en-US"/>
        </w:rPr>
        <w:t xml:space="preserve"> </w:t>
      </w:r>
      <w:r w:rsidR="00BA681C">
        <w:rPr>
          <w:lang w:val="en-US"/>
        </w:rPr>
        <w:t xml:space="preserve">in favour of overturning </w:t>
      </w:r>
      <w:r w:rsidR="00BA681C">
        <w:rPr>
          <w:i/>
          <w:lang w:val="en-US"/>
        </w:rPr>
        <w:t>Health Services</w:t>
      </w:r>
      <w:r w:rsidR="00700AF1">
        <w:rPr>
          <w:i/>
          <w:lang w:val="en-US"/>
        </w:rPr>
        <w:t xml:space="preserve"> </w:t>
      </w:r>
      <w:r w:rsidR="00BA681C" w:rsidRPr="00C939C2">
        <w:rPr>
          <w:lang w:val="en-US"/>
        </w:rPr>
        <w:t xml:space="preserve">do not meet the high threshold for </w:t>
      </w:r>
      <w:r w:rsidR="00BA681C" w:rsidRPr="00316000">
        <w:t>reversing</w:t>
      </w:r>
      <w:r w:rsidR="00BA681C" w:rsidRPr="00C939C2">
        <w:rPr>
          <w:lang w:val="en-US"/>
        </w:rPr>
        <w:t xml:space="preserve"> </w:t>
      </w:r>
      <w:r w:rsidR="00BA681C">
        <w:rPr>
          <w:lang w:val="en-US"/>
        </w:rPr>
        <w:t xml:space="preserve">a </w:t>
      </w:r>
      <w:r w:rsidR="00BA681C" w:rsidRPr="00C939C2">
        <w:rPr>
          <w:lang w:val="en-US"/>
        </w:rPr>
        <w:t>precedent of this Court</w:t>
      </w:r>
      <w:r w:rsidR="00700AF1">
        <w:rPr>
          <w:lang w:val="en-US"/>
        </w:rPr>
        <w:t xml:space="preserve"> </w:t>
      </w:r>
      <w:r w:rsidR="00BA681C">
        <w:t>as it is</w:t>
      </w:r>
      <w:r w:rsidR="00700AF1">
        <w:t xml:space="preserve"> </w:t>
      </w:r>
      <w:r w:rsidR="00BA681C" w:rsidRPr="00C939C2">
        <w:t xml:space="preserve">grounded in precedent, consistent with Canadian values, consistent with Canada’s international commitments and consistent with this Court’s purposive and generous interpretation of other </w:t>
      </w:r>
      <w:r w:rsidR="00BA681C" w:rsidRPr="0078072B">
        <w:rPr>
          <w:i/>
        </w:rPr>
        <w:t>Charter</w:t>
      </w:r>
      <w:r w:rsidR="00BA681C" w:rsidRPr="00C939C2">
        <w:t xml:space="preserve"> guarantees.</w:t>
      </w:r>
      <w:r w:rsidR="00700AF1">
        <w:t xml:space="preserve">  </w:t>
      </w:r>
      <w:r w:rsidR="00BA681C" w:rsidRPr="00C939C2">
        <w:rPr>
          <w:i/>
          <w:lang w:val="en-US"/>
        </w:rPr>
        <w:t>Health Services</w:t>
      </w:r>
      <w:r w:rsidR="00BA681C" w:rsidRPr="00C939C2">
        <w:rPr>
          <w:lang w:val="en-US"/>
        </w:rPr>
        <w:t xml:space="preserve"> was consistent with previous cases on the issue of individual and collective rights.  It recognized, as did previous jurisprudence, that </w:t>
      </w:r>
      <w:r w:rsidR="00C837D1">
        <w:rPr>
          <w:lang w:val="en-US"/>
        </w:rPr>
        <w:lastRenderedPageBreak/>
        <w:t>s. </w:t>
      </w:r>
      <w:r w:rsidR="00BA681C" w:rsidRPr="00C939C2">
        <w:rPr>
          <w:lang w:val="en-US"/>
        </w:rPr>
        <w:t>2(</w:t>
      </w:r>
      <w:r w:rsidR="00BA681C" w:rsidRPr="00C939C2">
        <w:rPr>
          <w:i/>
          <w:lang w:val="en-US"/>
        </w:rPr>
        <w:t>d</w:t>
      </w:r>
      <w:r w:rsidR="00BA681C" w:rsidRPr="00C939C2">
        <w:rPr>
          <w:lang w:val="en-US"/>
        </w:rPr>
        <w:t>) is an individual right.</w:t>
      </w:r>
      <w:r w:rsidR="00700AF1">
        <w:rPr>
          <w:lang w:val="en-US"/>
        </w:rPr>
        <w:t xml:space="preserve">  </w:t>
      </w:r>
      <w:r w:rsidR="00BA681C">
        <w:rPr>
          <w:lang w:val="en-US"/>
        </w:rPr>
        <w:t xml:space="preserve">It </w:t>
      </w:r>
      <w:r w:rsidR="00BA681C" w:rsidRPr="00C939C2">
        <w:rPr>
          <w:lang w:val="en-US"/>
        </w:rPr>
        <w:t xml:space="preserve">also recognized, as did previous cases, that to meaningfully uphold this individual right, </w:t>
      </w:r>
      <w:r w:rsidR="00C837D1">
        <w:rPr>
          <w:lang w:val="en-US"/>
        </w:rPr>
        <w:t>s. </w:t>
      </w:r>
      <w:r w:rsidR="00BA681C" w:rsidRPr="00C939C2">
        <w:rPr>
          <w:lang w:val="en-US"/>
        </w:rPr>
        <w:t>2(</w:t>
      </w:r>
      <w:r w:rsidR="00BA681C" w:rsidRPr="00C939C2">
        <w:rPr>
          <w:i/>
          <w:lang w:val="en-US"/>
        </w:rPr>
        <w:t>d</w:t>
      </w:r>
      <w:r w:rsidR="00BA681C" w:rsidRPr="00C939C2">
        <w:rPr>
          <w:lang w:val="en-US"/>
        </w:rPr>
        <w:t xml:space="preserve">) may properly </w:t>
      </w:r>
      <w:r w:rsidR="00BA681C" w:rsidRPr="00C939C2">
        <w:rPr>
          <w:color w:val="000000"/>
          <w:lang w:val="en-US"/>
        </w:rPr>
        <w:t xml:space="preserve">require legislative protection of </w:t>
      </w:r>
      <w:r w:rsidR="00BA681C" w:rsidRPr="00C939C2">
        <w:rPr>
          <w:lang w:val="en-US"/>
        </w:rPr>
        <w:t>group or collective activities.</w:t>
      </w:r>
      <w:r w:rsidR="00700AF1">
        <w:rPr>
          <w:lang w:val="en-US"/>
        </w:rPr>
        <w:t xml:space="preserve">  </w:t>
      </w:r>
      <w:r w:rsidR="00BA681C">
        <w:t>T</w:t>
      </w:r>
      <w:r w:rsidR="00BA681C" w:rsidRPr="00CB0A3F">
        <w:rPr>
          <w:lang w:val="en-US"/>
        </w:rPr>
        <w:t xml:space="preserve">he approach to deference </w:t>
      </w:r>
      <w:r>
        <w:rPr>
          <w:lang w:val="en-US"/>
        </w:rPr>
        <w:t xml:space="preserve">to Parliament and legislatures </w:t>
      </w:r>
      <w:r w:rsidR="00BA681C" w:rsidRPr="00CB0A3F">
        <w:rPr>
          <w:lang w:val="en-US"/>
        </w:rPr>
        <w:t xml:space="preserve">advanced in </w:t>
      </w:r>
      <w:r w:rsidR="00BA681C" w:rsidRPr="00CB0A3F">
        <w:rPr>
          <w:i/>
          <w:lang w:val="en-US"/>
        </w:rPr>
        <w:t>Health Services</w:t>
      </w:r>
      <w:r w:rsidR="00BA681C" w:rsidRPr="00CB0A3F">
        <w:rPr>
          <w:lang w:val="en-US"/>
        </w:rPr>
        <w:t xml:space="preserve"> is</w:t>
      </w:r>
      <w:r w:rsidR="00700AF1">
        <w:rPr>
          <w:lang w:val="en-US"/>
        </w:rPr>
        <w:t xml:space="preserve"> </w:t>
      </w:r>
      <w:r w:rsidR="00BA681C" w:rsidRPr="00CB0A3F">
        <w:rPr>
          <w:lang w:val="en-US"/>
        </w:rPr>
        <w:t>also</w:t>
      </w:r>
      <w:r w:rsidR="00700AF1">
        <w:rPr>
          <w:lang w:val="en-US"/>
        </w:rPr>
        <w:t xml:space="preserve"> </w:t>
      </w:r>
      <w:r w:rsidR="00BA681C" w:rsidRPr="00CB0A3F">
        <w:rPr>
          <w:lang w:val="en-US"/>
        </w:rPr>
        <w:t xml:space="preserve">consistent with this Court’s general jurisprudence.  Deference should inform the determination of whether </w:t>
      </w:r>
      <w:r>
        <w:rPr>
          <w:lang w:val="en-US"/>
        </w:rPr>
        <w:t xml:space="preserve">a legislative </w:t>
      </w:r>
      <w:r w:rsidR="00BA681C" w:rsidRPr="00CB0A3F">
        <w:rPr>
          <w:lang w:val="en-US"/>
        </w:rPr>
        <w:t xml:space="preserve">scheme satisfies the requirements of the </w:t>
      </w:r>
      <w:r w:rsidR="00BA681C" w:rsidRPr="00CB0A3F">
        <w:rPr>
          <w:i/>
          <w:lang w:val="en-US"/>
        </w:rPr>
        <w:t>Charter</w:t>
      </w:r>
      <w:r w:rsidR="00BA681C" w:rsidRPr="00CB0A3F">
        <w:rPr>
          <w:lang w:val="en-US"/>
        </w:rPr>
        <w:t>, as articulated by the courts.</w:t>
      </w:r>
      <w:r w:rsidR="00700AF1">
        <w:rPr>
          <w:lang w:val="en-US"/>
        </w:rPr>
        <w:t xml:space="preserve">  </w:t>
      </w:r>
      <w:r w:rsidR="00BA681C" w:rsidRPr="00CB0A3F">
        <w:rPr>
          <w:lang w:val="en-US"/>
        </w:rPr>
        <w:t xml:space="preserve">The </w:t>
      </w:r>
      <w:r w:rsidR="00BA681C" w:rsidRPr="00C939C2">
        <w:t>unworkability</w:t>
      </w:r>
      <w:r w:rsidR="00BA681C">
        <w:t xml:space="preserve"> of </w:t>
      </w:r>
      <w:r w:rsidR="00BA681C" w:rsidRPr="00CB0A3F">
        <w:rPr>
          <w:i/>
        </w:rPr>
        <w:t>Health Services</w:t>
      </w:r>
      <w:r w:rsidR="00BA681C" w:rsidRPr="00C939C2">
        <w:t xml:space="preserve"> has not been established.</w:t>
      </w:r>
      <w:r w:rsidR="00700AF1">
        <w:t xml:space="preserve">  </w:t>
      </w:r>
      <w:r w:rsidR="00BA681C">
        <w:t>T</w:t>
      </w:r>
      <w:r w:rsidR="00BA681C" w:rsidRPr="00CB0A3F">
        <w:rPr>
          <w:color w:val="000000"/>
        </w:rPr>
        <w:t xml:space="preserve">here is no concrete evidence that the principles enunciated in </w:t>
      </w:r>
      <w:r w:rsidR="00BA681C" w:rsidRPr="00CB0A3F">
        <w:rPr>
          <w:i/>
          <w:color w:val="000000"/>
        </w:rPr>
        <w:t>Dunmore</w:t>
      </w:r>
      <w:r w:rsidR="00BA681C" w:rsidRPr="00CB0A3F">
        <w:rPr>
          <w:color w:val="000000"/>
        </w:rPr>
        <w:t xml:space="preserve"> and </w:t>
      </w:r>
      <w:r w:rsidR="00BA681C" w:rsidRPr="00CB0A3F">
        <w:rPr>
          <w:i/>
          <w:color w:val="000000"/>
        </w:rPr>
        <w:t>Health Services</w:t>
      </w:r>
      <w:r w:rsidR="00BA681C" w:rsidRPr="00CB0A3F">
        <w:rPr>
          <w:color w:val="000000"/>
        </w:rPr>
        <w:t xml:space="preserve"> are unworkable or have led to intolerable results.  I</w:t>
      </w:r>
      <w:r w:rsidR="00BA681C" w:rsidRPr="00C939C2">
        <w:t xml:space="preserve">t is premature to argue that the holding in </w:t>
      </w:r>
      <w:r w:rsidR="00BA681C" w:rsidRPr="00CB0A3F">
        <w:rPr>
          <w:i/>
        </w:rPr>
        <w:t>Health Services</w:t>
      </w:r>
      <w:r w:rsidR="00BA681C" w:rsidRPr="00C939C2">
        <w:t xml:space="preserve">, rendered </w:t>
      </w:r>
      <w:r w:rsidR="00BA681C" w:rsidRPr="00CB0A3F">
        <w:rPr>
          <w:color w:val="000000"/>
        </w:rPr>
        <w:t xml:space="preserve">four </w:t>
      </w:r>
      <w:r w:rsidR="00BA681C" w:rsidRPr="00C939C2">
        <w:t>years ago, is unworkable in practice.</w:t>
      </w:r>
    </w:p>
    <w:p w:rsidR="00BA681C" w:rsidRDefault="00BA681C" w:rsidP="00316000">
      <w:pPr>
        <w:pStyle w:val="SCCNormalDoubleSpacing"/>
        <w:tabs>
          <w:tab w:val="left" w:pos="1170"/>
        </w:tabs>
        <w:spacing w:after="480"/>
      </w:pPr>
      <w:r>
        <w:tab/>
        <w:t>Th</w:t>
      </w:r>
      <w:r w:rsidRPr="00C939C2">
        <w:rPr>
          <w:color w:val="000000"/>
        </w:rPr>
        <w:t>e Ontario legislature</w:t>
      </w:r>
      <w:r w:rsidR="00700AF1">
        <w:rPr>
          <w:color w:val="000000"/>
        </w:rPr>
        <w:t xml:space="preserve"> </w:t>
      </w:r>
      <w:r>
        <w:rPr>
          <w:color w:val="000000"/>
        </w:rPr>
        <w:t>is not required</w:t>
      </w:r>
      <w:r w:rsidR="00700AF1">
        <w:rPr>
          <w:color w:val="000000"/>
        </w:rPr>
        <w:t xml:space="preserve"> </w:t>
      </w:r>
      <w:r w:rsidRPr="00C939C2">
        <w:rPr>
          <w:color w:val="000000"/>
        </w:rPr>
        <w:t>to provide a particular form of collective bargaining rights to agricultural workers, in order to secure the effective exercise of their associational rights.</w:t>
      </w:r>
      <w:r w:rsidR="00700AF1">
        <w:rPr>
          <w:color w:val="000000"/>
        </w:rPr>
        <w:t xml:space="preserve">  </w:t>
      </w:r>
      <w:r>
        <w:rPr>
          <w:color w:val="000000"/>
        </w:rPr>
        <w:t>In this case, the Court of Appeal</w:t>
      </w:r>
      <w:r w:rsidR="00700AF1">
        <w:rPr>
          <w:color w:val="000000"/>
        </w:rPr>
        <w:t xml:space="preserve"> </w:t>
      </w:r>
      <w:r>
        <w:rPr>
          <w:color w:val="000000"/>
        </w:rPr>
        <w:t>has</w:t>
      </w:r>
      <w:r w:rsidR="00700AF1">
        <w:rPr>
          <w:color w:val="000000"/>
        </w:rPr>
        <w:t xml:space="preserve"> </w:t>
      </w:r>
      <w:r w:rsidRPr="00C939C2">
        <w:rPr>
          <w:color w:val="000000"/>
        </w:rPr>
        <w:t>overstate</w:t>
      </w:r>
      <w:r>
        <w:rPr>
          <w:color w:val="000000"/>
        </w:rPr>
        <w:t>d</w:t>
      </w:r>
      <w:r w:rsidRPr="00C939C2">
        <w:rPr>
          <w:color w:val="000000"/>
        </w:rPr>
        <w:t xml:space="preserve"> the ambit of the </w:t>
      </w:r>
      <w:r w:rsidR="00C837D1">
        <w:rPr>
          <w:color w:val="000000"/>
        </w:rPr>
        <w:t>s. </w:t>
      </w:r>
      <w:r w:rsidRPr="00C939C2">
        <w:rPr>
          <w:color w:val="000000"/>
        </w:rPr>
        <w:t>2(</w:t>
      </w:r>
      <w:r w:rsidRPr="00C939C2">
        <w:rPr>
          <w:i/>
          <w:color w:val="000000"/>
        </w:rPr>
        <w:t>d</w:t>
      </w:r>
      <w:r w:rsidRPr="00C939C2">
        <w:rPr>
          <w:color w:val="000000"/>
        </w:rPr>
        <w:t>) right</w:t>
      </w:r>
      <w:r>
        <w:rPr>
          <w:color w:val="000000"/>
        </w:rPr>
        <w:t>.</w:t>
      </w:r>
      <w:r w:rsidR="00700AF1">
        <w:rPr>
          <w:color w:val="000000"/>
        </w:rPr>
        <w:t xml:space="preserve">  </w:t>
      </w:r>
      <w:r>
        <w:rPr>
          <w:color w:val="000000"/>
        </w:rPr>
        <w:t>T</w:t>
      </w:r>
      <w:r w:rsidRPr="00C939C2">
        <w:rPr>
          <w:color w:val="000000"/>
        </w:rPr>
        <w:t xml:space="preserve">he affirmation of the right to collective </w:t>
      </w:r>
      <w:r w:rsidRPr="00316000">
        <w:t>bargaining</w:t>
      </w:r>
      <w:r w:rsidR="00700AF1">
        <w:rPr>
          <w:color w:val="000000"/>
        </w:rPr>
        <w:t xml:space="preserve"> </w:t>
      </w:r>
      <w:r>
        <w:rPr>
          <w:color w:val="000000"/>
        </w:rPr>
        <w:t>is not</w:t>
      </w:r>
      <w:r w:rsidR="00700AF1">
        <w:rPr>
          <w:color w:val="000000"/>
        </w:rPr>
        <w:t xml:space="preserve"> </w:t>
      </w:r>
      <w:r w:rsidRPr="00C939C2">
        <w:rPr>
          <w:color w:val="000000"/>
        </w:rPr>
        <w:t>an affirmation of a particular type of collective bargaining,</w:t>
      </w:r>
      <w:r w:rsidR="00700AF1">
        <w:rPr>
          <w:color w:val="000000"/>
        </w:rPr>
        <w:t xml:space="preserve"> </w:t>
      </w:r>
      <w:r>
        <w:rPr>
          <w:color w:val="000000"/>
        </w:rPr>
        <w:t>such as</w:t>
      </w:r>
      <w:r w:rsidR="00700AF1">
        <w:rPr>
          <w:color w:val="000000"/>
        </w:rPr>
        <w:t xml:space="preserve"> </w:t>
      </w:r>
      <w:r w:rsidRPr="00C939C2">
        <w:rPr>
          <w:color w:val="000000"/>
        </w:rPr>
        <w:t>the Wagner model which is dominant in Canada.</w:t>
      </w:r>
      <w:r w:rsidR="00700AF1">
        <w:rPr>
          <w:color w:val="000000"/>
        </w:rPr>
        <w:t xml:space="preserve">  </w:t>
      </w:r>
      <w:r w:rsidR="00700AF1">
        <w:t>W</w:t>
      </w:r>
      <w:r w:rsidRPr="00C939C2">
        <w:rPr>
          <w:color w:val="000000"/>
        </w:rPr>
        <w:t xml:space="preserve">hat </w:t>
      </w:r>
      <w:r w:rsidR="00C837D1">
        <w:rPr>
          <w:color w:val="000000"/>
        </w:rPr>
        <w:t>s. </w:t>
      </w:r>
      <w:r w:rsidRPr="00C939C2">
        <w:rPr>
          <w:color w:val="000000"/>
        </w:rPr>
        <w:t>2(</w:t>
      </w:r>
      <w:r w:rsidRPr="00C939C2">
        <w:rPr>
          <w:i/>
          <w:color w:val="000000"/>
        </w:rPr>
        <w:t>d</w:t>
      </w:r>
      <w:r w:rsidRPr="00C939C2">
        <w:rPr>
          <w:color w:val="000000"/>
        </w:rPr>
        <w:t xml:space="preserve">) protects is </w:t>
      </w:r>
      <w:r w:rsidRPr="001B2379">
        <w:rPr>
          <w:color w:val="000000"/>
        </w:rPr>
        <w:t xml:space="preserve">the right to associate to achieve collective goals.  Laws or government action that </w:t>
      </w:r>
      <w:r w:rsidR="00622AA0">
        <w:rPr>
          <w:color w:val="000000"/>
        </w:rPr>
        <w:t xml:space="preserve">substantially interfere with the ability to achieve </w:t>
      </w:r>
      <w:r w:rsidRPr="001B2379">
        <w:rPr>
          <w:color w:val="000000"/>
        </w:rPr>
        <w:t>collective goals have the effect of limiting freedom of association, by making it pointle</w:t>
      </w:r>
      <w:r w:rsidR="00F02F88">
        <w:rPr>
          <w:color w:val="000000"/>
        </w:rPr>
        <w:t>ss.</w:t>
      </w:r>
      <w:r w:rsidR="00C837D1">
        <w:rPr>
          <w:color w:val="000000"/>
        </w:rPr>
        <w:t xml:space="preserve"> </w:t>
      </w:r>
      <w:r w:rsidRPr="00C939C2">
        <w:rPr>
          <w:color w:val="000000"/>
        </w:rPr>
        <w:t xml:space="preserve"> It is in this derivative sense that s.</w:t>
      </w:r>
      <w:r w:rsidRPr="00C939C2">
        <w:t xml:space="preserve"> </w:t>
      </w:r>
      <w:r w:rsidRPr="00C939C2">
        <w:rPr>
          <w:color w:val="000000"/>
        </w:rPr>
        <w:t>2(</w:t>
      </w:r>
      <w:r w:rsidRPr="00C939C2">
        <w:rPr>
          <w:i/>
          <w:color w:val="000000"/>
        </w:rPr>
        <w:t>d</w:t>
      </w:r>
      <w:r w:rsidRPr="00C939C2">
        <w:rPr>
          <w:color w:val="000000"/>
        </w:rPr>
        <w:t>) protects a right to collective bargaining</w:t>
      </w:r>
      <w:r>
        <w:rPr>
          <w:color w:val="000000"/>
        </w:rPr>
        <w:t>.</w:t>
      </w:r>
      <w:r w:rsidR="00700AF1">
        <w:rPr>
          <w:color w:val="000000"/>
        </w:rPr>
        <w:t xml:space="preserve">  </w:t>
      </w:r>
      <w:r>
        <w:t>Legi</w:t>
      </w:r>
      <w:r w:rsidRPr="00C939C2">
        <w:t>slatures are</w:t>
      </w:r>
      <w:r w:rsidR="00700AF1">
        <w:t xml:space="preserve"> </w:t>
      </w:r>
      <w:r>
        <w:t>not</w:t>
      </w:r>
      <w:r w:rsidR="00700AF1">
        <w:t xml:space="preserve"> </w:t>
      </w:r>
      <w:r w:rsidRPr="00C939C2">
        <w:t xml:space="preserve">constitutionally required, in all cases and for all industries, to enact laws that set up a uniform model of labour relations imposing a statutory duty to bargain in good faith, statutory recognition of </w:t>
      </w:r>
      <w:r w:rsidRPr="00C939C2">
        <w:lastRenderedPageBreak/>
        <w:t>the principles of exclusive majority representation and a statutory mechanism for resolving bargaining impasses and disputes regarding the interpretation or administration of collective agreements.  What is protected is associational activity, not a</w:t>
      </w:r>
      <w:r w:rsidR="003762FF">
        <w:t xml:space="preserve"> particular process or result.</w:t>
      </w:r>
    </w:p>
    <w:p w:rsidR="00BA681C" w:rsidRDefault="00BA681C" w:rsidP="00316000">
      <w:pPr>
        <w:pStyle w:val="SCCNormalDoubleSpacing"/>
        <w:tabs>
          <w:tab w:val="left" w:pos="1170"/>
        </w:tabs>
        <w:spacing w:after="480"/>
      </w:pPr>
      <w:r>
        <w:tab/>
      </w:r>
      <w:r w:rsidRPr="00C20000">
        <w:t>Farm workers in Ontario are entitled to meaningful processes by which they can pursue workplace goals.</w:t>
      </w:r>
      <w:r w:rsidR="00700AF1">
        <w:t xml:space="preserve">  </w:t>
      </w:r>
      <w:r>
        <w:t>T</w:t>
      </w:r>
      <w:r w:rsidRPr="00C939C2">
        <w:t xml:space="preserve">he right of an employees’ association to make representations to the employer and have its views considered in good faith is a derivative right under </w:t>
      </w:r>
      <w:r w:rsidR="00C837D1">
        <w:t>s. </w:t>
      </w:r>
      <w:r w:rsidRPr="00C939C2">
        <w:t>2(</w:t>
      </w:r>
      <w:r w:rsidRPr="00AF5652">
        <w:rPr>
          <w:i/>
        </w:rPr>
        <w:t>d</w:t>
      </w:r>
      <w:r w:rsidRPr="00C939C2">
        <w:t xml:space="preserve">) of the </w:t>
      </w:r>
      <w:r w:rsidRPr="00AF5652">
        <w:rPr>
          <w:i/>
        </w:rPr>
        <w:t>Charter</w:t>
      </w:r>
      <w:r w:rsidRPr="00C939C2">
        <w:t>, necessary to meaningful exercise of the right to free association.</w:t>
      </w:r>
      <w:r w:rsidR="00700AF1">
        <w:t xml:space="preserve">  </w:t>
      </w:r>
      <w:r>
        <w:t>T</w:t>
      </w:r>
      <w:r w:rsidRPr="00C939C2">
        <w:t>he</w:t>
      </w:r>
      <w:r>
        <w:t xml:space="preserve"> </w:t>
      </w:r>
      <w:r w:rsidRPr="00F007A1">
        <w:rPr>
          <w:i/>
        </w:rPr>
        <w:t>AEPA</w:t>
      </w:r>
      <w:r>
        <w:t xml:space="preserve"> </w:t>
      </w:r>
      <w:r w:rsidRPr="00F007A1">
        <w:t>provides</w:t>
      </w:r>
      <w:r w:rsidRPr="00C939C2">
        <w:t xml:space="preserve"> a process that satisfies this constitutional requirement.</w:t>
      </w:r>
      <w:r w:rsidR="00700AF1">
        <w:t xml:space="preserve"> </w:t>
      </w:r>
      <w:r>
        <w:t xml:space="preserve"> </w:t>
      </w:r>
      <w:r w:rsidRPr="00AF5652">
        <w:t xml:space="preserve">Under the </w:t>
      </w:r>
      <w:r>
        <w:rPr>
          <w:i/>
        </w:rPr>
        <w:t>AEPA</w:t>
      </w:r>
      <w:r w:rsidRPr="00AF5652">
        <w:t xml:space="preserve">, the right of employees’ associations to make representations to their employers is set out </w:t>
      </w:r>
      <w:r>
        <w:t xml:space="preserve">in </w:t>
      </w:r>
      <w:r w:rsidR="00C837D1">
        <w:t>s. </w:t>
      </w:r>
      <w:r>
        <w:t>5 and</w:t>
      </w:r>
      <w:r w:rsidR="00700AF1">
        <w:t xml:space="preserve"> </w:t>
      </w:r>
      <w:r w:rsidRPr="00C939C2">
        <w:t>provide</w:t>
      </w:r>
      <w:r>
        <w:t>s</w:t>
      </w:r>
      <w:r w:rsidRPr="00C939C2">
        <w:t xml:space="preserve"> that the employer shall listen to oral representations, and read written representations, and</w:t>
      </w:r>
      <w:r w:rsidR="003762FF">
        <w:t xml:space="preserve"> acknowledge having read them.</w:t>
      </w:r>
    </w:p>
    <w:p w:rsidR="00BA681C" w:rsidRPr="001B2379" w:rsidRDefault="00BA681C" w:rsidP="00316000">
      <w:pPr>
        <w:pStyle w:val="SCCNormalDoubleSpacing"/>
        <w:tabs>
          <w:tab w:val="left" w:pos="1170"/>
        </w:tabs>
        <w:spacing w:after="480"/>
      </w:pPr>
      <w:r>
        <w:tab/>
      </w:r>
      <w:r w:rsidRPr="00C939C2">
        <w:t>The</w:t>
      </w:r>
      <w:r w:rsidR="00700AF1">
        <w:t xml:space="preserve"> </w:t>
      </w:r>
      <w:r>
        <w:rPr>
          <w:i/>
        </w:rPr>
        <w:t>AEPA</w:t>
      </w:r>
      <w:r>
        <w:t xml:space="preserve"> does</w:t>
      </w:r>
      <w:r w:rsidR="00700AF1">
        <w:t xml:space="preserve"> </w:t>
      </w:r>
      <w:r w:rsidRPr="00C939C2">
        <w:t>not expressly refer to a requirement that the employer consider employee representations in good faith</w:t>
      </w:r>
      <w:r>
        <w:t>;</w:t>
      </w:r>
      <w:r w:rsidR="00700AF1">
        <w:t xml:space="preserve"> </w:t>
      </w:r>
      <w:r>
        <w:t>however,</w:t>
      </w:r>
      <w:r w:rsidR="00700AF1">
        <w:t xml:space="preserve"> </w:t>
      </w:r>
      <w:r>
        <w:t>by implication, it includes such a requirement.</w:t>
      </w:r>
      <w:r w:rsidR="00700AF1">
        <w:t xml:space="preserve">  </w:t>
      </w:r>
      <w:r>
        <w:t>A</w:t>
      </w:r>
      <w:r w:rsidRPr="00AF5652">
        <w:rPr>
          <w:color w:val="000000"/>
        </w:rPr>
        <w:t xml:space="preserve">ny </w:t>
      </w:r>
      <w:r w:rsidRPr="00C939C2">
        <w:t>ambiguity</w:t>
      </w:r>
      <w:r w:rsidR="00700AF1">
        <w:t xml:space="preserve"> </w:t>
      </w:r>
      <w:r>
        <w:t xml:space="preserve">in </w:t>
      </w:r>
      <w:r w:rsidR="00C837D1">
        <w:t>s. </w:t>
      </w:r>
      <w:r>
        <w:t>5</w:t>
      </w:r>
      <w:r w:rsidR="00700AF1">
        <w:t xml:space="preserve"> </w:t>
      </w:r>
      <w:r w:rsidRPr="00C939C2">
        <w:t>should be resolved by interpreting</w:t>
      </w:r>
      <w:r w:rsidR="00700AF1">
        <w:t xml:space="preserve"> </w:t>
      </w:r>
      <w:r>
        <w:t>it</w:t>
      </w:r>
      <w:r w:rsidR="00700AF1">
        <w:t xml:space="preserve"> </w:t>
      </w:r>
      <w:r w:rsidRPr="00C939C2">
        <w:t>as imposing a duty on</w:t>
      </w:r>
      <w:r>
        <w:t xml:space="preserve"> agricultural </w:t>
      </w:r>
      <w:r w:rsidRPr="00C939C2">
        <w:t>employers to consider employee representations in good faith</w:t>
      </w:r>
      <w:r>
        <w:t>, as</w:t>
      </w:r>
      <w:r w:rsidR="00700AF1">
        <w:t xml:space="preserve"> </w:t>
      </w:r>
      <w:r>
        <w:t>a statute should be interpreted in a way that gives meaning and purpose to its provisions</w:t>
      </w:r>
      <w:r w:rsidR="00700AF1">
        <w:t xml:space="preserve"> </w:t>
      </w:r>
      <w:r>
        <w:t>and</w:t>
      </w:r>
      <w:r w:rsidR="00700AF1">
        <w:t xml:space="preserve"> </w:t>
      </w:r>
      <w:r>
        <w:t xml:space="preserve">Parliament and legislatures are presumed to intend to comply with the </w:t>
      </w:r>
      <w:r w:rsidRPr="001B2379">
        <w:rPr>
          <w:i/>
        </w:rPr>
        <w:t>Charter</w:t>
      </w:r>
      <w:r>
        <w:t>.</w:t>
      </w:r>
      <w:r w:rsidR="00700AF1">
        <w:t xml:space="preserve">  </w:t>
      </w:r>
      <w:r w:rsidRPr="00C939C2">
        <w:t>There can only be one purpose for requiring the employer to listen to or read employee</w:t>
      </w:r>
      <w:r w:rsidRPr="00C939C2">
        <w:rPr>
          <w:color w:val="000000"/>
        </w:rPr>
        <w:t xml:space="preserve"> representations</w:t>
      </w:r>
      <w:r>
        <w:rPr>
          <w:color w:val="000000"/>
        </w:rPr>
        <w:t xml:space="preserve"> </w:t>
      </w:r>
      <w:r w:rsidRPr="00C939C2">
        <w:t>— to assure that the employer</w:t>
      </w:r>
      <w:r w:rsidRPr="00C939C2">
        <w:rPr>
          <w:color w:val="000000"/>
        </w:rPr>
        <w:t xml:space="preserve"> will in fact </w:t>
      </w:r>
      <w:r w:rsidRPr="00C939C2">
        <w:rPr>
          <w:color w:val="000000"/>
        </w:rPr>
        <w:lastRenderedPageBreak/>
        <w:t xml:space="preserve">consider </w:t>
      </w:r>
      <w:r w:rsidRPr="00C939C2">
        <w:t>the employee representation</w:t>
      </w:r>
      <w:r w:rsidRPr="00C939C2">
        <w:rPr>
          <w:color w:val="000000"/>
        </w:rPr>
        <w:t>s</w:t>
      </w:r>
      <w:r w:rsidRPr="00C939C2">
        <w:t xml:space="preserve">.  No labour relations purpose is served merely by </w:t>
      </w:r>
      <w:r w:rsidRPr="00C939C2">
        <w:rPr>
          <w:i/>
          <w:color w:val="000000"/>
        </w:rPr>
        <w:t>pro forma</w:t>
      </w:r>
      <w:r w:rsidRPr="00C939C2">
        <w:rPr>
          <w:color w:val="000000"/>
        </w:rPr>
        <w:t xml:space="preserve"> </w:t>
      </w:r>
      <w:r w:rsidRPr="00C939C2">
        <w:t>listening or reading.  To fulfill the purpose of reading or listening, the employer must consider the submission.  Moreover, the employer must do so in good faith:  consideration with a closed mind would render listening or reading the submission pointle</w:t>
      </w:r>
      <w:r w:rsidR="00C837D1">
        <w:t xml:space="preserve">ss. </w:t>
      </w:r>
      <w:r w:rsidR="009C4F6B">
        <w:t xml:space="preserve"> Comments made in the l</w:t>
      </w:r>
      <w:r>
        <w:t xml:space="preserve">egislature during the debate on this legislation </w:t>
      </w:r>
      <w:r w:rsidRPr="00C939C2">
        <w:t xml:space="preserve">that the </w:t>
      </w:r>
      <w:r>
        <w:rPr>
          <w:i/>
        </w:rPr>
        <w:t>AEPA</w:t>
      </w:r>
      <w:r>
        <w:t xml:space="preserve"> </w:t>
      </w:r>
      <w:r w:rsidRPr="00C939C2">
        <w:t>was not intended to extend collective bargaining to agricultural workers</w:t>
      </w:r>
      <w:r w:rsidR="00700AF1">
        <w:t xml:space="preserve"> </w:t>
      </w:r>
      <w:r w:rsidRPr="00C939C2">
        <w:t xml:space="preserve">may be understood as an affirmation that the </w:t>
      </w:r>
      <w:r>
        <w:t xml:space="preserve">Act </w:t>
      </w:r>
      <w:r w:rsidRPr="00C939C2">
        <w:t>did not institute the dominant Wagner model of collective bargaining, or bring agricultural workers within the ambit of</w:t>
      </w:r>
      <w:r w:rsidRPr="00521816">
        <w:rPr>
          <w:color w:val="000000"/>
        </w:rPr>
        <w:t xml:space="preserve"> the</w:t>
      </w:r>
      <w:r w:rsidRPr="00C939C2">
        <w:t xml:space="preserve"> </w:t>
      </w:r>
      <w:r w:rsidRPr="00521816">
        <w:rPr>
          <w:i/>
        </w:rPr>
        <w:t>LRA</w:t>
      </w:r>
      <w:r w:rsidRPr="00521816">
        <w:rPr>
          <w:color w:val="000000"/>
        </w:rPr>
        <w:t xml:space="preserve">, not that the </w:t>
      </w:r>
      <w:r>
        <w:rPr>
          <w:i/>
          <w:color w:val="000000"/>
        </w:rPr>
        <w:t>AEPA</w:t>
      </w:r>
      <w:r w:rsidRPr="00521816">
        <w:rPr>
          <w:color w:val="000000"/>
        </w:rPr>
        <w:t xml:space="preserve"> intended to deprive farm workers of the protections of collective bargaining that </w:t>
      </w:r>
      <w:r w:rsidR="00C837D1">
        <w:rPr>
          <w:color w:val="000000"/>
        </w:rPr>
        <w:t>s. </w:t>
      </w:r>
      <w:r w:rsidRPr="00521816">
        <w:rPr>
          <w:color w:val="000000"/>
        </w:rPr>
        <w:t>2(</w:t>
      </w:r>
      <w:r w:rsidRPr="00521816">
        <w:rPr>
          <w:i/>
          <w:color w:val="000000"/>
        </w:rPr>
        <w:t>d</w:t>
      </w:r>
      <w:r w:rsidRPr="00521816">
        <w:rPr>
          <w:color w:val="000000"/>
        </w:rPr>
        <w:t>) grants.</w:t>
      </w:r>
      <w:r w:rsidR="00700AF1">
        <w:rPr>
          <w:color w:val="000000"/>
        </w:rPr>
        <w:t xml:space="preserve">  T</w:t>
      </w:r>
      <w:r>
        <w:rPr>
          <w:color w:val="000000"/>
        </w:rPr>
        <w:t xml:space="preserve">he </w:t>
      </w:r>
      <w:r w:rsidRPr="001B2379">
        <w:rPr>
          <w:i/>
          <w:color w:val="000000"/>
        </w:rPr>
        <w:t>AEPA</w:t>
      </w:r>
      <w:r>
        <w:rPr>
          <w:i/>
          <w:color w:val="000000"/>
        </w:rPr>
        <w:t xml:space="preserve"> </w:t>
      </w:r>
      <w:r>
        <w:rPr>
          <w:color w:val="000000"/>
        </w:rPr>
        <w:t xml:space="preserve">does not breach </w:t>
      </w:r>
      <w:r w:rsidR="00C837D1">
        <w:rPr>
          <w:color w:val="000000"/>
        </w:rPr>
        <w:t>s. </w:t>
      </w:r>
      <w:r>
        <w:rPr>
          <w:color w:val="000000"/>
        </w:rPr>
        <w:t>2(</w:t>
      </w:r>
      <w:r>
        <w:rPr>
          <w:i/>
          <w:color w:val="000000"/>
        </w:rPr>
        <w:t>d</w:t>
      </w:r>
      <w:r>
        <w:rPr>
          <w:color w:val="000000"/>
        </w:rPr>
        <w:t xml:space="preserve">) of the </w:t>
      </w:r>
      <w:r>
        <w:rPr>
          <w:i/>
          <w:color w:val="000000"/>
        </w:rPr>
        <w:t>Charter</w:t>
      </w:r>
      <w:r>
        <w:rPr>
          <w:color w:val="000000"/>
        </w:rPr>
        <w:t>.</w:t>
      </w:r>
    </w:p>
    <w:p w:rsidR="00BA681C" w:rsidRPr="00C939C2" w:rsidRDefault="00BA681C" w:rsidP="00316000">
      <w:pPr>
        <w:pStyle w:val="SCCNormalDoubleSpacing"/>
        <w:tabs>
          <w:tab w:val="left" w:pos="1170"/>
        </w:tabs>
        <w:spacing w:after="480"/>
      </w:pPr>
      <w:r>
        <w:rPr>
          <w:color w:val="000000"/>
        </w:rPr>
        <w:tab/>
        <w:t>Section</w:t>
      </w:r>
      <w:r w:rsidR="00CD5397">
        <w:rPr>
          <w:color w:val="000000"/>
        </w:rPr>
        <w:t> </w:t>
      </w:r>
      <w:r w:rsidRPr="00C939C2">
        <w:t xml:space="preserve">5 of the </w:t>
      </w:r>
      <w:r w:rsidRPr="00C939C2">
        <w:rPr>
          <w:i/>
        </w:rPr>
        <w:t>AEPA</w:t>
      </w:r>
      <w:r w:rsidRPr="00C939C2">
        <w:t xml:space="preserve">, correctly interpreted, protects not only the right of employees to make submissions to employers on workplace matters, but also the right to </w:t>
      </w:r>
      <w:r w:rsidRPr="00316000">
        <w:rPr>
          <w:color w:val="000000"/>
        </w:rPr>
        <w:t>have</w:t>
      </w:r>
      <w:r w:rsidRPr="00C939C2">
        <w:t xml:space="preserve"> those submissions considered in good faith by the employer.  It follows that </w:t>
      </w:r>
      <w:r w:rsidR="00C837D1">
        <w:t>s. </w:t>
      </w:r>
      <w:r w:rsidRPr="00C939C2">
        <w:t xml:space="preserve">5 of the </w:t>
      </w:r>
      <w:r>
        <w:rPr>
          <w:i/>
        </w:rPr>
        <w:t>AEPA</w:t>
      </w:r>
      <w:r>
        <w:t xml:space="preserve"> </w:t>
      </w:r>
      <w:r w:rsidRPr="00C939C2">
        <w:t xml:space="preserve">does not violate </w:t>
      </w:r>
      <w:r w:rsidR="00C837D1">
        <w:t>s. </w:t>
      </w:r>
      <w:r w:rsidRPr="00C939C2">
        <w:t>2(</w:t>
      </w:r>
      <w:r w:rsidRPr="00C939C2">
        <w:rPr>
          <w:i/>
        </w:rPr>
        <w:t>d</w:t>
      </w:r>
      <w:r w:rsidRPr="00C939C2">
        <w:t xml:space="preserve">) of the </w:t>
      </w:r>
      <w:r w:rsidRPr="00C939C2">
        <w:rPr>
          <w:i/>
        </w:rPr>
        <w:t>Charter</w:t>
      </w:r>
      <w:r w:rsidRPr="00C939C2">
        <w:t>.</w:t>
      </w:r>
      <w:r w:rsidR="00700AF1">
        <w:t xml:space="preserve">  </w:t>
      </w:r>
      <w:r w:rsidRPr="00C939C2">
        <w:rPr>
          <w:lang w:val="en-US"/>
        </w:rPr>
        <w:t xml:space="preserve">The </w:t>
      </w:r>
      <w:r w:rsidRPr="00C939C2">
        <w:rPr>
          <w:i/>
          <w:lang w:val="en-US"/>
        </w:rPr>
        <w:t>AEPA</w:t>
      </w:r>
      <w:r w:rsidRPr="00C939C2">
        <w:rPr>
          <w:lang w:val="en-US"/>
        </w:rPr>
        <w:t xml:space="preserve"> contemplates a meaningful exercise of the right of association, and provides a tribunal for the resolution of disputes.</w:t>
      </w:r>
      <w:r w:rsidR="00700AF1">
        <w:rPr>
          <w:lang w:val="en-US"/>
        </w:rPr>
        <w:t xml:space="preserve">  </w:t>
      </w:r>
      <w:r w:rsidR="00C837D1">
        <w:rPr>
          <w:lang w:val="en-GB"/>
        </w:rPr>
        <w:t>Section </w:t>
      </w:r>
      <w:r w:rsidRPr="00C939C2">
        <w:rPr>
          <w:lang w:val="en-GB"/>
        </w:rPr>
        <w:t xml:space="preserve">11 of the </w:t>
      </w:r>
      <w:r w:rsidRPr="00C939C2">
        <w:rPr>
          <w:i/>
          <w:lang w:val="en-GB"/>
        </w:rPr>
        <w:t xml:space="preserve">AEPA </w:t>
      </w:r>
      <w:r w:rsidRPr="00C939C2">
        <w:rPr>
          <w:lang w:val="en-GB"/>
        </w:rPr>
        <w:t xml:space="preserve">specifically empowers the </w:t>
      </w:r>
      <w:r w:rsidR="009C4F6B">
        <w:rPr>
          <w:lang w:val="en-GB"/>
        </w:rPr>
        <w:t xml:space="preserve">Agriculture, Food and Rural Affairs Appeal </w:t>
      </w:r>
      <w:r w:rsidRPr="00C939C2">
        <w:rPr>
          <w:lang w:val="en-GB"/>
        </w:rPr>
        <w:t>Tribunal to make a determination that there has been a contravention of the Act, and to grant an order or remedy with respect to that contravention.  The Tribunal may be expected to interpret its powers</w:t>
      </w:r>
      <w:r w:rsidRPr="00C939C2">
        <w:rPr>
          <w:color w:val="000000"/>
          <w:lang w:val="en-GB"/>
        </w:rPr>
        <w:t>, in accordance with its mandate,</w:t>
      </w:r>
      <w:r w:rsidRPr="00C939C2">
        <w:rPr>
          <w:lang w:val="en-GB"/>
        </w:rPr>
        <w:t xml:space="preserve"> purposively, in an </w:t>
      </w:r>
      <w:r w:rsidRPr="00C939C2">
        <w:rPr>
          <w:color w:val="000000"/>
          <w:lang w:val="en-GB"/>
        </w:rPr>
        <w:t xml:space="preserve">effective and meaningful </w:t>
      </w:r>
      <w:r w:rsidRPr="00C939C2">
        <w:rPr>
          <w:lang w:val="en-GB"/>
        </w:rPr>
        <w:t xml:space="preserve">way.  </w:t>
      </w:r>
      <w:r w:rsidRPr="00C939C2">
        <w:rPr>
          <w:lang w:val="en-GB"/>
        </w:rPr>
        <w:lastRenderedPageBreak/>
        <w:t xml:space="preserve">Labour tribunals enjoy substantial latitude when applying their constituent statutes to the facts of a given case. </w:t>
      </w:r>
    </w:p>
    <w:p w:rsidR="00BA681C" w:rsidRDefault="00BA681C" w:rsidP="00316000">
      <w:pPr>
        <w:pStyle w:val="SCCNormalDoubleSpacing"/>
        <w:tabs>
          <w:tab w:val="left" w:pos="1170"/>
        </w:tabs>
        <w:spacing w:after="480"/>
        <w:rPr>
          <w:lang w:val="en-GB"/>
        </w:rPr>
      </w:pPr>
      <w:r>
        <w:tab/>
      </w:r>
      <w:r w:rsidRPr="00C939C2">
        <w:rPr>
          <w:lang w:val="en-GB"/>
        </w:rPr>
        <w:t>It is</w:t>
      </w:r>
      <w:r w:rsidR="00700AF1">
        <w:rPr>
          <w:lang w:val="en-GB"/>
        </w:rPr>
        <w:t xml:space="preserve"> </w:t>
      </w:r>
      <w:r w:rsidRPr="00C939C2">
        <w:rPr>
          <w:lang w:val="en-GB"/>
        </w:rPr>
        <w:t xml:space="preserve">unnecessary to consider the </w:t>
      </w:r>
      <w:r w:rsidR="00C837D1">
        <w:rPr>
          <w:lang w:val="en-GB"/>
        </w:rPr>
        <w:t>s. </w:t>
      </w:r>
      <w:r w:rsidRPr="00C939C2">
        <w:rPr>
          <w:lang w:val="en-GB"/>
        </w:rPr>
        <w:t>1 arguments</w:t>
      </w:r>
      <w:r>
        <w:rPr>
          <w:lang w:val="en-GB"/>
        </w:rPr>
        <w:t>.</w:t>
      </w:r>
      <w:r w:rsidR="00700AF1">
        <w:rPr>
          <w:lang w:val="en-GB"/>
        </w:rPr>
        <w:t xml:space="preserve">  </w:t>
      </w:r>
      <w:r w:rsidRPr="00C939C2">
        <w:rPr>
          <w:lang w:val="en-GB"/>
        </w:rPr>
        <w:t xml:space="preserve">The </w:t>
      </w:r>
      <w:r w:rsidR="00C837D1">
        <w:rPr>
          <w:lang w:val="en-GB"/>
        </w:rPr>
        <w:t>s. </w:t>
      </w:r>
      <w:r w:rsidRPr="00C939C2">
        <w:rPr>
          <w:lang w:val="en-GB"/>
        </w:rPr>
        <w:t xml:space="preserve">15 discrimination </w:t>
      </w:r>
      <w:proofErr w:type="gramStart"/>
      <w:r w:rsidRPr="00C939C2">
        <w:rPr>
          <w:lang w:val="en-GB"/>
        </w:rPr>
        <w:t>claim</w:t>
      </w:r>
      <w:proofErr w:type="gramEnd"/>
      <w:r w:rsidRPr="00C939C2">
        <w:rPr>
          <w:lang w:val="en-GB"/>
        </w:rPr>
        <w:t xml:space="preserve">, like the </w:t>
      </w:r>
      <w:r w:rsidR="00C837D1">
        <w:rPr>
          <w:lang w:val="en-GB"/>
        </w:rPr>
        <w:t>s. </w:t>
      </w:r>
      <w:r w:rsidRPr="00C939C2">
        <w:rPr>
          <w:lang w:val="en-GB"/>
        </w:rPr>
        <w:t>2(</w:t>
      </w:r>
      <w:r w:rsidRPr="00C939C2">
        <w:rPr>
          <w:i/>
          <w:lang w:val="en-GB"/>
        </w:rPr>
        <w:t>d</w:t>
      </w:r>
      <w:r w:rsidRPr="00C939C2">
        <w:rPr>
          <w:lang w:val="en-GB"/>
        </w:rPr>
        <w:t xml:space="preserve">) claim, cannot succeed.  It is clear that the regime established by the </w:t>
      </w:r>
      <w:r>
        <w:rPr>
          <w:i/>
          <w:lang w:val="en-GB"/>
        </w:rPr>
        <w:t xml:space="preserve">AEPA </w:t>
      </w:r>
      <w:r w:rsidRPr="00C939C2">
        <w:rPr>
          <w:lang w:val="en-GB"/>
        </w:rPr>
        <w:t xml:space="preserve">does not provide all the protections that the </w:t>
      </w:r>
      <w:r w:rsidRPr="00C939C2">
        <w:rPr>
          <w:i/>
          <w:lang w:val="en-GB"/>
        </w:rPr>
        <w:t xml:space="preserve">LRA </w:t>
      </w:r>
      <w:r w:rsidRPr="00C939C2">
        <w:rPr>
          <w:lang w:val="en-GB"/>
        </w:rPr>
        <w:t xml:space="preserve">extends to many </w:t>
      </w:r>
      <w:r w:rsidRPr="00316000">
        <w:rPr>
          <w:color w:val="000000"/>
        </w:rPr>
        <w:t>other</w:t>
      </w:r>
      <w:r w:rsidRPr="00C939C2">
        <w:rPr>
          <w:lang w:val="en-GB"/>
        </w:rPr>
        <w:t xml:space="preserve"> workers.  However, a formal legislative distinction does not establish discrimination under </w:t>
      </w:r>
      <w:r w:rsidR="00C837D1">
        <w:rPr>
          <w:lang w:val="en-GB"/>
        </w:rPr>
        <w:t>s. </w:t>
      </w:r>
      <w:r w:rsidRPr="00C939C2">
        <w:rPr>
          <w:lang w:val="en-GB"/>
        </w:rPr>
        <w:t xml:space="preserve">15.  What s. 15 contemplates is substantive discrimination that impacts on individuals stereotypically or in ways that reinforce existing prejudice and disadvantage.  The </w:t>
      </w:r>
      <w:r>
        <w:rPr>
          <w:i/>
          <w:lang w:val="en-GB"/>
        </w:rPr>
        <w:t xml:space="preserve">AEPA </w:t>
      </w:r>
      <w:r w:rsidRPr="00C939C2">
        <w:rPr>
          <w:lang w:val="en-GB"/>
        </w:rPr>
        <w:t xml:space="preserve">provides a special labour regime for agricultural workers.  However, on the record, it has not been established that the regime utilizes unfair stereotypes or perpetuates existing prejudice and disadvantage.  Until the regime established by the </w:t>
      </w:r>
      <w:r>
        <w:rPr>
          <w:i/>
          <w:lang w:val="en-GB"/>
        </w:rPr>
        <w:t>AEPA</w:t>
      </w:r>
      <w:r>
        <w:rPr>
          <w:lang w:val="en-GB"/>
        </w:rPr>
        <w:t xml:space="preserve"> </w:t>
      </w:r>
      <w:r w:rsidRPr="00C939C2">
        <w:rPr>
          <w:lang w:val="en-GB"/>
        </w:rPr>
        <w:t>is tested, it cannot be known whether it inappropriately disadvantages farm workers.  The claim is premature.</w:t>
      </w:r>
    </w:p>
    <w:p w:rsidR="002F0BFC" w:rsidRPr="00CA6B1C" w:rsidRDefault="00750558" w:rsidP="00316000">
      <w:pPr>
        <w:pStyle w:val="SCCNormalDoubleSpacing"/>
        <w:tabs>
          <w:tab w:val="left" w:pos="1170"/>
        </w:tabs>
        <w:spacing w:after="480"/>
        <w:rPr>
          <w:lang w:val="en-GB"/>
        </w:rPr>
      </w:pPr>
      <w:r>
        <w:tab/>
      </w:r>
      <w:r w:rsidR="00CA6B1C">
        <w:rPr>
          <w:i/>
          <w:lang w:val="en-GB"/>
        </w:rPr>
        <w:t>Per</w:t>
      </w:r>
      <w:r w:rsidR="00CA6B1C">
        <w:rPr>
          <w:lang w:val="en-GB"/>
        </w:rPr>
        <w:t xml:space="preserve"> Charron and </w:t>
      </w:r>
      <w:r w:rsidR="00CA6B1C" w:rsidRPr="009C4F6B">
        <w:rPr>
          <w:lang w:val="en-GB"/>
        </w:rPr>
        <w:t>Rothstein</w:t>
      </w:r>
      <w:r w:rsidR="00CA6B1C">
        <w:rPr>
          <w:lang w:val="en-GB"/>
        </w:rPr>
        <w:t xml:space="preserve"> JJ.: </w:t>
      </w:r>
      <w:r w:rsidR="003162CC">
        <w:rPr>
          <w:lang w:val="en-GB"/>
        </w:rPr>
        <w:t xml:space="preserve"> </w:t>
      </w:r>
      <w:r w:rsidR="003162CC">
        <w:t>Section </w:t>
      </w:r>
      <w:r w:rsidR="002F0BFC" w:rsidRPr="001D4494">
        <w:t>2(</w:t>
      </w:r>
      <w:r w:rsidR="002F0BFC" w:rsidRPr="002344BF">
        <w:rPr>
          <w:i/>
        </w:rPr>
        <w:t>d</w:t>
      </w:r>
      <w:r w:rsidR="002F0BFC" w:rsidRPr="001D4494">
        <w:t xml:space="preserve">) protects the liberty of individuals to </w:t>
      </w:r>
      <w:r w:rsidR="002F0BFC" w:rsidRPr="00316000">
        <w:rPr>
          <w:color w:val="000000"/>
        </w:rPr>
        <w:t>associate</w:t>
      </w:r>
      <w:r w:rsidR="002F0BFC" w:rsidRPr="001D4494">
        <w:t xml:space="preserve"> and engage in associational activities.</w:t>
      </w:r>
      <w:r w:rsidR="002F0BFC">
        <w:t xml:space="preserve">  It </w:t>
      </w:r>
      <w:r w:rsidR="002F0BFC" w:rsidRPr="001D4494">
        <w:t>protects the freedom of workers to</w:t>
      </w:r>
      <w:r w:rsidR="00F3711D">
        <w:t xml:space="preserve"> </w:t>
      </w:r>
      <w:r w:rsidR="002F0BFC">
        <w:t>come together, to form a bargaining position and to present a common and united front to their employers</w:t>
      </w:r>
      <w:r w:rsidR="002F0BFC" w:rsidRPr="001D4494">
        <w:t>.</w:t>
      </w:r>
      <w:r w:rsidR="00F3711D">
        <w:t xml:space="preserve">  </w:t>
      </w:r>
      <w:r w:rsidR="002F0BFC">
        <w:t>It does not protect a right to collective bargaining nor does it</w:t>
      </w:r>
      <w:r w:rsidR="00F3711D">
        <w:t xml:space="preserve"> </w:t>
      </w:r>
      <w:r w:rsidR="002F0BFC" w:rsidRPr="001D4494">
        <w:t>impose duties on others, such as the duty to bargain in good faith</w:t>
      </w:r>
      <w:r w:rsidR="002F0BFC" w:rsidRPr="00937A7C">
        <w:rPr>
          <w:color w:val="000000"/>
        </w:rPr>
        <w:t xml:space="preserve"> on</w:t>
      </w:r>
      <w:r w:rsidR="002F0BFC" w:rsidRPr="001D4494">
        <w:rPr>
          <w:color w:val="000000"/>
        </w:rPr>
        <w:t xml:space="preserve"> employers.</w:t>
      </w:r>
      <w:r w:rsidR="00F3711D">
        <w:rPr>
          <w:color w:val="000000"/>
        </w:rPr>
        <w:t xml:space="preserve">  </w:t>
      </w:r>
      <w:r w:rsidR="002F0BFC">
        <w:rPr>
          <w:color w:val="000000"/>
        </w:rPr>
        <w:t>T</w:t>
      </w:r>
      <w:r w:rsidR="002F0BFC" w:rsidRPr="00E779EC">
        <w:rPr>
          <w:color w:val="000000"/>
        </w:rPr>
        <w:t xml:space="preserve">o the extent that </w:t>
      </w:r>
      <w:r w:rsidR="002F0BFC" w:rsidRPr="00BF0AE1">
        <w:rPr>
          <w:i/>
          <w:color w:val="000000"/>
        </w:rPr>
        <w:t>Health</w:t>
      </w:r>
      <w:r w:rsidR="002F0BFC">
        <w:rPr>
          <w:i/>
          <w:color w:val="000000"/>
        </w:rPr>
        <w:t xml:space="preserve"> Services</w:t>
      </w:r>
      <w:r w:rsidR="002F0BFC">
        <w:rPr>
          <w:color w:val="000000"/>
        </w:rPr>
        <w:t xml:space="preserve"> </w:t>
      </w:r>
      <w:r w:rsidR="002F0BFC" w:rsidRPr="00E779EC">
        <w:rPr>
          <w:color w:val="000000"/>
        </w:rPr>
        <w:t>constitutionalize</w:t>
      </w:r>
      <w:r w:rsidR="002F0BFC">
        <w:rPr>
          <w:color w:val="000000"/>
        </w:rPr>
        <w:t>d</w:t>
      </w:r>
      <w:r w:rsidR="002F0BFC" w:rsidRPr="00E779EC">
        <w:rPr>
          <w:color w:val="000000"/>
        </w:rPr>
        <w:t xml:space="preserve"> collective bargaining</w:t>
      </w:r>
      <w:r w:rsidR="002F0BFC">
        <w:rPr>
          <w:color w:val="000000"/>
        </w:rPr>
        <w:t>,</w:t>
      </w:r>
      <w:r w:rsidR="002F0BFC" w:rsidRPr="002344BF">
        <w:rPr>
          <w:color w:val="000000"/>
        </w:rPr>
        <w:t xml:space="preserve"> </w:t>
      </w:r>
      <w:r w:rsidR="002F0BFC">
        <w:rPr>
          <w:color w:val="000000"/>
        </w:rPr>
        <w:t xml:space="preserve">it was not correctly decided.  It </w:t>
      </w:r>
      <w:r w:rsidR="002F0BFC" w:rsidRPr="00E779EC">
        <w:rPr>
          <w:color w:val="000000"/>
        </w:rPr>
        <w:t>should be overturned thus</w:t>
      </w:r>
      <w:r w:rsidR="00F3711D">
        <w:rPr>
          <w:color w:val="000000"/>
        </w:rPr>
        <w:t xml:space="preserve"> </w:t>
      </w:r>
      <w:r w:rsidR="002F0BFC" w:rsidRPr="00E779EC">
        <w:rPr>
          <w:color w:val="000000"/>
        </w:rPr>
        <w:t>disposing</w:t>
      </w:r>
      <w:r w:rsidR="002F0BFC">
        <w:rPr>
          <w:color w:val="000000"/>
        </w:rPr>
        <w:t xml:space="preserve"> </w:t>
      </w:r>
      <w:r w:rsidR="002F0BFC" w:rsidRPr="00E779EC">
        <w:rPr>
          <w:color w:val="000000"/>
        </w:rPr>
        <w:t xml:space="preserve">of the constitutional challenge in this case.  </w:t>
      </w:r>
    </w:p>
    <w:p w:rsidR="002F0BFC" w:rsidRDefault="002F0BFC" w:rsidP="00316000">
      <w:pPr>
        <w:pStyle w:val="SCCNormalDoubleSpacing"/>
        <w:tabs>
          <w:tab w:val="left" w:pos="1170"/>
        </w:tabs>
        <w:spacing w:after="480"/>
      </w:pPr>
      <w:r>
        <w:lastRenderedPageBreak/>
        <w:tab/>
      </w:r>
      <w:r w:rsidRPr="001D4494">
        <w:t>This Court may overrule its own precedents, but it should only do so where there are compelling reasons</w:t>
      </w:r>
      <w:r>
        <w:t>.</w:t>
      </w:r>
      <w:r w:rsidR="00F3711D">
        <w:t xml:space="preserve">  </w:t>
      </w:r>
      <w:r>
        <w:rPr>
          <w:color w:val="000000"/>
        </w:rPr>
        <w:t xml:space="preserve">The question in every case involves a balancing: </w:t>
      </w:r>
      <w:r w:rsidR="003162CC">
        <w:rPr>
          <w:color w:val="000000"/>
        </w:rPr>
        <w:t xml:space="preserve"> </w:t>
      </w:r>
      <w:r>
        <w:rPr>
          <w:color w:val="000000"/>
        </w:rPr>
        <w:t>Do the reasons in favour of following a precedent ― such as certainty, consistency, predictability and institutional legitimacy ― outweigh the need to overturn a precedent that is sufficiently wrong?</w:t>
      </w:r>
      <w:r w:rsidR="008D58F3">
        <w:rPr>
          <w:color w:val="000000"/>
        </w:rPr>
        <w:t xml:space="preserve">  </w:t>
      </w:r>
      <w:r w:rsidRPr="001D4494">
        <w:t xml:space="preserve">In this case, </w:t>
      </w:r>
      <w:r>
        <w:t xml:space="preserve">compelling reasons exist for overturning </w:t>
      </w:r>
      <w:r>
        <w:rPr>
          <w:i/>
        </w:rPr>
        <w:t>Health Services</w:t>
      </w:r>
      <w:r w:rsidR="008D58F3">
        <w:t xml:space="preserve">: </w:t>
      </w:r>
      <w:r w:rsidR="00A60A19">
        <w:t xml:space="preserve"> </w:t>
      </w:r>
      <w:r>
        <w:rPr>
          <w:color w:val="000000"/>
        </w:rPr>
        <w:t xml:space="preserve">the error in </w:t>
      </w:r>
      <w:r w:rsidRPr="00910B28">
        <w:rPr>
          <w:i/>
          <w:color w:val="000000"/>
        </w:rPr>
        <w:t>Health</w:t>
      </w:r>
      <w:r>
        <w:rPr>
          <w:i/>
          <w:color w:val="000000"/>
        </w:rPr>
        <w:t xml:space="preserve"> Services </w:t>
      </w:r>
      <w:r>
        <w:rPr>
          <w:color w:val="000000"/>
        </w:rPr>
        <w:t>concerns a question of constitutional law and is not susceptible to being corrected in a lasting way by the legislative branch;</w:t>
      </w:r>
      <w:r w:rsidR="008D58F3">
        <w:rPr>
          <w:color w:val="000000"/>
        </w:rPr>
        <w:t xml:space="preserve"> </w:t>
      </w:r>
      <w:r w:rsidRPr="00910B28">
        <w:rPr>
          <w:i/>
        </w:rPr>
        <w:t>Health</w:t>
      </w:r>
      <w:r>
        <w:rPr>
          <w:i/>
        </w:rPr>
        <w:t xml:space="preserve"> Services</w:t>
      </w:r>
      <w:r w:rsidRPr="00910B28">
        <w:rPr>
          <w:i/>
        </w:rPr>
        <w:t xml:space="preserve"> </w:t>
      </w:r>
      <w:r>
        <w:t xml:space="preserve">strayed significantly from other sound precedents, including </w:t>
      </w:r>
      <w:r>
        <w:rPr>
          <w:i/>
        </w:rPr>
        <w:t>Dunmore</w:t>
      </w:r>
      <w:r>
        <w:t xml:space="preserve">, with respect to the purpose of </w:t>
      </w:r>
      <w:r w:rsidRPr="0042556E">
        <w:rPr>
          <w:i/>
        </w:rPr>
        <w:t xml:space="preserve">Charter </w:t>
      </w:r>
      <w:r>
        <w:t>protection for freedom of association;</w:t>
      </w:r>
      <w:r w:rsidR="008D58F3">
        <w:t xml:space="preserve"> </w:t>
      </w:r>
      <w:r>
        <w:t xml:space="preserve">the constitutionalization of collective bargaining, as envisaged in </w:t>
      </w:r>
      <w:r w:rsidRPr="00910B28">
        <w:rPr>
          <w:i/>
        </w:rPr>
        <w:t>Health</w:t>
      </w:r>
      <w:r>
        <w:rPr>
          <w:i/>
        </w:rPr>
        <w:t xml:space="preserve"> Services</w:t>
      </w:r>
      <w:r w:rsidR="009C4F6B">
        <w:t>,</w:t>
      </w:r>
      <w:r>
        <w:t xml:space="preserve"> is not workable without other elements of modern labour legislation in place; and there has been intense academic criticism of </w:t>
      </w:r>
      <w:r w:rsidRPr="00BA1352">
        <w:rPr>
          <w:i/>
        </w:rPr>
        <w:t>Health</w:t>
      </w:r>
      <w:r>
        <w:rPr>
          <w:i/>
        </w:rPr>
        <w:t xml:space="preserve"> Services</w:t>
      </w:r>
      <w:r>
        <w:t>.</w:t>
      </w:r>
    </w:p>
    <w:p w:rsidR="002F0BFC" w:rsidRDefault="002F0BFC" w:rsidP="00316000">
      <w:pPr>
        <w:pStyle w:val="SCCNormalDoubleSpacing"/>
        <w:tabs>
          <w:tab w:val="left" w:pos="1170"/>
        </w:tabs>
        <w:spacing w:after="480"/>
      </w:pPr>
      <w:r>
        <w:tab/>
      </w:r>
      <w:r w:rsidRPr="00470803">
        <w:rPr>
          <w:i/>
        </w:rPr>
        <w:t>Health</w:t>
      </w:r>
      <w:r>
        <w:rPr>
          <w:i/>
        </w:rPr>
        <w:t xml:space="preserve"> Services</w:t>
      </w:r>
      <w:r>
        <w:t xml:space="preserve"> was an express break with prior decisions of this Court on </w:t>
      </w:r>
      <w:r w:rsidR="00C837D1">
        <w:t>s. </w:t>
      </w:r>
      <w:r>
        <w:t>2(</w:t>
      </w:r>
      <w:r w:rsidRPr="006E55F9">
        <w:rPr>
          <w:i/>
        </w:rPr>
        <w:t>d</w:t>
      </w:r>
      <w:r>
        <w:t xml:space="preserve">), </w:t>
      </w:r>
      <w:r w:rsidRPr="00316000">
        <w:t>including</w:t>
      </w:r>
      <w:r>
        <w:t xml:space="preserve"> </w:t>
      </w:r>
      <w:r w:rsidRPr="00470803">
        <w:rPr>
          <w:i/>
        </w:rPr>
        <w:t>Dunmore</w:t>
      </w:r>
      <w:r>
        <w:t>.</w:t>
      </w:r>
      <w:r w:rsidR="00360548">
        <w:t xml:space="preserve">  </w:t>
      </w:r>
      <w:r w:rsidRPr="00470803">
        <w:t xml:space="preserve">This break came when the </w:t>
      </w:r>
      <w:r w:rsidR="00BC7445">
        <w:t xml:space="preserve">majority of the </w:t>
      </w:r>
      <w:r w:rsidRPr="00470803">
        <w:t xml:space="preserve">Court found that </w:t>
      </w:r>
      <w:r w:rsidR="00C837D1">
        <w:t>s. </w:t>
      </w:r>
      <w:r w:rsidRPr="00470803">
        <w:t>2(</w:t>
      </w:r>
      <w:r w:rsidRPr="006E55F9">
        <w:rPr>
          <w:i/>
        </w:rPr>
        <w:t>d</w:t>
      </w:r>
      <w:r w:rsidRPr="00470803">
        <w:t>) required that government legislate to facilitate collective goals which an association was formed to pursue, rather than protecting the freedom of association itself.</w:t>
      </w:r>
      <w:r w:rsidR="00360548">
        <w:t xml:space="preserve">  </w:t>
      </w:r>
      <w:r w:rsidRPr="00470803">
        <w:t xml:space="preserve">In </w:t>
      </w:r>
      <w:r w:rsidRPr="00470803">
        <w:rPr>
          <w:i/>
        </w:rPr>
        <w:t>Dunmore</w:t>
      </w:r>
      <w:r w:rsidRPr="00470803">
        <w:t xml:space="preserve">, the requirement that government provide legislation to protect workers was anchored in the proposition that certain workers </w:t>
      </w:r>
      <w:r w:rsidRPr="007E6D6F">
        <w:t>could not</w:t>
      </w:r>
      <w:r w:rsidRPr="00470803">
        <w:t xml:space="preserve"> associate without government intervention.</w:t>
      </w:r>
      <w:r w:rsidR="00360548">
        <w:t xml:space="preserve">  </w:t>
      </w:r>
      <w:r>
        <w:t>T</w:t>
      </w:r>
      <w:r w:rsidRPr="00470803">
        <w:t xml:space="preserve">he majority in </w:t>
      </w:r>
      <w:r w:rsidRPr="00EE077F">
        <w:rPr>
          <w:i/>
        </w:rPr>
        <w:t>Health Services</w:t>
      </w:r>
      <w:r>
        <w:t xml:space="preserve"> </w:t>
      </w:r>
      <w:r w:rsidRPr="00470803">
        <w:t>focussed on the goals of an association and the enhancement of those goals, rather than the ability of the claimants to associate (which they already had done).</w:t>
      </w:r>
      <w:r w:rsidR="00360548">
        <w:t xml:space="preserve">  </w:t>
      </w:r>
      <w:r>
        <w:t>A</w:t>
      </w:r>
      <w:r w:rsidRPr="00470803">
        <w:t xml:space="preserve">n application of </w:t>
      </w:r>
      <w:r w:rsidRPr="00470803">
        <w:lastRenderedPageBreak/>
        <w:t xml:space="preserve">the actual holding in </w:t>
      </w:r>
      <w:r w:rsidRPr="00470803">
        <w:rPr>
          <w:i/>
        </w:rPr>
        <w:t>Dunmore</w:t>
      </w:r>
      <w:r w:rsidRPr="00470803">
        <w:t xml:space="preserve"> would have asked only if the government substantially interfered with the ability to associate.</w:t>
      </w:r>
    </w:p>
    <w:p w:rsidR="002F0BFC" w:rsidRDefault="002F0BFC" w:rsidP="00316000">
      <w:pPr>
        <w:pStyle w:val="SCCNormalDoubleSpacing"/>
        <w:tabs>
          <w:tab w:val="left" w:pos="1170"/>
        </w:tabs>
        <w:spacing w:after="480"/>
      </w:pPr>
      <w:r>
        <w:tab/>
      </w:r>
      <w:r w:rsidRPr="001D4494">
        <w:rPr>
          <w:i/>
        </w:rPr>
        <w:t>Health</w:t>
      </w:r>
      <w:r>
        <w:rPr>
          <w:i/>
        </w:rPr>
        <w:t xml:space="preserve"> Services</w:t>
      </w:r>
      <w:r w:rsidRPr="001D4494">
        <w:t xml:space="preserve"> erred in concluding that </w:t>
      </w:r>
      <w:r w:rsidR="00C837D1">
        <w:t>s. </w:t>
      </w:r>
      <w:r w:rsidRPr="001D4494">
        <w:t>2(</w:t>
      </w:r>
      <w:r w:rsidRPr="00985DFD">
        <w:rPr>
          <w:i/>
        </w:rPr>
        <w:t>d</w:t>
      </w:r>
      <w:r w:rsidRPr="001D4494">
        <w:t>) protects collective bargaining and obliges parties to bargain in good faith</w:t>
      </w:r>
      <w:r>
        <w:t xml:space="preserve"> for five reasons.</w:t>
      </w:r>
      <w:r w:rsidR="00360548">
        <w:t xml:space="preserve">  </w:t>
      </w:r>
      <w:r>
        <w:t xml:space="preserve">First, </w:t>
      </w:r>
      <w:r w:rsidRPr="001D4494">
        <w:rPr>
          <w:i/>
        </w:rPr>
        <w:t>Health</w:t>
      </w:r>
      <w:r>
        <w:rPr>
          <w:i/>
        </w:rPr>
        <w:t xml:space="preserve"> Services</w:t>
      </w:r>
      <w:r w:rsidRPr="001D4494">
        <w:t xml:space="preserve"> departed from sound princ</w:t>
      </w:r>
      <w:r>
        <w:t>iples established in this Court’</w:t>
      </w:r>
      <w:r w:rsidRPr="001D4494">
        <w:t xml:space="preserve">s precedents on the nature and scope of </w:t>
      </w:r>
      <w:r w:rsidR="00C837D1">
        <w:t>s. </w:t>
      </w:r>
      <w:r w:rsidRPr="001D4494">
        <w:t>2(</w:t>
      </w:r>
      <w:r w:rsidRPr="00436C94">
        <w:rPr>
          <w:i/>
        </w:rPr>
        <w:t>d</w:t>
      </w:r>
      <w:r w:rsidRPr="001D4494">
        <w:t>)</w:t>
      </w:r>
      <w:r>
        <w:t>.  T</w:t>
      </w:r>
      <w:r w:rsidRPr="001D4494">
        <w:t xml:space="preserve">he purpose of </w:t>
      </w:r>
      <w:r w:rsidR="00C837D1">
        <w:t>s. </w:t>
      </w:r>
      <w:r w:rsidRPr="001D4494">
        <w:t>2(</w:t>
      </w:r>
      <w:r w:rsidRPr="00985DFD">
        <w:rPr>
          <w:i/>
        </w:rPr>
        <w:t>d</w:t>
      </w:r>
      <w:r w:rsidRPr="001D4494">
        <w:t xml:space="preserve">) is to protect individuals rather than groups </w:t>
      </w:r>
      <w:r w:rsidRPr="001D4494">
        <w:rPr>
          <w:i/>
        </w:rPr>
        <w:t>per se</w:t>
      </w:r>
      <w:r w:rsidRPr="001D4494">
        <w:t>.</w:t>
      </w:r>
      <w:r w:rsidR="00360548">
        <w:t xml:space="preserve">  </w:t>
      </w:r>
      <w:r w:rsidRPr="001D4494">
        <w:rPr>
          <w:i/>
        </w:rPr>
        <w:t>Health</w:t>
      </w:r>
      <w:r>
        <w:rPr>
          <w:i/>
        </w:rPr>
        <w:t xml:space="preserve"> Services</w:t>
      </w:r>
      <w:r w:rsidRPr="001D4494">
        <w:t xml:space="preserve"> reinterpreted an individual freedom as giving rise to collective </w:t>
      </w:r>
      <w:r w:rsidRPr="001D4494">
        <w:rPr>
          <w:color w:val="000000"/>
        </w:rPr>
        <w:t>rights with no individual rights foundation</w:t>
      </w:r>
      <w:r w:rsidRPr="001D4494">
        <w:t xml:space="preserve">. This reinterpretation of the scope of </w:t>
      </w:r>
      <w:r w:rsidR="00C837D1">
        <w:t>s. </w:t>
      </w:r>
      <w:r w:rsidRPr="001D4494">
        <w:t>2(</w:t>
      </w:r>
      <w:r w:rsidRPr="00985DFD">
        <w:rPr>
          <w:i/>
        </w:rPr>
        <w:t>d</w:t>
      </w:r>
      <w:r w:rsidRPr="001D4494">
        <w:t xml:space="preserve">) was a departure from previous jurisprudence that is not justified by the purpose of the </w:t>
      </w:r>
      <w:r w:rsidRPr="001D4494">
        <w:rPr>
          <w:i/>
        </w:rPr>
        <w:t xml:space="preserve">Charter </w:t>
      </w:r>
      <w:r w:rsidR="00F02F88">
        <w:t>guarantee.</w:t>
      </w:r>
    </w:p>
    <w:p w:rsidR="002F0BFC" w:rsidRPr="00D07ED1" w:rsidRDefault="002F0BFC" w:rsidP="00316000">
      <w:pPr>
        <w:pStyle w:val="SCCNormalDoubleSpacing"/>
        <w:tabs>
          <w:tab w:val="left" w:pos="1170"/>
        </w:tabs>
        <w:spacing w:after="480"/>
      </w:pPr>
      <w:r>
        <w:tab/>
      </w:r>
      <w:r w:rsidR="00F02F88">
        <w:t xml:space="preserve">Second, </w:t>
      </w:r>
      <w:r w:rsidR="00C837D1">
        <w:t>s. </w:t>
      </w:r>
      <w:r w:rsidRPr="001D4494">
        <w:t>2(</w:t>
      </w:r>
      <w:r w:rsidRPr="00532A56">
        <w:rPr>
          <w:i/>
        </w:rPr>
        <w:t>d</w:t>
      </w:r>
      <w:r w:rsidRPr="001D4494">
        <w:t>) protects freedoms not rights.</w:t>
      </w:r>
      <w:r w:rsidR="00360548">
        <w:t xml:space="preserve">  </w:t>
      </w:r>
      <w:r>
        <w:t>A</w:t>
      </w:r>
      <w:r w:rsidRPr="001D4494">
        <w:t xml:space="preserve">ccording to </w:t>
      </w:r>
      <w:r w:rsidRPr="001D4494">
        <w:rPr>
          <w:i/>
        </w:rPr>
        <w:t>Health</w:t>
      </w:r>
      <w:r>
        <w:rPr>
          <w:i/>
        </w:rPr>
        <w:t xml:space="preserve"> Services</w:t>
      </w:r>
      <w:r w:rsidR="00F02F88">
        <w:t>, if s. </w:t>
      </w:r>
      <w:r w:rsidRPr="001D4494">
        <w:t>2(</w:t>
      </w:r>
      <w:r w:rsidRPr="00985DFD">
        <w:rPr>
          <w:i/>
        </w:rPr>
        <w:t>d</w:t>
      </w:r>
      <w:r w:rsidRPr="001D4494">
        <w:t>) protected only the ability of workers to make</w:t>
      </w:r>
      <w:r w:rsidRPr="001D4494">
        <w:rPr>
          <w:i/>
        </w:rPr>
        <w:t xml:space="preserve"> </w:t>
      </w:r>
      <w:r w:rsidRPr="001D4494">
        <w:t>collective representations and did not impose a duty on the employer to bargain in good faith, it would fail to protect the right to collective bargaining.</w:t>
      </w:r>
      <w:r w:rsidR="00360548">
        <w:t xml:space="preserve">  </w:t>
      </w:r>
      <w:r>
        <w:t>T</w:t>
      </w:r>
      <w:r w:rsidRPr="001D4494">
        <w:t>his proposition transform</w:t>
      </w:r>
      <w:r>
        <w:t>ed</w:t>
      </w:r>
      <w:r w:rsidRPr="001D4494">
        <w:t xml:space="preserve"> </w:t>
      </w:r>
      <w:r w:rsidR="00C837D1">
        <w:t>s. </w:t>
      </w:r>
      <w:r w:rsidRPr="001D4494">
        <w:t>2(</w:t>
      </w:r>
      <w:r w:rsidRPr="00985DFD">
        <w:rPr>
          <w:i/>
        </w:rPr>
        <w:t>d</w:t>
      </w:r>
      <w:r w:rsidRPr="001D4494">
        <w:t>) from a freedom into a positive</w:t>
      </w:r>
      <w:r>
        <w:t xml:space="preserve"> </w:t>
      </w:r>
      <w:r w:rsidRPr="001D4494">
        <w:t>right by imposing an obligation to act on third parties (i.e. the employer).</w:t>
      </w:r>
      <w:r w:rsidR="00360548">
        <w:t xml:space="preserve">  </w:t>
      </w:r>
      <w:r w:rsidRPr="001D4494">
        <w:t>A</w:t>
      </w:r>
      <w:r>
        <w:t xml:space="preserve"> </w:t>
      </w:r>
      <w:r w:rsidRPr="001D4494">
        <w:rPr>
          <w:color w:val="000000"/>
        </w:rPr>
        <w:t xml:space="preserve">right to collective bargaining is </w:t>
      </w:r>
      <w:r w:rsidR="00F920F8">
        <w:rPr>
          <w:color w:val="000000"/>
        </w:rPr>
        <w:t xml:space="preserve">also </w:t>
      </w:r>
      <w:r w:rsidRPr="001D4494">
        <w:rPr>
          <w:color w:val="000000"/>
        </w:rPr>
        <w:t xml:space="preserve">not derivative of a freedom </w:t>
      </w:r>
      <w:r>
        <w:rPr>
          <w:color w:val="000000"/>
        </w:rPr>
        <w:t>― i</w:t>
      </w:r>
      <w:r w:rsidRPr="001D4494">
        <w:rPr>
          <w:color w:val="000000"/>
        </w:rPr>
        <w:t xml:space="preserve">t is a standalone right created by the Court, not by the </w:t>
      </w:r>
      <w:r w:rsidRPr="001D4494">
        <w:rPr>
          <w:i/>
          <w:color w:val="000000"/>
        </w:rPr>
        <w:t>Charter</w:t>
      </w:r>
      <w:r>
        <w:rPr>
          <w:color w:val="000000"/>
        </w:rPr>
        <w:t>.</w:t>
      </w:r>
      <w:r w:rsidR="00360548">
        <w:rPr>
          <w:color w:val="000000"/>
        </w:rPr>
        <w:t xml:space="preserve">  </w:t>
      </w:r>
      <w:r w:rsidR="00F920F8">
        <w:t xml:space="preserve">A derivative right is one that is </w:t>
      </w:r>
      <w:r w:rsidR="00F920F8" w:rsidRPr="007E6D6F">
        <w:t>necessary</w:t>
      </w:r>
      <w:r w:rsidR="00F920F8" w:rsidRPr="00EE077F">
        <w:t xml:space="preserve"> to allow individuals to exercise a fundamental freedom.</w:t>
      </w:r>
      <w:r w:rsidR="00360548">
        <w:t xml:space="preserve">  </w:t>
      </w:r>
      <w:r>
        <w:rPr>
          <w:color w:val="000000"/>
        </w:rPr>
        <w:t>No individual employee has a right to require an employer to meet and make a reasonable effort to arrive at an acceptable employment contract.</w:t>
      </w:r>
      <w:r w:rsidR="00360548">
        <w:rPr>
          <w:color w:val="000000"/>
        </w:rPr>
        <w:t xml:space="preserve">  </w:t>
      </w:r>
      <w:r>
        <w:rPr>
          <w:color w:val="000000"/>
        </w:rPr>
        <w:t>T</w:t>
      </w:r>
      <w:r w:rsidRPr="00CE5928">
        <w:rPr>
          <w:color w:val="000000"/>
        </w:rPr>
        <w:t xml:space="preserve">o grant a right to collective bargaining under </w:t>
      </w:r>
      <w:r w:rsidR="00C837D1">
        <w:rPr>
          <w:color w:val="000000"/>
        </w:rPr>
        <w:t>s. </w:t>
      </w:r>
      <w:r w:rsidRPr="00CE5928">
        <w:rPr>
          <w:color w:val="000000"/>
        </w:rPr>
        <w:t>2(</w:t>
      </w:r>
      <w:r w:rsidRPr="00974A2B">
        <w:rPr>
          <w:i/>
          <w:color w:val="000000"/>
        </w:rPr>
        <w:t>d</w:t>
      </w:r>
      <w:r w:rsidRPr="00CE5928">
        <w:rPr>
          <w:color w:val="000000"/>
        </w:rPr>
        <w:t xml:space="preserve">) purportedly as derivative of the freedom of </w:t>
      </w:r>
      <w:r w:rsidRPr="00CE5928">
        <w:rPr>
          <w:color w:val="000000"/>
        </w:rPr>
        <w:lastRenderedPageBreak/>
        <w:t>association</w:t>
      </w:r>
      <w:r>
        <w:rPr>
          <w:color w:val="000000"/>
        </w:rPr>
        <w:t xml:space="preserve"> is </w:t>
      </w:r>
      <w:r w:rsidRPr="00CE5928">
        <w:rPr>
          <w:color w:val="000000"/>
        </w:rPr>
        <w:t>not</w:t>
      </w:r>
      <w:r>
        <w:rPr>
          <w:color w:val="000000"/>
        </w:rPr>
        <w:t xml:space="preserve"> </w:t>
      </w:r>
      <w:r w:rsidRPr="00CE5928">
        <w:rPr>
          <w:color w:val="000000"/>
        </w:rPr>
        <w:t xml:space="preserve">consistent with the approach taken by this Court in its derivative rights jurisprudence in relation to the </w:t>
      </w:r>
      <w:r w:rsidRPr="00CE5928">
        <w:rPr>
          <w:i/>
          <w:color w:val="000000"/>
        </w:rPr>
        <w:t>Charter</w:t>
      </w:r>
      <w:r w:rsidRPr="00CE5928">
        <w:rPr>
          <w:color w:val="000000"/>
        </w:rPr>
        <w:t>.</w:t>
      </w:r>
    </w:p>
    <w:p w:rsidR="002F0BFC" w:rsidRDefault="002F0BFC" w:rsidP="00316000">
      <w:pPr>
        <w:pStyle w:val="SCCNormalDoubleSpacing"/>
        <w:tabs>
          <w:tab w:val="left" w:pos="1170"/>
        </w:tabs>
        <w:spacing w:after="480"/>
      </w:pPr>
      <w:r>
        <w:rPr>
          <w:color w:val="000000"/>
        </w:rPr>
        <w:tab/>
      </w:r>
      <w:r>
        <w:t xml:space="preserve">Third, </w:t>
      </w:r>
      <w:r w:rsidR="00C837D1">
        <w:t>s. </w:t>
      </w:r>
      <w:r w:rsidRPr="001D4494">
        <w:t>2(</w:t>
      </w:r>
      <w:r w:rsidRPr="00B0275C">
        <w:rPr>
          <w:i/>
        </w:rPr>
        <w:t>d</w:t>
      </w:r>
      <w:r w:rsidRPr="001D4494">
        <w:t>) does not empower the Court to privilege certain associations over others.</w:t>
      </w:r>
      <w:r w:rsidR="00360548">
        <w:t xml:space="preserve">  </w:t>
      </w:r>
      <w:r>
        <w:t xml:space="preserve">The Court’s </w:t>
      </w:r>
      <w:r w:rsidRPr="001D4494">
        <w:t>earlier cases did</w:t>
      </w:r>
      <w:r>
        <w:t xml:space="preserve"> </w:t>
      </w:r>
      <w:r w:rsidRPr="001D4494">
        <w:t xml:space="preserve">exhibit a </w:t>
      </w:r>
      <w:proofErr w:type="spellStart"/>
      <w:r w:rsidRPr="001D4494">
        <w:t>content</w:t>
      </w:r>
      <w:r w:rsidR="00F02F88">
        <w:noBreakHyphen/>
      </w:r>
      <w:r w:rsidRPr="001D4494">
        <w:t>neutral</w:t>
      </w:r>
      <w:proofErr w:type="spellEnd"/>
      <w:r w:rsidRPr="001D4494">
        <w:t xml:space="preserve"> approach to freedom of association in the sense that they did not claim to privilege particular associations.  </w:t>
      </w:r>
      <w:r w:rsidRPr="001D4494">
        <w:rPr>
          <w:i/>
          <w:color w:val="000000"/>
        </w:rPr>
        <w:t>Health</w:t>
      </w:r>
      <w:r>
        <w:rPr>
          <w:i/>
          <w:color w:val="000000"/>
        </w:rPr>
        <w:t xml:space="preserve"> Services</w:t>
      </w:r>
      <w:r w:rsidRPr="001D4494">
        <w:rPr>
          <w:color w:val="000000"/>
        </w:rPr>
        <w:t xml:space="preserve"> erred in saying </w:t>
      </w:r>
      <w:r w:rsidRPr="001D4494">
        <w:t>that the</w:t>
      </w:r>
      <w:r w:rsidRPr="001D4494">
        <w:rPr>
          <w:color w:val="000000"/>
        </w:rPr>
        <w:t>se</w:t>
      </w:r>
      <w:r w:rsidRPr="001D4494">
        <w:t xml:space="preserve"> approaches were not purposive.</w:t>
      </w:r>
      <w:r w:rsidR="00360548">
        <w:t xml:space="preserve">  </w:t>
      </w:r>
      <w:r w:rsidRPr="001D4494">
        <w:rPr>
          <w:i/>
        </w:rPr>
        <w:t>Health</w:t>
      </w:r>
      <w:r>
        <w:rPr>
          <w:i/>
        </w:rPr>
        <w:t xml:space="preserve"> Services</w:t>
      </w:r>
      <w:r w:rsidR="00360548">
        <w:rPr>
          <w:i/>
        </w:rPr>
        <w:t xml:space="preserve"> </w:t>
      </w:r>
      <w:r w:rsidRPr="001D4494">
        <w:t>suggested that a “generic” approach to defining freedom of association is inappropriate because different grou</w:t>
      </w:r>
      <w:r>
        <w:t xml:space="preserve">ps must have different freedoms.  </w:t>
      </w:r>
      <w:r w:rsidRPr="001D4494">
        <w:t xml:space="preserve">However, the context that is relevant to a purposive interpretation of </w:t>
      </w:r>
      <w:r w:rsidRPr="004433E4">
        <w:rPr>
          <w:i/>
        </w:rPr>
        <w:t>Charter</w:t>
      </w:r>
      <w:r w:rsidRPr="001D4494">
        <w:t xml:space="preserve"> </w:t>
      </w:r>
      <w:r w:rsidRPr="001D4494">
        <w:rPr>
          <w:color w:val="000000"/>
        </w:rPr>
        <w:t>freedoms</w:t>
      </w:r>
      <w:r w:rsidRPr="001D4494">
        <w:t xml:space="preserve"> is not the context of the individuals who happen to be exercising that </w:t>
      </w:r>
      <w:r w:rsidRPr="001D4494">
        <w:rPr>
          <w:color w:val="000000"/>
        </w:rPr>
        <w:t>freedom</w:t>
      </w:r>
      <w:r w:rsidRPr="001D4494">
        <w:t xml:space="preserve"> in a given case.  Rather, a purposive interpretation of </w:t>
      </w:r>
      <w:r w:rsidR="00C837D1">
        <w:t>s. </w:t>
      </w:r>
      <w:r w:rsidRPr="001D4494">
        <w:t>2(</w:t>
      </w:r>
      <w:r w:rsidRPr="004433E4">
        <w:rPr>
          <w:i/>
        </w:rPr>
        <w:t>d</w:t>
      </w:r>
      <w:r w:rsidRPr="001D4494">
        <w:t xml:space="preserve">) requires that one place </w:t>
      </w:r>
      <w:r w:rsidRPr="0004258C">
        <w:t>freedom of association</w:t>
      </w:r>
      <w:r w:rsidRPr="001D4494">
        <w:t xml:space="preserve"> in its linguistic, philosophic and historical contexts.  The origins of the concept, the words used to describe it, and the philosophical principles on which it relies will define the scope of </w:t>
      </w:r>
      <w:r w:rsidR="00C837D1">
        <w:t>s. </w:t>
      </w:r>
      <w:r w:rsidRPr="001D4494">
        <w:t>2(</w:t>
      </w:r>
      <w:r w:rsidRPr="004433E4">
        <w:rPr>
          <w:i/>
        </w:rPr>
        <w:t>d</w:t>
      </w:r>
      <w:r w:rsidRPr="001D4494">
        <w:t xml:space="preserve">) protection.  The extent of that protection should not change depending on </w:t>
      </w:r>
      <w:r>
        <w:t xml:space="preserve">who is exercising their </w:t>
      </w:r>
      <w:r w:rsidR="00C837D1">
        <w:t>s. </w:t>
      </w:r>
      <w:r>
        <w:t>2(</w:t>
      </w:r>
      <w:r w:rsidRPr="006E55F9">
        <w:rPr>
          <w:i/>
        </w:rPr>
        <w:t>d</w:t>
      </w:r>
      <w:r>
        <w:t>) rights.</w:t>
      </w:r>
      <w:r w:rsidR="00360548">
        <w:t xml:space="preserve">  </w:t>
      </w:r>
      <w:r>
        <w:t xml:space="preserve">The </w:t>
      </w:r>
      <w:r w:rsidRPr="001D4494">
        <w:t xml:space="preserve">protection of fundamental freedoms should not involve the Court adjudicating the relative values of the way in which individuals exercise those freedoms.  Just as this Court has not adjudicated the relative value of a religion or its tenets under </w:t>
      </w:r>
      <w:r w:rsidR="00C837D1">
        <w:t>s. </w:t>
      </w:r>
      <w:r w:rsidRPr="001D4494">
        <w:t>2(</w:t>
      </w:r>
      <w:r w:rsidRPr="00B0275C">
        <w:rPr>
          <w:i/>
        </w:rPr>
        <w:t>a</w:t>
      </w:r>
      <w:r w:rsidRPr="001D4494">
        <w:t>) or assessed the relative value or content of a given exercise of freedom of expression</w:t>
      </w:r>
      <w:r>
        <w:t xml:space="preserve"> under </w:t>
      </w:r>
      <w:r w:rsidR="00C837D1">
        <w:t>s. </w:t>
      </w:r>
      <w:r>
        <w:t>2(</w:t>
      </w:r>
      <w:r>
        <w:rPr>
          <w:i/>
        </w:rPr>
        <w:t>b</w:t>
      </w:r>
      <w:r>
        <w:t>)</w:t>
      </w:r>
      <w:r w:rsidRPr="001D4494">
        <w:t xml:space="preserve">, so too should this Court not privilege some associations over others under </w:t>
      </w:r>
      <w:r w:rsidR="00C837D1">
        <w:t>s. </w:t>
      </w:r>
      <w:r w:rsidRPr="001D4494">
        <w:t>2(</w:t>
      </w:r>
      <w:r w:rsidRPr="00B0275C">
        <w:rPr>
          <w:i/>
        </w:rPr>
        <w:t>d</w:t>
      </w:r>
      <w:r w:rsidRPr="001D4494">
        <w:t>)</w:t>
      </w:r>
      <w:r>
        <w:t xml:space="preserve">. </w:t>
      </w:r>
    </w:p>
    <w:p w:rsidR="002F0BFC" w:rsidRDefault="00DF3533" w:rsidP="00316000">
      <w:pPr>
        <w:pStyle w:val="SCCNormalDoubleSpacing"/>
        <w:tabs>
          <w:tab w:val="left" w:pos="1170"/>
        </w:tabs>
        <w:spacing w:after="480"/>
      </w:pPr>
      <w:r>
        <w:lastRenderedPageBreak/>
        <w:tab/>
        <w:t>Fourth, s. </w:t>
      </w:r>
      <w:r w:rsidR="002F0BFC" w:rsidRPr="001D4494">
        <w:t>2(</w:t>
      </w:r>
      <w:r w:rsidR="002F0BFC" w:rsidRPr="00532A56">
        <w:rPr>
          <w:i/>
        </w:rPr>
        <w:t>d</w:t>
      </w:r>
      <w:r w:rsidR="002F0BFC" w:rsidRPr="001D4494">
        <w:t>) does not afford constitutional protection to contracts.</w:t>
      </w:r>
      <w:r w:rsidR="00360548">
        <w:t xml:space="preserve">  </w:t>
      </w:r>
      <w:r w:rsidR="002F0BFC">
        <w:t xml:space="preserve">Although </w:t>
      </w:r>
      <w:r w:rsidR="002F0BFC" w:rsidRPr="001D4494">
        <w:rPr>
          <w:i/>
        </w:rPr>
        <w:t>Health</w:t>
      </w:r>
      <w:r w:rsidR="002F0BFC" w:rsidRPr="002721F5">
        <w:rPr>
          <w:i/>
        </w:rPr>
        <w:t xml:space="preserve"> Services</w:t>
      </w:r>
      <w:r w:rsidR="002F0BFC" w:rsidRPr="001D4494">
        <w:t xml:space="preserve"> purported to constitutionalize the process of collective bargaining rather than its fruits, it in fact granted constitutional protection to the collective agreements on the basis that they were the fruits of that proce</w:t>
      </w:r>
      <w:r w:rsidR="00F02F88">
        <w:t>ss. </w:t>
      </w:r>
    </w:p>
    <w:p w:rsidR="002F0BFC" w:rsidRDefault="00DF3533" w:rsidP="00316000">
      <w:pPr>
        <w:pStyle w:val="SCCNormalDoubleSpacing"/>
        <w:tabs>
          <w:tab w:val="left" w:pos="1170"/>
        </w:tabs>
        <w:spacing w:after="480"/>
      </w:pPr>
      <w:r>
        <w:tab/>
      </w:r>
      <w:r w:rsidR="002F0BFC">
        <w:t xml:space="preserve">Fifth, </w:t>
      </w:r>
      <w:r w:rsidR="00C837D1">
        <w:t>s. </w:t>
      </w:r>
      <w:r w:rsidR="002F0BFC" w:rsidRPr="001D4494">
        <w:t>2(</w:t>
      </w:r>
      <w:r w:rsidR="002F0BFC" w:rsidRPr="00395E9C">
        <w:rPr>
          <w:i/>
        </w:rPr>
        <w:t>d</w:t>
      </w:r>
      <w:r w:rsidR="002F0BFC" w:rsidRPr="001D4494">
        <w:t xml:space="preserve">) </w:t>
      </w:r>
      <w:r w:rsidR="002F0BFC">
        <w:t xml:space="preserve">should </w:t>
      </w:r>
      <w:r w:rsidR="002F0BFC" w:rsidRPr="001D4494">
        <w:t>be interpreted in such a way as to afford deference to the legislative branch in the field of labour relations.</w:t>
      </w:r>
      <w:r w:rsidR="00360548">
        <w:t xml:space="preserve">  </w:t>
      </w:r>
      <w:r w:rsidR="002F0BFC" w:rsidRPr="002424CF">
        <w:rPr>
          <w:i/>
        </w:rPr>
        <w:t>Health</w:t>
      </w:r>
      <w:r w:rsidR="002F0BFC">
        <w:rPr>
          <w:i/>
        </w:rPr>
        <w:t xml:space="preserve"> Services</w:t>
      </w:r>
      <w:r w:rsidR="002F0BFC" w:rsidRPr="002424CF">
        <w:t xml:space="preserve"> </w:t>
      </w:r>
      <w:r w:rsidR="002F0BFC">
        <w:t xml:space="preserve">erred in </w:t>
      </w:r>
      <w:r w:rsidR="002F0BFC" w:rsidRPr="002424CF">
        <w:t>removing</w:t>
      </w:r>
      <w:r w:rsidR="000A532C">
        <w:t xml:space="preserve"> </w:t>
      </w:r>
      <w:proofErr w:type="spellStart"/>
      <w:r w:rsidR="002F0BFC" w:rsidRPr="002424CF">
        <w:t>decision</w:t>
      </w:r>
      <w:r w:rsidR="00F02F88">
        <w:noBreakHyphen/>
      </w:r>
      <w:r w:rsidR="002F0BFC" w:rsidRPr="002424CF">
        <w:t>making</w:t>
      </w:r>
      <w:proofErr w:type="spellEnd"/>
      <w:r w:rsidR="002F0BFC" w:rsidRPr="002424CF">
        <w:t xml:space="preserve"> power on this question from Parliament and the provincial legislatures.</w:t>
      </w:r>
      <w:r w:rsidR="00360548">
        <w:t xml:space="preserve">  </w:t>
      </w:r>
      <w:r w:rsidR="002F0BFC" w:rsidRPr="001D4494">
        <w:t xml:space="preserve">While the courts are responsible for safeguarding the ability of individuals to do collectively that which they have the right to do as individuals, the judiciary is </w:t>
      </w:r>
      <w:proofErr w:type="spellStart"/>
      <w:r w:rsidR="002F0BFC" w:rsidRPr="001D4494">
        <w:t>ill</w:t>
      </w:r>
      <w:r w:rsidR="00F02F88">
        <w:noBreakHyphen/>
      </w:r>
      <w:r w:rsidR="002F0BFC" w:rsidRPr="001D4494">
        <w:t>equip</w:t>
      </w:r>
      <w:r w:rsidR="00F920F8">
        <w:t>p</w:t>
      </w:r>
      <w:r w:rsidR="002F0BFC" w:rsidRPr="001D4494">
        <w:t>ed</w:t>
      </w:r>
      <w:proofErr w:type="spellEnd"/>
      <w:r w:rsidR="002F0BFC" w:rsidRPr="001D4494">
        <w:t xml:space="preserve"> to engage in fine adjustments to the balance of power</w:t>
      </w:r>
      <w:r w:rsidR="002F0BFC">
        <w:t xml:space="preserve"> between labour and management in the labour relations context.  </w:t>
      </w:r>
    </w:p>
    <w:p w:rsidR="002F0BFC" w:rsidRDefault="00DF3533" w:rsidP="00316000">
      <w:pPr>
        <w:pStyle w:val="SCCNormalDoubleSpacing"/>
        <w:tabs>
          <w:tab w:val="left" w:pos="1170"/>
        </w:tabs>
        <w:spacing w:after="480"/>
      </w:pPr>
      <w:r>
        <w:tab/>
      </w:r>
      <w:r w:rsidR="002F0BFC">
        <w:t>Moreover, t</w:t>
      </w:r>
      <w:r w:rsidR="002F0BFC" w:rsidRPr="007E6387">
        <w:t xml:space="preserve">he reasons advanced in </w:t>
      </w:r>
      <w:r w:rsidR="002F0BFC" w:rsidRPr="007E6387">
        <w:rPr>
          <w:i/>
        </w:rPr>
        <w:t>Health</w:t>
      </w:r>
      <w:r w:rsidR="002F0BFC">
        <w:rPr>
          <w:i/>
        </w:rPr>
        <w:t xml:space="preserve"> Services</w:t>
      </w:r>
      <w:r w:rsidR="002F0BFC" w:rsidRPr="007E6387">
        <w:rPr>
          <w:i/>
        </w:rPr>
        <w:t xml:space="preserve"> </w:t>
      </w:r>
      <w:r w:rsidR="002F0BFC" w:rsidRPr="007E6387">
        <w:t xml:space="preserve">for </w:t>
      </w:r>
      <w:r w:rsidR="002F0BFC">
        <w:t xml:space="preserve">extending protection to </w:t>
      </w:r>
      <w:r w:rsidR="002F0BFC" w:rsidRPr="007E6387">
        <w:t xml:space="preserve">collective bargaining under </w:t>
      </w:r>
      <w:r w:rsidR="00C837D1">
        <w:t>s. </w:t>
      </w:r>
      <w:r w:rsidR="002F0BFC" w:rsidRPr="007E6387">
        <w:t>2(</w:t>
      </w:r>
      <w:r w:rsidR="002F0BFC" w:rsidRPr="00B0275C">
        <w:rPr>
          <w:i/>
        </w:rPr>
        <w:t>d</w:t>
      </w:r>
      <w:r w:rsidR="002F0BFC">
        <w:t xml:space="preserve">) ― </w:t>
      </w:r>
      <w:r w:rsidR="002F0BFC" w:rsidRPr="007E6387">
        <w:t xml:space="preserve">Canadian labour history, Canada’s international obligations, and </w:t>
      </w:r>
      <w:r w:rsidR="002F0BFC" w:rsidRPr="007E6387">
        <w:rPr>
          <w:i/>
        </w:rPr>
        <w:t>Charter</w:t>
      </w:r>
      <w:r w:rsidR="002F0BFC" w:rsidRPr="007E6387">
        <w:t xml:space="preserve"> values</w:t>
      </w:r>
      <w:r w:rsidR="002F0BFC">
        <w:t xml:space="preserve"> ― </w:t>
      </w:r>
      <w:r w:rsidR="002F0BFC" w:rsidRPr="007E6387">
        <w:t xml:space="preserve">do not support conferring a constitutional right to collective bargaining and imposing a duty on employers to engage in collective bargaining.  </w:t>
      </w:r>
    </w:p>
    <w:p w:rsidR="002F0BFC" w:rsidRDefault="00DF3533" w:rsidP="00316000">
      <w:pPr>
        <w:pStyle w:val="SCCNormalDoubleSpacing"/>
        <w:tabs>
          <w:tab w:val="left" w:pos="1170"/>
        </w:tabs>
        <w:spacing w:after="480"/>
      </w:pPr>
      <w:r>
        <w:tab/>
      </w:r>
      <w:r w:rsidR="002F0BFC">
        <w:t xml:space="preserve">The argument </w:t>
      </w:r>
      <w:r w:rsidR="002F0BFC" w:rsidRPr="001D4494">
        <w:t xml:space="preserve">that a right to collective bargaining which includes a duty on employers to bargain in good faith is a </w:t>
      </w:r>
      <w:proofErr w:type="spellStart"/>
      <w:r w:rsidR="002F0BFC" w:rsidRPr="001D4494">
        <w:t>pre</w:t>
      </w:r>
      <w:r w:rsidR="00F02F88">
        <w:noBreakHyphen/>
      </w:r>
      <w:r w:rsidR="002F0BFC" w:rsidRPr="001D4494">
        <w:t>statutory</w:t>
      </w:r>
      <w:proofErr w:type="spellEnd"/>
      <w:r w:rsidR="002F0BFC" w:rsidRPr="001D4494">
        <w:t xml:space="preserve"> feature of Canadian labour law</w:t>
      </w:r>
      <w:r w:rsidR="002F0BFC">
        <w:t>,</w:t>
      </w:r>
      <w:r w:rsidR="002F0BFC" w:rsidRPr="001D4494">
        <w:t xml:space="preserve"> </w:t>
      </w:r>
      <w:r w:rsidR="002F0BFC">
        <w:t xml:space="preserve">made in </w:t>
      </w:r>
      <w:r w:rsidR="002F0BFC">
        <w:rPr>
          <w:i/>
        </w:rPr>
        <w:t>Health Services</w:t>
      </w:r>
      <w:r w:rsidR="002F0BFC">
        <w:t xml:space="preserve">, </w:t>
      </w:r>
      <w:r w:rsidR="002F0BFC" w:rsidRPr="001D4494">
        <w:t>contradicts established accounts of the history</w:t>
      </w:r>
      <w:r w:rsidR="002F0BFC">
        <w:t xml:space="preserve"> of labour relations in Canada and</w:t>
      </w:r>
      <w:r w:rsidR="00360548">
        <w:t xml:space="preserve"> </w:t>
      </w:r>
      <w:r w:rsidR="002F0BFC" w:rsidRPr="007E6387">
        <w:t>has recently been the subject of intense academic criticism.</w:t>
      </w:r>
      <w:r w:rsidR="00360548">
        <w:t xml:space="preserve">  </w:t>
      </w:r>
      <w:r w:rsidR="002F0BFC" w:rsidRPr="007E6387">
        <w:t xml:space="preserve">While the </w:t>
      </w:r>
      <w:r w:rsidR="002F0BFC" w:rsidRPr="00A978EF">
        <w:t>duty</w:t>
      </w:r>
      <w:r w:rsidR="002F0BFC" w:rsidRPr="007E6387">
        <w:t xml:space="preserve"> to bargain in good faith may be a fundamental precept of the Wagner </w:t>
      </w:r>
      <w:r w:rsidR="002F0BFC" w:rsidRPr="007E6387">
        <w:lastRenderedPageBreak/>
        <w:t xml:space="preserve">model of collective bargaining, it is not a fundamental precept of collective bargaining as it was understood before </w:t>
      </w:r>
      <w:r w:rsidR="00777DAD">
        <w:t xml:space="preserve">the </w:t>
      </w:r>
      <w:r w:rsidR="002F0BFC" w:rsidRPr="007E6387">
        <w:t xml:space="preserve">introduction of the </w:t>
      </w:r>
      <w:r w:rsidR="002F0BFC" w:rsidRPr="007E6387">
        <w:rPr>
          <w:i/>
        </w:rPr>
        <w:t>Wagner Act</w:t>
      </w:r>
      <w:r w:rsidR="002F0BFC" w:rsidRPr="007E6387">
        <w:t xml:space="preserve"> or as it is still understood today in many parts of the world.</w:t>
      </w:r>
    </w:p>
    <w:p w:rsidR="002F0BFC" w:rsidRPr="00DE682F" w:rsidRDefault="00DF3533" w:rsidP="00316000">
      <w:pPr>
        <w:pStyle w:val="SCCNormalDoubleSpacing"/>
        <w:tabs>
          <w:tab w:val="left" w:pos="1170"/>
        </w:tabs>
        <w:spacing w:after="480"/>
      </w:pPr>
      <w:r>
        <w:tab/>
      </w:r>
      <w:proofErr w:type="gramStart"/>
      <w:r w:rsidR="002F0BFC">
        <w:t>Nor does international law support constitutionalizing collective bargaining rights.</w:t>
      </w:r>
      <w:proofErr w:type="gramEnd"/>
      <w:r w:rsidR="002F0BFC">
        <w:t xml:space="preserve">  I</w:t>
      </w:r>
      <w:r w:rsidR="002F0BFC" w:rsidRPr="001D4494">
        <w:t xml:space="preserve">n </w:t>
      </w:r>
      <w:r w:rsidR="002F0BFC" w:rsidRPr="001D4494">
        <w:rPr>
          <w:i/>
        </w:rPr>
        <w:t>Health</w:t>
      </w:r>
      <w:r w:rsidR="002F0BFC">
        <w:rPr>
          <w:i/>
        </w:rPr>
        <w:t xml:space="preserve"> Services</w:t>
      </w:r>
      <w:r w:rsidR="002F0BFC">
        <w:t xml:space="preserve">, the </w:t>
      </w:r>
      <w:r w:rsidR="00BC7445">
        <w:t xml:space="preserve">majority </w:t>
      </w:r>
      <w:r w:rsidR="002F0BFC">
        <w:t xml:space="preserve">relied on the proposition </w:t>
      </w:r>
      <w:r w:rsidR="002F0BFC" w:rsidRPr="001D4494">
        <w:t xml:space="preserve">that collective bargaining is an integral component of the freedom of association under international law.  The </w:t>
      </w:r>
      <w:r w:rsidR="00BC7445">
        <w:t xml:space="preserve">majority </w:t>
      </w:r>
      <w:r w:rsidR="002F0BFC" w:rsidRPr="001D4494">
        <w:t>relied in part</w:t>
      </w:r>
      <w:r w:rsidR="002F0BFC">
        <w:t xml:space="preserve">icular on ILO Convention </w:t>
      </w:r>
      <w:r w:rsidR="00F02F88">
        <w:t>No. </w:t>
      </w:r>
      <w:r w:rsidR="002F0BFC">
        <w:t>87</w:t>
      </w:r>
      <w:r w:rsidR="002F0BFC" w:rsidRPr="001D4494">
        <w:t>.  In doing so, it committed two errors</w:t>
      </w:r>
      <w:r w:rsidR="002F0BFC">
        <w:t>.</w:t>
      </w:r>
      <w:r w:rsidR="00360548">
        <w:t xml:space="preserve">  </w:t>
      </w:r>
      <w:r w:rsidR="002F0BFC">
        <w:t>W</w:t>
      </w:r>
      <w:r w:rsidR="002F0BFC" w:rsidRPr="001D4494">
        <w:t xml:space="preserve">hile Canada has ratified ILO Convention </w:t>
      </w:r>
      <w:r w:rsidR="00F02F88">
        <w:t>No. </w:t>
      </w:r>
      <w:proofErr w:type="gramStart"/>
      <w:r w:rsidR="002F0BFC" w:rsidRPr="001D4494">
        <w:t>87,</w:t>
      </w:r>
      <w:r w:rsidR="00360548">
        <w:t xml:space="preserve"> </w:t>
      </w:r>
      <w:r w:rsidR="002F0BFC" w:rsidRPr="001D4494">
        <w:t>that</w:t>
      </w:r>
      <w:proofErr w:type="gramEnd"/>
      <w:r w:rsidR="002F0BFC" w:rsidRPr="001D4494">
        <w:t xml:space="preserve"> Convention deals </w:t>
      </w:r>
      <w:r w:rsidR="002F0BFC">
        <w:t xml:space="preserve">only </w:t>
      </w:r>
      <w:r w:rsidR="002F0BFC" w:rsidRPr="001D4494">
        <w:t>with freedom of association and does not at any point specifically discuss collective bargaining</w:t>
      </w:r>
      <w:r w:rsidR="002F0BFC">
        <w:t xml:space="preserve">.  The </w:t>
      </w:r>
      <w:r w:rsidR="00BC7445">
        <w:t>majority</w:t>
      </w:r>
      <w:r w:rsidR="002F0BFC">
        <w:t xml:space="preserve"> also conflated two distinct ILO Conventions by citing Convention </w:t>
      </w:r>
      <w:r w:rsidR="00F02F88">
        <w:t>No. </w:t>
      </w:r>
      <w:r w:rsidR="002F0BFC">
        <w:t xml:space="preserve">87 but using words from Convention </w:t>
      </w:r>
      <w:r w:rsidR="00F02F88">
        <w:t>No. </w:t>
      </w:r>
      <w:r w:rsidR="002F0BFC">
        <w:t xml:space="preserve">98.  Canada has not ratified Convention </w:t>
      </w:r>
      <w:r w:rsidR="00F02F88">
        <w:t>No. </w:t>
      </w:r>
      <w:r w:rsidR="002F0BFC">
        <w:t>98 and has no obligations under that Convention.</w:t>
      </w:r>
      <w:r w:rsidR="00360548">
        <w:t xml:space="preserve">  </w:t>
      </w:r>
      <w:r w:rsidR="002F0BFC">
        <w:t xml:space="preserve">Even if Convention </w:t>
      </w:r>
      <w:r w:rsidR="00F02F88">
        <w:t>No. </w:t>
      </w:r>
      <w:r w:rsidR="002F0BFC">
        <w:t xml:space="preserve">98 were applicable to Canada, </w:t>
      </w:r>
      <w:r w:rsidR="002F0BFC">
        <w:rPr>
          <w:i/>
        </w:rPr>
        <w:t xml:space="preserve">Health Services </w:t>
      </w:r>
      <w:r w:rsidR="002F0BFC" w:rsidRPr="001D4494">
        <w:t>would</w:t>
      </w:r>
      <w:r w:rsidR="002F0BFC" w:rsidRPr="001D4494">
        <w:rPr>
          <w:i/>
        </w:rPr>
        <w:t xml:space="preserve"> </w:t>
      </w:r>
      <w:r w:rsidR="002F0BFC" w:rsidRPr="001D4494">
        <w:t xml:space="preserve">still have erred in relying on that Convention to constitutionalize a version of collective bargaining that includes a duty to bargain in good faith.  While Convention </w:t>
      </w:r>
      <w:r w:rsidR="00F02F88">
        <w:t>No. </w:t>
      </w:r>
      <w:r w:rsidR="002F0BFC" w:rsidRPr="001D4494">
        <w:t>98 provides protection for a process of collective bargaining, it conceives of collective bargaining as being a process of “voluntary negotiation” that is fundamentally distinct from the model of collective bargaining incorporated in the Wagner model</w:t>
      </w:r>
      <w:r w:rsidR="002F0BFC">
        <w:t xml:space="preserve">.  </w:t>
      </w:r>
      <w:r w:rsidR="002F0BFC" w:rsidRPr="001D4494">
        <w:t xml:space="preserve">Convention </w:t>
      </w:r>
      <w:r w:rsidR="00F02F88">
        <w:t>No. </w:t>
      </w:r>
      <w:r w:rsidR="002F0BFC" w:rsidRPr="001D4494">
        <w:t>98 does not contemplate the imposition of a duty on parties</w:t>
      </w:r>
      <w:r w:rsidR="002F0BFC">
        <w:t xml:space="preserve"> to bargain in good faith.  </w:t>
      </w:r>
    </w:p>
    <w:p w:rsidR="002F0BFC" w:rsidRPr="001D4494" w:rsidRDefault="002F0BFC" w:rsidP="00316000">
      <w:pPr>
        <w:pStyle w:val="SCCNormalDoubleSpacing"/>
        <w:tabs>
          <w:tab w:val="left" w:pos="1170"/>
        </w:tabs>
        <w:spacing w:after="480"/>
      </w:pPr>
      <w:r>
        <w:lastRenderedPageBreak/>
        <w:tab/>
      </w:r>
      <w:proofErr w:type="gramStart"/>
      <w:r>
        <w:t xml:space="preserve">Nor did invoking </w:t>
      </w:r>
      <w:r>
        <w:rPr>
          <w:i/>
        </w:rPr>
        <w:t>Charter</w:t>
      </w:r>
      <w:r>
        <w:t xml:space="preserve"> values in </w:t>
      </w:r>
      <w:r w:rsidRPr="00DE682F">
        <w:rPr>
          <w:i/>
        </w:rPr>
        <w:t>H</w:t>
      </w:r>
      <w:r>
        <w:rPr>
          <w:i/>
        </w:rPr>
        <w:t xml:space="preserve">ealth Services </w:t>
      </w:r>
      <w:r>
        <w:t>support constitutionalizing collective bargaining rights.</w:t>
      </w:r>
      <w:proofErr w:type="gramEnd"/>
      <w:r>
        <w:t xml:space="preserve"> </w:t>
      </w:r>
      <w:r w:rsidR="00C837D1">
        <w:t xml:space="preserve"> </w:t>
      </w:r>
      <w:r>
        <w:rPr>
          <w:i/>
        </w:rPr>
        <w:t xml:space="preserve">Health Services </w:t>
      </w:r>
      <w:r w:rsidRPr="001D4494">
        <w:t xml:space="preserve">maintained that the recognition of a good faith collective bargaining right is consistent with and promotes other </w:t>
      </w:r>
      <w:r w:rsidRPr="001D4494">
        <w:rPr>
          <w:i/>
        </w:rPr>
        <w:t xml:space="preserve">Charter </w:t>
      </w:r>
      <w:r w:rsidRPr="001D4494">
        <w:t>rights, freedoms and values</w:t>
      </w:r>
      <w:r w:rsidR="003162CC">
        <w:t xml:space="preserve">: </w:t>
      </w:r>
      <w:r w:rsidRPr="001D4494">
        <w:t xml:space="preserve"> namely, human dignity, equality, liberty, respect for the autonomy of the person and the enhancement of democracy.</w:t>
      </w:r>
      <w:r w:rsidR="00360548">
        <w:t xml:space="preserve">  </w:t>
      </w:r>
      <w:r w:rsidRPr="001D4494">
        <w:t>A duty to bargain in good faith may achieve those ends.</w:t>
      </w:r>
      <w:r w:rsidR="00C837D1">
        <w:t xml:space="preserve"> </w:t>
      </w:r>
      <w:r w:rsidRPr="001D4494">
        <w:t xml:space="preserve"> However, either the </w:t>
      </w:r>
      <w:r w:rsidRPr="001D4494">
        <w:rPr>
          <w:i/>
        </w:rPr>
        <w:t>Charter</w:t>
      </w:r>
      <w:r w:rsidRPr="001D4494">
        <w:t xml:space="preserve"> requires something or it does not.  The role of the Court is to determine what the </w:t>
      </w:r>
      <w:r w:rsidRPr="001D4494">
        <w:rPr>
          <w:i/>
        </w:rPr>
        <w:t>Charter</w:t>
      </w:r>
      <w:r w:rsidRPr="001D4494">
        <w:t xml:space="preserve"> requires and what it does not and then apply the requirements it finds to the case before it.  It is not to simply promote, as much as possible, values that some subjectively think underpin the </w:t>
      </w:r>
      <w:r w:rsidRPr="001D4494">
        <w:rPr>
          <w:i/>
        </w:rPr>
        <w:t>Charter</w:t>
      </w:r>
      <w:r w:rsidRPr="001D4494">
        <w:t xml:space="preserve"> in a general sense.</w:t>
      </w:r>
      <w:r w:rsidR="00360548">
        <w:t xml:space="preserve">  </w:t>
      </w:r>
      <w:r>
        <w:t xml:space="preserve">As </w:t>
      </w:r>
      <w:r w:rsidR="00C837D1">
        <w:t>s. </w:t>
      </w:r>
      <w:r>
        <w:t>2(</w:t>
      </w:r>
      <w:r w:rsidRPr="0006076B">
        <w:rPr>
          <w:i/>
        </w:rPr>
        <w:t>d</w:t>
      </w:r>
      <w:r>
        <w:t>) is silent on questions of economic and social policy, t</w:t>
      </w:r>
      <w:r w:rsidRPr="0006076B">
        <w:t>his</w:t>
      </w:r>
      <w:r w:rsidRPr="001D4494">
        <w:t xml:space="preserve"> Court may not intervene </w:t>
      </w:r>
      <w:r>
        <w:t xml:space="preserve">on such matters </w:t>
      </w:r>
      <w:r w:rsidRPr="001D4494">
        <w:t>in the absence of a legislative or cons</w:t>
      </w:r>
      <w:r>
        <w:t>titutional grant of authority.</w:t>
      </w:r>
    </w:p>
    <w:p w:rsidR="002F0BFC" w:rsidRPr="002B1412" w:rsidRDefault="002F0BFC" w:rsidP="00316000">
      <w:pPr>
        <w:pStyle w:val="SCCNormalDoubleSpacing"/>
        <w:tabs>
          <w:tab w:val="left" w:pos="1170"/>
        </w:tabs>
        <w:spacing w:after="480"/>
      </w:pPr>
      <w:r>
        <w:rPr>
          <w:color w:val="000000"/>
        </w:rPr>
        <w:tab/>
      </w:r>
      <w:r>
        <w:t>Finally, t</w:t>
      </w:r>
      <w:r w:rsidRPr="00643451">
        <w:t xml:space="preserve">he </w:t>
      </w:r>
      <w:r w:rsidR="00BC7445">
        <w:t>majority</w:t>
      </w:r>
      <w:r w:rsidRPr="00643451">
        <w:t xml:space="preserve">’s approach to collective bargaining in particular and </w:t>
      </w:r>
      <w:r w:rsidR="00C837D1">
        <w:t>s. </w:t>
      </w:r>
      <w:r w:rsidRPr="00643451">
        <w:t>2(</w:t>
      </w:r>
      <w:r w:rsidRPr="002F3B0A">
        <w:rPr>
          <w:i/>
        </w:rPr>
        <w:t>d</w:t>
      </w:r>
      <w:r w:rsidRPr="00643451">
        <w:t>) in general articulated in</w:t>
      </w:r>
      <w:r w:rsidRPr="00643451">
        <w:rPr>
          <w:i/>
        </w:rPr>
        <w:t xml:space="preserve"> Health</w:t>
      </w:r>
      <w:r>
        <w:rPr>
          <w:i/>
        </w:rPr>
        <w:t xml:space="preserve"> Services</w:t>
      </w:r>
      <w:r w:rsidRPr="00643451">
        <w:rPr>
          <w:i/>
        </w:rPr>
        <w:t xml:space="preserve"> </w:t>
      </w:r>
      <w:r w:rsidRPr="00643451">
        <w:t>is unworkable.  It extends constitutional protection to the duty to bargain in good faith without importing other aspects of the Wagner framework and by purporting to protect the process of collective bargaining without also protecting its fruits, neither of which is tenable.</w:t>
      </w:r>
      <w:r w:rsidR="00360548">
        <w:t xml:space="preserve">  </w:t>
      </w:r>
      <w:r w:rsidRPr="00643451">
        <w:t xml:space="preserve">For a duty to bargain in good faith not to be an illusory </w:t>
      </w:r>
      <w:proofErr w:type="gramStart"/>
      <w:r w:rsidRPr="00643451">
        <w:t>benefit,</w:t>
      </w:r>
      <w:proofErr w:type="gramEnd"/>
      <w:r w:rsidRPr="00643451">
        <w:t xml:space="preserve"> there must be both a way of dealing with bargaining impasses as well as an effective remedy for persistent breaches of a duty to bargain in good faith. </w:t>
      </w:r>
      <w:r w:rsidR="00A62EC2">
        <w:t xml:space="preserve"> </w:t>
      </w:r>
      <w:r w:rsidRPr="001D4494">
        <w:t>The first requires that there be some default mechanism for resolving the dispute in case an impasse is reached</w:t>
      </w:r>
      <w:r>
        <w:t xml:space="preserve"> — </w:t>
      </w:r>
      <w:r w:rsidRPr="001D4494">
        <w:t xml:space="preserve">such as </w:t>
      </w:r>
      <w:r>
        <w:t xml:space="preserve">striking or binding arbitration — </w:t>
      </w:r>
      <w:r w:rsidRPr="001D4494">
        <w:t xml:space="preserve">while the second may require, in extreme </w:t>
      </w:r>
      <w:r w:rsidRPr="001D4494">
        <w:lastRenderedPageBreak/>
        <w:t>circumstances, the imposition by an arbitrator of particular terms o</w:t>
      </w:r>
      <w:r>
        <w:t>f a collective agreement</w:t>
      </w:r>
      <w:r w:rsidRPr="001D4494">
        <w:t xml:space="preserve">. </w:t>
      </w:r>
      <w:r>
        <w:t xml:space="preserve"> </w:t>
      </w:r>
      <w:r w:rsidRPr="001D4494">
        <w:t xml:space="preserve">Each of these goes well beyond </w:t>
      </w:r>
      <w:r>
        <w:t xml:space="preserve">protection of </w:t>
      </w:r>
      <w:r w:rsidRPr="001D4494">
        <w:t>a mere process and results in the protection of a p</w:t>
      </w:r>
      <w:r>
        <w:t>articular substantive outcome.</w:t>
      </w:r>
      <w:r w:rsidR="00360548">
        <w:t xml:space="preserve">  </w:t>
      </w:r>
      <w:r w:rsidRPr="002B1412">
        <w:t>The</w:t>
      </w:r>
      <w:r w:rsidRPr="002B1412">
        <w:rPr>
          <w:color w:val="000000"/>
        </w:rPr>
        <w:t xml:space="preserve"> </w:t>
      </w:r>
      <w:r w:rsidR="00BC7445">
        <w:rPr>
          <w:color w:val="000000"/>
        </w:rPr>
        <w:t>majority</w:t>
      </w:r>
      <w:r w:rsidRPr="002B1412">
        <w:rPr>
          <w:color w:val="000000"/>
        </w:rPr>
        <w:t xml:space="preserve">’s inability to separate substance and process, and the consequent constitutionalization of collective bargaining terms demonstrates the unworkability of the distinction between substance and process asserted in </w:t>
      </w:r>
      <w:r w:rsidRPr="002B1412">
        <w:rPr>
          <w:i/>
          <w:color w:val="000000"/>
        </w:rPr>
        <w:t>Health</w:t>
      </w:r>
      <w:r>
        <w:rPr>
          <w:i/>
          <w:color w:val="000000"/>
        </w:rPr>
        <w:t xml:space="preserve"> Services</w:t>
      </w:r>
      <w:r w:rsidRPr="002B1412">
        <w:rPr>
          <w:color w:val="000000"/>
        </w:rPr>
        <w:t>.</w:t>
      </w:r>
    </w:p>
    <w:p w:rsidR="002F0BFC" w:rsidRDefault="002F0BFC" w:rsidP="00316000">
      <w:pPr>
        <w:pStyle w:val="SCCNormalDoubleSpacing"/>
        <w:tabs>
          <w:tab w:val="left" w:pos="1170"/>
        </w:tabs>
        <w:spacing w:after="480"/>
      </w:pPr>
      <w:r>
        <w:tab/>
        <w:t>T</w:t>
      </w:r>
      <w:r w:rsidRPr="007757FF">
        <w:rPr>
          <w:color w:val="000000"/>
        </w:rPr>
        <w:t xml:space="preserve">he </w:t>
      </w:r>
      <w:r w:rsidRPr="002F3B0A">
        <w:rPr>
          <w:i/>
          <w:color w:val="000000"/>
        </w:rPr>
        <w:t>AEPA</w:t>
      </w:r>
      <w:r w:rsidRPr="007757FF">
        <w:rPr>
          <w:color w:val="000000"/>
        </w:rPr>
        <w:t xml:space="preserve"> does not violate </w:t>
      </w:r>
      <w:r w:rsidR="00C837D1">
        <w:rPr>
          <w:color w:val="000000"/>
        </w:rPr>
        <w:t>s. </w:t>
      </w:r>
      <w:r w:rsidRPr="007757FF">
        <w:rPr>
          <w:color w:val="000000"/>
        </w:rPr>
        <w:t>2(</w:t>
      </w:r>
      <w:r w:rsidRPr="002F3B0A">
        <w:rPr>
          <w:i/>
          <w:color w:val="000000"/>
        </w:rPr>
        <w:t>d</w:t>
      </w:r>
      <w:r w:rsidRPr="007757FF">
        <w:rPr>
          <w:color w:val="000000"/>
        </w:rPr>
        <w:t xml:space="preserve">) of the </w:t>
      </w:r>
      <w:r w:rsidRPr="007757FF">
        <w:rPr>
          <w:i/>
          <w:color w:val="000000"/>
        </w:rPr>
        <w:t>Charter</w:t>
      </w:r>
      <w:r w:rsidRPr="002721F5">
        <w:rPr>
          <w:color w:val="000000"/>
        </w:rPr>
        <w:t>.</w:t>
      </w:r>
      <w:r w:rsidR="00360548" w:rsidRPr="002721F5">
        <w:rPr>
          <w:color w:val="000000"/>
        </w:rPr>
        <w:t xml:space="preserve">  </w:t>
      </w:r>
      <w:r w:rsidRPr="007757FF">
        <w:rPr>
          <w:color w:val="000000"/>
        </w:rPr>
        <w:t xml:space="preserve">By enacting the </w:t>
      </w:r>
      <w:r w:rsidRPr="002F3B0A">
        <w:rPr>
          <w:i/>
          <w:color w:val="000000"/>
        </w:rPr>
        <w:t>AEPA</w:t>
      </w:r>
      <w:r w:rsidRPr="007757FF">
        <w:rPr>
          <w:color w:val="000000"/>
        </w:rPr>
        <w:t xml:space="preserve">, the legislature precisely addressed this Court’s ruling in </w:t>
      </w:r>
      <w:r w:rsidRPr="007757FF">
        <w:rPr>
          <w:i/>
          <w:color w:val="000000"/>
        </w:rPr>
        <w:t>Dunmore</w:t>
      </w:r>
      <w:r w:rsidRPr="007757FF">
        <w:rPr>
          <w:color w:val="000000"/>
        </w:rPr>
        <w:t xml:space="preserve">.  The text, context and purpose of the </w:t>
      </w:r>
      <w:r w:rsidRPr="002F3B0A">
        <w:rPr>
          <w:i/>
          <w:color w:val="000000"/>
        </w:rPr>
        <w:t>AEPA</w:t>
      </w:r>
      <w:r w:rsidRPr="007757FF">
        <w:rPr>
          <w:color w:val="000000"/>
        </w:rPr>
        <w:t xml:space="preserve"> clearly demonstrate that the legislature intentionally opted not to include a duty on employers to engage in collective bargaining with employee </w:t>
      </w:r>
      <w:r w:rsidRPr="00316000">
        <w:t>associations</w:t>
      </w:r>
      <w:r w:rsidRPr="007757FF">
        <w:rPr>
          <w:color w:val="000000"/>
        </w:rPr>
        <w:t>.</w:t>
      </w:r>
      <w:r w:rsidR="00360548">
        <w:rPr>
          <w:color w:val="000000"/>
        </w:rPr>
        <w:t xml:space="preserve">  </w:t>
      </w:r>
      <w:r w:rsidRPr="007757FF">
        <w:rPr>
          <w:color w:val="000000"/>
        </w:rPr>
        <w:t>Section</w:t>
      </w:r>
      <w:r w:rsidR="00C837D1">
        <w:rPr>
          <w:color w:val="000000"/>
        </w:rPr>
        <w:t> </w:t>
      </w:r>
      <w:r w:rsidRPr="007757FF">
        <w:rPr>
          <w:color w:val="000000"/>
        </w:rPr>
        <w:t xml:space="preserve">5 of the </w:t>
      </w:r>
      <w:r w:rsidRPr="002F3B0A">
        <w:rPr>
          <w:i/>
          <w:color w:val="000000"/>
        </w:rPr>
        <w:t>AEPA</w:t>
      </w:r>
      <w:r w:rsidRPr="007757FF">
        <w:rPr>
          <w:color w:val="000000"/>
        </w:rPr>
        <w:t xml:space="preserve"> cannot</w:t>
      </w:r>
      <w:r>
        <w:rPr>
          <w:color w:val="000000"/>
        </w:rPr>
        <w:t xml:space="preserve"> </w:t>
      </w:r>
      <w:r w:rsidRPr="007757FF">
        <w:rPr>
          <w:color w:val="000000"/>
        </w:rPr>
        <w:t>be read as imposing a duty to bargain in good faith.</w:t>
      </w:r>
      <w:r w:rsidR="00360548">
        <w:rPr>
          <w:color w:val="000000"/>
        </w:rPr>
        <w:t xml:space="preserve">  </w:t>
      </w:r>
      <w:r>
        <w:rPr>
          <w:color w:val="000000"/>
        </w:rPr>
        <w:t>T</w:t>
      </w:r>
      <w:r w:rsidRPr="007757FF">
        <w:rPr>
          <w:color w:val="000000"/>
        </w:rPr>
        <w:t xml:space="preserve">he words of </w:t>
      </w:r>
      <w:r w:rsidR="00C837D1">
        <w:rPr>
          <w:color w:val="000000"/>
        </w:rPr>
        <w:t>s. </w:t>
      </w:r>
      <w:r w:rsidRPr="007757FF">
        <w:rPr>
          <w:color w:val="000000"/>
        </w:rPr>
        <w:t>5 are unambiguous</w:t>
      </w:r>
      <w:r>
        <w:rPr>
          <w:color w:val="000000"/>
        </w:rPr>
        <w:t xml:space="preserve">: </w:t>
      </w:r>
      <w:r w:rsidR="003162CC">
        <w:rPr>
          <w:color w:val="000000"/>
        </w:rPr>
        <w:t xml:space="preserve"> </w:t>
      </w:r>
      <w:r w:rsidRPr="001D4494">
        <w:t>they provide employee associations the opportunity to make representations to an employer.  The only obligation on an employer is to provide the employee association with the opportunity to make representations and to listen if they are oral or read and acknowledge them if they are written.</w:t>
      </w:r>
      <w:r>
        <w:t xml:space="preserve">  To find otherwise,</w:t>
      </w:r>
      <w:r w:rsidR="00360548">
        <w:t xml:space="preserve"> </w:t>
      </w:r>
      <w:r w:rsidRPr="007757FF">
        <w:rPr>
          <w:color w:val="000000"/>
        </w:rPr>
        <w:t xml:space="preserve">would be to ignore the grammatical and ordinary </w:t>
      </w:r>
      <w:r w:rsidR="00F920F8">
        <w:rPr>
          <w:color w:val="000000"/>
        </w:rPr>
        <w:t xml:space="preserve">meaning </w:t>
      </w:r>
      <w:r w:rsidRPr="007757FF">
        <w:rPr>
          <w:color w:val="000000"/>
        </w:rPr>
        <w:t xml:space="preserve">of the words, and the purpose of the </w:t>
      </w:r>
      <w:r w:rsidRPr="002F3B0A">
        <w:rPr>
          <w:i/>
          <w:color w:val="000000"/>
        </w:rPr>
        <w:t>AEPA</w:t>
      </w:r>
      <w:r w:rsidRPr="007757FF">
        <w:rPr>
          <w:color w:val="000000"/>
        </w:rPr>
        <w:t xml:space="preserve">, and would </w:t>
      </w:r>
      <w:r>
        <w:rPr>
          <w:color w:val="000000"/>
        </w:rPr>
        <w:t xml:space="preserve">create </w:t>
      </w:r>
      <w:r w:rsidRPr="007757FF">
        <w:rPr>
          <w:color w:val="000000"/>
        </w:rPr>
        <w:t>ambiguity where none exists.  Moreover,</w:t>
      </w:r>
      <w:r w:rsidR="00360548">
        <w:rPr>
          <w:color w:val="000000"/>
        </w:rPr>
        <w:t xml:space="preserve"> </w:t>
      </w:r>
      <w:r w:rsidRPr="007757FF">
        <w:rPr>
          <w:color w:val="000000"/>
        </w:rPr>
        <w:t>nothing in the explicit purpose</w:t>
      </w:r>
      <w:r>
        <w:rPr>
          <w:color w:val="000000"/>
        </w:rPr>
        <w:t xml:space="preserve"> in </w:t>
      </w:r>
      <w:r w:rsidR="00C837D1">
        <w:rPr>
          <w:color w:val="000000"/>
        </w:rPr>
        <w:t>s. </w:t>
      </w:r>
      <w:r>
        <w:rPr>
          <w:color w:val="000000"/>
        </w:rPr>
        <w:t xml:space="preserve">1 of the </w:t>
      </w:r>
      <w:r w:rsidRPr="00532A56">
        <w:rPr>
          <w:i/>
          <w:color w:val="000000"/>
        </w:rPr>
        <w:t>AEPA</w:t>
      </w:r>
      <w:r>
        <w:rPr>
          <w:color w:val="000000"/>
        </w:rPr>
        <w:t xml:space="preserve"> or the clear words of the Minister who introduced the </w:t>
      </w:r>
      <w:r>
        <w:rPr>
          <w:i/>
          <w:color w:val="000000"/>
        </w:rPr>
        <w:t>AEPA</w:t>
      </w:r>
      <w:r>
        <w:rPr>
          <w:color w:val="000000"/>
        </w:rPr>
        <w:t xml:space="preserve"> </w:t>
      </w:r>
      <w:r w:rsidRPr="007757FF">
        <w:rPr>
          <w:color w:val="000000"/>
        </w:rPr>
        <w:t>support</w:t>
      </w:r>
      <w:r>
        <w:rPr>
          <w:color w:val="000000"/>
        </w:rPr>
        <w:t xml:space="preserve"> </w:t>
      </w:r>
      <w:r w:rsidRPr="007757FF">
        <w:rPr>
          <w:color w:val="000000"/>
        </w:rPr>
        <w:t>the view that agricultural employees have a right to require agricultural employers to engage in collective bargaining.</w:t>
      </w:r>
    </w:p>
    <w:p w:rsidR="002F0BFC" w:rsidRDefault="002F0BFC" w:rsidP="00316000">
      <w:pPr>
        <w:pStyle w:val="SCCNormalDoubleSpacing"/>
        <w:tabs>
          <w:tab w:val="left" w:pos="1170"/>
        </w:tabs>
        <w:spacing w:after="480"/>
      </w:pPr>
      <w:r>
        <w:lastRenderedPageBreak/>
        <w:tab/>
        <w:t xml:space="preserve">As for the issues under </w:t>
      </w:r>
      <w:r w:rsidR="00C837D1">
        <w:t>s. </w:t>
      </w:r>
      <w:r>
        <w:t xml:space="preserve">15, the category of </w:t>
      </w:r>
      <w:r w:rsidRPr="001D4494">
        <w:t>agricultural worker does not rise to the level of an immutable (or constructively immutable) personal characteristic of the sort that would merit protection against discrimination under s.</w:t>
      </w:r>
      <w:r w:rsidR="00134D22">
        <w:t> </w:t>
      </w:r>
      <w:r w:rsidRPr="001D4494">
        <w:t xml:space="preserve">15. </w:t>
      </w:r>
    </w:p>
    <w:p w:rsidR="002F0BFC" w:rsidRDefault="002F0BFC" w:rsidP="00316000">
      <w:pPr>
        <w:pStyle w:val="SCCNormalDoubleSpacing"/>
        <w:tabs>
          <w:tab w:val="left" w:pos="1170"/>
        </w:tabs>
        <w:spacing w:after="480"/>
      </w:pPr>
      <w:r>
        <w:rPr>
          <w:i/>
        </w:rPr>
        <w:tab/>
        <w:t>Per</w:t>
      </w:r>
      <w:r w:rsidR="003762FF">
        <w:t xml:space="preserve"> </w:t>
      </w:r>
      <w:r w:rsidR="003762FF" w:rsidRPr="009C4F6B">
        <w:t>Deschamps</w:t>
      </w:r>
      <w:r w:rsidR="003762FF">
        <w:t> </w:t>
      </w:r>
      <w:r>
        <w:t>J.</w:t>
      </w:r>
      <w:r w:rsidR="003162CC">
        <w:t>:</w:t>
      </w:r>
      <w:r w:rsidR="00360548">
        <w:t xml:space="preserve"> </w:t>
      </w:r>
      <w:r w:rsidR="003762FF">
        <w:t xml:space="preserve"> </w:t>
      </w:r>
      <w:r w:rsidRPr="00AF490E">
        <w:t xml:space="preserve">The holding in </w:t>
      </w:r>
      <w:r w:rsidRPr="00AF490E">
        <w:rPr>
          <w:i/>
        </w:rPr>
        <w:t>Health Services</w:t>
      </w:r>
      <w:r w:rsidRPr="00AF490E">
        <w:t xml:space="preserve"> does not have the broad scope being attributed to it by the majority in the case at bar.</w:t>
      </w:r>
      <w:r w:rsidR="00360548">
        <w:t xml:space="preserve">  </w:t>
      </w:r>
      <w:r>
        <w:rPr>
          <w:color w:val="000000"/>
        </w:rPr>
        <w:t>T</w:t>
      </w:r>
      <w:r w:rsidRPr="007A0773">
        <w:rPr>
          <w:color w:val="000000"/>
        </w:rPr>
        <w:t>he issue</w:t>
      </w:r>
      <w:r w:rsidR="00360548">
        <w:rPr>
          <w:color w:val="000000"/>
        </w:rPr>
        <w:t xml:space="preserve"> </w:t>
      </w:r>
      <w:r>
        <w:rPr>
          <w:color w:val="000000"/>
        </w:rPr>
        <w:t>here</w:t>
      </w:r>
      <w:r w:rsidR="00360548">
        <w:rPr>
          <w:color w:val="000000"/>
        </w:rPr>
        <w:t xml:space="preserve"> </w:t>
      </w:r>
      <w:r>
        <w:rPr>
          <w:color w:val="000000"/>
        </w:rPr>
        <w:t>i</w:t>
      </w:r>
      <w:r w:rsidRPr="007A0773">
        <w:rPr>
          <w:color w:val="000000"/>
        </w:rPr>
        <w:t>s not,</w:t>
      </w:r>
      <w:r w:rsidR="00360548">
        <w:rPr>
          <w:color w:val="000000"/>
        </w:rPr>
        <w:t xml:space="preserve"> </w:t>
      </w:r>
      <w:r w:rsidRPr="007A0773">
        <w:rPr>
          <w:color w:val="000000"/>
        </w:rPr>
        <w:t xml:space="preserve">whether </w:t>
      </w:r>
      <w:r w:rsidRPr="00316000">
        <w:t>the</w:t>
      </w:r>
      <w:r w:rsidRPr="007A0773">
        <w:rPr>
          <w:color w:val="000000"/>
        </w:rPr>
        <w:t xml:space="preserve"> </w:t>
      </w:r>
      <w:r>
        <w:rPr>
          <w:i/>
          <w:color w:val="000000"/>
        </w:rPr>
        <w:t>AEPA</w:t>
      </w:r>
      <w:r>
        <w:rPr>
          <w:color w:val="000000"/>
        </w:rPr>
        <w:t xml:space="preserve"> </w:t>
      </w:r>
      <w:r w:rsidRPr="007A0773">
        <w:rPr>
          <w:color w:val="000000"/>
        </w:rPr>
        <w:t>provides a process that satisfies</w:t>
      </w:r>
      <w:r>
        <w:rPr>
          <w:color w:val="000000"/>
        </w:rPr>
        <w:t xml:space="preserve"> </w:t>
      </w:r>
      <w:r w:rsidRPr="007A0773">
        <w:rPr>
          <w:color w:val="000000"/>
        </w:rPr>
        <w:t xml:space="preserve">the right of an employees’ association to make representations to the employer and have its views considered in good faith.  The duty to act in good faith is part and parcel of a web of statutory components. </w:t>
      </w:r>
      <w:r w:rsidR="00C837D1">
        <w:rPr>
          <w:color w:val="000000"/>
        </w:rPr>
        <w:t xml:space="preserve"> </w:t>
      </w:r>
      <w:r w:rsidRPr="007A0773">
        <w:rPr>
          <w:color w:val="000000"/>
        </w:rPr>
        <w:t>It should not be found to be a constitutional requirement in the instant case.</w:t>
      </w:r>
      <w:r w:rsidR="00360548">
        <w:rPr>
          <w:color w:val="000000"/>
        </w:rPr>
        <w:t xml:space="preserve">  </w:t>
      </w:r>
      <w:r>
        <w:t xml:space="preserve">The expanded definition of </w:t>
      </w:r>
      <w:r w:rsidRPr="00A3667A">
        <w:t xml:space="preserve">freedom of association that resulted from </w:t>
      </w:r>
      <w:r w:rsidRPr="00A3667A">
        <w:rPr>
          <w:i/>
        </w:rPr>
        <w:t>Health Services</w:t>
      </w:r>
      <w:r w:rsidRPr="00A3667A">
        <w:t xml:space="preserve"> has no bearing on the protection the Ontario legislature must provide to agricultural workers.  </w:t>
      </w:r>
    </w:p>
    <w:p w:rsidR="002F0BFC" w:rsidRPr="00CB0A3F" w:rsidRDefault="002F0BFC" w:rsidP="00316000">
      <w:pPr>
        <w:pStyle w:val="SCCNormalDoubleSpacing"/>
        <w:tabs>
          <w:tab w:val="left" w:pos="1170"/>
        </w:tabs>
        <w:spacing w:after="480"/>
      </w:pPr>
      <w:r>
        <w:tab/>
      </w:r>
      <w:r w:rsidRPr="00CB0A3F">
        <w:t xml:space="preserve">The effect of </w:t>
      </w:r>
      <w:r w:rsidRPr="00CB0A3F">
        <w:rPr>
          <w:i/>
        </w:rPr>
        <w:t>Health Services</w:t>
      </w:r>
      <w:r w:rsidRPr="00CB0A3F">
        <w:t xml:space="preserve"> is that freedom of association includes the freedom to engage in associational activities and the ability of employees to act in common to reach shared goals related to workplace issues and terms of employment.  This </w:t>
      </w:r>
      <w:r w:rsidRPr="00316000">
        <w:t>delineation</w:t>
      </w:r>
      <w:r w:rsidRPr="00CB0A3F">
        <w:t xml:space="preserve"> of the scope of freedom of association does not entail a more expansive protection than </w:t>
      </w:r>
      <w:r w:rsidRPr="00CB0A3F">
        <w:rPr>
          <w:color w:val="000000"/>
        </w:rPr>
        <w:t xml:space="preserve">the legislative framework </w:t>
      </w:r>
      <w:r w:rsidRPr="00CB0A3F">
        <w:t xml:space="preserve">mandated by </w:t>
      </w:r>
      <w:r w:rsidRPr="00CB0A3F">
        <w:rPr>
          <w:i/>
        </w:rPr>
        <w:t xml:space="preserve">Dunmore </w:t>
      </w:r>
      <w:r w:rsidRPr="00CB0A3F">
        <w:t xml:space="preserve">for the agricultural workers.  </w:t>
      </w:r>
      <w:r>
        <w:t>T</w:t>
      </w:r>
      <w:r w:rsidRPr="00CB0A3F">
        <w:t xml:space="preserve">he </w:t>
      </w:r>
      <w:r w:rsidRPr="00D9746F">
        <w:rPr>
          <w:i/>
        </w:rPr>
        <w:t xml:space="preserve">AEPA </w:t>
      </w:r>
      <w:r w:rsidRPr="00CB0A3F">
        <w:t xml:space="preserve">complies with this Court’s conclusion in </w:t>
      </w:r>
      <w:r w:rsidRPr="00CB0A3F">
        <w:rPr>
          <w:i/>
        </w:rPr>
        <w:t>Dunmore</w:t>
      </w:r>
      <w:r>
        <w:t xml:space="preserve"> and it complies </w:t>
      </w:r>
      <w:r w:rsidRPr="00CB0A3F">
        <w:t xml:space="preserve">with the </w:t>
      </w:r>
      <w:r w:rsidRPr="00CB0A3F">
        <w:rPr>
          <w:i/>
        </w:rPr>
        <w:t>Charter</w:t>
      </w:r>
      <w:r w:rsidRPr="00CB0A3F">
        <w:t xml:space="preserve">. </w:t>
      </w:r>
    </w:p>
    <w:p w:rsidR="002F0BFC" w:rsidRPr="00A3667A" w:rsidRDefault="002F0BFC" w:rsidP="00316000">
      <w:pPr>
        <w:pStyle w:val="SCCNormalDoubleSpacing"/>
        <w:tabs>
          <w:tab w:val="left" w:pos="1170"/>
        </w:tabs>
        <w:spacing w:after="480"/>
        <w:rPr>
          <w:lang w:val="en-US"/>
        </w:rPr>
      </w:pPr>
      <w:r>
        <w:rPr>
          <w:lang w:val="en-US"/>
        </w:rPr>
        <w:tab/>
      </w:r>
      <w:r>
        <w:t>E</w:t>
      </w:r>
      <w:r w:rsidRPr="00A3667A">
        <w:t xml:space="preserve">ven though labour law provides tools that help reduce economic inequality, not all aspects of labour law are protected by the </w:t>
      </w:r>
      <w:r w:rsidRPr="00A3667A">
        <w:rPr>
          <w:i/>
        </w:rPr>
        <w:t>Charter</w:t>
      </w:r>
      <w:r w:rsidRPr="00A3667A">
        <w:t>.</w:t>
      </w:r>
      <w:r w:rsidR="00360548">
        <w:t xml:space="preserve">  </w:t>
      </w:r>
      <w:r>
        <w:rPr>
          <w:lang w:val="en-US"/>
        </w:rPr>
        <w:t>E</w:t>
      </w:r>
      <w:r w:rsidRPr="00A3667A">
        <w:t xml:space="preserve">conomic </w:t>
      </w:r>
      <w:r w:rsidRPr="00A3667A">
        <w:lastRenderedPageBreak/>
        <w:t>equality is not an “equal</w:t>
      </w:r>
      <w:r w:rsidR="00C837D1">
        <w:t>ity right” for the purposes of s. </w:t>
      </w:r>
      <w:r w:rsidRPr="00A3667A">
        <w:t xml:space="preserve">15 of the </w:t>
      </w:r>
      <w:r w:rsidRPr="00A3667A">
        <w:rPr>
          <w:i/>
        </w:rPr>
        <w:t>Charter</w:t>
      </w:r>
      <w:r>
        <w:t>.</w:t>
      </w:r>
      <w:r w:rsidR="00360548">
        <w:t xml:space="preserve">  </w:t>
      </w:r>
      <w:r w:rsidRPr="00A3667A">
        <w:rPr>
          <w:i/>
        </w:rPr>
        <w:t xml:space="preserve">Dunmore </w:t>
      </w:r>
      <w:r>
        <w:t xml:space="preserve">was </w:t>
      </w:r>
      <w:r w:rsidRPr="00A3667A">
        <w:rPr>
          <w:lang w:eastAsia="fr-CA"/>
        </w:rPr>
        <w:t xml:space="preserve">based on the notion that the </w:t>
      </w:r>
      <w:r w:rsidRPr="00A3667A">
        <w:rPr>
          <w:i/>
          <w:lang w:eastAsia="fr-CA"/>
        </w:rPr>
        <w:t>Charter</w:t>
      </w:r>
      <w:r w:rsidRPr="00A3667A">
        <w:rPr>
          <w:lang w:eastAsia="fr-CA"/>
        </w:rPr>
        <w:t xml:space="preserve"> does not </w:t>
      </w:r>
      <w:r>
        <w:rPr>
          <w:lang w:eastAsia="fr-CA"/>
        </w:rPr>
        <w:t xml:space="preserve">ordinarily </w:t>
      </w:r>
      <w:r w:rsidRPr="00A3667A">
        <w:rPr>
          <w:lang w:eastAsia="fr-CA"/>
        </w:rPr>
        <w:t xml:space="preserve">oblige the </w:t>
      </w:r>
      <w:r>
        <w:rPr>
          <w:lang w:eastAsia="fr-CA"/>
        </w:rPr>
        <w:t>government</w:t>
      </w:r>
      <w:r w:rsidRPr="00A3667A">
        <w:rPr>
          <w:lang w:eastAsia="fr-CA"/>
        </w:rPr>
        <w:t xml:space="preserve"> to take </w:t>
      </w:r>
      <w:r w:rsidRPr="00A3667A">
        <w:t>action</w:t>
      </w:r>
      <w:r w:rsidRPr="00A3667A">
        <w:rPr>
          <w:lang w:eastAsia="fr-CA"/>
        </w:rPr>
        <w:t xml:space="preserve"> to facilitate the exercise of a fundamental freedom. </w:t>
      </w:r>
      <w:r w:rsidR="000C250E">
        <w:rPr>
          <w:lang w:eastAsia="fr-CA"/>
        </w:rPr>
        <w:t xml:space="preserve"> </w:t>
      </w:r>
      <w:r>
        <w:rPr>
          <w:lang w:eastAsia="fr-CA"/>
        </w:rPr>
        <w:t>Recognition was given to</w:t>
      </w:r>
      <w:r w:rsidRPr="00A3667A">
        <w:rPr>
          <w:lang w:eastAsia="fr-CA"/>
        </w:rPr>
        <w:t xml:space="preserve"> the dichotomy between positive and negative rights. </w:t>
      </w:r>
      <w:r w:rsidR="00C837D1">
        <w:rPr>
          <w:lang w:eastAsia="fr-CA"/>
        </w:rPr>
        <w:t xml:space="preserve"> </w:t>
      </w:r>
      <w:r w:rsidRPr="00A3667A">
        <w:rPr>
          <w:lang w:eastAsia="fr-CA"/>
        </w:rPr>
        <w:t xml:space="preserve">To </w:t>
      </w:r>
      <w:r>
        <w:rPr>
          <w:lang w:eastAsia="fr-CA"/>
        </w:rPr>
        <w:t xml:space="preserve">get around </w:t>
      </w:r>
      <w:r w:rsidRPr="00A3667A">
        <w:rPr>
          <w:lang w:eastAsia="fr-CA"/>
        </w:rPr>
        <w:t>the general rule, a</w:t>
      </w:r>
      <w:r w:rsidR="00360548">
        <w:rPr>
          <w:lang w:eastAsia="fr-CA"/>
        </w:rPr>
        <w:t xml:space="preserve"> </w:t>
      </w:r>
      <w:r w:rsidRPr="00A3667A">
        <w:rPr>
          <w:lang w:eastAsia="fr-CA"/>
        </w:rPr>
        <w:t xml:space="preserve">framework was established for cases </w:t>
      </w:r>
      <w:r>
        <w:rPr>
          <w:lang w:eastAsia="fr-CA"/>
        </w:rPr>
        <w:t xml:space="preserve">in which </w:t>
      </w:r>
      <w:r w:rsidRPr="00A3667A">
        <w:rPr>
          <w:lang w:eastAsia="fr-CA"/>
        </w:rPr>
        <w:t xml:space="preserve">the vulnerability of a group justified resorting to </w:t>
      </w:r>
      <w:r>
        <w:rPr>
          <w:lang w:eastAsia="fr-CA"/>
        </w:rPr>
        <w:t xml:space="preserve">government </w:t>
      </w:r>
      <w:r w:rsidRPr="00A3667A">
        <w:rPr>
          <w:lang w:eastAsia="fr-CA"/>
        </w:rPr>
        <w:t xml:space="preserve">support.  </w:t>
      </w:r>
    </w:p>
    <w:p w:rsidR="002F0BFC" w:rsidRDefault="002F0BFC" w:rsidP="00316000">
      <w:pPr>
        <w:pStyle w:val="SCCNormalDoubleSpacing"/>
        <w:tabs>
          <w:tab w:val="left" w:pos="1170"/>
        </w:tabs>
        <w:spacing w:after="480"/>
        <w:rPr>
          <w:lang w:val="en-US"/>
        </w:rPr>
      </w:pPr>
      <w:r>
        <w:rPr>
          <w:lang w:val="en-US"/>
        </w:rPr>
        <w:tab/>
      </w:r>
      <w:r w:rsidRPr="00A3667A">
        <w:t>To redress economic inequality, it would be more faithful to the design of the</w:t>
      </w:r>
      <w:r w:rsidRPr="00A3667A">
        <w:rPr>
          <w:i/>
        </w:rPr>
        <w:t xml:space="preserve"> Charter</w:t>
      </w:r>
      <w:r w:rsidRPr="00A3667A">
        <w:t xml:space="preserve"> to open the door to the recognition of more analogous grounds under </w:t>
      </w:r>
      <w:r w:rsidR="00C837D1">
        <w:t>s. </w:t>
      </w:r>
      <w:r w:rsidRPr="00A3667A">
        <w:t>15.</w:t>
      </w:r>
      <w:r w:rsidR="00360548">
        <w:t xml:space="preserve">  </w:t>
      </w:r>
      <w:r>
        <w:t xml:space="preserve">Each </w:t>
      </w:r>
      <w:r w:rsidRPr="00A3667A">
        <w:rPr>
          <w:i/>
          <w:color w:val="000000"/>
        </w:rPr>
        <w:t>Charter</w:t>
      </w:r>
      <w:r w:rsidRPr="00A3667A">
        <w:rPr>
          <w:color w:val="000000"/>
        </w:rPr>
        <w:t xml:space="preserve"> protection</w:t>
      </w:r>
      <w:r>
        <w:rPr>
          <w:color w:val="000000"/>
        </w:rPr>
        <w:t xml:space="preserve"> </w:t>
      </w:r>
      <w:r w:rsidRPr="00A3667A">
        <w:rPr>
          <w:color w:val="000000"/>
        </w:rPr>
        <w:t>should</w:t>
      </w:r>
      <w:r w:rsidR="00360548">
        <w:rPr>
          <w:color w:val="000000"/>
        </w:rPr>
        <w:t xml:space="preserve"> </w:t>
      </w:r>
      <w:r>
        <w:rPr>
          <w:color w:val="000000"/>
        </w:rPr>
        <w:t>not</w:t>
      </w:r>
      <w:r w:rsidR="00360548">
        <w:rPr>
          <w:color w:val="000000"/>
        </w:rPr>
        <w:t xml:space="preserve"> </w:t>
      </w:r>
      <w:r w:rsidRPr="00A3667A">
        <w:rPr>
          <w:color w:val="000000"/>
        </w:rPr>
        <w:t xml:space="preserve">be interpreted in a formalistic manner. </w:t>
      </w:r>
      <w:r w:rsidR="000C250E">
        <w:rPr>
          <w:color w:val="000000"/>
        </w:rPr>
        <w:t xml:space="preserve"> </w:t>
      </w:r>
      <w:r w:rsidRPr="00A3667A">
        <w:rPr>
          <w:color w:val="000000"/>
        </w:rPr>
        <w:t xml:space="preserve">Rather, if the law needs to move away from </w:t>
      </w:r>
      <w:r w:rsidRPr="00A3667A">
        <w:rPr>
          <w:i/>
          <w:color w:val="000000"/>
        </w:rPr>
        <w:t>Dunmore</w:t>
      </w:r>
      <w:r w:rsidRPr="00A3667A">
        <w:rPr>
          <w:color w:val="000000"/>
        </w:rPr>
        <w:t xml:space="preserve">’s distinction between positive and negative rights, this should not be accomplished by conflating freedom of association with the right to equality or any other </w:t>
      </w:r>
      <w:r w:rsidRPr="00A3667A">
        <w:rPr>
          <w:i/>
          <w:color w:val="000000"/>
        </w:rPr>
        <w:t>Charter</w:t>
      </w:r>
      <w:r w:rsidRPr="00A3667A">
        <w:rPr>
          <w:color w:val="000000"/>
        </w:rPr>
        <w:t xml:space="preserve"> right that may be asserted by a litigant. </w:t>
      </w:r>
      <w:r>
        <w:rPr>
          <w:color w:val="000000"/>
        </w:rPr>
        <w:t xml:space="preserve"> An analysis based on principles grounding the protection of rights and freedoms offers a better prospect of judicial consistency than one based on the more amorphous notion of “Canadian values”.</w:t>
      </w:r>
    </w:p>
    <w:p w:rsidR="00C558A8" w:rsidRDefault="00653395" w:rsidP="00316000">
      <w:pPr>
        <w:pStyle w:val="SCCNormalDoubleSpacing"/>
        <w:tabs>
          <w:tab w:val="left" w:pos="1170"/>
        </w:tabs>
        <w:spacing w:after="480"/>
        <w:rPr>
          <w:lang w:val="en-US"/>
        </w:rPr>
      </w:pPr>
      <w:r>
        <w:rPr>
          <w:lang w:val="en-US"/>
        </w:rPr>
        <w:tab/>
      </w:r>
      <w:r w:rsidR="008971EA">
        <w:rPr>
          <w:i/>
        </w:rPr>
        <w:t xml:space="preserve">Per </w:t>
      </w:r>
      <w:r w:rsidR="003762FF" w:rsidRPr="009C4F6B">
        <w:t>Abella</w:t>
      </w:r>
      <w:r w:rsidR="003762FF">
        <w:t> </w:t>
      </w:r>
      <w:r w:rsidR="008971EA">
        <w:t>J. (dissenting)</w:t>
      </w:r>
      <w:r w:rsidR="003162CC">
        <w:t xml:space="preserve">: </w:t>
      </w:r>
      <w:r w:rsidR="008971EA">
        <w:t xml:space="preserve"> </w:t>
      </w:r>
      <w:r w:rsidR="00C558A8" w:rsidRPr="00426E76">
        <w:rPr>
          <w:lang w:val="en-US"/>
        </w:rPr>
        <w:t xml:space="preserve">The </w:t>
      </w:r>
      <w:r w:rsidR="00C558A8" w:rsidRPr="00E53841">
        <w:rPr>
          <w:i/>
          <w:lang w:val="en-US"/>
        </w:rPr>
        <w:t>AEPA</w:t>
      </w:r>
      <w:r w:rsidR="00C558A8" w:rsidRPr="00426E76">
        <w:rPr>
          <w:lang w:val="en-US"/>
        </w:rPr>
        <w:t xml:space="preserve"> violates </w:t>
      </w:r>
      <w:r w:rsidR="00C837D1">
        <w:rPr>
          <w:lang w:val="en-US"/>
        </w:rPr>
        <w:t>s. </w:t>
      </w:r>
      <w:r w:rsidR="00C558A8">
        <w:rPr>
          <w:lang w:val="en-US"/>
        </w:rPr>
        <w:t>2(</w:t>
      </w:r>
      <w:r w:rsidR="00C558A8" w:rsidRPr="00475A0D">
        <w:rPr>
          <w:i/>
          <w:lang w:val="en-US"/>
        </w:rPr>
        <w:t>d</w:t>
      </w:r>
      <w:r w:rsidR="00C558A8">
        <w:rPr>
          <w:lang w:val="en-US"/>
        </w:rPr>
        <w:t xml:space="preserve">) of the </w:t>
      </w:r>
      <w:r w:rsidR="00C558A8" w:rsidRPr="00EA0CFB">
        <w:rPr>
          <w:i/>
          <w:lang w:val="en-US"/>
        </w:rPr>
        <w:t>Charter</w:t>
      </w:r>
      <w:r w:rsidR="00C558A8">
        <w:rPr>
          <w:lang w:val="en-US"/>
        </w:rPr>
        <w:t xml:space="preserve"> because it does not protect, and was never intended to protect, collective bargaining rights.  The </w:t>
      </w:r>
      <w:r w:rsidR="00C558A8" w:rsidRPr="00EA0CFB">
        <w:rPr>
          <w:i/>
          <w:lang w:val="en-US"/>
        </w:rPr>
        <w:t>AEPA</w:t>
      </w:r>
      <w:r w:rsidR="00C558A8">
        <w:rPr>
          <w:lang w:val="en-US"/>
        </w:rPr>
        <w:t xml:space="preserve">, enacted in 2002, was the government’s good faith implementation of this Court’s 2001 decision in </w:t>
      </w:r>
      <w:r w:rsidR="00C558A8" w:rsidRPr="007D13B5">
        <w:rPr>
          <w:i/>
          <w:lang w:val="en-US"/>
        </w:rPr>
        <w:t>Dunmore</w:t>
      </w:r>
      <w:r w:rsidR="00C558A8">
        <w:rPr>
          <w:lang w:val="en-US"/>
        </w:rPr>
        <w:t xml:space="preserve">, which defined the scope of </w:t>
      </w:r>
      <w:r w:rsidR="00C837D1">
        <w:rPr>
          <w:lang w:val="en-US"/>
        </w:rPr>
        <w:t>s. </w:t>
      </w:r>
      <w:r w:rsidR="00C558A8">
        <w:rPr>
          <w:lang w:val="en-US"/>
        </w:rPr>
        <w:t>2(</w:t>
      </w:r>
      <w:r w:rsidR="00C558A8" w:rsidRPr="00475A0D">
        <w:rPr>
          <w:i/>
          <w:lang w:val="en-US"/>
        </w:rPr>
        <w:t>d</w:t>
      </w:r>
      <w:r w:rsidR="00C558A8">
        <w:rPr>
          <w:lang w:val="en-US"/>
        </w:rPr>
        <w:t xml:space="preserve">) as being the right to organize and make representations.  </w:t>
      </w:r>
      <w:r w:rsidR="00C558A8" w:rsidRPr="00EA0CFB">
        <w:rPr>
          <w:i/>
          <w:lang w:val="en-US"/>
        </w:rPr>
        <w:t>Health Services</w:t>
      </w:r>
      <w:r w:rsidR="00C558A8" w:rsidRPr="00E725BF">
        <w:rPr>
          <w:lang w:val="en-US"/>
        </w:rPr>
        <w:t xml:space="preserve">, </w:t>
      </w:r>
      <w:r w:rsidR="00C558A8">
        <w:rPr>
          <w:lang w:val="en-US"/>
        </w:rPr>
        <w:t xml:space="preserve">decided in 2007, expanded that scope to include protection for a process of collective bargaining, </w:t>
      </w:r>
      <w:r w:rsidR="00C558A8">
        <w:rPr>
          <w:lang w:val="en-US"/>
        </w:rPr>
        <w:lastRenderedPageBreak/>
        <w:t xml:space="preserve">including the duty to consult and negotiate in good faith.  The applicable legal principles are therefore those set out in </w:t>
      </w:r>
      <w:r w:rsidR="00C558A8" w:rsidRPr="00EA0CFB">
        <w:rPr>
          <w:i/>
          <w:lang w:val="en-US"/>
        </w:rPr>
        <w:t>Health Services</w:t>
      </w:r>
      <w:r w:rsidR="00C558A8">
        <w:rPr>
          <w:lang w:val="en-US"/>
        </w:rPr>
        <w:t xml:space="preserve"> and the </w:t>
      </w:r>
      <w:r w:rsidR="00C558A8" w:rsidRPr="00EA0CFB">
        <w:rPr>
          <w:i/>
          <w:lang w:val="en-US"/>
        </w:rPr>
        <w:t>AEPA</w:t>
      </w:r>
      <w:r w:rsidR="00C558A8">
        <w:rPr>
          <w:lang w:val="en-US"/>
        </w:rPr>
        <w:t xml:space="preserve"> must be assessed against the revised constitutional standard.</w:t>
      </w:r>
    </w:p>
    <w:p w:rsidR="00F02F88" w:rsidRDefault="00F02F88" w:rsidP="00316000">
      <w:pPr>
        <w:pStyle w:val="SCCNormalDoubleSpacing"/>
        <w:tabs>
          <w:tab w:val="left" w:pos="1170"/>
        </w:tabs>
        <w:spacing w:after="480"/>
        <w:rPr>
          <w:lang w:val="en-US"/>
        </w:rPr>
      </w:pPr>
      <w:r>
        <w:rPr>
          <w:lang w:val="en-US"/>
        </w:rPr>
        <w:tab/>
      </w:r>
      <w:r w:rsidR="00C558A8">
        <w:rPr>
          <w:lang w:val="en-US"/>
        </w:rPr>
        <w:t xml:space="preserve">The </w:t>
      </w:r>
      <w:r w:rsidR="00C558A8" w:rsidRPr="00EA0CFB">
        <w:rPr>
          <w:i/>
          <w:lang w:val="en-US"/>
        </w:rPr>
        <w:t>AEPA</w:t>
      </w:r>
      <w:r w:rsidR="00C558A8">
        <w:rPr>
          <w:lang w:val="en-US"/>
        </w:rPr>
        <w:t xml:space="preserve"> has virtually no language that indicates protection for a process of collective bargaining.  It requires only that an employer “listen” if representations are made orally, or, if made in writing, “acknowledge” that the representations have been read.  No response, discussions, or negotiations are required.  Moreover, when the legislation was introduced, the government’s intention to exclude any protection for collective bargaining rights from the legislation was unequivocally expressed by the Minister of Agriculture and Food.  This clarity of statutory language and legislative intent cannot be converted by the interpretive process into a completely different scheme.</w:t>
      </w:r>
    </w:p>
    <w:p w:rsidR="00C558A8" w:rsidRDefault="00F02F88" w:rsidP="00316000">
      <w:pPr>
        <w:pStyle w:val="SCCNormalDoubleSpacing"/>
        <w:tabs>
          <w:tab w:val="left" w:pos="1170"/>
        </w:tabs>
        <w:spacing w:after="480"/>
        <w:rPr>
          <w:lang w:val="en-US"/>
        </w:rPr>
      </w:pPr>
      <w:r>
        <w:rPr>
          <w:lang w:val="en-US"/>
        </w:rPr>
        <w:tab/>
      </w:r>
      <w:r w:rsidR="00C558A8">
        <w:rPr>
          <w:lang w:val="en-US"/>
        </w:rPr>
        <w:t xml:space="preserve">For agricultural workers, the meaningful exercise of the right to collective bargaining requires two additional components.  The first is a statutory enforcement mechanism with a mandate to resolve bargaining disputes.  Since it is not a contravention of the </w:t>
      </w:r>
      <w:r w:rsidR="00C558A8" w:rsidRPr="00B61180">
        <w:rPr>
          <w:i/>
          <w:lang w:val="en-US"/>
        </w:rPr>
        <w:t>AEPA</w:t>
      </w:r>
      <w:r w:rsidR="00C558A8">
        <w:rPr>
          <w:lang w:val="en-US"/>
        </w:rPr>
        <w:t xml:space="preserve"> to refuse to engage in a good faith process to make reasonable efforts to arrive at a collective agreement, the Tribunal is without jurisdiction to grant a remedy for any violations of </w:t>
      </w:r>
      <w:r w:rsidR="00C837D1">
        <w:rPr>
          <w:lang w:val="en-US"/>
        </w:rPr>
        <w:t>s. </w:t>
      </w:r>
      <w:r w:rsidR="00C558A8">
        <w:rPr>
          <w:lang w:val="en-US"/>
        </w:rPr>
        <w:t>2(</w:t>
      </w:r>
      <w:r w:rsidR="00C558A8" w:rsidRPr="00475A0D">
        <w:rPr>
          <w:i/>
          <w:lang w:val="en-US"/>
        </w:rPr>
        <w:t>d</w:t>
      </w:r>
      <w:r w:rsidR="00C558A8">
        <w:rPr>
          <w:lang w:val="en-US"/>
        </w:rPr>
        <w:t xml:space="preserve">) rights.  The second essential element is a requirement that the employer bargain only with the representative selected by a majority of the employees in the bargaining unit.  This concept, known as majoritarian exclusivity, has been a central and defining principle </w:t>
      </w:r>
      <w:r w:rsidR="00C558A8">
        <w:rPr>
          <w:lang w:val="en-US"/>
        </w:rPr>
        <w:lastRenderedPageBreak/>
        <w:t>of labour relations in Canada since 1944.  Given the singular employment disadvantage of agricultural workers, the absence of statutory protection for exclusivity effectively nullifies the ability of agricultural workers to have a unified and therefore more cogent voice in attempting to mitigate and ameliorate their working conditions.</w:t>
      </w:r>
    </w:p>
    <w:p w:rsidR="00F02F88" w:rsidRDefault="00C558A8" w:rsidP="00316000">
      <w:pPr>
        <w:pStyle w:val="SCCNormalDoubleSpacing"/>
        <w:tabs>
          <w:tab w:val="left" w:pos="1170"/>
        </w:tabs>
        <w:spacing w:after="480"/>
      </w:pPr>
      <w:r w:rsidRPr="00426E76">
        <w:rPr>
          <w:lang w:val="en-US"/>
        </w:rPr>
        <w:tab/>
      </w:r>
      <w:r w:rsidRPr="00C1537F">
        <w:t>The absence of these statutory protections</w:t>
      </w:r>
      <w:r>
        <w:t xml:space="preserve"> </w:t>
      </w:r>
      <w:r w:rsidRPr="00C1537F">
        <w:t>cannot</w:t>
      </w:r>
      <w:r>
        <w:t xml:space="preserve"> </w:t>
      </w:r>
      <w:r w:rsidRPr="00C1537F">
        <w:t xml:space="preserve">be justified under </w:t>
      </w:r>
      <w:r w:rsidR="00C837D1">
        <w:t>s. </w:t>
      </w:r>
      <w:r w:rsidRPr="00C1537F">
        <w:t xml:space="preserve">1 of the </w:t>
      </w:r>
      <w:r w:rsidRPr="00DF2A6B">
        <w:rPr>
          <w:i/>
        </w:rPr>
        <w:t>Charter</w:t>
      </w:r>
      <w:r w:rsidRPr="00C1537F">
        <w:t>.</w:t>
      </w:r>
      <w:r w:rsidR="00660678">
        <w:t xml:space="preserve">  </w:t>
      </w:r>
      <w:r>
        <w:t>T</w:t>
      </w:r>
      <w:r w:rsidRPr="00C1537F">
        <w:t>he objectives of the rights limitation</w:t>
      </w:r>
      <w:r>
        <w:t xml:space="preserve"> — the failure to provide agricultural workers with the necessary statutory protections to exercise the right to bargain collectively — </w:t>
      </w:r>
      <w:r w:rsidRPr="00C1537F">
        <w:t>were to protect the family farm and farm production/viability.</w:t>
      </w:r>
      <w:r>
        <w:t xml:space="preserve">  The minimal impairment branch of the </w:t>
      </w:r>
      <w:r w:rsidRPr="00AD7868">
        <w:rPr>
          <w:i/>
        </w:rPr>
        <w:t>Oakes</w:t>
      </w:r>
      <w:r>
        <w:t xml:space="preserve"> test is determinative in this case.  T</w:t>
      </w:r>
      <w:r w:rsidRPr="00C60FEB">
        <w:t xml:space="preserve">he complete absence of any statutory protection for a process of collective bargaining in the </w:t>
      </w:r>
      <w:r>
        <w:rPr>
          <w:i/>
        </w:rPr>
        <w:t xml:space="preserve">AEPA </w:t>
      </w:r>
      <w:r w:rsidRPr="00C60FEB">
        <w:t xml:space="preserve">cannot be said to be minimally impairing of the </w:t>
      </w:r>
      <w:r w:rsidR="00C837D1">
        <w:t>s. </w:t>
      </w:r>
      <w:r w:rsidRPr="00C60FEB">
        <w:t>2(</w:t>
      </w:r>
      <w:r w:rsidRPr="00DF2A6B">
        <w:rPr>
          <w:i/>
        </w:rPr>
        <w:t>d</w:t>
      </w:r>
      <w:r w:rsidRPr="00C60FEB">
        <w:t>) right.</w:t>
      </w:r>
      <w:r>
        <w:t xml:space="preserve">  The rights limitation is not even remotely tailored to either government objective; it is, in fact, not tailored at all.</w:t>
      </w:r>
      <w:r w:rsidR="00660678">
        <w:t xml:space="preserve">  </w:t>
      </w:r>
      <w:proofErr w:type="gramStart"/>
      <w:r w:rsidRPr="00C1537F">
        <w:t xml:space="preserve">Preventing </w:t>
      </w:r>
      <w:r w:rsidRPr="006172FF">
        <w:t>all</w:t>
      </w:r>
      <w:r w:rsidRPr="00DF2A6B">
        <w:t xml:space="preserve"> </w:t>
      </w:r>
      <w:r w:rsidRPr="00C1537F">
        <w:t xml:space="preserve">agricultural workers from access to a process of collective bargaining in order to protect family farms, no matter their size or </w:t>
      </w:r>
      <w:r>
        <w:t>nature of the agricultural enterprise,</w:t>
      </w:r>
      <w:r w:rsidR="00F02F88">
        <w:t xml:space="preserve"> harms the s. </w:t>
      </w:r>
      <w:r w:rsidRPr="00C1537F">
        <w:t>2(</w:t>
      </w:r>
      <w:r w:rsidRPr="00DF2A6B">
        <w:rPr>
          <w:i/>
        </w:rPr>
        <w:t>d</w:t>
      </w:r>
      <w:r w:rsidRPr="00C1537F">
        <w:t>) right in its entirety, not minimally.</w:t>
      </w:r>
      <w:proofErr w:type="gramEnd"/>
      <w:r w:rsidR="00660678">
        <w:t xml:space="preserve">  </w:t>
      </w:r>
      <w:r>
        <w:t>It is worth noting too that all provinces except Alberta give agricultural workers the same collective bargaining rights as other employee</w:t>
      </w:r>
      <w:r w:rsidR="000C250E">
        <w:t xml:space="preserve">s. </w:t>
      </w:r>
      <w:r>
        <w:t xml:space="preserve"> There is no evidence that this has harmed the economic viability of farming in those provinces, or that the nature of farming in Ontario uniquely justifies a severely restrictive rights approa</w:t>
      </w:r>
      <w:r w:rsidR="00F02F88">
        <w:t>ch. </w:t>
      </w:r>
    </w:p>
    <w:p w:rsidR="00A149DF" w:rsidRPr="00316000" w:rsidRDefault="002E6705" w:rsidP="00316000">
      <w:pPr>
        <w:pStyle w:val="SCCNormalDoubleSpacing"/>
        <w:keepNext/>
        <w:tabs>
          <w:tab w:val="left" w:pos="1170"/>
        </w:tabs>
        <w:spacing w:after="480"/>
        <w:rPr>
          <w:b/>
        </w:rPr>
      </w:pPr>
      <w:r w:rsidRPr="00316000">
        <w:rPr>
          <w:b/>
        </w:rPr>
        <w:lastRenderedPageBreak/>
        <w:t>Cases Cited</w:t>
      </w:r>
    </w:p>
    <w:p w:rsidR="00522609" w:rsidRDefault="00F02F88" w:rsidP="00316000">
      <w:pPr>
        <w:pStyle w:val="SCCNormalDoubleSpacing"/>
        <w:tabs>
          <w:tab w:val="left" w:pos="1170"/>
        </w:tabs>
        <w:spacing w:after="480"/>
      </w:pPr>
      <w:proofErr w:type="gramStart"/>
      <w:r>
        <w:t>By McLachlin C.J. and LeBel </w:t>
      </w:r>
      <w:r w:rsidR="00522609">
        <w:t>J</w:t>
      </w:r>
      <w:r w:rsidR="00777F5E">
        <w:t>.</w:t>
      </w:r>
      <w:proofErr w:type="gramEnd"/>
    </w:p>
    <w:p w:rsidR="00327E6D" w:rsidRDefault="00AD4253" w:rsidP="00316000">
      <w:pPr>
        <w:pStyle w:val="SCCNormalDoubleSpacing"/>
        <w:tabs>
          <w:tab w:val="left" w:pos="1170"/>
        </w:tabs>
        <w:spacing w:after="480"/>
      </w:pPr>
      <w:r>
        <w:fldChar w:fldCharType="begin"/>
      </w:r>
      <w:r w:rsidR="00327E6D">
        <w:instrText xml:space="preserve"> SEQ CHAPTER \h \r 1</w:instrText>
      </w:r>
      <w:r>
        <w:fldChar w:fldCharType="end"/>
      </w:r>
      <w:r w:rsidR="00327E6D">
        <w:tab/>
      </w:r>
      <w:r w:rsidR="00BB7D97" w:rsidRPr="00BB7D97">
        <w:rPr>
          <w:b/>
        </w:rPr>
        <w:t>Applied:</w:t>
      </w:r>
      <w:r w:rsidR="00BB7D97">
        <w:t xml:space="preserve"> </w:t>
      </w:r>
      <w:r w:rsidR="003762FF">
        <w:t xml:space="preserve"> </w:t>
      </w:r>
      <w:r w:rsidR="00327E6D">
        <w:rPr>
          <w:i/>
          <w:iCs/>
        </w:rPr>
        <w:t>Dunmore v. Ontario (Attorney General)</w:t>
      </w:r>
      <w:r w:rsidR="00327E6D">
        <w:t>, 20</w:t>
      </w:r>
      <w:r w:rsidR="00BB7D97">
        <w:t xml:space="preserve">01 SCC 94, [2001] 3 S.C.R. 1016; </w:t>
      </w:r>
      <w:r w:rsidR="00327E6D">
        <w:rPr>
          <w:i/>
          <w:iCs/>
        </w:rPr>
        <w:t xml:space="preserve">Health Services and Support </w:t>
      </w:r>
      <w:r w:rsidR="00F02F88">
        <w:rPr>
          <w:i/>
          <w:iCs/>
        </w:rPr>
        <w:t>—</w:t>
      </w:r>
      <w:r w:rsidR="00327E6D">
        <w:rPr>
          <w:i/>
          <w:iCs/>
        </w:rPr>
        <w:t xml:space="preserve"> Facilities Subsector Bargaining Assn. v. British Columbia</w:t>
      </w:r>
      <w:r w:rsidR="00327E6D">
        <w:t xml:space="preserve">, 2007 SCC 27, [2007] 2 S.C.R. 391; </w:t>
      </w:r>
      <w:r w:rsidR="00BB7D97" w:rsidRPr="00146D3D">
        <w:rPr>
          <w:b/>
        </w:rPr>
        <w:t>r</w:t>
      </w:r>
      <w:r w:rsidR="00BB7D97">
        <w:rPr>
          <w:b/>
          <w:bCs/>
        </w:rPr>
        <w:t>eferred to:</w:t>
      </w:r>
      <w:r w:rsidR="00BB7D97">
        <w:t>  </w:t>
      </w:r>
      <w:r w:rsidR="00327E6D">
        <w:rPr>
          <w:i/>
          <w:iCs/>
        </w:rPr>
        <w:t>Reference re Public Service Employee Relations Act (Alta.)</w:t>
      </w:r>
      <w:r w:rsidR="00327E6D">
        <w:t xml:space="preserve">, [1987] 1 S.C.R. 313; </w:t>
      </w:r>
      <w:r w:rsidR="00327E6D">
        <w:rPr>
          <w:i/>
          <w:iCs/>
        </w:rPr>
        <w:t>PSAC v. Canada</w:t>
      </w:r>
      <w:r w:rsidR="00327E6D">
        <w:t xml:space="preserve">, [1987] 1 S.C.R. 424; </w:t>
      </w:r>
      <w:r w:rsidR="00327E6D">
        <w:rPr>
          <w:i/>
          <w:iCs/>
        </w:rPr>
        <w:t>RWDSU v. Saskatchewan</w:t>
      </w:r>
      <w:r w:rsidR="00327E6D">
        <w:t xml:space="preserve">, [1987] 1 S.C.R. 460; </w:t>
      </w:r>
      <w:r w:rsidR="006C5A22">
        <w:rPr>
          <w:i/>
          <w:iCs/>
        </w:rPr>
        <w:t>Professional Institute of the Public Service of Canada v. Northwest Territories (Commissioner)</w:t>
      </w:r>
      <w:r w:rsidR="006C5A22">
        <w:t>, [1990] 2 S.C.R. 367</w:t>
      </w:r>
      <w:r w:rsidR="006C5A22" w:rsidRPr="002A257F">
        <w:t xml:space="preserve">; </w:t>
      </w:r>
      <w:r w:rsidR="00327E6D">
        <w:rPr>
          <w:i/>
          <w:iCs/>
        </w:rPr>
        <w:t>Delisle v. Canada (Deputy Attorney General)</w:t>
      </w:r>
      <w:r w:rsidR="00327E6D">
        <w:t xml:space="preserve">, [1999] 2 S.C.R. 989; </w:t>
      </w:r>
      <w:r w:rsidR="002721F5" w:rsidRPr="00B73BD3">
        <w:rPr>
          <w:i/>
        </w:rPr>
        <w:t>Irwin Toy Ltd. v. Quebec (Attorney General)</w:t>
      </w:r>
      <w:r w:rsidR="002721F5" w:rsidRPr="00B73BD3">
        <w:t xml:space="preserve">, </w:t>
      </w:r>
      <w:r w:rsidR="002721F5" w:rsidRPr="00B73BD3">
        <w:rPr>
          <w:lang w:val="en-US"/>
        </w:rPr>
        <w:t>[1989] 1 S.C.R. 927</w:t>
      </w:r>
      <w:r w:rsidR="002721F5">
        <w:rPr>
          <w:lang w:val="en-US"/>
        </w:rPr>
        <w:t xml:space="preserve">; </w:t>
      </w:r>
      <w:r w:rsidR="006C5A22" w:rsidRPr="000D5FB3">
        <w:rPr>
          <w:i/>
        </w:rPr>
        <w:t>Ontario (Public Safety and Security) v. Criminal Lawyers’ Association</w:t>
      </w:r>
      <w:r w:rsidR="006C5A22" w:rsidRPr="000D5FB3">
        <w:t xml:space="preserve">, 2010 SCC 23, [2010] 1 S.C.R. 815; </w:t>
      </w:r>
      <w:r w:rsidR="006C5A22" w:rsidRPr="002D5DEC">
        <w:rPr>
          <w:i/>
        </w:rPr>
        <w:t>R</w:t>
      </w:r>
      <w:r w:rsidR="002721F5">
        <w:rPr>
          <w:i/>
        </w:rPr>
        <w:t>.</w:t>
      </w:r>
      <w:r w:rsidR="006C5A22" w:rsidRPr="002D5DEC">
        <w:rPr>
          <w:i/>
        </w:rPr>
        <w:t xml:space="preserve"> v. Henry</w:t>
      </w:r>
      <w:r w:rsidR="006C5A22" w:rsidRPr="002D5DEC">
        <w:t xml:space="preserve">, 2005 SCC 76, [2005] 3 S.C.R. 609; </w:t>
      </w:r>
      <w:r w:rsidR="006C5A22" w:rsidRPr="000D5FB3">
        <w:rPr>
          <w:i/>
        </w:rPr>
        <w:t>Haig v. Canada</w:t>
      </w:r>
      <w:r w:rsidR="006C5A22" w:rsidRPr="000D5FB3">
        <w:t xml:space="preserve">, [1993] 2 S.C.R. 995; </w:t>
      </w:r>
      <w:r w:rsidR="002721F5">
        <w:rPr>
          <w:i/>
          <w:iCs/>
        </w:rPr>
        <w:t xml:space="preserve">R. v. Big M Drug Mart </w:t>
      </w:r>
      <w:r w:rsidR="002721F5" w:rsidRPr="0018785B">
        <w:rPr>
          <w:i/>
          <w:iCs/>
        </w:rPr>
        <w:t>Ltd</w:t>
      </w:r>
      <w:r w:rsidR="002721F5" w:rsidRPr="0018785B">
        <w:rPr>
          <w:i/>
        </w:rPr>
        <w:t>.</w:t>
      </w:r>
      <w:r w:rsidR="002721F5">
        <w:t xml:space="preserve">, [1985] 1 S.C.R. 295; </w:t>
      </w:r>
      <w:r w:rsidR="006C5A22" w:rsidRPr="006C5A22">
        <w:rPr>
          <w:i/>
        </w:rPr>
        <w:t>Charkaoui v. Canada (Citizenship and Immigration)</w:t>
      </w:r>
      <w:r w:rsidR="006C5A22">
        <w:t xml:space="preserve">, 2007 SCC 9, [2007] 1 S.C.R. 350; </w:t>
      </w:r>
      <w:r w:rsidR="00B53FD3" w:rsidRPr="003D7420">
        <w:rPr>
          <w:i/>
        </w:rPr>
        <w:t>Vriend v. Alberta</w:t>
      </w:r>
      <w:r w:rsidR="00B53FD3" w:rsidRPr="003D7420">
        <w:t xml:space="preserve">, [1998] 1 S.C.R. 493; </w:t>
      </w:r>
      <w:r w:rsidR="00EC7FF2" w:rsidRPr="003D7420">
        <w:rPr>
          <w:i/>
          <w:iCs/>
        </w:rPr>
        <w:t>U.F.C.W., Local 1518</w:t>
      </w:r>
      <w:r w:rsidR="00891FBA" w:rsidRPr="003D7420">
        <w:rPr>
          <w:i/>
          <w:iCs/>
        </w:rPr>
        <w:t xml:space="preserve"> v. KMart Canada Ltd.</w:t>
      </w:r>
      <w:r w:rsidR="00EC7FF2" w:rsidRPr="003D7420">
        <w:rPr>
          <w:iCs/>
        </w:rPr>
        <w:t xml:space="preserve">, </w:t>
      </w:r>
      <w:r w:rsidR="00EC7FF2" w:rsidRPr="003D7420">
        <w:t xml:space="preserve">[1999] 2 S.C.R. 1083; </w:t>
      </w:r>
      <w:r w:rsidR="00B53FD3" w:rsidRPr="00AF7055">
        <w:rPr>
          <w:i/>
        </w:rPr>
        <w:t>Nova Scotia (Workers’ Compensation Board) v. Martin</w:t>
      </w:r>
      <w:r w:rsidR="00B53FD3" w:rsidRPr="00AF7055">
        <w:t xml:space="preserve">, 2003 SCC 54, [2003] 2 S.C.R. 504; </w:t>
      </w:r>
      <w:r w:rsidR="00B53FD3">
        <w:rPr>
          <w:i/>
          <w:iCs/>
        </w:rPr>
        <w:t>R. v. Advance Cutting &amp; Coring Ltd.</w:t>
      </w:r>
      <w:r w:rsidR="00B53FD3">
        <w:t xml:space="preserve">, 2001 SCC 70, [2001] 3 S.C.R. 209; </w:t>
      </w:r>
      <w:r w:rsidR="00B53FD3" w:rsidRPr="00A47404">
        <w:rPr>
          <w:i/>
        </w:rPr>
        <w:t>R. v. Mannion</w:t>
      </w:r>
      <w:r w:rsidR="00B53FD3" w:rsidRPr="00A47404">
        <w:t>, [1986] 2 S.C.R. 272;</w:t>
      </w:r>
      <w:r w:rsidR="00B53FD3">
        <w:t xml:space="preserve"> </w:t>
      </w:r>
      <w:r w:rsidR="007E790D" w:rsidRPr="007E790D">
        <w:rPr>
          <w:i/>
        </w:rPr>
        <w:t>Slaight Communications Inc. v. Davidson</w:t>
      </w:r>
      <w:r w:rsidR="007E790D" w:rsidRPr="007E790D">
        <w:t>, [1989] 1 S.C.R. 1038</w:t>
      </w:r>
      <w:r w:rsidR="00B53FD3" w:rsidRPr="007E790D">
        <w:t xml:space="preserve">; </w:t>
      </w:r>
      <w:r w:rsidR="007E790D" w:rsidRPr="007E790D">
        <w:rPr>
          <w:i/>
        </w:rPr>
        <w:t xml:space="preserve">R. v. </w:t>
      </w:r>
      <w:r w:rsidR="00B53FD3" w:rsidRPr="007E790D">
        <w:rPr>
          <w:i/>
        </w:rPr>
        <w:t>Sharpe</w:t>
      </w:r>
      <w:r w:rsidR="007E790D">
        <w:t>, 2001 SCC 2, [2001] 1 S.C.R. 45</w:t>
      </w:r>
      <w:r w:rsidR="00B53FD3">
        <w:t xml:space="preserve">; </w:t>
      </w:r>
      <w:r w:rsidR="00B53FD3">
        <w:rPr>
          <w:i/>
          <w:iCs/>
        </w:rPr>
        <w:t xml:space="preserve">Adams Mine, Cliffs of Canada Ltd. v. United Steelworkers of </w:t>
      </w:r>
      <w:r w:rsidR="00B53FD3">
        <w:rPr>
          <w:i/>
          <w:iCs/>
        </w:rPr>
        <w:lastRenderedPageBreak/>
        <w:t>America</w:t>
      </w:r>
      <w:r w:rsidR="00B53FD3">
        <w:t xml:space="preserve"> (1982), 1 C.L.R.B.R. (N.S.) 384; </w:t>
      </w:r>
      <w:r w:rsidRPr="00B53FD3">
        <w:rPr>
          <w:highlight w:val="magenta"/>
        </w:rPr>
        <w:fldChar w:fldCharType="begin"/>
      </w:r>
      <w:r w:rsidR="00EC7FF2" w:rsidRPr="00B53FD3">
        <w:rPr>
          <w:highlight w:val="magenta"/>
        </w:rPr>
        <w:instrText xml:space="preserve"> SEQ CHAPTER \h \r 1</w:instrText>
      </w:r>
      <w:r w:rsidRPr="00B53FD3">
        <w:rPr>
          <w:highlight w:val="magenta"/>
        </w:rPr>
        <w:fldChar w:fldCharType="end"/>
      </w:r>
      <w:r w:rsidR="00496073" w:rsidRPr="00A47404">
        <w:rPr>
          <w:i/>
        </w:rPr>
        <w:t>Andrews v. Law Society of British Columbia</w:t>
      </w:r>
      <w:r w:rsidR="00496073" w:rsidRPr="00A47404">
        <w:t>, [1989] 1 S.C.R. 143;</w:t>
      </w:r>
      <w:r w:rsidR="00496073" w:rsidRPr="00496073">
        <w:t xml:space="preserve"> </w:t>
      </w:r>
      <w:r w:rsidR="00327E6D">
        <w:rPr>
          <w:i/>
          <w:iCs/>
        </w:rPr>
        <w:t>R. v. Kapp</w:t>
      </w:r>
      <w:r w:rsidR="00327E6D">
        <w:t>, 2008 SCC 41, [2008] 2 S.C.R. 483.</w:t>
      </w:r>
    </w:p>
    <w:p w:rsidR="00522609" w:rsidRDefault="00522609" w:rsidP="00F02F88">
      <w:pPr>
        <w:pStyle w:val="SCCNormalDoubleSpacing"/>
        <w:keepNext/>
        <w:tabs>
          <w:tab w:val="left" w:pos="1170"/>
        </w:tabs>
        <w:spacing w:after="480"/>
      </w:pPr>
      <w:proofErr w:type="gramStart"/>
      <w:r>
        <w:t>By Rothstei</w:t>
      </w:r>
      <w:r w:rsidR="00F02F88">
        <w:t>n </w:t>
      </w:r>
      <w:r>
        <w:t>J.</w:t>
      </w:r>
      <w:proofErr w:type="gramEnd"/>
    </w:p>
    <w:p w:rsidR="00522609" w:rsidRDefault="00522609" w:rsidP="00F02F88">
      <w:pPr>
        <w:pStyle w:val="SCCNormalDoubleSpacing"/>
        <w:tabs>
          <w:tab w:val="left" w:pos="1170"/>
        </w:tabs>
        <w:spacing w:after="480"/>
      </w:pPr>
      <w:r>
        <w:tab/>
      </w:r>
      <w:r w:rsidR="00BB7D97" w:rsidRPr="00BB7D97">
        <w:rPr>
          <w:b/>
        </w:rPr>
        <w:t>Applied:</w:t>
      </w:r>
      <w:r w:rsidR="00BB7D97">
        <w:t xml:space="preserve"> </w:t>
      </w:r>
      <w:r w:rsidR="003762FF">
        <w:t xml:space="preserve"> </w:t>
      </w:r>
      <w:r w:rsidR="00BB7D97">
        <w:rPr>
          <w:i/>
          <w:iCs/>
        </w:rPr>
        <w:t>Dunmore</w:t>
      </w:r>
      <w:r w:rsidR="00BB7D97">
        <w:t xml:space="preserve"> </w:t>
      </w:r>
      <w:r w:rsidR="00BB7D97">
        <w:rPr>
          <w:i/>
          <w:iCs/>
        </w:rPr>
        <w:t>v. Ontario (Attorney General)</w:t>
      </w:r>
      <w:r w:rsidR="00BB7D97">
        <w:t>, 2001 SCC 94</w:t>
      </w:r>
      <w:r w:rsidR="008C168F">
        <w:t>,</w:t>
      </w:r>
      <w:r w:rsidR="00BB7D97">
        <w:t xml:space="preserve"> [2001] 3 S.C.R. 1016; </w:t>
      </w:r>
      <w:r w:rsidR="00BB7D97">
        <w:rPr>
          <w:b/>
        </w:rPr>
        <w:t xml:space="preserve">not followed: </w:t>
      </w:r>
      <w:r w:rsidR="003762FF">
        <w:rPr>
          <w:b/>
        </w:rPr>
        <w:t xml:space="preserve"> </w:t>
      </w:r>
      <w:r>
        <w:rPr>
          <w:i/>
          <w:iCs/>
        </w:rPr>
        <w:t xml:space="preserve">Health Services and Support </w:t>
      </w:r>
      <w:r w:rsidR="00F02F88">
        <w:rPr>
          <w:i/>
          <w:iCs/>
        </w:rPr>
        <w:t>—</w:t>
      </w:r>
      <w:r>
        <w:rPr>
          <w:i/>
          <w:iCs/>
        </w:rPr>
        <w:t xml:space="preserve"> Facilities Subsector Bargaining Assn. v. British Columbia</w:t>
      </w:r>
      <w:r>
        <w:t xml:space="preserve">, 2007 SCC 27, [2007] 2 S.C.R. 391; </w:t>
      </w:r>
      <w:r w:rsidR="00BB7D97" w:rsidRPr="00BB7D97">
        <w:rPr>
          <w:b/>
        </w:rPr>
        <w:t>r</w:t>
      </w:r>
      <w:r w:rsidR="00BB7D97">
        <w:rPr>
          <w:b/>
          <w:bCs/>
        </w:rPr>
        <w:t>eferred to:</w:t>
      </w:r>
      <w:r w:rsidR="00BB7D97">
        <w:t>  </w:t>
      </w:r>
      <w:r>
        <w:rPr>
          <w:i/>
          <w:iCs/>
        </w:rPr>
        <w:t>R. v. Bernard</w:t>
      </w:r>
      <w:r>
        <w:t xml:space="preserve">, [1988] 2 S.C.R. 833; </w:t>
      </w:r>
      <w:r>
        <w:rPr>
          <w:i/>
          <w:iCs/>
        </w:rPr>
        <w:t>R. v. Chaulk</w:t>
      </w:r>
      <w:r>
        <w:t xml:space="preserve">, [1990] 3 S.C.R. 1303; </w:t>
      </w:r>
      <w:r>
        <w:rPr>
          <w:i/>
          <w:iCs/>
        </w:rPr>
        <w:t>R. v. B. (K.G.)</w:t>
      </w:r>
      <w:r>
        <w:t>, [1993] 1 S.C.R. 740;</w:t>
      </w:r>
      <w:r>
        <w:rPr>
          <w:i/>
          <w:iCs/>
        </w:rPr>
        <w:t xml:space="preserve"> R. v. Robinson</w:t>
      </w:r>
      <w:r>
        <w:t xml:space="preserve">, [1996] 1 S.C.R. 683; </w:t>
      </w:r>
      <w:r>
        <w:rPr>
          <w:i/>
          <w:iCs/>
        </w:rPr>
        <w:t>R. v. Salituro</w:t>
      </w:r>
      <w:r>
        <w:t xml:space="preserve">, [1991] 3 S.C.R. 654; </w:t>
      </w:r>
      <w:r>
        <w:rPr>
          <w:i/>
          <w:iCs/>
        </w:rPr>
        <w:t>Hamstra (Guardian ad litem of) v. British Columbia Rugby Union</w:t>
      </w:r>
      <w:r>
        <w:t xml:space="preserve">, [1997] 1 S.C.R. 1092; </w:t>
      </w:r>
      <w:r>
        <w:rPr>
          <w:i/>
          <w:iCs/>
        </w:rPr>
        <w:t>R. v. Henry</w:t>
      </w:r>
      <w:r>
        <w:t xml:space="preserve">, 2005 SCC </w:t>
      </w:r>
      <w:r w:rsidR="003B54F9">
        <w:t>76</w:t>
      </w:r>
      <w:r>
        <w:t xml:space="preserve">, [2005] 3 S.C.R. 609; </w:t>
      </w:r>
      <w:r>
        <w:rPr>
          <w:i/>
          <w:iCs/>
        </w:rPr>
        <w:t>Queensland v.</w:t>
      </w:r>
      <w:r w:rsidR="00D1250F">
        <w:rPr>
          <w:i/>
          <w:iCs/>
        </w:rPr>
        <w:t xml:space="preserve"> </w:t>
      </w:r>
      <w:r>
        <w:rPr>
          <w:i/>
          <w:iCs/>
        </w:rPr>
        <w:t>Commonwealth</w:t>
      </w:r>
      <w:r>
        <w:t xml:space="preserve"> </w:t>
      </w:r>
      <w:r w:rsidR="008A1CDF">
        <w:t>(197</w:t>
      </w:r>
      <w:r w:rsidRPr="00D1250F">
        <w:t>7)</w:t>
      </w:r>
      <w:r w:rsidR="00D1250F">
        <w:t>,</w:t>
      </w:r>
      <w:r>
        <w:t xml:space="preserve"> 139 C.L.R. 585; </w:t>
      </w:r>
      <w:r w:rsidR="002B605F">
        <w:rPr>
          <w:i/>
          <w:iCs/>
        </w:rPr>
        <w:t>Planned Parenthood of Southeastern P</w:t>
      </w:r>
      <w:r w:rsidR="00C51E4C">
        <w:rPr>
          <w:i/>
          <w:iCs/>
        </w:rPr>
        <w:t>ennsylvania</w:t>
      </w:r>
      <w:r w:rsidR="002B605F">
        <w:rPr>
          <w:i/>
          <w:iCs/>
        </w:rPr>
        <w:t xml:space="preserve"> v. Casey</w:t>
      </w:r>
      <w:r w:rsidR="002B605F">
        <w:t xml:space="preserve">, 505 U.S. 833 (1992); </w:t>
      </w:r>
      <w:r w:rsidR="002B605F">
        <w:rPr>
          <w:i/>
          <w:iCs/>
        </w:rPr>
        <w:t>Adarand Constructors</w:t>
      </w:r>
      <w:r w:rsidR="00C51E4C">
        <w:rPr>
          <w:i/>
          <w:iCs/>
        </w:rPr>
        <w:t>,</w:t>
      </w:r>
      <w:r w:rsidR="002B605F">
        <w:rPr>
          <w:i/>
          <w:iCs/>
        </w:rPr>
        <w:t xml:space="preserve"> Inc. v. Pena</w:t>
      </w:r>
      <w:r w:rsidR="002B605F">
        <w:t>, 515 U.S. 200 (19</w:t>
      </w:r>
      <w:r w:rsidR="00C51E4C">
        <w:t>95</w:t>
      </w:r>
      <w:r w:rsidR="002B605F">
        <w:t xml:space="preserve">); </w:t>
      </w:r>
      <w:r w:rsidR="002B605F">
        <w:rPr>
          <w:i/>
          <w:iCs/>
        </w:rPr>
        <w:t xml:space="preserve">Reference </w:t>
      </w:r>
      <w:r w:rsidR="00AA64BF">
        <w:rPr>
          <w:i/>
          <w:iCs/>
        </w:rPr>
        <w:t>r</w:t>
      </w:r>
      <w:r w:rsidR="002B605F">
        <w:rPr>
          <w:i/>
          <w:iCs/>
        </w:rPr>
        <w:t>e Public Service Employee Relations Act</w:t>
      </w:r>
      <w:r w:rsidR="0013454C">
        <w:rPr>
          <w:i/>
          <w:iCs/>
        </w:rPr>
        <w:t xml:space="preserve"> (Alta.)</w:t>
      </w:r>
      <w:r w:rsidR="002B605F">
        <w:t xml:space="preserve">, [1987] 1 S.C.R. 313; </w:t>
      </w:r>
      <w:r w:rsidR="002B605F">
        <w:rPr>
          <w:i/>
          <w:iCs/>
        </w:rPr>
        <w:t>PSAC v. Canada</w:t>
      </w:r>
      <w:r w:rsidR="002B605F">
        <w:t xml:space="preserve">, [1987] 1 S.C.R. 424; </w:t>
      </w:r>
      <w:r w:rsidR="002B605F">
        <w:rPr>
          <w:i/>
          <w:iCs/>
        </w:rPr>
        <w:t>RWDSU v. Saskatchewan</w:t>
      </w:r>
      <w:r w:rsidR="002B605F">
        <w:t xml:space="preserve">, [1987] 1 S.C.R. 460; </w:t>
      </w:r>
      <w:r w:rsidR="00197122">
        <w:rPr>
          <w:i/>
          <w:iCs/>
        </w:rPr>
        <w:t>Professional Institute of the Public Service of Canada v. North</w:t>
      </w:r>
      <w:r w:rsidR="0013454C">
        <w:rPr>
          <w:i/>
          <w:iCs/>
        </w:rPr>
        <w:t>w</w:t>
      </w:r>
      <w:r w:rsidR="00197122">
        <w:rPr>
          <w:i/>
          <w:iCs/>
        </w:rPr>
        <w:t>est Territories (Commissioner)</w:t>
      </w:r>
      <w:r w:rsidR="00197122">
        <w:t xml:space="preserve">, [1990] 2 S.C.R. 367; </w:t>
      </w:r>
      <w:r w:rsidR="00197122">
        <w:rPr>
          <w:i/>
          <w:iCs/>
        </w:rPr>
        <w:t>Canadian Egg Marketing Agency v. Richardson</w:t>
      </w:r>
      <w:r w:rsidR="00197122">
        <w:t xml:space="preserve">, [1998] 3 S.C.R. 157; </w:t>
      </w:r>
      <w:r w:rsidR="00197122">
        <w:rPr>
          <w:i/>
          <w:iCs/>
        </w:rPr>
        <w:t>Delisle v. Canada (Deputy Attorney General)</w:t>
      </w:r>
      <w:r w:rsidR="00197122">
        <w:t xml:space="preserve">, [1999] 2 S.C.R. 989; </w:t>
      </w:r>
      <w:proofErr w:type="spellStart"/>
      <w:r w:rsidR="003331C9">
        <w:rPr>
          <w:i/>
          <w:iCs/>
        </w:rPr>
        <w:t>Doucet</w:t>
      </w:r>
      <w:r w:rsidR="00F02F88">
        <w:rPr>
          <w:i/>
          <w:iCs/>
        </w:rPr>
        <w:noBreakHyphen/>
      </w:r>
      <w:r w:rsidR="003331C9">
        <w:rPr>
          <w:i/>
          <w:iCs/>
        </w:rPr>
        <w:t>Boudreau</w:t>
      </w:r>
      <w:proofErr w:type="spellEnd"/>
      <w:r w:rsidR="003331C9">
        <w:rPr>
          <w:i/>
          <w:iCs/>
        </w:rPr>
        <w:t xml:space="preserve"> v. Nova Scotia</w:t>
      </w:r>
      <w:r w:rsidR="0018785B">
        <w:rPr>
          <w:i/>
          <w:iCs/>
        </w:rPr>
        <w:t xml:space="preserve"> (Minister of Education)</w:t>
      </w:r>
      <w:r w:rsidR="003331C9">
        <w:t xml:space="preserve">, 2003 SCC </w:t>
      </w:r>
      <w:r w:rsidR="0018785B">
        <w:t>62</w:t>
      </w:r>
      <w:r w:rsidR="003331C9">
        <w:t xml:space="preserve">, [2003] 3 S.C.R. 3; </w:t>
      </w:r>
      <w:r w:rsidR="00125E4D" w:rsidRPr="00D26902">
        <w:rPr>
          <w:i/>
        </w:rPr>
        <w:t>R</w:t>
      </w:r>
      <w:r w:rsidR="00125E4D" w:rsidRPr="00D26902">
        <w:rPr>
          <w:i/>
          <w:iCs/>
        </w:rPr>
        <w:t>. v.</w:t>
      </w:r>
      <w:r w:rsidR="00125E4D">
        <w:rPr>
          <w:i/>
          <w:iCs/>
        </w:rPr>
        <w:t xml:space="preserve"> Powley</w:t>
      </w:r>
      <w:r w:rsidR="00125E4D">
        <w:t xml:space="preserve">, 2003 SCC </w:t>
      </w:r>
      <w:r w:rsidR="0018785B">
        <w:t>43</w:t>
      </w:r>
      <w:r w:rsidR="00125E4D">
        <w:t xml:space="preserve">, [2003] 2 S.C.R. 207; </w:t>
      </w:r>
      <w:r w:rsidR="00616780" w:rsidRPr="000D5FB3">
        <w:rPr>
          <w:i/>
        </w:rPr>
        <w:t>Ontario (Public Safety and Security) v. Criminal Lawyers’ Association</w:t>
      </w:r>
      <w:r w:rsidR="00616780" w:rsidRPr="000D5FB3">
        <w:t>, 2010 SCC 23, [2010] 1 S.C.R. 815;</w:t>
      </w:r>
      <w:r w:rsidR="00616780" w:rsidRPr="00616780">
        <w:t xml:space="preserve"> </w:t>
      </w:r>
      <w:r w:rsidR="00616780" w:rsidRPr="00294ED9">
        <w:rPr>
          <w:i/>
        </w:rPr>
        <w:t>Canadian Broadcasting Cor</w:t>
      </w:r>
      <w:r w:rsidR="00F02F88">
        <w:rPr>
          <w:i/>
        </w:rPr>
        <w:t>p. </w:t>
      </w:r>
      <w:r w:rsidR="00616780" w:rsidRPr="00294ED9">
        <w:rPr>
          <w:i/>
        </w:rPr>
        <w:t xml:space="preserve">v. </w:t>
      </w:r>
      <w:r w:rsidR="00616780" w:rsidRPr="00294ED9">
        <w:rPr>
          <w:i/>
        </w:rPr>
        <w:lastRenderedPageBreak/>
        <w:t>New Brunswick (Attorney General)</w:t>
      </w:r>
      <w:r w:rsidR="00616780" w:rsidRPr="00294ED9">
        <w:t xml:space="preserve">, [1996] 3 S.C.R. 480; </w:t>
      </w:r>
      <w:r w:rsidR="00616780" w:rsidRPr="00294ED9">
        <w:rPr>
          <w:i/>
        </w:rPr>
        <w:t>R. v. National Post</w:t>
      </w:r>
      <w:r w:rsidR="00616780" w:rsidRPr="00294ED9">
        <w:t xml:space="preserve">, 2010 SCC 16, [2010] 1 S.C.R. </w:t>
      </w:r>
      <w:r w:rsidR="00674C47" w:rsidRPr="00294ED9">
        <w:t>477</w:t>
      </w:r>
      <w:r w:rsidR="00616780">
        <w:t xml:space="preserve">; </w:t>
      </w:r>
      <w:r w:rsidR="002D23F1">
        <w:rPr>
          <w:i/>
          <w:iCs/>
        </w:rPr>
        <w:t xml:space="preserve">R. v. Big M Drug Mart </w:t>
      </w:r>
      <w:r w:rsidR="002D23F1" w:rsidRPr="0018785B">
        <w:rPr>
          <w:i/>
          <w:iCs/>
        </w:rPr>
        <w:t>Ltd</w:t>
      </w:r>
      <w:r w:rsidR="002D23F1" w:rsidRPr="0018785B">
        <w:rPr>
          <w:i/>
        </w:rPr>
        <w:t>.</w:t>
      </w:r>
      <w:r w:rsidR="002D23F1">
        <w:t xml:space="preserve">, [1985] 1 S.C.R. 295; </w:t>
      </w:r>
      <w:r w:rsidR="00AA64BF" w:rsidRPr="004433E4">
        <w:rPr>
          <w:i/>
        </w:rPr>
        <w:t>Hunter v. Southam</w:t>
      </w:r>
      <w:r w:rsidR="00AA64BF">
        <w:rPr>
          <w:i/>
        </w:rPr>
        <w:t xml:space="preserve"> Inc.</w:t>
      </w:r>
      <w:r w:rsidR="00AA64BF">
        <w:t xml:space="preserve">, [1984] 2 S.C.R. 145; </w:t>
      </w:r>
      <w:r w:rsidR="00AA64BF" w:rsidRPr="001D4494">
        <w:rPr>
          <w:i/>
        </w:rPr>
        <w:t>Law Society of Upper Canada v. Skapinker</w:t>
      </w:r>
      <w:r w:rsidR="00AA64BF">
        <w:t xml:space="preserve">, [1984] 1 S.C.R. 357; </w:t>
      </w:r>
      <w:r w:rsidR="002D23F1">
        <w:rPr>
          <w:i/>
          <w:iCs/>
        </w:rPr>
        <w:t>Syndicat Northcrest v. Amselem</w:t>
      </w:r>
      <w:r w:rsidR="002D23F1">
        <w:t xml:space="preserve">, 2004 SCC </w:t>
      </w:r>
      <w:r w:rsidR="00E00207">
        <w:t>47</w:t>
      </w:r>
      <w:r w:rsidR="002D23F1">
        <w:t xml:space="preserve">, [2004] 2 S.C.R. 551; </w:t>
      </w:r>
      <w:r w:rsidR="00AF6B79">
        <w:rPr>
          <w:i/>
          <w:iCs/>
        </w:rPr>
        <w:t>R. v. Advance Cutting &amp; Coring Ltd.</w:t>
      </w:r>
      <w:r w:rsidR="00AF6B79">
        <w:t>, 2001 SCC 70, [2001] 3 S.C.R. 209;</w:t>
      </w:r>
      <w:r w:rsidR="00AF6B79" w:rsidRPr="00616780">
        <w:t xml:space="preserve"> </w:t>
      </w:r>
      <w:r w:rsidR="00616780" w:rsidRPr="002A2B76">
        <w:rPr>
          <w:i/>
        </w:rPr>
        <w:t xml:space="preserve">Reference re </w:t>
      </w:r>
      <w:r w:rsidR="00F02F88">
        <w:rPr>
          <w:i/>
        </w:rPr>
        <w:t>ss. </w:t>
      </w:r>
      <w:r w:rsidR="00616780" w:rsidRPr="002A2B76">
        <w:rPr>
          <w:i/>
        </w:rPr>
        <w:t xml:space="preserve">193 and 195.1(1)(c) of the </w:t>
      </w:r>
      <w:r w:rsidR="00616780" w:rsidRPr="002A2B76">
        <w:rPr>
          <w:i/>
          <w:iCs/>
        </w:rPr>
        <w:t>Criminal Code (Man.</w:t>
      </w:r>
      <w:r w:rsidR="00616780">
        <w:rPr>
          <w:i/>
          <w:iCs/>
        </w:rPr>
        <w:t>)</w:t>
      </w:r>
      <w:r w:rsidR="00616780">
        <w:t xml:space="preserve">, [1990] 1 S.C.R. 1123; </w:t>
      </w:r>
      <w:r w:rsidR="00616780" w:rsidRPr="00723E86">
        <w:rPr>
          <w:i/>
        </w:rPr>
        <w:t>Lavigne v. Ontario Public Service Employees Union</w:t>
      </w:r>
      <w:r w:rsidR="00616780">
        <w:t xml:space="preserve">, [1991] 2 S.C.R. 211; </w:t>
      </w:r>
      <w:r w:rsidR="00616780" w:rsidRPr="00294ED9">
        <w:rPr>
          <w:i/>
        </w:rPr>
        <w:t xml:space="preserve">Bell ExpressVu </w:t>
      </w:r>
      <w:r w:rsidR="00294ED9" w:rsidRPr="00294ED9">
        <w:rPr>
          <w:i/>
        </w:rPr>
        <w:t xml:space="preserve">Limited </w:t>
      </w:r>
      <w:r w:rsidR="00616780" w:rsidRPr="00294ED9">
        <w:rPr>
          <w:i/>
        </w:rPr>
        <w:t>Partnership v. Rex</w:t>
      </w:r>
      <w:r w:rsidR="00616780" w:rsidRPr="00294ED9">
        <w:t xml:space="preserve">, 2002 SCC </w:t>
      </w:r>
      <w:r w:rsidR="00294ED9" w:rsidRPr="00294ED9">
        <w:t>42</w:t>
      </w:r>
      <w:r w:rsidR="00616780" w:rsidRPr="00294ED9">
        <w:t>, [2002] 2 S.C.R. 559;</w:t>
      </w:r>
      <w:r w:rsidR="00616780">
        <w:t xml:space="preserve"> </w:t>
      </w:r>
      <w:r w:rsidR="002D23F1">
        <w:rPr>
          <w:i/>
          <w:iCs/>
        </w:rPr>
        <w:t>Royal Oak Mines Inc. v. Canada (Labour Relations Board)</w:t>
      </w:r>
      <w:r w:rsidR="002D23F1">
        <w:t>, [1996] 1 S.C.R. 369;</w:t>
      </w:r>
      <w:r w:rsidR="007633B0">
        <w:t xml:space="preserve"> </w:t>
      </w:r>
      <w:r w:rsidR="007633B0" w:rsidRPr="00703B65">
        <w:rPr>
          <w:i/>
        </w:rPr>
        <w:t>Rizzo &amp; Rizzo Shoes Ltd. (Re)</w:t>
      </w:r>
      <w:r w:rsidR="00703B65" w:rsidRPr="00703B65">
        <w:t>, [199</w:t>
      </w:r>
      <w:r w:rsidR="007633B0" w:rsidRPr="00703B65">
        <w:t>8] 1 S.C.R. 27</w:t>
      </w:r>
      <w:r w:rsidR="002D23F1" w:rsidRPr="00294ED9">
        <w:t>.</w:t>
      </w:r>
    </w:p>
    <w:p w:rsidR="00BB7D97" w:rsidRDefault="00BB7D97" w:rsidP="00BB7D97">
      <w:pPr>
        <w:pStyle w:val="SCCNormalDoubleSpacing"/>
        <w:keepNext/>
        <w:tabs>
          <w:tab w:val="left" w:pos="1170"/>
        </w:tabs>
        <w:spacing w:after="480"/>
      </w:pPr>
      <w:proofErr w:type="gramStart"/>
      <w:r>
        <w:t>By Deschamps J.</w:t>
      </w:r>
      <w:proofErr w:type="gramEnd"/>
    </w:p>
    <w:p w:rsidR="00BB7D97" w:rsidRDefault="00BB7D97" w:rsidP="00BB7D97">
      <w:pPr>
        <w:pStyle w:val="SCCNormalDoubleSpacing"/>
        <w:tabs>
          <w:tab w:val="left" w:pos="1170"/>
        </w:tabs>
        <w:spacing w:after="480"/>
      </w:pPr>
      <w:r>
        <w:tab/>
      </w:r>
      <w:r w:rsidRPr="00BB7D97">
        <w:rPr>
          <w:b/>
        </w:rPr>
        <w:t>Applied:</w:t>
      </w:r>
      <w:r w:rsidR="003762FF" w:rsidRPr="00AF50AC">
        <w:t xml:space="preserve"> </w:t>
      </w:r>
      <w:r>
        <w:t xml:space="preserve"> </w:t>
      </w:r>
      <w:r w:rsidRPr="00826181">
        <w:rPr>
          <w:i/>
        </w:rPr>
        <w:t>Dunmore v. Ontario (Attorney General)</w:t>
      </w:r>
      <w:r w:rsidRPr="00826181">
        <w:t>, 2001 SCC 94, [2001] 3 S.C.R. 1016</w:t>
      </w:r>
      <w:r>
        <w:t xml:space="preserve">; </w:t>
      </w:r>
      <w:r w:rsidRPr="00BB7D97">
        <w:rPr>
          <w:b/>
        </w:rPr>
        <w:t>di</w:t>
      </w:r>
      <w:r>
        <w:rPr>
          <w:b/>
        </w:rPr>
        <w:t>scussed:</w:t>
      </w:r>
      <w:r w:rsidR="00A60A19">
        <w:t>  </w:t>
      </w:r>
      <w:r w:rsidRPr="00826181">
        <w:rPr>
          <w:i/>
        </w:rPr>
        <w:t xml:space="preserve">Health Services and Support </w:t>
      </w:r>
      <w:r>
        <w:rPr>
          <w:i/>
        </w:rPr>
        <w:t>—</w:t>
      </w:r>
      <w:r w:rsidRPr="00826181">
        <w:rPr>
          <w:i/>
        </w:rPr>
        <w:t xml:space="preserve"> Facilities Subsector Bargaining Assn. v. British Columbia</w:t>
      </w:r>
      <w:r w:rsidRPr="00826181">
        <w:t>, 2007 SCC 27, [2007] 2 S.C.R. 391</w:t>
      </w:r>
      <w:r>
        <w:t xml:space="preserve">; </w:t>
      </w:r>
      <w:r w:rsidRPr="00BB7D97">
        <w:rPr>
          <w:b/>
        </w:rPr>
        <w:t>r</w:t>
      </w:r>
      <w:r w:rsidRPr="00BB7D97">
        <w:rPr>
          <w:b/>
          <w:bCs/>
        </w:rPr>
        <w:t>e</w:t>
      </w:r>
      <w:r>
        <w:rPr>
          <w:b/>
          <w:bCs/>
        </w:rPr>
        <w:t>ferred to:</w:t>
      </w:r>
      <w:r w:rsidR="003762FF">
        <w:t>  </w:t>
      </w:r>
      <w:r w:rsidRPr="00826181">
        <w:rPr>
          <w:i/>
        </w:rPr>
        <w:t>R. v. Advance Cutting &amp; Coring Ltd.</w:t>
      </w:r>
      <w:r w:rsidRPr="00826181">
        <w:t>, 2001 SCC 70, [2001] 3 S.C.R. 209</w:t>
      </w:r>
      <w:r>
        <w:t xml:space="preserve">; </w:t>
      </w:r>
      <w:r>
        <w:rPr>
          <w:i/>
          <w:iCs/>
        </w:rPr>
        <w:t>Delisle v. Canada (Deputy Attorney General)</w:t>
      </w:r>
      <w:r>
        <w:t xml:space="preserve">, [1999] 2 S.C.R. 989; </w:t>
      </w:r>
      <w:r w:rsidRPr="004A2F28">
        <w:rPr>
          <w:i/>
          <w:lang w:val="en-US"/>
        </w:rPr>
        <w:t>Vriend v. Alberta</w:t>
      </w:r>
      <w:r w:rsidRPr="004A2F28">
        <w:rPr>
          <w:lang w:val="en-US"/>
        </w:rPr>
        <w:t>, [1998] 1 S.C.R. 493</w:t>
      </w:r>
      <w:r>
        <w:rPr>
          <w:lang w:val="en-US"/>
        </w:rPr>
        <w:t xml:space="preserve">; </w:t>
      </w:r>
      <w:r w:rsidRPr="00826181">
        <w:rPr>
          <w:i/>
        </w:rPr>
        <w:t>Greater Vancouver Transportation Authority v. Canadian Federation of Students</w:t>
      </w:r>
      <w:r>
        <w:rPr>
          <w:i/>
        </w:rPr>
        <w:t xml:space="preserve"> — British Columbia Component</w:t>
      </w:r>
      <w:r w:rsidRPr="00826181">
        <w:t>, 2009 SCC 31, [2009] 2 S.C.R. 295</w:t>
      </w:r>
      <w:r>
        <w:t>.</w:t>
      </w:r>
    </w:p>
    <w:p w:rsidR="00F25FD6" w:rsidRDefault="00F02F88" w:rsidP="00F02F88">
      <w:pPr>
        <w:pStyle w:val="SCCNormalDoubleSpacing"/>
        <w:keepNext/>
        <w:tabs>
          <w:tab w:val="left" w:pos="1170"/>
        </w:tabs>
        <w:spacing w:after="480"/>
      </w:pPr>
      <w:r>
        <w:lastRenderedPageBreak/>
        <w:t>By Abella </w:t>
      </w:r>
      <w:r w:rsidR="00F25FD6">
        <w:t>J. (dissenting)</w:t>
      </w:r>
    </w:p>
    <w:p w:rsidR="00F25FD6" w:rsidRPr="00FF2D96" w:rsidRDefault="00F25FD6" w:rsidP="00F02F88">
      <w:pPr>
        <w:pStyle w:val="SCCNormalDoubleSpacing"/>
        <w:tabs>
          <w:tab w:val="left" w:pos="1170"/>
        </w:tabs>
        <w:spacing w:after="480"/>
      </w:pPr>
      <w:r>
        <w:tab/>
      </w:r>
      <w:r w:rsidRPr="008C25D9">
        <w:rPr>
          <w:i/>
        </w:rPr>
        <w:t xml:space="preserve">Health Services </w:t>
      </w:r>
      <w:r>
        <w:rPr>
          <w:i/>
        </w:rPr>
        <w:t>and</w:t>
      </w:r>
      <w:r w:rsidRPr="008C25D9">
        <w:rPr>
          <w:i/>
        </w:rPr>
        <w:t xml:space="preserve"> Support</w:t>
      </w:r>
      <w:r>
        <w:rPr>
          <w:i/>
        </w:rPr>
        <w:t xml:space="preserve"> </w:t>
      </w:r>
      <w:r w:rsidR="008C168F">
        <w:rPr>
          <w:i/>
        </w:rPr>
        <w:t>—</w:t>
      </w:r>
      <w:r>
        <w:rPr>
          <w:i/>
        </w:rPr>
        <w:t xml:space="preserve"> </w:t>
      </w:r>
      <w:r w:rsidRPr="008C25D9">
        <w:rPr>
          <w:i/>
        </w:rPr>
        <w:t>Facilities Subsector Bargaining Assn. v. British Columbia</w:t>
      </w:r>
      <w:r w:rsidRPr="005F411C">
        <w:t>,</w:t>
      </w:r>
      <w:r w:rsidRPr="005F411C">
        <w:rPr>
          <w:rStyle w:val="NoSpacingChar"/>
        </w:rPr>
        <w:t xml:space="preserve"> </w:t>
      </w:r>
      <w:r>
        <w:rPr>
          <w:rStyle w:val="NoSpacingChar"/>
        </w:rPr>
        <w:t xml:space="preserve">2007 SCC 27, </w:t>
      </w:r>
      <w:r w:rsidRPr="00532FC8">
        <w:rPr>
          <w:rStyle w:val="NoSpacingChar"/>
        </w:rPr>
        <w:t>[2007] 2 S.C.R. 391</w:t>
      </w:r>
      <w:r>
        <w:rPr>
          <w:rStyle w:val="NoSpacingChar"/>
        </w:rPr>
        <w:t xml:space="preserve">; </w:t>
      </w:r>
      <w:r w:rsidRPr="00B854E7">
        <w:rPr>
          <w:i/>
        </w:rPr>
        <w:t>Reference re Public Service Employee Relations Act (Alta.)</w:t>
      </w:r>
      <w:r>
        <w:t xml:space="preserve">, [1987] 1 S.C.R. 313; </w:t>
      </w:r>
      <w:r w:rsidRPr="00B854E7">
        <w:rPr>
          <w:i/>
        </w:rPr>
        <w:t>PSAC v. Canada</w:t>
      </w:r>
      <w:r>
        <w:t xml:space="preserve">, [1987] 1 S.C.R. 424; </w:t>
      </w:r>
      <w:r w:rsidRPr="00B854E7">
        <w:rPr>
          <w:i/>
        </w:rPr>
        <w:t>RWDSU</w:t>
      </w:r>
      <w:r>
        <w:t xml:space="preserve"> </w:t>
      </w:r>
      <w:r w:rsidRPr="00C13A57">
        <w:rPr>
          <w:i/>
        </w:rPr>
        <w:t>v. Saskatchewan</w:t>
      </w:r>
      <w:r>
        <w:t>,</w:t>
      </w:r>
      <w:r w:rsidRPr="00B854E7">
        <w:rPr>
          <w:i/>
        </w:rPr>
        <w:t xml:space="preserve"> </w:t>
      </w:r>
      <w:r>
        <w:t xml:space="preserve">[1987] 1 S.C.R. 460; </w:t>
      </w:r>
      <w:r w:rsidRPr="0058432F">
        <w:rPr>
          <w:i/>
          <w:lang w:val="en-US"/>
        </w:rPr>
        <w:t xml:space="preserve">Dunmore </w:t>
      </w:r>
      <w:r w:rsidRPr="0058432F">
        <w:rPr>
          <w:i/>
          <w:iCs/>
          <w:lang w:val="en-US"/>
        </w:rPr>
        <w:t>v</w:t>
      </w:r>
      <w:r w:rsidRPr="0058432F">
        <w:rPr>
          <w:i/>
          <w:lang w:val="en-US"/>
        </w:rPr>
        <w:t>. Ontario (Attorney General)</w:t>
      </w:r>
      <w:r>
        <w:rPr>
          <w:lang w:val="en-US"/>
        </w:rPr>
        <w:t xml:space="preserve">, </w:t>
      </w:r>
      <w:r>
        <w:t>2001 SCC 94,</w:t>
      </w:r>
      <w:r>
        <w:rPr>
          <w:lang w:val="en-US"/>
        </w:rPr>
        <w:t xml:space="preserve"> [</w:t>
      </w:r>
      <w:r>
        <w:t xml:space="preserve">2001] 3 S.C.R. 1016; </w:t>
      </w:r>
      <w:r w:rsidRPr="005F411C">
        <w:rPr>
          <w:i/>
        </w:rPr>
        <w:t>Professional Institute of the Public Service of Canada v. Northwest Territories (Commissioner)</w:t>
      </w:r>
      <w:r w:rsidRPr="005F411C">
        <w:t>, [1990] 2 S.C.R. 367</w:t>
      </w:r>
      <w:r>
        <w:t xml:space="preserve">; </w:t>
      </w:r>
      <w:r>
        <w:rPr>
          <w:i/>
          <w:iCs/>
        </w:rPr>
        <w:t>Royal Oak Mines Inc. v. Canada (Labour Relations Board)</w:t>
      </w:r>
      <w:r>
        <w:t xml:space="preserve">, [1996] 1 S.C.R. 369; </w:t>
      </w:r>
      <w:r w:rsidRPr="0069307E">
        <w:rPr>
          <w:i/>
        </w:rPr>
        <w:t>U.E.W. and DeVilbiss Ltd.</w:t>
      </w:r>
      <w:r>
        <w:t xml:space="preserve">, [1976] 2 C.L.R.B.R. 101; </w:t>
      </w:r>
      <w:r w:rsidRPr="00C566C6">
        <w:rPr>
          <w:i/>
        </w:rPr>
        <w:t>Alberta v. Hutterian Brethren of Wilson Colony</w:t>
      </w:r>
      <w:r>
        <w:t xml:space="preserve">, 2009 SCC 37, [2009] 2 S.C.R. </w:t>
      </w:r>
      <w:r w:rsidRPr="00BB7D97">
        <w:t>567;</w:t>
      </w:r>
      <w:r>
        <w:t xml:space="preserve"> </w:t>
      </w:r>
      <w:r w:rsidRPr="007A6BB5">
        <w:rPr>
          <w:i/>
        </w:rPr>
        <w:t>Wellington</w:t>
      </w:r>
      <w:r w:rsidRPr="007A6BB5">
        <w:t xml:space="preserve"> </w:t>
      </w:r>
      <w:r w:rsidRPr="007A6BB5">
        <w:rPr>
          <w:i/>
        </w:rPr>
        <w:t>Mushroom Farm</w:t>
      </w:r>
      <w:r w:rsidRPr="007A6BB5">
        <w:t>, [1980] O.L.R.B. Re</w:t>
      </w:r>
      <w:r w:rsidR="00AF50AC">
        <w:t>p. </w:t>
      </w:r>
      <w:r w:rsidRPr="007A6BB5">
        <w:t>813</w:t>
      </w:r>
      <w:r>
        <w:t>.</w:t>
      </w:r>
    </w:p>
    <w:p w:rsidR="003B215F" w:rsidRDefault="002E6705" w:rsidP="00F02F88">
      <w:pPr>
        <w:pStyle w:val="SCCNormalDoubleSpacing"/>
        <w:keepNext/>
        <w:spacing w:after="720" w:line="240" w:lineRule="auto"/>
      </w:pPr>
      <w:r w:rsidRPr="00314E01">
        <w:rPr>
          <w:b/>
        </w:rPr>
        <w:t>Statutes and Regulations Cite</w:t>
      </w:r>
      <w:r w:rsidR="00A41805">
        <w:rPr>
          <w:b/>
        </w:rPr>
        <w:t>d</w:t>
      </w:r>
    </w:p>
    <w:p w:rsidR="00A94076" w:rsidRDefault="00A94076" w:rsidP="00AA19FE">
      <w:pPr>
        <w:pStyle w:val="SCCNormalDoubleSpacing"/>
        <w:spacing w:after="240" w:line="240" w:lineRule="auto"/>
        <w:ind w:left="540" w:hanging="540"/>
        <w:rPr>
          <w:i/>
          <w:iCs/>
        </w:rPr>
      </w:pPr>
      <w:proofErr w:type="gramStart"/>
      <w:r>
        <w:rPr>
          <w:i/>
        </w:rPr>
        <w:t>Act respecting l</w:t>
      </w:r>
      <w:r w:rsidRPr="00720006">
        <w:rPr>
          <w:i/>
        </w:rPr>
        <w:t>abour relations, vocational training and workforce management in the construction industry</w:t>
      </w:r>
      <w:r w:rsidRPr="00720006">
        <w:t>, R.S.Q.</w:t>
      </w:r>
      <w:r>
        <w:t>,</w:t>
      </w:r>
      <w:r w:rsidRPr="00720006">
        <w:t xml:space="preserve"> </w:t>
      </w:r>
      <w:r w:rsidR="00C837D1">
        <w:t>c. </w:t>
      </w:r>
      <w:r w:rsidRPr="00720006">
        <w:t>R</w:t>
      </w:r>
      <w:r w:rsidR="00F02F88">
        <w:noBreakHyphen/>
      </w:r>
      <w:r w:rsidRPr="00720006">
        <w:t>20</w:t>
      </w:r>
      <w:r>
        <w:t>.</w:t>
      </w:r>
      <w:proofErr w:type="gramEnd"/>
    </w:p>
    <w:p w:rsidR="00327E6D" w:rsidRDefault="00327E6D" w:rsidP="00AA19FE">
      <w:pPr>
        <w:pStyle w:val="SCCNormalDoubleSpacing"/>
        <w:spacing w:after="240" w:line="240" w:lineRule="auto"/>
        <w:ind w:left="540" w:hanging="540"/>
      </w:pPr>
      <w:proofErr w:type="gramStart"/>
      <w:r>
        <w:rPr>
          <w:i/>
          <w:iCs/>
        </w:rPr>
        <w:t>Agricultural Employees Protection Act, 2002</w:t>
      </w:r>
      <w:r>
        <w:t xml:space="preserve">, S.O. 2002, </w:t>
      </w:r>
      <w:r w:rsidR="00C837D1">
        <w:t>c. </w:t>
      </w:r>
      <w:r>
        <w:t>16</w:t>
      </w:r>
      <w:r w:rsidR="00B20E67">
        <w:t xml:space="preserve">, </w:t>
      </w:r>
      <w:r w:rsidR="00F02F88">
        <w:t>ss. </w:t>
      </w:r>
      <w:r w:rsidR="00676551">
        <w:t xml:space="preserve">1, </w:t>
      </w:r>
      <w:r w:rsidR="00BB7D97">
        <w:t xml:space="preserve">2, </w:t>
      </w:r>
      <w:r w:rsidR="00B20E67">
        <w:t>5</w:t>
      </w:r>
      <w:r w:rsidR="00032B2F">
        <w:t>,</w:t>
      </w:r>
      <w:r w:rsidR="00BB7D97">
        <w:t xml:space="preserve"> 7</w:t>
      </w:r>
      <w:r w:rsidR="003C56EF">
        <w:noBreakHyphen/>
      </w:r>
      <w:r w:rsidR="00BB7D97">
        <w:t>11</w:t>
      </w:r>
      <w:r>
        <w:t>.</w:t>
      </w:r>
      <w:proofErr w:type="gramEnd"/>
    </w:p>
    <w:p w:rsidR="00327E6D" w:rsidRDefault="00327E6D" w:rsidP="00AA19FE">
      <w:pPr>
        <w:pStyle w:val="SCCNormalDoubleSpacing"/>
        <w:spacing w:after="240" w:line="240" w:lineRule="auto"/>
        <w:ind w:left="540" w:hanging="540"/>
      </w:pPr>
      <w:proofErr w:type="gramStart"/>
      <w:r>
        <w:rPr>
          <w:i/>
          <w:iCs/>
        </w:rPr>
        <w:t>Agricultural Labour Relations Act, 1994</w:t>
      </w:r>
      <w:r>
        <w:t xml:space="preserve">, S.O. 1994, </w:t>
      </w:r>
      <w:r w:rsidR="00C837D1">
        <w:t>c. </w:t>
      </w:r>
      <w:r>
        <w:t>6 [re</w:t>
      </w:r>
      <w:r w:rsidR="00F02F88">
        <w:t>p. </w:t>
      </w:r>
      <w:r>
        <w:t xml:space="preserve">1995, </w:t>
      </w:r>
      <w:r w:rsidR="00C837D1">
        <w:t>c. </w:t>
      </w:r>
      <w:r>
        <w:t xml:space="preserve">1, </w:t>
      </w:r>
      <w:r w:rsidR="00C837D1">
        <w:t>s. </w:t>
      </w:r>
      <w:r>
        <w:t>80]</w:t>
      </w:r>
      <w:r w:rsidR="0008408B">
        <w:t xml:space="preserve">, Preamble, </w:t>
      </w:r>
      <w:r w:rsidR="00F02F88">
        <w:t>s</w:t>
      </w:r>
      <w:r w:rsidR="00C837D1">
        <w:t>s. </w:t>
      </w:r>
      <w:r w:rsidR="0008408B">
        <w:t>3, 10, 11</w:t>
      </w:r>
      <w:r>
        <w:t>.</w:t>
      </w:r>
      <w:proofErr w:type="gramEnd"/>
    </w:p>
    <w:p w:rsidR="00327E6D" w:rsidRDefault="00327E6D" w:rsidP="00AA19FE">
      <w:pPr>
        <w:pStyle w:val="SCCNormalDoubleSpacing"/>
        <w:spacing w:after="240" w:line="240" w:lineRule="auto"/>
        <w:ind w:left="540" w:hanging="540"/>
      </w:pPr>
      <w:proofErr w:type="gramStart"/>
      <w:r>
        <w:rPr>
          <w:i/>
          <w:iCs/>
        </w:rPr>
        <w:t>Canadian Charter of Rights and Freedoms</w:t>
      </w:r>
      <w:r>
        <w:t xml:space="preserve">, </w:t>
      </w:r>
      <w:r w:rsidR="00F02F88">
        <w:t>s</w:t>
      </w:r>
      <w:r w:rsidR="00C837D1">
        <w:t>s. </w:t>
      </w:r>
      <w:r>
        <w:t>1, 2</w:t>
      </w:r>
      <w:r w:rsidR="00BB7D97">
        <w:t>(</w:t>
      </w:r>
      <w:r w:rsidR="00BB7D97">
        <w:rPr>
          <w:i/>
        </w:rPr>
        <w:t>a</w:t>
      </w:r>
      <w:r w:rsidR="00BB7D97">
        <w:t>)</w:t>
      </w:r>
      <w:r w:rsidR="00016514">
        <w:t>, (</w:t>
      </w:r>
      <w:r w:rsidR="00016514">
        <w:rPr>
          <w:i/>
        </w:rPr>
        <w:t>b</w:t>
      </w:r>
      <w:r w:rsidR="00F026B4">
        <w:t xml:space="preserve">), </w:t>
      </w:r>
      <w:r>
        <w:t>(</w:t>
      </w:r>
      <w:r>
        <w:rPr>
          <w:i/>
          <w:iCs/>
        </w:rPr>
        <w:t>d</w:t>
      </w:r>
      <w:r>
        <w:t xml:space="preserve">), </w:t>
      </w:r>
      <w:r w:rsidR="00E33811">
        <w:t>7</w:t>
      </w:r>
      <w:r w:rsidR="003C56EF">
        <w:noBreakHyphen/>
      </w:r>
      <w:r w:rsidR="00E33811">
        <w:t xml:space="preserve">12, </w:t>
      </w:r>
      <w:r>
        <w:t xml:space="preserve">15, </w:t>
      </w:r>
      <w:r w:rsidR="00E33811">
        <w:t xml:space="preserve">23, </w:t>
      </w:r>
      <w:r>
        <w:t>32</w:t>
      </w:r>
      <w:r w:rsidR="00E33811">
        <w:t>, 33</w:t>
      </w:r>
      <w:r>
        <w:t>.</w:t>
      </w:r>
      <w:proofErr w:type="gramEnd"/>
    </w:p>
    <w:p w:rsidR="00327E6D" w:rsidRDefault="00327E6D" w:rsidP="00AA19FE">
      <w:pPr>
        <w:pStyle w:val="SCCNormalDoubleSpacing"/>
        <w:spacing w:after="240" w:line="240" w:lineRule="auto"/>
        <w:ind w:left="540" w:hanging="540"/>
      </w:pPr>
      <w:proofErr w:type="gramStart"/>
      <w:r>
        <w:rPr>
          <w:i/>
          <w:iCs/>
        </w:rPr>
        <w:t>Constitution Act, 1982</w:t>
      </w:r>
      <w:r>
        <w:t xml:space="preserve">, </w:t>
      </w:r>
      <w:r w:rsidR="00F02F88">
        <w:t>s</w:t>
      </w:r>
      <w:r w:rsidR="00C837D1">
        <w:t>s. </w:t>
      </w:r>
      <w:r w:rsidR="00E33811">
        <w:t xml:space="preserve">35(1), </w:t>
      </w:r>
      <w:r>
        <w:t>52.</w:t>
      </w:r>
      <w:proofErr w:type="gramEnd"/>
    </w:p>
    <w:p w:rsidR="00E71C0C" w:rsidRDefault="00E71C0C" w:rsidP="00AA19FE">
      <w:pPr>
        <w:pStyle w:val="SCCNormalDoubleSpacing"/>
        <w:spacing w:after="240" w:line="240" w:lineRule="auto"/>
        <w:ind w:left="540" w:hanging="540"/>
      </w:pPr>
      <w:r w:rsidRPr="00E71C0C">
        <w:rPr>
          <w:i/>
        </w:rPr>
        <w:t>Industrial Relations Act</w:t>
      </w:r>
      <w:r>
        <w:t xml:space="preserve">, R.S.N.B. 1973, </w:t>
      </w:r>
      <w:r w:rsidR="00C837D1">
        <w:t>c. </w:t>
      </w:r>
      <w:r>
        <w:t>I</w:t>
      </w:r>
      <w:r w:rsidR="00F02F88">
        <w:noBreakHyphen/>
      </w:r>
      <w:r>
        <w:t xml:space="preserve">4, </w:t>
      </w:r>
      <w:r w:rsidR="00C837D1">
        <w:t>s. </w:t>
      </w:r>
      <w:r>
        <w:t>1(5</w:t>
      </w:r>
      <w:proofErr w:type="gramStart"/>
      <w:r>
        <w:t>)(</w:t>
      </w:r>
      <w:proofErr w:type="gramEnd"/>
      <w:r w:rsidRPr="00E71C0C">
        <w:rPr>
          <w:i/>
        </w:rPr>
        <w:t>a</w:t>
      </w:r>
      <w:r>
        <w:t>).</w:t>
      </w:r>
    </w:p>
    <w:p w:rsidR="00D63281" w:rsidRDefault="00D63281" w:rsidP="00AA19FE">
      <w:pPr>
        <w:pStyle w:val="SCCNormalDoubleSpacing"/>
        <w:spacing w:after="240" w:line="240" w:lineRule="auto"/>
        <w:ind w:left="540" w:hanging="540"/>
      </w:pPr>
      <w:proofErr w:type="gramStart"/>
      <w:r w:rsidRPr="00D63281">
        <w:rPr>
          <w:i/>
        </w:rPr>
        <w:t>Industrial Relations and Disputes Investigation Act</w:t>
      </w:r>
      <w:r w:rsidRPr="00D63281">
        <w:t xml:space="preserve">, S.C. 1948, </w:t>
      </w:r>
      <w:r w:rsidR="00C837D1">
        <w:t>c. </w:t>
      </w:r>
      <w:r w:rsidRPr="00D63281">
        <w:t>54</w:t>
      </w:r>
      <w:r>
        <w:t>.</w:t>
      </w:r>
      <w:proofErr w:type="gramEnd"/>
    </w:p>
    <w:p w:rsidR="007A6BB5" w:rsidRDefault="007A6BB5" w:rsidP="00AA19FE">
      <w:pPr>
        <w:pStyle w:val="SCCNormalDoubleSpacing"/>
        <w:spacing w:after="240" w:line="240" w:lineRule="auto"/>
        <w:ind w:left="540" w:hanging="540"/>
      </w:pPr>
      <w:r w:rsidRPr="00506D58">
        <w:rPr>
          <w:i/>
        </w:rPr>
        <w:t>Labour Act</w:t>
      </w:r>
      <w:r>
        <w:t xml:space="preserve">, R.S.P.E.I. </w:t>
      </w:r>
      <w:r w:rsidRPr="00AA19FE">
        <w:t>1988</w:t>
      </w:r>
      <w:r>
        <w:t xml:space="preserve">, </w:t>
      </w:r>
      <w:r w:rsidR="00C837D1">
        <w:t>c. </w:t>
      </w:r>
      <w:r>
        <w:t>L</w:t>
      </w:r>
      <w:r w:rsidR="00F02F88">
        <w:noBreakHyphen/>
      </w:r>
      <w:r>
        <w:t xml:space="preserve">1, </w:t>
      </w:r>
      <w:proofErr w:type="gramStart"/>
      <w:r w:rsidR="00C837D1">
        <w:t>s</w:t>
      </w:r>
      <w:proofErr w:type="gramEnd"/>
      <w:r w:rsidR="00C837D1">
        <w:t>. </w:t>
      </w:r>
      <w:r>
        <w:t>7.</w:t>
      </w:r>
    </w:p>
    <w:p w:rsidR="00E71C0C" w:rsidRPr="003A50F0" w:rsidRDefault="00E71C0C" w:rsidP="00AA19FE">
      <w:pPr>
        <w:pStyle w:val="SCCNormalDoubleSpacing"/>
        <w:spacing w:after="240" w:line="240" w:lineRule="auto"/>
        <w:ind w:left="540" w:hanging="540"/>
        <w:rPr>
          <w:lang w:val="fr-CA"/>
        </w:rPr>
      </w:pPr>
      <w:r w:rsidRPr="003A50F0">
        <w:rPr>
          <w:i/>
          <w:lang w:val="fr-CA"/>
        </w:rPr>
        <w:lastRenderedPageBreak/>
        <w:t>Labour Code</w:t>
      </w:r>
      <w:r w:rsidRPr="003A50F0">
        <w:rPr>
          <w:lang w:val="fr-CA"/>
        </w:rPr>
        <w:t xml:space="preserve">, R.S.Q., </w:t>
      </w:r>
      <w:r w:rsidR="00C837D1">
        <w:rPr>
          <w:lang w:val="fr-CA"/>
        </w:rPr>
        <w:t>c. </w:t>
      </w:r>
      <w:r w:rsidRPr="003A50F0">
        <w:rPr>
          <w:lang w:val="fr-CA"/>
        </w:rPr>
        <w:t>C</w:t>
      </w:r>
      <w:r w:rsidR="00F02F88">
        <w:rPr>
          <w:lang w:val="fr-CA"/>
        </w:rPr>
        <w:noBreakHyphen/>
      </w:r>
      <w:r w:rsidRPr="00A00D29">
        <w:rPr>
          <w:lang w:val="fr-CA"/>
        </w:rPr>
        <w:t>27</w:t>
      </w:r>
      <w:r w:rsidRPr="003A50F0">
        <w:rPr>
          <w:lang w:val="fr-CA"/>
        </w:rPr>
        <w:t xml:space="preserve">, </w:t>
      </w:r>
      <w:r w:rsidR="00C837D1">
        <w:rPr>
          <w:lang w:val="fr-CA"/>
        </w:rPr>
        <w:t>s. </w:t>
      </w:r>
      <w:r w:rsidRPr="003A50F0">
        <w:rPr>
          <w:lang w:val="fr-CA"/>
        </w:rPr>
        <w:t>21.</w:t>
      </w:r>
    </w:p>
    <w:p w:rsidR="007A6BB5" w:rsidRPr="00AA1C85" w:rsidRDefault="007A6BB5" w:rsidP="00AA19FE">
      <w:pPr>
        <w:pStyle w:val="SCCNormalDoubleSpacing"/>
        <w:spacing w:after="240" w:line="240" w:lineRule="auto"/>
        <w:ind w:left="540" w:hanging="540"/>
        <w:rPr>
          <w:lang w:val="fr-CA"/>
        </w:rPr>
      </w:pPr>
      <w:r w:rsidRPr="00AA1C85">
        <w:rPr>
          <w:i/>
          <w:lang w:val="fr-CA"/>
        </w:rPr>
        <w:t>Labour Relations Act</w:t>
      </w:r>
      <w:r w:rsidRPr="00AA1C85">
        <w:rPr>
          <w:lang w:val="fr-CA"/>
        </w:rPr>
        <w:t xml:space="preserve">, </w:t>
      </w:r>
      <w:r w:rsidR="00F3441C" w:rsidRPr="00AA1C85">
        <w:rPr>
          <w:lang w:val="fr-CA"/>
        </w:rPr>
        <w:t>R.S.M. 1987</w:t>
      </w:r>
      <w:r w:rsidRPr="00AA1C85">
        <w:rPr>
          <w:lang w:val="fr-CA"/>
        </w:rPr>
        <w:t xml:space="preserve">, </w:t>
      </w:r>
      <w:r w:rsidR="00C837D1" w:rsidRPr="00AA1C85">
        <w:rPr>
          <w:lang w:val="fr-CA"/>
        </w:rPr>
        <w:t>c. </w:t>
      </w:r>
      <w:r w:rsidRPr="00AA1C85">
        <w:rPr>
          <w:lang w:val="fr-CA"/>
        </w:rPr>
        <w:t xml:space="preserve">L10, </w:t>
      </w:r>
      <w:r w:rsidR="00C837D1" w:rsidRPr="00AA1C85">
        <w:rPr>
          <w:lang w:val="fr-CA"/>
        </w:rPr>
        <w:t>s. </w:t>
      </w:r>
      <w:r w:rsidRPr="00AA1C85">
        <w:rPr>
          <w:lang w:val="fr-CA"/>
        </w:rPr>
        <w:t>1.</w:t>
      </w:r>
    </w:p>
    <w:p w:rsidR="007A6BB5" w:rsidRPr="00AA1C85" w:rsidRDefault="007A6BB5" w:rsidP="00AA19FE">
      <w:pPr>
        <w:pStyle w:val="SCCNormalDoubleSpacing"/>
        <w:spacing w:after="240" w:line="240" w:lineRule="auto"/>
        <w:ind w:left="540" w:hanging="540"/>
        <w:rPr>
          <w:lang w:val="fr-CA"/>
        </w:rPr>
      </w:pPr>
      <w:r w:rsidRPr="00AA1C85">
        <w:rPr>
          <w:i/>
          <w:lang w:val="fr-CA"/>
        </w:rPr>
        <w:t>Labour Relations Act</w:t>
      </w:r>
      <w:r w:rsidRPr="00AA1C85">
        <w:rPr>
          <w:lang w:val="fr-CA"/>
        </w:rPr>
        <w:t xml:space="preserve">, R.S.N.L. 1990, </w:t>
      </w:r>
      <w:r w:rsidR="00C837D1" w:rsidRPr="00AA1C85">
        <w:rPr>
          <w:lang w:val="fr-CA"/>
        </w:rPr>
        <w:t>c. </w:t>
      </w:r>
      <w:r w:rsidRPr="00AA1C85">
        <w:rPr>
          <w:lang w:val="fr-CA"/>
        </w:rPr>
        <w:t>L</w:t>
      </w:r>
      <w:r w:rsidR="00F02F88" w:rsidRPr="00AA1C85">
        <w:rPr>
          <w:lang w:val="fr-CA"/>
        </w:rPr>
        <w:noBreakHyphen/>
      </w:r>
      <w:r w:rsidRPr="00AA1C85">
        <w:rPr>
          <w:lang w:val="fr-CA"/>
        </w:rPr>
        <w:t xml:space="preserve">1, </w:t>
      </w:r>
      <w:r w:rsidR="00C837D1" w:rsidRPr="00AA1C85">
        <w:rPr>
          <w:lang w:val="fr-CA"/>
        </w:rPr>
        <w:t>s. </w:t>
      </w:r>
      <w:r w:rsidRPr="00AA1C85">
        <w:rPr>
          <w:lang w:val="fr-CA"/>
        </w:rPr>
        <w:t>2(1).</w:t>
      </w:r>
    </w:p>
    <w:p w:rsidR="00327E6D" w:rsidRDefault="00327E6D" w:rsidP="00AA19FE">
      <w:pPr>
        <w:pStyle w:val="SCCNormalDoubleSpacing"/>
        <w:spacing w:after="240" w:line="240" w:lineRule="auto"/>
        <w:ind w:left="540" w:hanging="540"/>
      </w:pPr>
      <w:proofErr w:type="spellStart"/>
      <w:proofErr w:type="gramStart"/>
      <w:r w:rsidRPr="00406DF4">
        <w:rPr>
          <w:i/>
          <w:iCs/>
          <w:lang w:val="en-US"/>
        </w:rPr>
        <w:t>Labour</w:t>
      </w:r>
      <w:proofErr w:type="spellEnd"/>
      <w:r w:rsidRPr="00406DF4">
        <w:rPr>
          <w:i/>
          <w:iCs/>
          <w:lang w:val="en-US"/>
        </w:rPr>
        <w:t xml:space="preserve"> Relations Act, 1995</w:t>
      </w:r>
      <w:r w:rsidRPr="00406DF4">
        <w:rPr>
          <w:lang w:val="en-US"/>
        </w:rPr>
        <w:t xml:space="preserve">, S.O. 1995, </w:t>
      </w:r>
      <w:r w:rsidR="00C837D1" w:rsidRPr="00406DF4">
        <w:rPr>
          <w:lang w:val="en-US"/>
        </w:rPr>
        <w:t>c. </w:t>
      </w:r>
      <w:r w:rsidRPr="00406DF4">
        <w:rPr>
          <w:lang w:val="en-US"/>
        </w:rPr>
        <w:t>1, Sch.</w:t>
      </w:r>
      <w:proofErr w:type="gramEnd"/>
      <w:r w:rsidRPr="00406DF4">
        <w:rPr>
          <w:lang w:val="en-US"/>
        </w:rPr>
        <w:t xml:space="preserve"> </w:t>
      </w:r>
      <w:proofErr w:type="gramStart"/>
      <w:r>
        <w:t>A</w:t>
      </w:r>
      <w:r w:rsidR="007633B0">
        <w:t xml:space="preserve">, </w:t>
      </w:r>
      <w:r w:rsidR="00C837D1">
        <w:t>s</w:t>
      </w:r>
      <w:r w:rsidR="00016514">
        <w:t>s</w:t>
      </w:r>
      <w:r w:rsidR="00C837D1">
        <w:t>.</w:t>
      </w:r>
      <w:r w:rsidR="00F026B4">
        <w:t xml:space="preserve"> 3(b.1), </w:t>
      </w:r>
      <w:r w:rsidR="007633B0">
        <w:t>17</w:t>
      </w:r>
      <w:r>
        <w:t>.</w:t>
      </w:r>
      <w:proofErr w:type="gramEnd"/>
    </w:p>
    <w:p w:rsidR="00327E6D" w:rsidRDefault="00327E6D" w:rsidP="00AA19FE">
      <w:pPr>
        <w:pStyle w:val="SCCNormalDoubleSpacing"/>
        <w:spacing w:after="240" w:line="240" w:lineRule="auto"/>
        <w:ind w:left="540" w:hanging="540"/>
      </w:pPr>
      <w:proofErr w:type="gramStart"/>
      <w:r>
        <w:rPr>
          <w:i/>
          <w:iCs/>
        </w:rPr>
        <w:t>Labour Relations and Employment Statute Law Amendment Act, 1995</w:t>
      </w:r>
      <w:r>
        <w:t xml:space="preserve">, S.O. </w:t>
      </w:r>
      <w:r w:rsidRPr="00AA19FE">
        <w:t>1995</w:t>
      </w:r>
      <w:r>
        <w:t xml:space="preserve">, </w:t>
      </w:r>
      <w:r w:rsidR="00C837D1">
        <w:t>c. </w:t>
      </w:r>
      <w:r>
        <w:t>1.</w:t>
      </w:r>
      <w:proofErr w:type="gramEnd"/>
    </w:p>
    <w:p w:rsidR="002D1FD3" w:rsidRPr="003A50F0" w:rsidRDefault="002D1FD3" w:rsidP="00AA19FE">
      <w:pPr>
        <w:pStyle w:val="SCCNormalDoubleSpacing"/>
        <w:spacing w:after="240" w:line="240" w:lineRule="auto"/>
        <w:ind w:left="540" w:hanging="540"/>
        <w:rPr>
          <w:lang w:val="fr-CA"/>
        </w:rPr>
      </w:pPr>
      <w:r w:rsidRPr="003A50F0">
        <w:rPr>
          <w:i/>
          <w:lang w:val="fr-CA"/>
        </w:rPr>
        <w:t>Labour Relations Code</w:t>
      </w:r>
      <w:r w:rsidRPr="003A50F0">
        <w:rPr>
          <w:lang w:val="fr-CA"/>
        </w:rPr>
        <w:t xml:space="preserve">, R.S.A. </w:t>
      </w:r>
      <w:r w:rsidRPr="00A00D29">
        <w:rPr>
          <w:lang w:val="fr-CA"/>
        </w:rPr>
        <w:t>2000</w:t>
      </w:r>
      <w:r w:rsidRPr="003A50F0">
        <w:rPr>
          <w:lang w:val="fr-CA"/>
        </w:rPr>
        <w:t xml:space="preserve">, </w:t>
      </w:r>
      <w:r w:rsidR="00C837D1">
        <w:rPr>
          <w:lang w:val="fr-CA"/>
        </w:rPr>
        <w:t>c. </w:t>
      </w:r>
      <w:r w:rsidRPr="003A50F0">
        <w:rPr>
          <w:lang w:val="fr-CA"/>
        </w:rPr>
        <w:t>L</w:t>
      </w:r>
      <w:r w:rsidR="00F02F88">
        <w:rPr>
          <w:lang w:val="fr-CA"/>
        </w:rPr>
        <w:noBreakHyphen/>
      </w:r>
      <w:r w:rsidRPr="003A50F0">
        <w:rPr>
          <w:lang w:val="fr-CA"/>
        </w:rPr>
        <w:t xml:space="preserve">1, </w:t>
      </w:r>
      <w:r w:rsidR="00C837D1">
        <w:rPr>
          <w:lang w:val="fr-CA"/>
        </w:rPr>
        <w:t>s. </w:t>
      </w:r>
      <w:r w:rsidRPr="003A50F0">
        <w:rPr>
          <w:lang w:val="fr-CA"/>
        </w:rPr>
        <w:t>4(2</w:t>
      </w:r>
      <w:proofErr w:type="gramStart"/>
      <w:r w:rsidRPr="003A50F0">
        <w:rPr>
          <w:lang w:val="fr-CA"/>
        </w:rPr>
        <w:t>)(</w:t>
      </w:r>
      <w:proofErr w:type="gramEnd"/>
      <w:r w:rsidRPr="003A50F0">
        <w:rPr>
          <w:lang w:val="fr-CA"/>
        </w:rPr>
        <w:t>e).</w:t>
      </w:r>
    </w:p>
    <w:p w:rsidR="007A6BB5" w:rsidRPr="003A50F0" w:rsidRDefault="007A6BB5" w:rsidP="00AA19FE">
      <w:pPr>
        <w:pStyle w:val="SCCNormalDoubleSpacing"/>
        <w:spacing w:after="240" w:line="240" w:lineRule="auto"/>
        <w:ind w:left="540" w:hanging="540"/>
        <w:rPr>
          <w:lang w:val="fr-CA"/>
        </w:rPr>
      </w:pPr>
      <w:r w:rsidRPr="003A50F0">
        <w:rPr>
          <w:i/>
          <w:lang w:val="fr-CA"/>
        </w:rPr>
        <w:t>Labour Relations Code</w:t>
      </w:r>
      <w:r w:rsidR="00F02F88">
        <w:rPr>
          <w:lang w:val="fr-CA"/>
        </w:rPr>
        <w:t>, R.S.B.</w:t>
      </w:r>
      <w:r w:rsidR="00C837D1">
        <w:rPr>
          <w:lang w:val="fr-CA"/>
        </w:rPr>
        <w:t xml:space="preserve">C. </w:t>
      </w:r>
      <w:r w:rsidR="00F02F88" w:rsidRPr="00A00D29">
        <w:rPr>
          <w:lang w:val="fr-CA"/>
        </w:rPr>
        <w:t>1996</w:t>
      </w:r>
      <w:r w:rsidR="00F02F88">
        <w:rPr>
          <w:lang w:val="fr-CA"/>
        </w:rPr>
        <w:t>, c. </w:t>
      </w:r>
      <w:r w:rsidRPr="003A50F0">
        <w:rPr>
          <w:lang w:val="fr-CA"/>
        </w:rPr>
        <w:t xml:space="preserve">244, </w:t>
      </w:r>
      <w:r w:rsidR="00C837D1">
        <w:rPr>
          <w:lang w:val="fr-CA"/>
        </w:rPr>
        <w:t>s. </w:t>
      </w:r>
      <w:r w:rsidRPr="003A50F0">
        <w:rPr>
          <w:lang w:val="fr-CA"/>
        </w:rPr>
        <w:t>1.</w:t>
      </w:r>
    </w:p>
    <w:p w:rsidR="00F05F5B" w:rsidRPr="00F05F5B" w:rsidRDefault="00F05F5B" w:rsidP="00AA19FE">
      <w:pPr>
        <w:pStyle w:val="SCCNormalDoubleSpacing"/>
        <w:spacing w:after="240" w:line="240" w:lineRule="auto"/>
        <w:ind w:left="540" w:hanging="540"/>
      </w:pPr>
      <w:r w:rsidRPr="00F05F5B">
        <w:rPr>
          <w:i/>
          <w:iCs/>
        </w:rPr>
        <w:t>National Labor Relations Act</w:t>
      </w:r>
      <w:r w:rsidR="00B57023">
        <w:rPr>
          <w:iCs/>
        </w:rPr>
        <w:t>, 49 Stat. 449 (1935) (</w:t>
      </w:r>
      <w:r w:rsidR="00B57023" w:rsidRPr="00AA19FE">
        <w:t>codified</w:t>
      </w:r>
      <w:r w:rsidR="00AA6530">
        <w:rPr>
          <w:iCs/>
        </w:rPr>
        <w:t xml:space="preserve"> as amended at 29 U.S.C. §§</w:t>
      </w:r>
      <w:r w:rsidR="00B57023">
        <w:rPr>
          <w:iCs/>
        </w:rPr>
        <w:t>151</w:t>
      </w:r>
      <w:r w:rsidR="00F02F88">
        <w:rPr>
          <w:iCs/>
        </w:rPr>
        <w:noBreakHyphen/>
      </w:r>
      <w:r w:rsidR="00B57023" w:rsidRPr="00B57023">
        <w:rPr>
          <w:iCs/>
        </w:rPr>
        <w:t>169</w:t>
      </w:r>
      <w:r w:rsidR="00B57023">
        <w:rPr>
          <w:iCs/>
        </w:rPr>
        <w:t>)</w:t>
      </w:r>
      <w:r>
        <w:rPr>
          <w:iCs/>
        </w:rPr>
        <w:t>.</w:t>
      </w:r>
    </w:p>
    <w:p w:rsidR="007A6BB5" w:rsidRDefault="007A6BB5" w:rsidP="00AA19FE">
      <w:pPr>
        <w:pStyle w:val="SCCNormalDoubleSpacing"/>
        <w:spacing w:after="240" w:line="240" w:lineRule="auto"/>
        <w:ind w:left="540" w:hanging="540"/>
      </w:pPr>
      <w:r w:rsidRPr="00506D58">
        <w:rPr>
          <w:i/>
        </w:rPr>
        <w:t>Trade Union Act</w:t>
      </w:r>
      <w:r w:rsidR="00F02F88">
        <w:t>, R.S.N.S. 1989, c. </w:t>
      </w:r>
      <w:r>
        <w:t xml:space="preserve">475, </w:t>
      </w:r>
      <w:r w:rsidR="00C837D1">
        <w:t>s. </w:t>
      </w:r>
      <w:r>
        <w:t>2(1).</w:t>
      </w:r>
    </w:p>
    <w:p w:rsidR="007A6BB5" w:rsidRDefault="007A6BB5" w:rsidP="00AA19FE">
      <w:pPr>
        <w:pStyle w:val="SCCNormalDoubleSpacing"/>
        <w:spacing w:after="720" w:line="240" w:lineRule="auto"/>
        <w:ind w:left="547" w:hanging="547"/>
      </w:pPr>
      <w:r w:rsidRPr="00506D58">
        <w:rPr>
          <w:i/>
        </w:rPr>
        <w:t>Trade Union Act</w:t>
      </w:r>
      <w:r w:rsidR="00F02F88">
        <w:t>, R.S.S. 1978, c. </w:t>
      </w:r>
      <w:r>
        <w:t>T</w:t>
      </w:r>
      <w:r w:rsidR="00F02F88">
        <w:noBreakHyphen/>
      </w:r>
      <w:r>
        <w:t xml:space="preserve">17, </w:t>
      </w:r>
      <w:r w:rsidR="00C837D1">
        <w:t>s. </w:t>
      </w:r>
      <w:r>
        <w:t>2.</w:t>
      </w:r>
    </w:p>
    <w:p w:rsidR="00C544AD" w:rsidRPr="007C30D0" w:rsidRDefault="00C544AD" w:rsidP="00F02F88">
      <w:pPr>
        <w:pStyle w:val="SCCNormalDoubleSpacing"/>
        <w:keepNext/>
        <w:spacing w:after="720" w:line="240" w:lineRule="auto"/>
        <w:rPr>
          <w:b/>
        </w:rPr>
      </w:pPr>
      <w:r w:rsidRPr="007C30D0">
        <w:rPr>
          <w:b/>
        </w:rPr>
        <w:t>Treaties and Other International Instruments</w:t>
      </w:r>
    </w:p>
    <w:p w:rsidR="00AF50AC" w:rsidRDefault="00AF50AC" w:rsidP="00AF50AC">
      <w:pPr>
        <w:pStyle w:val="SCCNormalDoubleSpacing"/>
        <w:spacing w:after="240" w:line="240" w:lineRule="auto"/>
        <w:ind w:left="547" w:hanging="547"/>
      </w:pPr>
      <w:r w:rsidRPr="00127B45">
        <w:rPr>
          <w:i/>
          <w:iCs/>
        </w:rPr>
        <w:t>Constitution of the International Labour Organisation</w:t>
      </w:r>
      <w:r w:rsidRPr="00127B45">
        <w:t xml:space="preserve">, </w:t>
      </w:r>
      <w:proofErr w:type="gramStart"/>
      <w:r w:rsidR="00AA6530">
        <w:t>15 U.N.T.S. 40</w:t>
      </w:r>
      <w:proofErr w:type="gramEnd"/>
      <w:r w:rsidR="00AA6530">
        <w:t>, A</w:t>
      </w:r>
      <w:r>
        <w:t>rt. </w:t>
      </w:r>
      <w:r w:rsidRPr="00127B45">
        <w:t>19(5</w:t>
      </w:r>
      <w:proofErr w:type="gramStart"/>
      <w:r w:rsidRPr="00127B45">
        <w:t>)(</w:t>
      </w:r>
      <w:proofErr w:type="gramEnd"/>
      <w:r w:rsidRPr="00127B45">
        <w:rPr>
          <w:i/>
        </w:rPr>
        <w:t>e</w:t>
      </w:r>
      <w:r w:rsidRPr="00127B45">
        <w:t>)</w:t>
      </w:r>
      <w:r>
        <w:t>.</w:t>
      </w:r>
    </w:p>
    <w:p w:rsidR="00C544AD" w:rsidRDefault="00C544AD" w:rsidP="00F5300A">
      <w:pPr>
        <w:pStyle w:val="SCCNormalDoubleSpacing"/>
        <w:spacing w:after="240" w:line="240" w:lineRule="auto"/>
        <w:ind w:left="547" w:hanging="547"/>
      </w:pPr>
      <w:r>
        <w:rPr>
          <w:i/>
        </w:rPr>
        <w:t>Convention (</w:t>
      </w:r>
      <w:r w:rsidR="00F02F88">
        <w:rPr>
          <w:i/>
        </w:rPr>
        <w:t>No. </w:t>
      </w:r>
      <w:r>
        <w:rPr>
          <w:i/>
        </w:rPr>
        <w:t>87) c</w:t>
      </w:r>
      <w:r w:rsidRPr="007C30D0">
        <w:rPr>
          <w:i/>
        </w:rPr>
        <w:t xml:space="preserve">oncerning </w:t>
      </w:r>
      <w:r>
        <w:rPr>
          <w:i/>
        </w:rPr>
        <w:t>f</w:t>
      </w:r>
      <w:r w:rsidRPr="007C30D0">
        <w:rPr>
          <w:i/>
        </w:rPr>
        <w:t xml:space="preserve">reedom of </w:t>
      </w:r>
      <w:r>
        <w:rPr>
          <w:i/>
        </w:rPr>
        <w:t>a</w:t>
      </w:r>
      <w:r w:rsidRPr="007C30D0">
        <w:rPr>
          <w:i/>
        </w:rPr>
        <w:t xml:space="preserve">ssociation and </w:t>
      </w:r>
      <w:r>
        <w:rPr>
          <w:i/>
        </w:rPr>
        <w:t>p</w:t>
      </w:r>
      <w:r w:rsidRPr="007C30D0">
        <w:rPr>
          <w:i/>
        </w:rPr>
        <w:t>r</w:t>
      </w:r>
      <w:r>
        <w:rPr>
          <w:i/>
        </w:rPr>
        <w:t>otection of the right to organis</w:t>
      </w:r>
      <w:r w:rsidRPr="007C30D0">
        <w:rPr>
          <w:i/>
        </w:rPr>
        <w:t>e</w:t>
      </w:r>
      <w:r w:rsidRPr="007C30D0">
        <w:t>, 68 U.N.T.S. 17.</w:t>
      </w:r>
    </w:p>
    <w:p w:rsidR="00C544AD" w:rsidRDefault="00C544AD" w:rsidP="00F5300A">
      <w:pPr>
        <w:pStyle w:val="SCCNormalDoubleSpacing"/>
        <w:spacing w:after="240" w:line="240" w:lineRule="auto"/>
        <w:ind w:left="547" w:hanging="547"/>
      </w:pPr>
      <w:r w:rsidRPr="00157DAC">
        <w:rPr>
          <w:i/>
        </w:rPr>
        <w:t>Convention (</w:t>
      </w:r>
      <w:r w:rsidR="00F02F88">
        <w:rPr>
          <w:i/>
        </w:rPr>
        <w:t>No. </w:t>
      </w:r>
      <w:r w:rsidRPr="00157DAC">
        <w:rPr>
          <w:i/>
        </w:rPr>
        <w:t>98) concerning the application of the principles of the right to organise and to bargain collectively</w:t>
      </w:r>
      <w:r>
        <w:t>, 96 U.N.T.S. 257</w:t>
      </w:r>
      <w:r w:rsidR="00AA6530">
        <w:t>, A</w:t>
      </w:r>
      <w:r w:rsidR="00F71190">
        <w:t>rt. 4</w:t>
      </w:r>
      <w:r>
        <w:t>.</w:t>
      </w:r>
    </w:p>
    <w:p w:rsidR="00C544AD" w:rsidRPr="009B0715" w:rsidRDefault="00C544AD" w:rsidP="00F5300A">
      <w:pPr>
        <w:pStyle w:val="SCCNormalDoubleSpacing"/>
        <w:spacing w:after="240" w:line="240" w:lineRule="auto"/>
        <w:ind w:left="547" w:hanging="547"/>
        <w:rPr>
          <w:i/>
          <w:iCs/>
        </w:rPr>
      </w:pPr>
      <w:r w:rsidRPr="009B0715">
        <w:rPr>
          <w:i/>
          <w:iCs/>
        </w:rPr>
        <w:t>International Covenant on Civil and Political Rights</w:t>
      </w:r>
      <w:r w:rsidRPr="009B0715">
        <w:t xml:space="preserve">, </w:t>
      </w:r>
      <w:proofErr w:type="gramStart"/>
      <w:r w:rsidRPr="009B0715">
        <w:t>999 U.N.T.S. 171</w:t>
      </w:r>
      <w:proofErr w:type="gramEnd"/>
      <w:r w:rsidRPr="009B0715">
        <w:t>.</w:t>
      </w:r>
    </w:p>
    <w:p w:rsidR="00C544AD" w:rsidRDefault="00C544AD" w:rsidP="00F5300A">
      <w:pPr>
        <w:pStyle w:val="SCCNormalDoubleSpacing"/>
        <w:spacing w:after="720" w:line="240" w:lineRule="auto"/>
        <w:ind w:left="547" w:hanging="547"/>
      </w:pPr>
      <w:r w:rsidRPr="009B0715">
        <w:rPr>
          <w:i/>
          <w:iCs/>
        </w:rPr>
        <w:t>International Covenant on Economic, Social and Cultural Rights</w:t>
      </w:r>
      <w:r w:rsidRPr="009B0715">
        <w:t xml:space="preserve">, </w:t>
      </w:r>
      <w:proofErr w:type="gramStart"/>
      <w:r w:rsidRPr="009B0715">
        <w:t>993 U.N.T.S. 3</w:t>
      </w:r>
      <w:proofErr w:type="gramEnd"/>
      <w:r w:rsidRPr="009B0715">
        <w:t>.</w:t>
      </w:r>
    </w:p>
    <w:p w:rsidR="002E6705" w:rsidRDefault="002E6705" w:rsidP="00F5300A">
      <w:pPr>
        <w:pStyle w:val="SCCNormalDoubleSpacing"/>
        <w:keepNext/>
        <w:spacing w:after="720" w:line="240" w:lineRule="auto"/>
        <w:rPr>
          <w:b/>
        </w:rPr>
      </w:pPr>
      <w:r w:rsidRPr="00314E01">
        <w:rPr>
          <w:b/>
        </w:rPr>
        <w:t>Authors Cited</w:t>
      </w:r>
    </w:p>
    <w:p w:rsidR="00335E51" w:rsidRDefault="00335E51" w:rsidP="00316000">
      <w:pPr>
        <w:pStyle w:val="SCCNormalDoubleSpacing"/>
        <w:spacing w:after="240" w:line="240" w:lineRule="auto"/>
        <w:ind w:left="540" w:hanging="540"/>
      </w:pPr>
      <w:r>
        <w:t>Adams, G</w:t>
      </w:r>
      <w:r w:rsidR="00820D48">
        <w:t>eorge</w:t>
      </w:r>
      <w:r w:rsidR="00F5300A">
        <w:t> </w:t>
      </w:r>
      <w:r>
        <w:t>W.</w:t>
      </w:r>
      <w:r w:rsidR="007B37E2">
        <w:t xml:space="preserve"> </w:t>
      </w:r>
      <w:r>
        <w:t xml:space="preserve"> </w:t>
      </w:r>
      <w:r w:rsidRPr="006248EF">
        <w:rPr>
          <w:i/>
        </w:rPr>
        <w:t>Canadian Labour Law</w:t>
      </w:r>
      <w:r w:rsidR="00820D48">
        <w:t xml:space="preserve">, </w:t>
      </w:r>
      <w:r>
        <w:t xml:space="preserve">2nd ed. </w:t>
      </w:r>
      <w:r w:rsidR="00820D48">
        <w:t>Aurora, Ont.</w:t>
      </w:r>
      <w:r w:rsidR="003162CC">
        <w:t xml:space="preserve">: </w:t>
      </w:r>
      <w:r w:rsidR="00820D48">
        <w:t xml:space="preserve"> Canada Law Book, 1993 </w:t>
      </w:r>
      <w:r>
        <w:t>(</w:t>
      </w:r>
      <w:r w:rsidRPr="00316000">
        <w:t>loose</w:t>
      </w:r>
      <w:r w:rsidR="00F02F88">
        <w:noBreakHyphen/>
      </w:r>
      <w:r>
        <w:t>leaf</w:t>
      </w:r>
      <w:r w:rsidR="00820D48">
        <w:t xml:space="preserve"> updated </w:t>
      </w:r>
      <w:r w:rsidR="001550F7" w:rsidRPr="003E6C19">
        <w:t>December</w:t>
      </w:r>
      <w:r w:rsidR="00820D48">
        <w:t xml:space="preserve"> 2010, release </w:t>
      </w:r>
      <w:r w:rsidR="00820D48" w:rsidRPr="003E6C19">
        <w:t>3</w:t>
      </w:r>
      <w:r w:rsidR="001550F7" w:rsidRPr="003E6C19">
        <w:t>7</w:t>
      </w:r>
      <w:r>
        <w:t>)</w:t>
      </w:r>
      <w:r w:rsidR="00820D48">
        <w:t>.</w:t>
      </w:r>
    </w:p>
    <w:p w:rsidR="007B37E2" w:rsidRDefault="00F5300A" w:rsidP="00316000">
      <w:pPr>
        <w:pStyle w:val="SCCNormalDoubleSpacing"/>
        <w:spacing w:after="240" w:line="240" w:lineRule="auto"/>
        <w:ind w:left="540" w:hanging="540"/>
      </w:pPr>
      <w:r>
        <w:lastRenderedPageBreak/>
        <w:t>Adams, Roy </w:t>
      </w:r>
      <w:r w:rsidR="007B37E2">
        <w:t xml:space="preserve">J.  </w:t>
      </w:r>
      <w:proofErr w:type="gramStart"/>
      <w:r w:rsidR="007B37E2">
        <w:t xml:space="preserve">“Prospects for Labour’s Right to Bargain Collectively After </w:t>
      </w:r>
      <w:r w:rsidR="007B37E2" w:rsidRPr="007B37E2">
        <w:rPr>
          <w:i/>
        </w:rPr>
        <w:t>B.C. Health Services</w:t>
      </w:r>
      <w:r w:rsidR="007B37E2">
        <w:t xml:space="preserve">” (2009), </w:t>
      </w:r>
      <w:r w:rsidR="007B37E2" w:rsidRPr="00316000">
        <w:t>59</w:t>
      </w:r>
      <w:r w:rsidR="007B37E2">
        <w:t xml:space="preserve"> </w:t>
      </w:r>
      <w:r w:rsidR="007B37E2" w:rsidRPr="007B37E2">
        <w:rPr>
          <w:i/>
        </w:rPr>
        <w:t>U.N.B.L.J.</w:t>
      </w:r>
      <w:r w:rsidR="007B37E2">
        <w:t xml:space="preserve"> 85.</w:t>
      </w:r>
      <w:proofErr w:type="gramEnd"/>
    </w:p>
    <w:p w:rsidR="004A2F28" w:rsidRDefault="004A2F28" w:rsidP="00316000">
      <w:pPr>
        <w:pStyle w:val="SCCNormalDoubleSpacing"/>
        <w:spacing w:after="240" w:line="240" w:lineRule="auto"/>
        <w:ind w:left="540" w:hanging="540"/>
      </w:pPr>
      <w:r w:rsidRPr="00826181">
        <w:t>Bandes</w:t>
      </w:r>
      <w:r>
        <w:t>,</w:t>
      </w:r>
      <w:r w:rsidRPr="00826181">
        <w:t xml:space="preserve"> Susan</w:t>
      </w:r>
      <w:r>
        <w:t>.</w:t>
      </w:r>
      <w:r w:rsidR="007B37E2">
        <w:t xml:space="preserve"> </w:t>
      </w:r>
      <w:r w:rsidRPr="00826181">
        <w:t xml:space="preserve"> </w:t>
      </w:r>
      <w:proofErr w:type="gramStart"/>
      <w:r w:rsidRPr="00826181">
        <w:t>“</w:t>
      </w:r>
      <w:r>
        <w:t xml:space="preserve">The </w:t>
      </w:r>
      <w:r w:rsidRPr="00826181">
        <w:t>Negative Constitution</w:t>
      </w:r>
      <w:r w:rsidR="003162CC">
        <w:t xml:space="preserve">: </w:t>
      </w:r>
      <w:r w:rsidRPr="00826181">
        <w:t xml:space="preserve"> A Critique” (1990), 88 </w:t>
      </w:r>
      <w:r w:rsidRPr="004A2F28">
        <w:rPr>
          <w:i/>
        </w:rPr>
        <w:t>Mi</w:t>
      </w:r>
      <w:r w:rsidR="00F02F88">
        <w:rPr>
          <w:i/>
        </w:rPr>
        <w:t>ch. </w:t>
      </w:r>
      <w:r w:rsidRPr="004A2F28">
        <w:rPr>
          <w:i/>
        </w:rPr>
        <w:t>L. Rev.</w:t>
      </w:r>
      <w:r w:rsidRPr="00826181">
        <w:t xml:space="preserve"> 2271</w:t>
      </w:r>
      <w:r>
        <w:t>.</w:t>
      </w:r>
      <w:proofErr w:type="gramEnd"/>
    </w:p>
    <w:p w:rsidR="001550F7" w:rsidRDefault="001550F7" w:rsidP="00316000">
      <w:pPr>
        <w:pStyle w:val="SCCNormalDoubleSpacing"/>
        <w:spacing w:after="240" w:line="240" w:lineRule="auto"/>
        <w:ind w:left="540" w:hanging="540"/>
      </w:pPr>
      <w:proofErr w:type="spellStart"/>
      <w:r w:rsidRPr="002F42BA">
        <w:t>Barak</w:t>
      </w:r>
      <w:r w:rsidR="00F02F88">
        <w:noBreakHyphen/>
      </w:r>
      <w:r w:rsidRPr="002F42BA">
        <w:t>Ussoskin</w:t>
      </w:r>
      <w:proofErr w:type="spellEnd"/>
      <w:r w:rsidRPr="002F42BA">
        <w:t xml:space="preserve">, </w:t>
      </w:r>
      <w:proofErr w:type="spellStart"/>
      <w:r w:rsidRPr="002F42BA">
        <w:t>Elisheva</w:t>
      </w:r>
      <w:proofErr w:type="spellEnd"/>
      <w:r w:rsidRPr="002F42BA">
        <w:t xml:space="preserve"> (</w:t>
      </w:r>
      <w:proofErr w:type="spellStart"/>
      <w:r w:rsidRPr="002F42BA">
        <w:t>Elika</w:t>
      </w:r>
      <w:proofErr w:type="spellEnd"/>
      <w:r w:rsidRPr="002F42BA">
        <w:t>)</w:t>
      </w:r>
      <w:r>
        <w:t>.</w:t>
      </w:r>
      <w:r w:rsidR="007B37E2">
        <w:t xml:space="preserve"> </w:t>
      </w:r>
      <w:r w:rsidRPr="002F42BA">
        <w:t xml:space="preserve"> “Collaboration in the Tripartite System</w:t>
      </w:r>
      <w:r w:rsidR="003162CC">
        <w:t xml:space="preserve">: </w:t>
      </w:r>
      <w:r w:rsidRPr="002F42BA">
        <w:t xml:space="preserve"> The Right to be Consulted and the Duty to </w:t>
      </w:r>
      <w:proofErr w:type="gramStart"/>
      <w:r w:rsidRPr="002F42BA">
        <w:t>Consult</w:t>
      </w:r>
      <w:proofErr w:type="gramEnd"/>
      <w:r w:rsidRPr="002F42BA">
        <w:t>”</w:t>
      </w:r>
      <w:r>
        <w:t>, in</w:t>
      </w:r>
      <w:r w:rsidR="000A63F1">
        <w:t xml:space="preserve"> </w:t>
      </w:r>
      <w:r w:rsidR="000A63F1" w:rsidRPr="00764ED1">
        <w:t>Armin Höland et al., eds.,</w:t>
      </w:r>
      <w:r w:rsidRPr="00764ED1">
        <w:t xml:space="preserve"> </w:t>
      </w:r>
      <w:r w:rsidR="000A63F1" w:rsidRPr="00764ED1">
        <w:rPr>
          <w:i/>
        </w:rPr>
        <w:t>Employee Involvement in a Globalising World</w:t>
      </w:r>
      <w:r w:rsidR="003162CC">
        <w:rPr>
          <w:i/>
        </w:rPr>
        <w:t xml:space="preserve">: </w:t>
      </w:r>
      <w:r w:rsidR="000A63F1" w:rsidRPr="00764ED1">
        <w:rPr>
          <w:i/>
        </w:rPr>
        <w:t xml:space="preserve"> Liber Amicorum Manfred Wei</w:t>
      </w:r>
      <w:r w:rsidR="00F02F88">
        <w:rPr>
          <w:i/>
        </w:rPr>
        <w:t>ss.</w:t>
      </w:r>
      <w:r w:rsidR="00C837D1">
        <w:rPr>
          <w:i/>
        </w:rPr>
        <w:t xml:space="preserve">  </w:t>
      </w:r>
      <w:r w:rsidR="000A63F1" w:rsidRPr="00764ED1">
        <w:t xml:space="preserve">Berlin: </w:t>
      </w:r>
      <w:r w:rsidR="00C837D1">
        <w:t xml:space="preserve"> </w:t>
      </w:r>
      <w:r w:rsidR="000A63F1" w:rsidRPr="00764ED1">
        <w:t xml:space="preserve">Berliner </w:t>
      </w:r>
      <w:proofErr w:type="spellStart"/>
      <w:r w:rsidR="000A63F1" w:rsidRPr="00764ED1">
        <w:t>Wissenschafts</w:t>
      </w:r>
      <w:r w:rsidR="00F02F88">
        <w:noBreakHyphen/>
      </w:r>
      <w:r w:rsidR="000A63F1" w:rsidRPr="00764ED1">
        <w:t>Verlag</w:t>
      </w:r>
      <w:proofErr w:type="spellEnd"/>
      <w:r w:rsidR="000A63F1" w:rsidRPr="00764ED1">
        <w:t>, 2005,</w:t>
      </w:r>
      <w:r w:rsidR="000A63F1" w:rsidRPr="000A63F1">
        <w:t xml:space="preserve"> </w:t>
      </w:r>
      <w:r>
        <w:t>439.</w:t>
      </w:r>
    </w:p>
    <w:p w:rsidR="00327E6D" w:rsidRDefault="00134D22" w:rsidP="00316000">
      <w:pPr>
        <w:pStyle w:val="SCCNormalDoubleSpacing"/>
        <w:spacing w:after="240" w:line="240" w:lineRule="auto"/>
        <w:ind w:left="540" w:hanging="540"/>
      </w:pPr>
      <w:r>
        <w:t>Basu, Robin </w:t>
      </w:r>
      <w:r w:rsidR="00327E6D">
        <w:t xml:space="preserve">K. </w:t>
      </w:r>
      <w:r w:rsidR="007B37E2">
        <w:t xml:space="preserve"> </w:t>
      </w:r>
      <w:proofErr w:type="gramStart"/>
      <w:r w:rsidR="00327E6D">
        <w:t>“Revolution and Aftermath</w:t>
      </w:r>
      <w:r w:rsidR="003162CC">
        <w:t xml:space="preserve">: </w:t>
      </w:r>
      <w:r w:rsidR="00327E6D">
        <w:t xml:space="preserve"> </w:t>
      </w:r>
      <w:r w:rsidR="00327E6D">
        <w:rPr>
          <w:i/>
          <w:iCs/>
        </w:rPr>
        <w:t>B.C. Health Services</w:t>
      </w:r>
      <w:r w:rsidR="00327E6D">
        <w:t xml:space="preserve"> and Its Implications” (2008), 42 </w:t>
      </w:r>
      <w:r w:rsidR="00327E6D">
        <w:rPr>
          <w:i/>
          <w:iCs/>
        </w:rPr>
        <w:t>S.C.L.R.</w:t>
      </w:r>
      <w:r w:rsidR="00327E6D">
        <w:t xml:space="preserve"> (2d) 165.</w:t>
      </w:r>
      <w:proofErr w:type="gramEnd"/>
    </w:p>
    <w:p w:rsidR="00EC7FF2" w:rsidRPr="003162CC" w:rsidRDefault="00EC7FF2" w:rsidP="00316000">
      <w:pPr>
        <w:pStyle w:val="SCCNormalDoubleSpacing"/>
        <w:spacing w:after="240" w:line="240" w:lineRule="auto"/>
        <w:ind w:left="540" w:hanging="540"/>
        <w:rPr>
          <w:lang w:val="en-US"/>
        </w:rPr>
      </w:pPr>
      <w:proofErr w:type="gramStart"/>
      <w:r w:rsidRPr="00AF7055">
        <w:t>Beatty</w:t>
      </w:r>
      <w:r w:rsidR="00AF7055" w:rsidRPr="00AF7055">
        <w:t>, David,</w:t>
      </w:r>
      <w:r w:rsidRPr="00AF7055">
        <w:t xml:space="preserve"> and </w:t>
      </w:r>
      <w:r w:rsidR="00AF7055" w:rsidRPr="00AF7055">
        <w:t xml:space="preserve">Steven </w:t>
      </w:r>
      <w:r w:rsidRPr="00AF7055">
        <w:t>Kennett</w:t>
      </w:r>
      <w:r w:rsidR="00AF7055" w:rsidRPr="00AF7055">
        <w:t>.</w:t>
      </w:r>
      <w:proofErr w:type="gramEnd"/>
      <w:r w:rsidR="007B37E2">
        <w:t xml:space="preserve"> </w:t>
      </w:r>
      <w:r w:rsidRPr="00AF7055">
        <w:t xml:space="preserve"> </w:t>
      </w:r>
      <w:proofErr w:type="gramStart"/>
      <w:r w:rsidRPr="00AF7055">
        <w:t>“Striking Back</w:t>
      </w:r>
      <w:r w:rsidR="003162CC">
        <w:t xml:space="preserve">: </w:t>
      </w:r>
      <w:r w:rsidRPr="00AF7055">
        <w:t xml:space="preserve"> Fighting Words, Social Protest and Political Participation in Free and Democratic Societies” (1988), 67 </w:t>
      </w:r>
      <w:r w:rsidRPr="00AF7055">
        <w:rPr>
          <w:i/>
        </w:rPr>
        <w:t xml:space="preserve">Can. </w:t>
      </w:r>
      <w:r w:rsidRPr="003162CC">
        <w:rPr>
          <w:i/>
          <w:lang w:val="en-US"/>
        </w:rPr>
        <w:t>Bar Rev.</w:t>
      </w:r>
      <w:r w:rsidRPr="003162CC">
        <w:rPr>
          <w:lang w:val="en-US"/>
        </w:rPr>
        <w:t xml:space="preserve"> </w:t>
      </w:r>
      <w:r w:rsidRPr="00316000">
        <w:t>573</w:t>
      </w:r>
      <w:r w:rsidRPr="003162CC">
        <w:rPr>
          <w:lang w:val="en-US"/>
        </w:rPr>
        <w:t>.</w:t>
      </w:r>
      <w:proofErr w:type="gramEnd"/>
    </w:p>
    <w:p w:rsidR="003E6C19" w:rsidRPr="00777DAD" w:rsidRDefault="00F5300A" w:rsidP="00316000">
      <w:pPr>
        <w:pStyle w:val="SCCNormalDoubleSpacing"/>
        <w:spacing w:after="240" w:line="240" w:lineRule="auto"/>
        <w:ind w:left="540" w:hanging="540"/>
        <w:rPr>
          <w:lang w:val="fr-CA"/>
        </w:rPr>
      </w:pPr>
      <w:r>
        <w:t>Beatty, David </w:t>
      </w:r>
      <w:r w:rsidR="003E6C19" w:rsidRPr="00CF56C2">
        <w:t xml:space="preserve">M. </w:t>
      </w:r>
      <w:r w:rsidR="003E6C19">
        <w:t xml:space="preserve"> </w:t>
      </w:r>
      <w:proofErr w:type="gramStart"/>
      <w:r w:rsidR="003E6C19" w:rsidRPr="00CF56C2">
        <w:rPr>
          <w:i/>
        </w:rPr>
        <w:t>Putting the Charter to Work</w:t>
      </w:r>
      <w:r w:rsidR="003162CC">
        <w:rPr>
          <w:i/>
        </w:rPr>
        <w:t xml:space="preserve">: </w:t>
      </w:r>
      <w:r w:rsidR="003E6C19" w:rsidRPr="00CF56C2">
        <w:rPr>
          <w:i/>
        </w:rPr>
        <w:t xml:space="preserve"> Designing a Constitutional Labour Code</w:t>
      </w:r>
      <w:r w:rsidR="003E6C19" w:rsidRPr="00CF56C2">
        <w:t>.</w:t>
      </w:r>
      <w:proofErr w:type="gramEnd"/>
      <w:r w:rsidR="003E6C19" w:rsidRPr="00CF56C2">
        <w:t xml:space="preserve"> </w:t>
      </w:r>
      <w:r w:rsidR="003E6C19" w:rsidRPr="00777DAD">
        <w:rPr>
          <w:lang w:val="fr-CA"/>
        </w:rPr>
        <w:t>Kingston</w:t>
      </w:r>
      <w:proofErr w:type="gramStart"/>
      <w:r w:rsidR="003162CC" w:rsidRPr="00777DAD">
        <w:rPr>
          <w:lang w:val="fr-CA"/>
        </w:rPr>
        <w:t xml:space="preserve">: </w:t>
      </w:r>
      <w:r w:rsidR="003E6C19" w:rsidRPr="00777DAD">
        <w:rPr>
          <w:lang w:val="fr-CA"/>
        </w:rPr>
        <w:t xml:space="preserve"> </w:t>
      </w:r>
      <w:proofErr w:type="spellStart"/>
      <w:r w:rsidR="003E6C19" w:rsidRPr="00777DAD">
        <w:rPr>
          <w:lang w:val="fr-CA"/>
        </w:rPr>
        <w:t>McGill</w:t>
      </w:r>
      <w:proofErr w:type="gramEnd"/>
      <w:r w:rsidR="00F02F88" w:rsidRPr="00777DAD">
        <w:rPr>
          <w:lang w:val="fr-CA"/>
        </w:rPr>
        <w:noBreakHyphen/>
      </w:r>
      <w:r w:rsidR="003E6C19" w:rsidRPr="00777DAD">
        <w:rPr>
          <w:lang w:val="fr-CA"/>
        </w:rPr>
        <w:t>Queen</w:t>
      </w:r>
      <w:proofErr w:type="spellEnd"/>
      <w:r w:rsidR="003E6C19" w:rsidRPr="00777DAD">
        <w:rPr>
          <w:lang w:val="fr-CA"/>
        </w:rPr>
        <w:t xml:space="preserve">’s </w:t>
      </w:r>
      <w:proofErr w:type="spellStart"/>
      <w:r w:rsidR="003E6C19" w:rsidRPr="00777DAD">
        <w:rPr>
          <w:lang w:val="fr-CA"/>
        </w:rPr>
        <w:t>University</w:t>
      </w:r>
      <w:proofErr w:type="spellEnd"/>
      <w:r w:rsidR="003E6C19" w:rsidRPr="00777DAD">
        <w:rPr>
          <w:lang w:val="fr-CA"/>
        </w:rPr>
        <w:t xml:space="preserve"> </w:t>
      </w:r>
      <w:proofErr w:type="spellStart"/>
      <w:r w:rsidR="003E6C19" w:rsidRPr="00777DAD">
        <w:rPr>
          <w:lang w:val="fr-CA"/>
        </w:rPr>
        <w:t>Press</w:t>
      </w:r>
      <w:proofErr w:type="spellEnd"/>
      <w:r w:rsidR="003E6C19" w:rsidRPr="00777DAD">
        <w:rPr>
          <w:lang w:val="fr-CA"/>
        </w:rPr>
        <w:t>, 1987.</w:t>
      </w:r>
    </w:p>
    <w:p w:rsidR="00EC7FF2" w:rsidRPr="00D85CCA" w:rsidRDefault="00EC7FF2" w:rsidP="00316000">
      <w:pPr>
        <w:pStyle w:val="SCCNormalDoubleSpacing"/>
        <w:spacing w:after="240" w:line="240" w:lineRule="auto"/>
        <w:ind w:left="540" w:hanging="540"/>
        <w:rPr>
          <w:lang w:val="en-US"/>
        </w:rPr>
      </w:pPr>
      <w:r w:rsidRPr="00C11153">
        <w:rPr>
          <w:lang w:val="fr-CA"/>
        </w:rPr>
        <w:t xml:space="preserve">Brunelle, </w:t>
      </w:r>
      <w:r w:rsidR="003D3F1A" w:rsidRPr="00C11153">
        <w:rPr>
          <w:lang w:val="fr-CA"/>
        </w:rPr>
        <w:t xml:space="preserve">Christian. </w:t>
      </w:r>
      <w:r w:rsidR="007B37E2">
        <w:rPr>
          <w:lang w:val="fr-CA"/>
        </w:rPr>
        <w:t xml:space="preserve"> </w:t>
      </w:r>
      <w:r w:rsidRPr="00C11153">
        <w:rPr>
          <w:lang w:val="fr-CA"/>
        </w:rPr>
        <w:t>“La liberté d’association se porte mieux</w:t>
      </w:r>
      <w:proofErr w:type="gramStart"/>
      <w:r w:rsidR="003162CC">
        <w:rPr>
          <w:lang w:val="fr-CA"/>
        </w:rPr>
        <w:t xml:space="preserve">: </w:t>
      </w:r>
      <w:r w:rsidRPr="00C11153">
        <w:rPr>
          <w:lang w:val="fr-CA"/>
        </w:rPr>
        <w:t xml:space="preserve"> un</w:t>
      </w:r>
      <w:proofErr w:type="gramEnd"/>
      <w:r w:rsidRPr="00C11153">
        <w:rPr>
          <w:lang w:val="fr-CA"/>
        </w:rPr>
        <w:t xml:space="preserve"> commentaire de l’arrêt </w:t>
      </w:r>
      <w:r w:rsidRPr="00C11153">
        <w:rPr>
          <w:i/>
          <w:lang w:val="fr-CA"/>
        </w:rPr>
        <w:t>Health Services</w:t>
      </w:r>
      <w:r w:rsidRPr="00C11153">
        <w:rPr>
          <w:lang w:val="fr-CA"/>
        </w:rPr>
        <w:t>”</w:t>
      </w:r>
      <w:r w:rsidR="008C168F">
        <w:rPr>
          <w:lang w:val="fr-CA"/>
        </w:rPr>
        <w:t>,</w:t>
      </w:r>
      <w:r w:rsidRPr="00C11153">
        <w:rPr>
          <w:lang w:val="fr-CA"/>
        </w:rPr>
        <w:t xml:space="preserve"> </w:t>
      </w:r>
      <w:r w:rsidR="00962B37" w:rsidRPr="00C11153">
        <w:rPr>
          <w:lang w:val="fr-CA"/>
        </w:rPr>
        <w:t>dans</w:t>
      </w:r>
      <w:r w:rsidRPr="00C11153">
        <w:rPr>
          <w:lang w:val="fr-CA"/>
        </w:rPr>
        <w:t xml:space="preserve"> </w:t>
      </w:r>
      <w:r w:rsidRPr="00C11153">
        <w:rPr>
          <w:i/>
          <w:lang w:val="fr-CA"/>
        </w:rPr>
        <w:t>Conférence des juristes de l’État 2009</w:t>
      </w:r>
      <w:r w:rsidR="003162CC">
        <w:rPr>
          <w:i/>
          <w:lang w:val="fr-CA"/>
        </w:rPr>
        <w:t xml:space="preserve">: </w:t>
      </w:r>
      <w:r w:rsidRPr="00C11153">
        <w:rPr>
          <w:i/>
          <w:lang w:val="fr-CA"/>
        </w:rPr>
        <w:t xml:space="preserve"> XVIII</w:t>
      </w:r>
      <w:r w:rsidRPr="00C11153">
        <w:rPr>
          <w:i/>
          <w:vertAlign w:val="superscript"/>
          <w:lang w:val="fr-CA"/>
        </w:rPr>
        <w:t>e</w:t>
      </w:r>
      <w:r w:rsidRPr="00C11153">
        <w:rPr>
          <w:i/>
          <w:lang w:val="fr-CA"/>
        </w:rPr>
        <w:t xml:space="preserve"> Conférence</w:t>
      </w:r>
      <w:r w:rsidR="00962B37" w:rsidRPr="00C11153">
        <w:rPr>
          <w:lang w:val="fr-CA"/>
        </w:rPr>
        <w:t xml:space="preserve">. </w:t>
      </w:r>
      <w:r w:rsidRPr="00316000">
        <w:t>Cowansville</w:t>
      </w:r>
      <w:r w:rsidR="00962B37" w:rsidRPr="00D85CCA">
        <w:rPr>
          <w:lang w:val="en-US"/>
        </w:rPr>
        <w:t xml:space="preserve">, </w:t>
      </w:r>
      <w:proofErr w:type="gramStart"/>
      <w:r w:rsidR="00962B37" w:rsidRPr="00D85CCA">
        <w:rPr>
          <w:lang w:val="en-US"/>
        </w:rPr>
        <w:t>Qué.</w:t>
      </w:r>
      <w:r w:rsidR="003162CC">
        <w:rPr>
          <w:lang w:val="en-US"/>
        </w:rPr>
        <w:t>:</w:t>
      </w:r>
      <w:proofErr w:type="gramEnd"/>
      <w:r w:rsidR="003162CC">
        <w:rPr>
          <w:lang w:val="en-US"/>
        </w:rPr>
        <w:t xml:space="preserve"> </w:t>
      </w:r>
      <w:r w:rsidRPr="00D85CCA">
        <w:rPr>
          <w:lang w:val="en-US"/>
        </w:rPr>
        <w:t xml:space="preserve"> Yvon Blais, 2009</w:t>
      </w:r>
      <w:r w:rsidR="00962B37" w:rsidRPr="00D85CCA">
        <w:rPr>
          <w:lang w:val="en-US"/>
        </w:rPr>
        <w:t>,</w:t>
      </w:r>
      <w:r w:rsidRPr="00D85CCA">
        <w:rPr>
          <w:lang w:val="en-US"/>
        </w:rPr>
        <w:t xml:space="preserve"> 237.</w:t>
      </w:r>
    </w:p>
    <w:p w:rsidR="00EC7FF2" w:rsidRDefault="00EC7FF2" w:rsidP="00316000">
      <w:pPr>
        <w:pStyle w:val="SCCNormalDoubleSpacing"/>
        <w:spacing w:after="240" w:line="240" w:lineRule="auto"/>
        <w:ind w:left="540" w:hanging="540"/>
      </w:pPr>
      <w:r w:rsidRPr="004624AF">
        <w:t>Cameron</w:t>
      </w:r>
      <w:r w:rsidR="003D3F1A" w:rsidRPr="004624AF">
        <w:t>, Jamie.</w:t>
      </w:r>
      <w:r w:rsidRPr="004624AF">
        <w:t xml:space="preserve"> </w:t>
      </w:r>
      <w:r w:rsidR="007B37E2">
        <w:t xml:space="preserve"> </w:t>
      </w:r>
      <w:proofErr w:type="gramStart"/>
      <w:r w:rsidRPr="004624AF">
        <w:t xml:space="preserve">“Due Process, Collective Bargaining, and </w:t>
      </w:r>
      <w:r w:rsidR="00C837D1">
        <w:t>s. </w:t>
      </w:r>
      <w:r w:rsidRPr="004624AF">
        <w:t xml:space="preserve">2(d) of the </w:t>
      </w:r>
      <w:r w:rsidRPr="004624AF">
        <w:rPr>
          <w:i/>
        </w:rPr>
        <w:t>Charter</w:t>
      </w:r>
      <w:r w:rsidR="003162CC">
        <w:t xml:space="preserve">: </w:t>
      </w:r>
      <w:r w:rsidRPr="004624AF">
        <w:t xml:space="preserve"> A Comment on </w:t>
      </w:r>
      <w:r w:rsidRPr="004624AF">
        <w:rPr>
          <w:i/>
        </w:rPr>
        <w:t>B.C. Health Services</w:t>
      </w:r>
      <w:r w:rsidR="004624AF" w:rsidRPr="004624AF">
        <w:t>” (2006</w:t>
      </w:r>
      <w:r w:rsidR="00F02F88">
        <w:noBreakHyphen/>
      </w:r>
      <w:r w:rsidR="004624AF" w:rsidRPr="004624AF">
        <w:t>2007</w:t>
      </w:r>
      <w:r w:rsidRPr="004624AF">
        <w:t xml:space="preserve">), 13 </w:t>
      </w:r>
      <w:r w:rsidRPr="004624AF">
        <w:rPr>
          <w:i/>
        </w:rPr>
        <w:t>C.L.E.L.J.</w:t>
      </w:r>
      <w:r w:rsidRPr="004624AF">
        <w:t xml:space="preserve"> 2</w:t>
      </w:r>
      <w:r w:rsidR="004624AF" w:rsidRPr="004624AF">
        <w:t>3</w:t>
      </w:r>
      <w:r w:rsidRPr="004624AF">
        <w:t>3.</w:t>
      </w:r>
      <w:proofErr w:type="gramEnd"/>
    </w:p>
    <w:p w:rsidR="00F77EB4" w:rsidRDefault="00F77EB4" w:rsidP="00316000">
      <w:pPr>
        <w:pStyle w:val="SCCNormalDoubleSpacing"/>
        <w:spacing w:after="240" w:line="240" w:lineRule="auto"/>
        <w:ind w:left="540" w:hanging="540"/>
      </w:pPr>
      <w:r w:rsidRPr="008C261C">
        <w:t xml:space="preserve">Cameron, </w:t>
      </w:r>
      <w:r w:rsidR="003D3F1A" w:rsidRPr="008C261C">
        <w:t xml:space="preserve">Jamie. </w:t>
      </w:r>
      <w:r w:rsidR="007B37E2">
        <w:t xml:space="preserve"> </w:t>
      </w:r>
      <w:proofErr w:type="gramStart"/>
      <w:r w:rsidRPr="008C261C">
        <w:t>“The Labour Trilogy’s Last Rites</w:t>
      </w:r>
      <w:r w:rsidR="003162CC">
        <w:t xml:space="preserve">: </w:t>
      </w:r>
      <w:r w:rsidRPr="008C261C">
        <w:t xml:space="preserve"> </w:t>
      </w:r>
      <w:r w:rsidRPr="008C261C">
        <w:rPr>
          <w:i/>
        </w:rPr>
        <w:t>B.C. Health</w:t>
      </w:r>
      <w:r w:rsidRPr="008C261C">
        <w:t xml:space="preserve"> and a Constitutional Right to Strike” (2009</w:t>
      </w:r>
      <w:r w:rsidR="00F02F88">
        <w:noBreakHyphen/>
      </w:r>
      <w:r w:rsidRPr="008C261C">
        <w:t xml:space="preserve">2010), 15 </w:t>
      </w:r>
      <w:r w:rsidRPr="008C261C">
        <w:rPr>
          <w:i/>
        </w:rPr>
        <w:t>C.L.E.L</w:t>
      </w:r>
      <w:r w:rsidR="008C261C" w:rsidRPr="008C261C">
        <w:rPr>
          <w:i/>
        </w:rPr>
        <w:t>.</w:t>
      </w:r>
      <w:r w:rsidRPr="008C261C">
        <w:rPr>
          <w:i/>
        </w:rPr>
        <w:t>J.</w:t>
      </w:r>
      <w:r w:rsidRPr="008C261C">
        <w:t xml:space="preserve"> 29</w:t>
      </w:r>
      <w:r w:rsidR="008C261C" w:rsidRPr="008C261C">
        <w:t>7</w:t>
      </w:r>
      <w:r w:rsidRPr="008C261C">
        <w:t>.</w:t>
      </w:r>
      <w:proofErr w:type="gramEnd"/>
    </w:p>
    <w:p w:rsidR="000C4760" w:rsidRPr="008C261C" w:rsidRDefault="000C4760" w:rsidP="00316000">
      <w:pPr>
        <w:pStyle w:val="SCCNormalDoubleSpacing"/>
        <w:spacing w:after="240" w:line="240" w:lineRule="auto"/>
        <w:ind w:left="540" w:hanging="540"/>
      </w:pPr>
      <w:r w:rsidRPr="000C4760">
        <w:t xml:space="preserve">Canada.  </w:t>
      </w:r>
      <w:proofErr w:type="gramStart"/>
      <w:r w:rsidRPr="000C4760">
        <w:t>Task Force on Labour Relations.</w:t>
      </w:r>
      <w:proofErr w:type="gramEnd"/>
      <w:r w:rsidRPr="000C4760">
        <w:t xml:space="preserve">  </w:t>
      </w:r>
      <w:r w:rsidRPr="000C4760">
        <w:rPr>
          <w:i/>
        </w:rPr>
        <w:t>Canadian Industrial Relations</w:t>
      </w:r>
      <w:r w:rsidR="003162CC">
        <w:rPr>
          <w:i/>
        </w:rPr>
        <w:t xml:space="preserve">: </w:t>
      </w:r>
      <w:r w:rsidRPr="000C4760">
        <w:rPr>
          <w:i/>
        </w:rPr>
        <w:t xml:space="preserve"> The Report of Task Force on Labour Relations</w:t>
      </w:r>
      <w:r w:rsidRPr="000C4760">
        <w:t>.  Ottawa:  Privy Council Office, 1968</w:t>
      </w:r>
      <w:r>
        <w:t>.</w:t>
      </w:r>
    </w:p>
    <w:p w:rsidR="001550F7" w:rsidRPr="001550F7" w:rsidRDefault="0093397A" w:rsidP="00316000">
      <w:pPr>
        <w:pStyle w:val="SCCNormalDoubleSpacing"/>
        <w:spacing w:after="240" w:line="240" w:lineRule="auto"/>
        <w:ind w:left="540" w:hanging="540"/>
      </w:pPr>
      <w:r w:rsidRPr="00406DF4">
        <w:rPr>
          <w:lang w:val="fr-CA"/>
        </w:rPr>
        <w:t>Carter, Donald </w:t>
      </w:r>
      <w:r w:rsidR="001550F7" w:rsidRPr="00406DF4">
        <w:rPr>
          <w:lang w:val="fr-CA"/>
        </w:rPr>
        <w:t xml:space="preserve">D., et </w:t>
      </w:r>
      <w:r w:rsidR="00F02F88" w:rsidRPr="00406DF4">
        <w:rPr>
          <w:lang w:val="fr-CA"/>
        </w:rPr>
        <w:t>al. </w:t>
      </w:r>
      <w:r w:rsidR="007B37E2" w:rsidRPr="00406DF4">
        <w:rPr>
          <w:lang w:val="fr-CA"/>
        </w:rPr>
        <w:t xml:space="preserve"> </w:t>
      </w:r>
      <w:r w:rsidR="001550F7" w:rsidRPr="001550F7">
        <w:rPr>
          <w:i/>
        </w:rPr>
        <w:t>Labour Law in Canada</w:t>
      </w:r>
      <w:r w:rsidR="001550F7" w:rsidRPr="001550F7">
        <w:t xml:space="preserve">, 5th </w:t>
      </w:r>
      <w:proofErr w:type="gramStart"/>
      <w:r w:rsidR="001550F7" w:rsidRPr="001550F7">
        <w:t>ed</w:t>
      </w:r>
      <w:proofErr w:type="gramEnd"/>
      <w:r w:rsidR="001550F7" w:rsidRPr="001550F7">
        <w:t>. The Hague</w:t>
      </w:r>
      <w:r w:rsidR="003162CC">
        <w:t xml:space="preserve">: </w:t>
      </w:r>
      <w:r w:rsidR="001550F7">
        <w:t xml:space="preserve"> Kluwer Law International, 2002.</w:t>
      </w:r>
    </w:p>
    <w:p w:rsidR="00327E6D" w:rsidRDefault="00327E6D" w:rsidP="00316000">
      <w:pPr>
        <w:pStyle w:val="SCCNormalDoubleSpacing"/>
        <w:spacing w:after="240" w:line="240" w:lineRule="auto"/>
        <w:ind w:left="540" w:hanging="540"/>
      </w:pPr>
      <w:r w:rsidRPr="00327E6D">
        <w:rPr>
          <w:lang w:val="fr-CA"/>
        </w:rPr>
        <w:t xml:space="preserve">Coutu, </w:t>
      </w:r>
      <w:r w:rsidRPr="00A00D29">
        <w:rPr>
          <w:lang w:val="fr-CA"/>
        </w:rPr>
        <w:t>Michel</w:t>
      </w:r>
      <w:r w:rsidRPr="00327E6D">
        <w:rPr>
          <w:lang w:val="fr-CA"/>
        </w:rPr>
        <w:t xml:space="preserve">, Laurence Léa Fontaine et Georges Marceau. </w:t>
      </w:r>
      <w:r w:rsidR="007B37E2">
        <w:rPr>
          <w:lang w:val="fr-CA"/>
        </w:rPr>
        <w:t xml:space="preserve"> </w:t>
      </w:r>
      <w:r w:rsidRPr="00327E6D">
        <w:rPr>
          <w:i/>
          <w:iCs/>
          <w:lang w:val="fr-CA"/>
        </w:rPr>
        <w:t>Droit des rapports collectifs du travail au Québec</w:t>
      </w:r>
      <w:r w:rsidRPr="00327E6D">
        <w:rPr>
          <w:lang w:val="fr-CA"/>
        </w:rPr>
        <w:t xml:space="preserve">. </w:t>
      </w:r>
      <w:r>
        <w:t xml:space="preserve">Cowansville, </w:t>
      </w:r>
      <w:proofErr w:type="gramStart"/>
      <w:r>
        <w:t>Qué.</w:t>
      </w:r>
      <w:r w:rsidR="003162CC">
        <w:t>:</w:t>
      </w:r>
      <w:proofErr w:type="gramEnd"/>
      <w:r w:rsidR="003162CC">
        <w:t xml:space="preserve"> </w:t>
      </w:r>
      <w:r>
        <w:t xml:space="preserve"> Yvon Blais, 2009.</w:t>
      </w:r>
    </w:p>
    <w:p w:rsidR="00335E51" w:rsidRDefault="00335E51" w:rsidP="00316000">
      <w:pPr>
        <w:pStyle w:val="SCCNormalDoubleSpacing"/>
        <w:spacing w:after="240" w:line="240" w:lineRule="auto"/>
        <w:ind w:left="540" w:hanging="540"/>
      </w:pPr>
      <w:proofErr w:type="spellStart"/>
      <w:r>
        <w:t>Dau</w:t>
      </w:r>
      <w:r w:rsidR="00F02F88">
        <w:noBreakHyphen/>
      </w:r>
      <w:r>
        <w:t>Schmidt</w:t>
      </w:r>
      <w:proofErr w:type="spellEnd"/>
      <w:r>
        <w:t>, Kennet</w:t>
      </w:r>
      <w:r w:rsidR="00B025F5">
        <w:t>h</w:t>
      </w:r>
      <w:r w:rsidR="000C250E">
        <w:t> </w:t>
      </w:r>
      <w:r>
        <w:t>G.</w:t>
      </w:r>
      <w:r w:rsidR="007B37E2">
        <w:t xml:space="preserve"> </w:t>
      </w:r>
      <w:r>
        <w:t xml:space="preserve"> “Labor Law and Industrial Peace</w:t>
      </w:r>
      <w:r w:rsidR="003162CC">
        <w:t xml:space="preserve">: </w:t>
      </w:r>
      <w:r>
        <w:t xml:space="preserve"> A Comparative Analysis of the United States, the United Kingdom, Germany, and Japan </w:t>
      </w:r>
      <w:proofErr w:type="gramStart"/>
      <w:r w:rsidR="00B025F5">
        <w:t>U</w:t>
      </w:r>
      <w:r>
        <w:t>nder</w:t>
      </w:r>
      <w:proofErr w:type="gramEnd"/>
      <w:r>
        <w:t xml:space="preserve"> the Bargaining Model” (2000), 8 </w:t>
      </w:r>
      <w:r w:rsidRPr="00F31B06">
        <w:rPr>
          <w:i/>
        </w:rPr>
        <w:t>Tul. J. Int’l &amp; Com</w:t>
      </w:r>
      <w:r w:rsidR="00F02F88">
        <w:rPr>
          <w:i/>
        </w:rPr>
        <w:t>p. </w:t>
      </w:r>
      <w:r w:rsidRPr="00F31B06">
        <w:rPr>
          <w:i/>
        </w:rPr>
        <w:t xml:space="preserve">L. </w:t>
      </w:r>
      <w:r>
        <w:t>117.</w:t>
      </w:r>
    </w:p>
    <w:p w:rsidR="00EC7FF2" w:rsidRDefault="00EC7FF2" w:rsidP="00F5300A">
      <w:pPr>
        <w:pStyle w:val="SCCNormalDoubleSpacing"/>
        <w:spacing w:after="240" w:line="240" w:lineRule="auto"/>
        <w:ind w:left="540" w:hanging="540"/>
      </w:pPr>
      <w:r w:rsidRPr="00AF7055">
        <w:t>Elliot,</w:t>
      </w:r>
      <w:r w:rsidR="00AF7055" w:rsidRPr="00AF7055">
        <w:t xml:space="preserve"> Robin.</w:t>
      </w:r>
      <w:r w:rsidR="007B37E2">
        <w:t xml:space="preserve"> </w:t>
      </w:r>
      <w:r w:rsidRPr="00AF7055">
        <w:t xml:space="preserve"> </w:t>
      </w:r>
      <w:proofErr w:type="gramStart"/>
      <w:r w:rsidRPr="00AF7055">
        <w:t>“Developments in Constitutional Law</w:t>
      </w:r>
      <w:r w:rsidR="003162CC">
        <w:t xml:space="preserve">: </w:t>
      </w:r>
      <w:r w:rsidRPr="00AF7055">
        <w:t xml:space="preserve"> The 1989</w:t>
      </w:r>
      <w:r w:rsidR="00F02F88">
        <w:noBreakHyphen/>
      </w:r>
      <w:r w:rsidRPr="00AF7055">
        <w:t xml:space="preserve">90 Term” (1991), 2 </w:t>
      </w:r>
      <w:r w:rsidRPr="00AF7055">
        <w:rPr>
          <w:i/>
        </w:rPr>
        <w:t>S.C.L.R.</w:t>
      </w:r>
      <w:r w:rsidRPr="00AF7055">
        <w:t xml:space="preserve"> (2d) 83.</w:t>
      </w:r>
      <w:proofErr w:type="gramEnd"/>
    </w:p>
    <w:p w:rsidR="00335E51" w:rsidRDefault="00335E51" w:rsidP="00F5300A">
      <w:pPr>
        <w:pStyle w:val="SCCNormalDoubleSpacing"/>
        <w:spacing w:after="240" w:line="240" w:lineRule="auto"/>
        <w:ind w:left="540" w:hanging="540"/>
      </w:pPr>
      <w:r>
        <w:lastRenderedPageBreak/>
        <w:t>Etherington, Brian.</w:t>
      </w:r>
      <w:r w:rsidR="007B37E2">
        <w:t xml:space="preserve"> </w:t>
      </w:r>
      <w:r>
        <w:t xml:space="preserve"> “The B.C. </w:t>
      </w:r>
      <w:r w:rsidRPr="00820D48">
        <w:rPr>
          <w:i/>
        </w:rPr>
        <w:t>Health Services and Support</w:t>
      </w:r>
      <w:r>
        <w:t xml:space="preserve"> Decision </w:t>
      </w:r>
      <w:r w:rsidR="00820D48">
        <w:t xml:space="preserve">— </w:t>
      </w:r>
      <w:proofErr w:type="gramStart"/>
      <w:r>
        <w:t>The</w:t>
      </w:r>
      <w:proofErr w:type="gramEnd"/>
      <w:r>
        <w:t xml:space="preserve"> Constitutionalization of a </w:t>
      </w:r>
      <w:r w:rsidR="000A08F4">
        <w:t>R</w:t>
      </w:r>
      <w:r>
        <w:t>ight to Bargain Collectively in Canada</w:t>
      </w:r>
      <w:r w:rsidR="003162CC">
        <w:t xml:space="preserve">: </w:t>
      </w:r>
      <w:r>
        <w:t xml:space="preserve"> Where Did It Come </w:t>
      </w:r>
      <w:r w:rsidR="000A08F4">
        <w:t>F</w:t>
      </w:r>
      <w:r w:rsidR="00820D48">
        <w:t>rom and Where Will I</w:t>
      </w:r>
      <w:r>
        <w:t xml:space="preserve">t Lead?” </w:t>
      </w:r>
      <w:proofErr w:type="gramStart"/>
      <w:r w:rsidR="00820D48">
        <w:t xml:space="preserve">(2009), </w:t>
      </w:r>
      <w:r>
        <w:t xml:space="preserve">30 </w:t>
      </w:r>
      <w:r w:rsidRPr="00047390">
        <w:rPr>
          <w:i/>
        </w:rPr>
        <w:t>Com</w:t>
      </w:r>
      <w:r w:rsidR="00F02F88">
        <w:rPr>
          <w:i/>
        </w:rPr>
        <w:t>p. </w:t>
      </w:r>
      <w:r w:rsidRPr="00047390">
        <w:rPr>
          <w:i/>
        </w:rPr>
        <w:t>Lab. L. &amp; Pol’y J.</w:t>
      </w:r>
      <w:r>
        <w:t xml:space="preserve"> 715.</w:t>
      </w:r>
      <w:proofErr w:type="gramEnd"/>
    </w:p>
    <w:p w:rsidR="000A08F4" w:rsidRDefault="00D01D89" w:rsidP="00C27449">
      <w:pPr>
        <w:pStyle w:val="SCCNormalDoubleSpacing"/>
        <w:spacing w:after="240" w:line="240" w:lineRule="auto"/>
        <w:ind w:left="540" w:hanging="540"/>
      </w:pPr>
      <w:r>
        <w:t xml:space="preserve">Fudge, Judy. </w:t>
      </w:r>
      <w:r w:rsidR="007B37E2">
        <w:t xml:space="preserve"> </w:t>
      </w:r>
      <w:r>
        <w:t>“‘Labour is N</w:t>
      </w:r>
      <w:r w:rsidR="000A08F4">
        <w:t>ot a Commodity</w:t>
      </w:r>
      <w:r>
        <w:t>’</w:t>
      </w:r>
      <w:r w:rsidR="003162CC">
        <w:t xml:space="preserve">: </w:t>
      </w:r>
      <w:r w:rsidR="000A08F4">
        <w:t xml:space="preserve"> </w:t>
      </w:r>
      <w:r w:rsidR="00750372">
        <w:t>T</w:t>
      </w:r>
      <w:r w:rsidR="000A08F4">
        <w:t xml:space="preserve">he Supreme Court of Canada and the Freedom of Association” (2004), 67 </w:t>
      </w:r>
      <w:r w:rsidR="000A08F4" w:rsidRPr="001B46B0">
        <w:rPr>
          <w:i/>
        </w:rPr>
        <w:t>Sask. L. Rev.</w:t>
      </w:r>
      <w:r w:rsidR="000A08F4">
        <w:t xml:space="preserve"> 425.</w:t>
      </w:r>
    </w:p>
    <w:p w:rsidR="00D01D89" w:rsidRDefault="00D01D89" w:rsidP="00F5300A">
      <w:pPr>
        <w:pStyle w:val="SCCNormalDoubleSpacing"/>
        <w:spacing w:after="240" w:line="240" w:lineRule="auto"/>
        <w:ind w:left="540" w:hanging="540"/>
      </w:pPr>
      <w:r>
        <w:t>Fudge, Judy.</w:t>
      </w:r>
      <w:r w:rsidR="007B37E2">
        <w:t xml:space="preserve"> </w:t>
      </w:r>
      <w:r>
        <w:t xml:space="preserve"> </w:t>
      </w:r>
      <w:proofErr w:type="gramStart"/>
      <w:r>
        <w:t>“The Supreme Court of Canada and the Right to Bargain Collectively</w:t>
      </w:r>
      <w:r w:rsidR="003162CC">
        <w:t xml:space="preserve">: </w:t>
      </w:r>
      <w:r>
        <w:t xml:space="preserve"> The Implications of the </w:t>
      </w:r>
      <w:r w:rsidRPr="00D01D89">
        <w:rPr>
          <w:i/>
        </w:rPr>
        <w:t xml:space="preserve">Health Services and Support </w:t>
      </w:r>
      <w:r>
        <w:t xml:space="preserve">case in Canada and Beyond” (2008), 37 </w:t>
      </w:r>
      <w:r w:rsidRPr="001B46B0">
        <w:rPr>
          <w:i/>
        </w:rPr>
        <w:t>Indus. L.J.</w:t>
      </w:r>
      <w:r>
        <w:t xml:space="preserve"> 25.</w:t>
      </w:r>
      <w:proofErr w:type="gramEnd"/>
    </w:p>
    <w:p w:rsidR="000A08F4" w:rsidRDefault="000A08F4" w:rsidP="00F5300A">
      <w:pPr>
        <w:pStyle w:val="SCCNormalDoubleSpacing"/>
        <w:spacing w:after="240" w:line="240" w:lineRule="auto"/>
        <w:ind w:left="540" w:hanging="540"/>
      </w:pPr>
      <w:r>
        <w:t xml:space="preserve">Fudge, Judy, and Eric Tucker. </w:t>
      </w:r>
      <w:r w:rsidR="007B37E2">
        <w:t xml:space="preserve"> </w:t>
      </w:r>
      <w:r w:rsidRPr="001B46B0">
        <w:rPr>
          <w:i/>
        </w:rPr>
        <w:t>Labour Before the Law</w:t>
      </w:r>
      <w:r w:rsidR="003162CC">
        <w:rPr>
          <w:i/>
        </w:rPr>
        <w:t xml:space="preserve">: </w:t>
      </w:r>
      <w:r w:rsidRPr="001B46B0">
        <w:rPr>
          <w:i/>
        </w:rPr>
        <w:t xml:space="preserve"> The Regulation of Workers’ Collective Action in Canada, 1900</w:t>
      </w:r>
      <w:r w:rsidR="00F02F88">
        <w:rPr>
          <w:i/>
        </w:rPr>
        <w:noBreakHyphen/>
      </w:r>
      <w:r w:rsidRPr="001B46B0">
        <w:rPr>
          <w:i/>
        </w:rPr>
        <w:t>1948</w:t>
      </w:r>
      <w:r>
        <w:t>.</w:t>
      </w:r>
      <w:r w:rsidR="003162CC">
        <w:t xml:space="preserve"> </w:t>
      </w:r>
      <w:r w:rsidRPr="000A08F4">
        <w:t xml:space="preserve"> </w:t>
      </w:r>
      <w:r w:rsidR="00D01D89">
        <w:t>Don Mills, Ont.</w:t>
      </w:r>
      <w:r w:rsidR="003162CC">
        <w:t xml:space="preserve">: </w:t>
      </w:r>
      <w:r w:rsidR="00D01D89">
        <w:t xml:space="preserve"> Oxford University Press, 2001</w:t>
      </w:r>
      <w:r>
        <w:t>.</w:t>
      </w:r>
    </w:p>
    <w:p w:rsidR="00CA683B" w:rsidRDefault="00CA683B" w:rsidP="00F5300A">
      <w:pPr>
        <w:pStyle w:val="SCCNormalDoubleSpacing"/>
        <w:spacing w:after="240" w:line="240" w:lineRule="auto"/>
        <w:ind w:left="540" w:hanging="540"/>
      </w:pPr>
      <w:r>
        <w:t>Gall, P</w:t>
      </w:r>
      <w:r w:rsidR="005C72D5">
        <w:t>eter</w:t>
      </w:r>
      <w:r w:rsidR="00F5300A">
        <w:t> </w:t>
      </w:r>
      <w:r>
        <w:t xml:space="preserve">A. </w:t>
      </w:r>
      <w:r w:rsidR="007B37E2">
        <w:t xml:space="preserve"> </w:t>
      </w:r>
      <w:r>
        <w:t>“Freedom of Association and Trade Unions</w:t>
      </w:r>
      <w:r w:rsidR="003162CC">
        <w:t xml:space="preserve">: </w:t>
      </w:r>
      <w:r>
        <w:t xml:space="preserve"> A </w:t>
      </w:r>
      <w:proofErr w:type="spellStart"/>
      <w:r>
        <w:t>Double</w:t>
      </w:r>
      <w:r w:rsidR="00F02F88">
        <w:noBreakHyphen/>
      </w:r>
      <w:r>
        <w:t>Edged</w:t>
      </w:r>
      <w:proofErr w:type="spellEnd"/>
      <w:r>
        <w:t xml:space="preserve"> Constitutional Sword”</w:t>
      </w:r>
      <w:r w:rsidR="005C72D5">
        <w:t>,</w:t>
      </w:r>
      <w:r>
        <w:t xml:space="preserve"> in </w:t>
      </w:r>
      <w:r w:rsidR="003162CC">
        <w:t>Joseph </w:t>
      </w:r>
      <w:r w:rsidR="005C72D5">
        <w:t xml:space="preserve">M. </w:t>
      </w:r>
      <w:r>
        <w:t xml:space="preserve">Weiler and </w:t>
      </w:r>
      <w:r w:rsidR="008C168F">
        <w:t>Robin </w:t>
      </w:r>
      <w:r w:rsidR="005C72D5">
        <w:t xml:space="preserve">M. </w:t>
      </w:r>
      <w:r>
        <w:t>Elliot, eds.</w:t>
      </w:r>
      <w:r w:rsidR="005C72D5">
        <w:t>,</w:t>
      </w:r>
      <w:r>
        <w:t xml:space="preserve"> </w:t>
      </w:r>
      <w:r w:rsidRPr="00F31B06">
        <w:rPr>
          <w:i/>
        </w:rPr>
        <w:t>Litigating the Values of a Nation</w:t>
      </w:r>
      <w:r w:rsidR="003162CC">
        <w:rPr>
          <w:i/>
        </w:rPr>
        <w:t xml:space="preserve">: </w:t>
      </w:r>
      <w:r w:rsidRPr="00F31B06">
        <w:rPr>
          <w:i/>
        </w:rPr>
        <w:t xml:space="preserve"> The Canadian Charter of Rights and Freedoms</w:t>
      </w:r>
      <w:r>
        <w:t>.</w:t>
      </w:r>
      <w:r w:rsidRPr="00CA683B">
        <w:t xml:space="preserve"> </w:t>
      </w:r>
      <w:r w:rsidR="00C837D1">
        <w:t xml:space="preserve"> </w:t>
      </w:r>
      <w:r w:rsidR="005C72D5">
        <w:t>Toronto</w:t>
      </w:r>
      <w:r w:rsidR="003162CC">
        <w:t xml:space="preserve">: </w:t>
      </w:r>
      <w:r w:rsidR="005C72D5">
        <w:t xml:space="preserve"> Carswell, 1986</w:t>
      </w:r>
      <w:r>
        <w:t xml:space="preserve">, </w:t>
      </w:r>
      <w:r w:rsidR="005C72D5">
        <w:t>245</w:t>
      </w:r>
      <w:r>
        <w:t>.</w:t>
      </w:r>
    </w:p>
    <w:p w:rsidR="000A08F4" w:rsidRDefault="00B243A8" w:rsidP="00F5300A">
      <w:pPr>
        <w:pStyle w:val="SCCNormalDoubleSpacing"/>
        <w:spacing w:after="240" w:line="240" w:lineRule="auto"/>
        <w:ind w:left="540" w:hanging="540"/>
      </w:pPr>
      <w:proofErr w:type="gramStart"/>
      <w:r w:rsidRPr="00B243A8">
        <w:t>Gernigon, Bernard, Alberto Odero and Horacio Guido</w:t>
      </w:r>
      <w:r w:rsidR="00710908">
        <w:t>.</w:t>
      </w:r>
      <w:proofErr w:type="gramEnd"/>
      <w:r w:rsidR="007B37E2">
        <w:t xml:space="preserve"> </w:t>
      </w:r>
      <w:r w:rsidRPr="00B243A8">
        <w:t xml:space="preserve"> </w:t>
      </w:r>
      <w:proofErr w:type="gramStart"/>
      <w:r w:rsidRPr="00B243A8">
        <w:t xml:space="preserve">“ILO principles concerning collective bargaining” (2000), 139 </w:t>
      </w:r>
      <w:r w:rsidRPr="00B243A8">
        <w:rPr>
          <w:i/>
        </w:rPr>
        <w:t>Intern’l Lab. Rev.</w:t>
      </w:r>
      <w:r w:rsidRPr="00B243A8">
        <w:t xml:space="preserve"> 33.</w:t>
      </w:r>
      <w:proofErr w:type="gramEnd"/>
    </w:p>
    <w:p w:rsidR="00EB1BD7" w:rsidRDefault="00EB1BD7" w:rsidP="00C27449">
      <w:pPr>
        <w:pStyle w:val="SCCNormalDoubleSpacing"/>
        <w:spacing w:after="240" w:line="240" w:lineRule="auto"/>
        <w:ind w:left="540" w:hanging="540"/>
      </w:pPr>
      <w:r>
        <w:t xml:space="preserve">Harris, </w:t>
      </w:r>
      <w:r w:rsidRPr="00A37841">
        <w:t>B</w:t>
      </w:r>
      <w:r w:rsidR="00AF7055">
        <w:t>ruce</w:t>
      </w:r>
      <w:r w:rsidR="00F71190">
        <w:t> V</w:t>
      </w:r>
      <w:r w:rsidRPr="00A37841">
        <w:t>.</w:t>
      </w:r>
      <w:r>
        <w:t xml:space="preserve"> </w:t>
      </w:r>
      <w:r w:rsidR="007B37E2">
        <w:t xml:space="preserve"> </w:t>
      </w:r>
      <w:proofErr w:type="gramStart"/>
      <w:r>
        <w:t>“Final Appellate Courts Overruling Their Own ‘Wrong’ Precedents</w:t>
      </w:r>
      <w:r w:rsidR="003162CC">
        <w:t xml:space="preserve">: </w:t>
      </w:r>
      <w:r>
        <w:t xml:space="preserve"> The Ongoing Search for Principle” (2002), 118 </w:t>
      </w:r>
      <w:r w:rsidRPr="00047390">
        <w:rPr>
          <w:i/>
        </w:rPr>
        <w:t>L.Q.R.</w:t>
      </w:r>
      <w:r>
        <w:t xml:space="preserve"> 408.</w:t>
      </w:r>
      <w:proofErr w:type="gramEnd"/>
    </w:p>
    <w:p w:rsidR="00335E51" w:rsidRDefault="00F5300A" w:rsidP="00F5300A">
      <w:pPr>
        <w:pStyle w:val="SCCNormalDoubleSpacing"/>
        <w:spacing w:after="240" w:line="240" w:lineRule="auto"/>
        <w:ind w:left="540" w:hanging="540"/>
      </w:pPr>
      <w:r>
        <w:t>Hogg, Peter </w:t>
      </w:r>
      <w:r w:rsidR="002B7F18" w:rsidRPr="002B7F18">
        <w:t xml:space="preserve">W. </w:t>
      </w:r>
      <w:r w:rsidR="007B37E2">
        <w:t xml:space="preserve"> </w:t>
      </w:r>
      <w:proofErr w:type="gramStart"/>
      <w:r w:rsidR="002B7F18" w:rsidRPr="002B7F18">
        <w:rPr>
          <w:i/>
        </w:rPr>
        <w:t>Constitutional Law of Canada</w:t>
      </w:r>
      <w:r w:rsidR="002B7F18" w:rsidRPr="002B7F18">
        <w:t>, 5th ed. Supp.</w:t>
      </w:r>
      <w:r w:rsidR="002D4C51">
        <w:t xml:space="preserve">, </w:t>
      </w:r>
      <w:r w:rsidR="00F02F88">
        <w:t>vol. </w:t>
      </w:r>
      <w:r w:rsidR="002D4C51">
        <w:t>2.</w:t>
      </w:r>
      <w:proofErr w:type="gramEnd"/>
      <w:r w:rsidR="002B7F18" w:rsidRPr="002B7F18">
        <w:t xml:space="preserve"> Scarborough, Ont.</w:t>
      </w:r>
      <w:r w:rsidR="002D4C51">
        <w:t>:  Thomson/Carswell, 2007 (</w:t>
      </w:r>
      <w:r w:rsidR="002B7F18" w:rsidRPr="002B7F18">
        <w:t>updated 2009, release 1).</w:t>
      </w:r>
    </w:p>
    <w:p w:rsidR="007633B0" w:rsidRDefault="007633B0" w:rsidP="00F5300A">
      <w:pPr>
        <w:pStyle w:val="SCCNormalDoubleSpacing"/>
        <w:spacing w:after="240" w:line="240" w:lineRule="auto"/>
        <w:ind w:left="540" w:hanging="540"/>
      </w:pPr>
      <w:r w:rsidRPr="004208CC">
        <w:t>Hogg</w:t>
      </w:r>
      <w:r w:rsidR="00F5300A">
        <w:t>, Peter W., Allison </w:t>
      </w:r>
      <w:r w:rsidR="00C837D1">
        <w:t>A. Bushell Thornton and Wade </w:t>
      </w:r>
      <w:r w:rsidR="004208CC" w:rsidRPr="004208CC">
        <w:t>K. Wright</w:t>
      </w:r>
      <w:r w:rsidRPr="004208CC">
        <w:t xml:space="preserve">.  </w:t>
      </w:r>
      <w:r w:rsidRPr="004208CC">
        <w:rPr>
          <w:color w:val="000000"/>
        </w:rPr>
        <w:t>“</w:t>
      </w:r>
      <w:r w:rsidRPr="004208CC">
        <w:rPr>
          <w:i/>
          <w:color w:val="000000"/>
        </w:rPr>
        <w:t>Charter</w:t>
      </w:r>
      <w:r w:rsidRPr="004208CC">
        <w:rPr>
          <w:color w:val="000000"/>
        </w:rPr>
        <w:t xml:space="preserve"> Dialogue Revisited — </w:t>
      </w:r>
      <w:proofErr w:type="gramStart"/>
      <w:r w:rsidRPr="004208CC">
        <w:rPr>
          <w:color w:val="000000"/>
        </w:rPr>
        <w:t>Or</w:t>
      </w:r>
      <w:proofErr w:type="gramEnd"/>
      <w:r w:rsidRPr="004208CC">
        <w:rPr>
          <w:color w:val="000000"/>
        </w:rPr>
        <w:t xml:space="preserve"> </w:t>
      </w:r>
      <w:r w:rsidR="004208CC" w:rsidRPr="004208CC">
        <w:rPr>
          <w:color w:val="000000"/>
        </w:rPr>
        <w:t>‘</w:t>
      </w:r>
      <w:r w:rsidRPr="004208CC">
        <w:rPr>
          <w:color w:val="000000"/>
        </w:rPr>
        <w:t>Much Ado About Metaphors</w:t>
      </w:r>
      <w:r w:rsidR="004208CC" w:rsidRPr="004208CC">
        <w:rPr>
          <w:color w:val="000000"/>
        </w:rPr>
        <w:t>’</w:t>
      </w:r>
      <w:r w:rsidRPr="004208CC">
        <w:rPr>
          <w:color w:val="000000"/>
        </w:rPr>
        <w:t>” (</w:t>
      </w:r>
      <w:r w:rsidR="004208CC" w:rsidRPr="004208CC">
        <w:rPr>
          <w:color w:val="000000"/>
        </w:rPr>
        <w:t>2007</w:t>
      </w:r>
      <w:r w:rsidRPr="004208CC">
        <w:rPr>
          <w:color w:val="000000"/>
        </w:rPr>
        <w:t xml:space="preserve">), 45 </w:t>
      </w:r>
      <w:r w:rsidRPr="004208CC">
        <w:rPr>
          <w:i/>
          <w:color w:val="000000"/>
        </w:rPr>
        <w:t>Osgoode Hall L.J.</w:t>
      </w:r>
      <w:r w:rsidRPr="004208CC">
        <w:rPr>
          <w:color w:val="000000"/>
        </w:rPr>
        <w:t xml:space="preserve"> 1.</w:t>
      </w:r>
    </w:p>
    <w:p w:rsidR="004A2F28" w:rsidRDefault="004A2F28" w:rsidP="00F5300A">
      <w:pPr>
        <w:pStyle w:val="SCCNormalDoubleSpacing"/>
        <w:spacing w:after="240" w:line="240" w:lineRule="auto"/>
        <w:ind w:left="540" w:hanging="540"/>
      </w:pPr>
      <w:proofErr w:type="gramStart"/>
      <w:r w:rsidRPr="0069307E">
        <w:t>Holmes, Stephen, and Cass R. Sunstein.</w:t>
      </w:r>
      <w:proofErr w:type="gramEnd"/>
      <w:r w:rsidR="007B37E2">
        <w:t xml:space="preserve"> </w:t>
      </w:r>
      <w:r w:rsidRPr="0069307E">
        <w:t xml:space="preserve"> </w:t>
      </w:r>
      <w:r w:rsidRPr="0069307E">
        <w:rPr>
          <w:i/>
        </w:rPr>
        <w:t>The Cost of Rights</w:t>
      </w:r>
      <w:r w:rsidR="003162CC">
        <w:rPr>
          <w:i/>
        </w:rPr>
        <w:t xml:space="preserve">: </w:t>
      </w:r>
      <w:r w:rsidRPr="0069307E">
        <w:rPr>
          <w:i/>
        </w:rPr>
        <w:t xml:space="preserve"> Why Liberty Depends on Taxes</w:t>
      </w:r>
      <w:r w:rsidRPr="0069307E">
        <w:t xml:space="preserve">. </w:t>
      </w:r>
      <w:r w:rsidR="00C837D1">
        <w:t xml:space="preserve"> </w:t>
      </w:r>
      <w:r w:rsidRPr="0069307E">
        <w:t xml:space="preserve">New York: </w:t>
      </w:r>
      <w:r w:rsidR="00C837D1">
        <w:t xml:space="preserve"> </w:t>
      </w:r>
      <w:r w:rsidRPr="0069307E">
        <w:t>W.</w:t>
      </w:r>
      <w:r w:rsidR="00C837D1">
        <w:t> </w:t>
      </w:r>
      <w:r w:rsidRPr="0069307E">
        <w:t>W.</w:t>
      </w:r>
      <w:r w:rsidR="00C837D1">
        <w:t> </w:t>
      </w:r>
      <w:r w:rsidRPr="0069307E">
        <w:t>Norton</w:t>
      </w:r>
      <w:r w:rsidR="0069307E" w:rsidRPr="0069307E">
        <w:t xml:space="preserve"> &amp; Company</w:t>
      </w:r>
      <w:r w:rsidRPr="0069307E">
        <w:t>, 1999.</w:t>
      </w:r>
    </w:p>
    <w:p w:rsidR="00EC7FF2" w:rsidRDefault="00EC7FF2" w:rsidP="00F5300A">
      <w:pPr>
        <w:pStyle w:val="SCCNormalDoubleSpacing"/>
        <w:spacing w:after="240" w:line="240" w:lineRule="auto"/>
        <w:ind w:left="540" w:hanging="540"/>
      </w:pPr>
      <w:proofErr w:type="gramStart"/>
      <w:r w:rsidRPr="00AF7055">
        <w:t>Hutchinson</w:t>
      </w:r>
      <w:r w:rsidR="00AF7055" w:rsidRPr="00AF7055">
        <w:t xml:space="preserve">, Allan C., and Andrew </w:t>
      </w:r>
      <w:r w:rsidRPr="00AF7055">
        <w:t>Petter</w:t>
      </w:r>
      <w:r w:rsidR="00AF7055" w:rsidRPr="00AF7055">
        <w:t>.</w:t>
      </w:r>
      <w:proofErr w:type="gramEnd"/>
      <w:r w:rsidRPr="00AF7055">
        <w:t xml:space="preserve"> </w:t>
      </w:r>
      <w:r w:rsidR="007B37E2">
        <w:t xml:space="preserve"> </w:t>
      </w:r>
      <w:r w:rsidRPr="00AF7055">
        <w:t>“Private Rights/Public Wrongs</w:t>
      </w:r>
      <w:r w:rsidR="003162CC">
        <w:t xml:space="preserve">: </w:t>
      </w:r>
      <w:r w:rsidRPr="00AF7055">
        <w:t xml:space="preserve"> The Liberal Lie of the Charter” (1988), </w:t>
      </w:r>
      <w:proofErr w:type="gramStart"/>
      <w:r w:rsidRPr="00AF7055">
        <w:t xml:space="preserve">38 </w:t>
      </w:r>
      <w:r w:rsidRPr="00AF7055">
        <w:rPr>
          <w:i/>
        </w:rPr>
        <w:t>U.T.L.J.</w:t>
      </w:r>
      <w:r w:rsidRPr="00AF7055">
        <w:t xml:space="preserve"> 278</w:t>
      </w:r>
      <w:proofErr w:type="gramEnd"/>
      <w:r w:rsidRPr="00AF7055">
        <w:t>.</w:t>
      </w:r>
    </w:p>
    <w:p w:rsidR="0041225A" w:rsidRPr="00CC012B" w:rsidRDefault="0041225A" w:rsidP="00F5300A">
      <w:pPr>
        <w:pStyle w:val="SCCNormalDoubleSpacing"/>
        <w:spacing w:after="240" w:line="240" w:lineRule="auto"/>
        <w:ind w:left="540" w:hanging="540"/>
      </w:pPr>
      <w:proofErr w:type="gramStart"/>
      <w:r w:rsidRPr="005C0F2C">
        <w:t xml:space="preserve">International Labour </w:t>
      </w:r>
      <w:r w:rsidR="005C0F2C" w:rsidRPr="005C0F2C">
        <w:t>Conference</w:t>
      </w:r>
      <w:r w:rsidRPr="005C0F2C">
        <w:t>.</w:t>
      </w:r>
      <w:proofErr w:type="gramEnd"/>
      <w:r w:rsidR="007B37E2">
        <w:t xml:space="preserve"> </w:t>
      </w:r>
      <w:r w:rsidRPr="005C0F2C">
        <w:t xml:space="preserve"> </w:t>
      </w:r>
      <w:proofErr w:type="gramStart"/>
      <w:r w:rsidRPr="005C0F2C">
        <w:t>Committee of Experts on the Application of Conventions and Recommendations.</w:t>
      </w:r>
      <w:proofErr w:type="gramEnd"/>
      <w:r w:rsidR="007B37E2">
        <w:t xml:space="preserve"> </w:t>
      </w:r>
      <w:r w:rsidRPr="005C0F2C">
        <w:t xml:space="preserve"> </w:t>
      </w:r>
      <w:proofErr w:type="gramStart"/>
      <w:r w:rsidRPr="0064000E">
        <w:rPr>
          <w:i/>
          <w:iCs/>
        </w:rPr>
        <w:t>Freedom of Association and Collective Bargaining</w:t>
      </w:r>
      <w:r w:rsidRPr="0064000E">
        <w:rPr>
          <w:iCs/>
        </w:rPr>
        <w:t>.</w:t>
      </w:r>
      <w:proofErr w:type="gramEnd"/>
      <w:r w:rsidRPr="0064000E">
        <w:rPr>
          <w:iCs/>
        </w:rPr>
        <w:t xml:space="preserve"> </w:t>
      </w:r>
      <w:r w:rsidRPr="0064000E">
        <w:t>Geneva</w:t>
      </w:r>
      <w:r w:rsidR="003162CC">
        <w:t xml:space="preserve">: </w:t>
      </w:r>
      <w:r w:rsidRPr="0064000E">
        <w:t xml:space="preserve"> International Labour Office, 1994.</w:t>
      </w:r>
    </w:p>
    <w:p w:rsidR="0066794F" w:rsidRPr="0066794F" w:rsidRDefault="0066794F" w:rsidP="00C27449">
      <w:pPr>
        <w:pStyle w:val="SCCNormalDoubleSpacing"/>
        <w:spacing w:after="240" w:line="240" w:lineRule="auto"/>
        <w:ind w:left="540" w:hanging="540"/>
      </w:pPr>
      <w:proofErr w:type="gramStart"/>
      <w:r w:rsidRPr="00C27449">
        <w:t>International</w:t>
      </w:r>
      <w:r w:rsidRPr="0066794F">
        <w:t xml:space="preserve"> Labour Office.</w:t>
      </w:r>
      <w:proofErr w:type="gramEnd"/>
      <w:r w:rsidRPr="0066794F">
        <w:t xml:space="preserve">  </w:t>
      </w:r>
      <w:proofErr w:type="gramStart"/>
      <w:r w:rsidRPr="0066794F">
        <w:t>Committee on Freedom of Association.</w:t>
      </w:r>
      <w:proofErr w:type="gramEnd"/>
      <w:r w:rsidRPr="0066794F">
        <w:t xml:space="preserve"> Report </w:t>
      </w:r>
      <w:r w:rsidR="00F02F88">
        <w:t>No. </w:t>
      </w:r>
      <w:r w:rsidRPr="0066794F">
        <w:t xml:space="preserve">330. </w:t>
      </w:r>
      <w:proofErr w:type="gramStart"/>
      <w:r w:rsidRPr="00897559">
        <w:t>Case Nos.</w:t>
      </w:r>
      <w:r w:rsidR="00C837D1">
        <w:t> </w:t>
      </w:r>
      <w:r w:rsidRPr="0066794F">
        <w:t xml:space="preserve">2166, 2173, 2180 and 2196 “Complaints against the Government of </w:t>
      </w:r>
      <w:r w:rsidRPr="0066794F">
        <w:lastRenderedPageBreak/>
        <w:t xml:space="preserve">Canada concerning the Province of British Columbia”, </w:t>
      </w:r>
      <w:r w:rsidRPr="0066794F">
        <w:rPr>
          <w:i/>
        </w:rPr>
        <w:t>I.L.O. Official Bulletin</w:t>
      </w:r>
      <w:r w:rsidRPr="0066794F">
        <w:t xml:space="preserve">, </w:t>
      </w:r>
      <w:r w:rsidR="00F02F88">
        <w:t>vol. </w:t>
      </w:r>
      <w:r w:rsidRPr="0066794F">
        <w:t xml:space="preserve">LXXXVI, 2003, Series B, </w:t>
      </w:r>
      <w:r w:rsidR="00F02F88">
        <w:t>No. </w:t>
      </w:r>
      <w:r w:rsidRPr="0066794F">
        <w:t>1.</w:t>
      </w:r>
      <w:proofErr w:type="gramEnd"/>
    </w:p>
    <w:p w:rsidR="00335E51" w:rsidRDefault="00335E51" w:rsidP="00F5300A">
      <w:pPr>
        <w:pStyle w:val="SCCNormalDoubleSpacing"/>
        <w:spacing w:after="240" w:line="240" w:lineRule="auto"/>
        <w:ind w:left="540" w:hanging="540"/>
      </w:pPr>
      <w:r w:rsidRPr="00A93D4A">
        <w:t>Langille, B</w:t>
      </w:r>
      <w:r w:rsidR="00FA7EA3" w:rsidRPr="00A93D4A">
        <w:t>rian.</w:t>
      </w:r>
      <w:r w:rsidRPr="00A93D4A">
        <w:t xml:space="preserve"> </w:t>
      </w:r>
      <w:r w:rsidR="007B37E2">
        <w:t xml:space="preserve"> </w:t>
      </w:r>
      <w:proofErr w:type="gramStart"/>
      <w:r>
        <w:t>“</w:t>
      </w:r>
      <w:r w:rsidRPr="007C0F94">
        <w:rPr>
          <w:iCs/>
        </w:rPr>
        <w:t>The Freedom of Association Mess</w:t>
      </w:r>
      <w:r w:rsidR="003162CC">
        <w:rPr>
          <w:iCs/>
        </w:rPr>
        <w:t xml:space="preserve">: </w:t>
      </w:r>
      <w:r>
        <w:t xml:space="preserve"> How We Got into It and How We Can Get out of It” (</w:t>
      </w:r>
      <w:r w:rsidRPr="00FA7EA3">
        <w:t>20</w:t>
      </w:r>
      <w:r w:rsidR="00FA7EA3">
        <w:t>09</w:t>
      </w:r>
      <w:r>
        <w:t>)</w:t>
      </w:r>
      <w:r w:rsidR="00FA7EA3">
        <w:t>,</w:t>
      </w:r>
      <w:r>
        <w:t xml:space="preserve"> 54 </w:t>
      </w:r>
      <w:r w:rsidRPr="007C0F94">
        <w:rPr>
          <w:i/>
        </w:rPr>
        <w:t>McGill L.J.</w:t>
      </w:r>
      <w:r>
        <w:t xml:space="preserve"> 177.</w:t>
      </w:r>
      <w:proofErr w:type="gramEnd"/>
    </w:p>
    <w:p w:rsidR="00335E51" w:rsidRDefault="00335E51" w:rsidP="00F5300A">
      <w:pPr>
        <w:pStyle w:val="SCCNormalDoubleSpacing"/>
        <w:spacing w:after="240" w:line="240" w:lineRule="auto"/>
        <w:ind w:left="540" w:hanging="540"/>
      </w:pPr>
      <w:r>
        <w:t>Langille, Brian.</w:t>
      </w:r>
      <w:r w:rsidR="007B37E2">
        <w:t xml:space="preserve"> </w:t>
      </w:r>
      <w:r>
        <w:t xml:space="preserve"> </w:t>
      </w:r>
      <w:proofErr w:type="gramStart"/>
      <w:r>
        <w:t xml:space="preserve">“Why Are Canadian Judges Drafting Labour Codes </w:t>
      </w:r>
      <w:r w:rsidR="00E37E0F">
        <w:t>—</w:t>
      </w:r>
      <w:r>
        <w:t xml:space="preserve"> And Constitutionalizing the Wagner Act Model</w:t>
      </w:r>
      <w:r w:rsidR="00204B1F">
        <w:t>?</w:t>
      </w:r>
      <w:r>
        <w:t>”</w:t>
      </w:r>
      <w:proofErr w:type="gramEnd"/>
      <w:r>
        <w:t xml:space="preserve"> </w:t>
      </w:r>
      <w:proofErr w:type="gramStart"/>
      <w:r>
        <w:t>(</w:t>
      </w:r>
      <w:r w:rsidRPr="00C11153">
        <w:t>2009</w:t>
      </w:r>
      <w:r w:rsidR="00F02F88">
        <w:noBreakHyphen/>
      </w:r>
      <w:r w:rsidRPr="00C11153">
        <w:t>2010</w:t>
      </w:r>
      <w:r>
        <w:t xml:space="preserve">), 15 </w:t>
      </w:r>
      <w:r w:rsidR="00203139" w:rsidRPr="00A451F9">
        <w:rPr>
          <w:i/>
        </w:rPr>
        <w:t>C.L.E.L.J.</w:t>
      </w:r>
      <w:r w:rsidR="00203139">
        <w:t xml:space="preserve"> </w:t>
      </w:r>
      <w:r>
        <w:t>101.</w:t>
      </w:r>
      <w:proofErr w:type="gramEnd"/>
    </w:p>
    <w:p w:rsidR="00205364" w:rsidRPr="00205364" w:rsidRDefault="00F5300A" w:rsidP="00C27449">
      <w:pPr>
        <w:pStyle w:val="SCCNormalDoubleSpacing"/>
        <w:spacing w:after="240" w:line="240" w:lineRule="auto"/>
        <w:ind w:left="540" w:hanging="540"/>
      </w:pPr>
      <w:r>
        <w:t>Langille, Brian </w:t>
      </w:r>
      <w:r w:rsidR="00205364">
        <w:t xml:space="preserve">A. </w:t>
      </w:r>
      <w:r w:rsidR="007B37E2">
        <w:t xml:space="preserve"> </w:t>
      </w:r>
      <w:r w:rsidR="00205364">
        <w:t xml:space="preserve">“Can We Rely on the ILO?” </w:t>
      </w:r>
      <w:proofErr w:type="gramStart"/>
      <w:r w:rsidR="00205364" w:rsidRPr="00205364">
        <w:t>(</w:t>
      </w:r>
      <w:r w:rsidR="007F314D">
        <w:t>2006</w:t>
      </w:r>
      <w:r w:rsidR="00F02F88">
        <w:noBreakHyphen/>
      </w:r>
      <w:r w:rsidR="00205364" w:rsidRPr="007F314D">
        <w:t>200</w:t>
      </w:r>
      <w:r w:rsidR="006B4941" w:rsidRPr="007F314D">
        <w:t>7</w:t>
      </w:r>
      <w:r w:rsidR="00205364" w:rsidRPr="00205364">
        <w:t xml:space="preserve">), 13 </w:t>
      </w:r>
      <w:r w:rsidR="00205364" w:rsidRPr="00205364">
        <w:rPr>
          <w:i/>
        </w:rPr>
        <w:t>C.L.E.L.J.</w:t>
      </w:r>
      <w:r w:rsidR="00205364" w:rsidRPr="00205364">
        <w:t xml:space="preserve"> </w:t>
      </w:r>
      <w:r w:rsidR="00FE59AF">
        <w:t>27</w:t>
      </w:r>
      <w:r w:rsidR="00205364" w:rsidRPr="00205364">
        <w:t>3.</w:t>
      </w:r>
      <w:proofErr w:type="gramEnd"/>
    </w:p>
    <w:p w:rsidR="00436492" w:rsidRDefault="00436492" w:rsidP="00F5300A">
      <w:pPr>
        <w:pStyle w:val="SCCNormalDoubleSpacing"/>
        <w:spacing w:after="240" w:line="240" w:lineRule="auto"/>
        <w:ind w:left="540" w:hanging="540"/>
      </w:pPr>
      <w:r>
        <w:t>Laskin, Bora.</w:t>
      </w:r>
      <w:r w:rsidR="007B37E2">
        <w:t xml:space="preserve"> </w:t>
      </w:r>
      <w:r>
        <w:t xml:space="preserve"> </w:t>
      </w:r>
      <w:proofErr w:type="gramStart"/>
      <w:r>
        <w:t>“</w:t>
      </w:r>
      <w:r w:rsidRPr="00E26D79">
        <w:t>Recent Labour Legislation in Canada</w:t>
      </w:r>
      <w:r>
        <w:t xml:space="preserve">” (1944), 22 </w:t>
      </w:r>
      <w:r w:rsidRPr="00436492">
        <w:rPr>
          <w:i/>
        </w:rPr>
        <w:t>Can. Bar Rev.</w:t>
      </w:r>
      <w:r>
        <w:t xml:space="preserve"> 776.</w:t>
      </w:r>
      <w:proofErr w:type="gramEnd"/>
    </w:p>
    <w:p w:rsidR="00EC7FF2" w:rsidRDefault="00EC7FF2" w:rsidP="00F5300A">
      <w:pPr>
        <w:pStyle w:val="SCCNormalDoubleSpacing"/>
        <w:spacing w:after="240" w:line="240" w:lineRule="auto"/>
        <w:ind w:left="540" w:hanging="540"/>
      </w:pPr>
      <w:r w:rsidRPr="00AF7055">
        <w:t>Macklem,</w:t>
      </w:r>
      <w:r w:rsidR="00AF7055" w:rsidRPr="00AF7055">
        <w:t xml:space="preserve"> Patrick.</w:t>
      </w:r>
      <w:r w:rsidRPr="00AF7055">
        <w:t xml:space="preserve"> </w:t>
      </w:r>
      <w:r w:rsidR="007B37E2">
        <w:t xml:space="preserve"> </w:t>
      </w:r>
      <w:proofErr w:type="gramStart"/>
      <w:r w:rsidRPr="00AF7055">
        <w:t>“Developments in Employment Law</w:t>
      </w:r>
      <w:r w:rsidR="003162CC">
        <w:t xml:space="preserve">: </w:t>
      </w:r>
      <w:r w:rsidRPr="00AF7055">
        <w:t xml:space="preserve"> The 1990</w:t>
      </w:r>
      <w:r w:rsidR="00F02F88">
        <w:noBreakHyphen/>
      </w:r>
      <w:r w:rsidRPr="00AF7055">
        <w:t xml:space="preserve">91 Term” (1992), 3 </w:t>
      </w:r>
      <w:r w:rsidRPr="00AF7055">
        <w:rPr>
          <w:i/>
        </w:rPr>
        <w:t>S</w:t>
      </w:r>
      <w:r w:rsidR="00F938D9" w:rsidRPr="00AF7055">
        <w:rPr>
          <w:i/>
        </w:rPr>
        <w:t>.</w:t>
      </w:r>
      <w:r w:rsidRPr="00AF7055">
        <w:rPr>
          <w:i/>
        </w:rPr>
        <w:t>C</w:t>
      </w:r>
      <w:r w:rsidR="00F938D9" w:rsidRPr="00AF7055">
        <w:rPr>
          <w:i/>
        </w:rPr>
        <w:t>.</w:t>
      </w:r>
      <w:r w:rsidRPr="00AF7055">
        <w:rPr>
          <w:i/>
        </w:rPr>
        <w:t>L</w:t>
      </w:r>
      <w:r w:rsidR="00F938D9" w:rsidRPr="00AF7055">
        <w:rPr>
          <w:i/>
        </w:rPr>
        <w:t>.</w:t>
      </w:r>
      <w:r w:rsidRPr="00AF7055">
        <w:rPr>
          <w:i/>
        </w:rPr>
        <w:t>R</w:t>
      </w:r>
      <w:r w:rsidR="00F938D9" w:rsidRPr="00AF7055">
        <w:rPr>
          <w:i/>
        </w:rPr>
        <w:t>.</w:t>
      </w:r>
      <w:r w:rsidRPr="00AF7055">
        <w:t xml:space="preserve"> (2d) 227.</w:t>
      </w:r>
      <w:proofErr w:type="gramEnd"/>
    </w:p>
    <w:p w:rsidR="005D5FBD" w:rsidRDefault="005D5FBD" w:rsidP="00F5300A">
      <w:pPr>
        <w:pStyle w:val="SCCNormalDoubleSpacing"/>
        <w:spacing w:after="240" w:line="240" w:lineRule="auto"/>
        <w:ind w:left="540" w:hanging="540"/>
      </w:pPr>
      <w:r>
        <w:t xml:space="preserve">Ontario. </w:t>
      </w:r>
      <w:r w:rsidR="00F5300A">
        <w:t xml:space="preserve"> </w:t>
      </w:r>
      <w:proofErr w:type="gramStart"/>
      <w:r>
        <w:t>Legislative Assembly.</w:t>
      </w:r>
      <w:proofErr w:type="gramEnd"/>
      <w:r>
        <w:t xml:space="preserve"> </w:t>
      </w:r>
      <w:r w:rsidR="007B37E2">
        <w:t xml:space="preserve"> </w:t>
      </w:r>
      <w:r w:rsidRPr="005D5FBD">
        <w:rPr>
          <w:i/>
        </w:rPr>
        <w:t>Official Report of Debates (Hansard)</w:t>
      </w:r>
      <w:r>
        <w:t xml:space="preserve">, </w:t>
      </w:r>
      <w:r w:rsidR="00F02F88">
        <w:t>No. </w:t>
      </w:r>
      <w:r>
        <w:t>43A, 3rd Sess., 37th Parl., October 16, 2002</w:t>
      </w:r>
      <w:r w:rsidR="00F71190">
        <w:t>, p. 2128</w:t>
      </w:r>
      <w:r>
        <w:t>.</w:t>
      </w:r>
    </w:p>
    <w:p w:rsidR="005D5FBD" w:rsidRDefault="005D5FBD" w:rsidP="00F5300A">
      <w:pPr>
        <w:pStyle w:val="SCCNormalDoubleSpacing"/>
        <w:spacing w:after="240" w:line="240" w:lineRule="auto"/>
        <w:ind w:left="540" w:hanging="540"/>
      </w:pPr>
      <w:r>
        <w:t>Ontario.</w:t>
      </w:r>
      <w:r w:rsidR="00F5300A">
        <w:t xml:space="preserve"> </w:t>
      </w:r>
      <w:r>
        <w:t xml:space="preserve"> </w:t>
      </w:r>
      <w:proofErr w:type="gramStart"/>
      <w:r>
        <w:t>Legislative Assembly.</w:t>
      </w:r>
      <w:proofErr w:type="gramEnd"/>
      <w:r>
        <w:t xml:space="preserve"> </w:t>
      </w:r>
      <w:r w:rsidR="007B37E2">
        <w:t xml:space="preserve"> </w:t>
      </w:r>
      <w:r w:rsidRPr="005D5FBD">
        <w:rPr>
          <w:i/>
        </w:rPr>
        <w:t>Official Report of Debates (Hansard)</w:t>
      </w:r>
      <w:r>
        <w:t xml:space="preserve">, </w:t>
      </w:r>
      <w:r w:rsidR="00F02F88">
        <w:t>No. </w:t>
      </w:r>
      <w:r>
        <w:t>46A, 3rd Sess., 37th Parl., October 22, 2002</w:t>
      </w:r>
      <w:r w:rsidR="00F71190">
        <w:t>, p</w:t>
      </w:r>
      <w:r w:rsidR="006A503D">
        <w:t>p</w:t>
      </w:r>
      <w:r w:rsidR="00F71190">
        <w:t>. 2</w:t>
      </w:r>
      <w:r w:rsidR="006A503D">
        <w:t>339-</w:t>
      </w:r>
      <w:r w:rsidR="00F71190">
        <w:t>40</w:t>
      </w:r>
      <w:r>
        <w:t>.</w:t>
      </w:r>
    </w:p>
    <w:p w:rsidR="001B4D1A" w:rsidRDefault="001B4D1A" w:rsidP="00C27449">
      <w:pPr>
        <w:pStyle w:val="SCCNormalDoubleSpacing"/>
        <w:spacing w:after="240" w:line="240" w:lineRule="auto"/>
        <w:ind w:left="540" w:hanging="540"/>
      </w:pPr>
      <w:r w:rsidRPr="001B4D1A">
        <w:t>Ontario.</w:t>
      </w:r>
      <w:r w:rsidR="00F5300A">
        <w:t xml:space="preserve"> </w:t>
      </w:r>
      <w:r w:rsidRPr="001B4D1A">
        <w:t xml:space="preserve"> </w:t>
      </w:r>
      <w:proofErr w:type="gramStart"/>
      <w:r w:rsidRPr="001B4D1A">
        <w:t>Task Force on Agricultural Labour Relations.</w:t>
      </w:r>
      <w:proofErr w:type="gramEnd"/>
      <w:r w:rsidRPr="001B4D1A">
        <w:t xml:space="preserve">  </w:t>
      </w:r>
      <w:r w:rsidRPr="001B4D1A">
        <w:rPr>
          <w:i/>
        </w:rPr>
        <w:t>Report to the Minister of Labour</w:t>
      </w:r>
      <w:r w:rsidR="000C4760">
        <w:t>. Toronto:  The Task Force,</w:t>
      </w:r>
      <w:r w:rsidRPr="001B4D1A">
        <w:t xml:space="preserve"> 1992.</w:t>
      </w:r>
    </w:p>
    <w:p w:rsidR="000C4760" w:rsidRPr="001B4D1A" w:rsidRDefault="000C4760" w:rsidP="00C27449">
      <w:pPr>
        <w:pStyle w:val="SCCNormalDoubleSpacing"/>
        <w:spacing w:after="240" w:line="240" w:lineRule="auto"/>
        <w:ind w:left="540" w:hanging="540"/>
      </w:pPr>
      <w:r w:rsidRPr="001B4D1A">
        <w:t xml:space="preserve">Ontario. </w:t>
      </w:r>
      <w:r w:rsidR="00F5300A">
        <w:t xml:space="preserve"> </w:t>
      </w:r>
      <w:proofErr w:type="gramStart"/>
      <w:r w:rsidRPr="001B4D1A">
        <w:t>Task Force on Agricultural Labour Relations.</w:t>
      </w:r>
      <w:proofErr w:type="gramEnd"/>
      <w:r w:rsidRPr="001B4D1A">
        <w:t xml:space="preserve">  </w:t>
      </w:r>
      <w:proofErr w:type="gramStart"/>
      <w:r w:rsidRPr="000C4760">
        <w:rPr>
          <w:i/>
        </w:rPr>
        <w:t>Second Report to the Minister of Labour</w:t>
      </w:r>
      <w:r>
        <w:t>.</w:t>
      </w:r>
      <w:proofErr w:type="gramEnd"/>
      <w:r>
        <w:t xml:space="preserve"> Toronto:  The Task Force,</w:t>
      </w:r>
      <w:r w:rsidRPr="001B4D1A">
        <w:t xml:space="preserve"> 1992.</w:t>
      </w:r>
    </w:p>
    <w:p w:rsidR="00EB1BD7" w:rsidRDefault="00EB1BD7" w:rsidP="00F5300A">
      <w:pPr>
        <w:pStyle w:val="SCCNormalDoubleSpacing"/>
        <w:spacing w:after="240" w:line="240" w:lineRule="auto"/>
        <w:ind w:left="540" w:hanging="540"/>
      </w:pPr>
      <w:r>
        <w:t xml:space="preserve">Parkes, Debra. </w:t>
      </w:r>
      <w:r w:rsidR="007B37E2">
        <w:t xml:space="preserve"> </w:t>
      </w:r>
      <w:r>
        <w:t xml:space="preserve">“Precedent Unbound? </w:t>
      </w:r>
      <w:proofErr w:type="gramStart"/>
      <w:r>
        <w:t>Contemporary Approaches to Precedent in Canada” (</w:t>
      </w:r>
      <w:r w:rsidRPr="008E262D">
        <w:t>2006</w:t>
      </w:r>
      <w:r>
        <w:t xml:space="preserve">), 32 </w:t>
      </w:r>
      <w:r w:rsidRPr="00047390">
        <w:rPr>
          <w:i/>
        </w:rPr>
        <w:t>Man. L.J.</w:t>
      </w:r>
      <w:r>
        <w:t xml:space="preserve"> 135.</w:t>
      </w:r>
      <w:proofErr w:type="gramEnd"/>
    </w:p>
    <w:p w:rsidR="000A08F4" w:rsidRDefault="000A08F4" w:rsidP="00F5300A">
      <w:pPr>
        <w:pStyle w:val="SCCNormalDoubleSpacing"/>
        <w:spacing w:after="240" w:line="240" w:lineRule="auto"/>
        <w:ind w:left="540" w:hanging="540"/>
      </w:pPr>
      <w:proofErr w:type="spellStart"/>
      <w:r>
        <w:t>Rayner</w:t>
      </w:r>
      <w:proofErr w:type="spellEnd"/>
      <w:r>
        <w:t>, W</w:t>
      </w:r>
      <w:r w:rsidR="006A503D">
        <w:t>esley</w:t>
      </w:r>
      <w:r w:rsidR="00F5300A">
        <w:t> </w:t>
      </w:r>
      <w:r>
        <w:t xml:space="preserve">B. </w:t>
      </w:r>
      <w:r w:rsidR="007B37E2">
        <w:t xml:space="preserve"> </w:t>
      </w:r>
      <w:r>
        <w:rPr>
          <w:i/>
          <w:iCs/>
        </w:rPr>
        <w:t>Canadian Collective Bargaining Law</w:t>
      </w:r>
      <w:r>
        <w:t xml:space="preserve">, 2nd ed. </w:t>
      </w:r>
      <w:r w:rsidRPr="00CB4B62">
        <w:t>Markham, Ont</w:t>
      </w:r>
      <w:r>
        <w:t>.: LexisNexis, 2007.</w:t>
      </w:r>
    </w:p>
    <w:p w:rsidR="007633B0" w:rsidRDefault="009143E3" w:rsidP="00F5300A">
      <w:pPr>
        <w:pStyle w:val="SCCNormalDoubleSpacing"/>
        <w:spacing w:after="240" w:line="240" w:lineRule="auto"/>
        <w:ind w:left="540" w:hanging="540"/>
      </w:pPr>
      <w:proofErr w:type="gramStart"/>
      <w:r>
        <w:t>Sharpe,</w:t>
      </w:r>
      <w:r w:rsidR="004208CC" w:rsidRPr="004208CC">
        <w:t xml:space="preserve"> </w:t>
      </w:r>
      <w:r w:rsidR="00F5300A">
        <w:t>Robert </w:t>
      </w:r>
      <w:r w:rsidR="007633B0" w:rsidRPr="004208CC">
        <w:t>J., and Kent Roa</w:t>
      </w:r>
      <w:r w:rsidR="00F02F88">
        <w:t>ch.</w:t>
      </w:r>
      <w:proofErr w:type="gramEnd"/>
      <w:r w:rsidR="00F02F88">
        <w:t> </w:t>
      </w:r>
      <w:r w:rsidR="007633B0" w:rsidRPr="004208CC">
        <w:t xml:space="preserve"> </w:t>
      </w:r>
      <w:r w:rsidR="007633B0" w:rsidRPr="004208CC">
        <w:rPr>
          <w:i/>
        </w:rPr>
        <w:t>The Charter of Rights and Freedoms</w:t>
      </w:r>
      <w:r w:rsidR="007633B0" w:rsidRPr="004208CC">
        <w:t xml:space="preserve">, 4th </w:t>
      </w:r>
      <w:proofErr w:type="gramStart"/>
      <w:r w:rsidR="007633B0" w:rsidRPr="004208CC">
        <w:t>ed</w:t>
      </w:r>
      <w:proofErr w:type="gramEnd"/>
      <w:r w:rsidR="007633B0" w:rsidRPr="004208CC">
        <w:t>.  Toronto:  Irwin Law, 2009.</w:t>
      </w:r>
    </w:p>
    <w:p w:rsidR="007633B0" w:rsidRDefault="007633B0" w:rsidP="00F5300A">
      <w:pPr>
        <w:pStyle w:val="SCCNormalDoubleSpacing"/>
        <w:spacing w:after="240" w:line="240" w:lineRule="auto"/>
        <w:ind w:left="540" w:hanging="540"/>
      </w:pPr>
      <w:r w:rsidRPr="00A36487">
        <w:t xml:space="preserve">Sullivan, Ruth.  </w:t>
      </w:r>
      <w:r w:rsidRPr="00A36487">
        <w:rPr>
          <w:i/>
          <w:color w:val="000000"/>
        </w:rPr>
        <w:t>Sullivan and Driedger on the Construction of Statutes</w:t>
      </w:r>
      <w:r w:rsidRPr="00A36487">
        <w:rPr>
          <w:color w:val="000000"/>
        </w:rPr>
        <w:t xml:space="preserve">, 4th </w:t>
      </w:r>
      <w:proofErr w:type="gramStart"/>
      <w:r w:rsidRPr="00A36487">
        <w:rPr>
          <w:color w:val="000000"/>
        </w:rPr>
        <w:t>ed</w:t>
      </w:r>
      <w:proofErr w:type="gramEnd"/>
      <w:r w:rsidRPr="00A36487">
        <w:rPr>
          <w:color w:val="000000"/>
        </w:rPr>
        <w:t xml:space="preserve">.  </w:t>
      </w:r>
      <w:r w:rsidR="00BD739D" w:rsidRPr="00A36487">
        <w:rPr>
          <w:color w:val="000000"/>
        </w:rPr>
        <w:t>Markham, Ont.:  Butterworths</w:t>
      </w:r>
      <w:r w:rsidRPr="00A36487">
        <w:rPr>
          <w:color w:val="000000"/>
        </w:rPr>
        <w:t>, 2002.</w:t>
      </w:r>
    </w:p>
    <w:p w:rsidR="00CF56C2" w:rsidRDefault="003762FF" w:rsidP="00F5300A">
      <w:pPr>
        <w:pStyle w:val="SCCNormalDoubleSpacing"/>
        <w:spacing w:after="240" w:line="240" w:lineRule="auto"/>
        <w:ind w:left="540" w:hanging="540"/>
      </w:pPr>
      <w:proofErr w:type="gramStart"/>
      <w:r>
        <w:t>Summers, Clyde </w:t>
      </w:r>
      <w:r w:rsidR="00CF56C2">
        <w:t>W.</w:t>
      </w:r>
      <w:proofErr w:type="gramEnd"/>
      <w:r w:rsidR="00CF56C2">
        <w:t xml:space="preserve"> </w:t>
      </w:r>
      <w:r w:rsidR="007B37E2">
        <w:t xml:space="preserve"> </w:t>
      </w:r>
      <w:proofErr w:type="gramStart"/>
      <w:r w:rsidR="00CF56C2">
        <w:t>“Exclusive Representation</w:t>
      </w:r>
      <w:r w:rsidR="003162CC">
        <w:t xml:space="preserve">: </w:t>
      </w:r>
      <w:r w:rsidR="00CF56C2">
        <w:t xml:space="preserve"> A Comparative Inquiry into a ‘Unique’ American Principle” (</w:t>
      </w:r>
      <w:r w:rsidR="00CF56C2" w:rsidRPr="00FE0EDC">
        <w:t>1998</w:t>
      </w:r>
      <w:r w:rsidR="00CF56C2">
        <w:t xml:space="preserve">), 20 </w:t>
      </w:r>
      <w:r w:rsidR="00CF56C2" w:rsidRPr="00CF56C2">
        <w:rPr>
          <w:i/>
        </w:rPr>
        <w:t>Com</w:t>
      </w:r>
      <w:r w:rsidR="00F02F88">
        <w:rPr>
          <w:i/>
        </w:rPr>
        <w:t>p. </w:t>
      </w:r>
      <w:r w:rsidR="00CF56C2" w:rsidRPr="00CF56C2">
        <w:rPr>
          <w:i/>
        </w:rPr>
        <w:t>Lab. L. &amp; Pol’y J.</w:t>
      </w:r>
      <w:r w:rsidR="00CF56C2">
        <w:t xml:space="preserve"> 47.</w:t>
      </w:r>
      <w:proofErr w:type="gramEnd"/>
    </w:p>
    <w:p w:rsidR="00EB1BD7" w:rsidRDefault="00802934" w:rsidP="00F5300A">
      <w:pPr>
        <w:pStyle w:val="SCCNormalDoubleSpacing"/>
        <w:spacing w:after="240" w:line="240" w:lineRule="auto"/>
        <w:ind w:left="540" w:hanging="540"/>
      </w:pPr>
      <w:r>
        <w:t xml:space="preserve">Tucker, Eric. </w:t>
      </w:r>
      <w:r w:rsidR="007B37E2">
        <w:t xml:space="preserve"> </w:t>
      </w:r>
      <w:r>
        <w:t xml:space="preserve">“The Constitutional </w:t>
      </w:r>
      <w:r w:rsidR="00750372">
        <w:t>Right to Bargain Collectively</w:t>
      </w:r>
      <w:r w:rsidR="003162CC">
        <w:t xml:space="preserve">: </w:t>
      </w:r>
      <w:r w:rsidR="00750372">
        <w:t xml:space="preserve"> T</w:t>
      </w:r>
      <w:r>
        <w:t xml:space="preserve">he Ironies of Labour History in the Supreme Court of Canada” (2008), 61 </w:t>
      </w:r>
      <w:r w:rsidR="00915E47" w:rsidRPr="00915E47">
        <w:rPr>
          <w:i/>
        </w:rPr>
        <w:t>Labour</w:t>
      </w:r>
      <w:r w:rsidR="00915E47">
        <w:t xml:space="preserve"> 151</w:t>
      </w:r>
      <w:r>
        <w:t>.</w:t>
      </w:r>
    </w:p>
    <w:p w:rsidR="008C261C" w:rsidRPr="008C261C" w:rsidRDefault="008C261C" w:rsidP="00F5300A">
      <w:pPr>
        <w:pStyle w:val="SCCNormalDoubleSpacing"/>
        <w:spacing w:after="240" w:line="240" w:lineRule="auto"/>
        <w:ind w:left="540" w:hanging="540"/>
        <w:rPr>
          <w:lang w:val="fr-CA"/>
        </w:rPr>
      </w:pPr>
      <w:r w:rsidRPr="008C261C">
        <w:rPr>
          <w:lang w:val="fr-CA"/>
        </w:rPr>
        <w:t>Verge, Pierre.</w:t>
      </w:r>
      <w:r w:rsidR="007B37E2">
        <w:rPr>
          <w:lang w:val="fr-CA"/>
        </w:rPr>
        <w:t xml:space="preserve"> </w:t>
      </w:r>
      <w:r w:rsidRPr="008C261C">
        <w:rPr>
          <w:lang w:val="fr-CA"/>
        </w:rPr>
        <w:t xml:space="preserve"> “Inclusion du droit de grève dans la liberté générale et constitutionnelle d’association</w:t>
      </w:r>
      <w:proofErr w:type="gramStart"/>
      <w:r w:rsidR="003162CC">
        <w:rPr>
          <w:lang w:val="fr-CA"/>
        </w:rPr>
        <w:t xml:space="preserve">: </w:t>
      </w:r>
      <w:r w:rsidRPr="008C261C">
        <w:rPr>
          <w:lang w:val="fr-CA"/>
        </w:rPr>
        <w:t xml:space="preserve"> justification</w:t>
      </w:r>
      <w:proofErr w:type="gramEnd"/>
      <w:r w:rsidRPr="008C261C">
        <w:rPr>
          <w:lang w:val="fr-CA"/>
        </w:rPr>
        <w:t xml:space="preserve"> et effets” (2009), 50 </w:t>
      </w:r>
      <w:r w:rsidRPr="008C261C">
        <w:rPr>
          <w:i/>
          <w:lang w:val="fr-CA"/>
        </w:rPr>
        <w:t>C. de D.</w:t>
      </w:r>
      <w:r w:rsidRPr="008C261C">
        <w:rPr>
          <w:lang w:val="fr-CA"/>
        </w:rPr>
        <w:t xml:space="preserve"> 267.</w:t>
      </w:r>
    </w:p>
    <w:p w:rsidR="00EC7FF2" w:rsidRPr="008C261C" w:rsidRDefault="00EC7FF2" w:rsidP="00F5300A">
      <w:pPr>
        <w:pStyle w:val="SCCNormalDoubleSpacing"/>
        <w:spacing w:after="240" w:line="240" w:lineRule="auto"/>
        <w:ind w:left="540" w:hanging="540"/>
        <w:rPr>
          <w:lang w:val="fr-CA"/>
        </w:rPr>
      </w:pPr>
      <w:r w:rsidRPr="008C261C">
        <w:rPr>
          <w:lang w:val="fr-CA"/>
        </w:rPr>
        <w:lastRenderedPageBreak/>
        <w:t>Verge</w:t>
      </w:r>
      <w:r w:rsidR="003D3F1A" w:rsidRPr="008C261C">
        <w:rPr>
          <w:lang w:val="fr-CA"/>
        </w:rPr>
        <w:t>, Pierre.</w:t>
      </w:r>
      <w:r w:rsidRPr="008C261C">
        <w:rPr>
          <w:lang w:val="fr-CA"/>
        </w:rPr>
        <w:t xml:space="preserve"> </w:t>
      </w:r>
      <w:r w:rsidR="007B37E2">
        <w:rPr>
          <w:lang w:val="fr-CA"/>
        </w:rPr>
        <w:t xml:space="preserve"> </w:t>
      </w:r>
      <w:r w:rsidRPr="008C261C">
        <w:rPr>
          <w:lang w:val="fr-CA"/>
        </w:rPr>
        <w:t>“L’affirmation constitutionnelle de la liberté d’association</w:t>
      </w:r>
      <w:proofErr w:type="gramStart"/>
      <w:r w:rsidR="003162CC">
        <w:rPr>
          <w:lang w:val="fr-CA"/>
        </w:rPr>
        <w:t xml:space="preserve">: </w:t>
      </w:r>
      <w:r w:rsidRPr="008C261C">
        <w:rPr>
          <w:lang w:val="fr-CA"/>
        </w:rPr>
        <w:t xml:space="preserve"> une</w:t>
      </w:r>
      <w:proofErr w:type="gramEnd"/>
      <w:r w:rsidRPr="008C261C">
        <w:rPr>
          <w:lang w:val="fr-CA"/>
        </w:rPr>
        <w:t xml:space="preserve"> nouvelle vie pour l’autonomie collective?” (2010)</w:t>
      </w:r>
      <w:r w:rsidR="004624AF" w:rsidRPr="008C261C">
        <w:rPr>
          <w:lang w:val="fr-CA"/>
        </w:rPr>
        <w:t>,</w:t>
      </w:r>
      <w:r w:rsidRPr="008C261C">
        <w:rPr>
          <w:lang w:val="fr-CA"/>
        </w:rPr>
        <w:t xml:space="preserve"> 51 </w:t>
      </w:r>
      <w:r w:rsidRPr="008C261C">
        <w:rPr>
          <w:i/>
          <w:lang w:val="fr-CA"/>
        </w:rPr>
        <w:t>C</w:t>
      </w:r>
      <w:r w:rsidR="004624AF" w:rsidRPr="008C261C">
        <w:rPr>
          <w:i/>
          <w:lang w:val="fr-CA"/>
        </w:rPr>
        <w:t>.</w:t>
      </w:r>
      <w:r w:rsidRPr="008C261C">
        <w:rPr>
          <w:i/>
          <w:lang w:val="fr-CA"/>
        </w:rPr>
        <w:t xml:space="preserve"> de </w:t>
      </w:r>
      <w:r w:rsidR="004624AF" w:rsidRPr="008C261C">
        <w:rPr>
          <w:i/>
          <w:lang w:val="fr-CA"/>
        </w:rPr>
        <w:t>D.</w:t>
      </w:r>
      <w:r w:rsidRPr="008C261C">
        <w:rPr>
          <w:lang w:val="fr-CA"/>
        </w:rPr>
        <w:t xml:space="preserve"> 353.</w:t>
      </w:r>
    </w:p>
    <w:p w:rsidR="00F77EB4" w:rsidRDefault="00F77EB4" w:rsidP="00F5300A">
      <w:pPr>
        <w:pStyle w:val="SCCNormalDoubleSpacing"/>
        <w:spacing w:after="240" w:line="240" w:lineRule="auto"/>
        <w:ind w:left="540" w:hanging="540"/>
        <w:rPr>
          <w:lang w:val="fr-CA"/>
        </w:rPr>
      </w:pPr>
      <w:r w:rsidRPr="008C261C">
        <w:rPr>
          <w:lang w:val="fr-CA"/>
        </w:rPr>
        <w:t xml:space="preserve">Verge, </w:t>
      </w:r>
      <w:r w:rsidR="003D3F1A" w:rsidRPr="008C261C">
        <w:rPr>
          <w:lang w:val="fr-CA"/>
        </w:rPr>
        <w:t xml:space="preserve">Pierre. </w:t>
      </w:r>
      <w:r w:rsidR="007B37E2">
        <w:rPr>
          <w:lang w:val="fr-CA"/>
        </w:rPr>
        <w:t xml:space="preserve"> </w:t>
      </w:r>
      <w:r w:rsidR="008C261C" w:rsidRPr="008C261C">
        <w:rPr>
          <w:lang w:val="fr-CA"/>
        </w:rPr>
        <w:t>“La Cour suprême, le ‘</w:t>
      </w:r>
      <w:r w:rsidRPr="008C261C">
        <w:rPr>
          <w:lang w:val="fr-CA"/>
        </w:rPr>
        <w:t>droit</w:t>
      </w:r>
      <w:r w:rsidR="008C261C" w:rsidRPr="008C261C">
        <w:rPr>
          <w:lang w:val="fr-CA"/>
        </w:rPr>
        <w:t>’</w:t>
      </w:r>
      <w:r w:rsidRPr="008C261C">
        <w:rPr>
          <w:lang w:val="fr-CA"/>
        </w:rPr>
        <w:t xml:space="preserve"> à la négociation collective et le </w:t>
      </w:r>
      <w:r w:rsidR="008C261C" w:rsidRPr="008C261C">
        <w:rPr>
          <w:lang w:val="fr-CA"/>
        </w:rPr>
        <w:t>‘</w:t>
      </w:r>
      <w:r w:rsidRPr="008C261C">
        <w:rPr>
          <w:lang w:val="fr-CA"/>
        </w:rPr>
        <w:t>droit</w:t>
      </w:r>
      <w:r w:rsidR="008C261C" w:rsidRPr="008C261C">
        <w:rPr>
          <w:lang w:val="fr-CA"/>
        </w:rPr>
        <w:t>’</w:t>
      </w:r>
      <w:r w:rsidRPr="008C261C">
        <w:rPr>
          <w:lang w:val="fr-CA"/>
        </w:rPr>
        <w:t xml:space="preserve"> de grève” (2006), 66 </w:t>
      </w:r>
      <w:r w:rsidRPr="008C261C">
        <w:rPr>
          <w:i/>
          <w:lang w:val="fr-CA"/>
        </w:rPr>
        <w:t>R</w:t>
      </w:r>
      <w:r w:rsidR="008C261C" w:rsidRPr="008C261C">
        <w:rPr>
          <w:i/>
          <w:lang w:val="fr-CA"/>
        </w:rPr>
        <w:t>. du B.</w:t>
      </w:r>
      <w:r w:rsidRPr="008C261C">
        <w:rPr>
          <w:lang w:val="fr-CA"/>
        </w:rPr>
        <w:t xml:space="preserve"> 391.</w:t>
      </w:r>
    </w:p>
    <w:p w:rsidR="00465D48" w:rsidRPr="003A50F0" w:rsidRDefault="00465D48" w:rsidP="00F5300A">
      <w:pPr>
        <w:pStyle w:val="SCCNormalDoubleSpacing"/>
        <w:spacing w:after="720" w:line="240" w:lineRule="auto"/>
        <w:ind w:left="547" w:hanging="547"/>
        <w:rPr>
          <w:lang w:val="en-US"/>
        </w:rPr>
      </w:pPr>
      <w:r w:rsidRPr="003F5273">
        <w:t>Weiler, Paul</w:t>
      </w:r>
      <w:r>
        <w:t>.</w:t>
      </w:r>
      <w:r w:rsidRPr="003F5273">
        <w:t xml:space="preserve"> </w:t>
      </w:r>
      <w:r w:rsidR="007B37E2">
        <w:t xml:space="preserve"> </w:t>
      </w:r>
      <w:r w:rsidRPr="003F5273">
        <w:rPr>
          <w:i/>
        </w:rPr>
        <w:t>Reconcilable Differences</w:t>
      </w:r>
      <w:r w:rsidR="003162CC">
        <w:rPr>
          <w:i/>
        </w:rPr>
        <w:t xml:space="preserve">: </w:t>
      </w:r>
      <w:r w:rsidRPr="003F5273">
        <w:rPr>
          <w:i/>
        </w:rPr>
        <w:t xml:space="preserve"> New Directions in Canadian Labour Law</w:t>
      </w:r>
      <w:r>
        <w:t xml:space="preserve">. </w:t>
      </w:r>
      <w:r w:rsidRPr="003F5273">
        <w:t>Toronto</w:t>
      </w:r>
      <w:r w:rsidR="003162CC">
        <w:t xml:space="preserve">: </w:t>
      </w:r>
      <w:r w:rsidRPr="003F5273">
        <w:t xml:space="preserve"> Carswell, 1980</w:t>
      </w:r>
      <w:r>
        <w:t>.</w:t>
      </w:r>
    </w:p>
    <w:p w:rsidR="00327E6D" w:rsidRDefault="00327E6D" w:rsidP="00C27449">
      <w:pPr>
        <w:pStyle w:val="SCCNormalDoubleSpacing"/>
        <w:tabs>
          <w:tab w:val="left" w:pos="1170"/>
        </w:tabs>
        <w:spacing w:after="480"/>
      </w:pPr>
      <w:r>
        <w:tab/>
      </w:r>
      <w:r w:rsidR="009B57B3" w:rsidRPr="001426A9">
        <w:t xml:space="preserve">APPEAL </w:t>
      </w:r>
      <w:r w:rsidR="00AD4253">
        <w:fldChar w:fldCharType="begin"/>
      </w:r>
      <w:r>
        <w:instrText xml:space="preserve"> SEQ CHAPTER \h \r 1</w:instrText>
      </w:r>
      <w:r w:rsidR="00AD4253">
        <w:fldChar w:fldCharType="end"/>
      </w:r>
      <w:r>
        <w:t>from a judgment of the Ontario Court of Appeal (Winkler C.J.O. and Cronk and Watt JJ.A.), 2008 ONCA 760, 92 O.R. (3d) 481, 301 D.L.R. (4th) 335, 182 C.R.R. (2d) 109, 242 O.A.C. 252, 2009 CLLC ¶220</w:t>
      </w:r>
      <w:r w:rsidR="00F02F88">
        <w:noBreakHyphen/>
      </w:r>
      <w:r>
        <w:t xml:space="preserve">001, [2008] O.J. </w:t>
      </w:r>
      <w:r w:rsidR="00F02F88">
        <w:t>No. </w:t>
      </w:r>
      <w:r>
        <w:t>4543 (QL), 2008 CarswellOnt 6726, setting aside a decision of Farley J.</w:t>
      </w:r>
      <w:r w:rsidR="00302575">
        <w:t xml:space="preserve"> (2006)</w:t>
      </w:r>
      <w:r>
        <w:t>, 79 O.R. (3d) 219, 263 D.L.R. (4th) 425, 137 C.R.R. (2d) 123, 2006 CLLC ¶220</w:t>
      </w:r>
      <w:r w:rsidR="00F02F88">
        <w:noBreakHyphen/>
      </w:r>
      <w:r>
        <w:t xml:space="preserve">009, [2006] O.J. </w:t>
      </w:r>
      <w:r w:rsidR="00F02F88">
        <w:t>No. </w:t>
      </w:r>
      <w:r>
        <w:t>45 (QL), 2006 CarswellOnt 55.</w:t>
      </w:r>
      <w:r w:rsidR="003762FF">
        <w:t xml:space="preserve"> </w:t>
      </w:r>
      <w:r>
        <w:t xml:space="preserve"> Appeal </w:t>
      </w:r>
      <w:r w:rsidR="00750558">
        <w:t>allowed</w:t>
      </w:r>
      <w:r w:rsidR="00016514">
        <w:t xml:space="preserve"> and action dismissed</w:t>
      </w:r>
      <w:r w:rsidR="00F026B4">
        <w:t>, Abella</w:t>
      </w:r>
      <w:r w:rsidR="003762FF">
        <w:t> </w:t>
      </w:r>
      <w:r w:rsidR="00F026B4">
        <w:t>J. dissenting</w:t>
      </w:r>
      <w:r>
        <w:t>.</w:t>
      </w:r>
    </w:p>
    <w:p w:rsidR="00327E6D" w:rsidRDefault="00AD4253" w:rsidP="007A60AA">
      <w:pPr>
        <w:pStyle w:val="SCCNormalDoubleSpacing"/>
        <w:tabs>
          <w:tab w:val="left" w:pos="1170"/>
        </w:tabs>
        <w:spacing w:after="480"/>
      </w:pPr>
      <w:r>
        <w:fldChar w:fldCharType="begin"/>
      </w:r>
      <w:r w:rsidR="00327E6D">
        <w:instrText xml:space="preserve"> SEQ CHAPTER \h \r 1</w:instrText>
      </w:r>
      <w:r>
        <w:fldChar w:fldCharType="end"/>
      </w:r>
      <w:r w:rsidR="00327E6D">
        <w:tab/>
      </w:r>
      <w:proofErr w:type="gramStart"/>
      <w:r w:rsidR="00F5300A">
        <w:rPr>
          <w:i/>
          <w:iCs/>
        </w:rPr>
        <w:t>Robin </w:t>
      </w:r>
      <w:r w:rsidR="00327E6D">
        <w:rPr>
          <w:i/>
          <w:iCs/>
        </w:rPr>
        <w:t>K.</w:t>
      </w:r>
      <w:r w:rsidR="00327E6D">
        <w:t xml:space="preserve"> </w:t>
      </w:r>
      <w:r w:rsidR="00327E6D">
        <w:rPr>
          <w:i/>
          <w:iCs/>
        </w:rPr>
        <w:t>Basu</w:t>
      </w:r>
      <w:r w:rsidR="00327E6D">
        <w:t xml:space="preserve"> and </w:t>
      </w:r>
      <w:r w:rsidR="00327E6D">
        <w:rPr>
          <w:i/>
          <w:iCs/>
        </w:rPr>
        <w:t>Shannon</w:t>
      </w:r>
      <w:r w:rsidR="007C6069">
        <w:rPr>
          <w:i/>
          <w:iCs/>
        </w:rPr>
        <w:t> </w:t>
      </w:r>
      <w:r w:rsidR="00327E6D">
        <w:rPr>
          <w:i/>
          <w:iCs/>
        </w:rPr>
        <w:t>M. Chace</w:t>
      </w:r>
      <w:r w:rsidR="00327E6D">
        <w:t>, for the appellant.</w:t>
      </w:r>
      <w:proofErr w:type="gramEnd"/>
    </w:p>
    <w:p w:rsidR="00327E6D" w:rsidRDefault="00327E6D" w:rsidP="007A60AA">
      <w:pPr>
        <w:pStyle w:val="SCCNormalDoubleSpacing"/>
        <w:tabs>
          <w:tab w:val="left" w:pos="1170"/>
        </w:tabs>
        <w:spacing w:after="480"/>
      </w:pPr>
      <w:r>
        <w:tab/>
      </w:r>
      <w:proofErr w:type="gramStart"/>
      <w:r w:rsidR="00F5300A">
        <w:rPr>
          <w:i/>
          <w:iCs/>
        </w:rPr>
        <w:t>Paul </w:t>
      </w:r>
      <w:r>
        <w:rPr>
          <w:i/>
          <w:iCs/>
        </w:rPr>
        <w:t>J.</w:t>
      </w:r>
      <w:r w:rsidR="00F5300A">
        <w:rPr>
          <w:i/>
          <w:iCs/>
        </w:rPr>
        <w:t> </w:t>
      </w:r>
      <w:r>
        <w:rPr>
          <w:i/>
          <w:iCs/>
        </w:rPr>
        <w:t>J.</w:t>
      </w:r>
      <w:r>
        <w:t xml:space="preserve"> </w:t>
      </w:r>
      <w:r>
        <w:rPr>
          <w:i/>
          <w:iCs/>
        </w:rPr>
        <w:t>Cavalluzzo</w:t>
      </w:r>
      <w:r>
        <w:t xml:space="preserve"> and </w:t>
      </w:r>
      <w:r w:rsidR="00F5300A">
        <w:rPr>
          <w:i/>
          <w:iCs/>
        </w:rPr>
        <w:t>Fay </w:t>
      </w:r>
      <w:r>
        <w:rPr>
          <w:i/>
          <w:iCs/>
        </w:rPr>
        <w:t>C. Faraday</w:t>
      </w:r>
      <w:r>
        <w:t>, for the respondents.</w:t>
      </w:r>
      <w:proofErr w:type="gramEnd"/>
    </w:p>
    <w:p w:rsidR="00327E6D" w:rsidRDefault="00327E6D" w:rsidP="007A60AA">
      <w:pPr>
        <w:pStyle w:val="SCCNormalDoubleSpacing"/>
        <w:tabs>
          <w:tab w:val="left" w:pos="1170"/>
        </w:tabs>
        <w:spacing w:after="480"/>
      </w:pPr>
      <w:r>
        <w:tab/>
      </w:r>
      <w:proofErr w:type="gramStart"/>
      <w:r>
        <w:rPr>
          <w:i/>
          <w:iCs/>
        </w:rPr>
        <w:t>Anne</w:t>
      </w:r>
      <w:r w:rsidR="00F5300A">
        <w:t> </w:t>
      </w:r>
      <w:r>
        <w:rPr>
          <w:i/>
          <w:iCs/>
        </w:rPr>
        <w:t>M. Turley</w:t>
      </w:r>
      <w:r>
        <w:t>, for the intervener the Attorney General of Canada.</w:t>
      </w:r>
      <w:proofErr w:type="gramEnd"/>
    </w:p>
    <w:p w:rsidR="00327E6D" w:rsidRDefault="00327E6D" w:rsidP="007A60AA">
      <w:pPr>
        <w:pStyle w:val="SCCNormalDoubleSpacing"/>
        <w:tabs>
          <w:tab w:val="left" w:pos="1170"/>
        </w:tabs>
        <w:spacing w:after="480"/>
      </w:pPr>
      <w:r>
        <w:tab/>
      </w:r>
      <w:proofErr w:type="gramStart"/>
      <w:r>
        <w:rPr>
          <w:i/>
          <w:iCs/>
        </w:rPr>
        <w:t>Michel Déom</w:t>
      </w:r>
      <w:r>
        <w:t xml:space="preserve"> and </w:t>
      </w:r>
      <w:r>
        <w:rPr>
          <w:i/>
          <w:iCs/>
        </w:rPr>
        <w:t>Geneviève Lessard</w:t>
      </w:r>
      <w:r>
        <w:t>, for the intervener the Attorney General of Quebec.</w:t>
      </w:r>
      <w:proofErr w:type="gramEnd"/>
    </w:p>
    <w:p w:rsidR="00327E6D" w:rsidRDefault="00327E6D" w:rsidP="007A60AA">
      <w:pPr>
        <w:pStyle w:val="SCCNormalDoubleSpacing"/>
        <w:tabs>
          <w:tab w:val="left" w:pos="1170"/>
        </w:tabs>
        <w:spacing w:after="480"/>
      </w:pPr>
      <w:r>
        <w:tab/>
      </w:r>
      <w:proofErr w:type="gramStart"/>
      <w:r>
        <w:rPr>
          <w:i/>
          <w:iCs/>
        </w:rPr>
        <w:t>Gaétan</w:t>
      </w:r>
      <w:r>
        <w:t xml:space="preserve"> </w:t>
      </w:r>
      <w:proofErr w:type="spellStart"/>
      <w:r>
        <w:rPr>
          <w:i/>
          <w:iCs/>
        </w:rPr>
        <w:t>Migneault</w:t>
      </w:r>
      <w:proofErr w:type="spellEnd"/>
      <w:r>
        <w:t xml:space="preserve"> and </w:t>
      </w:r>
      <w:r>
        <w:rPr>
          <w:i/>
          <w:iCs/>
        </w:rPr>
        <w:t xml:space="preserve">Michelle </w:t>
      </w:r>
      <w:proofErr w:type="spellStart"/>
      <w:r>
        <w:rPr>
          <w:i/>
          <w:iCs/>
        </w:rPr>
        <w:t>Brun</w:t>
      </w:r>
      <w:r w:rsidR="00F02F88">
        <w:rPr>
          <w:i/>
          <w:iCs/>
        </w:rPr>
        <w:noBreakHyphen/>
      </w:r>
      <w:r>
        <w:rPr>
          <w:i/>
          <w:iCs/>
        </w:rPr>
        <w:t>Coughlan</w:t>
      </w:r>
      <w:proofErr w:type="spellEnd"/>
      <w:r>
        <w:t>, for the intervener the Attorney General of New Brunswick.</w:t>
      </w:r>
      <w:proofErr w:type="gramEnd"/>
    </w:p>
    <w:p w:rsidR="00327E6D" w:rsidRDefault="00327E6D" w:rsidP="007A60AA">
      <w:pPr>
        <w:pStyle w:val="SCCNormalDoubleSpacing"/>
        <w:tabs>
          <w:tab w:val="left" w:pos="1170"/>
        </w:tabs>
        <w:spacing w:after="480"/>
      </w:pPr>
      <w:r>
        <w:lastRenderedPageBreak/>
        <w:tab/>
      </w:r>
      <w:proofErr w:type="gramStart"/>
      <w:r>
        <w:rPr>
          <w:i/>
          <w:iCs/>
        </w:rPr>
        <w:t>Neena</w:t>
      </w:r>
      <w:r>
        <w:t xml:space="preserve"> </w:t>
      </w:r>
      <w:r>
        <w:rPr>
          <w:i/>
          <w:iCs/>
        </w:rPr>
        <w:t>Sharma</w:t>
      </w:r>
      <w:r>
        <w:t>, for the intervener the Attorney General of British Columbia.</w:t>
      </w:r>
      <w:proofErr w:type="gramEnd"/>
    </w:p>
    <w:p w:rsidR="00327E6D" w:rsidRDefault="00327E6D" w:rsidP="007A60AA">
      <w:pPr>
        <w:pStyle w:val="SCCNormalDoubleSpacing"/>
        <w:tabs>
          <w:tab w:val="left" w:pos="1170"/>
        </w:tabs>
        <w:spacing w:after="480"/>
      </w:pPr>
      <w:r>
        <w:tab/>
      </w:r>
      <w:proofErr w:type="gramStart"/>
      <w:r>
        <w:rPr>
          <w:i/>
          <w:iCs/>
        </w:rPr>
        <w:t>Roderick</w:t>
      </w:r>
      <w:r w:rsidR="00C837D1">
        <w:t> </w:t>
      </w:r>
      <w:r>
        <w:rPr>
          <w:i/>
          <w:iCs/>
        </w:rPr>
        <w:t>S. Wiltshire</w:t>
      </w:r>
      <w:r>
        <w:t>, for the intervener the Attorney General of Alberta.</w:t>
      </w:r>
      <w:proofErr w:type="gramEnd"/>
    </w:p>
    <w:p w:rsidR="00327E6D" w:rsidRDefault="00327E6D" w:rsidP="007A60AA">
      <w:pPr>
        <w:pStyle w:val="SCCNormalDoubleSpacing"/>
        <w:tabs>
          <w:tab w:val="left" w:pos="1170"/>
        </w:tabs>
        <w:spacing w:after="480"/>
      </w:pPr>
      <w:r>
        <w:tab/>
      </w:r>
      <w:proofErr w:type="gramStart"/>
      <w:r w:rsidR="00F5300A">
        <w:rPr>
          <w:i/>
          <w:iCs/>
        </w:rPr>
        <w:t>John D. </w:t>
      </w:r>
      <w:r>
        <w:rPr>
          <w:i/>
          <w:iCs/>
        </w:rPr>
        <w:t>R.</w:t>
      </w:r>
      <w:r>
        <w:t xml:space="preserve"> </w:t>
      </w:r>
      <w:r>
        <w:rPr>
          <w:i/>
          <w:iCs/>
        </w:rPr>
        <w:t>Craig</w:t>
      </w:r>
      <w:r>
        <w:t xml:space="preserve"> and </w:t>
      </w:r>
      <w:r>
        <w:rPr>
          <w:i/>
          <w:iCs/>
        </w:rPr>
        <w:t>Jodi Gallagher</w:t>
      </w:r>
      <w:r>
        <w:t>, for the intervener the Ontario Federation of Agriculture.</w:t>
      </w:r>
      <w:proofErr w:type="gramEnd"/>
    </w:p>
    <w:p w:rsidR="00327E6D" w:rsidRDefault="00327E6D" w:rsidP="007A60AA">
      <w:pPr>
        <w:pStyle w:val="SCCNormalDoubleSpacing"/>
        <w:tabs>
          <w:tab w:val="left" w:pos="1170"/>
        </w:tabs>
        <w:spacing w:after="480"/>
      </w:pPr>
      <w:r>
        <w:tab/>
      </w:r>
      <w:proofErr w:type="gramStart"/>
      <w:r>
        <w:rPr>
          <w:i/>
          <w:iCs/>
        </w:rPr>
        <w:t>Roy</w:t>
      </w:r>
      <w:r w:rsidR="00F5300A">
        <w:rPr>
          <w:i/>
          <w:iCs/>
        </w:rPr>
        <w:t> </w:t>
      </w:r>
      <w:r>
        <w:rPr>
          <w:i/>
          <w:iCs/>
        </w:rPr>
        <w:t>L.</w:t>
      </w:r>
      <w:r>
        <w:t xml:space="preserve"> </w:t>
      </w:r>
      <w:r>
        <w:rPr>
          <w:i/>
          <w:iCs/>
        </w:rPr>
        <w:t>Heenan</w:t>
      </w:r>
      <w:r>
        <w:t xml:space="preserve"> and </w:t>
      </w:r>
      <w:r>
        <w:rPr>
          <w:i/>
          <w:iCs/>
        </w:rPr>
        <w:t>Thomas</w:t>
      </w:r>
      <w:r w:rsidR="00F60638">
        <w:rPr>
          <w:i/>
          <w:iCs/>
        </w:rPr>
        <w:t xml:space="preserve"> </w:t>
      </w:r>
      <w:r>
        <w:rPr>
          <w:i/>
          <w:iCs/>
        </w:rPr>
        <w:t>Brady</w:t>
      </w:r>
      <w:r>
        <w:t>, for the intervener the Federally Regulated Employers — Transportation and Communications.</w:t>
      </w:r>
      <w:proofErr w:type="gramEnd"/>
    </w:p>
    <w:p w:rsidR="00327E6D" w:rsidRPr="00327E6D" w:rsidRDefault="00327E6D" w:rsidP="007A60AA">
      <w:pPr>
        <w:pStyle w:val="SCCNormalDoubleSpacing"/>
        <w:tabs>
          <w:tab w:val="left" w:pos="1170"/>
        </w:tabs>
        <w:spacing w:after="480"/>
        <w:rPr>
          <w:lang w:val="fr-CA"/>
        </w:rPr>
      </w:pPr>
      <w:r>
        <w:tab/>
      </w:r>
      <w:r w:rsidRPr="00A00D29">
        <w:rPr>
          <w:i/>
          <w:iCs/>
          <w:lang w:val="fr-CA"/>
        </w:rPr>
        <w:t>Robert</w:t>
      </w:r>
      <w:r w:rsidRPr="00327E6D">
        <w:rPr>
          <w:lang w:val="fr-CA"/>
        </w:rPr>
        <w:t xml:space="preserve"> </w:t>
      </w:r>
      <w:r w:rsidRPr="00327E6D">
        <w:rPr>
          <w:i/>
          <w:iCs/>
          <w:lang w:val="fr-CA"/>
        </w:rPr>
        <w:t>Dupont</w:t>
      </w:r>
      <w:r w:rsidRPr="00327E6D">
        <w:rPr>
          <w:lang w:val="fr-CA"/>
        </w:rPr>
        <w:t xml:space="preserve">, </w:t>
      </w:r>
      <w:r w:rsidRPr="00327E6D">
        <w:rPr>
          <w:i/>
          <w:iCs/>
          <w:lang w:val="fr-CA"/>
        </w:rPr>
        <w:t>Pascale Gauthier</w:t>
      </w:r>
      <w:r w:rsidRPr="00327E6D">
        <w:rPr>
          <w:lang w:val="fr-CA"/>
        </w:rPr>
        <w:t xml:space="preserve"> and </w:t>
      </w:r>
      <w:r w:rsidR="00F5300A">
        <w:rPr>
          <w:i/>
          <w:iCs/>
          <w:lang w:val="fr-CA"/>
        </w:rPr>
        <w:t>Jean </w:t>
      </w:r>
      <w:r w:rsidRPr="00327E6D">
        <w:rPr>
          <w:i/>
          <w:iCs/>
          <w:lang w:val="fr-CA"/>
        </w:rPr>
        <w:t>H. Lafleur</w:t>
      </w:r>
      <w:r w:rsidRPr="00327E6D">
        <w:rPr>
          <w:lang w:val="fr-CA"/>
        </w:rPr>
        <w:t>, for the intervener Conseil du patronat du Québec Inc.</w:t>
      </w:r>
    </w:p>
    <w:p w:rsidR="00327E6D" w:rsidRDefault="00327E6D" w:rsidP="007A60AA">
      <w:pPr>
        <w:pStyle w:val="SCCNormalDoubleSpacing"/>
        <w:tabs>
          <w:tab w:val="left" w:pos="1170"/>
        </w:tabs>
        <w:spacing w:after="480"/>
      </w:pPr>
      <w:r w:rsidRPr="00327E6D">
        <w:rPr>
          <w:lang w:val="fr-CA"/>
        </w:rPr>
        <w:tab/>
      </w:r>
      <w:proofErr w:type="gramStart"/>
      <w:r>
        <w:rPr>
          <w:i/>
          <w:iCs/>
        </w:rPr>
        <w:t>Brad Elberg</w:t>
      </w:r>
      <w:r>
        <w:t xml:space="preserve"> and </w:t>
      </w:r>
      <w:r>
        <w:rPr>
          <w:i/>
          <w:iCs/>
        </w:rPr>
        <w:t>Kelly Henriques</w:t>
      </w:r>
      <w:r>
        <w:t>, for the intervener the Mounted Police Members’ Legal Fund.</w:t>
      </w:r>
      <w:proofErr w:type="gramEnd"/>
    </w:p>
    <w:p w:rsidR="00327E6D" w:rsidRDefault="00327E6D" w:rsidP="007A60AA">
      <w:pPr>
        <w:pStyle w:val="SCCNormalDoubleSpacing"/>
        <w:tabs>
          <w:tab w:val="left" w:pos="1170"/>
        </w:tabs>
        <w:spacing w:after="480"/>
      </w:pPr>
      <w:r>
        <w:tab/>
      </w:r>
      <w:proofErr w:type="gramStart"/>
      <w:r w:rsidR="00F5300A">
        <w:rPr>
          <w:i/>
          <w:iCs/>
        </w:rPr>
        <w:t>Augustus </w:t>
      </w:r>
      <w:r>
        <w:rPr>
          <w:i/>
          <w:iCs/>
        </w:rPr>
        <w:t>G.</w:t>
      </w:r>
      <w:r>
        <w:t xml:space="preserve"> </w:t>
      </w:r>
      <w:r>
        <w:rPr>
          <w:i/>
          <w:iCs/>
        </w:rPr>
        <w:t>Lilly</w:t>
      </w:r>
      <w:r>
        <w:t xml:space="preserve">, </w:t>
      </w:r>
      <w:r>
        <w:rPr>
          <w:i/>
          <w:iCs/>
        </w:rPr>
        <w:t>Q.C.</w:t>
      </w:r>
      <w:r>
        <w:t xml:space="preserve">, and </w:t>
      </w:r>
      <w:r>
        <w:rPr>
          <w:i/>
          <w:iCs/>
        </w:rPr>
        <w:t>Stephen</w:t>
      </w:r>
      <w:r w:rsidR="00F5300A">
        <w:rPr>
          <w:i/>
          <w:iCs/>
        </w:rPr>
        <w:t> </w:t>
      </w:r>
      <w:r>
        <w:rPr>
          <w:i/>
          <w:iCs/>
        </w:rPr>
        <w:t>F. Penney</w:t>
      </w:r>
      <w:r>
        <w:t>, for the intervener the Canadian Employers Council.</w:t>
      </w:r>
      <w:proofErr w:type="gramEnd"/>
    </w:p>
    <w:p w:rsidR="00327E6D" w:rsidRDefault="00327E6D" w:rsidP="007A60AA">
      <w:pPr>
        <w:pStyle w:val="SCCNormalDoubleSpacing"/>
        <w:tabs>
          <w:tab w:val="left" w:pos="1170"/>
        </w:tabs>
        <w:spacing w:after="480"/>
      </w:pPr>
      <w:r>
        <w:tab/>
      </w:r>
      <w:proofErr w:type="gramStart"/>
      <w:r>
        <w:rPr>
          <w:i/>
          <w:iCs/>
        </w:rPr>
        <w:t>Peter</w:t>
      </w:r>
      <w:r w:rsidR="00F5300A">
        <w:rPr>
          <w:i/>
          <w:iCs/>
        </w:rPr>
        <w:t> </w:t>
      </w:r>
      <w:r>
        <w:rPr>
          <w:i/>
          <w:iCs/>
        </w:rPr>
        <w:t>A.</w:t>
      </w:r>
      <w:r>
        <w:t xml:space="preserve"> </w:t>
      </w:r>
      <w:r>
        <w:rPr>
          <w:i/>
          <w:iCs/>
        </w:rPr>
        <w:t>Gall</w:t>
      </w:r>
      <w:r>
        <w:t xml:space="preserve">, </w:t>
      </w:r>
      <w:r>
        <w:rPr>
          <w:i/>
          <w:iCs/>
        </w:rPr>
        <w:t>Q.C.</w:t>
      </w:r>
      <w:r>
        <w:t xml:space="preserve">, </w:t>
      </w:r>
      <w:r w:rsidR="00F5300A">
        <w:rPr>
          <w:i/>
          <w:iCs/>
        </w:rPr>
        <w:t>Donald </w:t>
      </w:r>
      <w:r>
        <w:rPr>
          <w:i/>
          <w:iCs/>
        </w:rPr>
        <w:t>R. Munroe</w:t>
      </w:r>
      <w:r>
        <w:t xml:space="preserve">, </w:t>
      </w:r>
      <w:r>
        <w:rPr>
          <w:i/>
          <w:iCs/>
        </w:rPr>
        <w:t>Q.C.</w:t>
      </w:r>
      <w:r>
        <w:t xml:space="preserve">, and </w:t>
      </w:r>
      <w:r>
        <w:rPr>
          <w:i/>
          <w:iCs/>
        </w:rPr>
        <w:t>Andrea</w:t>
      </w:r>
      <w:r w:rsidR="00F5300A">
        <w:rPr>
          <w:i/>
          <w:iCs/>
        </w:rPr>
        <w:t> </w:t>
      </w:r>
      <w:r>
        <w:rPr>
          <w:i/>
          <w:iCs/>
        </w:rPr>
        <w:t>L. Zwack</w:t>
      </w:r>
      <w:r w:rsidRPr="00F71190">
        <w:rPr>
          <w:iCs/>
        </w:rPr>
        <w:t>,</w:t>
      </w:r>
      <w:r>
        <w:t xml:space="preserve"> for the interveners the Coalition of BC Businesses and the British Columbia Agriculture Council.</w:t>
      </w:r>
      <w:proofErr w:type="gramEnd"/>
    </w:p>
    <w:p w:rsidR="00327E6D" w:rsidRDefault="00327E6D" w:rsidP="007A60AA">
      <w:pPr>
        <w:pStyle w:val="SCCNormalDoubleSpacing"/>
        <w:tabs>
          <w:tab w:val="left" w:pos="1170"/>
        </w:tabs>
        <w:spacing w:after="480"/>
      </w:pPr>
      <w:r>
        <w:lastRenderedPageBreak/>
        <w:tab/>
      </w:r>
      <w:proofErr w:type="gramStart"/>
      <w:r>
        <w:rPr>
          <w:i/>
          <w:iCs/>
        </w:rPr>
        <w:t>Selwyn</w:t>
      </w:r>
      <w:r w:rsidR="00F5300A">
        <w:rPr>
          <w:i/>
          <w:iCs/>
        </w:rPr>
        <w:t> </w:t>
      </w:r>
      <w:r>
        <w:rPr>
          <w:i/>
          <w:iCs/>
        </w:rPr>
        <w:t>A.</w:t>
      </w:r>
      <w:r>
        <w:t xml:space="preserve"> </w:t>
      </w:r>
      <w:r>
        <w:rPr>
          <w:i/>
          <w:iCs/>
        </w:rPr>
        <w:t>Pieters</w:t>
      </w:r>
      <w:r>
        <w:t xml:space="preserve"> and </w:t>
      </w:r>
      <w:r>
        <w:rPr>
          <w:i/>
          <w:iCs/>
        </w:rPr>
        <w:t>Adrian</w:t>
      </w:r>
      <w:r w:rsidR="00F5300A">
        <w:rPr>
          <w:i/>
          <w:iCs/>
        </w:rPr>
        <w:t> </w:t>
      </w:r>
      <w:r>
        <w:rPr>
          <w:i/>
          <w:iCs/>
        </w:rPr>
        <w:t>A. Smith</w:t>
      </w:r>
      <w:r>
        <w:t>, for the interveners Justicia for Migrant Workers and the Industrial Accident Victims Group of Ontario.</w:t>
      </w:r>
      <w:proofErr w:type="gramEnd"/>
    </w:p>
    <w:p w:rsidR="00327E6D" w:rsidRDefault="00327E6D" w:rsidP="007A60AA">
      <w:pPr>
        <w:pStyle w:val="SCCNormalDoubleSpacing"/>
        <w:tabs>
          <w:tab w:val="left" w:pos="1170"/>
        </w:tabs>
        <w:spacing w:after="480"/>
      </w:pPr>
      <w:r>
        <w:tab/>
      </w:r>
      <w:proofErr w:type="gramStart"/>
      <w:r>
        <w:rPr>
          <w:i/>
          <w:iCs/>
        </w:rPr>
        <w:t>Steven</w:t>
      </w:r>
      <w:r>
        <w:t xml:space="preserve"> </w:t>
      </w:r>
      <w:r>
        <w:rPr>
          <w:i/>
          <w:iCs/>
        </w:rPr>
        <w:t>Barrett</w:t>
      </w:r>
      <w:r>
        <w:t xml:space="preserve"> and </w:t>
      </w:r>
      <w:r>
        <w:rPr>
          <w:i/>
          <w:iCs/>
        </w:rPr>
        <w:t>Ethan Poskanzer</w:t>
      </w:r>
      <w:r>
        <w:t>, for the intervener the Canadian Labour Congress.</w:t>
      </w:r>
      <w:proofErr w:type="gramEnd"/>
    </w:p>
    <w:p w:rsidR="00327E6D" w:rsidRDefault="00327E6D" w:rsidP="006C0EBA">
      <w:pPr>
        <w:pStyle w:val="SCCNormalDoubleSpacing"/>
        <w:tabs>
          <w:tab w:val="left" w:pos="1170"/>
        </w:tabs>
        <w:spacing w:after="480"/>
      </w:pPr>
      <w:r>
        <w:tab/>
      </w:r>
      <w:proofErr w:type="gramStart"/>
      <w:r w:rsidR="00F5300A">
        <w:rPr>
          <w:i/>
          <w:iCs/>
        </w:rPr>
        <w:t>Ian </w:t>
      </w:r>
      <w:r>
        <w:rPr>
          <w:i/>
          <w:iCs/>
        </w:rPr>
        <w:t>J.</w:t>
      </w:r>
      <w:r>
        <w:t xml:space="preserve"> </w:t>
      </w:r>
      <w:r>
        <w:rPr>
          <w:i/>
          <w:iCs/>
        </w:rPr>
        <w:t>Roland</w:t>
      </w:r>
      <w:r>
        <w:t xml:space="preserve"> and</w:t>
      </w:r>
      <w:r>
        <w:rPr>
          <w:i/>
          <w:iCs/>
        </w:rPr>
        <w:t xml:space="preserve"> Michael Fenrick</w:t>
      </w:r>
      <w:r>
        <w:t>, for the intervener the Canadian Police Association.</w:t>
      </w:r>
      <w:proofErr w:type="gramEnd"/>
    </w:p>
    <w:p w:rsidR="004A4A35" w:rsidRDefault="00327E6D" w:rsidP="00FA2D51">
      <w:pPr>
        <w:pStyle w:val="SCCNormalDoubleSpacing"/>
        <w:tabs>
          <w:tab w:val="left" w:pos="1170"/>
        </w:tabs>
        <w:spacing w:after="480"/>
        <w:rPr>
          <w:i/>
          <w:iCs/>
        </w:rPr>
      </w:pPr>
      <w:r>
        <w:tab/>
      </w:r>
      <w:proofErr w:type="gramStart"/>
      <w:r>
        <w:rPr>
          <w:i/>
          <w:iCs/>
        </w:rPr>
        <w:t>Joshua</w:t>
      </w:r>
      <w:r w:rsidR="00F5300A">
        <w:t> </w:t>
      </w:r>
      <w:r>
        <w:rPr>
          <w:i/>
          <w:iCs/>
        </w:rPr>
        <w:t>S. Phillips</w:t>
      </w:r>
      <w:r>
        <w:t xml:space="preserve"> and </w:t>
      </w:r>
      <w:r>
        <w:rPr>
          <w:i/>
          <w:iCs/>
        </w:rPr>
        <w:t>Antony Singleton</w:t>
      </w:r>
      <w:r>
        <w:t>, for the intervener the Canadian Civil Liberties Association.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86" w:type="dxa"/>
          <w:right w:w="115" w:type="dxa"/>
        </w:tblCellMar>
        <w:tblLook w:val="04A0"/>
      </w:tblPr>
      <w:tblGrid>
        <w:gridCol w:w="8251"/>
        <w:gridCol w:w="259"/>
      </w:tblGrid>
      <w:tr w:rsidR="004A4A35" w:rsidRPr="00511597" w:rsidTr="000550C7">
        <w:tc>
          <w:tcPr>
            <w:tcW w:w="8510" w:type="dxa"/>
            <w:gridSpan w:val="2"/>
          </w:tcPr>
          <w:p w:rsidR="004A4A35" w:rsidRPr="00100998" w:rsidRDefault="004A4A35" w:rsidP="00F258CD">
            <w:pPr>
              <w:tabs>
                <w:tab w:val="right" w:pos="8460"/>
              </w:tabs>
              <w:jc w:val="center"/>
              <w:rPr>
                <w:b/>
                <w:color w:val="000000"/>
                <w:u w:val="single"/>
              </w:rPr>
            </w:pPr>
            <w:r w:rsidRPr="00100998">
              <w:rPr>
                <w:b/>
                <w:color w:val="000000"/>
                <w:u w:val="single"/>
              </w:rPr>
              <w:t>TABLE OF CONTENTS</w:t>
            </w:r>
          </w:p>
        </w:tc>
      </w:tr>
      <w:tr w:rsidR="004A4A35" w:rsidRPr="00511597" w:rsidTr="000550C7">
        <w:trPr>
          <w:gridAfter w:val="1"/>
          <w:wAfter w:w="295" w:type="dxa"/>
        </w:trPr>
        <w:tc>
          <w:tcPr>
            <w:tcW w:w="8215" w:type="dxa"/>
            <w:vAlign w:val="center"/>
          </w:tcPr>
          <w:p w:rsidR="004A4A35" w:rsidRPr="000550C7" w:rsidRDefault="004A4A35" w:rsidP="000550C7">
            <w:pPr>
              <w:tabs>
                <w:tab w:val="right" w:pos="8460"/>
              </w:tabs>
              <w:jc w:val="right"/>
              <w:rPr>
                <w:b/>
              </w:rPr>
            </w:pPr>
            <w:r w:rsidRPr="000550C7">
              <w:rPr>
                <w:color w:val="000000"/>
              </w:rPr>
              <w:t>Paragraph</w:t>
            </w:r>
          </w:p>
        </w:tc>
      </w:tr>
      <w:tr w:rsidR="004A4A35" w:rsidRPr="00511597" w:rsidTr="000550C7">
        <w:tc>
          <w:tcPr>
            <w:tcW w:w="8510" w:type="dxa"/>
            <w:gridSpan w:val="2"/>
          </w:tcPr>
          <w:p w:rsidR="004A4A35" w:rsidRPr="00511597" w:rsidRDefault="004A4A35" w:rsidP="000550C7">
            <w:pPr>
              <w:tabs>
                <w:tab w:val="left" w:pos="540"/>
                <w:tab w:val="left" w:pos="900"/>
                <w:tab w:val="left" w:pos="1260"/>
                <w:tab w:val="right" w:leader="dot" w:pos="8010"/>
              </w:tabs>
              <w:ind w:left="540" w:right="2160" w:hanging="540"/>
              <w:rPr>
                <w:b/>
              </w:rPr>
            </w:pPr>
            <w:r w:rsidRPr="00511597">
              <w:rPr>
                <w:b/>
              </w:rPr>
              <w:t xml:space="preserve">Reasons of </w:t>
            </w:r>
            <w:r>
              <w:rPr>
                <w:b/>
              </w:rPr>
              <w:t>McLachlin C.J.</w:t>
            </w:r>
            <w:r w:rsidRPr="00511597">
              <w:rPr>
                <w:b/>
              </w:rPr>
              <w:t xml:space="preserve"> and LeBel J</w:t>
            </w:r>
            <w:r w:rsidRPr="00F71190">
              <w:rPr>
                <w:b/>
              </w:rPr>
              <w:t>.</w:t>
            </w:r>
            <w:r w:rsidRPr="00825EA2">
              <w:tab/>
              <w:t>1</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I.</w:t>
            </w:r>
            <w:r w:rsidRPr="00511597">
              <w:rPr>
                <w:color w:val="000000"/>
              </w:rPr>
              <w:tab/>
            </w:r>
            <w:r w:rsidRPr="00511597">
              <w:rPr>
                <w:color w:val="000000"/>
                <w:u w:val="single"/>
              </w:rPr>
              <w:t>Introduction</w:t>
            </w:r>
            <w:r w:rsidRPr="00511597">
              <w:rPr>
                <w:color w:val="000000"/>
              </w:rPr>
              <w:tab/>
              <w:t>1</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II.</w:t>
            </w:r>
            <w:r w:rsidRPr="00511597">
              <w:rPr>
                <w:color w:val="000000"/>
              </w:rPr>
              <w:tab/>
            </w:r>
            <w:r w:rsidRPr="00511597">
              <w:rPr>
                <w:color w:val="000000"/>
                <w:u w:val="single"/>
              </w:rPr>
              <w:t>Background</w:t>
            </w:r>
            <w:r w:rsidRPr="00511597">
              <w:rPr>
                <w:color w:val="000000"/>
              </w:rPr>
              <w:tab/>
              <w:t>5</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t>A.</w:t>
            </w:r>
            <w:r w:rsidRPr="00511597">
              <w:tab/>
            </w:r>
            <w:r w:rsidRPr="00511597">
              <w:rPr>
                <w:i/>
              </w:rPr>
              <w:t>The Exclusion of the Farming Sector From the LRA and the Impact of Dunmore</w:t>
            </w:r>
            <w:r w:rsidRPr="00511597">
              <w:rPr>
                <w:i/>
              </w:rPr>
              <w:tab/>
            </w:r>
            <w:r w:rsidRPr="00511597">
              <w:t>5</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B.</w:t>
            </w:r>
            <w:r w:rsidRPr="00511597">
              <w:rPr>
                <w:color w:val="000000"/>
              </w:rPr>
              <w:tab/>
            </w:r>
            <w:r w:rsidRPr="00511597">
              <w:rPr>
                <w:i/>
                <w:color w:val="000000"/>
              </w:rPr>
              <w:t>The Constitutional Challenge to the AEPA</w:t>
            </w:r>
            <w:r w:rsidRPr="00511597">
              <w:rPr>
                <w:color w:val="000000"/>
              </w:rPr>
              <w:tab/>
              <w:t>7</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III.</w:t>
            </w:r>
            <w:r w:rsidRPr="00511597">
              <w:rPr>
                <w:color w:val="000000"/>
              </w:rPr>
              <w:tab/>
            </w:r>
            <w:r w:rsidRPr="00511597">
              <w:rPr>
                <w:color w:val="000000"/>
                <w:u w:val="single"/>
              </w:rPr>
              <w:t>Judicial History</w:t>
            </w:r>
            <w:r w:rsidRPr="00511597">
              <w:rPr>
                <w:color w:val="000000"/>
              </w:rPr>
              <w:tab/>
              <w:t>13</w:t>
            </w:r>
          </w:p>
        </w:tc>
      </w:tr>
      <w:tr w:rsidR="004A4A35" w:rsidRPr="00511597" w:rsidTr="000550C7">
        <w:tc>
          <w:tcPr>
            <w:tcW w:w="8510" w:type="dxa"/>
            <w:gridSpan w:val="2"/>
          </w:tcPr>
          <w:p w:rsidR="004A4A35" w:rsidRPr="00511597" w:rsidRDefault="004A4A35" w:rsidP="00F71190">
            <w:pPr>
              <w:tabs>
                <w:tab w:val="left" w:pos="540"/>
                <w:tab w:val="left" w:pos="900"/>
                <w:tab w:val="left" w:pos="1260"/>
                <w:tab w:val="right" w:leader="dot" w:pos="8010"/>
              </w:tabs>
              <w:ind w:left="540" w:right="2160" w:hanging="540"/>
              <w:rPr>
                <w:color w:val="000000"/>
              </w:rPr>
            </w:pPr>
            <w:r w:rsidRPr="00511597">
              <w:rPr>
                <w:color w:val="000000"/>
              </w:rPr>
              <w:t>A.</w:t>
            </w:r>
            <w:r w:rsidRPr="00511597">
              <w:rPr>
                <w:color w:val="000000"/>
              </w:rPr>
              <w:tab/>
            </w:r>
            <w:r w:rsidRPr="00511597">
              <w:rPr>
                <w:i/>
                <w:color w:val="000000"/>
              </w:rPr>
              <w:t>Ontario Superior Court of Justice</w:t>
            </w:r>
            <w:r w:rsidR="00560131">
              <w:rPr>
                <w:i/>
                <w:color w:val="000000"/>
              </w:rPr>
              <w:t xml:space="preserve"> (2006)</w:t>
            </w:r>
            <w:r w:rsidRPr="00511597">
              <w:rPr>
                <w:i/>
                <w:color w:val="000000"/>
              </w:rPr>
              <w:t xml:space="preserve">, 79 O.R. (3d) 219 </w:t>
            </w:r>
            <w:r w:rsidR="00F71190">
              <w:rPr>
                <w:i/>
                <w:color w:val="000000"/>
              </w:rPr>
              <w:t>(</w:t>
            </w:r>
            <w:r w:rsidRPr="00511597">
              <w:rPr>
                <w:i/>
                <w:color w:val="000000"/>
              </w:rPr>
              <w:t>the Applications Judge</w:t>
            </w:r>
            <w:r w:rsidR="00F71190">
              <w:rPr>
                <w:i/>
                <w:color w:val="000000"/>
              </w:rPr>
              <w:t>)</w:t>
            </w:r>
            <w:r w:rsidRPr="00511597">
              <w:rPr>
                <w:color w:val="000000"/>
              </w:rPr>
              <w:tab/>
              <w:t>13</w:t>
            </w:r>
          </w:p>
        </w:tc>
      </w:tr>
      <w:tr w:rsidR="004A4A35" w:rsidRPr="00511597" w:rsidTr="000550C7">
        <w:tc>
          <w:tcPr>
            <w:tcW w:w="8510" w:type="dxa"/>
            <w:gridSpan w:val="2"/>
          </w:tcPr>
          <w:p w:rsidR="004A4A35" w:rsidRPr="00511597" w:rsidRDefault="004A4A35" w:rsidP="00E929D0">
            <w:pPr>
              <w:tabs>
                <w:tab w:val="left" w:pos="540"/>
                <w:tab w:val="left" w:pos="900"/>
                <w:tab w:val="left" w:pos="1260"/>
                <w:tab w:val="right" w:leader="dot" w:pos="8010"/>
              </w:tabs>
              <w:ind w:left="540" w:right="2160" w:hanging="540"/>
              <w:rPr>
                <w:color w:val="000000"/>
              </w:rPr>
            </w:pPr>
            <w:r w:rsidRPr="00511597">
              <w:rPr>
                <w:color w:val="000000"/>
              </w:rPr>
              <w:t>B.</w:t>
            </w:r>
            <w:r w:rsidRPr="00511597">
              <w:rPr>
                <w:color w:val="000000"/>
              </w:rPr>
              <w:tab/>
            </w:r>
            <w:r w:rsidR="00E929D0">
              <w:rPr>
                <w:i/>
                <w:color w:val="000000"/>
              </w:rPr>
              <w:t>Ontario</w:t>
            </w:r>
            <w:r w:rsidRPr="00511597">
              <w:rPr>
                <w:i/>
                <w:color w:val="000000"/>
              </w:rPr>
              <w:t xml:space="preserve"> Court of Appeal, 2008 ONCA 760, 92 O.R. (3d) 481 (Winkler C.J.O. and Cronk and Watt JJ.A.)</w:t>
            </w:r>
            <w:r w:rsidRPr="00511597">
              <w:rPr>
                <w:color w:val="000000"/>
              </w:rPr>
              <w:tab/>
              <w:t>15</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IV.</w:t>
            </w:r>
            <w:r w:rsidRPr="00511597">
              <w:rPr>
                <w:color w:val="000000"/>
              </w:rPr>
              <w:tab/>
            </w:r>
            <w:r w:rsidRPr="00511597">
              <w:rPr>
                <w:color w:val="000000"/>
                <w:u w:val="single"/>
              </w:rPr>
              <w:t>Analysis</w:t>
            </w:r>
            <w:r w:rsidRPr="00511597">
              <w:rPr>
                <w:color w:val="000000"/>
              </w:rPr>
              <w:tab/>
              <w:t>17</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w:t>
            </w:r>
            <w:r w:rsidRPr="00511597">
              <w:rPr>
                <w:color w:val="000000"/>
              </w:rPr>
              <w:tab/>
            </w:r>
            <w:r w:rsidRPr="00511597">
              <w:rPr>
                <w:i/>
                <w:color w:val="000000"/>
              </w:rPr>
              <w:t>Issues: Does the AEPA Violate Sections 2(d) and 15 of the Charter?</w:t>
            </w:r>
            <w:r w:rsidRPr="00511597">
              <w:rPr>
                <w:color w:val="000000"/>
              </w:rPr>
              <w:tab/>
              <w:t>17</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lastRenderedPageBreak/>
              <w:t>B.</w:t>
            </w:r>
            <w:r w:rsidRPr="00511597">
              <w:rPr>
                <w:color w:val="000000"/>
              </w:rPr>
              <w:tab/>
            </w:r>
            <w:r w:rsidRPr="00511597">
              <w:rPr>
                <w:i/>
                <w:color w:val="000000"/>
              </w:rPr>
              <w:t>Freedom of Association (</w:t>
            </w:r>
            <w:r>
              <w:rPr>
                <w:i/>
                <w:color w:val="000000"/>
              </w:rPr>
              <w:t>S</w:t>
            </w:r>
            <w:r w:rsidRPr="00511597">
              <w:rPr>
                <w:i/>
                <w:color w:val="000000"/>
              </w:rPr>
              <w:t>ection 2(d))</w:t>
            </w:r>
            <w:r w:rsidRPr="00511597">
              <w:rPr>
                <w:color w:val="000000"/>
              </w:rPr>
              <w:tab/>
              <w:t>18</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(1)</w:t>
            </w:r>
            <w:r w:rsidRPr="00511597">
              <w:rPr>
                <w:color w:val="000000"/>
              </w:rPr>
              <w:tab/>
            </w:r>
            <w:r w:rsidRPr="00511597">
              <w:rPr>
                <w:color w:val="000000"/>
                <w:u w:val="single"/>
              </w:rPr>
              <w:t>Freedom of Association in the Labour Context: The Jurisprudential Background</w:t>
            </w:r>
            <w:r w:rsidRPr="00511597">
              <w:rPr>
                <w:color w:val="000000"/>
              </w:rPr>
              <w:tab/>
              <w:t>19</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b/>
            </w:r>
            <w:r w:rsidRPr="00511597">
              <w:rPr>
                <w:color w:val="000000"/>
              </w:rPr>
              <w:tab/>
              <w:t>(a)</w:t>
            </w:r>
            <w:r w:rsidRPr="00511597">
              <w:rPr>
                <w:color w:val="000000"/>
              </w:rPr>
              <w:tab/>
            </w:r>
            <w:r w:rsidRPr="00511597">
              <w:rPr>
                <w:i/>
                <w:color w:val="000000"/>
              </w:rPr>
              <w:t>The Early Cases</w:t>
            </w:r>
            <w:r w:rsidRPr="00511597">
              <w:rPr>
                <w:color w:val="000000"/>
              </w:rPr>
              <w:tab/>
              <w:t>19</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b/>
            </w:r>
            <w:r w:rsidRPr="00511597">
              <w:rPr>
                <w:color w:val="000000"/>
              </w:rPr>
              <w:tab/>
              <w:t>(b)</w:t>
            </w:r>
            <w:r w:rsidRPr="00511597">
              <w:rPr>
                <w:color w:val="000000"/>
              </w:rPr>
              <w:tab/>
            </w:r>
            <w:r w:rsidRPr="00511597">
              <w:rPr>
                <w:i/>
                <w:color w:val="000000"/>
              </w:rPr>
              <w:t>Dunmore</w:t>
            </w:r>
            <w:r w:rsidRPr="00511597">
              <w:rPr>
                <w:color w:val="000000"/>
              </w:rPr>
              <w:tab/>
              <w:t>26</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b/>
            </w:r>
            <w:r w:rsidRPr="00511597">
              <w:rPr>
                <w:color w:val="000000"/>
              </w:rPr>
              <w:tab/>
              <w:t>(c)</w:t>
            </w:r>
            <w:r w:rsidRPr="00511597">
              <w:rPr>
                <w:color w:val="000000"/>
              </w:rPr>
              <w:tab/>
            </w:r>
            <w:r w:rsidRPr="00511597">
              <w:rPr>
                <w:i/>
                <w:color w:val="000000"/>
              </w:rPr>
              <w:t>Health Services: Its Impact</w:t>
            </w:r>
            <w:r w:rsidRPr="00511597">
              <w:rPr>
                <w:color w:val="000000"/>
              </w:rPr>
              <w:tab/>
              <w:t>34</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b/>
            </w:r>
            <w:r w:rsidRPr="00511597">
              <w:rPr>
                <w:color w:val="000000"/>
              </w:rPr>
              <w:tab/>
              <w:t>(d)</w:t>
            </w:r>
            <w:r w:rsidRPr="00511597">
              <w:rPr>
                <w:color w:val="000000"/>
              </w:rPr>
              <w:tab/>
            </w:r>
            <w:r w:rsidRPr="00511597">
              <w:rPr>
                <w:i/>
                <w:color w:val="000000"/>
              </w:rPr>
              <w:t>The Issue on This Appeal</w:t>
            </w:r>
            <w:r w:rsidRPr="00511597">
              <w:rPr>
                <w:color w:val="000000"/>
              </w:rPr>
              <w:tab/>
              <w:t>44</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b/>
            </w:r>
            <w:r w:rsidRPr="00511597">
              <w:rPr>
                <w:color w:val="000000"/>
              </w:rPr>
              <w:tab/>
              <w:t>(e)</w:t>
            </w:r>
            <w:r w:rsidRPr="00511597">
              <w:rPr>
                <w:color w:val="000000"/>
              </w:rPr>
              <w:tab/>
            </w:r>
            <w:r w:rsidRPr="00511597">
              <w:rPr>
                <w:i/>
                <w:color w:val="000000"/>
              </w:rPr>
              <w:t>Response to Justice Deschamps</w:t>
            </w:r>
            <w:r w:rsidRPr="00511597">
              <w:rPr>
                <w:color w:val="000000"/>
              </w:rPr>
              <w:tab/>
              <w:t>49</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b/>
            </w:r>
            <w:r w:rsidRPr="00511597">
              <w:rPr>
                <w:color w:val="000000"/>
              </w:rPr>
              <w:tab/>
              <w:t>(f)</w:t>
            </w:r>
            <w:r w:rsidRPr="00511597">
              <w:rPr>
                <w:color w:val="000000"/>
              </w:rPr>
              <w:tab/>
            </w:r>
            <w:r>
              <w:rPr>
                <w:i/>
                <w:color w:val="000000"/>
              </w:rPr>
              <w:t>Response to Justice </w:t>
            </w:r>
            <w:r w:rsidRPr="00511597">
              <w:rPr>
                <w:i/>
                <w:color w:val="000000"/>
              </w:rPr>
              <w:t>Rothstein</w:t>
            </w:r>
            <w:r w:rsidRPr="00511597">
              <w:rPr>
                <w:color w:val="000000"/>
              </w:rPr>
              <w:tab/>
              <w:t>52</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(i)</w:t>
            </w:r>
            <w:r w:rsidRPr="00511597">
              <w:rPr>
                <w:color w:val="000000"/>
              </w:rPr>
              <w:tab/>
            </w:r>
            <w:r w:rsidRPr="00B75204">
              <w:rPr>
                <w:color w:val="000000"/>
                <w:u w:val="single"/>
              </w:rPr>
              <w:t>The Caution Required in Overturning Precedent</w:t>
            </w:r>
            <w:r w:rsidRPr="00511597">
              <w:rPr>
                <w:color w:val="000000"/>
              </w:rPr>
              <w:tab/>
              <w:t>56</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(ii)</w:t>
            </w:r>
            <w:r w:rsidRPr="00511597">
              <w:rPr>
                <w:color w:val="000000"/>
              </w:rPr>
              <w:tab/>
            </w:r>
            <w:r w:rsidRPr="00B75204">
              <w:rPr>
                <w:color w:val="000000"/>
                <w:u w:val="single"/>
              </w:rPr>
              <w:t>The Arguments on Jurisprudence</w:t>
            </w:r>
            <w:r w:rsidRPr="00511597">
              <w:rPr>
                <w:color w:val="000000"/>
              </w:rPr>
              <w:tab/>
              <w:t>61</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(iii)</w:t>
            </w:r>
            <w:r w:rsidRPr="00511597">
              <w:rPr>
                <w:color w:val="000000"/>
              </w:rPr>
              <w:tab/>
            </w:r>
            <w:r w:rsidRPr="00B75204">
              <w:rPr>
                <w:color w:val="000000"/>
                <w:u w:val="single"/>
              </w:rPr>
              <w:t>Purpose of Section 2</w:t>
            </w:r>
            <w:r w:rsidRPr="00F71190">
              <w:rPr>
                <w:color w:val="000000"/>
                <w:u w:val="single"/>
              </w:rPr>
              <w:t>(</w:t>
            </w:r>
            <w:r w:rsidRPr="00B75204">
              <w:rPr>
                <w:i/>
                <w:color w:val="000000"/>
                <w:u w:val="single"/>
              </w:rPr>
              <w:t>d</w:t>
            </w:r>
            <w:r w:rsidRPr="00F71190">
              <w:rPr>
                <w:color w:val="000000"/>
                <w:u w:val="single"/>
              </w:rPr>
              <w:t>)</w:t>
            </w:r>
            <w:r w:rsidRPr="00B75204">
              <w:rPr>
                <w:color w:val="000000"/>
                <w:u w:val="single"/>
              </w:rPr>
              <w:t>:  Individual Versus Collective Rights</w:t>
            </w:r>
            <w:r w:rsidRPr="00511597">
              <w:rPr>
                <w:color w:val="000000"/>
              </w:rPr>
              <w:tab/>
              <w:t>63</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(iv)</w:t>
            </w:r>
            <w:r w:rsidRPr="00511597">
              <w:rPr>
                <w:color w:val="000000"/>
              </w:rPr>
              <w:tab/>
            </w:r>
            <w:r w:rsidRPr="00B75204">
              <w:rPr>
                <w:color w:val="000000"/>
                <w:u w:val="single"/>
              </w:rPr>
              <w:t>The Argument That Section 2</w:t>
            </w:r>
            <w:r w:rsidRPr="00F71190">
              <w:rPr>
                <w:color w:val="000000"/>
                <w:u w:val="single"/>
              </w:rPr>
              <w:t>(</w:t>
            </w:r>
            <w:r w:rsidRPr="00B75204">
              <w:rPr>
                <w:i/>
                <w:color w:val="000000"/>
                <w:u w:val="single"/>
              </w:rPr>
              <w:t>d</w:t>
            </w:r>
            <w:r w:rsidRPr="00F71190">
              <w:rPr>
                <w:color w:val="000000"/>
                <w:u w:val="single"/>
              </w:rPr>
              <w:t>)</w:t>
            </w:r>
            <w:r w:rsidRPr="00B75204">
              <w:rPr>
                <w:color w:val="000000"/>
                <w:u w:val="single"/>
              </w:rPr>
              <w:t xml:space="preserve"> Is a Freedom, Not a Right</w:t>
            </w:r>
            <w:r w:rsidRPr="00511597">
              <w:rPr>
                <w:color w:val="000000"/>
              </w:rPr>
              <w:tab/>
              <w:t>67</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(v)</w:t>
            </w:r>
            <w:r w:rsidRPr="00511597">
              <w:rPr>
                <w:color w:val="000000"/>
              </w:rPr>
              <w:tab/>
            </w:r>
            <w:r w:rsidR="00560131">
              <w:rPr>
                <w:color w:val="000000"/>
                <w:u w:val="single"/>
              </w:rPr>
              <w:t>The Argument T</w:t>
            </w:r>
            <w:r w:rsidRPr="00B75204">
              <w:rPr>
                <w:color w:val="000000"/>
                <w:u w:val="single"/>
              </w:rPr>
              <w:t xml:space="preserve">hat </w:t>
            </w:r>
            <w:r w:rsidRPr="00B75204">
              <w:rPr>
                <w:i/>
                <w:color w:val="000000"/>
                <w:u w:val="single"/>
              </w:rPr>
              <w:t>Health Services</w:t>
            </w:r>
            <w:r w:rsidRPr="00B75204">
              <w:rPr>
                <w:color w:val="000000"/>
                <w:u w:val="single"/>
              </w:rPr>
              <w:t xml:space="preserve"> Privileges Particular Associations</w:t>
            </w:r>
            <w:r w:rsidRPr="00511597">
              <w:rPr>
                <w:color w:val="000000"/>
              </w:rPr>
              <w:tab/>
              <w:t>74</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(vi)</w:t>
            </w:r>
            <w:r w:rsidRPr="00511597">
              <w:rPr>
                <w:color w:val="000000"/>
              </w:rPr>
              <w:tab/>
            </w:r>
            <w:r w:rsidRPr="000924E0">
              <w:rPr>
                <w:color w:val="000000"/>
                <w:u w:val="single"/>
              </w:rPr>
              <w:t xml:space="preserve">The Argument That </w:t>
            </w:r>
            <w:r w:rsidRPr="000924E0">
              <w:rPr>
                <w:i/>
                <w:color w:val="000000"/>
                <w:u w:val="single"/>
              </w:rPr>
              <w:t>Health Services</w:t>
            </w:r>
            <w:r w:rsidRPr="000924E0">
              <w:rPr>
                <w:color w:val="000000"/>
                <w:u w:val="single"/>
              </w:rPr>
              <w:t xml:space="preserve"> Gives Contracts Priority Over Statutes</w:t>
            </w:r>
            <w:r w:rsidRPr="00511597">
              <w:rPr>
                <w:color w:val="000000"/>
              </w:rPr>
              <w:tab/>
              <w:t>76</w:t>
            </w:r>
          </w:p>
        </w:tc>
      </w:tr>
      <w:tr w:rsidR="004A4A35" w:rsidRPr="00511597" w:rsidTr="000550C7">
        <w:trPr>
          <w:cantSplit/>
        </w:trPr>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(vii)</w:t>
            </w:r>
            <w:r w:rsidRPr="00511597">
              <w:rPr>
                <w:color w:val="000000"/>
              </w:rPr>
              <w:tab/>
            </w:r>
            <w:r w:rsidRPr="000924E0">
              <w:rPr>
                <w:color w:val="000000"/>
                <w:u w:val="single"/>
              </w:rPr>
              <w:t xml:space="preserve">The Argument That </w:t>
            </w:r>
            <w:r w:rsidRPr="000924E0">
              <w:rPr>
                <w:i/>
                <w:color w:val="000000"/>
                <w:u w:val="single"/>
              </w:rPr>
              <w:t>Health Services</w:t>
            </w:r>
            <w:r w:rsidRPr="000924E0">
              <w:rPr>
                <w:color w:val="000000"/>
                <w:u w:val="single"/>
              </w:rPr>
              <w:t xml:space="preserve"> Removes Judicial Deference to the Legislation</w:t>
            </w:r>
            <w:r w:rsidRPr="00511597">
              <w:rPr>
                <w:color w:val="000000"/>
              </w:rPr>
              <w:tab/>
              <w:t>77</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(viii)</w:t>
            </w:r>
            <w:r w:rsidRPr="00511597">
              <w:rPr>
                <w:color w:val="000000"/>
              </w:rPr>
              <w:tab/>
            </w:r>
            <w:r w:rsidRPr="000924E0">
              <w:rPr>
                <w:color w:val="000000"/>
                <w:u w:val="single"/>
              </w:rPr>
              <w:t>The Argument of Unworkability</w:t>
            </w:r>
            <w:r w:rsidRPr="00511597">
              <w:rPr>
                <w:color w:val="000000"/>
              </w:rPr>
              <w:tab/>
              <w:t>82</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(ix)</w:t>
            </w:r>
            <w:r w:rsidRPr="00511597">
              <w:rPr>
                <w:color w:val="000000"/>
              </w:rPr>
              <w:tab/>
            </w:r>
            <w:r w:rsidRPr="000924E0">
              <w:rPr>
                <w:color w:val="000000"/>
                <w:u w:val="single"/>
              </w:rPr>
              <w:t>The Argument on Academic Criticism</w:t>
            </w:r>
            <w:r w:rsidRPr="00511597">
              <w:rPr>
                <w:color w:val="000000"/>
              </w:rPr>
              <w:tab/>
              <w:t>86</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(x)</w:t>
            </w:r>
            <w:r w:rsidRPr="00511597">
              <w:rPr>
                <w:color w:val="000000"/>
              </w:rPr>
              <w:tab/>
            </w:r>
            <w:r w:rsidRPr="000924E0">
              <w:rPr>
                <w:color w:val="000000"/>
                <w:u w:val="single"/>
              </w:rPr>
              <w:t>The Argument on Canadian Labour History</w:t>
            </w:r>
            <w:r w:rsidRPr="00511597">
              <w:rPr>
                <w:color w:val="000000"/>
              </w:rPr>
              <w:tab/>
              <w:t>89</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(xi)</w:t>
            </w:r>
            <w:r w:rsidRPr="00511597">
              <w:rPr>
                <w:color w:val="000000"/>
              </w:rPr>
              <w:tab/>
            </w:r>
            <w:r w:rsidRPr="000924E0">
              <w:rPr>
                <w:color w:val="000000"/>
                <w:u w:val="single"/>
              </w:rPr>
              <w:t>The Argument on International Law</w:t>
            </w:r>
            <w:r w:rsidRPr="00511597">
              <w:rPr>
                <w:color w:val="000000"/>
              </w:rPr>
              <w:tab/>
              <w:t>91</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(xii)</w:t>
            </w:r>
            <w:r w:rsidRPr="00511597">
              <w:rPr>
                <w:color w:val="000000"/>
              </w:rPr>
              <w:tab/>
            </w:r>
            <w:r w:rsidRPr="000924E0">
              <w:rPr>
                <w:color w:val="000000"/>
                <w:u w:val="single"/>
              </w:rPr>
              <w:t xml:space="preserve">The Argument on </w:t>
            </w:r>
            <w:r w:rsidRPr="000924E0">
              <w:rPr>
                <w:i/>
                <w:color w:val="000000"/>
                <w:u w:val="single"/>
              </w:rPr>
              <w:t>Charter</w:t>
            </w:r>
            <w:r w:rsidRPr="000924E0">
              <w:rPr>
                <w:color w:val="000000"/>
                <w:u w:val="single"/>
              </w:rPr>
              <w:t xml:space="preserve"> Values</w:t>
            </w:r>
            <w:r w:rsidRPr="00511597">
              <w:rPr>
                <w:color w:val="000000"/>
              </w:rPr>
              <w:tab/>
              <w:t>96</w:t>
            </w:r>
          </w:p>
        </w:tc>
      </w:tr>
      <w:tr w:rsidR="004A4A35" w:rsidRPr="00511597" w:rsidTr="000550C7">
        <w:tc>
          <w:tcPr>
            <w:tcW w:w="8510" w:type="dxa"/>
            <w:gridSpan w:val="2"/>
          </w:tcPr>
          <w:p w:rsidR="004A4A35" w:rsidRPr="00511597" w:rsidRDefault="004A4A35" w:rsidP="00F258CD">
            <w:pPr>
              <w:tabs>
                <w:tab w:val="left" w:pos="720"/>
                <w:tab w:val="left" w:pos="1080"/>
                <w:tab w:val="left" w:pos="1260"/>
                <w:tab w:val="left" w:pos="1800"/>
                <w:tab w:val="right" w:leader="dot" w:pos="8010"/>
              </w:tabs>
              <w:ind w:left="1800" w:right="2160" w:hanging="1800"/>
              <w:rPr>
                <w:color w:val="000000"/>
              </w:rPr>
            </w:pPr>
            <w:r w:rsidRPr="00511597">
              <w:rPr>
                <w:color w:val="000000"/>
              </w:rPr>
              <w:tab/>
            </w:r>
            <w:r w:rsidRPr="00511597">
              <w:rPr>
                <w:color w:val="000000"/>
              </w:rPr>
              <w:tab/>
            </w:r>
            <w:r w:rsidRPr="00511597">
              <w:rPr>
                <w:color w:val="000000"/>
              </w:rPr>
              <w:tab/>
              <w:t>(xiii)</w:t>
            </w:r>
            <w:r w:rsidRPr="00511597">
              <w:rPr>
                <w:color w:val="000000"/>
              </w:rPr>
              <w:tab/>
            </w:r>
            <w:r w:rsidRPr="000924E0">
              <w:rPr>
                <w:color w:val="000000"/>
                <w:u w:val="single"/>
              </w:rPr>
              <w:t>Conclusion</w:t>
            </w:r>
            <w:r w:rsidRPr="00511597">
              <w:rPr>
                <w:color w:val="000000"/>
              </w:rPr>
              <w:tab/>
              <w:t>97</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r>
            <w:r>
              <w:rPr>
                <w:color w:val="000000"/>
              </w:rPr>
              <w:t>(2)</w:t>
            </w:r>
            <w:r w:rsidRPr="00511597">
              <w:rPr>
                <w:color w:val="000000"/>
              </w:rPr>
              <w:tab/>
            </w:r>
            <w:r w:rsidRPr="00511597">
              <w:rPr>
                <w:color w:val="000000"/>
                <w:u w:val="single"/>
              </w:rPr>
              <w:t>Application:  Have the Respondents Established a Breach of Section 2</w:t>
            </w:r>
            <w:r w:rsidRPr="00027B9E">
              <w:rPr>
                <w:color w:val="000000"/>
                <w:u w:val="single"/>
              </w:rPr>
              <w:t>(</w:t>
            </w:r>
            <w:r w:rsidRPr="00225646">
              <w:rPr>
                <w:i/>
                <w:color w:val="000000"/>
                <w:u w:val="single"/>
              </w:rPr>
              <w:t>d</w:t>
            </w:r>
            <w:r w:rsidRPr="00027B9E">
              <w:rPr>
                <w:color w:val="000000"/>
                <w:u w:val="single"/>
              </w:rPr>
              <w:t>)</w:t>
            </w:r>
            <w:r w:rsidRPr="00511597">
              <w:rPr>
                <w:color w:val="000000"/>
                <w:u w:val="single"/>
              </w:rPr>
              <w:t>?</w:t>
            </w:r>
            <w:r w:rsidRPr="00511597">
              <w:rPr>
                <w:color w:val="000000"/>
              </w:rPr>
              <w:tab/>
              <w:t>98</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rPr>
                <w:color w:val="000000"/>
              </w:rPr>
            </w:pPr>
            <w:r w:rsidRPr="00511597">
              <w:rPr>
                <w:color w:val="000000"/>
              </w:rPr>
              <w:t>C.</w:t>
            </w:r>
            <w:r w:rsidRPr="00511597">
              <w:rPr>
                <w:color w:val="000000"/>
              </w:rPr>
              <w:tab/>
            </w:r>
            <w:r w:rsidRPr="00511597">
              <w:rPr>
                <w:i/>
                <w:color w:val="000000"/>
              </w:rPr>
              <w:t>Section 15 of the Charter</w:t>
            </w:r>
            <w:r w:rsidRPr="00511597">
              <w:rPr>
                <w:color w:val="000000"/>
              </w:rPr>
              <w:tab/>
              <w:t>114</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pPr>
            <w:r w:rsidRPr="00511597">
              <w:rPr>
                <w:color w:val="000000"/>
              </w:rPr>
              <w:lastRenderedPageBreak/>
              <w:t>V.</w:t>
            </w:r>
            <w:r w:rsidRPr="00511597">
              <w:rPr>
                <w:color w:val="000000"/>
              </w:rPr>
              <w:tab/>
            </w:r>
            <w:r w:rsidRPr="00511597">
              <w:rPr>
                <w:color w:val="000000"/>
                <w:u w:val="single"/>
              </w:rPr>
              <w:t>Conclusion</w:t>
            </w:r>
            <w:r w:rsidRPr="00511597">
              <w:rPr>
                <w:color w:val="000000"/>
              </w:rPr>
              <w:tab/>
              <w:t>117</w:t>
            </w:r>
          </w:p>
        </w:tc>
      </w:tr>
      <w:tr w:rsidR="004A4A35" w:rsidRPr="00511597" w:rsidTr="000550C7">
        <w:tc>
          <w:tcPr>
            <w:tcW w:w="8510" w:type="dxa"/>
            <w:gridSpan w:val="2"/>
          </w:tcPr>
          <w:p w:rsidR="004A4A35" w:rsidRPr="00225646" w:rsidRDefault="004A4A35" w:rsidP="00F258CD">
            <w:pPr>
              <w:tabs>
                <w:tab w:val="left" w:pos="540"/>
                <w:tab w:val="left" w:pos="900"/>
                <w:tab w:val="left" w:pos="1260"/>
                <w:tab w:val="right" w:leader="dot" w:pos="8010"/>
              </w:tabs>
            </w:pPr>
            <w:r w:rsidRPr="00511597">
              <w:rPr>
                <w:b/>
              </w:rPr>
              <w:t>Reasons of Rothstein J.</w:t>
            </w:r>
            <w:r>
              <w:tab/>
              <w:t>119</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I</w:t>
            </w:r>
            <w:r>
              <w:rPr>
                <w:color w:val="000000"/>
              </w:rPr>
              <w:t>.</w:t>
            </w:r>
            <w:r w:rsidRPr="00511597">
              <w:rPr>
                <w:color w:val="000000"/>
              </w:rPr>
              <w:tab/>
            </w:r>
            <w:r w:rsidRPr="00511597">
              <w:rPr>
                <w:color w:val="000000"/>
                <w:u w:val="single"/>
              </w:rPr>
              <w:t>Introduction</w:t>
            </w:r>
            <w:r w:rsidRPr="00511597">
              <w:rPr>
                <w:color w:val="000000"/>
              </w:rPr>
              <w:tab/>
              <w:t>119</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II</w:t>
            </w:r>
            <w:r>
              <w:rPr>
                <w:color w:val="000000"/>
              </w:rPr>
              <w:t>.</w:t>
            </w:r>
            <w:r w:rsidRPr="00511597">
              <w:rPr>
                <w:color w:val="000000"/>
              </w:rPr>
              <w:tab/>
            </w:r>
            <w:r w:rsidRPr="00511597">
              <w:rPr>
                <w:color w:val="000000"/>
                <w:u w:val="single"/>
              </w:rPr>
              <w:t>When Should Precedent be Overturned?</w:t>
            </w:r>
            <w:r w:rsidRPr="00511597">
              <w:rPr>
                <w:color w:val="000000"/>
              </w:rPr>
              <w:tab/>
              <w:t>129</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III</w:t>
            </w:r>
            <w:r>
              <w:rPr>
                <w:color w:val="000000"/>
              </w:rPr>
              <w:t>.</w:t>
            </w:r>
            <w:r w:rsidRPr="00511597">
              <w:rPr>
                <w:color w:val="000000"/>
              </w:rPr>
              <w:tab/>
            </w:r>
            <w:r w:rsidR="009003BD">
              <w:rPr>
                <w:color w:val="000000"/>
                <w:u w:val="single"/>
              </w:rPr>
              <w:t>The Explicit Break W</w:t>
            </w:r>
            <w:r w:rsidRPr="00511597">
              <w:rPr>
                <w:color w:val="000000"/>
                <w:u w:val="single"/>
              </w:rPr>
              <w:t xml:space="preserve">ith Precedent in </w:t>
            </w:r>
            <w:r w:rsidRPr="00A022F1">
              <w:rPr>
                <w:i/>
                <w:color w:val="000000"/>
                <w:u w:val="single"/>
              </w:rPr>
              <w:t>Health Services</w:t>
            </w:r>
            <w:r w:rsidRPr="00511597">
              <w:rPr>
                <w:color w:val="000000"/>
              </w:rPr>
              <w:tab/>
              <w:t>152</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w:t>
            </w:r>
            <w:r w:rsidRPr="00511597">
              <w:rPr>
                <w:color w:val="000000"/>
              </w:rPr>
              <w:tab/>
            </w:r>
            <w:r w:rsidRPr="00511597">
              <w:rPr>
                <w:i/>
                <w:color w:val="000000"/>
              </w:rPr>
              <w:t>Introduction</w:t>
            </w:r>
            <w:r w:rsidRPr="00511597">
              <w:rPr>
                <w:color w:val="000000"/>
              </w:rPr>
              <w:tab/>
              <w:t>152</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B.</w:t>
            </w:r>
            <w:r w:rsidRPr="00511597">
              <w:rPr>
                <w:color w:val="000000"/>
              </w:rPr>
              <w:tab/>
            </w:r>
            <w:r w:rsidRPr="00511597">
              <w:rPr>
                <w:i/>
                <w:color w:val="000000"/>
              </w:rPr>
              <w:t xml:space="preserve">The Jurisprudential Background Prior to </w:t>
            </w:r>
            <w:r w:rsidRPr="00A022F1">
              <w:rPr>
                <w:i/>
                <w:color w:val="000000"/>
              </w:rPr>
              <w:t>Health Services</w:t>
            </w:r>
            <w:r w:rsidRPr="00511597">
              <w:rPr>
                <w:color w:val="000000"/>
              </w:rPr>
              <w:tab/>
              <w:t>157</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C.</w:t>
            </w:r>
            <w:r w:rsidRPr="00511597">
              <w:rPr>
                <w:color w:val="000000"/>
              </w:rPr>
              <w:tab/>
            </w:r>
            <w:r w:rsidRPr="00511597">
              <w:rPr>
                <w:i/>
                <w:color w:val="000000"/>
              </w:rPr>
              <w:t xml:space="preserve">An Express Break With Precedent in </w:t>
            </w:r>
            <w:r w:rsidRPr="00A022F1">
              <w:rPr>
                <w:i/>
                <w:color w:val="000000"/>
              </w:rPr>
              <w:t>Health Services</w:t>
            </w:r>
            <w:r w:rsidRPr="00511597">
              <w:rPr>
                <w:color w:val="000000"/>
              </w:rPr>
              <w:tab/>
              <w:t>166</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IV</w:t>
            </w:r>
            <w:r>
              <w:rPr>
                <w:color w:val="000000"/>
              </w:rPr>
              <w:t>.</w:t>
            </w:r>
            <w:r w:rsidRPr="00511597">
              <w:rPr>
                <w:color w:val="000000"/>
              </w:rPr>
              <w:tab/>
            </w:r>
            <w:r w:rsidRPr="00511597">
              <w:rPr>
                <w:color w:val="000000"/>
                <w:u w:val="single"/>
              </w:rPr>
              <w:t>Section 2</w:t>
            </w:r>
            <w:r w:rsidRPr="00027B9E">
              <w:rPr>
                <w:color w:val="000000"/>
                <w:u w:val="single"/>
              </w:rPr>
              <w:t>(</w:t>
            </w:r>
            <w:r w:rsidRPr="00A022F1">
              <w:rPr>
                <w:i/>
                <w:color w:val="000000"/>
                <w:u w:val="single"/>
              </w:rPr>
              <w:t>d</w:t>
            </w:r>
            <w:r w:rsidRPr="00027B9E">
              <w:rPr>
                <w:color w:val="000000"/>
                <w:u w:val="single"/>
              </w:rPr>
              <w:t>)</w:t>
            </w:r>
            <w:r w:rsidRPr="00511597">
              <w:rPr>
                <w:color w:val="000000"/>
                <w:u w:val="single"/>
              </w:rPr>
              <w:t xml:space="preserve"> of the </w:t>
            </w:r>
            <w:r w:rsidRPr="00027B9E">
              <w:rPr>
                <w:i/>
                <w:color w:val="000000"/>
                <w:u w:val="single"/>
              </w:rPr>
              <w:t>Charter</w:t>
            </w:r>
            <w:r w:rsidRPr="00511597">
              <w:rPr>
                <w:color w:val="000000"/>
                <w:u w:val="single"/>
              </w:rPr>
              <w:t xml:space="preserve"> Does Not Protect Collective Bargaining</w:t>
            </w:r>
            <w:r w:rsidRPr="00511597">
              <w:rPr>
                <w:color w:val="000000"/>
              </w:rPr>
              <w:tab/>
              <w:t>172</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w:t>
            </w:r>
            <w:r w:rsidRPr="00511597">
              <w:rPr>
                <w:color w:val="000000"/>
              </w:rPr>
              <w:tab/>
            </w:r>
            <w:r w:rsidRPr="00511597">
              <w:rPr>
                <w:i/>
              </w:rPr>
              <w:t xml:space="preserve">The Collective Bargaining Right Recognized in </w:t>
            </w:r>
            <w:r w:rsidRPr="00A022F1">
              <w:rPr>
                <w:i/>
              </w:rPr>
              <w:t>Health Services</w:t>
            </w:r>
            <w:r w:rsidRPr="00511597">
              <w:rPr>
                <w:i/>
              </w:rPr>
              <w:t xml:space="preserve"> Is Inconsistent With the Purpose of Section 2</w:t>
            </w:r>
            <w:r w:rsidRPr="00A022F1">
              <w:rPr>
                <w:i/>
              </w:rPr>
              <w:t>(d)</w:t>
            </w:r>
            <w:r w:rsidRPr="00511597">
              <w:rPr>
                <w:color w:val="000000"/>
              </w:rPr>
              <w:tab/>
              <w:t>177</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(1)</w:t>
            </w:r>
            <w:r w:rsidRPr="00511597">
              <w:rPr>
                <w:color w:val="000000"/>
              </w:rPr>
              <w:tab/>
            </w:r>
            <w:r w:rsidRPr="00511597">
              <w:rPr>
                <w:color w:val="000000"/>
                <w:u w:val="single"/>
              </w:rPr>
              <w:t>Section 2</w:t>
            </w:r>
            <w:r w:rsidRPr="006859BF">
              <w:rPr>
                <w:color w:val="000000"/>
                <w:u w:val="single"/>
              </w:rPr>
              <w:t>(</w:t>
            </w:r>
            <w:r w:rsidRPr="00A022F1">
              <w:rPr>
                <w:i/>
                <w:color w:val="000000"/>
                <w:u w:val="single"/>
              </w:rPr>
              <w:t>d</w:t>
            </w:r>
            <w:r w:rsidRPr="006859BF">
              <w:rPr>
                <w:color w:val="000000"/>
                <w:u w:val="single"/>
              </w:rPr>
              <w:t>)</w:t>
            </w:r>
            <w:r>
              <w:rPr>
                <w:color w:val="000000"/>
                <w:u w:val="single"/>
              </w:rPr>
              <w:t xml:space="preserve"> P</w:t>
            </w:r>
            <w:r w:rsidRPr="00511597">
              <w:rPr>
                <w:color w:val="000000"/>
                <w:u w:val="single"/>
              </w:rPr>
              <w:t>rotects Individual Interests, Not Group Interests</w:t>
            </w:r>
            <w:r w:rsidRPr="00511597">
              <w:rPr>
                <w:color w:val="000000"/>
              </w:rPr>
              <w:tab/>
              <w:t>178</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ab/>
            </w:r>
            <w:r w:rsidRPr="00511597">
              <w:rPr>
                <w:color w:val="000000"/>
              </w:rPr>
              <w:tab/>
              <w:t>(a)</w:t>
            </w:r>
            <w:r w:rsidRPr="00511597">
              <w:rPr>
                <w:color w:val="000000"/>
              </w:rPr>
              <w:tab/>
            </w:r>
            <w:r w:rsidRPr="00511597">
              <w:rPr>
                <w:i/>
              </w:rPr>
              <w:t>Individual Freedoms Versus Collective Rights</w:t>
            </w:r>
            <w:r w:rsidRPr="00511597">
              <w:rPr>
                <w:color w:val="000000"/>
              </w:rPr>
              <w:tab/>
              <w:t>178</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1260" w:right="2160" w:hanging="1260"/>
              <w:rPr>
                <w:color w:val="000000"/>
              </w:rPr>
            </w:pPr>
            <w:r w:rsidRPr="00511597">
              <w:rPr>
                <w:color w:val="000000"/>
              </w:rPr>
              <w:tab/>
            </w:r>
            <w:r w:rsidRPr="00511597">
              <w:rPr>
                <w:color w:val="000000"/>
              </w:rPr>
              <w:tab/>
              <w:t>(b)</w:t>
            </w:r>
            <w:r w:rsidRPr="00511597">
              <w:rPr>
                <w:color w:val="000000"/>
              </w:rPr>
              <w:tab/>
            </w:r>
            <w:r w:rsidRPr="00511597">
              <w:rPr>
                <w:i/>
                <w:color w:val="000000"/>
              </w:rPr>
              <w:t xml:space="preserve">Qualitative Differences Between Individuals </w:t>
            </w:r>
            <w:r>
              <w:rPr>
                <w:i/>
                <w:color w:val="000000"/>
              </w:rPr>
              <w:t>and Associations Do Not Change the Individual Nature of Freedom o</w:t>
            </w:r>
            <w:r w:rsidRPr="00511597">
              <w:rPr>
                <w:i/>
                <w:color w:val="000000"/>
              </w:rPr>
              <w:t>f Association</w:t>
            </w:r>
            <w:r w:rsidRPr="00511597">
              <w:rPr>
                <w:color w:val="000000"/>
              </w:rPr>
              <w:t>.</w:t>
            </w:r>
            <w:r w:rsidRPr="00511597">
              <w:rPr>
                <w:color w:val="000000"/>
              </w:rPr>
              <w:tab/>
              <w:t>181</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(2)</w:t>
            </w:r>
            <w:r w:rsidRPr="00511597">
              <w:rPr>
                <w:color w:val="000000"/>
              </w:rPr>
              <w:tab/>
            </w:r>
            <w:r w:rsidRPr="00511597">
              <w:rPr>
                <w:color w:val="000000"/>
                <w:u w:val="single"/>
              </w:rPr>
              <w:t>Section 2</w:t>
            </w:r>
            <w:r w:rsidRPr="006859BF">
              <w:rPr>
                <w:color w:val="000000"/>
                <w:u w:val="single"/>
              </w:rPr>
              <w:t>(</w:t>
            </w:r>
            <w:r w:rsidRPr="00A022F1">
              <w:rPr>
                <w:i/>
                <w:color w:val="000000"/>
                <w:u w:val="single"/>
              </w:rPr>
              <w:t>d</w:t>
            </w:r>
            <w:r w:rsidRPr="006859BF">
              <w:rPr>
                <w:color w:val="000000"/>
                <w:u w:val="single"/>
              </w:rPr>
              <w:t>)</w:t>
            </w:r>
            <w:r>
              <w:rPr>
                <w:color w:val="000000"/>
                <w:u w:val="single"/>
              </w:rPr>
              <w:t xml:space="preserve"> P</w:t>
            </w:r>
            <w:r w:rsidRPr="00511597">
              <w:rPr>
                <w:color w:val="000000"/>
                <w:u w:val="single"/>
              </w:rPr>
              <w:t>rotects Freedoms Rather Than Rights</w:t>
            </w:r>
            <w:r w:rsidRPr="00511597">
              <w:rPr>
                <w:color w:val="000000"/>
              </w:rPr>
              <w:tab/>
              <w:t>188</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(3)</w:t>
            </w:r>
            <w:r w:rsidRPr="00511597">
              <w:rPr>
                <w:color w:val="000000"/>
              </w:rPr>
              <w:tab/>
            </w:r>
            <w:r w:rsidRPr="00511597">
              <w:rPr>
                <w:color w:val="000000"/>
                <w:u w:val="single"/>
              </w:rPr>
              <w:t>Section 2</w:t>
            </w:r>
            <w:r w:rsidRPr="006859BF">
              <w:rPr>
                <w:color w:val="000000"/>
                <w:u w:val="single"/>
              </w:rPr>
              <w:t>(</w:t>
            </w:r>
            <w:r w:rsidRPr="00A022F1">
              <w:rPr>
                <w:i/>
                <w:color w:val="000000"/>
                <w:u w:val="single"/>
              </w:rPr>
              <w:t>d</w:t>
            </w:r>
            <w:r w:rsidRPr="006859BF">
              <w:rPr>
                <w:color w:val="000000"/>
                <w:u w:val="single"/>
              </w:rPr>
              <w:t>)</w:t>
            </w:r>
            <w:r w:rsidRPr="00511597">
              <w:rPr>
                <w:color w:val="000000"/>
                <w:u w:val="single"/>
              </w:rPr>
              <w:t xml:space="preserve"> Does Not Privilege Some Associations Over Others</w:t>
            </w:r>
            <w:r w:rsidRPr="00511597">
              <w:rPr>
                <w:color w:val="000000"/>
              </w:rPr>
              <w:tab/>
              <w:t>203</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(4)</w:t>
            </w:r>
            <w:r w:rsidRPr="00511597">
              <w:rPr>
                <w:color w:val="000000"/>
              </w:rPr>
              <w:tab/>
            </w:r>
            <w:r w:rsidRPr="00511597">
              <w:rPr>
                <w:color w:val="000000"/>
                <w:u w:val="single"/>
              </w:rPr>
              <w:t>Section 2</w:t>
            </w:r>
            <w:r w:rsidRPr="006859BF">
              <w:rPr>
                <w:color w:val="000000"/>
                <w:u w:val="single"/>
              </w:rPr>
              <w:t>(</w:t>
            </w:r>
            <w:r w:rsidRPr="00A022F1">
              <w:rPr>
                <w:i/>
                <w:color w:val="000000"/>
                <w:u w:val="single"/>
              </w:rPr>
              <w:t>d</w:t>
            </w:r>
            <w:r w:rsidRPr="006859BF">
              <w:rPr>
                <w:color w:val="000000"/>
                <w:u w:val="single"/>
              </w:rPr>
              <w:t>)</w:t>
            </w:r>
            <w:r w:rsidRPr="00511597">
              <w:rPr>
                <w:color w:val="000000"/>
                <w:u w:val="single"/>
              </w:rPr>
              <w:t xml:space="preserve"> Does </w:t>
            </w:r>
            <w:r>
              <w:rPr>
                <w:color w:val="000000"/>
                <w:u w:val="single"/>
              </w:rPr>
              <w:t>Not Give Constitutional Status t</w:t>
            </w:r>
            <w:r w:rsidRPr="00511597">
              <w:rPr>
                <w:color w:val="000000"/>
                <w:u w:val="single"/>
              </w:rPr>
              <w:t>o Contracts</w:t>
            </w:r>
            <w:r w:rsidRPr="00511597">
              <w:rPr>
                <w:color w:val="000000"/>
              </w:rPr>
              <w:tab/>
              <w:t>216</w:t>
            </w:r>
          </w:p>
        </w:tc>
      </w:tr>
      <w:tr w:rsidR="004A4A35" w:rsidRPr="00511597" w:rsidTr="000550C7">
        <w:trPr>
          <w:cantSplit/>
        </w:trPr>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(5)</w:t>
            </w:r>
            <w:r w:rsidRPr="00511597">
              <w:rPr>
                <w:color w:val="000000"/>
              </w:rPr>
              <w:tab/>
            </w:r>
            <w:r w:rsidRPr="00511597">
              <w:rPr>
                <w:u w:val="single"/>
              </w:rPr>
              <w:t>Courts Have Afforded the Legislature Significant Deference in the Application of Section 2</w:t>
            </w:r>
            <w:r w:rsidRPr="006859BF">
              <w:rPr>
                <w:u w:val="single"/>
              </w:rPr>
              <w:t>(</w:t>
            </w:r>
            <w:r w:rsidRPr="00A022F1">
              <w:rPr>
                <w:i/>
                <w:u w:val="single"/>
              </w:rPr>
              <w:t>d</w:t>
            </w:r>
            <w:r w:rsidRPr="006859BF">
              <w:rPr>
                <w:u w:val="single"/>
              </w:rPr>
              <w:t>)</w:t>
            </w:r>
            <w:r w:rsidRPr="00511597">
              <w:rPr>
                <w:u w:val="single"/>
              </w:rPr>
              <w:t xml:space="preserve"> to the Field of Labour Relations</w:t>
            </w:r>
            <w:r w:rsidRPr="00511597">
              <w:rPr>
                <w:color w:val="000000"/>
              </w:rPr>
              <w:tab/>
              <w:t>219</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B.</w:t>
            </w:r>
            <w:r w:rsidRPr="00511597">
              <w:rPr>
                <w:color w:val="000000"/>
              </w:rPr>
              <w:tab/>
            </w:r>
            <w:r w:rsidRPr="00511597">
              <w:rPr>
                <w:i/>
                <w:color w:val="000000"/>
              </w:rPr>
              <w:t xml:space="preserve">The Reasons Advanced in </w:t>
            </w:r>
            <w:r w:rsidRPr="00A022F1">
              <w:rPr>
                <w:i/>
                <w:color w:val="000000"/>
              </w:rPr>
              <w:t>Health Services</w:t>
            </w:r>
            <w:r w:rsidRPr="00511597">
              <w:rPr>
                <w:i/>
                <w:color w:val="000000"/>
              </w:rPr>
              <w:t xml:space="preserve"> Do Not Support Constitutionalizing Collective Bargaining Under Section 2</w:t>
            </w:r>
            <w:r w:rsidRPr="00A022F1">
              <w:rPr>
                <w:i/>
                <w:color w:val="000000"/>
              </w:rPr>
              <w:t>(d)</w:t>
            </w:r>
            <w:r w:rsidRPr="00511597">
              <w:rPr>
                <w:i/>
                <w:color w:val="000000"/>
              </w:rPr>
              <w:t xml:space="preserve"> of the Charter</w:t>
            </w:r>
            <w:r w:rsidRPr="00511597">
              <w:rPr>
                <w:color w:val="000000"/>
              </w:rPr>
              <w:tab/>
              <w:t>231</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(1)</w:t>
            </w:r>
            <w:r w:rsidRPr="00511597">
              <w:rPr>
                <w:color w:val="000000"/>
              </w:rPr>
              <w:tab/>
            </w:r>
            <w:r w:rsidRPr="00511597">
              <w:rPr>
                <w:u w:val="single"/>
              </w:rPr>
              <w:t>The Continuing Validity of Past Precedents on the Scope of Section 2</w:t>
            </w:r>
            <w:r w:rsidRPr="006859BF">
              <w:rPr>
                <w:u w:val="single"/>
              </w:rPr>
              <w:t>(</w:t>
            </w:r>
            <w:r w:rsidRPr="00A022F1">
              <w:rPr>
                <w:i/>
                <w:u w:val="single"/>
              </w:rPr>
              <w:t>d</w:t>
            </w:r>
            <w:r w:rsidRPr="006859BF">
              <w:rPr>
                <w:u w:val="single"/>
              </w:rPr>
              <w:t>)</w:t>
            </w:r>
            <w:r w:rsidRPr="00511597">
              <w:rPr>
                <w:color w:val="000000"/>
              </w:rPr>
              <w:tab/>
              <w:t>233</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(2)</w:t>
            </w:r>
            <w:r w:rsidRPr="00511597">
              <w:rPr>
                <w:color w:val="000000"/>
              </w:rPr>
              <w:tab/>
            </w:r>
            <w:r w:rsidRPr="00511597">
              <w:rPr>
                <w:color w:val="000000"/>
                <w:u w:val="single"/>
              </w:rPr>
              <w:t>Canadian Labour History Does Not Support Constitutionalizing Collective Bargaining Rights</w:t>
            </w:r>
            <w:r w:rsidRPr="00511597">
              <w:rPr>
                <w:color w:val="000000"/>
              </w:rPr>
              <w:tab/>
              <w:t>234</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(3)</w:t>
            </w:r>
            <w:r w:rsidRPr="00511597">
              <w:rPr>
                <w:color w:val="000000"/>
              </w:rPr>
              <w:tab/>
            </w:r>
            <w:r w:rsidRPr="00511597">
              <w:rPr>
                <w:color w:val="000000"/>
                <w:u w:val="single"/>
              </w:rPr>
              <w:t xml:space="preserve">International Law Does Not Support </w:t>
            </w:r>
            <w:r w:rsidRPr="00511597">
              <w:rPr>
                <w:color w:val="000000"/>
                <w:u w:val="single"/>
              </w:rPr>
              <w:lastRenderedPageBreak/>
              <w:t>Constitutionalizing Collective Bargaining Rights</w:t>
            </w:r>
            <w:r w:rsidRPr="00511597">
              <w:rPr>
                <w:color w:val="000000"/>
              </w:rPr>
              <w:tab/>
              <w:t>247</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lastRenderedPageBreak/>
              <w:tab/>
              <w:t>(4)</w:t>
            </w:r>
            <w:r w:rsidRPr="00511597">
              <w:rPr>
                <w:color w:val="000000"/>
              </w:rPr>
              <w:tab/>
            </w:r>
            <w:r w:rsidRPr="00F558D7">
              <w:rPr>
                <w:i/>
                <w:color w:val="000000"/>
                <w:u w:val="single"/>
              </w:rPr>
              <w:t>Charter</w:t>
            </w:r>
            <w:r w:rsidRPr="00511597">
              <w:rPr>
                <w:color w:val="000000"/>
                <w:u w:val="single"/>
              </w:rPr>
              <w:t xml:space="preserve"> Values Cannot Be Invoked </w:t>
            </w:r>
            <w:r>
              <w:rPr>
                <w:color w:val="000000"/>
                <w:u w:val="single"/>
              </w:rPr>
              <w:t>t</w:t>
            </w:r>
            <w:r w:rsidRPr="00511597">
              <w:rPr>
                <w:color w:val="000000"/>
                <w:u w:val="single"/>
              </w:rPr>
              <w:t>o Support Constitutionalizing Collective Bargaining Rights</w:t>
            </w:r>
            <w:r w:rsidRPr="00511597">
              <w:rPr>
                <w:color w:val="000000"/>
              </w:rPr>
              <w:tab/>
              <w:t>251</w:t>
            </w:r>
          </w:p>
        </w:tc>
      </w:tr>
      <w:tr w:rsidR="004A4A35" w:rsidRPr="00511597" w:rsidTr="000550C7">
        <w:tc>
          <w:tcPr>
            <w:tcW w:w="8510" w:type="dxa"/>
            <w:gridSpan w:val="2"/>
          </w:tcPr>
          <w:p w:rsidR="004A4A35" w:rsidRPr="00511597" w:rsidRDefault="004A4A35" w:rsidP="000F55E5">
            <w:pPr>
              <w:tabs>
                <w:tab w:val="left" w:pos="540"/>
                <w:tab w:val="left" w:pos="900"/>
                <w:tab w:val="left" w:pos="1260"/>
                <w:tab w:val="right" w:leader="dot" w:pos="8010"/>
              </w:tabs>
              <w:ind w:left="547" w:right="2160" w:hanging="547"/>
              <w:rPr>
                <w:color w:val="000000"/>
              </w:rPr>
            </w:pPr>
            <w:r w:rsidRPr="00511597">
              <w:rPr>
                <w:color w:val="000000"/>
              </w:rPr>
              <w:t>C.</w:t>
            </w:r>
            <w:r w:rsidRPr="00511597">
              <w:rPr>
                <w:color w:val="000000"/>
              </w:rPr>
              <w:tab/>
            </w:r>
            <w:r w:rsidRPr="00511597">
              <w:rPr>
                <w:i/>
                <w:color w:val="000000"/>
              </w:rPr>
              <w:t xml:space="preserve">The </w:t>
            </w:r>
            <w:r>
              <w:rPr>
                <w:i/>
                <w:color w:val="000000"/>
              </w:rPr>
              <w:t>A</w:t>
            </w:r>
            <w:r w:rsidRPr="00511597">
              <w:rPr>
                <w:i/>
                <w:color w:val="000000"/>
              </w:rPr>
              <w:t xml:space="preserve">pproach in </w:t>
            </w:r>
            <w:r w:rsidRPr="00A022F1">
              <w:rPr>
                <w:i/>
                <w:color w:val="000000"/>
              </w:rPr>
              <w:t>Health Services</w:t>
            </w:r>
            <w:r w:rsidRPr="00511597">
              <w:rPr>
                <w:i/>
                <w:color w:val="000000"/>
              </w:rPr>
              <w:t xml:space="preserve"> Is Unworkable</w:t>
            </w:r>
            <w:r w:rsidRPr="00511597">
              <w:rPr>
                <w:color w:val="000000"/>
              </w:rPr>
              <w:tab/>
              <w:t>256</w:t>
            </w:r>
          </w:p>
        </w:tc>
      </w:tr>
      <w:tr w:rsidR="004A4A35" w:rsidRPr="00511597" w:rsidTr="000550C7">
        <w:tc>
          <w:tcPr>
            <w:tcW w:w="8510" w:type="dxa"/>
            <w:gridSpan w:val="2"/>
          </w:tcPr>
          <w:p w:rsidR="004A4A35" w:rsidRPr="00511597" w:rsidRDefault="004A4A35" w:rsidP="000F55E5">
            <w:pPr>
              <w:tabs>
                <w:tab w:val="left" w:pos="540"/>
                <w:tab w:val="left" w:pos="900"/>
                <w:tab w:val="left" w:pos="1260"/>
                <w:tab w:val="right" w:leader="dot" w:pos="8010"/>
              </w:tabs>
              <w:ind w:left="907" w:right="2160" w:hanging="907"/>
              <w:rPr>
                <w:color w:val="000000"/>
              </w:rPr>
            </w:pPr>
            <w:r w:rsidRPr="00511597">
              <w:rPr>
                <w:color w:val="000000"/>
              </w:rPr>
              <w:tab/>
              <w:t>(1)</w:t>
            </w:r>
            <w:r w:rsidRPr="00511597">
              <w:rPr>
                <w:color w:val="000000"/>
              </w:rPr>
              <w:tab/>
            </w:r>
            <w:r w:rsidR="00E874EA">
              <w:rPr>
                <w:color w:val="000000"/>
                <w:u w:val="single"/>
              </w:rPr>
              <w:t>The Problem o</w:t>
            </w:r>
            <w:r w:rsidRPr="00511597">
              <w:rPr>
                <w:color w:val="000000"/>
                <w:u w:val="single"/>
              </w:rPr>
              <w:t xml:space="preserve">f </w:t>
            </w:r>
            <w:proofErr w:type="spellStart"/>
            <w:r w:rsidRPr="00511597">
              <w:rPr>
                <w:color w:val="000000"/>
                <w:u w:val="single"/>
              </w:rPr>
              <w:t>Constitutionalizing</w:t>
            </w:r>
            <w:proofErr w:type="spellEnd"/>
            <w:r w:rsidRPr="00511597">
              <w:rPr>
                <w:color w:val="000000"/>
                <w:u w:val="single"/>
              </w:rPr>
              <w:t xml:space="preserve"> One Part of the Wagner </w:t>
            </w:r>
            <w:r>
              <w:rPr>
                <w:color w:val="000000"/>
                <w:u w:val="single"/>
              </w:rPr>
              <w:t>M</w:t>
            </w:r>
            <w:r w:rsidRPr="00511597">
              <w:rPr>
                <w:color w:val="000000"/>
                <w:u w:val="single"/>
              </w:rPr>
              <w:t>odel</w:t>
            </w:r>
            <w:r w:rsidRPr="00511597">
              <w:rPr>
                <w:color w:val="000000"/>
              </w:rPr>
              <w:tab/>
              <w:t>257</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900" w:right="2160" w:hanging="900"/>
              <w:rPr>
                <w:color w:val="000000"/>
              </w:rPr>
            </w:pPr>
            <w:r w:rsidRPr="00511597">
              <w:rPr>
                <w:color w:val="000000"/>
              </w:rPr>
              <w:tab/>
              <w:t>(2)</w:t>
            </w:r>
            <w:r w:rsidRPr="00511597">
              <w:rPr>
                <w:color w:val="000000"/>
              </w:rPr>
              <w:tab/>
            </w:r>
            <w:r w:rsidRPr="00511597">
              <w:rPr>
                <w:color w:val="000000"/>
                <w:u w:val="single"/>
              </w:rPr>
              <w:t>The Untenable Distinc</w:t>
            </w:r>
            <w:r w:rsidR="00E874EA">
              <w:rPr>
                <w:color w:val="000000"/>
                <w:u w:val="single"/>
              </w:rPr>
              <w:t>tion Between Substance a</w:t>
            </w:r>
            <w:r w:rsidRPr="00511597">
              <w:rPr>
                <w:color w:val="000000"/>
                <w:u w:val="single"/>
              </w:rPr>
              <w:t>nd Process</w:t>
            </w:r>
            <w:r w:rsidRPr="00511597">
              <w:rPr>
                <w:color w:val="000000"/>
              </w:rPr>
              <w:tab/>
              <w:t>263</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V</w:t>
            </w:r>
            <w:r>
              <w:rPr>
                <w:color w:val="000000"/>
              </w:rPr>
              <w:t>.</w:t>
            </w:r>
            <w:r w:rsidRPr="00511597">
              <w:rPr>
                <w:color w:val="000000"/>
              </w:rPr>
              <w:tab/>
            </w:r>
            <w:r w:rsidRPr="00511597">
              <w:rPr>
                <w:color w:val="000000"/>
                <w:u w:val="single"/>
              </w:rPr>
              <w:t xml:space="preserve">The </w:t>
            </w:r>
            <w:r w:rsidRPr="002510EF">
              <w:rPr>
                <w:i/>
                <w:color w:val="000000"/>
                <w:u w:val="single"/>
              </w:rPr>
              <w:t>Charter</w:t>
            </w:r>
            <w:r w:rsidRPr="00511597">
              <w:rPr>
                <w:color w:val="000000"/>
                <w:u w:val="single"/>
              </w:rPr>
              <w:t xml:space="preserve"> </w:t>
            </w:r>
            <w:r>
              <w:rPr>
                <w:color w:val="000000"/>
                <w:u w:val="single"/>
              </w:rPr>
              <w:t>P</w:t>
            </w:r>
            <w:r w:rsidRPr="00511597">
              <w:rPr>
                <w:color w:val="000000"/>
                <w:u w:val="single"/>
              </w:rPr>
              <w:t>rotects a Voluntary Association of Workers Whose Objectives Are to Improve Wages and Working Conditions</w:t>
            </w:r>
            <w:r w:rsidRPr="00511597">
              <w:rPr>
                <w:color w:val="000000"/>
              </w:rPr>
              <w:tab/>
              <w:t>270</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VI</w:t>
            </w:r>
            <w:r>
              <w:rPr>
                <w:color w:val="000000"/>
              </w:rPr>
              <w:t>.</w:t>
            </w:r>
            <w:r w:rsidRPr="00511597">
              <w:rPr>
                <w:color w:val="000000"/>
              </w:rPr>
              <w:tab/>
            </w:r>
            <w:r w:rsidRPr="00511597">
              <w:rPr>
                <w:color w:val="000000"/>
                <w:u w:val="single"/>
              </w:rPr>
              <w:t>Summary</w:t>
            </w:r>
            <w:r w:rsidRPr="00511597">
              <w:rPr>
                <w:color w:val="000000"/>
              </w:rPr>
              <w:tab/>
              <w:t>275</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color w:val="000000"/>
              </w:rPr>
            </w:pPr>
            <w:r w:rsidRPr="00511597">
              <w:rPr>
                <w:color w:val="000000"/>
              </w:rPr>
              <w:t>VII</w:t>
            </w:r>
            <w:r>
              <w:rPr>
                <w:color w:val="000000"/>
              </w:rPr>
              <w:t>.</w:t>
            </w:r>
            <w:r w:rsidRPr="00511597">
              <w:rPr>
                <w:color w:val="000000"/>
              </w:rPr>
              <w:tab/>
            </w:r>
            <w:r w:rsidRPr="00511597">
              <w:rPr>
                <w:u w:val="single"/>
              </w:rPr>
              <w:t>Application to the Present Case</w:t>
            </w:r>
            <w:r w:rsidRPr="00511597">
              <w:rPr>
                <w:color w:val="000000"/>
              </w:rPr>
              <w:tab/>
              <w:t>276</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pPr>
            <w:r w:rsidRPr="00511597">
              <w:rPr>
                <w:color w:val="000000"/>
              </w:rPr>
              <w:t>VIII</w:t>
            </w:r>
            <w:r>
              <w:rPr>
                <w:color w:val="000000"/>
              </w:rPr>
              <w:t>.</w:t>
            </w:r>
            <w:r w:rsidRPr="00511597">
              <w:rPr>
                <w:color w:val="000000"/>
              </w:rPr>
              <w:tab/>
            </w:r>
            <w:r w:rsidRPr="00511597">
              <w:rPr>
                <w:u w:val="single"/>
              </w:rPr>
              <w:t>Conclusion</w:t>
            </w:r>
            <w:r w:rsidRPr="00511597">
              <w:tab/>
              <w:t>296</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ind w:left="540" w:right="2160" w:hanging="540"/>
              <w:rPr>
                <w:b/>
              </w:rPr>
            </w:pPr>
            <w:r w:rsidRPr="00511597">
              <w:rPr>
                <w:b/>
              </w:rPr>
              <w:t>Reasons of Deschamps J.</w:t>
            </w:r>
            <w:r>
              <w:tab/>
              <w:t>297</w:t>
            </w:r>
            <w:r w:rsidRPr="00511597">
              <w:rPr>
                <w:b/>
              </w:rPr>
              <w:t xml:space="preserve"> </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pPr>
            <w:r w:rsidRPr="00511597">
              <w:t>I.</w:t>
            </w:r>
            <w:r w:rsidRPr="00511597">
              <w:tab/>
            </w:r>
            <w:r w:rsidRPr="00511597">
              <w:rPr>
                <w:u w:val="single"/>
              </w:rPr>
              <w:t xml:space="preserve">Interpreting </w:t>
            </w:r>
            <w:r w:rsidRPr="00F44A4F">
              <w:rPr>
                <w:i/>
                <w:u w:val="single"/>
              </w:rPr>
              <w:t>Health Services</w:t>
            </w:r>
            <w:r w:rsidRPr="00511597">
              <w:tab/>
            </w:r>
            <w:r>
              <w:t>298</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pPr>
            <w:r w:rsidRPr="00511597">
              <w:t>II.</w:t>
            </w:r>
            <w:r w:rsidRPr="00511597">
              <w:tab/>
            </w:r>
            <w:r w:rsidRPr="00511597">
              <w:rPr>
                <w:u w:val="single"/>
              </w:rPr>
              <w:t xml:space="preserve">Approach </w:t>
            </w:r>
            <w:r>
              <w:rPr>
                <w:u w:val="single"/>
              </w:rPr>
              <w:t>From</w:t>
            </w:r>
            <w:r w:rsidRPr="00511597">
              <w:rPr>
                <w:u w:val="single"/>
              </w:rPr>
              <w:t xml:space="preserve"> </w:t>
            </w:r>
            <w:r w:rsidRPr="00F44A4F">
              <w:rPr>
                <w:i/>
                <w:u w:val="single"/>
              </w:rPr>
              <w:t>Dunmore</w:t>
            </w:r>
            <w:r w:rsidRPr="00511597">
              <w:tab/>
            </w:r>
            <w:r>
              <w:t>313</w:t>
            </w:r>
          </w:p>
        </w:tc>
      </w:tr>
      <w:tr w:rsidR="004A4A35" w:rsidRPr="00511597" w:rsidTr="000550C7">
        <w:tc>
          <w:tcPr>
            <w:tcW w:w="8510" w:type="dxa"/>
            <w:gridSpan w:val="2"/>
          </w:tcPr>
          <w:p w:rsidR="004A4A35" w:rsidRPr="00511597" w:rsidRDefault="004A4A35" w:rsidP="00F258CD">
            <w:pPr>
              <w:tabs>
                <w:tab w:val="left" w:pos="540"/>
                <w:tab w:val="left" w:pos="900"/>
                <w:tab w:val="left" w:pos="1260"/>
                <w:tab w:val="right" w:leader="dot" w:pos="8010"/>
              </w:tabs>
              <w:rPr>
                <w:b/>
              </w:rPr>
            </w:pPr>
            <w:r w:rsidRPr="00511597">
              <w:rPr>
                <w:b/>
              </w:rPr>
              <w:t>Reasons of Abella J.</w:t>
            </w:r>
            <w:r>
              <w:tab/>
              <w:t>321</w:t>
            </w:r>
            <w:r w:rsidRPr="00511597">
              <w:rPr>
                <w:b/>
              </w:rPr>
              <w:t xml:space="preserve"> </w:t>
            </w:r>
          </w:p>
        </w:tc>
      </w:tr>
      <w:tr w:rsidR="004A4A35" w:rsidRPr="00511597" w:rsidTr="000550C7">
        <w:tc>
          <w:tcPr>
            <w:tcW w:w="8510" w:type="dxa"/>
            <w:gridSpan w:val="2"/>
          </w:tcPr>
          <w:p w:rsidR="004A4A35" w:rsidRPr="00511597" w:rsidRDefault="004A4A35" w:rsidP="00F258CD">
            <w:pPr>
              <w:tabs>
                <w:tab w:val="left" w:pos="540"/>
                <w:tab w:val="right" w:leader="dot" w:pos="8010"/>
              </w:tabs>
              <w:rPr>
                <w:u w:val="words"/>
              </w:rPr>
            </w:pPr>
            <w:r>
              <w:rPr>
                <w:u w:val="words"/>
              </w:rPr>
              <w:t>Background</w:t>
            </w:r>
            <w:r w:rsidRPr="00511597">
              <w:rPr>
                <w:u w:val="words"/>
              </w:rPr>
              <w:tab/>
            </w:r>
            <w:r w:rsidRPr="00511597">
              <w:t>32</w:t>
            </w:r>
            <w:r>
              <w:t>3</w:t>
            </w:r>
          </w:p>
        </w:tc>
      </w:tr>
      <w:tr w:rsidR="004A4A35" w:rsidRPr="00511597" w:rsidTr="000550C7">
        <w:tc>
          <w:tcPr>
            <w:tcW w:w="8510" w:type="dxa"/>
            <w:gridSpan w:val="2"/>
          </w:tcPr>
          <w:p w:rsidR="004A4A35" w:rsidRPr="00511597" w:rsidRDefault="004A4A35" w:rsidP="00F258CD">
            <w:pPr>
              <w:tabs>
                <w:tab w:val="left" w:pos="540"/>
                <w:tab w:val="right" w:leader="dot" w:pos="8010"/>
              </w:tabs>
              <w:rPr>
                <w:u w:val="words"/>
              </w:rPr>
            </w:pPr>
            <w:r w:rsidRPr="00511597">
              <w:rPr>
                <w:u w:val="words"/>
              </w:rPr>
              <w:t>Analysis</w:t>
            </w:r>
            <w:r w:rsidRPr="00511597">
              <w:rPr>
                <w:u w:val="words"/>
              </w:rPr>
              <w:tab/>
            </w:r>
            <w:r w:rsidRPr="00511597">
              <w:t>326</w:t>
            </w:r>
          </w:p>
        </w:tc>
      </w:tr>
    </w:tbl>
    <w:p w:rsidR="004A4A35" w:rsidRPr="00511597" w:rsidRDefault="004A4A35" w:rsidP="004A4A35"/>
    <w:p w:rsidR="004A4A35" w:rsidRDefault="004A4A35">
      <w:pPr>
        <w:rPr>
          <w:i/>
          <w:iCs/>
        </w:rPr>
      </w:pPr>
    </w:p>
    <w:p w:rsidR="00A00D29" w:rsidRDefault="00A00D29">
      <w:pPr>
        <w:rPr>
          <w:i/>
          <w:iCs/>
        </w:rPr>
      </w:pPr>
    </w:p>
    <w:p w:rsidR="00A00D29" w:rsidRDefault="006859BF" w:rsidP="000137B4">
      <w:pPr>
        <w:tabs>
          <w:tab w:val="left" w:pos="1170"/>
        </w:tabs>
        <w:spacing w:after="480" w:line="480" w:lineRule="auto"/>
        <w:jc w:val="both"/>
      </w:pPr>
      <w:r>
        <w:tab/>
      </w:r>
      <w:proofErr w:type="gramStart"/>
      <w:r>
        <w:t>The judgment of McLachlin C.J. and Binnie, LeBel, Fish and Cromwell JJ.</w:t>
      </w:r>
      <w:proofErr w:type="gramEnd"/>
      <w:r>
        <w:t xml:space="preserve"> </w:t>
      </w:r>
      <w:proofErr w:type="gramStart"/>
      <w:r>
        <w:t>was</w:t>
      </w:r>
      <w:proofErr w:type="gramEnd"/>
      <w:r>
        <w:t xml:space="preserve"> delivered by</w:t>
      </w:r>
    </w:p>
    <w:p w:rsidR="00A00D29" w:rsidRPr="00B73BD3" w:rsidRDefault="00A00D29" w:rsidP="00E27EEC">
      <w:pPr>
        <w:tabs>
          <w:tab w:val="left" w:pos="1170"/>
        </w:tabs>
        <w:spacing w:after="480"/>
        <w:jc w:val="both"/>
      </w:pPr>
      <w:r w:rsidRPr="00B73BD3">
        <w:tab/>
      </w:r>
      <w:proofErr w:type="gramStart"/>
      <w:r w:rsidR="006859BF" w:rsidRPr="006859BF">
        <w:rPr>
          <w:smallCaps/>
        </w:rPr>
        <w:t>The Chief Justice</w:t>
      </w:r>
      <w:r w:rsidRPr="006859BF">
        <w:rPr>
          <w:smallCaps/>
        </w:rPr>
        <w:t xml:space="preserve"> and LeBel</w:t>
      </w:r>
      <w:r w:rsidR="006859BF" w:rsidRPr="006859BF">
        <w:rPr>
          <w:smallCaps/>
        </w:rPr>
        <w:t xml:space="preserve"> J.</w:t>
      </w:r>
      <w:r w:rsidRPr="00B73BD3">
        <w:t xml:space="preserve"> —</w:t>
      </w:r>
      <w:proofErr w:type="gramEnd"/>
      <w:r w:rsidRPr="00B73BD3">
        <w:t xml:space="preserve"> </w:t>
      </w:r>
    </w:p>
    <w:p w:rsidR="00A00D29" w:rsidRPr="00B73BD3" w:rsidRDefault="00A00D29" w:rsidP="00E27EEC">
      <w:pPr>
        <w:tabs>
          <w:tab w:val="left" w:pos="360"/>
        </w:tabs>
        <w:spacing w:after="720"/>
        <w:ind w:left="360" w:hanging="360"/>
        <w:jc w:val="both"/>
      </w:pPr>
      <w:r w:rsidRPr="00B73BD3">
        <w:rPr>
          <w:lang w:val="en-US"/>
        </w:rPr>
        <w:t xml:space="preserve">I.  </w:t>
      </w:r>
      <w:r w:rsidRPr="00B73BD3">
        <w:rPr>
          <w:u w:val="single"/>
          <w:lang w:val="en-US"/>
        </w:rPr>
        <w:t>Introduction</w:t>
      </w:r>
    </w:p>
    <w:p w:rsidR="00A00D29" w:rsidRPr="00B73BD3" w:rsidRDefault="00A00D29" w:rsidP="0077778D">
      <w:pPr>
        <w:pStyle w:val="ReasonsNumbering-AltN"/>
        <w:ind w:left="0" w:firstLine="0"/>
      </w:pPr>
      <w:r w:rsidRPr="00B73BD3">
        <w:lastRenderedPageBreak/>
        <w:t xml:space="preserve">This appeal raises anew the issue of the constitutionality of the labour relations regime that applies to farm workers in Ontario.  Most Canadian provinces have brought the farming sector under their general labour relations laws, with some exceptions and restrictions. Except for a very short period of time, Ontario has always excluded farms and farm workers from the application of its </w:t>
      </w:r>
      <w:r w:rsidRPr="00B73BD3">
        <w:rPr>
          <w:i/>
        </w:rPr>
        <w:t>Labour Relations Act</w:t>
      </w:r>
      <w:r w:rsidRPr="00B73BD3">
        <w:t xml:space="preserve"> </w:t>
      </w:r>
      <w:r w:rsidRPr="00B73BD3">
        <w:rPr>
          <w:bCs/>
          <w:color w:val="000000"/>
        </w:rPr>
        <w:t xml:space="preserve">(currently </w:t>
      </w:r>
      <w:r w:rsidRPr="00B73BD3">
        <w:rPr>
          <w:bCs/>
          <w:i/>
          <w:iCs/>
          <w:color w:val="000000"/>
        </w:rPr>
        <w:t>Labour Relations Act, 1995</w:t>
      </w:r>
      <w:r w:rsidRPr="00B73BD3">
        <w:rPr>
          <w:bCs/>
          <w:color w:val="000000"/>
        </w:rPr>
        <w:t>, S.O. 1995, c.</w:t>
      </w:r>
      <w:r w:rsidR="00991B20">
        <w:rPr>
          <w:bCs/>
          <w:color w:val="000000"/>
        </w:rPr>
        <w:t xml:space="preserve"> </w:t>
      </w:r>
      <w:r w:rsidRPr="00B73BD3">
        <w:rPr>
          <w:bCs/>
          <w:color w:val="000000"/>
        </w:rPr>
        <w:t>1, Sch. A)</w:t>
      </w:r>
      <w:r w:rsidRPr="00B73BD3">
        <w:rPr>
          <w:color w:val="000000"/>
        </w:rPr>
        <w:t xml:space="preserve"> </w:t>
      </w:r>
      <w:r w:rsidRPr="00B73BD3">
        <w:t>(“</w:t>
      </w:r>
      <w:r w:rsidRPr="00B73BD3">
        <w:rPr>
          <w:i/>
        </w:rPr>
        <w:t>LRA</w:t>
      </w:r>
      <w:r w:rsidRPr="00B73BD3">
        <w:t xml:space="preserve">”). In the present appeal, our Court must determine whether Ontario’s latest attempt to frame a separate labour relations regime for the farming sector respects the constitutional guarantee of freedom of association, or violates it by failing to safeguard the exercise of collective bargaining rights. The </w:t>
      </w:r>
      <w:r w:rsidRPr="00B73BD3">
        <w:rPr>
          <w:i/>
        </w:rPr>
        <w:t>Agricultural Employees Protection Act</w:t>
      </w:r>
      <w:r w:rsidRPr="00991B20">
        <w:rPr>
          <w:i/>
        </w:rPr>
        <w:t xml:space="preserve">, </w:t>
      </w:r>
      <w:r w:rsidRPr="00B73BD3">
        <w:rPr>
          <w:i/>
        </w:rPr>
        <w:t>2002</w:t>
      </w:r>
      <w:r w:rsidRPr="00B73BD3">
        <w:t>, S.O. 2002, c. 16 (“</w:t>
      </w:r>
      <w:r w:rsidRPr="00B73BD3">
        <w:rPr>
          <w:i/>
        </w:rPr>
        <w:t>AEPA</w:t>
      </w:r>
      <w:r w:rsidRPr="00B73BD3">
        <w:t>”</w:t>
      </w:r>
      <w:r w:rsidRPr="00B73BD3">
        <w:rPr>
          <w:b/>
          <w:bCs/>
          <w:color w:val="000000"/>
        </w:rPr>
        <w:t xml:space="preserve"> </w:t>
      </w:r>
      <w:r w:rsidRPr="00B73BD3">
        <w:rPr>
          <w:bCs/>
          <w:color w:val="000000"/>
        </w:rPr>
        <w:t>or “Act”)</w:t>
      </w:r>
      <w:r w:rsidRPr="00B73BD3">
        <w:t xml:space="preserve">, was a response to this Court’s decision in </w:t>
      </w:r>
      <w:r w:rsidRPr="00B73BD3">
        <w:rPr>
          <w:i/>
        </w:rPr>
        <w:t>Dunmore v. Ontario (Attorney General)</w:t>
      </w:r>
      <w:r w:rsidRPr="00B73BD3">
        <w:t>, 2001 SCC 94, [2001] 3 S.C.R. 1016, which found that the previous legislative scheme violated s. 2(</w:t>
      </w:r>
      <w:r w:rsidRPr="00B73BD3">
        <w:rPr>
          <w:i/>
        </w:rPr>
        <w:t>d</w:t>
      </w:r>
      <w:r w:rsidRPr="00B73BD3">
        <w:t xml:space="preserve">) of the </w:t>
      </w:r>
      <w:r w:rsidRPr="00B73BD3">
        <w:rPr>
          <w:i/>
        </w:rPr>
        <w:t>Canadian</w:t>
      </w:r>
      <w:r w:rsidRPr="00B73BD3">
        <w:t xml:space="preserve"> </w:t>
      </w:r>
      <w:r w:rsidRPr="00B73BD3">
        <w:rPr>
          <w:i/>
        </w:rPr>
        <w:t>Charter of Rights and Freedoms</w:t>
      </w:r>
      <w:r w:rsidRPr="00B73BD3">
        <w:t>.</w:t>
      </w:r>
    </w:p>
    <w:p w:rsidR="00A00D29" w:rsidRPr="00B73BD3" w:rsidRDefault="00A00D29" w:rsidP="00F258CD">
      <w:pPr>
        <w:pStyle w:val="ReasonsNumbering-AltN"/>
        <w:ind w:left="0" w:firstLine="0"/>
        <w:rPr>
          <w:color w:val="000000"/>
        </w:rPr>
      </w:pPr>
      <w:r w:rsidRPr="00B73BD3">
        <w:t xml:space="preserve">We are of the view that the </w:t>
      </w:r>
      <w:r w:rsidRPr="00B73BD3">
        <w:rPr>
          <w:i/>
        </w:rPr>
        <w:t xml:space="preserve">AEPA </w:t>
      </w:r>
      <w:r w:rsidRPr="00B73BD3">
        <w:t>has not been shown to be unconstitutional.  Section 2(</w:t>
      </w:r>
      <w:r w:rsidRPr="00B73BD3">
        <w:rPr>
          <w:i/>
        </w:rPr>
        <w:t>d</w:t>
      </w:r>
      <w:r w:rsidRPr="00B73BD3">
        <w:t xml:space="preserve">) of the </w:t>
      </w:r>
      <w:r w:rsidRPr="00B73BD3">
        <w:rPr>
          <w:i/>
        </w:rPr>
        <w:t>Charter</w:t>
      </w:r>
      <w:r w:rsidRPr="00B73BD3">
        <w:t xml:space="preserve"> protects </w:t>
      </w:r>
      <w:r w:rsidRPr="00B73BD3">
        <w:rPr>
          <w:color w:val="000000"/>
        </w:rPr>
        <w:t>the right to associate to achieve collective goals.  Laws or state actions that substantially interfere with the ability to achieve workplace goals through collective actions have the effect of negating the right of free association and therefore constitute a limit on the s.</w:t>
      </w:r>
      <w:r w:rsidRPr="00B73BD3">
        <w:t xml:space="preserve"> </w:t>
      </w:r>
      <w:r w:rsidRPr="00B73BD3">
        <w:rPr>
          <w:color w:val="000000"/>
        </w:rPr>
        <w:t>2(</w:t>
      </w:r>
      <w:r w:rsidRPr="00B73BD3">
        <w:rPr>
          <w:i/>
          <w:color w:val="000000"/>
        </w:rPr>
        <w:t>d</w:t>
      </w:r>
      <w:r w:rsidRPr="00B73BD3">
        <w:rPr>
          <w:color w:val="000000"/>
        </w:rPr>
        <w:t xml:space="preserve">) right of free association, which renders the law or action unconstitutional unless it is justified under s. 1 of the </w:t>
      </w:r>
      <w:r w:rsidRPr="00B73BD3">
        <w:rPr>
          <w:i/>
          <w:color w:val="000000"/>
        </w:rPr>
        <w:t>Charter</w:t>
      </w:r>
      <w:r w:rsidRPr="00991B20">
        <w:rPr>
          <w:color w:val="000000"/>
        </w:rPr>
        <w:t>.</w:t>
      </w:r>
      <w:r w:rsidRPr="00B73BD3">
        <w:rPr>
          <w:color w:val="000000"/>
        </w:rPr>
        <w:t xml:space="preserve">  This requires a process of engagement that permits </w:t>
      </w:r>
      <w:r w:rsidRPr="00B73BD3">
        <w:rPr>
          <w:color w:val="000000"/>
        </w:rPr>
        <w:lastRenderedPageBreak/>
        <w:t>employee associations to make representations to employers, which employers must consider and discuss in good faith.</w:t>
      </w:r>
    </w:p>
    <w:p w:rsidR="00A00D29" w:rsidRPr="00B73BD3" w:rsidRDefault="00A00D29" w:rsidP="00F258CD">
      <w:pPr>
        <w:pStyle w:val="ReasonsNumbering-AltN"/>
        <w:ind w:left="0" w:firstLine="0"/>
      </w:pPr>
      <w:r w:rsidRPr="00B73BD3">
        <w:rPr>
          <w:color w:val="000000"/>
        </w:rPr>
        <w:t xml:space="preserve"> The law here at issue, the </w:t>
      </w:r>
      <w:r w:rsidRPr="00B73BD3">
        <w:rPr>
          <w:i/>
          <w:color w:val="000000"/>
        </w:rPr>
        <w:t>AEPA</w:t>
      </w:r>
      <w:r w:rsidRPr="00B73BD3">
        <w:rPr>
          <w:color w:val="000000"/>
        </w:rPr>
        <w:t xml:space="preserve">, properly interpreted, meets these requirements, and is not unconstitutional.  We would therefore allow the appeal. </w:t>
      </w:r>
    </w:p>
    <w:p w:rsidR="00A00D29" w:rsidRPr="00B73BD3" w:rsidRDefault="00A00D29" w:rsidP="00F258CD">
      <w:pPr>
        <w:pStyle w:val="ReasonsNumbering-AltN"/>
        <w:ind w:left="0" w:firstLine="0"/>
      </w:pPr>
      <w:r w:rsidRPr="00B73BD3">
        <w:t>Before moving to the analysis of the issues raised by the appeal, it will be useful to review the factual background and the jurisprudential developments that gave rise to this case.</w:t>
      </w:r>
    </w:p>
    <w:p w:rsidR="00A00D29" w:rsidRPr="00B73BD3" w:rsidRDefault="00A00D29" w:rsidP="00E27EEC">
      <w:pPr>
        <w:tabs>
          <w:tab w:val="left" w:pos="360"/>
        </w:tabs>
        <w:spacing w:after="720"/>
        <w:ind w:left="360" w:hanging="360"/>
        <w:jc w:val="both"/>
        <w:rPr>
          <w:lang w:val="en-US"/>
        </w:rPr>
      </w:pPr>
      <w:r w:rsidRPr="00B73BD3">
        <w:rPr>
          <w:lang w:val="en-US"/>
        </w:rPr>
        <w:t>II</w:t>
      </w:r>
      <w:proofErr w:type="gramStart"/>
      <w:r w:rsidRPr="00B73BD3">
        <w:rPr>
          <w:lang w:val="en-US"/>
        </w:rPr>
        <w:t xml:space="preserve">.  </w:t>
      </w:r>
      <w:r w:rsidRPr="00B73BD3">
        <w:rPr>
          <w:u w:val="single"/>
          <w:lang w:val="en-US"/>
        </w:rPr>
        <w:t>Background</w:t>
      </w:r>
      <w:proofErr w:type="gramEnd"/>
    </w:p>
    <w:p w:rsidR="00A00D29" w:rsidRPr="00B73BD3" w:rsidRDefault="00A00D29" w:rsidP="00E27EEC">
      <w:pPr>
        <w:tabs>
          <w:tab w:val="left" w:pos="360"/>
        </w:tabs>
        <w:spacing w:after="720"/>
        <w:ind w:left="360" w:hanging="360"/>
        <w:jc w:val="both"/>
      </w:pPr>
      <w:r w:rsidRPr="00B73BD3">
        <w:t xml:space="preserve">A.  </w:t>
      </w:r>
      <w:r w:rsidRPr="00B73BD3">
        <w:rPr>
          <w:i/>
        </w:rPr>
        <w:t xml:space="preserve">The Exclusion of the Farming Sector </w:t>
      </w:r>
      <w:proofErr w:type="gramStart"/>
      <w:r w:rsidRPr="00B73BD3">
        <w:rPr>
          <w:i/>
        </w:rPr>
        <w:t>From</w:t>
      </w:r>
      <w:proofErr w:type="gramEnd"/>
      <w:r w:rsidRPr="00B73BD3">
        <w:rPr>
          <w:i/>
        </w:rPr>
        <w:t xml:space="preserve"> the LRA and the Impact of Dunmore</w:t>
      </w:r>
    </w:p>
    <w:p w:rsidR="00A00D29" w:rsidRPr="00B73BD3" w:rsidRDefault="00A00D29" w:rsidP="00F258CD">
      <w:pPr>
        <w:pStyle w:val="ReasonsNumbering-AltN"/>
        <w:ind w:left="0" w:firstLine="0"/>
      </w:pPr>
      <w:r w:rsidRPr="00B73BD3">
        <w:t xml:space="preserve">Prior to 1994, indeed since 1943, farm workers had been excluded from the general labour relations regime established by the </w:t>
      </w:r>
      <w:r w:rsidRPr="00B73BD3">
        <w:rPr>
          <w:i/>
        </w:rPr>
        <w:t>LRA</w:t>
      </w:r>
      <w:r w:rsidRPr="00991B20">
        <w:t xml:space="preserve">. </w:t>
      </w:r>
      <w:r w:rsidRPr="00B73BD3">
        <w:t xml:space="preserve"> In 1994, the Ontario legislature enacted the </w:t>
      </w:r>
      <w:r w:rsidRPr="00B73BD3">
        <w:rPr>
          <w:i/>
        </w:rPr>
        <w:t>Agricultural Labour Relations Act, 1994</w:t>
      </w:r>
      <w:r w:rsidRPr="00B73BD3">
        <w:t>, S.O. 1994, c. 6 (“</w:t>
      </w:r>
      <w:r w:rsidRPr="00B73BD3">
        <w:rPr>
          <w:i/>
        </w:rPr>
        <w:t>ALRA</w:t>
      </w:r>
      <w:r w:rsidRPr="00B73BD3">
        <w:t xml:space="preserve">”), which extended trade union and collective bargaining rights to agricultural workers. A year later, the legislature repealed the </w:t>
      </w:r>
      <w:r w:rsidRPr="00B73BD3">
        <w:rPr>
          <w:i/>
        </w:rPr>
        <w:t>ALRA</w:t>
      </w:r>
      <w:r w:rsidRPr="00B73BD3">
        <w:t xml:space="preserve"> in its entirety and again excluded farm workers from the labour relations regime set out in the </w:t>
      </w:r>
      <w:r w:rsidRPr="00B73BD3">
        <w:rPr>
          <w:i/>
        </w:rPr>
        <w:t xml:space="preserve">ALRA </w:t>
      </w:r>
      <w:r w:rsidRPr="00B73BD3">
        <w:t>(</w:t>
      </w:r>
      <w:r w:rsidRPr="00B73BD3">
        <w:rPr>
          <w:i/>
        </w:rPr>
        <w:t>Labour Relations and Employment Statute Law Amendment Act, 1995</w:t>
      </w:r>
      <w:r w:rsidRPr="00B73BD3">
        <w:t>,</w:t>
      </w:r>
      <w:r w:rsidRPr="00B73BD3">
        <w:rPr>
          <w:i/>
        </w:rPr>
        <w:t xml:space="preserve"> </w:t>
      </w:r>
      <w:r w:rsidRPr="00B73BD3">
        <w:t>S.O. 1995, c. 1 (“</w:t>
      </w:r>
      <w:r w:rsidRPr="00B73BD3">
        <w:rPr>
          <w:i/>
        </w:rPr>
        <w:t>LRESLAA</w:t>
      </w:r>
      <w:r w:rsidRPr="00B73BD3">
        <w:t>”)</w:t>
      </w:r>
      <w:r w:rsidR="0015030A">
        <w:t>)</w:t>
      </w:r>
      <w:r w:rsidRPr="00B73BD3">
        <w:rPr>
          <w:i/>
        </w:rPr>
        <w:t xml:space="preserve">. </w:t>
      </w:r>
      <w:r w:rsidRPr="00B73BD3">
        <w:t xml:space="preserve">The </w:t>
      </w:r>
      <w:r w:rsidRPr="00B73BD3">
        <w:rPr>
          <w:i/>
        </w:rPr>
        <w:t>LRESLAA</w:t>
      </w:r>
      <w:r w:rsidRPr="00B73BD3">
        <w:t xml:space="preserve"> was challenged on the basis that it infringed the guarantees of freedom of association under s. 2(</w:t>
      </w:r>
      <w:r w:rsidRPr="00B73BD3">
        <w:rPr>
          <w:i/>
        </w:rPr>
        <w:t>d</w:t>
      </w:r>
      <w:r w:rsidRPr="00B73BD3">
        <w:t xml:space="preserve">) and equality under s. 15 of the </w:t>
      </w:r>
      <w:r w:rsidRPr="00B73BD3">
        <w:rPr>
          <w:i/>
        </w:rPr>
        <w:t>Charter</w:t>
      </w:r>
      <w:r w:rsidRPr="00B73BD3">
        <w:t xml:space="preserve">.  In </w:t>
      </w:r>
      <w:r w:rsidRPr="00B73BD3">
        <w:rPr>
          <w:i/>
        </w:rPr>
        <w:t>Dunmore</w:t>
      </w:r>
      <w:r w:rsidRPr="00B73BD3">
        <w:t>,</w:t>
      </w:r>
      <w:r w:rsidRPr="00B73BD3">
        <w:rPr>
          <w:color w:val="000000"/>
        </w:rPr>
        <w:t xml:space="preserve"> </w:t>
      </w:r>
      <w:r w:rsidRPr="00B73BD3">
        <w:rPr>
          <w:bCs/>
          <w:color w:val="000000"/>
          <w:szCs w:val="24"/>
        </w:rPr>
        <w:t>a majority of</w:t>
      </w:r>
      <w:r w:rsidRPr="00B73BD3">
        <w:rPr>
          <w:b/>
          <w:bCs/>
          <w:color w:val="000000"/>
          <w:szCs w:val="24"/>
        </w:rPr>
        <w:t> </w:t>
      </w:r>
      <w:r w:rsidRPr="00B73BD3">
        <w:t>this Court found a breach of s. 2(</w:t>
      </w:r>
      <w:r w:rsidRPr="00B73BD3">
        <w:rPr>
          <w:i/>
        </w:rPr>
        <w:t>d</w:t>
      </w:r>
      <w:r w:rsidRPr="00B73BD3">
        <w:t xml:space="preserve">). It held that </w:t>
      </w:r>
      <w:r w:rsidRPr="00B73BD3">
        <w:lastRenderedPageBreak/>
        <w:t xml:space="preserve">the claimants were substantially unable to organize without protective legislation, and declared the law to be unconstitutional. This had the effect of nullifying the exclusion of farm workers from the </w:t>
      </w:r>
      <w:r w:rsidRPr="00B73BD3">
        <w:rPr>
          <w:i/>
        </w:rPr>
        <w:t>LRA</w:t>
      </w:r>
      <w:r w:rsidRPr="00B73BD3">
        <w:t>, but this Court suspended the declaration of invalidity for 18 months.</w:t>
      </w:r>
      <w:r w:rsidRPr="00B73BD3">
        <w:rPr>
          <w:color w:val="000000"/>
        </w:rPr>
        <w:t xml:space="preserve"> The majority concluded it was not necessary to deal with the s. 15 challenge.</w:t>
      </w:r>
    </w:p>
    <w:p w:rsidR="00A00D29" w:rsidRPr="00B73BD3" w:rsidRDefault="00A00D29" w:rsidP="00F258CD">
      <w:pPr>
        <w:pStyle w:val="ReasonsNumbering-AltN"/>
        <w:ind w:left="0" w:firstLine="0"/>
      </w:pPr>
      <w:r w:rsidRPr="00B73BD3">
        <w:t xml:space="preserve">In response, the Ontario legislature enacted the </w:t>
      </w:r>
      <w:r w:rsidRPr="00B73BD3">
        <w:rPr>
          <w:i/>
        </w:rPr>
        <w:t xml:space="preserve">AEPA </w:t>
      </w:r>
      <w:r w:rsidRPr="00B73BD3">
        <w:t xml:space="preserve">in 2002, which came into force on June 17, 2003.  In brief, the </w:t>
      </w:r>
      <w:r w:rsidRPr="00B73BD3">
        <w:rPr>
          <w:i/>
        </w:rPr>
        <w:t>AEPA</w:t>
      </w:r>
      <w:r w:rsidRPr="00B73BD3">
        <w:t xml:space="preserve"> excluded farm workers once again from the </w:t>
      </w:r>
      <w:r w:rsidRPr="00B73BD3">
        <w:rPr>
          <w:i/>
        </w:rPr>
        <w:t>LRA</w:t>
      </w:r>
      <w:r w:rsidRPr="00B73BD3">
        <w:t xml:space="preserve">, but crafted a labour relations regime for farm workers in Ontario. It granted them the rights to form and join an employees’ association, to participate in its activities, to assemble, to make representations to their employers through their association on their terms and conditions of employment, and the right to be protected against interference, coercion and discrimination in the exercise of their rights (s. 1(2)). The employer must give an association the opportunity to make representations respecting terms and conditions of </w:t>
      </w:r>
      <w:proofErr w:type="gramStart"/>
      <w:r w:rsidRPr="00B73BD3">
        <w:t>employment,</w:t>
      </w:r>
      <w:proofErr w:type="gramEnd"/>
      <w:r w:rsidRPr="00B73BD3">
        <w:t xml:space="preserve"> and it must listen to those representations or read them (s. 5).  The </w:t>
      </w:r>
      <w:r w:rsidRPr="00B73BD3">
        <w:rPr>
          <w:i/>
        </w:rPr>
        <w:t xml:space="preserve">AEPA </w:t>
      </w:r>
      <w:r w:rsidRPr="00B73BD3">
        <w:t xml:space="preserve">tasks a tribunal, the Agriculture, Food and Rural Affairs Appeal Tribunal, with hearing and deciding disputes about the application of the Act (ss. 2 and 11).  After limited efforts to use the new protections of the </w:t>
      </w:r>
      <w:r w:rsidRPr="00B73BD3">
        <w:rPr>
          <w:i/>
        </w:rPr>
        <w:t>AEPA</w:t>
      </w:r>
      <w:r w:rsidRPr="00B73BD3">
        <w:t>,</w:t>
      </w:r>
      <w:r w:rsidRPr="00B73BD3">
        <w:rPr>
          <w:i/>
        </w:rPr>
        <w:t xml:space="preserve"> </w:t>
      </w:r>
      <w:r w:rsidRPr="00B73BD3">
        <w:t>the respondents mounted a constitutional challenge to its validity.</w:t>
      </w:r>
    </w:p>
    <w:p w:rsidR="00A00D29" w:rsidRPr="00B73BD3" w:rsidRDefault="00A00D29" w:rsidP="00E27EEC">
      <w:pPr>
        <w:tabs>
          <w:tab w:val="left" w:pos="360"/>
        </w:tabs>
        <w:spacing w:after="720"/>
        <w:ind w:left="360" w:hanging="360"/>
        <w:jc w:val="both"/>
      </w:pPr>
      <w:r w:rsidRPr="00B73BD3">
        <w:t xml:space="preserve">B.  </w:t>
      </w:r>
      <w:r w:rsidRPr="00B73BD3">
        <w:rPr>
          <w:i/>
        </w:rPr>
        <w:t>The Constitutional Challenge to the AEPA</w:t>
      </w:r>
    </w:p>
    <w:p w:rsidR="00A00D29" w:rsidRPr="00B73BD3" w:rsidRDefault="00A00D29" w:rsidP="00F258CD">
      <w:pPr>
        <w:pStyle w:val="ReasonsNumbering-AltN"/>
        <w:ind w:left="0" w:firstLine="0"/>
      </w:pPr>
      <w:r w:rsidRPr="00B73BD3">
        <w:lastRenderedPageBreak/>
        <w:t xml:space="preserve">The </w:t>
      </w:r>
      <w:r w:rsidRPr="00F258CD">
        <w:t>respondents</w:t>
      </w:r>
      <w:r w:rsidRPr="00B73BD3">
        <w:rPr>
          <w:color w:val="000000"/>
        </w:rPr>
        <w:t xml:space="preserve"> </w:t>
      </w:r>
      <w:r w:rsidRPr="00B73BD3">
        <w:t>argue that three more protections are required to meet the requirements of s. 2(</w:t>
      </w:r>
      <w:r w:rsidRPr="00B73BD3">
        <w:rPr>
          <w:i/>
        </w:rPr>
        <w:t>d</w:t>
      </w:r>
      <w:r w:rsidRPr="00B73BD3">
        <w:t xml:space="preserve">) of the </w:t>
      </w:r>
      <w:r w:rsidRPr="00B73BD3">
        <w:rPr>
          <w:i/>
        </w:rPr>
        <w:t>Charter</w:t>
      </w:r>
      <w:r w:rsidRPr="00B73BD3">
        <w:t xml:space="preserve">: </w:t>
      </w:r>
      <w:r w:rsidR="00991B20">
        <w:t xml:space="preserve"> </w:t>
      </w:r>
      <w:r w:rsidRPr="00B73BD3">
        <w:t xml:space="preserve">(1) statutory protection for majoritarian exclusivity, meaning that each bargaining unit is represented by a single bargaining agent; (2) an </w:t>
      </w:r>
      <w:r w:rsidRPr="00B73BD3">
        <w:rPr>
          <w:i/>
        </w:rPr>
        <w:t>LRA</w:t>
      </w:r>
      <w:r w:rsidRPr="00B73BD3">
        <w:t xml:space="preserve">-type statutory mechanism to resolve bargaining impasses and interpret collective agreements; and (3) a statutory duty to bargain in good faith.  The respondents argue that the Court’s recent decision in </w:t>
      </w:r>
      <w:r w:rsidRPr="00B73BD3">
        <w:rPr>
          <w:i/>
        </w:rPr>
        <w:t xml:space="preserve">Health Services and Support </w:t>
      </w:r>
      <w:r w:rsidR="00991B20">
        <w:rPr>
          <w:i/>
          <w:iCs/>
        </w:rPr>
        <w:t xml:space="preserve">— </w:t>
      </w:r>
      <w:r w:rsidRPr="00B73BD3">
        <w:rPr>
          <w:i/>
        </w:rPr>
        <w:t>Facilities Subsector Bargaining Assn. v. British Columbia</w:t>
      </w:r>
      <w:r w:rsidRPr="00B73BD3">
        <w:t>,</w:t>
      </w:r>
      <w:r w:rsidRPr="00B73BD3">
        <w:rPr>
          <w:i/>
        </w:rPr>
        <w:t xml:space="preserve"> </w:t>
      </w:r>
      <w:r w:rsidRPr="00B73BD3">
        <w:t>2007 SCC 27, [2007] 2 S.C.R. 391, entitles them to laws offering these protections.</w:t>
      </w:r>
    </w:p>
    <w:p w:rsidR="00A00D29" w:rsidRPr="00B73BD3" w:rsidRDefault="00A00D29" w:rsidP="00F258CD">
      <w:pPr>
        <w:pStyle w:val="ReasonsNumbering-AltN"/>
        <w:ind w:left="0" w:firstLine="0"/>
      </w:pPr>
      <w:r w:rsidRPr="00B73BD3">
        <w:t xml:space="preserve">The four individual farm workers in this case (three of them respondents and an affiant) worked at Rol-Land Farms Ltd., a large industrial-type mushroom farm in Kingsville, Ontario. In 2002, after this Court’s decision in </w:t>
      </w:r>
      <w:r w:rsidRPr="00B73BD3">
        <w:rPr>
          <w:i/>
        </w:rPr>
        <w:t>Dunmore</w:t>
      </w:r>
      <w:r w:rsidRPr="00B73BD3">
        <w:t>, Xin Yuan Liu and other workers at Rol-Land approached the United Food and Commercial Workers Union Canada (“UFCW”) to represent them and bargain on their behalf.  By the spring of 2003, 70 percent of the workers at Rol-Land had joined the union.</w:t>
      </w:r>
    </w:p>
    <w:p w:rsidR="00A00D29" w:rsidRPr="00B73BD3" w:rsidRDefault="00A00D29" w:rsidP="00F258CD">
      <w:pPr>
        <w:pStyle w:val="ReasonsNumbering-AltN"/>
        <w:ind w:left="0" w:firstLine="0"/>
      </w:pPr>
      <w:r w:rsidRPr="00B73BD3">
        <w:t xml:space="preserve">Rol-Land refused to recognize the UFCW as the employees’ representative. The UFCW then filed an application for certification with the Ontario Labour Relations Board, under the </w:t>
      </w:r>
      <w:r w:rsidRPr="00B73BD3">
        <w:rPr>
          <w:i/>
        </w:rPr>
        <w:t>LRA</w:t>
      </w:r>
      <w:r w:rsidRPr="00B73BD3">
        <w:t xml:space="preserve">. In the ensuing vote, the workers voted 132 to 45 in favour of certification. The resolution of the application has been kept on hold, pending the outcome of this appeal. After the vote, the UFCW wrote to Rol-Land requesting a meeting to commence negotiations toward a contract for the workers.  </w:t>
      </w:r>
      <w:r w:rsidRPr="00B73BD3">
        <w:lastRenderedPageBreak/>
        <w:t xml:space="preserve">Rol-Land did not respond to the letter. The respondents assert that the owner of </w:t>
      </w:r>
      <w:proofErr w:type="spellStart"/>
      <w:r w:rsidRPr="00B73BD3">
        <w:t>Rol</w:t>
      </w:r>
      <w:r w:rsidRPr="00B73BD3">
        <w:noBreakHyphen/>
        <w:t>Land</w:t>
      </w:r>
      <w:proofErr w:type="spellEnd"/>
      <w:r w:rsidRPr="00B73BD3">
        <w:t xml:space="preserve"> told a meeting of workers that the union would never be recognized (R.F., at para. 58).</w:t>
      </w:r>
    </w:p>
    <w:p w:rsidR="00A00D29" w:rsidRPr="00B73BD3" w:rsidRDefault="00A00D29" w:rsidP="00F258CD">
      <w:pPr>
        <w:pStyle w:val="ReasonsNumbering-AltN"/>
        <w:ind w:left="0" w:firstLine="0"/>
      </w:pPr>
      <w:r w:rsidRPr="00B73BD3">
        <w:t xml:space="preserve">The UFCW also attempted to bargain collectively on behalf of employees at Platinum Produce, an industrial greenhouse operating in Chatham, Ontario.  While the employer expressed doubt that the UFCW could be an employees’ association under the </w:t>
      </w:r>
      <w:r w:rsidRPr="00B73BD3">
        <w:rPr>
          <w:i/>
        </w:rPr>
        <w:t>AEPA</w:t>
      </w:r>
      <w:r w:rsidRPr="00B73BD3">
        <w:t>, it gave the union an opportunity to make brief presentations.  The meeting lasted approximately 15 minutes.  The employer’s position was that the company was not required</w:t>
      </w:r>
      <w:r w:rsidRPr="00B73BD3">
        <w:rPr>
          <w:color w:val="000000"/>
        </w:rPr>
        <w:t xml:space="preserve"> </w:t>
      </w:r>
      <w:r w:rsidRPr="00B73BD3">
        <w:t>to bargain with the union and the meeting was not to be considered collective bargaining towards a collective agreement.</w:t>
      </w:r>
    </w:p>
    <w:p w:rsidR="00A00D29" w:rsidRPr="00B73BD3" w:rsidRDefault="00A00D29" w:rsidP="00F258CD">
      <w:pPr>
        <w:pStyle w:val="ReasonsNumbering-AltN"/>
        <w:ind w:left="0" w:firstLine="0"/>
      </w:pPr>
      <w:r w:rsidRPr="00B73BD3">
        <w:t>The UFCW subsequently presented Platinum Produce’s counsel with a draft collective agreement setting out proposed terms.  That meeting lasted approximately five minutes.  The employer has not responded to the proposals or to other proposed meeting dates.  There have been no further meetings or communications about terms and conditions of work.</w:t>
      </w:r>
    </w:p>
    <w:p w:rsidR="00A00D29" w:rsidRPr="00B73BD3" w:rsidRDefault="00A00D29" w:rsidP="00F258CD">
      <w:pPr>
        <w:pStyle w:val="ReasonsNumbering-AltN"/>
        <w:ind w:left="0" w:firstLine="0"/>
      </w:pPr>
      <w:r w:rsidRPr="00B73BD3">
        <w:t xml:space="preserve">The respondents did not attempt to pursue remedies under the </w:t>
      </w:r>
      <w:r w:rsidRPr="00B73BD3">
        <w:rPr>
          <w:i/>
        </w:rPr>
        <w:t>AEPA</w:t>
      </w:r>
      <w:r w:rsidRPr="00B73BD3">
        <w:t>.  Specifically, no recourse was made to the Tribunal set up under the Act to deal with complaints.  Rather, the respondents sought a declaration that s. 3(</w:t>
      </w:r>
      <w:r w:rsidRPr="00991B20">
        <w:t>b.1</w:t>
      </w:r>
      <w:r w:rsidRPr="00B73BD3">
        <w:t xml:space="preserve">) of the </w:t>
      </w:r>
      <w:r w:rsidRPr="00B73BD3">
        <w:rPr>
          <w:i/>
        </w:rPr>
        <w:t>LRA</w:t>
      </w:r>
      <w:r w:rsidRPr="00B73BD3">
        <w:t xml:space="preserve">, which provides that the </w:t>
      </w:r>
      <w:r w:rsidRPr="00B73BD3">
        <w:rPr>
          <w:i/>
        </w:rPr>
        <w:t xml:space="preserve">LRA </w:t>
      </w:r>
      <w:r w:rsidRPr="00B73BD3">
        <w:t xml:space="preserve">does not apply to farm workers, and that the </w:t>
      </w:r>
      <w:r w:rsidRPr="00B73BD3">
        <w:rPr>
          <w:i/>
        </w:rPr>
        <w:t xml:space="preserve">AEPA </w:t>
      </w:r>
      <w:r w:rsidRPr="00B73BD3">
        <w:t>as a whole were unconstitutional. In brief, they submitted that these laws breached s. 2(</w:t>
      </w:r>
      <w:r w:rsidRPr="00B73BD3">
        <w:rPr>
          <w:i/>
        </w:rPr>
        <w:t>d</w:t>
      </w:r>
      <w:r w:rsidRPr="00B73BD3">
        <w:t>) of the</w:t>
      </w:r>
      <w:r w:rsidRPr="00B73BD3">
        <w:rPr>
          <w:i/>
        </w:rPr>
        <w:t xml:space="preserve"> Charter </w:t>
      </w:r>
      <w:r w:rsidRPr="00B73BD3">
        <w:rPr>
          <w:color w:val="000000"/>
        </w:rPr>
        <w:t xml:space="preserve">by </w:t>
      </w:r>
      <w:r w:rsidRPr="00B73BD3">
        <w:t xml:space="preserve">failing to provide effective protection for the right to organize and </w:t>
      </w:r>
      <w:r w:rsidRPr="00B73BD3">
        <w:lastRenderedPageBreak/>
        <w:t>bargain collectively</w:t>
      </w:r>
      <w:r w:rsidRPr="00B73BD3">
        <w:rPr>
          <w:color w:val="000000"/>
        </w:rPr>
        <w:t xml:space="preserve"> and violated s. 15 by excluding farm workers from the protections accorded to workers in other sectors</w:t>
      </w:r>
      <w:r w:rsidRPr="00B73BD3">
        <w:t>.</w:t>
      </w:r>
    </w:p>
    <w:p w:rsidR="00A00D29" w:rsidRPr="00B73BD3" w:rsidRDefault="00A00D29" w:rsidP="00E27EEC">
      <w:pPr>
        <w:tabs>
          <w:tab w:val="left" w:pos="360"/>
        </w:tabs>
        <w:spacing w:after="720"/>
        <w:ind w:left="360" w:hanging="360"/>
        <w:jc w:val="both"/>
      </w:pPr>
      <w:r w:rsidRPr="00B73BD3">
        <w:t>III</w:t>
      </w:r>
      <w:proofErr w:type="gramStart"/>
      <w:r w:rsidRPr="00B73BD3">
        <w:t xml:space="preserve">.  </w:t>
      </w:r>
      <w:r w:rsidRPr="00B73BD3">
        <w:rPr>
          <w:u w:val="single"/>
        </w:rPr>
        <w:t>Judicial</w:t>
      </w:r>
      <w:proofErr w:type="gramEnd"/>
      <w:r w:rsidRPr="00B73BD3">
        <w:rPr>
          <w:u w:val="single"/>
        </w:rPr>
        <w:t xml:space="preserve"> History</w:t>
      </w:r>
    </w:p>
    <w:p w:rsidR="00A00D29" w:rsidRPr="00B73BD3" w:rsidRDefault="00A00D29" w:rsidP="00E27EEC">
      <w:pPr>
        <w:tabs>
          <w:tab w:val="left" w:pos="360"/>
        </w:tabs>
        <w:spacing w:after="720"/>
        <w:ind w:left="360" w:hanging="360"/>
        <w:jc w:val="both"/>
      </w:pPr>
      <w:r w:rsidRPr="00B73BD3">
        <w:t xml:space="preserve">A.  </w:t>
      </w:r>
      <w:r w:rsidRPr="00B73BD3">
        <w:rPr>
          <w:i/>
        </w:rPr>
        <w:t>Ontario Superior Court of Justice</w:t>
      </w:r>
      <w:r w:rsidR="0015030A">
        <w:rPr>
          <w:i/>
        </w:rPr>
        <w:t xml:space="preserve"> (2006)</w:t>
      </w:r>
      <w:r w:rsidRPr="00B73BD3">
        <w:rPr>
          <w:i/>
        </w:rPr>
        <w:t xml:space="preserve">, 79 O.R. (3d) 219 </w:t>
      </w:r>
      <w:r w:rsidR="00991B20">
        <w:rPr>
          <w:i/>
        </w:rPr>
        <w:t>(</w:t>
      </w:r>
      <w:r w:rsidRPr="00B73BD3">
        <w:rPr>
          <w:i/>
        </w:rPr>
        <w:t>the Applications Judge</w:t>
      </w:r>
      <w:r w:rsidR="00991B20">
        <w:rPr>
          <w:i/>
        </w:rPr>
        <w:t>)</w:t>
      </w:r>
    </w:p>
    <w:p w:rsidR="00A00D29" w:rsidRPr="00B73BD3" w:rsidRDefault="00A00D29" w:rsidP="00F258CD">
      <w:pPr>
        <w:pStyle w:val="ReasonsNumbering-AltN"/>
        <w:ind w:left="0" w:firstLine="0"/>
      </w:pPr>
      <w:r w:rsidRPr="00B73BD3">
        <w:t xml:space="preserve">The chambers judge, Farley J., heard the application before the judgment of this Court in </w:t>
      </w:r>
      <w:r w:rsidRPr="00B73BD3">
        <w:rPr>
          <w:i/>
        </w:rPr>
        <w:t>Health Services</w:t>
      </w:r>
      <w:r w:rsidRPr="00B73BD3">
        <w:t>.</w:t>
      </w:r>
      <w:r w:rsidR="00991B20">
        <w:t xml:space="preserve"> </w:t>
      </w:r>
      <w:r w:rsidRPr="00B73BD3">
        <w:rPr>
          <w:i/>
        </w:rPr>
        <w:t xml:space="preserve"> </w:t>
      </w:r>
      <w:r w:rsidRPr="00B73BD3">
        <w:t>He proceeded on the assumption that s. 2(</w:t>
      </w:r>
      <w:r w:rsidRPr="00B73BD3">
        <w:rPr>
          <w:i/>
        </w:rPr>
        <w:t>d</w:t>
      </w:r>
      <w:r w:rsidRPr="00B73BD3">
        <w:t xml:space="preserve">) did not protect collective bargaining. He dismissed the application on the ground that the </w:t>
      </w:r>
      <w:r w:rsidRPr="00B73BD3">
        <w:rPr>
          <w:i/>
        </w:rPr>
        <w:t xml:space="preserve">AEPA </w:t>
      </w:r>
      <w:r w:rsidRPr="00B73BD3">
        <w:t xml:space="preserve">met the minimum constitutional requirements necessary to protect the freedom to organize.  He began by </w:t>
      </w:r>
      <w:r w:rsidRPr="00B73BD3">
        <w:rPr>
          <w:color w:val="000000"/>
        </w:rPr>
        <w:t>adopting the comments made by Sha</w:t>
      </w:r>
      <w:r w:rsidR="0015030A">
        <w:rPr>
          <w:color w:val="000000"/>
        </w:rPr>
        <w:t>r</w:t>
      </w:r>
      <w:r w:rsidRPr="00B73BD3">
        <w:rPr>
          <w:color w:val="000000"/>
        </w:rPr>
        <w:t xml:space="preserve">pe J. at the trial level of </w:t>
      </w:r>
      <w:r w:rsidRPr="00B73BD3">
        <w:rPr>
          <w:i/>
          <w:color w:val="000000"/>
        </w:rPr>
        <w:t>Dunmore</w:t>
      </w:r>
      <w:r w:rsidRPr="00B73BD3">
        <w:rPr>
          <w:color w:val="000000"/>
        </w:rPr>
        <w:t xml:space="preserve"> and </w:t>
      </w:r>
      <w:r w:rsidRPr="00B73BD3">
        <w:t>finding that agricultural workers “are ‘poorly paid, face difficult working conditions, have low levels of skills and education, low status and limited employment mobility’” (para</w:t>
      </w:r>
      <w:r w:rsidRPr="00B73BD3">
        <w:rPr>
          <w:color w:val="000000"/>
        </w:rPr>
        <w:t>s.</w:t>
      </w:r>
      <w:r w:rsidRPr="00B73BD3">
        <w:t xml:space="preserve"> 23</w:t>
      </w:r>
      <w:r w:rsidRPr="00B73BD3">
        <w:rPr>
          <w:color w:val="000000"/>
        </w:rPr>
        <w:t xml:space="preserve"> and 33</w:t>
      </w:r>
      <w:r w:rsidRPr="00B73BD3">
        <w:t>).</w:t>
      </w:r>
      <w:r w:rsidR="00991B20">
        <w:t xml:space="preserve"> </w:t>
      </w:r>
      <w:r w:rsidRPr="00B73BD3">
        <w:t xml:space="preserve"> But he was of the view that the </w:t>
      </w:r>
      <w:r w:rsidRPr="00B73BD3">
        <w:rPr>
          <w:i/>
        </w:rPr>
        <w:t>AEPA</w:t>
      </w:r>
      <w:r w:rsidRPr="00B73BD3">
        <w:t xml:space="preserve"> did not prevent them from attempting to form employees’ associations.  He stated:</w:t>
      </w:r>
    </w:p>
    <w:p w:rsidR="00A00D29" w:rsidRPr="00B73BD3" w:rsidRDefault="00A00D29" w:rsidP="00A00D29">
      <w:pPr>
        <w:pStyle w:val="Citation"/>
        <w:ind w:firstLine="274"/>
      </w:pPr>
      <w:r w:rsidRPr="00B73BD3">
        <w:t xml:space="preserve">There is nothing in the </w:t>
      </w:r>
      <w:r w:rsidRPr="00B73BD3">
        <w:rPr>
          <w:i/>
        </w:rPr>
        <w:t>AEPA</w:t>
      </w:r>
      <w:r w:rsidRPr="00B73BD3">
        <w:t xml:space="preserve"> which would prevent the UFCW or any other union from attempting to organize agricultural workers into an employees’ association, recognizing that such an employees’ association would not thereby automatically have the right to strike </w:t>
      </w:r>
      <w:proofErr w:type="gramStart"/>
      <w:r w:rsidRPr="00B73BD3">
        <w:t>nor</w:t>
      </w:r>
      <w:proofErr w:type="gramEnd"/>
      <w:r w:rsidRPr="00B73BD3">
        <w:t xml:space="preserve"> the right to bargain collectively.  </w:t>
      </w:r>
      <w:proofErr w:type="gramStart"/>
      <w:r w:rsidRPr="00B73BD3">
        <w:t xml:space="preserve">See discussion in Peter W. Hogg, </w:t>
      </w:r>
      <w:r w:rsidRPr="00B73BD3">
        <w:rPr>
          <w:i/>
        </w:rPr>
        <w:t>Constitutional Law of Canada</w:t>
      </w:r>
      <w:r w:rsidRPr="00B73BD3">
        <w:t>, looseleaf, vol. 2 (Toronto: Carswell, 1997) at p. 41-5/6 (2002).</w:t>
      </w:r>
      <w:proofErr w:type="gramEnd"/>
      <w:r w:rsidRPr="00B73BD3">
        <w:t xml:space="preserve">  The </w:t>
      </w:r>
      <w:r w:rsidRPr="00B73BD3">
        <w:rPr>
          <w:i/>
        </w:rPr>
        <w:t>AEPA</w:t>
      </w:r>
      <w:r w:rsidRPr="00B73BD3">
        <w:t xml:space="preserve"> provides that the employees’ association may make representations to an employer concerning the terms and conditions of employment (s. 5 </w:t>
      </w:r>
      <w:r w:rsidRPr="00B73BD3">
        <w:rPr>
          <w:i/>
        </w:rPr>
        <w:t>AEPA</w:t>
      </w:r>
      <w:r w:rsidRPr="00B73BD3">
        <w:t xml:space="preserve">).  These representations may be made by someone who is not a member of the association (s. 5(2)) so that a “union staffer” could perform that function.  The representation may be made orally or in writing (s. 5(5)).  One must read s. 5(6) and (7) in a purposive </w:t>
      </w:r>
      <w:r w:rsidRPr="00B73BD3">
        <w:lastRenderedPageBreak/>
        <w:t>way in context.  Thus while the employer need only give the association a written acknowledgment that the employer has read the written representations (s. 5(7)), it is implicit in the making of an oral representation that the recipient is hearing the oral representations as the employer has a duty to listen and the association speaker will have the opportunity then and there to enquire whether the recipient has heard the representations.  As well the concept of listening and reading respectively involves the aspect of comprehending and considering the representations.  Perhaps unfortunately there is no specific requirement that the employer respond to the substance of the representations; however, it should be noted that this would then involve the parties in a form of collective bargaining. [para. 19]</w:t>
      </w:r>
    </w:p>
    <w:p w:rsidR="00A00D29" w:rsidRPr="00B73BD3" w:rsidRDefault="00A00D29" w:rsidP="00F258CD">
      <w:pPr>
        <w:pStyle w:val="ReasonsNumbering-AltN"/>
        <w:ind w:left="0" w:firstLine="0"/>
      </w:pPr>
      <w:r w:rsidRPr="00B73BD3">
        <w:t xml:space="preserve">With respect to the particular statutory protections in the </w:t>
      </w:r>
      <w:r w:rsidRPr="00B73BD3">
        <w:rPr>
          <w:i/>
        </w:rPr>
        <w:t>AEPA</w:t>
      </w:r>
      <w:r w:rsidRPr="00B73BD3">
        <w:t xml:space="preserve">, Farley J. found that they met the minimum required standards.  He found that they confer the power to organize (s. 1); protection against denial of access to property (s. 7); protection against employer interference with trade union activity (s. 8); protection against discrimination (s. 9); protection against intimidation and coercion (s. 10); protection against alteration of working conditions during the certification process (ss. 9-10); protection against coercion of witnesses (s. 10); and removal of Board notices (s. 10).  He allowed that it would have been preferable to have mirrored the provisions of the </w:t>
      </w:r>
      <w:r w:rsidRPr="00B73BD3">
        <w:rPr>
          <w:i/>
        </w:rPr>
        <w:t>LRA</w:t>
      </w:r>
      <w:r w:rsidRPr="00B73BD3">
        <w:t xml:space="preserve"> more precisely “to eliminate possible fears” that employers might alter working conditions to hinder associational activities (para. 18). However, he felt that the answer to these concerns lay with the Tribunal, which had not been asked to deal with the workers’ complaints.  He stated:</w:t>
      </w:r>
    </w:p>
    <w:p w:rsidR="00A00D29" w:rsidRPr="00B73BD3" w:rsidRDefault="00A00D29" w:rsidP="00A00D29">
      <w:pPr>
        <w:pStyle w:val="Citation"/>
      </w:pPr>
      <w:r w:rsidRPr="00B73BD3">
        <w:t xml:space="preserve">If the Tribunal felt that it was for some jurisdictional reason constrained from negatively sanctioning such activity, then one would presume that the applicants or others of a like mind together with the UFCW would have a strong case to bring back in this regard.  One would think it better to see how the Tribunal operates in fact before condemning it as </w:t>
      </w:r>
      <w:r w:rsidRPr="00B73BD3">
        <w:lastRenderedPageBreak/>
        <w:t xml:space="preserve">powerless to deal with such abuses.  </w:t>
      </w:r>
      <w:proofErr w:type="gramStart"/>
      <w:r w:rsidRPr="00B73BD3">
        <w:t>This wait</w:t>
      </w:r>
      <w:proofErr w:type="gramEnd"/>
      <w:r w:rsidRPr="00B73BD3">
        <w:t xml:space="preserve"> and see pragmatic approach is desirable with respect to possible concerns about lack of labour relations expertise/experience on the part of the specified panel roster of the Tribunal.  There has been no use of the mechanics of the </w:t>
      </w:r>
      <w:r w:rsidRPr="00B73BD3">
        <w:rPr>
          <w:i/>
        </w:rPr>
        <w:t>AEPA</w:t>
      </w:r>
      <w:r w:rsidRPr="00B73BD3">
        <w:t xml:space="preserve"> as to bringing a case before the Tribunal; the applicants stated that it would be fruitless to bring a useless application before a useless Tribunal.  I am of the view that this condemnation is premature.  A successful application would do one of several things: be effective positively as to action; or morally give the wrongdoing employer a “bloody nose”; or if truly an empty process, it would demonstrate the need for strengthening by legislative amendment.  See also </w:t>
      </w:r>
      <w:r w:rsidRPr="00B73BD3">
        <w:rPr>
          <w:i/>
        </w:rPr>
        <w:t>Danson v. Ontario (Attorney General)</w:t>
      </w:r>
      <w:r w:rsidR="00991B20">
        <w:t>, [1990] 2 S.C.R. 1086, . . .</w:t>
      </w:r>
      <w:r w:rsidRPr="00B73BD3">
        <w:t xml:space="preserve"> at p. 1099 </w:t>
      </w:r>
      <w:r w:rsidR="00991B20">
        <w:t>. . .</w:t>
      </w:r>
      <w:r w:rsidRPr="00B73BD3">
        <w:t xml:space="preserve"> where Sopinka J. for the court stated: “This Court has been vigilant to ensure that a proper factual foundation exists before measuring legislation against the provisions of the </w:t>
      </w:r>
      <w:r w:rsidRPr="00B73BD3">
        <w:rPr>
          <w:i/>
        </w:rPr>
        <w:t>Charter</w:t>
      </w:r>
      <w:r w:rsidRPr="00B73BD3">
        <w:t>, particularly where the effects of impugned legislation are the subject of the attack.” [para. 18]</w:t>
      </w:r>
    </w:p>
    <w:p w:rsidR="00A00D29" w:rsidRPr="00B73BD3" w:rsidRDefault="00A00D29" w:rsidP="00A00D29">
      <w:pPr>
        <w:spacing w:after="480"/>
        <w:rPr>
          <w:i/>
        </w:rPr>
      </w:pPr>
      <w:r w:rsidRPr="00B73BD3">
        <w:t xml:space="preserve">Farley J. also dismissed the discrimination claim brought under s. 15 of the </w:t>
      </w:r>
      <w:r w:rsidRPr="00B73BD3">
        <w:rPr>
          <w:i/>
        </w:rPr>
        <w:t>Charter</w:t>
      </w:r>
      <w:r w:rsidRPr="00B73BD3">
        <w:t>.</w:t>
      </w:r>
    </w:p>
    <w:p w:rsidR="00A00D29" w:rsidRPr="00B73BD3" w:rsidRDefault="00A00D29" w:rsidP="00E27EEC">
      <w:pPr>
        <w:tabs>
          <w:tab w:val="left" w:pos="360"/>
        </w:tabs>
        <w:spacing w:after="720"/>
        <w:ind w:left="360" w:hanging="360"/>
        <w:jc w:val="both"/>
      </w:pPr>
      <w:r w:rsidRPr="00B73BD3">
        <w:t>B.</w:t>
      </w:r>
      <w:r w:rsidRPr="00B73BD3">
        <w:tab/>
      </w:r>
      <w:r w:rsidR="00991B20">
        <w:rPr>
          <w:i/>
        </w:rPr>
        <w:t>Ontario</w:t>
      </w:r>
      <w:r w:rsidRPr="00B73BD3">
        <w:rPr>
          <w:i/>
        </w:rPr>
        <w:t xml:space="preserve"> Court of Appeal, 2008 ONCA 760, 92 O.R. (3d) 481 (Winkler C.J.O. and Cronk and Watt JJ.A.)</w:t>
      </w:r>
    </w:p>
    <w:p w:rsidR="00A00D29" w:rsidRPr="00B73BD3" w:rsidRDefault="00A00D29" w:rsidP="00F258CD">
      <w:pPr>
        <w:pStyle w:val="ReasonsNumbering-AltN"/>
        <w:ind w:left="0" w:firstLine="0"/>
      </w:pPr>
      <w:r w:rsidRPr="00B73BD3">
        <w:t xml:space="preserve">The Court of Appeal allowed the appeal and declared the </w:t>
      </w:r>
      <w:r w:rsidRPr="00B73BD3">
        <w:rPr>
          <w:i/>
        </w:rPr>
        <w:t>AEPA</w:t>
      </w:r>
      <w:r w:rsidRPr="00B73BD3">
        <w:t xml:space="preserve"> to be constitutionally invalid. </w:t>
      </w:r>
      <w:r w:rsidRPr="00B73BD3">
        <w:rPr>
          <w:color w:val="000000"/>
        </w:rPr>
        <w:t>It rendered its decision after the judgment of our Court in</w:t>
      </w:r>
      <w:r w:rsidRPr="00B73BD3">
        <w:rPr>
          <w:i/>
          <w:color w:val="000000"/>
        </w:rPr>
        <w:t xml:space="preserve"> Health Services</w:t>
      </w:r>
      <w:r w:rsidRPr="00B73BD3">
        <w:rPr>
          <w:color w:val="000000"/>
        </w:rPr>
        <w:t>.</w:t>
      </w:r>
      <w:r w:rsidRPr="00B73BD3">
        <w:t xml:space="preserve"> Winkler C.J.O.,</w:t>
      </w:r>
      <w:r w:rsidRPr="00B73BD3">
        <w:rPr>
          <w:color w:val="000000"/>
        </w:rPr>
        <w:t xml:space="preserve"> for the court, held that </w:t>
      </w:r>
      <w:r w:rsidRPr="00B73BD3">
        <w:t>the</w:t>
      </w:r>
      <w:r w:rsidRPr="00B73BD3">
        <w:rPr>
          <w:color w:val="000000"/>
        </w:rPr>
        <w:t xml:space="preserve"> </w:t>
      </w:r>
      <w:r w:rsidRPr="00B73BD3">
        <w:rPr>
          <w:i/>
          <w:color w:val="000000"/>
        </w:rPr>
        <w:t>AEPA</w:t>
      </w:r>
      <w:r w:rsidRPr="00B73BD3">
        <w:rPr>
          <w:color w:val="000000"/>
        </w:rPr>
        <w:t xml:space="preserve"> </w:t>
      </w:r>
      <w:r w:rsidRPr="00B73BD3">
        <w:t>substantially impaired the ability of agricultural workers to meaningfully exercise the right</w:t>
      </w:r>
      <w:r w:rsidRPr="00B73BD3">
        <w:rPr>
          <w:color w:val="000000"/>
        </w:rPr>
        <w:t xml:space="preserve"> </w:t>
      </w:r>
      <w:r w:rsidRPr="00B73BD3">
        <w:t>to bargain collectively</w:t>
      </w:r>
      <w:r w:rsidRPr="00B73BD3">
        <w:rPr>
          <w:color w:val="000000"/>
        </w:rPr>
        <w:t>, which was protected by s.</w:t>
      </w:r>
      <w:r w:rsidRPr="00B73BD3">
        <w:t xml:space="preserve"> </w:t>
      </w:r>
      <w:r w:rsidRPr="00B73BD3">
        <w:rPr>
          <w:color w:val="000000"/>
        </w:rPr>
        <w:t>2(</w:t>
      </w:r>
      <w:r w:rsidRPr="00B73BD3">
        <w:rPr>
          <w:i/>
          <w:color w:val="000000"/>
        </w:rPr>
        <w:t>d</w:t>
      </w:r>
      <w:r w:rsidRPr="00B73BD3">
        <w:rPr>
          <w:color w:val="000000"/>
        </w:rPr>
        <w:t xml:space="preserve">) of the </w:t>
      </w:r>
      <w:r w:rsidRPr="00B73BD3">
        <w:rPr>
          <w:i/>
          <w:color w:val="000000"/>
        </w:rPr>
        <w:t>Charter</w:t>
      </w:r>
      <w:r w:rsidRPr="00B73BD3">
        <w:t xml:space="preserve">. </w:t>
      </w:r>
      <w:r w:rsidRPr="00B73BD3">
        <w:rPr>
          <w:color w:val="000000"/>
        </w:rPr>
        <w:t>T</w:t>
      </w:r>
      <w:r w:rsidRPr="00B73BD3">
        <w:t>he Act protected the right to organize</w:t>
      </w:r>
      <w:r w:rsidRPr="00B73BD3">
        <w:rPr>
          <w:color w:val="000000"/>
        </w:rPr>
        <w:t>,</w:t>
      </w:r>
      <w:r w:rsidRPr="00B73BD3">
        <w:t xml:space="preserve"> and it was premature to conclude that the statutory protections against employer intimidation were inadequate.  However, it</w:t>
      </w:r>
      <w:r w:rsidRPr="00B73BD3">
        <w:rPr>
          <w:color w:val="000000"/>
        </w:rPr>
        <w:t xml:space="preserve"> did not provide the “minimum” </w:t>
      </w:r>
      <w:r w:rsidRPr="00B73BD3">
        <w:t>statutory protections required to enable agricultural workers to exercise their right to bargain collectively in a meaningful way</w:t>
      </w:r>
      <w:r w:rsidRPr="00B73BD3">
        <w:rPr>
          <w:color w:val="000000"/>
        </w:rPr>
        <w:t>, namely</w:t>
      </w:r>
      <w:r w:rsidRPr="00B73BD3">
        <w:t xml:space="preserve">: “(1) a statutory duty to bargain in good faith; (2) statutory recognition of the principles of exclusivity and </w:t>
      </w:r>
      <w:r w:rsidRPr="00B73BD3">
        <w:lastRenderedPageBreak/>
        <w:t>majoritarianism; and (3) a statutory mechanism for resolving bargaining impasses and disputes regarding the interpretation or administration of collective agreements”</w:t>
      </w:r>
      <w:r w:rsidRPr="00B73BD3">
        <w:rPr>
          <w:color w:val="000000"/>
        </w:rPr>
        <w:t xml:space="preserve"> (para. 80). The court noted that t</w:t>
      </w:r>
      <w:r w:rsidRPr="00B73BD3">
        <w:t xml:space="preserve">he “primary difficulty has been that the union has been unsuccessful in engaging employers, who have no statutory duty to bargain in good faith” (para. 98). Having found that the </w:t>
      </w:r>
      <w:r w:rsidRPr="00B73BD3">
        <w:rPr>
          <w:i/>
          <w:color w:val="000000"/>
        </w:rPr>
        <w:t xml:space="preserve">AEPA </w:t>
      </w:r>
      <w:r w:rsidRPr="00B73BD3">
        <w:t>infringes s. 2(</w:t>
      </w:r>
      <w:r w:rsidRPr="00B73BD3">
        <w:rPr>
          <w:i/>
        </w:rPr>
        <w:t>d</w:t>
      </w:r>
      <w:r w:rsidRPr="00B73BD3">
        <w:t xml:space="preserve">) of the </w:t>
      </w:r>
      <w:r w:rsidRPr="00B73BD3">
        <w:rPr>
          <w:i/>
        </w:rPr>
        <w:t>Charter</w:t>
      </w:r>
      <w:r w:rsidRPr="00B73BD3">
        <w:t>, the Court of Appeal considered w</w:t>
      </w:r>
      <w:r w:rsidRPr="00B73BD3">
        <w:rPr>
          <w:color w:val="000000"/>
        </w:rPr>
        <w:t>hether the infringement could be saved as “reasonable and demonstrably</w:t>
      </w:r>
      <w:r w:rsidRPr="00B73BD3">
        <w:rPr>
          <w:i/>
          <w:color w:val="000000"/>
        </w:rPr>
        <w:t xml:space="preserve"> </w:t>
      </w:r>
      <w:r w:rsidRPr="00B73BD3">
        <w:rPr>
          <w:color w:val="000000"/>
        </w:rPr>
        <w:t>justi</w:t>
      </w:r>
      <w:r w:rsidRPr="00B73BD3">
        <w:t>fied” under s. 1</w:t>
      </w:r>
      <w:r w:rsidRPr="00B73BD3">
        <w:rPr>
          <w:color w:val="000000"/>
        </w:rPr>
        <w:t xml:space="preserve"> of the </w:t>
      </w:r>
      <w:r w:rsidRPr="00B73BD3">
        <w:rPr>
          <w:i/>
          <w:color w:val="000000"/>
        </w:rPr>
        <w:t>Charter</w:t>
      </w:r>
      <w:r w:rsidRPr="00B73BD3">
        <w:rPr>
          <w:color w:val="000000"/>
        </w:rPr>
        <w:t>,</w:t>
      </w:r>
      <w:r w:rsidRPr="00B73BD3">
        <w:rPr>
          <w:i/>
          <w:color w:val="000000"/>
        </w:rPr>
        <w:t xml:space="preserve"> </w:t>
      </w:r>
      <w:r w:rsidRPr="00B73BD3">
        <w:rPr>
          <w:color w:val="000000"/>
        </w:rPr>
        <w:t>and found it could not</w:t>
      </w:r>
      <w:r w:rsidRPr="00B73BD3">
        <w:rPr>
          <w:i/>
        </w:rPr>
        <w:t xml:space="preserve">.  </w:t>
      </w:r>
      <w:r w:rsidRPr="00B73BD3">
        <w:t xml:space="preserve">The legislation impaired the right more than necessary, despite the challenges facing </w:t>
      </w:r>
      <w:r w:rsidRPr="00B73BD3">
        <w:rPr>
          <w:color w:val="000000"/>
        </w:rPr>
        <w:t>l</w:t>
      </w:r>
      <w:r w:rsidRPr="00B73BD3">
        <w:t>egislators in the agric</w:t>
      </w:r>
      <w:r w:rsidRPr="00B73BD3">
        <w:rPr>
          <w:color w:val="000000"/>
        </w:rPr>
        <w:t xml:space="preserve">ultural domain, which is a </w:t>
      </w:r>
      <w:r w:rsidRPr="00B73BD3">
        <w:t>c</w:t>
      </w:r>
      <w:r w:rsidRPr="00B73BD3">
        <w:rPr>
          <w:color w:val="000000"/>
        </w:rPr>
        <w:t>omplex mix of</w:t>
      </w:r>
      <w:r w:rsidRPr="00B73BD3">
        <w:rPr>
          <w:i/>
          <w:color w:val="000000"/>
        </w:rPr>
        <w:t xml:space="preserve"> </w:t>
      </w:r>
      <w:r w:rsidRPr="00B73BD3">
        <w:rPr>
          <w:color w:val="000000"/>
        </w:rPr>
        <w:t>famil</w:t>
      </w:r>
      <w:r w:rsidRPr="00B73BD3">
        <w:t xml:space="preserve">y </w:t>
      </w:r>
      <w:r w:rsidRPr="00B73BD3">
        <w:rPr>
          <w:color w:val="000000"/>
        </w:rPr>
        <w:t>f</w:t>
      </w:r>
      <w:r w:rsidRPr="00B73BD3">
        <w:t>arms and larger industrial operations</w:t>
      </w:r>
      <w:r w:rsidRPr="00B73BD3">
        <w:rPr>
          <w:color w:val="000000"/>
        </w:rPr>
        <w:t>. It concluded that</w:t>
      </w:r>
      <w:r w:rsidRPr="00B73BD3">
        <w:t xml:space="preserve"> </w:t>
      </w:r>
      <w:r w:rsidRPr="00B73BD3">
        <w:rPr>
          <w:color w:val="000000"/>
        </w:rPr>
        <w:t>“</w:t>
      </w:r>
      <w:r w:rsidRPr="00B73BD3">
        <w:t>the wholesale exclusion of agricultural employees from a collective bargaining scheme is not adequately t</w:t>
      </w:r>
      <w:r w:rsidRPr="00B73BD3">
        <w:rPr>
          <w:color w:val="000000"/>
        </w:rPr>
        <w:t xml:space="preserve">ailored to meet the objective </w:t>
      </w:r>
      <w:r w:rsidRPr="00B73BD3">
        <w:t xml:space="preserve">of protecting the family farm” (para. 129). </w:t>
      </w:r>
    </w:p>
    <w:p w:rsidR="00A00D29" w:rsidRPr="00B73BD3" w:rsidRDefault="00A00D29" w:rsidP="00F258CD">
      <w:pPr>
        <w:pStyle w:val="ReasonsNumbering-AltN"/>
        <w:ind w:left="0" w:firstLine="0"/>
      </w:pPr>
      <w:r w:rsidRPr="00B73BD3">
        <w:t>The Court of Appeal ordered the government “to provide agricultural workers with sufficient prot</w:t>
      </w:r>
      <w:r w:rsidRPr="00B73BD3">
        <w:rPr>
          <w:color w:val="000000"/>
        </w:rPr>
        <w:t xml:space="preserve">ections </w:t>
      </w:r>
      <w:r w:rsidRPr="00B73BD3">
        <w:t>to enable them to exercise their right to bargain collectively, in accordance with these reasons” (para. 138).  It suspended this o</w:t>
      </w:r>
      <w:r w:rsidR="00E929D0">
        <w:t>rder for 12 months to give the l</w:t>
      </w:r>
      <w:r w:rsidRPr="00B73BD3">
        <w:t xml:space="preserve">egislature an opportunity to respond.  The Court of Appeal dismissed the claim under s. 15 of the </w:t>
      </w:r>
      <w:r w:rsidRPr="00B73BD3">
        <w:rPr>
          <w:i/>
        </w:rPr>
        <w:t>Charter</w:t>
      </w:r>
      <w:r w:rsidRPr="00B73BD3">
        <w:t>. Its ju</w:t>
      </w:r>
      <w:r w:rsidRPr="00B73BD3">
        <w:rPr>
          <w:color w:val="000000"/>
        </w:rPr>
        <w:t xml:space="preserve">dgment </w:t>
      </w:r>
      <w:r w:rsidRPr="00B73BD3">
        <w:t>w</w:t>
      </w:r>
      <w:r w:rsidRPr="00B73BD3">
        <w:rPr>
          <w:color w:val="000000"/>
        </w:rPr>
        <w:t>as appealed to this Court.</w:t>
      </w:r>
    </w:p>
    <w:p w:rsidR="00A00D29" w:rsidRPr="00B73BD3" w:rsidRDefault="00A00D29" w:rsidP="00E27EEC">
      <w:pPr>
        <w:tabs>
          <w:tab w:val="left" w:pos="360"/>
        </w:tabs>
        <w:spacing w:after="720"/>
        <w:ind w:left="360" w:hanging="360"/>
        <w:jc w:val="both"/>
      </w:pPr>
      <w:r w:rsidRPr="00B73BD3">
        <w:t>IV</w:t>
      </w:r>
      <w:proofErr w:type="gramStart"/>
      <w:r w:rsidRPr="00B73BD3">
        <w:t xml:space="preserve">.  </w:t>
      </w:r>
      <w:r w:rsidRPr="00B73BD3">
        <w:rPr>
          <w:u w:val="single"/>
        </w:rPr>
        <w:t>Analysis</w:t>
      </w:r>
      <w:proofErr w:type="gramEnd"/>
    </w:p>
    <w:p w:rsidR="00A00D29" w:rsidRPr="00B73BD3" w:rsidRDefault="00A00D29" w:rsidP="00E27EEC">
      <w:pPr>
        <w:tabs>
          <w:tab w:val="left" w:pos="360"/>
        </w:tabs>
        <w:spacing w:after="720"/>
        <w:ind w:left="360" w:hanging="360"/>
        <w:jc w:val="both"/>
        <w:rPr>
          <w:b/>
          <w:u w:val="single"/>
        </w:rPr>
      </w:pPr>
      <w:r w:rsidRPr="00B73BD3">
        <w:t xml:space="preserve">A. </w:t>
      </w:r>
      <w:r w:rsidRPr="00B73BD3">
        <w:rPr>
          <w:i/>
          <w:color w:val="000000"/>
        </w:rPr>
        <w:t>Issues:</w:t>
      </w:r>
      <w:r w:rsidRPr="00B73BD3">
        <w:t xml:space="preserve"> </w:t>
      </w:r>
      <w:r w:rsidRPr="00B73BD3">
        <w:rPr>
          <w:i/>
          <w:color w:val="000000"/>
        </w:rPr>
        <w:t>Does the AEPA Violate Sections 2(d) and 15 of the Charter?</w:t>
      </w:r>
    </w:p>
    <w:p w:rsidR="00A00D29" w:rsidRPr="00B73BD3" w:rsidRDefault="00A00D29" w:rsidP="00F258CD">
      <w:pPr>
        <w:pStyle w:val="ReasonsNumbering-AltN"/>
        <w:ind w:left="0" w:firstLine="0"/>
        <w:rPr>
          <w:color w:val="000000"/>
        </w:rPr>
      </w:pPr>
      <w:r w:rsidRPr="00B73BD3">
        <w:lastRenderedPageBreak/>
        <w:t>The issue is whether the failure of the Ontario government to enact a positive statutory fram</w:t>
      </w:r>
      <w:r w:rsidRPr="00B73BD3">
        <w:rPr>
          <w:color w:val="000000"/>
        </w:rPr>
        <w:t>ework</w:t>
      </w:r>
      <w:r w:rsidRPr="00B73BD3">
        <w:t xml:space="preserve"> for agricultural workers</w:t>
      </w:r>
      <w:r w:rsidRPr="00B73BD3">
        <w:rPr>
          <w:i/>
        </w:rPr>
        <w:t xml:space="preserve"> </w:t>
      </w:r>
      <w:r w:rsidRPr="00B73BD3">
        <w:t xml:space="preserve">modelled after the Ontario </w:t>
      </w:r>
      <w:r w:rsidRPr="00B73BD3">
        <w:rPr>
          <w:i/>
        </w:rPr>
        <w:t>LRA</w:t>
      </w:r>
      <w:r w:rsidRPr="00B73BD3">
        <w:t xml:space="preserve"> violates s. 2(</w:t>
      </w:r>
      <w:r w:rsidRPr="00B73BD3">
        <w:rPr>
          <w:i/>
        </w:rPr>
        <w:t>d</w:t>
      </w:r>
      <w:r w:rsidRPr="00B73BD3">
        <w:t xml:space="preserve">) of the </w:t>
      </w:r>
      <w:r w:rsidRPr="00B73BD3">
        <w:rPr>
          <w:i/>
        </w:rPr>
        <w:t xml:space="preserve">Charter </w:t>
      </w:r>
      <w:r w:rsidRPr="00B73BD3">
        <w:t xml:space="preserve">in a manner that cannot be justified by s. 1.  If so, the </w:t>
      </w:r>
      <w:r w:rsidRPr="00B73BD3">
        <w:rPr>
          <w:i/>
        </w:rPr>
        <w:t>AEPA</w:t>
      </w:r>
      <w:r w:rsidRPr="00B73BD3">
        <w:t xml:space="preserve"> is inval</w:t>
      </w:r>
      <w:r w:rsidRPr="00B73BD3">
        <w:rPr>
          <w:color w:val="000000"/>
        </w:rPr>
        <w:t xml:space="preserve">id under s. 52 of the </w:t>
      </w:r>
      <w:r w:rsidRPr="00B73BD3">
        <w:rPr>
          <w:i/>
          <w:color w:val="000000"/>
        </w:rPr>
        <w:t>Co</w:t>
      </w:r>
      <w:r w:rsidRPr="00B73BD3">
        <w:rPr>
          <w:i/>
        </w:rPr>
        <w:t>nstitution Act, 1982</w:t>
      </w:r>
      <w:r w:rsidRPr="00B73BD3">
        <w:t xml:space="preserve">, and the Ontario legislature is obliged to bring the Act into harmony with the </w:t>
      </w:r>
      <w:r w:rsidRPr="00B73BD3">
        <w:rPr>
          <w:i/>
        </w:rPr>
        <w:t>Charter</w:t>
      </w:r>
      <w:r w:rsidRPr="00E929D0">
        <w:t xml:space="preserve">. </w:t>
      </w:r>
      <w:r w:rsidRPr="00B73BD3">
        <w:rPr>
          <w:color w:val="000000"/>
        </w:rPr>
        <w:t xml:space="preserve">The respondents have also raised the issue of whether the </w:t>
      </w:r>
      <w:r w:rsidRPr="00B73BD3">
        <w:rPr>
          <w:i/>
          <w:color w:val="000000"/>
        </w:rPr>
        <w:t xml:space="preserve">AEPA </w:t>
      </w:r>
      <w:r w:rsidRPr="00B73BD3">
        <w:rPr>
          <w:color w:val="000000"/>
        </w:rPr>
        <w:t xml:space="preserve">violates their right to equality under s. 15 of the </w:t>
      </w:r>
      <w:r w:rsidRPr="00B73BD3">
        <w:rPr>
          <w:i/>
          <w:color w:val="000000"/>
        </w:rPr>
        <w:t>Charter</w:t>
      </w:r>
      <w:r w:rsidRPr="00B73BD3">
        <w:rPr>
          <w:color w:val="000000"/>
        </w:rPr>
        <w:t>.</w:t>
      </w:r>
      <w:r w:rsidRPr="00B73BD3">
        <w:rPr>
          <w:i/>
          <w:color w:val="000000"/>
        </w:rPr>
        <w:t xml:space="preserve"> </w:t>
      </w:r>
      <w:r w:rsidRPr="00B73BD3">
        <w:rPr>
          <w:color w:val="000000"/>
        </w:rPr>
        <w:t>As the main question in this appeal remains the interpretation and application of s. 2(</w:t>
      </w:r>
      <w:r w:rsidRPr="00B73BD3">
        <w:rPr>
          <w:i/>
          <w:color w:val="000000"/>
        </w:rPr>
        <w:t>d</w:t>
      </w:r>
      <w:r w:rsidRPr="00B73BD3">
        <w:rPr>
          <w:color w:val="000000"/>
        </w:rPr>
        <w:t>), we will first consider this issue and then turn to s. 15.</w:t>
      </w:r>
    </w:p>
    <w:p w:rsidR="00A00D29" w:rsidRPr="00B73BD3" w:rsidRDefault="00A00D29" w:rsidP="00E27EEC">
      <w:pPr>
        <w:tabs>
          <w:tab w:val="left" w:pos="360"/>
        </w:tabs>
        <w:spacing w:after="720"/>
        <w:ind w:left="360" w:hanging="360"/>
        <w:jc w:val="both"/>
        <w:rPr>
          <w:color w:val="000000"/>
        </w:rPr>
      </w:pPr>
      <w:r w:rsidRPr="00B73BD3">
        <w:rPr>
          <w:color w:val="000000"/>
        </w:rPr>
        <w:t xml:space="preserve">B.  </w:t>
      </w:r>
      <w:r w:rsidRPr="00B73BD3">
        <w:rPr>
          <w:i/>
          <w:color w:val="000000"/>
        </w:rPr>
        <w:t>Freedom of Association (Section 2(d))</w:t>
      </w:r>
    </w:p>
    <w:p w:rsidR="00A00D29" w:rsidRPr="00B73BD3" w:rsidRDefault="00A00D29" w:rsidP="00F258CD">
      <w:pPr>
        <w:pStyle w:val="ReasonsNumbering-AltN"/>
        <w:ind w:left="0" w:firstLine="0"/>
      </w:pPr>
      <w:r w:rsidRPr="00B73BD3">
        <w:rPr>
          <w:color w:val="000000"/>
        </w:rPr>
        <w:t xml:space="preserve">In view of the conflicting approaches to the guarantee of freedom of association in the </w:t>
      </w:r>
      <w:r w:rsidRPr="00F258CD">
        <w:t>labour</w:t>
      </w:r>
      <w:r w:rsidRPr="00B73BD3">
        <w:rPr>
          <w:color w:val="000000"/>
        </w:rPr>
        <w:t xml:space="preserve"> context put before us, it may be useful to canvas the jurisprudence and set out the principles that guide the analysis of s. 2(</w:t>
      </w:r>
      <w:r w:rsidRPr="00B73BD3">
        <w:rPr>
          <w:i/>
          <w:color w:val="000000"/>
        </w:rPr>
        <w:t>d</w:t>
      </w:r>
      <w:r w:rsidRPr="00B73BD3">
        <w:rPr>
          <w:color w:val="000000"/>
        </w:rPr>
        <w:t xml:space="preserve">).  The respondents’ claim largely turns on the interpretation of our Court’s judgments in </w:t>
      </w:r>
      <w:r w:rsidRPr="00B73BD3">
        <w:rPr>
          <w:i/>
          <w:color w:val="000000"/>
        </w:rPr>
        <w:t xml:space="preserve">Dunmore </w:t>
      </w:r>
      <w:r w:rsidRPr="00B73BD3">
        <w:rPr>
          <w:color w:val="000000"/>
        </w:rPr>
        <w:t xml:space="preserve">and </w:t>
      </w:r>
      <w:r w:rsidRPr="00B73BD3">
        <w:rPr>
          <w:i/>
          <w:color w:val="000000"/>
        </w:rPr>
        <w:t>Health Services</w:t>
      </w:r>
      <w:r w:rsidRPr="00B73BD3">
        <w:rPr>
          <w:color w:val="000000"/>
        </w:rPr>
        <w:t>.</w:t>
      </w:r>
      <w:r w:rsidRPr="00B73BD3">
        <w:rPr>
          <w:i/>
          <w:color w:val="000000"/>
        </w:rPr>
        <w:t xml:space="preserve">  </w:t>
      </w:r>
      <w:r w:rsidRPr="00B73BD3">
        <w:rPr>
          <w:color w:val="000000"/>
        </w:rPr>
        <w:t>The ultimate question is whether s. 2(</w:t>
      </w:r>
      <w:r w:rsidRPr="00B73BD3">
        <w:rPr>
          <w:i/>
          <w:color w:val="000000"/>
        </w:rPr>
        <w:t>d</w:t>
      </w:r>
      <w:r w:rsidRPr="00B73BD3">
        <w:rPr>
          <w:color w:val="000000"/>
        </w:rPr>
        <w:t>), properly understood and applied, requires the Ontario legislature to provide a particular form of collective bargaining rights to agricultural workers, in order to secure the effective exercise of their associational rights.  To resolve this question, we will first consider the development of this Court’s jurisprudence in this area of the law.</w:t>
      </w:r>
    </w:p>
    <w:p w:rsidR="00A00D29" w:rsidRPr="00B73BD3" w:rsidRDefault="00E929D0" w:rsidP="00C03F0A">
      <w:pPr>
        <w:tabs>
          <w:tab w:val="left" w:pos="1170"/>
        </w:tabs>
        <w:spacing w:after="720"/>
        <w:ind w:left="1710" w:hanging="1710"/>
        <w:jc w:val="both"/>
        <w:rPr>
          <w:i/>
          <w:color w:val="000000"/>
        </w:rPr>
      </w:pPr>
      <w:r>
        <w:rPr>
          <w:color w:val="000000"/>
        </w:rPr>
        <w:tab/>
      </w:r>
      <w:r w:rsidR="00A00D29" w:rsidRPr="00B73BD3">
        <w:rPr>
          <w:color w:val="000000"/>
        </w:rPr>
        <w:t>(1)</w:t>
      </w:r>
      <w:r w:rsidR="00A00D29">
        <w:rPr>
          <w:color w:val="000000"/>
        </w:rPr>
        <w:tab/>
      </w:r>
      <w:r w:rsidR="00A00D29" w:rsidRPr="00B73BD3">
        <w:rPr>
          <w:u w:val="single"/>
        </w:rPr>
        <w:t>Freedom of Association</w:t>
      </w:r>
      <w:r w:rsidR="00A00D29" w:rsidRPr="00B73BD3">
        <w:rPr>
          <w:color w:val="000000"/>
          <w:u w:val="single"/>
        </w:rPr>
        <w:t xml:space="preserve"> in the Labour Context: The Jurisprudential</w:t>
      </w:r>
      <w:r w:rsidR="00A00D29" w:rsidRPr="003C2CC6">
        <w:rPr>
          <w:color w:val="000000"/>
          <w:u w:val="single"/>
        </w:rPr>
        <w:t xml:space="preserve"> </w:t>
      </w:r>
      <w:r w:rsidR="00A00D29" w:rsidRPr="00B73BD3">
        <w:rPr>
          <w:color w:val="000000"/>
          <w:u w:val="single"/>
        </w:rPr>
        <w:t>Background</w:t>
      </w:r>
    </w:p>
    <w:p w:rsidR="00A00D29" w:rsidRPr="00B73BD3" w:rsidRDefault="00A00D29" w:rsidP="00C03F0A">
      <w:pPr>
        <w:tabs>
          <w:tab w:val="left" w:pos="1170"/>
        </w:tabs>
        <w:spacing w:after="720"/>
        <w:ind w:left="1620" w:hanging="1620"/>
        <w:jc w:val="both"/>
        <w:rPr>
          <w:color w:val="000000"/>
        </w:rPr>
      </w:pPr>
      <w:r w:rsidRPr="00B73BD3">
        <w:rPr>
          <w:color w:val="000000"/>
        </w:rPr>
        <w:lastRenderedPageBreak/>
        <w:tab/>
        <w:t>(a)</w:t>
      </w:r>
      <w:r w:rsidR="00C03F0A">
        <w:rPr>
          <w:color w:val="000000"/>
        </w:rPr>
        <w:tab/>
      </w:r>
      <w:r w:rsidRPr="00B73BD3">
        <w:rPr>
          <w:i/>
          <w:color w:val="000000"/>
        </w:rPr>
        <w:t>The Early Cases</w:t>
      </w:r>
    </w:p>
    <w:p w:rsidR="00A00D29" w:rsidRPr="00B73BD3" w:rsidRDefault="00A00D29" w:rsidP="00F258CD">
      <w:pPr>
        <w:pStyle w:val="ReasonsNumbering-AltN"/>
        <w:ind w:left="0" w:firstLine="0"/>
        <w:rPr>
          <w:color w:val="000000"/>
        </w:rPr>
      </w:pPr>
      <w:r w:rsidRPr="00B73BD3">
        <w:rPr>
          <w:color w:val="000000"/>
        </w:rPr>
        <w:t xml:space="preserve">The </w:t>
      </w:r>
      <w:r w:rsidRPr="00F258CD">
        <w:t>first</w:t>
      </w:r>
      <w:r w:rsidRPr="00B73BD3">
        <w:rPr>
          <w:color w:val="000000"/>
        </w:rPr>
        <w:t xml:space="preserve"> set of cases to consider s. 2(</w:t>
      </w:r>
      <w:r w:rsidRPr="00B73BD3">
        <w:rPr>
          <w:i/>
          <w:color w:val="000000"/>
        </w:rPr>
        <w:t>d</w:t>
      </w:r>
      <w:r w:rsidRPr="00B73BD3">
        <w:rPr>
          <w:color w:val="000000"/>
        </w:rPr>
        <w:t xml:space="preserve">) of the </w:t>
      </w:r>
      <w:r w:rsidRPr="00B73BD3">
        <w:rPr>
          <w:i/>
          <w:color w:val="000000"/>
        </w:rPr>
        <w:t>Charter</w:t>
      </w:r>
      <w:r w:rsidR="00E929D0">
        <w:rPr>
          <w:color w:val="000000"/>
        </w:rPr>
        <w:t>, known as the T</w:t>
      </w:r>
      <w:r w:rsidRPr="00B73BD3">
        <w:rPr>
          <w:color w:val="000000"/>
        </w:rPr>
        <w:t xml:space="preserve">rilogy, were </w:t>
      </w:r>
      <w:r w:rsidRPr="00B73BD3">
        <w:rPr>
          <w:i/>
          <w:color w:val="000000"/>
        </w:rPr>
        <w:t>Reference re Public Service Employee Relations Act (Alta.)</w:t>
      </w:r>
      <w:r w:rsidRPr="00B73BD3">
        <w:rPr>
          <w:color w:val="000000"/>
        </w:rPr>
        <w:t>, [1987] 1 S.C.R. 313 (the “</w:t>
      </w:r>
      <w:r w:rsidRPr="00B73BD3">
        <w:rPr>
          <w:i/>
          <w:color w:val="000000"/>
        </w:rPr>
        <w:t>Alberta Reference</w:t>
      </w:r>
      <w:r w:rsidRPr="00B73BD3">
        <w:rPr>
          <w:color w:val="000000"/>
        </w:rPr>
        <w:t xml:space="preserve">”); </w:t>
      </w:r>
      <w:r w:rsidRPr="00B73BD3">
        <w:rPr>
          <w:i/>
          <w:color w:val="000000"/>
        </w:rPr>
        <w:t>PSAC v. Canada</w:t>
      </w:r>
      <w:r w:rsidRPr="00B73BD3">
        <w:rPr>
          <w:color w:val="000000"/>
        </w:rPr>
        <w:t>,</w:t>
      </w:r>
      <w:r w:rsidRPr="00B73BD3">
        <w:rPr>
          <w:i/>
          <w:color w:val="000000"/>
        </w:rPr>
        <w:t xml:space="preserve"> </w:t>
      </w:r>
      <w:r w:rsidRPr="00B73BD3">
        <w:rPr>
          <w:color w:val="000000"/>
        </w:rPr>
        <w:t xml:space="preserve">[1987] 1 S.C.R. 424; </w:t>
      </w:r>
      <w:r w:rsidRPr="00B73BD3">
        <w:rPr>
          <w:i/>
          <w:color w:val="000000"/>
        </w:rPr>
        <w:t>RWDSU v. Saskatchewan</w:t>
      </w:r>
      <w:r w:rsidRPr="00B73BD3">
        <w:rPr>
          <w:color w:val="000000"/>
        </w:rPr>
        <w:t>,</w:t>
      </w:r>
      <w:r w:rsidRPr="00B73BD3">
        <w:rPr>
          <w:i/>
          <w:color w:val="000000"/>
        </w:rPr>
        <w:t xml:space="preserve"> </w:t>
      </w:r>
      <w:r w:rsidRPr="00B73BD3">
        <w:rPr>
          <w:color w:val="000000"/>
        </w:rPr>
        <w:t>[1987] 1 S.C.R. 460.  The majority of the Court held that s.</w:t>
      </w:r>
      <w:r w:rsidRPr="00B73BD3">
        <w:t xml:space="preserve"> </w:t>
      </w:r>
      <w:r w:rsidRPr="00B73BD3">
        <w:rPr>
          <w:color w:val="000000"/>
        </w:rPr>
        <w:t>2(</w:t>
      </w:r>
      <w:r w:rsidRPr="00B73BD3">
        <w:rPr>
          <w:i/>
          <w:color w:val="000000"/>
        </w:rPr>
        <w:t>d</w:t>
      </w:r>
      <w:r w:rsidRPr="00B73BD3">
        <w:rPr>
          <w:color w:val="000000"/>
        </w:rPr>
        <w:t>) did not protect the right to strike, the issue in the cases.  In arriving at this conclusion, members expressed a number of views on the guarantee of freedom of association.</w:t>
      </w:r>
    </w:p>
    <w:p w:rsidR="00A00D29" w:rsidRPr="00B73BD3" w:rsidRDefault="00A00D29" w:rsidP="00F258CD">
      <w:pPr>
        <w:pStyle w:val="ReasonsNumbering-AltN"/>
        <w:ind w:left="0" w:firstLine="0"/>
        <w:rPr>
          <w:color w:val="000000"/>
        </w:rPr>
      </w:pPr>
      <w:r w:rsidRPr="00F258CD">
        <w:t>McIntyre</w:t>
      </w:r>
      <w:r w:rsidRPr="00B73BD3">
        <w:rPr>
          <w:color w:val="000000"/>
        </w:rPr>
        <w:t xml:space="preserve"> J. stated that “like most other fundamental rights”</w:t>
      </w:r>
      <w:proofErr w:type="gramStart"/>
      <w:r w:rsidRPr="00B73BD3">
        <w:rPr>
          <w:color w:val="000000"/>
        </w:rPr>
        <w:t>,</w:t>
      </w:r>
      <w:proofErr w:type="gramEnd"/>
      <w:r w:rsidRPr="00B73BD3">
        <w:rPr>
          <w:color w:val="000000"/>
        </w:rPr>
        <w:t xml:space="preserve"> the right to freedom of association has no single purpose or value.  Rather, reflecting the social nature of human beings, it protected the right to associate with others “both to satisfy [their] desire for social intercourse and to realize common purposes” (</w:t>
      </w:r>
      <w:r w:rsidRPr="00B73BD3">
        <w:rPr>
          <w:i/>
          <w:color w:val="000000"/>
        </w:rPr>
        <w:t>Alberta Reference</w:t>
      </w:r>
      <w:r w:rsidRPr="00B73BD3">
        <w:rPr>
          <w:color w:val="000000"/>
        </w:rPr>
        <w:t xml:space="preserve">, at p. 395).  In the same case, Dickson C.J. (dissenting) stated:  “What freedom of association seeks to protect is not associational activities </w:t>
      </w:r>
      <w:r w:rsidRPr="00B73BD3">
        <w:rPr>
          <w:i/>
          <w:color w:val="000000"/>
        </w:rPr>
        <w:t xml:space="preserve">qua </w:t>
      </w:r>
      <w:r w:rsidRPr="00B73BD3">
        <w:rPr>
          <w:color w:val="000000"/>
        </w:rPr>
        <w:t>particular activities, but the freedom of individuals to interact with, support, and be supported by, their fellow humans in the varied activities in which they choose to engage” (p. 366).</w:t>
      </w:r>
    </w:p>
    <w:p w:rsidR="00A00D29" w:rsidRPr="00B73BD3" w:rsidRDefault="00A00D29" w:rsidP="00F258CD">
      <w:pPr>
        <w:pStyle w:val="ReasonsNumbering-AltN"/>
        <w:ind w:left="0" w:firstLine="0"/>
        <w:rPr>
          <w:color w:val="000000"/>
        </w:rPr>
      </w:pPr>
      <w:r w:rsidRPr="00B73BD3">
        <w:rPr>
          <w:color w:val="000000"/>
        </w:rPr>
        <w:t xml:space="preserve">Three </w:t>
      </w:r>
      <w:r w:rsidRPr="00F258CD">
        <w:t>of</w:t>
      </w:r>
      <w:r w:rsidRPr="00B73BD3">
        <w:rPr>
          <w:color w:val="000000"/>
        </w:rPr>
        <w:t xml:space="preserve"> t</w:t>
      </w:r>
      <w:r w:rsidR="00ED64DF">
        <w:rPr>
          <w:color w:val="000000"/>
        </w:rPr>
        <w:t>he six Justices sitting on the T</w:t>
      </w:r>
      <w:r w:rsidRPr="00B73BD3">
        <w:rPr>
          <w:color w:val="000000"/>
        </w:rPr>
        <w:t xml:space="preserve">rilogy opined in </w:t>
      </w:r>
      <w:r w:rsidRPr="00B73BD3">
        <w:rPr>
          <w:i/>
          <w:color w:val="000000"/>
        </w:rPr>
        <w:t>obiter</w:t>
      </w:r>
      <w:r w:rsidRPr="00B73BD3">
        <w:rPr>
          <w:color w:val="000000"/>
        </w:rPr>
        <w:t xml:space="preserve"> that s. 2(</w:t>
      </w:r>
      <w:r w:rsidRPr="00B73BD3">
        <w:rPr>
          <w:i/>
          <w:color w:val="000000"/>
        </w:rPr>
        <w:t>d</w:t>
      </w:r>
      <w:r w:rsidRPr="00B73BD3">
        <w:rPr>
          <w:color w:val="000000"/>
        </w:rPr>
        <w:t>) does not protect collective bargaining (</w:t>
      </w:r>
      <w:r w:rsidRPr="00B73BD3">
        <w:rPr>
          <w:i/>
          <w:color w:val="000000"/>
        </w:rPr>
        <w:t>Alberta Reference</w:t>
      </w:r>
      <w:r w:rsidR="00ED64DF">
        <w:rPr>
          <w:color w:val="000000"/>
        </w:rPr>
        <w:t>,</w:t>
      </w:r>
      <w:r w:rsidRPr="00B73BD3">
        <w:rPr>
          <w:i/>
          <w:color w:val="000000"/>
        </w:rPr>
        <w:t xml:space="preserve"> </w:t>
      </w:r>
      <w:r w:rsidRPr="00B73BD3">
        <w:rPr>
          <w:color w:val="000000"/>
        </w:rPr>
        <w:t xml:space="preserve">at p. 390, </w:t>
      </w:r>
      <w:proofErr w:type="gramStart"/>
      <w:r w:rsidRPr="00B73BD3">
        <w:rPr>
          <w:i/>
          <w:color w:val="000000"/>
        </w:rPr>
        <w:t xml:space="preserve">per </w:t>
      </w:r>
      <w:r w:rsidRPr="00B73BD3">
        <w:rPr>
          <w:color w:val="000000"/>
        </w:rPr>
        <w:t xml:space="preserve"> Le</w:t>
      </w:r>
      <w:proofErr w:type="gramEnd"/>
      <w:r w:rsidRPr="00B73BD3">
        <w:rPr>
          <w:color w:val="000000"/>
        </w:rPr>
        <w:t xml:space="preserve"> Dain J.</w:t>
      </w:r>
      <w:r w:rsidR="00ED64DF">
        <w:rPr>
          <w:color w:val="000000"/>
        </w:rPr>
        <w:t>;</w:t>
      </w:r>
      <w:r w:rsidRPr="00B73BD3">
        <w:rPr>
          <w:color w:val="000000"/>
        </w:rPr>
        <w:t xml:space="preserve"> </w:t>
      </w:r>
      <w:r w:rsidRPr="00B73BD3">
        <w:rPr>
          <w:i/>
          <w:color w:val="000000"/>
        </w:rPr>
        <w:t>PSAC</w:t>
      </w:r>
      <w:r w:rsidR="00ED64DF">
        <w:rPr>
          <w:color w:val="000000"/>
        </w:rPr>
        <w:t>,</w:t>
      </w:r>
      <w:r w:rsidRPr="00B73BD3">
        <w:t xml:space="preserve"> at </w:t>
      </w:r>
      <w:r w:rsidRPr="00B73BD3">
        <w:rPr>
          <w:color w:val="000000"/>
        </w:rPr>
        <w:t xml:space="preserve">p. </w:t>
      </w:r>
      <w:r w:rsidRPr="00B73BD3">
        <w:t>453</w:t>
      </w:r>
      <w:r w:rsidRPr="00B73BD3">
        <w:rPr>
          <w:color w:val="000000"/>
        </w:rPr>
        <w:t xml:space="preserve">, </w:t>
      </w:r>
      <w:r w:rsidRPr="00B73BD3">
        <w:rPr>
          <w:i/>
          <w:color w:val="000000"/>
        </w:rPr>
        <w:t>per</w:t>
      </w:r>
      <w:r w:rsidRPr="00B73BD3">
        <w:rPr>
          <w:color w:val="000000"/>
        </w:rPr>
        <w:t xml:space="preserve"> McIntyre J.</w:t>
      </w:r>
      <w:r w:rsidRPr="00B73BD3">
        <w:t>)</w:t>
      </w:r>
      <w:r w:rsidR="00ED64DF">
        <w:t>.</w:t>
      </w:r>
      <w:r w:rsidRPr="00B73BD3">
        <w:rPr>
          <w:color w:val="000000"/>
        </w:rPr>
        <w:t xml:space="preserve"> The reasons given included that collective bargaining is a “modern right”, that its recognition would go against the principle of </w:t>
      </w:r>
      <w:r w:rsidRPr="00B73BD3">
        <w:rPr>
          <w:color w:val="000000"/>
        </w:rPr>
        <w:lastRenderedPageBreak/>
        <w:t>judicial restraint, that s. 2(</w:t>
      </w:r>
      <w:r w:rsidRPr="00B73BD3">
        <w:rPr>
          <w:i/>
          <w:color w:val="000000"/>
        </w:rPr>
        <w:t>d</w:t>
      </w:r>
      <w:r w:rsidRPr="00B73BD3">
        <w:rPr>
          <w:color w:val="000000"/>
        </w:rPr>
        <w:t>) protects only individual rights, and that s. 2(</w:t>
      </w:r>
      <w:r w:rsidRPr="00B73BD3">
        <w:rPr>
          <w:i/>
          <w:color w:val="000000"/>
        </w:rPr>
        <w:t>d</w:t>
      </w:r>
      <w:r w:rsidRPr="00B73BD3">
        <w:rPr>
          <w:color w:val="000000"/>
        </w:rPr>
        <w:t>) was not intended to protect the goals or objects of organizations (</w:t>
      </w:r>
      <w:r w:rsidRPr="00B73BD3">
        <w:rPr>
          <w:i/>
          <w:color w:val="000000"/>
        </w:rPr>
        <w:t>Alberta Reference</w:t>
      </w:r>
      <w:r w:rsidR="00ED64DF">
        <w:rPr>
          <w:color w:val="000000"/>
        </w:rPr>
        <w:t>,</w:t>
      </w:r>
      <w:r w:rsidRPr="00B73BD3">
        <w:rPr>
          <w:color w:val="000000"/>
        </w:rPr>
        <w:t xml:space="preserve"> at p. 391, </w:t>
      </w:r>
      <w:r w:rsidRPr="00B73BD3">
        <w:rPr>
          <w:i/>
          <w:color w:val="000000"/>
        </w:rPr>
        <w:t xml:space="preserve">per </w:t>
      </w:r>
      <w:r w:rsidRPr="00B73BD3">
        <w:rPr>
          <w:color w:val="000000"/>
        </w:rPr>
        <w:t>Le Dain J.; pp. 397 and 407</w:t>
      </w:r>
      <w:r w:rsidR="00ED64DF">
        <w:rPr>
          <w:color w:val="000000"/>
        </w:rPr>
        <w:t>,</w:t>
      </w:r>
      <w:r w:rsidRPr="00B73BD3">
        <w:rPr>
          <w:color w:val="000000"/>
        </w:rPr>
        <w:t xml:space="preserve"> </w:t>
      </w:r>
      <w:r w:rsidRPr="00B73BD3">
        <w:rPr>
          <w:i/>
          <w:color w:val="000000"/>
        </w:rPr>
        <w:t>per</w:t>
      </w:r>
      <w:r w:rsidRPr="00B73BD3">
        <w:rPr>
          <w:color w:val="000000"/>
        </w:rPr>
        <w:t xml:space="preserve"> McIntyre J.).</w:t>
      </w:r>
    </w:p>
    <w:p w:rsidR="00A00D29" w:rsidRPr="00B73BD3" w:rsidRDefault="00A00D29" w:rsidP="00F258CD">
      <w:pPr>
        <w:pStyle w:val="ReasonsNumbering-AltN"/>
        <w:ind w:left="0" w:firstLine="0"/>
        <w:rPr>
          <w:color w:val="000000"/>
        </w:rPr>
      </w:pPr>
      <w:r w:rsidRPr="00B73BD3">
        <w:rPr>
          <w:color w:val="000000"/>
        </w:rPr>
        <w:t xml:space="preserve">The </w:t>
      </w:r>
      <w:r w:rsidR="00ED64DF">
        <w:t>T</w:t>
      </w:r>
      <w:r w:rsidRPr="00F258CD">
        <w:t>rilogy</w:t>
      </w:r>
      <w:r w:rsidRPr="00B73BD3">
        <w:rPr>
          <w:color w:val="000000"/>
        </w:rPr>
        <w:t xml:space="preserve"> was endorsed in </w:t>
      </w:r>
      <w:r w:rsidRPr="00B73BD3">
        <w:rPr>
          <w:i/>
          <w:color w:val="000000"/>
        </w:rPr>
        <w:t>Professional Institute of the Public Service of Canada v. Northwest Territories (Commissioner)</w:t>
      </w:r>
      <w:r w:rsidRPr="00B73BD3">
        <w:rPr>
          <w:color w:val="000000"/>
        </w:rPr>
        <w:t>, [1990] 2 S.C.R. 367 (“</w:t>
      </w:r>
      <w:r w:rsidRPr="00B73BD3">
        <w:rPr>
          <w:i/>
          <w:color w:val="000000"/>
        </w:rPr>
        <w:t>PIPSC</w:t>
      </w:r>
      <w:r w:rsidRPr="00B73BD3">
        <w:rPr>
          <w:color w:val="000000"/>
        </w:rPr>
        <w:t xml:space="preserve">”). </w:t>
      </w:r>
      <w:r w:rsidRPr="00B73BD3">
        <w:t xml:space="preserve"> </w:t>
      </w:r>
      <w:r w:rsidRPr="00B73BD3">
        <w:rPr>
          <w:color w:val="000000"/>
        </w:rPr>
        <w:t>Sopinka J., stated in his reasons which appeared to be accepted by the other judges on this point: (1) “s. 2(</w:t>
      </w:r>
      <w:r w:rsidRPr="00B73BD3">
        <w:rPr>
          <w:i/>
          <w:color w:val="000000"/>
        </w:rPr>
        <w:t>d</w:t>
      </w:r>
      <w:r w:rsidRPr="00B73BD3">
        <w:rPr>
          <w:color w:val="000000"/>
        </w:rPr>
        <w:t>) protects the freedom to establish, belong to and maintain an association”; (2) “s. 2(</w:t>
      </w:r>
      <w:r w:rsidRPr="00B73BD3">
        <w:rPr>
          <w:i/>
          <w:color w:val="000000"/>
        </w:rPr>
        <w:t>d</w:t>
      </w:r>
      <w:r w:rsidRPr="00B73BD3">
        <w:rPr>
          <w:color w:val="000000"/>
        </w:rPr>
        <w:t>) does not protect an activity solely on the ground that the activity is a foundational or essential purpose of an association”; (3) “s. 2(</w:t>
      </w:r>
      <w:r w:rsidRPr="00B73BD3">
        <w:rPr>
          <w:i/>
          <w:color w:val="000000"/>
        </w:rPr>
        <w:t>d</w:t>
      </w:r>
      <w:r w:rsidRPr="00B73BD3">
        <w:rPr>
          <w:color w:val="000000"/>
        </w:rPr>
        <w:t>) protects the exercise in association of the constitutional rights and freedoms of individuals”; and (4) “s.</w:t>
      </w:r>
      <w:r w:rsidRPr="00B73BD3">
        <w:t xml:space="preserve"> </w:t>
      </w:r>
      <w:r w:rsidRPr="00B73BD3">
        <w:rPr>
          <w:color w:val="000000"/>
        </w:rPr>
        <w:t>2(</w:t>
      </w:r>
      <w:r w:rsidRPr="00B73BD3">
        <w:rPr>
          <w:i/>
          <w:color w:val="000000"/>
        </w:rPr>
        <w:t>d</w:t>
      </w:r>
      <w:r w:rsidRPr="00B73BD3">
        <w:rPr>
          <w:color w:val="000000"/>
        </w:rPr>
        <w:t>) protects the exercise in association of the lawful rights of individuals” (p. 402).</w:t>
      </w:r>
    </w:p>
    <w:p w:rsidR="00A00D29" w:rsidRPr="00B73BD3" w:rsidRDefault="00A00D29" w:rsidP="00F258CD">
      <w:pPr>
        <w:pStyle w:val="ReasonsNumbering-AltN"/>
        <w:ind w:left="0" w:firstLine="0"/>
        <w:rPr>
          <w:color w:val="000000"/>
        </w:rPr>
      </w:pPr>
      <w:r w:rsidRPr="00B73BD3">
        <w:rPr>
          <w:color w:val="000000"/>
        </w:rPr>
        <w:t xml:space="preserve">Nine </w:t>
      </w:r>
      <w:r w:rsidRPr="00F258CD">
        <w:t>years</w:t>
      </w:r>
      <w:r w:rsidRPr="00B73BD3">
        <w:rPr>
          <w:color w:val="000000"/>
        </w:rPr>
        <w:t xml:space="preserve"> later, in </w:t>
      </w:r>
      <w:r w:rsidRPr="00B73BD3">
        <w:rPr>
          <w:i/>
          <w:color w:val="000000"/>
        </w:rPr>
        <w:t>Delisle v.</w:t>
      </w:r>
      <w:r w:rsidRPr="00B73BD3">
        <w:rPr>
          <w:color w:val="000000"/>
        </w:rPr>
        <w:t xml:space="preserve"> </w:t>
      </w:r>
      <w:r w:rsidRPr="00B73BD3">
        <w:rPr>
          <w:i/>
          <w:color w:val="000000"/>
        </w:rPr>
        <w:t>Canada (Deputy Attorney General)</w:t>
      </w:r>
      <w:r w:rsidRPr="00B73BD3">
        <w:rPr>
          <w:color w:val="000000"/>
        </w:rPr>
        <w:t>, [1999] 2 S.C.R. 989, the Court once again revisited s. 2(</w:t>
      </w:r>
      <w:r w:rsidRPr="00B73BD3">
        <w:rPr>
          <w:i/>
          <w:color w:val="000000"/>
        </w:rPr>
        <w:t>d</w:t>
      </w:r>
      <w:r w:rsidRPr="00B73BD3">
        <w:rPr>
          <w:color w:val="000000"/>
        </w:rPr>
        <w:t>).  The issue was whether exclusion of RCMP members from public bargaining associations, as opposed to their own association, violated s.</w:t>
      </w:r>
      <w:r w:rsidRPr="00B73BD3">
        <w:t xml:space="preserve"> </w:t>
      </w:r>
      <w:r w:rsidRPr="00B73BD3">
        <w:rPr>
          <w:color w:val="000000"/>
        </w:rPr>
        <w:t>2(</w:t>
      </w:r>
      <w:r w:rsidRPr="00B73BD3">
        <w:rPr>
          <w:i/>
          <w:color w:val="000000"/>
        </w:rPr>
        <w:t>d</w:t>
      </w:r>
      <w:r w:rsidRPr="00B73BD3">
        <w:rPr>
          <w:color w:val="000000"/>
        </w:rPr>
        <w:t xml:space="preserve">).  The majority of the Court, </w:t>
      </w:r>
      <w:r w:rsidRPr="00B73BD3">
        <w:rPr>
          <w:i/>
          <w:color w:val="000000"/>
        </w:rPr>
        <w:t>per</w:t>
      </w:r>
      <w:r w:rsidRPr="00B73BD3">
        <w:rPr>
          <w:color w:val="000000"/>
        </w:rPr>
        <w:t xml:space="preserve"> Bastarache J., held it did not, on the ground that s.</w:t>
      </w:r>
      <w:r w:rsidRPr="00B73BD3">
        <w:t xml:space="preserve"> </w:t>
      </w:r>
      <w:r w:rsidRPr="00B73BD3">
        <w:rPr>
          <w:color w:val="000000"/>
        </w:rPr>
        <w:t>2(</w:t>
      </w:r>
      <w:r w:rsidRPr="00B73BD3">
        <w:rPr>
          <w:i/>
          <w:color w:val="000000"/>
        </w:rPr>
        <w:t>d</w:t>
      </w:r>
      <w:r w:rsidRPr="00B73BD3">
        <w:rPr>
          <w:color w:val="000000"/>
        </w:rPr>
        <w:t xml:space="preserve">) does not give the right to belong to a particular group. Bastarache J. added that there is no general obligation for the government to provide a particular legislative framework for employees to exercise their collective rights, i.e. a different framework than already provided for RCMP members.  </w:t>
      </w:r>
    </w:p>
    <w:p w:rsidR="00A00D29" w:rsidRPr="00B73BD3" w:rsidRDefault="00A00D29" w:rsidP="00F258CD">
      <w:pPr>
        <w:pStyle w:val="ReasonsNumbering-AltN"/>
        <w:ind w:left="0" w:firstLine="0"/>
        <w:rPr>
          <w:color w:val="000000"/>
        </w:rPr>
      </w:pPr>
      <w:r w:rsidRPr="00B73BD3">
        <w:rPr>
          <w:color w:val="000000"/>
        </w:rPr>
        <w:lastRenderedPageBreak/>
        <w:t xml:space="preserve">In </w:t>
      </w:r>
      <w:r w:rsidRPr="00F258CD">
        <w:t>dissent</w:t>
      </w:r>
      <w:r w:rsidRPr="00B73BD3">
        <w:rPr>
          <w:color w:val="000000"/>
        </w:rPr>
        <w:t xml:space="preserve">, Cory and Iacobucci JJ. </w:t>
      </w:r>
      <w:proofErr w:type="gramStart"/>
      <w:r w:rsidRPr="00B73BD3">
        <w:rPr>
          <w:color w:val="000000"/>
        </w:rPr>
        <w:t>pointed</w:t>
      </w:r>
      <w:proofErr w:type="gramEnd"/>
      <w:r w:rsidRPr="00B73BD3">
        <w:rPr>
          <w:color w:val="000000"/>
        </w:rPr>
        <w:t xml:space="preserve"> out that the appeal</w:t>
      </w:r>
      <w:r w:rsidRPr="00B73BD3">
        <w:t xml:space="preserve"> </w:t>
      </w:r>
      <w:r w:rsidRPr="00B73BD3">
        <w:rPr>
          <w:color w:val="000000"/>
        </w:rPr>
        <w:t>was</w:t>
      </w:r>
      <w:r w:rsidRPr="00B73BD3">
        <w:t xml:space="preserve"> </w:t>
      </w:r>
      <w:r w:rsidRPr="00B73BD3">
        <w:rPr>
          <w:color w:val="000000"/>
        </w:rPr>
        <w:t>not concerned with the right to strike or to bargain collectively (</w:t>
      </w:r>
      <w:r w:rsidRPr="00B73BD3">
        <w:rPr>
          <w:i/>
          <w:color w:val="000000"/>
        </w:rPr>
        <w:t>Delisle</w:t>
      </w:r>
      <w:r w:rsidRPr="00B73BD3">
        <w:rPr>
          <w:color w:val="000000"/>
        </w:rPr>
        <w:t>,</w:t>
      </w:r>
      <w:r w:rsidRPr="00B73BD3">
        <w:rPr>
          <w:i/>
          <w:color w:val="000000"/>
        </w:rPr>
        <w:t xml:space="preserve"> </w:t>
      </w:r>
      <w:r w:rsidRPr="00B73BD3">
        <w:rPr>
          <w:color w:val="000000"/>
        </w:rPr>
        <w:t>at para. 51).  The only issue was whether the statutory framework interfered with the right to associate with other public servants in pursuance of their mutual interests.  They were of the view that s.</w:t>
      </w:r>
      <w:r w:rsidRPr="00B73BD3">
        <w:t> </w:t>
      </w:r>
      <w:r w:rsidRPr="00B73BD3">
        <w:rPr>
          <w:color w:val="000000"/>
        </w:rPr>
        <w:t>2(</w:t>
      </w:r>
      <w:r w:rsidRPr="00B73BD3">
        <w:rPr>
          <w:i/>
          <w:color w:val="000000"/>
        </w:rPr>
        <w:t>d</w:t>
      </w:r>
      <w:r w:rsidRPr="00B73BD3">
        <w:rPr>
          <w:color w:val="000000"/>
        </w:rPr>
        <w:t>) was violated because the impugned laws in purpose and effect interfered with the formation of employee associations.  They noted that employees are a vulnerable group in our society, and their ability to form and join an employee association is crucially linked to their economic and social well-being (paras. 67-68).</w:t>
      </w:r>
    </w:p>
    <w:p w:rsidR="00A00D29" w:rsidRPr="00B73BD3" w:rsidRDefault="00A00D29" w:rsidP="00F258CD">
      <w:pPr>
        <w:pStyle w:val="ReasonsNumbering-AltN"/>
        <w:ind w:left="0" w:firstLine="0"/>
        <w:rPr>
          <w:i/>
          <w:color w:val="000000"/>
        </w:rPr>
      </w:pPr>
      <w:r w:rsidRPr="00B73BD3">
        <w:rPr>
          <w:color w:val="000000"/>
        </w:rPr>
        <w:t xml:space="preserve">In </w:t>
      </w:r>
      <w:r w:rsidRPr="00F258CD">
        <w:t>summary</w:t>
      </w:r>
      <w:r w:rsidRPr="00B73BD3">
        <w:rPr>
          <w:color w:val="000000"/>
        </w:rPr>
        <w:t>, the early cases affirmed that the core protection of s.</w:t>
      </w:r>
      <w:r w:rsidRPr="00B73BD3">
        <w:t xml:space="preserve"> </w:t>
      </w:r>
      <w:r w:rsidRPr="00B73BD3">
        <w:rPr>
          <w:color w:val="000000"/>
        </w:rPr>
        <w:t>2(</w:t>
      </w:r>
      <w:r w:rsidRPr="00B73BD3">
        <w:rPr>
          <w:i/>
          <w:color w:val="000000"/>
        </w:rPr>
        <w:t>d</w:t>
      </w:r>
      <w:r w:rsidRPr="00B73BD3">
        <w:rPr>
          <w:color w:val="000000"/>
        </w:rPr>
        <w:t xml:space="preserve">) focusses on the right of individuals to act in association with others to pursue common objectives and goals.  There was some suggestion (Sopinka J.’s fourth point in </w:t>
      </w:r>
      <w:r w:rsidRPr="00B73BD3">
        <w:rPr>
          <w:i/>
          <w:color w:val="000000"/>
        </w:rPr>
        <w:t>PIPSC</w:t>
      </w:r>
      <w:r w:rsidRPr="00B73BD3">
        <w:rPr>
          <w:color w:val="000000"/>
        </w:rPr>
        <w:t xml:space="preserve">) that only individual goals were protected. (This proposition, as we shall see, was rejected in </w:t>
      </w:r>
      <w:r w:rsidRPr="00B73BD3">
        <w:rPr>
          <w:i/>
          <w:color w:val="000000"/>
        </w:rPr>
        <w:t>Dunmore</w:t>
      </w:r>
      <w:r w:rsidRPr="00B73BD3">
        <w:rPr>
          <w:color w:val="000000"/>
        </w:rPr>
        <w:t xml:space="preserve">.)  While three judges in the </w:t>
      </w:r>
      <w:r w:rsidR="0077165A">
        <w:rPr>
          <w:color w:val="000000"/>
        </w:rPr>
        <w:t>T</w:t>
      </w:r>
      <w:r w:rsidRPr="00B73BD3">
        <w:rPr>
          <w:color w:val="000000"/>
        </w:rPr>
        <w:t>rilogy expressed the view that s. 2(</w:t>
      </w:r>
      <w:r w:rsidRPr="00B73BD3">
        <w:rPr>
          <w:i/>
          <w:color w:val="000000"/>
        </w:rPr>
        <w:t>d</w:t>
      </w:r>
      <w:r w:rsidRPr="00B73BD3">
        <w:rPr>
          <w:color w:val="000000"/>
        </w:rPr>
        <w:t>) did not protect collective bargaining, the only question at issue in those cases was whether individuals had a right to strike, and the question of collective bargaining was not conclusively resolved by a majority of the Court.</w:t>
      </w:r>
    </w:p>
    <w:p w:rsidR="00A00D29" w:rsidRPr="00B73BD3" w:rsidRDefault="00A00D29" w:rsidP="00C03F0A">
      <w:pPr>
        <w:tabs>
          <w:tab w:val="left" w:pos="1260"/>
        </w:tabs>
        <w:spacing w:after="720"/>
        <w:ind w:left="1710" w:hanging="1710"/>
        <w:jc w:val="both"/>
        <w:rPr>
          <w:i/>
          <w:color w:val="000000"/>
        </w:rPr>
      </w:pPr>
      <w:r w:rsidRPr="00B73BD3">
        <w:rPr>
          <w:color w:val="000000"/>
        </w:rPr>
        <w:tab/>
        <w:t>(b)</w:t>
      </w:r>
      <w:r w:rsidR="00C03F0A">
        <w:rPr>
          <w:color w:val="000000"/>
        </w:rPr>
        <w:tab/>
      </w:r>
      <w:r w:rsidRPr="00B73BD3">
        <w:rPr>
          <w:i/>
          <w:color w:val="000000"/>
        </w:rPr>
        <w:t>Dunmore</w:t>
      </w:r>
    </w:p>
    <w:p w:rsidR="00A00D29" w:rsidRPr="00B73BD3" w:rsidRDefault="00A00D29" w:rsidP="00F258CD">
      <w:pPr>
        <w:pStyle w:val="ReasonsNumbering-AltN"/>
        <w:ind w:left="0" w:firstLine="0"/>
        <w:rPr>
          <w:color w:val="000000"/>
        </w:rPr>
      </w:pPr>
      <w:r w:rsidRPr="00B73BD3">
        <w:rPr>
          <w:color w:val="000000"/>
        </w:rPr>
        <w:t xml:space="preserve">This Court’s decision in </w:t>
      </w:r>
      <w:r w:rsidRPr="00B73BD3">
        <w:rPr>
          <w:i/>
          <w:color w:val="000000"/>
        </w:rPr>
        <w:t>Dunmore</w:t>
      </w:r>
      <w:r w:rsidRPr="00B73BD3">
        <w:rPr>
          <w:color w:val="000000"/>
        </w:rPr>
        <w:t xml:space="preserve"> marked a new stage in the development of s. 2(</w:t>
      </w:r>
      <w:r w:rsidRPr="00B73BD3">
        <w:rPr>
          <w:i/>
          <w:color w:val="000000"/>
        </w:rPr>
        <w:t>d</w:t>
      </w:r>
      <w:r w:rsidRPr="00B73BD3">
        <w:rPr>
          <w:color w:val="000000"/>
        </w:rPr>
        <w:t>) jurisprudence in the field of labour relations.  It raised the question of whether s.</w:t>
      </w:r>
      <w:r w:rsidRPr="00B73BD3">
        <w:t xml:space="preserve"> </w:t>
      </w:r>
      <w:r w:rsidRPr="00B73BD3">
        <w:rPr>
          <w:color w:val="000000"/>
        </w:rPr>
        <w:t>2(</w:t>
      </w:r>
      <w:r w:rsidRPr="00B73BD3">
        <w:rPr>
          <w:i/>
          <w:color w:val="000000"/>
        </w:rPr>
        <w:t>d</w:t>
      </w:r>
      <w:r w:rsidRPr="00B73BD3">
        <w:rPr>
          <w:color w:val="000000"/>
        </w:rPr>
        <w:t xml:space="preserve">) requires the government to provide a legislative </w:t>
      </w:r>
      <w:r w:rsidRPr="00B73BD3">
        <w:rPr>
          <w:color w:val="000000"/>
        </w:rPr>
        <w:lastRenderedPageBreak/>
        <w:t>framework which enables employees to associate to obtain workplace goals in a meaningful process.</w:t>
      </w:r>
    </w:p>
    <w:p w:rsidR="00A00D29" w:rsidRPr="00B73BD3" w:rsidRDefault="00A00D29" w:rsidP="00F258CD">
      <w:pPr>
        <w:pStyle w:val="ReasonsNumbering-AltN"/>
        <w:ind w:left="0" w:firstLine="0"/>
        <w:rPr>
          <w:color w:val="000000"/>
        </w:rPr>
      </w:pPr>
      <w:r w:rsidRPr="00B73BD3">
        <w:rPr>
          <w:color w:val="000000"/>
        </w:rPr>
        <w:t>The</w:t>
      </w:r>
      <w:r w:rsidRPr="00B73BD3">
        <w:rPr>
          <w:i/>
          <w:color w:val="000000"/>
        </w:rPr>
        <w:t xml:space="preserve"> </w:t>
      </w:r>
      <w:r w:rsidRPr="00B73BD3">
        <w:rPr>
          <w:color w:val="000000"/>
        </w:rPr>
        <w:t>Ontario legislature had repealed legislation which gave farm workers a measure of protection, leaving them entirely outside the Province’s labour relations scheme.  The evidence established that attempts to organize were persistently frustrated by employers.  The farm workers came to court seeking protection of their basic right to associate.  They sought the right to organize into employee associations. For this, they contended, they needed legislation that endorsed their constitutional right to associate and protected them from employer interference.</w:t>
      </w:r>
    </w:p>
    <w:p w:rsidR="00A00D29" w:rsidRPr="00B73BD3" w:rsidRDefault="00A00D29" w:rsidP="00F258CD">
      <w:pPr>
        <w:pStyle w:val="ReasonsNumbering-AltN"/>
        <w:ind w:left="0" w:firstLine="0"/>
      </w:pPr>
      <w:r w:rsidRPr="00B73BD3">
        <w:t xml:space="preserve">Bastarache J., for the majority of the Court, began the analysis in </w:t>
      </w:r>
      <w:r w:rsidRPr="00B73BD3">
        <w:rPr>
          <w:i/>
        </w:rPr>
        <w:t xml:space="preserve">Dunmore </w:t>
      </w:r>
      <w:r w:rsidRPr="00B73BD3">
        <w:t>by emphasizing the need for a purposive approach to s. 2(</w:t>
      </w:r>
      <w:r w:rsidRPr="00B73BD3">
        <w:rPr>
          <w:i/>
        </w:rPr>
        <w:t>d</w:t>
      </w:r>
      <w:r w:rsidRPr="00B73BD3">
        <w:t xml:space="preserve">) — “one which aims to protect the full range of associational activity contemplated by the </w:t>
      </w:r>
      <w:r w:rsidRPr="00B73BD3">
        <w:rPr>
          <w:i/>
        </w:rPr>
        <w:t>Charter</w:t>
      </w:r>
      <w:r w:rsidRPr="00B73BD3">
        <w:t xml:space="preserve"> and to honour Canada’s obligations under international human rights law” (para. 13). After a full review of the jurisprudence, he stated:</w:t>
      </w:r>
    </w:p>
    <w:p w:rsidR="00A00D29" w:rsidRPr="00B73BD3" w:rsidRDefault="00A00D29" w:rsidP="00A00D29">
      <w:pPr>
        <w:pStyle w:val="Citation"/>
      </w:pPr>
      <w:r w:rsidRPr="00B73BD3">
        <w:t xml:space="preserve">. . . </w:t>
      </w:r>
      <w:proofErr w:type="gramStart"/>
      <w:r w:rsidRPr="00B73BD3">
        <w:t>the</w:t>
      </w:r>
      <w:proofErr w:type="gramEnd"/>
      <w:r w:rsidRPr="00B73BD3">
        <w:t xml:space="preserve"> activities for which the appellants seek protection [association for the purposes of achieving workplace goals in the labour relations context] fall squarely within the freedom to organize, that is, the freedom to collectively embody the interests of individual workers. [para. 30]</w:t>
      </w:r>
    </w:p>
    <w:p w:rsidR="00A00D29" w:rsidRPr="00B73BD3" w:rsidRDefault="00A00D29" w:rsidP="00F258CD">
      <w:pPr>
        <w:pStyle w:val="ReasonsNumbering-AltN"/>
        <w:ind w:left="0" w:firstLine="0"/>
      </w:pPr>
      <w:r w:rsidRPr="00B73BD3">
        <w:t>Bastarache J. went on to hold that in order to realize the purposes of s. 2(</w:t>
      </w:r>
      <w:r w:rsidRPr="00B73BD3">
        <w:rPr>
          <w:i/>
        </w:rPr>
        <w:t>d</w:t>
      </w:r>
      <w:r w:rsidRPr="00B73BD3">
        <w:t>), the right to organize must extend to “the exercise of certain collective activities, such as making majority representations to one’s employer”.  He explained:</w:t>
      </w:r>
    </w:p>
    <w:p w:rsidR="00A00D29" w:rsidRPr="00B73BD3" w:rsidRDefault="00A00D29" w:rsidP="00A00D29">
      <w:pPr>
        <w:pStyle w:val="Citation"/>
        <w:rPr>
          <w:color w:val="000000"/>
        </w:rPr>
      </w:pPr>
      <w:r w:rsidRPr="00B73BD3">
        <w:lastRenderedPageBreak/>
        <w:t>These activities are guaranteed by the purpose of s. 2(</w:t>
      </w:r>
      <w:r w:rsidRPr="00B73BD3">
        <w:rPr>
          <w:i/>
        </w:rPr>
        <w:t>d</w:t>
      </w:r>
      <w:r w:rsidRPr="00B73BD3">
        <w:t>), which is to promote the realization of individual potential through relations with others, and by international labour jurisprudence, which recognizes the inevitably collective nature of the freedom to organize.  [para. 30]</w:t>
      </w:r>
    </w:p>
    <w:p w:rsidR="00A00D29" w:rsidRPr="00B73BD3" w:rsidRDefault="00A00D29" w:rsidP="00F258CD">
      <w:pPr>
        <w:pStyle w:val="ReasonsNumbering-AltN"/>
        <w:ind w:left="0" w:firstLine="0"/>
      </w:pPr>
      <w:r w:rsidRPr="00B73BD3">
        <w:rPr>
          <w:color w:val="000000"/>
        </w:rPr>
        <w:t>The affirmation that s.</w:t>
      </w:r>
      <w:r w:rsidRPr="00B73BD3">
        <w:t xml:space="preserve"> </w:t>
      </w:r>
      <w:r w:rsidRPr="00B73BD3">
        <w:rPr>
          <w:color w:val="000000"/>
        </w:rPr>
        <w:t>2(</w:t>
      </w:r>
      <w:r w:rsidRPr="00B73BD3">
        <w:rPr>
          <w:i/>
          <w:color w:val="000000"/>
        </w:rPr>
        <w:t>d</w:t>
      </w:r>
      <w:r w:rsidRPr="00B73BD3">
        <w:rPr>
          <w:color w:val="000000"/>
        </w:rPr>
        <w:t>) protection extends to collective activities that only a group can carry out, required rejection of Sopinka</w:t>
      </w:r>
      <w:r w:rsidRPr="00B73BD3">
        <w:t xml:space="preserve"> </w:t>
      </w:r>
      <w:r w:rsidRPr="00B73BD3">
        <w:rPr>
          <w:color w:val="000000"/>
        </w:rPr>
        <w:t xml:space="preserve">J.’s fourth proposition in </w:t>
      </w:r>
      <w:r w:rsidRPr="00B73BD3">
        <w:rPr>
          <w:i/>
          <w:color w:val="000000"/>
        </w:rPr>
        <w:t>PIPSC</w:t>
      </w:r>
      <w:r w:rsidRPr="00B73BD3">
        <w:rPr>
          <w:color w:val="000000"/>
        </w:rPr>
        <w:t>, which suggested that s.</w:t>
      </w:r>
      <w:r w:rsidRPr="00B73BD3">
        <w:t xml:space="preserve"> </w:t>
      </w:r>
      <w:r w:rsidRPr="00B73BD3">
        <w:rPr>
          <w:color w:val="000000"/>
        </w:rPr>
        <w:t>2(</w:t>
      </w:r>
      <w:r w:rsidRPr="00B73BD3">
        <w:rPr>
          <w:i/>
          <w:color w:val="000000"/>
        </w:rPr>
        <w:t>d</w:t>
      </w:r>
      <w:r w:rsidRPr="00B73BD3">
        <w:rPr>
          <w:color w:val="000000"/>
        </w:rPr>
        <w:t>) only protected the right to further individual goals.  Bastarache J. pointed out that certain activities are, when performed by a group, “qualitatively</w:t>
      </w:r>
      <w:r w:rsidR="0071587E">
        <w:rPr>
          <w:color w:val="000000"/>
        </w:rPr>
        <w:t>”</w:t>
      </w:r>
      <w:r w:rsidRPr="00B73BD3">
        <w:rPr>
          <w:color w:val="000000"/>
        </w:rPr>
        <w:t xml:space="preserve"> different from those activities performed solely by an individual.  He recognized that </w:t>
      </w:r>
      <w:r w:rsidRPr="00B73BD3">
        <w:t>“trade unions develop needs and priorities that are distinct from those of their members individually”</w:t>
      </w:r>
      <w:r w:rsidR="0077165A" w:rsidRPr="0077165A">
        <w:rPr>
          <w:color w:val="000000"/>
        </w:rPr>
        <w:t xml:space="preserve"> </w:t>
      </w:r>
      <w:r w:rsidR="0077165A" w:rsidRPr="00B73BD3">
        <w:rPr>
          <w:color w:val="000000"/>
        </w:rPr>
        <w:t>(</w:t>
      </w:r>
      <w:r w:rsidR="0077165A" w:rsidRPr="00B73BD3">
        <w:rPr>
          <w:i/>
          <w:color w:val="000000"/>
        </w:rPr>
        <w:t>Dunmore</w:t>
      </w:r>
      <w:r w:rsidR="0077165A" w:rsidRPr="00B73BD3">
        <w:rPr>
          <w:color w:val="000000"/>
        </w:rPr>
        <w:t>, at para. 17).</w:t>
      </w:r>
      <w:r w:rsidRPr="00B73BD3">
        <w:t xml:space="preserve">  </w:t>
      </w:r>
      <w:r w:rsidRPr="00B73BD3">
        <w:rPr>
          <w:color w:val="000000"/>
        </w:rPr>
        <w:t>As a result “certain collective activities must be recognized if the freedom to form and maintain an association is to have any meaning” (</w:t>
      </w:r>
      <w:r w:rsidR="0077165A">
        <w:rPr>
          <w:i/>
          <w:color w:val="000000"/>
        </w:rPr>
        <w:t>ibid.</w:t>
      </w:r>
      <w:r w:rsidRPr="00B73BD3">
        <w:rPr>
          <w:color w:val="000000"/>
        </w:rPr>
        <w:t xml:space="preserve">). </w:t>
      </w:r>
    </w:p>
    <w:p w:rsidR="00A00D29" w:rsidRPr="00B73BD3" w:rsidRDefault="00A00D29" w:rsidP="00F258CD">
      <w:pPr>
        <w:pStyle w:val="ReasonsNumbering-AltN"/>
        <w:ind w:left="0" w:firstLine="0"/>
        <w:rPr>
          <w:lang w:val="fr-CA"/>
        </w:rPr>
      </w:pPr>
      <w:r w:rsidRPr="00B73BD3">
        <w:t>In the result, Bastarache J. concluded that the absence of legislative protection for farm workers to organize in order to achieve workplace goals made meaningful association to achieve workplace goals impossible and therefore constituted a substantial interference with the right to associate guaranteed by s. 2(</w:t>
      </w:r>
      <w:r w:rsidRPr="00B73BD3">
        <w:rPr>
          <w:i/>
        </w:rPr>
        <w:t>d</w:t>
      </w:r>
      <w:r w:rsidRPr="00B73BD3">
        <w:t xml:space="preserve">) of the </w:t>
      </w:r>
      <w:r w:rsidRPr="00B73BD3">
        <w:rPr>
          <w:i/>
        </w:rPr>
        <w:t>Charter</w:t>
      </w:r>
      <w:r w:rsidRPr="00B73BD3">
        <w:t xml:space="preserve">. </w:t>
      </w:r>
      <w:r w:rsidRPr="00B73BD3">
        <w:rPr>
          <w:color w:val="000000"/>
        </w:rPr>
        <w:t xml:space="preserve">He found that the absence of legislative support discredited the organizing efforts of agricultural workers and had a chilling effect on their constitutional right to associate.  He concluded that farm workers in Ontario were substantially incapable of exercising their fundamental freedom to associate without a protective regime (para. 35). </w:t>
      </w:r>
      <w:r w:rsidRPr="00B73BD3">
        <w:rPr>
          <w:lang w:val="fr-CA"/>
        </w:rPr>
        <w:t xml:space="preserve">Quoting L’Heureux-Dubé J. in </w:t>
      </w:r>
      <w:r w:rsidRPr="00B73BD3">
        <w:rPr>
          <w:i/>
          <w:lang w:val="fr-CA"/>
        </w:rPr>
        <w:t>Delisle</w:t>
      </w:r>
      <w:r w:rsidRPr="00B73BD3">
        <w:rPr>
          <w:color w:val="000000"/>
          <w:lang w:val="fr-CA"/>
        </w:rPr>
        <w:t>, Bastarache J. affirmed that</w:t>
      </w:r>
    </w:p>
    <w:p w:rsidR="00A00D29" w:rsidRPr="00B73BD3" w:rsidRDefault="00A00D29" w:rsidP="00A00D29">
      <w:pPr>
        <w:pStyle w:val="Citation"/>
        <w:rPr>
          <w:color w:val="000000"/>
        </w:rPr>
      </w:pPr>
      <w:proofErr w:type="gramStart"/>
      <w:r w:rsidRPr="00B73BD3">
        <w:lastRenderedPageBreak/>
        <w:t>the</w:t>
      </w:r>
      <w:proofErr w:type="gramEnd"/>
      <w:r w:rsidRPr="00B73BD3">
        <w:t xml:space="preserve"> right to freedom of association must take into account the nature and importance of labour associations as institutions that work for the betterment of working conditions and the protection of the dignity and collective interests of workers in a fundamental aspect of their lives: employment. [Emphasis deleted; para. 37.]</w:t>
      </w:r>
    </w:p>
    <w:p w:rsidR="00A00D29" w:rsidRPr="00B73BD3" w:rsidRDefault="00A00D29" w:rsidP="00A00D29">
      <w:pPr>
        <w:pStyle w:val="Citation"/>
        <w:rPr>
          <w:color w:val="000000"/>
        </w:rPr>
      </w:pPr>
    </w:p>
    <w:p w:rsidR="00A00D29" w:rsidRPr="00B73BD3" w:rsidRDefault="00A00D29" w:rsidP="00F258CD">
      <w:pPr>
        <w:pStyle w:val="ReasonsNumbering-AltN"/>
        <w:ind w:left="0" w:firstLine="0"/>
      </w:pPr>
      <w:r w:rsidRPr="00B73BD3">
        <w:t xml:space="preserve">After </w:t>
      </w:r>
      <w:r w:rsidRPr="00B73BD3">
        <w:rPr>
          <w:i/>
        </w:rPr>
        <w:t>Dunmore</w:t>
      </w:r>
      <w:r w:rsidRPr="00B73BD3">
        <w:t xml:space="preserve">, there could be no doubt that the right to associate to achieve workplace goals in a meaningful and substantive sense is protected by the guarantee </w:t>
      </w:r>
      <w:r w:rsidRPr="00B73BD3">
        <w:rPr>
          <w:color w:val="000000"/>
        </w:rPr>
        <w:t>of freedom of association, and that this right extends to realization of collective, as distinct from individual, goals</w:t>
      </w:r>
      <w:r w:rsidRPr="00B73BD3">
        <w:t>.  Nor could there be any doubt that legislation (or the absence of a legislative framework) that ma</w:t>
      </w:r>
      <w:r w:rsidRPr="00B73BD3">
        <w:rPr>
          <w:color w:val="000000"/>
        </w:rPr>
        <w:t>kes</w:t>
      </w:r>
      <w:r w:rsidRPr="00B73BD3">
        <w:t xml:space="preserve"> achievement of this collective goal substantially impossible, constitute</w:t>
      </w:r>
      <w:r w:rsidRPr="00B73BD3">
        <w:rPr>
          <w:color w:val="000000"/>
        </w:rPr>
        <w:t>s</w:t>
      </w:r>
      <w:r w:rsidRPr="00B73BD3">
        <w:t xml:space="preserve"> a limit on the exercise of freedom of association.  Finally, there could be no doubt that the guarantee must be interpreted generously and purposively, in accordance with Canadian values and Canada’s international commitments.</w:t>
      </w:r>
    </w:p>
    <w:p w:rsidR="00A00D29" w:rsidRPr="00B73BD3" w:rsidRDefault="00A00D29" w:rsidP="00F258CD">
      <w:pPr>
        <w:pStyle w:val="ReasonsNumbering-AltN"/>
        <w:ind w:left="0" w:firstLine="0"/>
        <w:rPr>
          <w:color w:val="000000"/>
        </w:rPr>
      </w:pPr>
      <w:r w:rsidRPr="00B73BD3">
        <w:rPr>
          <w:color w:val="000000"/>
        </w:rPr>
        <w:t xml:space="preserve">It is worth pausing at this juncture to summarize the propositions that led the majority of the Court in </w:t>
      </w:r>
      <w:r w:rsidRPr="00B73BD3">
        <w:rPr>
          <w:i/>
          <w:color w:val="000000"/>
        </w:rPr>
        <w:t>Dunmore</w:t>
      </w:r>
      <w:r w:rsidRPr="00B73BD3">
        <w:rPr>
          <w:color w:val="000000"/>
        </w:rPr>
        <w:t xml:space="preserve"> to these conclusions.  </w:t>
      </w:r>
    </w:p>
    <w:p w:rsidR="00A00D29" w:rsidRPr="00B73BD3" w:rsidRDefault="00A00D29" w:rsidP="004C0CBA">
      <w:pPr>
        <w:pStyle w:val="BulletedList"/>
        <w:ind w:left="1170" w:hanging="1170"/>
      </w:pPr>
      <w:r w:rsidRPr="00B73BD3">
        <w:t>Section 2(</w:t>
      </w:r>
      <w:r w:rsidRPr="00B73BD3">
        <w:rPr>
          <w:i/>
        </w:rPr>
        <w:t>d</w:t>
      </w:r>
      <w:r w:rsidRPr="00B73BD3">
        <w:t>), interpreted purposively, guarantees freedom of associational activity in the pursuit of individual and common goals.</w:t>
      </w:r>
    </w:p>
    <w:p w:rsidR="00A00D29" w:rsidRPr="00B73BD3" w:rsidRDefault="00A00D29" w:rsidP="004C0CBA">
      <w:pPr>
        <w:pStyle w:val="BulletedList"/>
        <w:ind w:left="1170" w:hanging="1170"/>
      </w:pPr>
      <w:r w:rsidRPr="00B73BD3">
        <w:t>The common goals protected extend to some collective bargaining activities, including the right to organize and to present submissions to the employer.</w:t>
      </w:r>
    </w:p>
    <w:p w:rsidR="00A00D29" w:rsidRPr="00B73BD3" w:rsidRDefault="00A00D29" w:rsidP="004C0CBA">
      <w:pPr>
        <w:pStyle w:val="BulletedList"/>
        <w:ind w:left="1170" w:hanging="1170"/>
      </w:pPr>
      <w:r w:rsidRPr="00B73BD3">
        <w:lastRenderedPageBreak/>
        <w:t>What is required is a process that permits the meaningful pursuit of these goals.  No particular outcome is guaranteed. However, the legislative framework must permit a process that makes it possible to pursue the goals in a meaningful way.</w:t>
      </w:r>
    </w:p>
    <w:p w:rsidR="00A00D29" w:rsidRPr="00B73BD3" w:rsidRDefault="00A00D29" w:rsidP="004C0CBA">
      <w:pPr>
        <w:pStyle w:val="BulletedList"/>
        <w:ind w:left="1170" w:hanging="1170"/>
      </w:pPr>
      <w:r w:rsidRPr="00B73BD3">
        <w:t xml:space="preserve">The </w:t>
      </w:r>
      <w:r w:rsidRPr="00B73BD3">
        <w:rPr>
          <w:i/>
        </w:rPr>
        <w:t>effect</w:t>
      </w:r>
      <w:r w:rsidRPr="00B73BD3">
        <w:t xml:space="preserve"> of a process that renders impossible the meaningful pursuit of collective goals is to substantially interfere with the exercise of the right to free association, in that it negates the very purpose of the association and renders it effectively useless.  This constitutes a limit under s. 2(</w:t>
      </w:r>
      <w:r w:rsidRPr="00B73BD3">
        <w:rPr>
          <w:i/>
        </w:rPr>
        <w:t>d</w:t>
      </w:r>
      <w:r w:rsidRPr="00B73BD3">
        <w:t xml:space="preserve">) which is unconstitutional unless justified by the state under s. 1 of the </w:t>
      </w:r>
      <w:r w:rsidRPr="00B73BD3">
        <w:rPr>
          <w:i/>
        </w:rPr>
        <w:t>Charter</w:t>
      </w:r>
      <w:r w:rsidRPr="0077165A">
        <w:t xml:space="preserve">. </w:t>
      </w:r>
      <w:r w:rsidRPr="00B73BD3">
        <w:t xml:space="preserve">(This is an application of the settled rule that a law or government act that in purpose </w:t>
      </w:r>
      <w:r w:rsidRPr="00B73BD3">
        <w:rPr>
          <w:i/>
        </w:rPr>
        <w:t xml:space="preserve">or effect </w:t>
      </w:r>
      <w:r w:rsidRPr="00B73BD3">
        <w:t xml:space="preserve">constrains exercise of a right constitutes a limitation for purposes of s. 1: see </w:t>
      </w:r>
      <w:r w:rsidRPr="00B73BD3">
        <w:rPr>
          <w:i/>
        </w:rPr>
        <w:t>Irwin Toy Ltd. v. Quebec (Attorney General)</w:t>
      </w:r>
      <w:r w:rsidRPr="00B73BD3">
        <w:t xml:space="preserve">, </w:t>
      </w:r>
      <w:r w:rsidRPr="00B73BD3">
        <w:rPr>
          <w:lang w:val="en-US"/>
        </w:rPr>
        <w:t>[1989] 1 S.C.R. 927</w:t>
      </w:r>
      <w:r w:rsidR="0077165A">
        <w:rPr>
          <w:lang w:val="en-US"/>
        </w:rPr>
        <w:t>.</w:t>
      </w:r>
      <w:r w:rsidRPr="00B73BD3">
        <w:rPr>
          <w:lang w:val="en-US"/>
        </w:rPr>
        <w:t>)</w:t>
      </w:r>
    </w:p>
    <w:p w:rsidR="00A00D29" w:rsidRPr="00B73BD3" w:rsidRDefault="00A00D29" w:rsidP="004C0CBA">
      <w:pPr>
        <w:pStyle w:val="BulletedList"/>
        <w:ind w:left="1170" w:hanging="1170"/>
      </w:pPr>
      <w:r w:rsidRPr="00B73BD3">
        <w:t>The remedy for the resultant breach of s. 2(</w:t>
      </w:r>
      <w:r w:rsidRPr="00B73BD3">
        <w:rPr>
          <w:i/>
        </w:rPr>
        <w:t>d</w:t>
      </w:r>
      <w:r w:rsidRPr="00B73BD3">
        <w:t>) is to order the state to rectify the legislative scheme to make possible meaningful associational activity in pursuit of common workplace goals.</w:t>
      </w:r>
    </w:p>
    <w:p w:rsidR="00A00D29" w:rsidRPr="00B73BD3" w:rsidRDefault="00A00D29" w:rsidP="00AA1C85">
      <w:pPr>
        <w:tabs>
          <w:tab w:val="left" w:pos="1170"/>
        </w:tabs>
        <w:spacing w:after="720"/>
        <w:ind w:left="1620" w:hanging="1530"/>
        <w:jc w:val="both"/>
        <w:rPr>
          <w:i/>
          <w:color w:val="000000"/>
        </w:rPr>
      </w:pPr>
      <w:r w:rsidRPr="00B73BD3">
        <w:rPr>
          <w:color w:val="000000"/>
        </w:rPr>
        <w:tab/>
        <w:t>(c)</w:t>
      </w:r>
      <w:r w:rsidR="00AA1C85">
        <w:rPr>
          <w:color w:val="000000"/>
        </w:rPr>
        <w:tab/>
      </w:r>
      <w:r w:rsidRPr="00B73BD3">
        <w:rPr>
          <w:i/>
          <w:color w:val="000000"/>
        </w:rPr>
        <w:t>Health Services</w:t>
      </w:r>
      <w:r w:rsidRPr="0077165A">
        <w:rPr>
          <w:i/>
          <w:color w:val="000000"/>
        </w:rPr>
        <w:t xml:space="preserve">: </w:t>
      </w:r>
      <w:proofErr w:type="gramStart"/>
      <w:r w:rsidRPr="00B73BD3">
        <w:rPr>
          <w:i/>
          <w:color w:val="000000"/>
        </w:rPr>
        <w:t>Its</w:t>
      </w:r>
      <w:proofErr w:type="gramEnd"/>
      <w:r w:rsidRPr="00B73BD3">
        <w:rPr>
          <w:i/>
          <w:color w:val="000000"/>
        </w:rPr>
        <w:t xml:space="preserve"> Impact</w:t>
      </w:r>
    </w:p>
    <w:p w:rsidR="00A00D29" w:rsidRPr="00B73BD3" w:rsidRDefault="00A00D29" w:rsidP="00F258CD">
      <w:pPr>
        <w:pStyle w:val="ReasonsNumbering-AltN"/>
        <w:ind w:left="0" w:firstLine="0"/>
      </w:pPr>
      <w:r w:rsidRPr="00B73BD3">
        <w:rPr>
          <w:i/>
          <w:color w:val="000000"/>
        </w:rPr>
        <w:t>Dunmore</w:t>
      </w:r>
      <w:r w:rsidRPr="00B73BD3">
        <w:rPr>
          <w:color w:val="000000"/>
        </w:rPr>
        <w:t xml:space="preserve"> established </w:t>
      </w:r>
      <w:r w:rsidRPr="00F258CD">
        <w:t>that</w:t>
      </w:r>
      <w:r w:rsidRPr="00B73BD3">
        <w:rPr>
          <w:color w:val="000000"/>
        </w:rPr>
        <w:t xml:space="preserve"> claimants must demonstrate the substantial impossibility of exercising their freedom of association in order to compel the government to enact statutory protections.  It did not, however, define the ambit of </w:t>
      </w:r>
      <w:r w:rsidRPr="00B73BD3">
        <w:rPr>
          <w:color w:val="000000"/>
        </w:rPr>
        <w:lastRenderedPageBreak/>
        <w:t>the right of association protected by s. 2(</w:t>
      </w:r>
      <w:r w:rsidRPr="00B73BD3">
        <w:rPr>
          <w:i/>
          <w:color w:val="000000"/>
        </w:rPr>
        <w:t>d</w:t>
      </w:r>
      <w:r w:rsidRPr="00B73BD3">
        <w:rPr>
          <w:color w:val="000000"/>
        </w:rPr>
        <w:t>) in the context of collective bargaining. Relying on</w:t>
      </w:r>
      <w:r w:rsidRPr="00B73BD3">
        <w:t xml:space="preserve"> </w:t>
      </w:r>
      <w:r w:rsidRPr="00B73BD3">
        <w:rPr>
          <w:i/>
          <w:color w:val="000000"/>
        </w:rPr>
        <w:t>Dunmore</w:t>
      </w:r>
      <w:r w:rsidRPr="00B73BD3">
        <w:rPr>
          <w:color w:val="000000"/>
        </w:rPr>
        <w:t xml:space="preserve">, the majority of the Court in </w:t>
      </w:r>
      <w:r w:rsidRPr="00B73BD3">
        <w:rPr>
          <w:i/>
          <w:color w:val="000000"/>
        </w:rPr>
        <w:t>Health Services</w:t>
      </w:r>
      <w:r w:rsidRPr="00B73BD3">
        <w:rPr>
          <w:color w:val="000000"/>
        </w:rPr>
        <w:t>,</w:t>
      </w:r>
      <w:r w:rsidRPr="00B73BD3">
        <w:rPr>
          <w:i/>
          <w:color w:val="000000"/>
        </w:rPr>
        <w:t xml:space="preserve"> per </w:t>
      </w:r>
      <w:r w:rsidRPr="00B73BD3">
        <w:rPr>
          <w:color w:val="000000"/>
        </w:rPr>
        <w:t>McLachlin C.J. and LeBel J., held that legislation and government actions that repealed existing collective agreements and substantially interfered with the possibility of meaningful collective bargaining in the future constituted a limit on the s. 2(</w:t>
      </w:r>
      <w:r w:rsidRPr="00B73BD3">
        <w:rPr>
          <w:i/>
          <w:color w:val="000000"/>
        </w:rPr>
        <w:t>d</w:t>
      </w:r>
      <w:r w:rsidRPr="00B73BD3">
        <w:rPr>
          <w:color w:val="000000"/>
        </w:rPr>
        <w:t xml:space="preserve">) right of freedom of association. </w:t>
      </w:r>
      <w:r w:rsidRPr="00B73BD3">
        <w:t xml:space="preserve"> </w:t>
      </w:r>
    </w:p>
    <w:p w:rsidR="00A00D29" w:rsidRPr="00B73BD3" w:rsidRDefault="00A00D29" w:rsidP="00F258CD">
      <w:pPr>
        <w:pStyle w:val="ReasonsNumbering-AltN"/>
        <w:ind w:left="0" w:firstLine="0"/>
        <w:rPr>
          <w:color w:val="000000"/>
        </w:rPr>
      </w:pPr>
      <w:r w:rsidRPr="00B73BD3">
        <w:t xml:space="preserve">The claimants were various unions and their members working in the health services industry of British Columbia.  The industry was highly unionized and had negotiated collective agreements regarding salaries, benefits and working conditions.  The government, directly or indirectly, was the employer.  The government wanted to reduce costs by changing the structure of its employees’ working arrangements in ways that would have been impermissible under the existing collective agreements.  It chose to do so, not through collective bargaining to the end of altering those collective agreements, but by the simple expedient of legislation.  In short, the government used its legislative powers </w:t>
      </w:r>
      <w:r w:rsidRPr="00B73BD3">
        <w:rPr>
          <w:color w:val="000000"/>
        </w:rPr>
        <w:t xml:space="preserve">to effectively nullify </w:t>
      </w:r>
      <w:r w:rsidRPr="00B73BD3">
        <w:t xml:space="preserve">the collective agreements to its benefit, and to the detriment of its employees.  The legislation not only conflicted with existing collective agreements, but also precluded collective bargaining in the future on a number of issues and conditions of employment. (See R. K. Basu, “Revolution and Aftermath: </w:t>
      </w:r>
      <w:r w:rsidRPr="00B73BD3">
        <w:rPr>
          <w:i/>
        </w:rPr>
        <w:t>B.C. Health Services</w:t>
      </w:r>
      <w:r w:rsidRPr="00B73BD3">
        <w:t xml:space="preserve"> and Its Implications” (2008), 42 </w:t>
      </w:r>
      <w:r w:rsidRPr="00B73BD3">
        <w:rPr>
          <w:i/>
        </w:rPr>
        <w:t>S.C.L.R.</w:t>
      </w:r>
      <w:r w:rsidRPr="00B73BD3">
        <w:t xml:space="preserve"> (2d) 165, at p. 177; see also M. Coutu, L. L. Fontaine and G. Marceau, </w:t>
      </w:r>
      <w:proofErr w:type="spellStart"/>
      <w:r w:rsidRPr="00B73BD3">
        <w:rPr>
          <w:i/>
        </w:rPr>
        <w:t>Droit</w:t>
      </w:r>
      <w:proofErr w:type="spellEnd"/>
      <w:r w:rsidRPr="00B73BD3">
        <w:rPr>
          <w:i/>
        </w:rPr>
        <w:t xml:space="preserve"> des rapports </w:t>
      </w:r>
      <w:proofErr w:type="spellStart"/>
      <w:r w:rsidRPr="00B73BD3">
        <w:rPr>
          <w:i/>
        </w:rPr>
        <w:t>collectifs</w:t>
      </w:r>
      <w:proofErr w:type="spellEnd"/>
      <w:r w:rsidRPr="00B73BD3">
        <w:rPr>
          <w:i/>
        </w:rPr>
        <w:t xml:space="preserve"> du travail au Québec</w:t>
      </w:r>
      <w:r w:rsidRPr="00B73BD3">
        <w:t xml:space="preserve"> (2009), at</w:t>
      </w:r>
      <w:r w:rsidRPr="00B73BD3">
        <w:rPr>
          <w:i/>
        </w:rPr>
        <w:t xml:space="preserve"> </w:t>
      </w:r>
      <w:r w:rsidRPr="00B73BD3">
        <w:t>p. 144.)</w:t>
      </w:r>
    </w:p>
    <w:p w:rsidR="00A00D29" w:rsidRPr="00B73BD3" w:rsidRDefault="00A00D29" w:rsidP="00F258CD">
      <w:pPr>
        <w:pStyle w:val="ReasonsNumbering-AltN"/>
        <w:ind w:left="0" w:firstLine="0"/>
      </w:pPr>
      <w:r w:rsidRPr="00B73BD3">
        <w:rPr>
          <w:color w:val="000000"/>
        </w:rPr>
        <w:lastRenderedPageBreak/>
        <w:t xml:space="preserve">The unions responded by </w:t>
      </w:r>
      <w:r w:rsidRPr="00F258CD">
        <w:t>bringing</w:t>
      </w:r>
      <w:r w:rsidRPr="00B73BD3">
        <w:rPr>
          <w:color w:val="000000"/>
        </w:rPr>
        <w:t xml:space="preserve"> an action claiming that the government had breached s. 2(</w:t>
      </w:r>
      <w:r w:rsidRPr="00B73BD3">
        <w:rPr>
          <w:i/>
          <w:color w:val="000000"/>
        </w:rPr>
        <w:t>d</w:t>
      </w:r>
      <w:r w:rsidRPr="00B73BD3">
        <w:rPr>
          <w:color w:val="000000"/>
        </w:rPr>
        <w:t xml:space="preserve">) by legislatively interfering with freedom of association.  They further claimed that the government had done so in circumstances that could not be justified under s. 1 of the </w:t>
      </w:r>
      <w:r w:rsidRPr="00B73BD3">
        <w:rPr>
          <w:i/>
          <w:color w:val="000000"/>
        </w:rPr>
        <w:t>Charter</w:t>
      </w:r>
      <w:r w:rsidRPr="00B73BD3">
        <w:rPr>
          <w:color w:val="000000"/>
        </w:rPr>
        <w:t xml:space="preserve">.  </w:t>
      </w:r>
      <w:r w:rsidRPr="00B73BD3">
        <w:rPr>
          <w:i/>
          <w:color w:val="000000"/>
        </w:rPr>
        <w:t>Health Services</w:t>
      </w:r>
      <w:r w:rsidRPr="00B73BD3">
        <w:rPr>
          <w:color w:val="000000"/>
        </w:rPr>
        <w:t xml:space="preserve"> thus put directly in issue the right to collective bargaining</w:t>
      </w:r>
      <w:r w:rsidRPr="00B73BD3">
        <w:rPr>
          <w:i/>
          <w:color w:val="000000"/>
        </w:rPr>
        <w:t xml:space="preserve">.  </w:t>
      </w:r>
      <w:r w:rsidRPr="00B73BD3">
        <w:rPr>
          <w:color w:val="000000"/>
        </w:rPr>
        <w:t>The claimants did not seek the enactment of associational protections.  Rather, they asserted that s. 2(</w:t>
      </w:r>
      <w:r w:rsidRPr="00B73BD3">
        <w:rPr>
          <w:i/>
          <w:color w:val="000000"/>
        </w:rPr>
        <w:t>d</w:t>
      </w:r>
      <w:r w:rsidRPr="00B73BD3">
        <w:rPr>
          <w:color w:val="000000"/>
        </w:rPr>
        <w:t>) protected a right to collective bargaining and that the government had violated the constitutional guarantee of freedom of association by legislating to both overturn existing contracts and preclude effective collective bargaining in the future.  The unions lost at trial and on appeal but succeeded in this Court.</w:t>
      </w:r>
    </w:p>
    <w:p w:rsidR="00A00D29" w:rsidRPr="00B73BD3" w:rsidRDefault="00A00D29" w:rsidP="00F258CD">
      <w:pPr>
        <w:pStyle w:val="ReasonsNumbering-AltN"/>
        <w:ind w:left="0" w:firstLine="0"/>
        <w:rPr>
          <w:color w:val="000000"/>
        </w:rPr>
      </w:pPr>
      <w:r w:rsidRPr="00B73BD3">
        <w:rPr>
          <w:color w:val="000000"/>
        </w:rPr>
        <w:t xml:space="preserve">While </w:t>
      </w:r>
      <w:r w:rsidRPr="00B73BD3">
        <w:rPr>
          <w:i/>
          <w:color w:val="000000"/>
        </w:rPr>
        <w:t>Health Services</w:t>
      </w:r>
      <w:r w:rsidRPr="00B73BD3">
        <w:rPr>
          <w:color w:val="000000"/>
        </w:rPr>
        <w:t xml:space="preserve"> </w:t>
      </w:r>
      <w:r w:rsidRPr="00F258CD">
        <w:t>concerned</w:t>
      </w:r>
      <w:r w:rsidRPr="00B73BD3">
        <w:rPr>
          <w:color w:val="000000"/>
        </w:rPr>
        <w:t xml:space="preserve"> the actions of a government employer nullifying collective bargaining arrangements with unions representing its own employees, the Court rested its decision on a more general discussion of s. 2 of the </w:t>
      </w:r>
      <w:r w:rsidRPr="00B73BD3">
        <w:rPr>
          <w:i/>
          <w:color w:val="000000"/>
        </w:rPr>
        <w:t>Charter</w:t>
      </w:r>
      <w:r w:rsidRPr="00B73BD3">
        <w:rPr>
          <w:color w:val="000000"/>
        </w:rPr>
        <w:t xml:space="preserve">. Applying the principles of interpretation established in </w:t>
      </w:r>
      <w:r w:rsidRPr="00B73BD3">
        <w:rPr>
          <w:i/>
          <w:color w:val="000000"/>
        </w:rPr>
        <w:t>Dunmore</w:t>
      </w:r>
      <w:r w:rsidRPr="00B73BD3">
        <w:rPr>
          <w:color w:val="000000"/>
        </w:rPr>
        <w:t xml:space="preserve">, a majority of the Court </w:t>
      </w:r>
      <w:r w:rsidRPr="00B73BD3">
        <w:t>held that s. 2(</w:t>
      </w:r>
      <w:r w:rsidRPr="00B73BD3">
        <w:rPr>
          <w:i/>
        </w:rPr>
        <w:t>d</w:t>
      </w:r>
      <w:r w:rsidRPr="00B73BD3">
        <w:t xml:space="preserve">) includes “a process of collective action to achieve workplace goals” (para. 19). </w:t>
      </w:r>
      <w:r w:rsidRPr="00B73BD3">
        <w:rPr>
          <w:color w:val="000000"/>
        </w:rPr>
        <w:t xml:space="preserve"> This process requires the parties to meet and bargain in good faith on issues of fundamental importance in the workplace (para. 90)</w:t>
      </w:r>
      <w:r w:rsidRPr="00B73BD3">
        <w:t xml:space="preserve">.  By legislating to undo the existing collective bargaining arrangements and by hampering future collective bargaining on important workplace issues, the British Columbia government had “substantially interfered” with </w:t>
      </w:r>
      <w:r w:rsidRPr="00B73BD3">
        <w:rPr>
          <w:color w:val="000000"/>
        </w:rPr>
        <w:t>the s. 2(</w:t>
      </w:r>
      <w:r w:rsidRPr="00B73BD3">
        <w:rPr>
          <w:i/>
          <w:color w:val="000000"/>
        </w:rPr>
        <w:t>d</w:t>
      </w:r>
      <w:r w:rsidRPr="00B73BD3">
        <w:rPr>
          <w:color w:val="000000"/>
        </w:rPr>
        <w:t xml:space="preserve">) </w:t>
      </w:r>
      <w:r w:rsidRPr="00B73BD3">
        <w:t>right</w:t>
      </w:r>
      <w:r w:rsidRPr="00B73BD3">
        <w:rPr>
          <w:color w:val="000000"/>
        </w:rPr>
        <w:t xml:space="preserve"> of free association, and</w:t>
      </w:r>
      <w:r w:rsidRPr="00B73BD3">
        <w:t xml:space="preserve"> had failed to justify the resultant limitation on the exercise of the right under s. 1 of the </w:t>
      </w:r>
      <w:r w:rsidRPr="00B73BD3">
        <w:rPr>
          <w:i/>
        </w:rPr>
        <w:t xml:space="preserve">Charter </w:t>
      </w:r>
      <w:r w:rsidRPr="00B73BD3">
        <w:t>(</w:t>
      </w:r>
      <w:r w:rsidR="0077165A">
        <w:rPr>
          <w:color w:val="000000"/>
        </w:rPr>
        <w:t>paras. 129-</w:t>
      </w:r>
      <w:r w:rsidRPr="00B73BD3">
        <w:rPr>
          <w:color w:val="000000"/>
        </w:rPr>
        <w:t>61</w:t>
      </w:r>
      <w:r w:rsidRPr="00B73BD3">
        <w:t>).</w:t>
      </w:r>
    </w:p>
    <w:p w:rsidR="00A00D29" w:rsidRPr="00B73BD3" w:rsidRDefault="00A00D29" w:rsidP="00F258CD">
      <w:pPr>
        <w:pStyle w:val="ReasonsNumbering-AltN"/>
        <w:ind w:left="0" w:firstLine="0"/>
      </w:pPr>
      <w:r w:rsidRPr="00B73BD3">
        <w:rPr>
          <w:color w:val="000000"/>
        </w:rPr>
        <w:lastRenderedPageBreak/>
        <w:t xml:space="preserve">The decision in </w:t>
      </w:r>
      <w:r w:rsidRPr="00B73BD3">
        <w:rPr>
          <w:i/>
          <w:color w:val="000000"/>
        </w:rPr>
        <w:t>Health Services</w:t>
      </w:r>
      <w:r w:rsidRPr="00B73BD3">
        <w:rPr>
          <w:color w:val="000000"/>
        </w:rPr>
        <w:t xml:space="preserve"> </w:t>
      </w:r>
      <w:r w:rsidRPr="00F258CD">
        <w:t>follows</w:t>
      </w:r>
      <w:r w:rsidRPr="00B73BD3">
        <w:rPr>
          <w:color w:val="000000"/>
        </w:rPr>
        <w:t xml:space="preserve"> directly from the principles enunciated in </w:t>
      </w:r>
      <w:r w:rsidRPr="00B73BD3">
        <w:rPr>
          <w:i/>
          <w:color w:val="000000"/>
        </w:rPr>
        <w:t>Dunmore</w:t>
      </w:r>
      <w:r w:rsidRPr="00B73BD3">
        <w:rPr>
          <w:color w:val="000000"/>
        </w:rPr>
        <w:t>.  Section 2(</w:t>
      </w:r>
      <w:r w:rsidRPr="00B73BD3">
        <w:rPr>
          <w:i/>
          <w:color w:val="000000"/>
        </w:rPr>
        <w:t>d</w:t>
      </w:r>
      <w:r w:rsidRPr="00B73BD3">
        <w:rPr>
          <w:color w:val="000000"/>
        </w:rPr>
        <w:t>), interpreted purposively and in light of Canada’s values and commitments, protects associational collective activity in furtherance of workplace goals.  The right is not merely a paper right, but a right to a process that permits meaningful pursuit of those goals.  The claimants had a right to pursue workplace goals and collective bargaining activities related to those goals.  The government employer passed legislation and took actions that rendered the meaningful pursuit of these goals impossible and effectively nullified the right to associate of its employees.  This constituted a limit on the exercise of s.</w:t>
      </w:r>
      <w:r w:rsidRPr="00B73BD3">
        <w:t xml:space="preserve"> </w:t>
      </w:r>
      <w:r w:rsidRPr="00B73BD3">
        <w:rPr>
          <w:color w:val="000000"/>
        </w:rPr>
        <w:t>2(</w:t>
      </w:r>
      <w:r w:rsidRPr="00B73BD3">
        <w:rPr>
          <w:i/>
          <w:color w:val="000000"/>
        </w:rPr>
        <w:t>d</w:t>
      </w:r>
      <w:r w:rsidRPr="00B73BD3">
        <w:rPr>
          <w:color w:val="000000"/>
        </w:rPr>
        <w:t xml:space="preserve">), and was thus unconstitutional unless justified under s. 1 of the </w:t>
      </w:r>
      <w:r w:rsidRPr="00B73BD3">
        <w:rPr>
          <w:i/>
          <w:color w:val="000000"/>
        </w:rPr>
        <w:t>Charter</w:t>
      </w:r>
      <w:r w:rsidRPr="00B73BD3">
        <w:rPr>
          <w:color w:val="000000"/>
        </w:rPr>
        <w:t xml:space="preserve">. </w:t>
      </w:r>
      <w:r w:rsidRPr="00B73BD3">
        <w:t xml:space="preserve"> </w:t>
      </w:r>
    </w:p>
    <w:p w:rsidR="00A00D29" w:rsidRPr="00B73BD3" w:rsidRDefault="00A00D29" w:rsidP="00F258CD">
      <w:pPr>
        <w:pStyle w:val="ReasonsNumbering-AltN"/>
        <w:ind w:left="0" w:firstLine="0"/>
        <w:rPr>
          <w:color w:val="000000"/>
        </w:rPr>
      </w:pPr>
      <w:r w:rsidRPr="00B73BD3">
        <w:rPr>
          <w:color w:val="000000"/>
        </w:rPr>
        <w:t xml:space="preserve">While the majority </w:t>
      </w:r>
      <w:r w:rsidRPr="00F258CD">
        <w:t>decision</w:t>
      </w:r>
      <w:r w:rsidRPr="00B73BD3">
        <w:rPr>
          <w:color w:val="000000"/>
        </w:rPr>
        <w:t xml:space="preserve"> in </w:t>
      </w:r>
      <w:r w:rsidRPr="00B73BD3">
        <w:rPr>
          <w:i/>
          <w:color w:val="000000"/>
        </w:rPr>
        <w:t xml:space="preserve">Health Services </w:t>
      </w:r>
      <w:r w:rsidRPr="00B73BD3">
        <w:rPr>
          <w:color w:val="000000"/>
        </w:rPr>
        <w:t xml:space="preserve">sits firmly within the principles the Court had earlier set out in </w:t>
      </w:r>
      <w:r w:rsidRPr="00B73BD3">
        <w:rPr>
          <w:i/>
          <w:color w:val="000000"/>
        </w:rPr>
        <w:t>Dunmore</w:t>
      </w:r>
      <w:r w:rsidRPr="00B73BD3">
        <w:rPr>
          <w:color w:val="000000"/>
        </w:rPr>
        <w:t>,</w:t>
      </w:r>
      <w:r w:rsidRPr="00B73BD3">
        <w:rPr>
          <w:i/>
          <w:color w:val="000000"/>
        </w:rPr>
        <w:t xml:space="preserve"> </w:t>
      </w:r>
      <w:r w:rsidRPr="00B73BD3">
        <w:rPr>
          <w:color w:val="000000"/>
        </w:rPr>
        <w:t>in its discussion of the s.</w:t>
      </w:r>
      <w:r w:rsidRPr="00B73BD3">
        <w:t xml:space="preserve"> </w:t>
      </w:r>
      <w:r w:rsidRPr="00B73BD3">
        <w:rPr>
          <w:color w:val="000000"/>
        </w:rPr>
        <w:t>2(</w:t>
      </w:r>
      <w:r w:rsidRPr="00B73BD3">
        <w:rPr>
          <w:i/>
          <w:color w:val="000000"/>
        </w:rPr>
        <w:t>d</w:t>
      </w:r>
      <w:r w:rsidRPr="00B73BD3">
        <w:rPr>
          <w:color w:val="000000"/>
        </w:rPr>
        <w:t>) right the Court went on to explain in greater detail what the government must permit in order to avoid the charge of substantial interference with the s.</w:t>
      </w:r>
      <w:r w:rsidRPr="00B73BD3">
        <w:t xml:space="preserve"> </w:t>
      </w:r>
      <w:r w:rsidRPr="00B73BD3">
        <w:rPr>
          <w:color w:val="000000"/>
        </w:rPr>
        <w:t>2(</w:t>
      </w:r>
      <w:r w:rsidRPr="00B73BD3">
        <w:rPr>
          <w:i/>
          <w:color w:val="000000"/>
        </w:rPr>
        <w:t>d</w:t>
      </w:r>
      <w:r w:rsidRPr="00B73BD3">
        <w:rPr>
          <w:color w:val="000000"/>
        </w:rPr>
        <w:t xml:space="preserve">) right in the context of collective action in pursuit of workplace goals.  In </w:t>
      </w:r>
      <w:r w:rsidRPr="00B73BD3">
        <w:rPr>
          <w:i/>
          <w:color w:val="000000"/>
        </w:rPr>
        <w:t>Dunmore</w:t>
      </w:r>
      <w:r w:rsidRPr="00B73BD3">
        <w:rPr>
          <w:color w:val="000000"/>
        </w:rPr>
        <w:t>,</w:t>
      </w:r>
      <w:r w:rsidRPr="00B73BD3">
        <w:rPr>
          <w:i/>
          <w:color w:val="000000"/>
        </w:rPr>
        <w:t xml:space="preserve"> </w:t>
      </w:r>
      <w:r w:rsidRPr="00B73BD3">
        <w:rPr>
          <w:color w:val="000000"/>
        </w:rPr>
        <w:t>Bastarache J. stated that “</w:t>
      </w:r>
      <w:r w:rsidRPr="00B73BD3">
        <w:t xml:space="preserve">the effective exercise of these freedoms may require . . . the exercise of certain collective activities, such as making majority representations </w:t>
      </w:r>
      <w:r w:rsidR="0077165A">
        <w:t xml:space="preserve">to one’s employer” (para. 30). </w:t>
      </w:r>
      <w:r w:rsidRPr="00B73BD3">
        <w:t xml:space="preserve"> </w:t>
      </w:r>
      <w:r w:rsidRPr="00B73BD3">
        <w:rPr>
          <w:color w:val="000000"/>
        </w:rPr>
        <w:t xml:space="preserve">It remained uncertain what other collective activities might be protected. </w:t>
      </w:r>
    </w:p>
    <w:p w:rsidR="00A00D29" w:rsidRPr="00B73BD3" w:rsidRDefault="00A00D29" w:rsidP="00F258CD">
      <w:pPr>
        <w:pStyle w:val="ReasonsNumbering-AltN"/>
        <w:ind w:left="0" w:firstLine="0"/>
        <w:rPr>
          <w:color w:val="000000"/>
        </w:rPr>
      </w:pPr>
      <w:r w:rsidRPr="00B73BD3">
        <w:rPr>
          <w:color w:val="000000"/>
        </w:rPr>
        <w:t xml:space="preserve">The majority of the </w:t>
      </w:r>
      <w:r w:rsidRPr="00F258CD">
        <w:t>Court</w:t>
      </w:r>
      <w:r w:rsidRPr="00B73BD3">
        <w:rPr>
          <w:color w:val="000000"/>
        </w:rPr>
        <w:t xml:space="preserve"> in </w:t>
      </w:r>
      <w:r w:rsidRPr="00B73BD3">
        <w:rPr>
          <w:i/>
          <w:color w:val="000000"/>
        </w:rPr>
        <w:t>Health Services</w:t>
      </w:r>
      <w:r w:rsidRPr="00B73BD3">
        <w:rPr>
          <w:color w:val="000000"/>
        </w:rPr>
        <w:t xml:space="preserve"> affirmed</w:t>
      </w:r>
      <w:r w:rsidRPr="00B73BD3">
        <w:t xml:space="preserve"> </w:t>
      </w:r>
      <w:r w:rsidRPr="00B73BD3">
        <w:rPr>
          <w:color w:val="000000"/>
        </w:rPr>
        <w:t>that bargaining activities protected by s.</w:t>
      </w:r>
      <w:r w:rsidRPr="00B73BD3">
        <w:t> </w:t>
      </w:r>
      <w:r w:rsidRPr="00B73BD3">
        <w:rPr>
          <w:color w:val="000000"/>
        </w:rPr>
        <w:t>2(</w:t>
      </w:r>
      <w:r w:rsidRPr="00B73BD3">
        <w:rPr>
          <w:i/>
          <w:color w:val="000000"/>
        </w:rPr>
        <w:t>d</w:t>
      </w:r>
      <w:r w:rsidRPr="00B73BD3">
        <w:rPr>
          <w:color w:val="000000"/>
        </w:rPr>
        <w:t xml:space="preserve">) in the labour relations context include good faith </w:t>
      </w:r>
      <w:r w:rsidRPr="00B73BD3">
        <w:rPr>
          <w:color w:val="000000"/>
        </w:rPr>
        <w:lastRenderedPageBreak/>
        <w:t>bargaining on important workplace issues (para. 94; see also paras. 93, 130</w:t>
      </w:r>
      <w:r w:rsidR="0077165A">
        <w:rPr>
          <w:color w:val="000000"/>
        </w:rPr>
        <w:t xml:space="preserve"> and</w:t>
      </w:r>
      <w:r w:rsidRPr="00B73BD3">
        <w:rPr>
          <w:color w:val="000000"/>
        </w:rPr>
        <w:t xml:space="preserve"> 135).  This is not limited to a mere right to make representations to one’s employer, but requires the employer to engage in a process of consideration and discussion to have them considered by the employer.  In this sense, collective bargaining is protected by s. 2(</w:t>
      </w:r>
      <w:r w:rsidRPr="00B73BD3">
        <w:rPr>
          <w:i/>
          <w:color w:val="000000"/>
        </w:rPr>
        <w:t>d</w:t>
      </w:r>
      <w:r w:rsidRPr="00B73BD3">
        <w:rPr>
          <w:color w:val="000000"/>
        </w:rPr>
        <w:t>). The majority stated:</w:t>
      </w:r>
    </w:p>
    <w:p w:rsidR="00A00D29" w:rsidRPr="00B73BD3" w:rsidRDefault="00A00D29" w:rsidP="00A00D29">
      <w:pPr>
        <w:pStyle w:val="Citation"/>
        <w:shd w:val="clear" w:color="000000" w:fill="auto"/>
        <w:rPr>
          <w:color w:val="000000"/>
        </w:rPr>
      </w:pPr>
      <w:r w:rsidRPr="00B73BD3">
        <w:rPr>
          <w:color w:val="000000"/>
        </w:rPr>
        <w:t xml:space="preserve">Thus the employees’ right to collective bargaining imposes corresponding duties on the employer.  It requires both employer and employees to meet and to bargain in good faith, in the pursuit of a common goal of peaceful and productive accommodation.  </w:t>
      </w:r>
      <w:r w:rsidRPr="00B73BD3">
        <w:rPr>
          <w:color w:val="000000"/>
          <w:lang w:val="en-US"/>
        </w:rPr>
        <w:t>[</w:t>
      </w:r>
      <w:r w:rsidRPr="00B73BD3">
        <w:rPr>
          <w:color w:val="000000"/>
        </w:rPr>
        <w:t>para. 90]</w:t>
      </w:r>
    </w:p>
    <w:p w:rsidR="00A00D29" w:rsidRPr="00B73BD3" w:rsidRDefault="00A00D29" w:rsidP="00F258CD">
      <w:pPr>
        <w:pStyle w:val="ReasonsNumbering-AltN"/>
        <w:ind w:left="0" w:firstLine="0"/>
        <w:rPr>
          <w:color w:val="000000"/>
        </w:rPr>
      </w:pPr>
      <w:r w:rsidRPr="00B73BD3">
        <w:rPr>
          <w:color w:val="000000"/>
        </w:rPr>
        <w:t>By way of elaboration on what constitutes good faith negotiation, the majority of the Court stated:</w:t>
      </w:r>
    </w:p>
    <w:p w:rsidR="00A00D29" w:rsidRPr="00B73BD3" w:rsidRDefault="00A00D29" w:rsidP="00391007">
      <w:pPr>
        <w:pStyle w:val="BulletedList"/>
        <w:ind w:left="1170" w:hanging="1170"/>
      </w:pPr>
      <w:r w:rsidRPr="00B73BD3">
        <w:t>Section 2(</w:t>
      </w:r>
      <w:r w:rsidRPr="00B73BD3">
        <w:rPr>
          <w:i/>
        </w:rPr>
        <w:t>d</w:t>
      </w:r>
      <w:r w:rsidRPr="00B73BD3">
        <w:t>) requires the parties to meet and engage in meaningful dialogue. They must avoid unnecessary delays and make a reasonable effort to arrive at an acceptable contract (paras. 98, 100</w:t>
      </w:r>
      <w:r w:rsidR="00253B43">
        <w:t>-</w:t>
      </w:r>
      <w:r w:rsidRPr="00B73BD3">
        <w:t>101);</w:t>
      </w:r>
    </w:p>
    <w:p w:rsidR="00A00D29" w:rsidRPr="00B73BD3" w:rsidRDefault="00A00D29" w:rsidP="00391007">
      <w:pPr>
        <w:pStyle w:val="BulletedList"/>
        <w:ind w:left="1170" w:hanging="1170"/>
      </w:pPr>
      <w:bookmarkStart w:id="0" w:name="OLE_LINK1"/>
      <w:bookmarkStart w:id="1" w:name="OLE_LINK2"/>
      <w:r w:rsidRPr="00B73BD3">
        <w:t>Section 2(</w:t>
      </w:r>
      <w:r w:rsidRPr="00B73BD3">
        <w:rPr>
          <w:i/>
        </w:rPr>
        <w:t>d</w:t>
      </w:r>
      <w:r w:rsidRPr="00B73BD3">
        <w:t>) does not impose a particular process.  Different situations may demand different processes and timelines (para. 107);</w:t>
      </w:r>
    </w:p>
    <w:bookmarkEnd w:id="0"/>
    <w:bookmarkEnd w:id="1"/>
    <w:p w:rsidR="00A00D29" w:rsidRPr="00B73BD3" w:rsidRDefault="00A00D29" w:rsidP="00391007">
      <w:pPr>
        <w:pStyle w:val="BulletedList"/>
        <w:ind w:left="1170" w:hanging="1170"/>
      </w:pPr>
      <w:r w:rsidRPr="00B73BD3">
        <w:t>Section 2(</w:t>
      </w:r>
      <w:r w:rsidRPr="00B73BD3">
        <w:rPr>
          <w:i/>
        </w:rPr>
        <w:t>d</w:t>
      </w:r>
      <w:r w:rsidRPr="00B73BD3">
        <w:t>) does not require the parties to conclude an agreement or accept any particular terms and does not guarantee a legislated dispute resolution mechanism in the case of an impasse (paras. 102-3);</w:t>
      </w:r>
    </w:p>
    <w:p w:rsidR="00A00D29" w:rsidRPr="00B73BD3" w:rsidRDefault="00A00D29" w:rsidP="00391007">
      <w:pPr>
        <w:pStyle w:val="BulletedList"/>
        <w:ind w:left="1170" w:hanging="1170"/>
      </w:pPr>
      <w:r w:rsidRPr="00B73BD3">
        <w:lastRenderedPageBreak/>
        <w:t>Section 2(</w:t>
      </w:r>
      <w:r w:rsidRPr="00B73BD3">
        <w:rPr>
          <w:i/>
        </w:rPr>
        <w:t>d</w:t>
      </w:r>
      <w:r w:rsidRPr="00B73BD3">
        <w:t>) protects only “the right . . . to a general process of collective bargaining, not to a particular model of labour relations, nor to a specific bargaining method” (para. 91).</w:t>
      </w:r>
    </w:p>
    <w:p w:rsidR="00A00D29" w:rsidRPr="00B73BD3" w:rsidRDefault="00A00D29" w:rsidP="00F258CD">
      <w:pPr>
        <w:pStyle w:val="ReasonsNumbering-AltN"/>
        <w:ind w:left="0" w:firstLine="0"/>
      </w:pPr>
      <w:r w:rsidRPr="00B73BD3">
        <w:rPr>
          <w:color w:val="000000"/>
        </w:rPr>
        <w:t xml:space="preserve">The Court in </w:t>
      </w:r>
      <w:r w:rsidRPr="00B73BD3">
        <w:rPr>
          <w:i/>
          <w:color w:val="000000"/>
        </w:rPr>
        <w:t xml:space="preserve">Health Services </w:t>
      </w:r>
      <w:r w:rsidRPr="00F258CD">
        <w:t>emphasized</w:t>
      </w:r>
      <w:r w:rsidRPr="00B73BD3">
        <w:rPr>
          <w:color w:val="000000"/>
        </w:rPr>
        <w:t xml:space="preserve"> that s. 2(</w:t>
      </w:r>
      <w:r w:rsidRPr="00B73BD3">
        <w:rPr>
          <w:i/>
          <w:color w:val="000000"/>
        </w:rPr>
        <w:t>d</w:t>
      </w:r>
      <w:r w:rsidRPr="00B73BD3">
        <w:rPr>
          <w:color w:val="000000"/>
        </w:rPr>
        <w:t>) does not require a particular model of bargaining, nor a particular outcome.  What s.</w:t>
      </w:r>
      <w:r w:rsidRPr="00B73BD3">
        <w:t xml:space="preserve"> </w:t>
      </w:r>
      <w:r w:rsidRPr="00B73BD3">
        <w:rPr>
          <w:color w:val="000000"/>
        </w:rPr>
        <w:t>2(</w:t>
      </w:r>
      <w:r w:rsidRPr="00B73BD3">
        <w:rPr>
          <w:i/>
          <w:color w:val="000000"/>
        </w:rPr>
        <w:t>d</w:t>
      </w:r>
      <w:r w:rsidRPr="00B73BD3">
        <w:rPr>
          <w:color w:val="000000"/>
        </w:rPr>
        <w:t xml:space="preserve">) guarantees in the labour relations context is a meaningful process.  A process which permits an employer not even to consider employee representations is not a meaningful process. To use the language of </w:t>
      </w:r>
      <w:r w:rsidRPr="00B73BD3">
        <w:rPr>
          <w:i/>
          <w:color w:val="000000"/>
        </w:rPr>
        <w:t>Dunmore</w:t>
      </w:r>
      <w:r w:rsidRPr="00B73BD3">
        <w:rPr>
          <w:color w:val="000000"/>
        </w:rPr>
        <w:t xml:space="preserve">, it is among those “collective activities </w:t>
      </w:r>
      <w:r w:rsidRPr="00B73BD3">
        <w:rPr>
          <w:color w:val="000000"/>
          <w:lang w:val="en-US"/>
        </w:rPr>
        <w:t>[</w:t>
      </w:r>
      <w:r w:rsidRPr="00B73BD3">
        <w:rPr>
          <w:color w:val="000000"/>
        </w:rPr>
        <w:t>that] must be recognized if the freedom to form and maintain an association is to have any meaning” (para. 17).  Without such a process, the purpose of associating in pursuit of workplace goals would be defeated, resulting in a significant impairment of the exercise of the right to freedom of association.</w:t>
      </w:r>
      <w:r w:rsidRPr="00B73BD3">
        <w:t xml:space="preserve">  </w:t>
      </w:r>
      <w:r w:rsidRPr="00B73BD3">
        <w:rPr>
          <w:color w:val="000000"/>
        </w:rPr>
        <w:t>One way to interfere with free association in pursuit of workplace goals is to ban employee associations.  Another way, just as effective, is to set up a system that makes it impossible to have meaningful negotiations on workplace matters.  Both approaches in fact limit the exercise of the s.</w:t>
      </w:r>
      <w:r w:rsidRPr="00B73BD3">
        <w:t xml:space="preserve"> </w:t>
      </w:r>
      <w:r w:rsidRPr="00B73BD3">
        <w:rPr>
          <w:color w:val="000000"/>
        </w:rPr>
        <w:t>2(</w:t>
      </w:r>
      <w:r w:rsidRPr="00B73BD3">
        <w:rPr>
          <w:i/>
          <w:color w:val="000000"/>
        </w:rPr>
        <w:t>d</w:t>
      </w:r>
      <w:r w:rsidRPr="00B73BD3">
        <w:rPr>
          <w:color w:val="000000"/>
        </w:rPr>
        <w:t xml:space="preserve">) associational right, and both must be justified under s. 1 of the </w:t>
      </w:r>
      <w:r w:rsidRPr="00B73BD3">
        <w:rPr>
          <w:i/>
          <w:color w:val="000000"/>
        </w:rPr>
        <w:t>Charter</w:t>
      </w:r>
      <w:r w:rsidRPr="00B73BD3">
        <w:rPr>
          <w:color w:val="000000"/>
        </w:rPr>
        <w:t xml:space="preserve"> to avoid unconstitutionality.</w:t>
      </w:r>
    </w:p>
    <w:p w:rsidR="00A00D29" w:rsidRPr="00B73BD3" w:rsidRDefault="00A00D29" w:rsidP="00F258CD">
      <w:pPr>
        <w:pStyle w:val="ReasonsNumbering-AltN"/>
        <w:ind w:left="0" w:firstLine="0"/>
        <w:rPr>
          <w:color w:val="000000"/>
        </w:rPr>
      </w:pPr>
      <w:r w:rsidRPr="00B73BD3">
        <w:rPr>
          <w:color w:val="000000"/>
        </w:rPr>
        <w:t xml:space="preserve">In summary, </w:t>
      </w:r>
      <w:r w:rsidRPr="00B73BD3">
        <w:rPr>
          <w:i/>
          <w:color w:val="000000"/>
        </w:rPr>
        <w:t xml:space="preserve">Health Services </w:t>
      </w:r>
      <w:r w:rsidRPr="00F258CD">
        <w:t>applied</w:t>
      </w:r>
      <w:r w:rsidRPr="00B73BD3">
        <w:rPr>
          <w:color w:val="000000"/>
        </w:rPr>
        <w:t xml:space="preserve"> the principles developed in </w:t>
      </w:r>
      <w:r w:rsidRPr="00B73BD3">
        <w:rPr>
          <w:i/>
          <w:color w:val="000000"/>
        </w:rPr>
        <w:t xml:space="preserve">Dunmore </w:t>
      </w:r>
      <w:r w:rsidRPr="00B73BD3">
        <w:rPr>
          <w:color w:val="000000"/>
        </w:rPr>
        <w:t>and</w:t>
      </w:r>
      <w:r w:rsidRPr="00B73BD3">
        <w:t xml:space="preserve"> </w:t>
      </w:r>
      <w:r w:rsidRPr="00B73BD3">
        <w:rPr>
          <w:color w:val="000000"/>
        </w:rPr>
        <w:t>explained more fully what is required to avoid interfering with associational activity in pursuit of workplace goals</w:t>
      </w:r>
      <w:r w:rsidRPr="00B73BD3">
        <w:t xml:space="preserve"> </w:t>
      </w:r>
      <w:r w:rsidRPr="00B73BD3">
        <w:rPr>
          <w:color w:val="000000"/>
        </w:rPr>
        <w:t>and undermining the associational right protected by s. 2(</w:t>
      </w:r>
      <w:r w:rsidRPr="00B73BD3">
        <w:rPr>
          <w:i/>
          <w:color w:val="000000"/>
        </w:rPr>
        <w:t>d</w:t>
      </w:r>
      <w:r w:rsidRPr="00B73BD3">
        <w:rPr>
          <w:color w:val="000000"/>
        </w:rPr>
        <w:t xml:space="preserve">).  Its suggestion that this requires a good faith process of </w:t>
      </w:r>
      <w:r w:rsidRPr="00B73BD3">
        <w:rPr>
          <w:color w:val="000000"/>
        </w:rPr>
        <w:lastRenderedPageBreak/>
        <w:t xml:space="preserve">consideration by the employer of employee representations and of discussion with their representatives is hardly radical.  It is difficult to imagine a meaningful collective process in pursuit of workplace aims that does not involve the employer at least considering, in good faith, employee representations.  The protection for collective bargaining in the sense affirmed in </w:t>
      </w:r>
      <w:r w:rsidRPr="00B73BD3">
        <w:rPr>
          <w:i/>
          <w:color w:val="000000"/>
        </w:rPr>
        <w:t xml:space="preserve">Health Services </w:t>
      </w:r>
      <w:r w:rsidRPr="00B73BD3">
        <w:rPr>
          <w:color w:val="000000"/>
        </w:rPr>
        <w:t>is quite simply a necessary condition of meaningful associati</w:t>
      </w:r>
      <w:r w:rsidR="0052170F">
        <w:rPr>
          <w:color w:val="000000"/>
        </w:rPr>
        <w:t xml:space="preserve">on in the workplace context. </w:t>
      </w:r>
    </w:p>
    <w:p w:rsidR="00A00D29" w:rsidRPr="00B73BD3" w:rsidRDefault="00A00D29" w:rsidP="00C03F0A">
      <w:pPr>
        <w:tabs>
          <w:tab w:val="left" w:pos="1260"/>
          <w:tab w:val="left" w:pos="1530"/>
        </w:tabs>
        <w:spacing w:after="720"/>
        <w:ind w:left="1710" w:hanging="1710"/>
        <w:jc w:val="both"/>
        <w:rPr>
          <w:color w:val="000000"/>
          <w:u w:val="single"/>
        </w:rPr>
      </w:pPr>
      <w:r w:rsidRPr="00B73BD3">
        <w:rPr>
          <w:color w:val="000000"/>
        </w:rPr>
        <w:tab/>
        <w:t>(d)</w:t>
      </w:r>
      <w:r w:rsidR="00C03F0A">
        <w:rPr>
          <w:color w:val="000000"/>
        </w:rPr>
        <w:tab/>
      </w:r>
      <w:r w:rsidRPr="00B73BD3">
        <w:rPr>
          <w:i/>
          <w:color w:val="000000"/>
        </w:rPr>
        <w:t>The Issue on This Appeal</w:t>
      </w:r>
    </w:p>
    <w:p w:rsidR="00A00D29" w:rsidRPr="00B73BD3" w:rsidRDefault="00A00D29" w:rsidP="00F258CD">
      <w:pPr>
        <w:pStyle w:val="ReasonsNumbering-AltN"/>
        <w:ind w:left="0" w:firstLine="0"/>
      </w:pPr>
      <w:r w:rsidRPr="00B73BD3">
        <w:rPr>
          <w:color w:val="000000"/>
        </w:rPr>
        <w:t xml:space="preserve">Against this background, we return to </w:t>
      </w:r>
      <w:r w:rsidRPr="00F258CD">
        <w:t>the</w:t>
      </w:r>
      <w:r w:rsidRPr="00B73BD3">
        <w:rPr>
          <w:color w:val="000000"/>
        </w:rPr>
        <w:t xml:space="preserve"> issue in this case.  The Court of Appeal held that </w:t>
      </w:r>
      <w:r w:rsidRPr="00B73BD3">
        <w:rPr>
          <w:i/>
          <w:color w:val="000000"/>
        </w:rPr>
        <w:t>Health Services</w:t>
      </w:r>
      <w:r w:rsidRPr="00B73BD3">
        <w:rPr>
          <w:color w:val="000000"/>
        </w:rPr>
        <w:t xml:space="preserve"> constitutionalizes a full-blown Wagner system of collective bargaining, and concluded that since the </w:t>
      </w:r>
      <w:r w:rsidRPr="00B73BD3">
        <w:rPr>
          <w:i/>
          <w:color w:val="000000"/>
        </w:rPr>
        <w:t>AEPA</w:t>
      </w:r>
      <w:r w:rsidRPr="00B73BD3">
        <w:rPr>
          <w:color w:val="000000"/>
        </w:rPr>
        <w:t xml:space="preserve"> did not provide such a model, absent s. 1 justification, it is unconstitutional.  The court appears to have understood the affirmation of the right to collective bargaining in </w:t>
      </w:r>
      <w:r w:rsidRPr="00B73BD3">
        <w:rPr>
          <w:i/>
          <w:color w:val="000000"/>
        </w:rPr>
        <w:t>Health Services</w:t>
      </w:r>
      <w:r w:rsidRPr="00B73BD3">
        <w:rPr>
          <w:color w:val="000000"/>
        </w:rPr>
        <w:t xml:space="preserve"> as an affirmation of a particular type of collective bargaining, the Wagner model which is dominant in Canada.</w:t>
      </w:r>
    </w:p>
    <w:p w:rsidR="00A00D29" w:rsidRPr="00B73BD3" w:rsidRDefault="00A00D29" w:rsidP="00F258CD">
      <w:pPr>
        <w:pStyle w:val="ReasonsNumbering-AltN"/>
        <w:ind w:left="0" w:firstLine="0"/>
        <w:rPr>
          <w:color w:val="000000"/>
        </w:rPr>
      </w:pPr>
      <w:r w:rsidRPr="00B73BD3">
        <w:rPr>
          <w:color w:val="000000"/>
        </w:rPr>
        <w:t>With respect, this overstates the ambit of the s.</w:t>
      </w:r>
      <w:r w:rsidRPr="00B73BD3">
        <w:t xml:space="preserve"> </w:t>
      </w:r>
      <w:r w:rsidRPr="00B73BD3">
        <w:rPr>
          <w:color w:val="000000"/>
        </w:rPr>
        <w:t>2(</w:t>
      </w:r>
      <w:r w:rsidRPr="00B73BD3">
        <w:rPr>
          <w:i/>
          <w:color w:val="000000"/>
        </w:rPr>
        <w:t>d</w:t>
      </w:r>
      <w:r w:rsidRPr="00B73BD3">
        <w:rPr>
          <w:color w:val="000000"/>
        </w:rPr>
        <w:t xml:space="preserve">) right as described in </w:t>
      </w:r>
      <w:r w:rsidRPr="00B73BD3">
        <w:rPr>
          <w:i/>
          <w:color w:val="000000"/>
        </w:rPr>
        <w:t>Health Services</w:t>
      </w:r>
      <w:r w:rsidRPr="00B73BD3">
        <w:rPr>
          <w:color w:val="000000"/>
        </w:rPr>
        <w:t xml:space="preserve">. </w:t>
      </w:r>
      <w:r w:rsidRPr="00B73BD3">
        <w:rPr>
          <w:i/>
          <w:color w:val="000000"/>
        </w:rPr>
        <w:t xml:space="preserve"> </w:t>
      </w:r>
      <w:r w:rsidRPr="00B73BD3">
        <w:rPr>
          <w:color w:val="000000"/>
        </w:rPr>
        <w:t xml:space="preserve">First, as discussed, the majority in </w:t>
      </w:r>
      <w:r w:rsidRPr="00B73BD3">
        <w:rPr>
          <w:i/>
          <w:color w:val="000000"/>
        </w:rPr>
        <w:t>Health Services</w:t>
      </w:r>
      <w:r w:rsidRPr="00B73BD3">
        <w:rPr>
          <w:color w:val="000000"/>
        </w:rPr>
        <w:t xml:space="preserve"> unequivocally stated that s.</w:t>
      </w:r>
      <w:r w:rsidRPr="00B73BD3">
        <w:t xml:space="preserve"> </w:t>
      </w:r>
      <w:r w:rsidRPr="00B73BD3">
        <w:rPr>
          <w:color w:val="000000"/>
        </w:rPr>
        <w:t>2(</w:t>
      </w:r>
      <w:r w:rsidRPr="00B73BD3">
        <w:rPr>
          <w:i/>
          <w:color w:val="000000"/>
        </w:rPr>
        <w:t>d</w:t>
      </w:r>
      <w:r w:rsidRPr="00B73BD3">
        <w:rPr>
          <w:color w:val="000000"/>
        </w:rPr>
        <w:t>) does not guarantee a particular model of collective bargaining or a particular outcome (para. 91).</w:t>
      </w:r>
    </w:p>
    <w:p w:rsidR="00A00D29" w:rsidRPr="00B73BD3" w:rsidRDefault="00A00D29" w:rsidP="00F258CD">
      <w:pPr>
        <w:pStyle w:val="ReasonsNumbering-AltN"/>
        <w:ind w:left="0" w:firstLine="0"/>
        <w:rPr>
          <w:color w:val="000000"/>
        </w:rPr>
      </w:pPr>
      <w:r w:rsidRPr="00B73BD3">
        <w:rPr>
          <w:color w:val="000000"/>
          <w:lang w:val="en-US"/>
        </w:rPr>
        <w:t>Second</w:t>
      </w:r>
      <w:r w:rsidRPr="00B73BD3">
        <w:rPr>
          <w:color w:val="000000"/>
        </w:rPr>
        <w:t xml:space="preserve">, and more fundamentally, </w:t>
      </w:r>
      <w:r w:rsidRPr="00F258CD">
        <w:t>the</w:t>
      </w:r>
      <w:r w:rsidRPr="00B73BD3">
        <w:rPr>
          <w:color w:val="000000"/>
        </w:rPr>
        <w:t xml:space="preserve"> logic of </w:t>
      </w:r>
      <w:r w:rsidRPr="00B73BD3">
        <w:rPr>
          <w:i/>
          <w:color w:val="000000"/>
        </w:rPr>
        <w:t>Dunmore</w:t>
      </w:r>
      <w:r w:rsidRPr="00B73BD3">
        <w:rPr>
          <w:color w:val="000000"/>
        </w:rPr>
        <w:t xml:space="preserve"> and </w:t>
      </w:r>
      <w:r w:rsidRPr="00B73BD3">
        <w:rPr>
          <w:i/>
          <w:color w:val="000000"/>
        </w:rPr>
        <w:t>Health Services</w:t>
      </w:r>
      <w:r w:rsidRPr="00B73BD3">
        <w:rPr>
          <w:color w:val="000000"/>
        </w:rPr>
        <w:t xml:space="preserve"> is at odds with the view that s.</w:t>
      </w:r>
      <w:r w:rsidRPr="00B73BD3">
        <w:t xml:space="preserve"> </w:t>
      </w:r>
      <w:r w:rsidRPr="00B73BD3">
        <w:rPr>
          <w:color w:val="000000"/>
        </w:rPr>
        <w:t>2(</w:t>
      </w:r>
      <w:r w:rsidRPr="00B73BD3">
        <w:rPr>
          <w:i/>
          <w:color w:val="000000"/>
        </w:rPr>
        <w:t>d</w:t>
      </w:r>
      <w:r w:rsidRPr="00B73BD3">
        <w:rPr>
          <w:color w:val="000000"/>
        </w:rPr>
        <w:t xml:space="preserve">) protects a particular kind of collective </w:t>
      </w:r>
      <w:r w:rsidRPr="00B73BD3">
        <w:rPr>
          <w:color w:val="000000"/>
        </w:rPr>
        <w:lastRenderedPageBreak/>
        <w:t>bargaining.  As discussed earlier, what s.</w:t>
      </w:r>
      <w:r w:rsidRPr="00B73BD3">
        <w:t xml:space="preserve"> </w:t>
      </w:r>
      <w:r w:rsidRPr="00B73BD3">
        <w:rPr>
          <w:color w:val="000000"/>
        </w:rPr>
        <w:t>2(</w:t>
      </w:r>
      <w:r w:rsidRPr="00B73BD3">
        <w:rPr>
          <w:i/>
          <w:color w:val="000000"/>
        </w:rPr>
        <w:t>d</w:t>
      </w:r>
      <w:r w:rsidRPr="00B73BD3">
        <w:rPr>
          <w:color w:val="000000"/>
        </w:rPr>
        <w:t xml:space="preserve">) protects is </w:t>
      </w:r>
      <w:r w:rsidRPr="00B73BD3">
        <w:rPr>
          <w:i/>
          <w:color w:val="000000"/>
        </w:rPr>
        <w:t>the right to associate to achieve collective goals</w:t>
      </w:r>
      <w:r w:rsidRPr="00B73BD3">
        <w:rPr>
          <w:color w:val="000000"/>
        </w:rPr>
        <w:t xml:space="preserve">.  Laws or government action that make it impossible to achieve collective goals </w:t>
      </w:r>
      <w:r w:rsidRPr="00B73BD3">
        <w:rPr>
          <w:i/>
          <w:color w:val="000000"/>
        </w:rPr>
        <w:t>have the effect</w:t>
      </w:r>
      <w:r w:rsidRPr="00B73BD3">
        <w:rPr>
          <w:color w:val="000000"/>
        </w:rPr>
        <w:t xml:space="preserve"> of limiting freedom of association, by making it pointless.  It is in this derivative sense that s.</w:t>
      </w:r>
      <w:r w:rsidRPr="00B73BD3">
        <w:t xml:space="preserve"> </w:t>
      </w:r>
      <w:r w:rsidRPr="00B73BD3">
        <w:rPr>
          <w:color w:val="000000"/>
        </w:rPr>
        <w:t>2(</w:t>
      </w:r>
      <w:r w:rsidRPr="00B73BD3">
        <w:rPr>
          <w:i/>
          <w:color w:val="000000"/>
        </w:rPr>
        <w:t>d</w:t>
      </w:r>
      <w:r w:rsidRPr="00B73BD3">
        <w:rPr>
          <w:color w:val="000000"/>
        </w:rPr>
        <w:t xml:space="preserve">) protects a right to collective bargaining:  see </w:t>
      </w:r>
      <w:r w:rsidRPr="00B73BD3">
        <w:rPr>
          <w:i/>
          <w:color w:val="000000"/>
        </w:rPr>
        <w:t>Ontario (Public Safety and Security) v. Criminal Lawyers’ Association</w:t>
      </w:r>
      <w:r w:rsidRPr="00B73BD3">
        <w:rPr>
          <w:color w:val="000000"/>
        </w:rPr>
        <w:t>, 2010 SCC 23, [2010] 1 S.C.R. 815 (“</w:t>
      </w:r>
      <w:r w:rsidRPr="00B73BD3">
        <w:rPr>
          <w:i/>
          <w:color w:val="000000"/>
        </w:rPr>
        <w:t>CLA</w:t>
      </w:r>
      <w:r w:rsidRPr="00B73BD3">
        <w:rPr>
          <w:color w:val="000000"/>
        </w:rPr>
        <w:t xml:space="preserve">”), where the right to access government information was held to be “a derivative right which may arise where it is a necessary precondition of meaningful expression on the functioning of government” (para. 30).   However, no particular type of bargaining is protected.  In every case, the question is whether the impugned law or state action has the effect of making it impossible to act collectively to achieve workplace goals.  </w:t>
      </w:r>
    </w:p>
    <w:p w:rsidR="00A00D29" w:rsidRPr="00B73BD3" w:rsidRDefault="00A00D29" w:rsidP="00F258CD">
      <w:pPr>
        <w:pStyle w:val="ReasonsNumbering-AltN"/>
        <w:ind w:left="0" w:firstLine="0"/>
        <w:rPr>
          <w:color w:val="000000"/>
        </w:rPr>
      </w:pPr>
      <w:r w:rsidRPr="00B73BD3">
        <w:t xml:space="preserve">It follows that </w:t>
      </w:r>
      <w:r w:rsidRPr="00B73BD3">
        <w:rPr>
          <w:i/>
        </w:rPr>
        <w:t>Health Services</w:t>
      </w:r>
      <w:r w:rsidRPr="00B73BD3">
        <w:t xml:space="preserve"> does not support the view of the Ontario Court of Appeal in this case that legislatures are constitutionally</w:t>
      </w:r>
      <w:r w:rsidRPr="00B73BD3">
        <w:rPr>
          <w:color w:val="000000"/>
        </w:rPr>
        <w:t xml:space="preserve"> required</w:t>
      </w:r>
      <w:r w:rsidRPr="00B73BD3">
        <w:t xml:space="preserve">, in all cases and for all industries, to enact laws that </w:t>
      </w:r>
      <w:r w:rsidRPr="00B73BD3">
        <w:rPr>
          <w:color w:val="000000"/>
        </w:rPr>
        <w:t>set up a uniform model of labour relations  imposing</w:t>
      </w:r>
      <w:r w:rsidRPr="00B73BD3">
        <w:t xml:space="preserve"> a statutory duty to bargain in good faith, statutory recognition of the principles of exclusive majority representation and a statutory mechanism for resolving bargaining impasses and disputes regarding the interpretation or administration of collective agreements (C.A. reasons, at para. 80).</w:t>
      </w:r>
      <w:r w:rsidRPr="00B73BD3">
        <w:rPr>
          <w:color w:val="000000"/>
        </w:rPr>
        <w:t xml:space="preserve">  W</w:t>
      </w:r>
      <w:r w:rsidRPr="00B73BD3">
        <w:t>hat is protected is associational activity, not a particular</w:t>
      </w:r>
      <w:r w:rsidRPr="00B73BD3">
        <w:rPr>
          <w:color w:val="000000"/>
        </w:rPr>
        <w:t xml:space="preserve"> process or </w:t>
      </w:r>
      <w:r w:rsidRPr="00B73BD3">
        <w:t>result.</w:t>
      </w:r>
      <w:r w:rsidRPr="00B73BD3">
        <w:rPr>
          <w:color w:val="000000"/>
        </w:rPr>
        <w:t xml:space="preserve">  I</w:t>
      </w:r>
      <w:r w:rsidRPr="00B73BD3">
        <w:t xml:space="preserve">f it is shown that it is impossible to meaningfully exercise the right </w:t>
      </w:r>
      <w:r w:rsidRPr="00B73BD3">
        <w:rPr>
          <w:color w:val="000000"/>
        </w:rPr>
        <w:t>to associate</w:t>
      </w:r>
      <w:r w:rsidRPr="00B73BD3">
        <w:t xml:space="preserve"> due to substantial interference by</w:t>
      </w:r>
      <w:r w:rsidRPr="00B73BD3">
        <w:rPr>
          <w:color w:val="000000"/>
        </w:rPr>
        <w:t xml:space="preserve"> a law (or absence of laws: see</w:t>
      </w:r>
      <w:r w:rsidRPr="00B73BD3">
        <w:rPr>
          <w:i/>
          <w:color w:val="000000"/>
        </w:rPr>
        <w:t xml:space="preserve"> Dunmore</w:t>
      </w:r>
      <w:r w:rsidRPr="00B73BD3">
        <w:rPr>
          <w:color w:val="000000"/>
        </w:rPr>
        <w:t xml:space="preserve">) or by </w:t>
      </w:r>
      <w:r w:rsidRPr="00B73BD3">
        <w:t>government</w:t>
      </w:r>
      <w:r w:rsidRPr="00B73BD3">
        <w:rPr>
          <w:color w:val="000000"/>
        </w:rPr>
        <w:t xml:space="preserve"> action, a </w:t>
      </w:r>
      <w:r w:rsidRPr="00B73BD3">
        <w:rPr>
          <w:color w:val="000000"/>
        </w:rPr>
        <w:lastRenderedPageBreak/>
        <w:t>limit on the exercise of the s. 2(</w:t>
      </w:r>
      <w:r w:rsidRPr="00B73BD3">
        <w:rPr>
          <w:i/>
          <w:color w:val="000000"/>
        </w:rPr>
        <w:t>d</w:t>
      </w:r>
      <w:r w:rsidRPr="00B73BD3">
        <w:rPr>
          <w:color w:val="000000"/>
        </w:rPr>
        <w:t>) right is established, and the onus shifts to the state to justify the limit under s. 1 of the</w:t>
      </w:r>
      <w:r w:rsidRPr="00B73BD3">
        <w:rPr>
          <w:i/>
          <w:color w:val="000000"/>
        </w:rPr>
        <w:t xml:space="preserve"> Charter</w:t>
      </w:r>
      <w:r w:rsidRPr="00B73BD3">
        <w:rPr>
          <w:color w:val="000000"/>
        </w:rPr>
        <w:t>.</w:t>
      </w:r>
    </w:p>
    <w:p w:rsidR="00A00D29" w:rsidRPr="00B73BD3" w:rsidRDefault="00A00D29" w:rsidP="00F258CD">
      <w:pPr>
        <w:pStyle w:val="ReasonsNumbering-AltN"/>
        <w:ind w:left="0" w:firstLine="0"/>
      </w:pPr>
      <w:r w:rsidRPr="00B73BD3">
        <w:t xml:space="preserve">The resolution of this appeal does not rest on stark reliance on a particular conception of collective bargaining.  Rather, it requires us to return to the principles that underlie the majority rulings in </w:t>
      </w:r>
      <w:r w:rsidRPr="00B73BD3">
        <w:rPr>
          <w:i/>
        </w:rPr>
        <w:t xml:space="preserve">Dunmore </w:t>
      </w:r>
      <w:r w:rsidRPr="00B73BD3">
        <w:t xml:space="preserve">and </w:t>
      </w:r>
      <w:r w:rsidRPr="00B73BD3">
        <w:rPr>
          <w:i/>
        </w:rPr>
        <w:t>Health Services</w:t>
      </w:r>
      <w:r w:rsidRPr="00B73BD3">
        <w:t>.</w:t>
      </w:r>
      <w:r w:rsidRPr="00B73BD3">
        <w:rPr>
          <w:i/>
        </w:rPr>
        <w:t xml:space="preserve"> </w:t>
      </w:r>
      <w:r w:rsidRPr="00B73BD3">
        <w:t xml:space="preserve">The question here, as it was in those cases, is whether the legislative scheme (the </w:t>
      </w:r>
      <w:r w:rsidRPr="00B73BD3">
        <w:rPr>
          <w:i/>
        </w:rPr>
        <w:t>AEPA</w:t>
      </w:r>
      <w:r w:rsidRPr="00B73BD3">
        <w:t>) renders association in pursuit of workplace goals impossible, thereby substantially impairing the exercise of the s. 2(</w:t>
      </w:r>
      <w:r w:rsidRPr="00B73BD3">
        <w:rPr>
          <w:i/>
        </w:rPr>
        <w:t>d</w:t>
      </w:r>
      <w:r w:rsidRPr="00B73BD3">
        <w:t>) associational right.</w:t>
      </w:r>
    </w:p>
    <w:p w:rsidR="00A00D29" w:rsidRPr="00B73BD3" w:rsidRDefault="00A00D29" w:rsidP="00E27EEC">
      <w:pPr>
        <w:tabs>
          <w:tab w:val="left" w:pos="900"/>
        </w:tabs>
        <w:spacing w:after="720"/>
        <w:jc w:val="both"/>
      </w:pPr>
      <w:r w:rsidRPr="00B73BD3">
        <w:tab/>
        <w:t xml:space="preserve">(e)  </w:t>
      </w:r>
      <w:r w:rsidRPr="00B73BD3">
        <w:rPr>
          <w:i/>
        </w:rPr>
        <w:t>Response to Justice Deschamps</w:t>
      </w:r>
    </w:p>
    <w:p w:rsidR="00A00D29" w:rsidRPr="00B73BD3" w:rsidRDefault="00A00D29" w:rsidP="00F258CD">
      <w:pPr>
        <w:pStyle w:val="ReasonsNumbering-AltN"/>
        <w:ind w:left="0" w:firstLine="0"/>
      </w:pPr>
      <w:r w:rsidRPr="00B73BD3">
        <w:t xml:space="preserve">Justice Deschamps adopts a narrow interpretation of the majority reasons in </w:t>
      </w:r>
      <w:r w:rsidRPr="00B73BD3">
        <w:rPr>
          <w:i/>
        </w:rPr>
        <w:t>Health Services</w:t>
      </w:r>
      <w:r w:rsidRPr="00B73BD3">
        <w:t xml:space="preserve">, stating that they merely recognized “that freedom of association includes the freedom to engage in associational activities and the ability of employees to act in common to reach shared goals related to workplace issues and terms of employment” (para. 308).  In her view, it was unnecessary for the majority in that case to consider the duty to negotiate in good faith, and consequently argues that the passages of the majority judgment that discussed this duty were in </w:t>
      </w:r>
      <w:r w:rsidRPr="00B73BD3">
        <w:rPr>
          <w:i/>
        </w:rPr>
        <w:t>obiter</w:t>
      </w:r>
      <w:r w:rsidRPr="00B73BD3">
        <w:t xml:space="preserve">.  </w:t>
      </w:r>
    </w:p>
    <w:p w:rsidR="00A00D29" w:rsidRPr="00B73BD3" w:rsidRDefault="00A00D29" w:rsidP="00F258CD">
      <w:pPr>
        <w:pStyle w:val="ReasonsNumbering-AltN"/>
        <w:ind w:left="0" w:firstLine="0"/>
      </w:pPr>
      <w:r w:rsidRPr="00B73BD3">
        <w:t xml:space="preserve">However, such a narrow interpretation of the majority reasons in </w:t>
      </w:r>
      <w:r w:rsidRPr="00B73BD3">
        <w:rPr>
          <w:i/>
        </w:rPr>
        <w:t>Health Services</w:t>
      </w:r>
      <w:r w:rsidRPr="00B73BD3">
        <w:t xml:space="preserve"> would not support the holding in that case.  If s. 2(</w:t>
      </w:r>
      <w:r w:rsidRPr="00B73BD3">
        <w:rPr>
          <w:i/>
        </w:rPr>
        <w:t>d</w:t>
      </w:r>
      <w:r w:rsidRPr="00B73BD3">
        <w:t>) merely protected the right to act collectively and to make collective representations, the legislation at issue in that case</w:t>
      </w:r>
      <w:r w:rsidRPr="00B73BD3">
        <w:rPr>
          <w:i/>
        </w:rPr>
        <w:t xml:space="preserve"> </w:t>
      </w:r>
      <w:r w:rsidRPr="00B73BD3">
        <w:t xml:space="preserve">would have been constitutional.  The legislation in that case violated s. </w:t>
      </w:r>
      <w:r w:rsidRPr="00B73BD3">
        <w:lastRenderedPageBreak/>
        <w:t>2(</w:t>
      </w:r>
      <w:r w:rsidRPr="00B73BD3">
        <w:rPr>
          <w:i/>
        </w:rPr>
        <w:t>d</w:t>
      </w:r>
      <w:r w:rsidRPr="00B73BD3">
        <w:t>) since it undermined the ability of workers to engage in meaningful collective bargaining, which the majority defined as good faith negotiations (para. 90).  The majority underlined that</w:t>
      </w:r>
    </w:p>
    <w:p w:rsidR="00A00D29" w:rsidRPr="00B73BD3" w:rsidRDefault="00A00D29" w:rsidP="00A00D29">
      <w:pPr>
        <w:pStyle w:val="Citation"/>
      </w:pPr>
      <w:proofErr w:type="gramStart"/>
      <w:r w:rsidRPr="00B73BD3">
        <w:t>the</w:t>
      </w:r>
      <w:proofErr w:type="gramEnd"/>
      <w:r w:rsidRPr="00B73BD3">
        <w:t xml:space="preserve"> right to bargain collectively protects not just the act of making representations, but also the right of employees to have their views heard in the context of a meaningful process of consultation and discussion.  </w:t>
      </w:r>
      <w:r w:rsidRPr="00B73BD3">
        <w:rPr>
          <w:u w:val="single"/>
        </w:rPr>
        <w:t>This rebuts arguments made by the respondent that the Act does not interfere with collective bargaining because it does not explicitly prohibit health care employees from making collective representations.</w:t>
      </w:r>
      <w:r w:rsidRPr="00B73BD3">
        <w:t xml:space="preserve">  While the language of the Act does not technically prohibit collective representations to an employer, the right to collective bargaining cannot be reduced to a mere right to make representations.  [Emphasis added; para. 114.]</w:t>
      </w:r>
    </w:p>
    <w:p w:rsidR="00A00D29" w:rsidRPr="00B73BD3" w:rsidRDefault="00A00D29" w:rsidP="00F258CD">
      <w:pPr>
        <w:pStyle w:val="ReasonsNumbering-AltN"/>
        <w:ind w:left="0" w:firstLine="0"/>
      </w:pPr>
      <w:r w:rsidRPr="00B73BD3">
        <w:t xml:space="preserve">In our view, the majority decision in </w:t>
      </w:r>
      <w:r w:rsidRPr="00B73BD3">
        <w:rPr>
          <w:i/>
        </w:rPr>
        <w:t>Health Services</w:t>
      </w:r>
      <w:r w:rsidRPr="00B73BD3">
        <w:t xml:space="preserve"> should be interpreted as holding what it repeatedly states: that workers have a constitutional right to make collective representations and</w:t>
      </w:r>
      <w:r w:rsidRPr="00B73BD3">
        <w:rPr>
          <w:i/>
        </w:rPr>
        <w:t xml:space="preserve"> </w:t>
      </w:r>
      <w:r w:rsidRPr="00B73BD3">
        <w:t>to have their collective representations considered in good faith.</w:t>
      </w:r>
    </w:p>
    <w:p w:rsidR="00A00D29" w:rsidRPr="00B73BD3" w:rsidRDefault="00A00D29" w:rsidP="00E27EEC">
      <w:pPr>
        <w:tabs>
          <w:tab w:val="left" w:pos="900"/>
        </w:tabs>
        <w:spacing w:after="720"/>
        <w:jc w:val="both"/>
        <w:rPr>
          <w:color w:val="000000"/>
        </w:rPr>
      </w:pPr>
      <w:r w:rsidRPr="00B73BD3">
        <w:tab/>
      </w:r>
      <w:r w:rsidRPr="00B73BD3">
        <w:rPr>
          <w:color w:val="000000"/>
        </w:rPr>
        <w:t xml:space="preserve">(f)  </w:t>
      </w:r>
      <w:r w:rsidRPr="00B73BD3">
        <w:rPr>
          <w:i/>
          <w:color w:val="000000"/>
        </w:rPr>
        <w:t>Response to Justice Rothstein</w:t>
      </w:r>
    </w:p>
    <w:p w:rsidR="00A00D29" w:rsidRPr="00B73BD3" w:rsidRDefault="00A00D29" w:rsidP="00F258CD">
      <w:pPr>
        <w:pStyle w:val="ReasonsNumbering-AltN"/>
        <w:ind w:left="0" w:firstLine="0"/>
        <w:rPr>
          <w:color w:val="000000"/>
        </w:rPr>
      </w:pPr>
      <w:r w:rsidRPr="00B73BD3">
        <w:rPr>
          <w:color w:val="000000"/>
        </w:rPr>
        <w:t xml:space="preserve">Justice Rothstein argues that </w:t>
      </w:r>
      <w:r w:rsidRPr="00B73BD3">
        <w:rPr>
          <w:i/>
          <w:color w:val="000000"/>
        </w:rPr>
        <w:t xml:space="preserve">Health Services </w:t>
      </w:r>
      <w:r w:rsidRPr="00B73BD3">
        <w:rPr>
          <w:color w:val="000000"/>
        </w:rPr>
        <w:t xml:space="preserve">represents a radical departure from previous </w:t>
      </w:r>
      <w:r w:rsidRPr="00F258CD">
        <w:t>jurisprudence</w:t>
      </w:r>
      <w:r w:rsidRPr="00B73BD3">
        <w:rPr>
          <w:color w:val="000000"/>
        </w:rPr>
        <w:t xml:space="preserve"> and was wrongly decided.  </w:t>
      </w:r>
    </w:p>
    <w:p w:rsidR="00A00D29" w:rsidRPr="00B73BD3" w:rsidRDefault="00A00D29" w:rsidP="00F258CD">
      <w:pPr>
        <w:pStyle w:val="ReasonsNumbering-AltN"/>
        <w:ind w:left="0" w:firstLine="0"/>
        <w:rPr>
          <w:color w:val="000000"/>
        </w:rPr>
      </w:pPr>
      <w:r w:rsidRPr="00B73BD3">
        <w:rPr>
          <w:color w:val="000000"/>
        </w:rPr>
        <w:t xml:space="preserve">The central argument of </w:t>
      </w:r>
      <w:r w:rsidRPr="00F258CD">
        <w:t>our</w:t>
      </w:r>
      <w:r w:rsidRPr="00B73BD3">
        <w:rPr>
          <w:color w:val="000000"/>
        </w:rPr>
        <w:t xml:space="preserve"> colleague is that s. 2(</w:t>
      </w:r>
      <w:r w:rsidRPr="00B73BD3">
        <w:rPr>
          <w:i/>
          <w:color w:val="000000"/>
        </w:rPr>
        <w:t>d</w:t>
      </w:r>
      <w:r w:rsidRPr="00B73BD3">
        <w:rPr>
          <w:color w:val="000000"/>
        </w:rPr>
        <w:t xml:space="preserve">) of the </w:t>
      </w:r>
      <w:r w:rsidRPr="00B73BD3">
        <w:rPr>
          <w:i/>
          <w:color w:val="000000"/>
        </w:rPr>
        <w:t>Charter</w:t>
      </w:r>
      <w:r w:rsidRPr="00B73BD3">
        <w:rPr>
          <w:color w:val="000000"/>
        </w:rPr>
        <w:t xml:space="preserve"> does not protect collective bargaining.  He understands the majority decision in </w:t>
      </w:r>
      <w:r w:rsidRPr="00B73BD3">
        <w:rPr>
          <w:i/>
          <w:color w:val="000000"/>
        </w:rPr>
        <w:t xml:space="preserve">Health Services </w:t>
      </w:r>
      <w:r w:rsidRPr="00B73BD3">
        <w:rPr>
          <w:color w:val="000000"/>
        </w:rPr>
        <w:t xml:space="preserve">to have constitutionalized collective bargaining.  That, he says, is wrong in </w:t>
      </w:r>
      <w:r w:rsidRPr="00B73BD3">
        <w:rPr>
          <w:color w:val="000000"/>
        </w:rPr>
        <w:lastRenderedPageBreak/>
        <w:t xml:space="preserve">principle, inconsistent with the Court’s prior jurisprudence, and unworkable in practice. </w:t>
      </w:r>
    </w:p>
    <w:p w:rsidR="00A00D29" w:rsidRPr="00B73BD3" w:rsidRDefault="00A00D29" w:rsidP="00F258CD">
      <w:pPr>
        <w:pStyle w:val="ReasonsNumbering-AltN"/>
        <w:ind w:left="0" w:firstLine="0"/>
        <w:rPr>
          <w:color w:val="000000"/>
        </w:rPr>
      </w:pPr>
      <w:r w:rsidRPr="00B73BD3">
        <w:rPr>
          <w:color w:val="000000"/>
        </w:rPr>
        <w:t xml:space="preserve">Our colleague </w:t>
      </w:r>
      <w:r w:rsidRPr="00F258CD">
        <w:t>appears</w:t>
      </w:r>
      <w:r w:rsidRPr="00B73BD3">
        <w:rPr>
          <w:color w:val="000000"/>
        </w:rPr>
        <w:t xml:space="preserve"> to interpret </w:t>
      </w:r>
      <w:r w:rsidRPr="00B73BD3">
        <w:rPr>
          <w:i/>
          <w:color w:val="000000"/>
        </w:rPr>
        <w:t>Health Services</w:t>
      </w:r>
      <w:r w:rsidRPr="00B73BD3">
        <w:rPr>
          <w:color w:val="000000"/>
        </w:rPr>
        <w:t xml:space="preserve"> as establishing directly or indirectly a Wagner model of labour relations.  The actual holding of </w:t>
      </w:r>
      <w:r w:rsidRPr="00B73BD3">
        <w:rPr>
          <w:i/>
          <w:color w:val="000000"/>
        </w:rPr>
        <w:t>Health Services</w:t>
      </w:r>
      <w:r w:rsidRPr="00B73BD3">
        <w:rPr>
          <w:color w:val="000000"/>
        </w:rPr>
        <w:t xml:space="preserve">, as discussed above, was more modest. </w:t>
      </w:r>
      <w:r w:rsidRPr="00B73BD3">
        <w:rPr>
          <w:i/>
          <w:color w:val="000000"/>
        </w:rPr>
        <w:t>Health Services</w:t>
      </w:r>
      <w:r w:rsidRPr="00B73BD3">
        <w:rPr>
          <w:color w:val="000000"/>
        </w:rPr>
        <w:t xml:space="preserve"> affirms a derivative right to collective bargaining, understood in the sense of a process that allows</w:t>
      </w:r>
      <w:r w:rsidRPr="00B73BD3">
        <w:t xml:space="preserve"> </w:t>
      </w:r>
      <w:r w:rsidRPr="00B73BD3">
        <w:rPr>
          <w:color w:val="000000"/>
        </w:rPr>
        <w:t xml:space="preserve">employees to make representations and have them considered in good faith by employers, who in turn must engage in a process of meaningful discussion.  The logic that compels this conclusion, following settled </w:t>
      </w:r>
      <w:r w:rsidRPr="00B73BD3">
        <w:rPr>
          <w:i/>
          <w:color w:val="000000"/>
        </w:rPr>
        <w:t>Charter</w:t>
      </w:r>
      <w:r w:rsidRPr="00B73BD3">
        <w:rPr>
          <w:color w:val="000000"/>
        </w:rPr>
        <w:t xml:space="preserve"> jurisprudence, is that the effect of denying these rights is to render the associational process effectively useless and hence to substantially impair the exercise of the associational rights guaranteed by s.</w:t>
      </w:r>
      <w:r w:rsidRPr="00B73BD3">
        <w:t xml:space="preserve"> </w:t>
      </w:r>
      <w:r w:rsidRPr="00B73BD3">
        <w:rPr>
          <w:color w:val="000000"/>
        </w:rPr>
        <w:t>2(</w:t>
      </w:r>
      <w:r w:rsidRPr="00B73BD3">
        <w:rPr>
          <w:i/>
          <w:color w:val="000000"/>
        </w:rPr>
        <w:t>d</w:t>
      </w:r>
      <w:r w:rsidRPr="00B73BD3">
        <w:rPr>
          <w:color w:val="000000"/>
        </w:rPr>
        <w:t>).  No particular bargaining model is required.</w:t>
      </w:r>
    </w:p>
    <w:p w:rsidR="00A00D29" w:rsidRPr="00B73BD3" w:rsidRDefault="00A00D29" w:rsidP="00F258CD">
      <w:pPr>
        <w:pStyle w:val="ReasonsNumbering-AltN"/>
        <w:ind w:left="0" w:firstLine="0"/>
        <w:rPr>
          <w:color w:val="000000"/>
          <w:u w:val="single"/>
        </w:rPr>
      </w:pPr>
      <w:r w:rsidRPr="00F258CD">
        <w:t>Rothstein</w:t>
      </w:r>
      <w:r w:rsidRPr="00B73BD3">
        <w:rPr>
          <w:color w:val="000000"/>
        </w:rPr>
        <w:t xml:space="preserve"> J. calls for </w:t>
      </w:r>
      <w:r w:rsidRPr="00B73BD3">
        <w:rPr>
          <w:i/>
          <w:color w:val="000000"/>
        </w:rPr>
        <w:t>Health Services</w:t>
      </w:r>
      <w:r w:rsidRPr="00B73BD3">
        <w:rPr>
          <w:color w:val="000000"/>
        </w:rPr>
        <w:t xml:space="preserve"> to be overturned.  But his views also imply overturning </w:t>
      </w:r>
      <w:r w:rsidRPr="00B73BD3">
        <w:rPr>
          <w:i/>
          <w:color w:val="000000"/>
        </w:rPr>
        <w:t>Dunmore</w:t>
      </w:r>
      <w:r w:rsidRPr="00B73BD3">
        <w:rPr>
          <w:color w:val="000000"/>
        </w:rPr>
        <w:t xml:space="preserve">, on which </w:t>
      </w:r>
      <w:r w:rsidRPr="00B73BD3">
        <w:rPr>
          <w:i/>
          <w:color w:val="000000"/>
        </w:rPr>
        <w:t>Health Services</w:t>
      </w:r>
      <w:r w:rsidRPr="00B73BD3">
        <w:rPr>
          <w:color w:val="000000"/>
        </w:rPr>
        <w:t xml:space="preserve"> rests.  Rothstein J. </w:t>
      </w:r>
      <w:r w:rsidRPr="00B73BD3">
        <w:t>states that “the essence of freedom of association is that it enables individuals to do in association what they could do as individuals</w:t>
      </w:r>
      <w:r w:rsidR="0052170F">
        <w:t>”</w:t>
      </w:r>
      <w:r w:rsidRPr="00B73BD3">
        <w:t xml:space="preserve"> (para. 197).  This echoes the model of s. 2(</w:t>
      </w:r>
      <w:r w:rsidRPr="00B73BD3">
        <w:rPr>
          <w:i/>
        </w:rPr>
        <w:t>d</w:t>
      </w:r>
      <w:r w:rsidRPr="00B73BD3">
        <w:t xml:space="preserve">) adopted by the plurality in </w:t>
      </w:r>
      <w:r w:rsidRPr="00B73BD3">
        <w:rPr>
          <w:i/>
        </w:rPr>
        <w:t>PIPSC</w:t>
      </w:r>
      <w:r w:rsidRPr="00B73BD3">
        <w:t xml:space="preserve">, and rejected by Bastarache J. in </w:t>
      </w:r>
      <w:r w:rsidRPr="00B73BD3">
        <w:rPr>
          <w:i/>
        </w:rPr>
        <w:t>Dunmore</w:t>
      </w:r>
      <w:r w:rsidRPr="00B73BD3">
        <w:t xml:space="preserve">.  </w:t>
      </w:r>
      <w:r w:rsidRPr="00B73BD3">
        <w:rPr>
          <w:color w:val="000000"/>
        </w:rPr>
        <w:t>For the reasons that follow</w:t>
      </w:r>
      <w:r w:rsidR="00800157">
        <w:rPr>
          <w:color w:val="000000"/>
        </w:rPr>
        <w:t>,</w:t>
      </w:r>
      <w:r w:rsidRPr="00B73BD3">
        <w:rPr>
          <w:color w:val="000000"/>
        </w:rPr>
        <w:t xml:space="preserve"> we remain of the view that </w:t>
      </w:r>
      <w:r w:rsidRPr="00B73BD3">
        <w:rPr>
          <w:i/>
          <w:color w:val="000000"/>
        </w:rPr>
        <w:t>Dunmore</w:t>
      </w:r>
      <w:r w:rsidRPr="00B73BD3">
        <w:rPr>
          <w:color w:val="000000"/>
        </w:rPr>
        <w:t xml:space="preserve"> and </w:t>
      </w:r>
      <w:r w:rsidRPr="00B73BD3">
        <w:rPr>
          <w:i/>
          <w:color w:val="000000"/>
        </w:rPr>
        <w:t xml:space="preserve">Health Services </w:t>
      </w:r>
      <w:r w:rsidRPr="00B73BD3">
        <w:rPr>
          <w:color w:val="000000"/>
        </w:rPr>
        <w:t>represent good law and should not be overruled.</w:t>
      </w:r>
    </w:p>
    <w:p w:rsidR="00A00D29" w:rsidRPr="00473214" w:rsidRDefault="00473214" w:rsidP="00473214">
      <w:pPr>
        <w:pStyle w:val="ListParagraph"/>
        <w:tabs>
          <w:tab w:val="left" w:pos="1080"/>
        </w:tabs>
        <w:spacing w:after="720"/>
        <w:ind w:left="1800" w:hanging="1800"/>
        <w:jc w:val="both"/>
        <w:rPr>
          <w:u w:val="single"/>
        </w:rPr>
      </w:pPr>
      <w:r w:rsidRPr="00473214">
        <w:tab/>
        <w:t>(i)</w:t>
      </w:r>
      <w:r w:rsidRPr="00473214">
        <w:tab/>
      </w:r>
      <w:r w:rsidR="00A00D29" w:rsidRPr="00473214">
        <w:rPr>
          <w:u w:val="single"/>
        </w:rPr>
        <w:t>The Caution Required in Overturning Precedent</w:t>
      </w:r>
    </w:p>
    <w:p w:rsidR="00A00D29" w:rsidRPr="00B73BD3" w:rsidRDefault="00A00D29" w:rsidP="00F258CD">
      <w:pPr>
        <w:pStyle w:val="ReasonsNumbering-AltN"/>
        <w:ind w:left="0" w:firstLine="0"/>
        <w:rPr>
          <w:u w:val="single"/>
        </w:rPr>
      </w:pPr>
      <w:r w:rsidRPr="00B73BD3">
        <w:rPr>
          <w:color w:val="000000"/>
        </w:rPr>
        <w:lastRenderedPageBreak/>
        <w:t xml:space="preserve">Our colleague </w:t>
      </w:r>
      <w:r w:rsidRPr="00F258CD">
        <w:t>correctly</w:t>
      </w:r>
      <w:r w:rsidRPr="00B73BD3">
        <w:rPr>
          <w:color w:val="000000"/>
        </w:rPr>
        <w:t xml:space="preserve"> recognizes at the outset of his reasons that overturning a precedent of this Court is a step not to be lightly undertaken.  We would note that as we understand the law (see above), rejection of </w:t>
      </w:r>
      <w:r w:rsidRPr="00B73BD3">
        <w:rPr>
          <w:i/>
          <w:color w:val="000000"/>
        </w:rPr>
        <w:t xml:space="preserve">Health Services </w:t>
      </w:r>
      <w:r w:rsidRPr="00B73BD3">
        <w:rPr>
          <w:color w:val="000000"/>
        </w:rPr>
        <w:t xml:space="preserve">implies rejection of </w:t>
      </w:r>
      <w:r w:rsidRPr="00B73BD3">
        <w:rPr>
          <w:i/>
          <w:color w:val="000000"/>
        </w:rPr>
        <w:t>Dunmore</w:t>
      </w:r>
      <w:r w:rsidRPr="00B73BD3">
        <w:rPr>
          <w:color w:val="000000"/>
        </w:rPr>
        <w:t xml:space="preserve"> as well, since the two cases rest on the same fundamental logic.</w:t>
      </w:r>
    </w:p>
    <w:p w:rsidR="00A00D29" w:rsidRPr="00B73BD3" w:rsidRDefault="00A00D29" w:rsidP="00F258CD">
      <w:pPr>
        <w:pStyle w:val="ReasonsNumbering-AltN"/>
        <w:ind w:left="0" w:firstLine="0"/>
        <w:rPr>
          <w:u w:val="single"/>
        </w:rPr>
      </w:pPr>
      <w:r w:rsidRPr="00B73BD3">
        <w:rPr>
          <w:color w:val="000000"/>
        </w:rPr>
        <w:t xml:space="preserve">The seriousness of overturning two recent precedents of this Court, representing the considered views of firm majorities, cannot be overstated.  This is particularly so given their recent vintage.  </w:t>
      </w:r>
      <w:r w:rsidRPr="00B73BD3">
        <w:rPr>
          <w:i/>
          <w:color w:val="000000"/>
        </w:rPr>
        <w:t>Health Services</w:t>
      </w:r>
      <w:r w:rsidRPr="00B73BD3">
        <w:rPr>
          <w:color w:val="000000"/>
        </w:rPr>
        <w:t xml:space="preserve"> was issued only four years ago, and, when this appeal was argued, only two years had passed.  </w:t>
      </w:r>
    </w:p>
    <w:p w:rsidR="00A00D29" w:rsidRPr="00B73BD3" w:rsidRDefault="00A00D29" w:rsidP="00F258CD">
      <w:pPr>
        <w:pStyle w:val="ReasonsNumbering-AltN"/>
        <w:ind w:left="0" w:firstLine="0"/>
        <w:rPr>
          <w:color w:val="000000"/>
        </w:rPr>
      </w:pPr>
      <w:r w:rsidRPr="00B73BD3">
        <w:rPr>
          <w:lang w:val="en-US"/>
        </w:rPr>
        <w:t xml:space="preserve">Rothstein J. suggests that since </w:t>
      </w:r>
      <w:r w:rsidRPr="00B73BD3">
        <w:rPr>
          <w:i/>
          <w:lang w:val="en-US"/>
        </w:rPr>
        <w:t>Health Services</w:t>
      </w:r>
      <w:r w:rsidRPr="00B73BD3">
        <w:rPr>
          <w:lang w:val="en-US"/>
        </w:rPr>
        <w:t xml:space="preserve"> deals with constitutional law, the Court should be more willing to overturn it (paras. 141-43).  In our respectful view, this argument is not persuasive. The constitutional nature of a decision is not a primary consideration when deciding whether or not to overrule, but at best a final consideration in difficult cases.  Indeed, the fact that </w:t>
      </w:r>
      <w:r w:rsidRPr="00B73BD3">
        <w:rPr>
          <w:i/>
          <w:lang w:val="en-US"/>
        </w:rPr>
        <w:t>Health Services</w:t>
      </w:r>
      <w:r w:rsidRPr="00B73BD3">
        <w:rPr>
          <w:lang w:val="en-US"/>
        </w:rPr>
        <w:t xml:space="preserve"> relates to a constitutional </w:t>
      </w:r>
      <w:r w:rsidRPr="00B73BD3">
        <w:rPr>
          <w:i/>
          <w:lang w:val="en-US"/>
        </w:rPr>
        <w:t xml:space="preserve">Charter </w:t>
      </w:r>
      <w:r w:rsidRPr="00B73BD3">
        <w:rPr>
          <w:lang w:val="en-US"/>
        </w:rPr>
        <w:t xml:space="preserve">right may militate in favour of upholding this past decision.  As Binnie J. stated on behalf of a unanimous Court in </w:t>
      </w:r>
      <w:r w:rsidRPr="00B73BD3">
        <w:rPr>
          <w:i/>
          <w:lang w:val="en-US"/>
        </w:rPr>
        <w:t>R. v. Henry</w:t>
      </w:r>
      <w:r w:rsidRPr="00B73BD3">
        <w:rPr>
          <w:lang w:val="en-US"/>
        </w:rPr>
        <w:t xml:space="preserve">, 2005 SCC 76, [2005] 3 S.C.R. 609, “[t]he Court should be particularly careful before reversing a precedent where the effect is to diminish </w:t>
      </w:r>
      <w:r w:rsidRPr="00B73BD3">
        <w:rPr>
          <w:i/>
          <w:lang w:val="en-US"/>
        </w:rPr>
        <w:t>Charter</w:t>
      </w:r>
      <w:r w:rsidRPr="00B73BD3">
        <w:rPr>
          <w:lang w:val="en-US"/>
        </w:rPr>
        <w:t xml:space="preserve"> protection” (para. 44).  Justice Rothstein’s proposed interpretation of s. 2(</w:t>
      </w:r>
      <w:r w:rsidRPr="00B73BD3">
        <w:rPr>
          <w:i/>
          <w:lang w:val="en-US"/>
        </w:rPr>
        <w:t>d</w:t>
      </w:r>
      <w:r w:rsidRPr="00B73BD3">
        <w:rPr>
          <w:lang w:val="en-US"/>
        </w:rPr>
        <w:t xml:space="preserve">) of the </w:t>
      </w:r>
      <w:r w:rsidRPr="00B73BD3">
        <w:rPr>
          <w:i/>
          <w:lang w:val="en-US"/>
        </w:rPr>
        <w:t xml:space="preserve">Charter </w:t>
      </w:r>
      <w:r w:rsidRPr="00B73BD3">
        <w:rPr>
          <w:lang w:val="en-US"/>
        </w:rPr>
        <w:t>would diminish the scope of the s. 2(</w:t>
      </w:r>
      <w:r w:rsidRPr="00B73BD3">
        <w:rPr>
          <w:i/>
          <w:lang w:val="en-US"/>
        </w:rPr>
        <w:t>d</w:t>
      </w:r>
      <w:r w:rsidRPr="00B73BD3">
        <w:rPr>
          <w:lang w:val="en-US"/>
        </w:rPr>
        <w:t xml:space="preserve">) right. </w:t>
      </w:r>
    </w:p>
    <w:p w:rsidR="00A00D29" w:rsidRPr="00B73BD3" w:rsidRDefault="00A00D29" w:rsidP="00F258CD">
      <w:pPr>
        <w:pStyle w:val="ReasonsNumbering-AltN"/>
        <w:ind w:left="0" w:firstLine="0"/>
        <w:rPr>
          <w:color w:val="000000"/>
        </w:rPr>
      </w:pPr>
      <w:r w:rsidRPr="00B73BD3">
        <w:rPr>
          <w:lang w:val="en-US"/>
        </w:rPr>
        <w:t xml:space="preserve">We note as well that, while the Court in this case was asked to clarify the ambit of </w:t>
      </w:r>
      <w:r w:rsidRPr="00B73BD3">
        <w:rPr>
          <w:i/>
          <w:lang w:val="en-US"/>
        </w:rPr>
        <w:t>Health Services</w:t>
      </w:r>
      <w:r w:rsidRPr="00B73BD3">
        <w:rPr>
          <w:lang w:val="en-US"/>
        </w:rPr>
        <w:t xml:space="preserve">, it was not asked to overrule it.  British Columbia, the </w:t>
      </w:r>
      <w:r w:rsidRPr="00B73BD3">
        <w:rPr>
          <w:lang w:val="en-US"/>
        </w:rPr>
        <w:lastRenderedPageBreak/>
        <w:t xml:space="preserve">respondent in </w:t>
      </w:r>
      <w:r w:rsidRPr="00B73BD3">
        <w:rPr>
          <w:i/>
          <w:lang w:val="en-US"/>
        </w:rPr>
        <w:t>Health Services</w:t>
      </w:r>
      <w:r w:rsidRPr="00B73BD3">
        <w:rPr>
          <w:lang w:val="en-US"/>
        </w:rPr>
        <w:t>, stated explicitly that it was “not here contesting this Court’s conclusion that s. 2(</w:t>
      </w:r>
      <w:r w:rsidRPr="0052170F">
        <w:rPr>
          <w:lang w:val="en-US"/>
        </w:rPr>
        <w:t>d</w:t>
      </w:r>
      <w:r w:rsidRPr="00B73BD3">
        <w:rPr>
          <w:lang w:val="en-US"/>
        </w:rPr>
        <w:t>) protects a process of collective bargaining”</w:t>
      </w:r>
      <w:r w:rsidR="001F4C89">
        <w:rPr>
          <w:color w:val="000000"/>
          <w:lang w:val="en-US"/>
        </w:rPr>
        <w:t xml:space="preserve"> (</w:t>
      </w:r>
      <w:r w:rsidR="007A40BF">
        <w:rPr>
          <w:color w:val="000000"/>
          <w:lang w:val="en-US"/>
        </w:rPr>
        <w:t>F</w:t>
      </w:r>
      <w:r w:rsidRPr="00B73BD3">
        <w:rPr>
          <w:color w:val="000000"/>
          <w:lang w:val="en-US"/>
        </w:rPr>
        <w:t>actum of the Attorney General of British Columbia, at para.</w:t>
      </w:r>
      <w:r w:rsidR="0052170F">
        <w:rPr>
          <w:color w:val="000000"/>
          <w:lang w:val="en-US"/>
        </w:rPr>
        <w:t xml:space="preserve"> </w:t>
      </w:r>
      <w:r w:rsidRPr="00B73BD3">
        <w:rPr>
          <w:color w:val="000000"/>
          <w:lang w:val="en-US"/>
        </w:rPr>
        <w:t>18)</w:t>
      </w:r>
      <w:r w:rsidRPr="00B73BD3">
        <w:rPr>
          <w:lang w:val="en-US"/>
        </w:rPr>
        <w:t xml:space="preserve">.  Absent notice to the profession and interested persons, overruling </w:t>
      </w:r>
      <w:r w:rsidRPr="00B73BD3">
        <w:rPr>
          <w:i/>
          <w:lang w:val="en-US"/>
        </w:rPr>
        <w:t>Health Services</w:t>
      </w:r>
      <w:r w:rsidRPr="00B73BD3">
        <w:rPr>
          <w:lang w:val="en-US"/>
        </w:rPr>
        <w:t xml:space="preserve"> seems to us procedurally inappropriate.</w:t>
      </w:r>
    </w:p>
    <w:p w:rsidR="00A00D29" w:rsidRPr="00B73BD3" w:rsidRDefault="00A00D29" w:rsidP="00F258CD">
      <w:pPr>
        <w:pStyle w:val="ReasonsNumbering-AltN"/>
        <w:ind w:left="0" w:firstLine="0"/>
        <w:rPr>
          <w:color w:val="000000"/>
        </w:rPr>
      </w:pPr>
      <w:r w:rsidRPr="00B73BD3">
        <w:rPr>
          <w:lang w:val="en-US"/>
        </w:rPr>
        <w:t xml:space="preserve">In our view, </w:t>
      </w:r>
      <w:r w:rsidRPr="00F258CD">
        <w:t>the</w:t>
      </w:r>
      <w:r w:rsidRPr="00B73BD3">
        <w:rPr>
          <w:lang w:val="en-US"/>
        </w:rPr>
        <w:t xml:space="preserve"> arguments advance</w:t>
      </w:r>
      <w:r w:rsidRPr="00B73BD3">
        <w:rPr>
          <w:color w:val="000000"/>
          <w:lang w:val="en-US"/>
        </w:rPr>
        <w:t>d</w:t>
      </w:r>
      <w:r w:rsidRPr="00B73BD3">
        <w:rPr>
          <w:lang w:val="en-US"/>
        </w:rPr>
        <w:t xml:space="preserve"> by our colleague against </w:t>
      </w:r>
      <w:r w:rsidRPr="00B73BD3">
        <w:rPr>
          <w:i/>
          <w:lang w:val="en-US"/>
        </w:rPr>
        <w:t>Health Services</w:t>
      </w:r>
      <w:r w:rsidRPr="00B73BD3">
        <w:rPr>
          <w:lang w:val="en-US"/>
        </w:rPr>
        <w:t xml:space="preserve"> do not meet the high threshold for reversing a precedent of this Court.</w:t>
      </w:r>
    </w:p>
    <w:p w:rsidR="00A00D29" w:rsidRPr="00B73BD3" w:rsidRDefault="00A00D29" w:rsidP="00473214">
      <w:pPr>
        <w:tabs>
          <w:tab w:val="left" w:pos="1080"/>
        </w:tabs>
        <w:spacing w:after="720"/>
        <w:ind w:left="1620" w:hanging="1620"/>
        <w:jc w:val="both"/>
        <w:rPr>
          <w:color w:val="000000"/>
          <w:u w:val="single"/>
        </w:rPr>
      </w:pPr>
      <w:r w:rsidRPr="00B73BD3">
        <w:rPr>
          <w:color w:val="000000"/>
        </w:rPr>
        <w:tab/>
        <w:t>(ii)</w:t>
      </w:r>
      <w:r w:rsidR="00473214">
        <w:rPr>
          <w:color w:val="000000"/>
        </w:rPr>
        <w:tab/>
      </w:r>
      <w:r w:rsidRPr="00B73BD3">
        <w:rPr>
          <w:color w:val="000000"/>
          <w:u w:val="single"/>
        </w:rPr>
        <w:t>The Arguments on Jurisprudence</w:t>
      </w:r>
    </w:p>
    <w:p w:rsidR="00A00D29" w:rsidRPr="00B73BD3" w:rsidRDefault="00A00D29" w:rsidP="00F258CD">
      <w:pPr>
        <w:pStyle w:val="ReasonsNumbering-AltN"/>
        <w:ind w:left="0" w:firstLine="0"/>
        <w:rPr>
          <w:color w:val="000000"/>
        </w:rPr>
      </w:pPr>
      <w:r w:rsidRPr="00B73BD3">
        <w:rPr>
          <w:color w:val="000000"/>
        </w:rPr>
        <w:t xml:space="preserve">Justice </w:t>
      </w:r>
      <w:r w:rsidRPr="00F258CD">
        <w:t>Rothstein</w:t>
      </w:r>
      <w:r w:rsidRPr="00B73BD3">
        <w:rPr>
          <w:color w:val="000000"/>
        </w:rPr>
        <w:t xml:space="preserve"> argues that </w:t>
      </w:r>
      <w:r w:rsidRPr="00B73BD3">
        <w:rPr>
          <w:i/>
          <w:color w:val="000000"/>
        </w:rPr>
        <w:t>Health Services</w:t>
      </w:r>
      <w:r w:rsidRPr="00B73BD3">
        <w:rPr>
          <w:color w:val="000000"/>
        </w:rPr>
        <w:t xml:space="preserve"> represents a marked departure from prior jurisprudence.  We do not agree.</w:t>
      </w:r>
    </w:p>
    <w:p w:rsidR="00A00D29" w:rsidRPr="00B73BD3" w:rsidRDefault="00A00D29" w:rsidP="00F258CD">
      <w:pPr>
        <w:pStyle w:val="ReasonsNumbering-AltN"/>
        <w:ind w:left="0" w:firstLine="0"/>
        <w:rPr>
          <w:color w:val="000000"/>
        </w:rPr>
      </w:pPr>
      <w:r w:rsidRPr="00B73BD3">
        <w:rPr>
          <w:color w:val="000000"/>
        </w:rPr>
        <w:t xml:space="preserve">We have </w:t>
      </w:r>
      <w:r w:rsidRPr="00F258CD">
        <w:t>already</w:t>
      </w:r>
      <w:r w:rsidRPr="00B73BD3">
        <w:rPr>
          <w:color w:val="000000"/>
        </w:rPr>
        <w:t xml:space="preserve"> discussed this jurisprudence in detail and need not repeat the discussion here. In brief, the early cases did not consider the issue.  Nothing said in them, however, negates the current state of the law, except for the fourth proposition in </w:t>
      </w:r>
      <w:r w:rsidRPr="00B73BD3">
        <w:rPr>
          <w:i/>
          <w:color w:val="000000"/>
        </w:rPr>
        <w:t>PIPSC</w:t>
      </w:r>
      <w:r w:rsidRPr="00B73BD3">
        <w:rPr>
          <w:color w:val="000000"/>
        </w:rPr>
        <w:t xml:space="preserve">, which was corrected in </w:t>
      </w:r>
      <w:r w:rsidRPr="00B73BD3">
        <w:rPr>
          <w:i/>
          <w:color w:val="000000"/>
        </w:rPr>
        <w:t xml:space="preserve">Dunmore </w:t>
      </w:r>
      <w:r w:rsidRPr="00B73BD3">
        <w:rPr>
          <w:color w:val="000000"/>
        </w:rPr>
        <w:t>to recognize that s.</w:t>
      </w:r>
      <w:r w:rsidRPr="00B73BD3">
        <w:t xml:space="preserve"> </w:t>
      </w:r>
      <w:r w:rsidRPr="00B73BD3">
        <w:rPr>
          <w:color w:val="000000"/>
        </w:rPr>
        <w:t>2(</w:t>
      </w:r>
      <w:r w:rsidRPr="00B73BD3">
        <w:rPr>
          <w:i/>
          <w:color w:val="000000"/>
        </w:rPr>
        <w:t>d</w:t>
      </w:r>
      <w:r w:rsidRPr="00B73BD3">
        <w:rPr>
          <w:color w:val="000000"/>
        </w:rPr>
        <w:t xml:space="preserve">) extends to collective, as distinct from individual goals.  </w:t>
      </w:r>
      <w:r w:rsidRPr="00B73BD3">
        <w:rPr>
          <w:i/>
          <w:color w:val="000000"/>
        </w:rPr>
        <w:t>Dunmore</w:t>
      </w:r>
      <w:r w:rsidRPr="00B73BD3">
        <w:rPr>
          <w:color w:val="000000"/>
        </w:rPr>
        <w:t>, as discussed above, established the proposition that legislative regimes that make meaningful pursuit of workplace goals impossible significantly impair the exercise of the s.</w:t>
      </w:r>
      <w:r w:rsidRPr="00B73BD3">
        <w:t xml:space="preserve"> </w:t>
      </w:r>
      <w:r w:rsidRPr="00B73BD3">
        <w:rPr>
          <w:color w:val="000000"/>
        </w:rPr>
        <w:t>2(</w:t>
      </w:r>
      <w:r w:rsidRPr="00B73BD3">
        <w:rPr>
          <w:i/>
          <w:color w:val="000000"/>
        </w:rPr>
        <w:t>d</w:t>
      </w:r>
      <w:r w:rsidR="00653681">
        <w:rPr>
          <w:color w:val="000000"/>
        </w:rPr>
        <w:t>) right to free associatio</w:t>
      </w:r>
      <w:r w:rsidR="004F4999">
        <w:rPr>
          <w:color w:val="000000"/>
        </w:rPr>
        <w:t>n</w:t>
      </w:r>
      <w:r w:rsidR="004F4999">
        <w:rPr>
          <w:rStyle w:val="FootnoteReference"/>
          <w:color w:val="000000"/>
        </w:rPr>
        <w:footnoteReference w:customMarkFollows="1" w:id="1"/>
        <w:t>*</w:t>
      </w:r>
      <w:r w:rsidRPr="00B73BD3">
        <w:rPr>
          <w:color w:val="000000"/>
        </w:rPr>
        <w:t xml:space="preserve"> and constitute a limit on the right which is unconstitutional unless justified by the state under s.</w:t>
      </w:r>
      <w:r w:rsidRPr="00B73BD3">
        <w:t xml:space="preserve"> </w:t>
      </w:r>
      <w:r w:rsidRPr="00B73BD3">
        <w:rPr>
          <w:color w:val="000000"/>
        </w:rPr>
        <w:t xml:space="preserve">1.  </w:t>
      </w:r>
      <w:r w:rsidRPr="00B73BD3">
        <w:rPr>
          <w:i/>
          <w:color w:val="000000"/>
        </w:rPr>
        <w:t>Health Services</w:t>
      </w:r>
      <w:r w:rsidRPr="00B73BD3">
        <w:rPr>
          <w:color w:val="000000"/>
        </w:rPr>
        <w:t>,</w:t>
      </w:r>
      <w:r w:rsidRPr="00B73BD3">
        <w:rPr>
          <w:i/>
          <w:color w:val="000000"/>
        </w:rPr>
        <w:t xml:space="preserve"> </w:t>
      </w:r>
      <w:r w:rsidRPr="00B73BD3">
        <w:rPr>
          <w:color w:val="000000"/>
        </w:rPr>
        <w:t xml:space="preserve">far from being an “express </w:t>
      </w:r>
      <w:r w:rsidRPr="00B73BD3">
        <w:rPr>
          <w:color w:val="000000"/>
        </w:rPr>
        <w:lastRenderedPageBreak/>
        <w:t xml:space="preserve">break” with prior jurisprudence, is grounded in the principles earlier enunciated in </w:t>
      </w:r>
      <w:r w:rsidRPr="00B73BD3">
        <w:rPr>
          <w:i/>
          <w:color w:val="000000"/>
        </w:rPr>
        <w:t>Dunmore</w:t>
      </w:r>
      <w:r w:rsidRPr="00B73BD3">
        <w:rPr>
          <w:color w:val="000000"/>
        </w:rPr>
        <w:t>.</w:t>
      </w:r>
    </w:p>
    <w:p w:rsidR="00A00D29" w:rsidRPr="00B73BD3" w:rsidRDefault="00A00D29" w:rsidP="000442BE">
      <w:pPr>
        <w:tabs>
          <w:tab w:val="left" w:pos="1170"/>
          <w:tab w:val="left" w:pos="1890"/>
        </w:tabs>
        <w:spacing w:after="720"/>
        <w:ind w:left="1890" w:hanging="1890"/>
        <w:jc w:val="both"/>
        <w:rPr>
          <w:color w:val="000000"/>
        </w:rPr>
      </w:pPr>
      <w:r w:rsidRPr="00B73BD3">
        <w:rPr>
          <w:color w:val="000000"/>
        </w:rPr>
        <w:tab/>
        <w:t>(iii)</w:t>
      </w:r>
      <w:r w:rsidR="000442BE">
        <w:rPr>
          <w:color w:val="000000"/>
        </w:rPr>
        <w:tab/>
      </w:r>
      <w:r w:rsidRPr="00B73BD3">
        <w:rPr>
          <w:color w:val="000000"/>
          <w:u w:val="single"/>
        </w:rPr>
        <w:t>Purpose of Section 2(</w:t>
      </w:r>
      <w:r w:rsidRPr="00B73BD3">
        <w:rPr>
          <w:i/>
          <w:color w:val="000000"/>
          <w:u w:val="single"/>
        </w:rPr>
        <w:t>d</w:t>
      </w:r>
      <w:r w:rsidRPr="00B73BD3">
        <w:rPr>
          <w:color w:val="000000"/>
          <w:u w:val="single"/>
        </w:rPr>
        <w:t xml:space="preserve">):  Individual </w:t>
      </w:r>
      <w:proofErr w:type="gramStart"/>
      <w:r w:rsidRPr="00B73BD3">
        <w:rPr>
          <w:color w:val="000000"/>
          <w:u w:val="single"/>
        </w:rPr>
        <w:t>Versus</w:t>
      </w:r>
      <w:proofErr w:type="gramEnd"/>
      <w:r w:rsidRPr="00B73BD3">
        <w:rPr>
          <w:color w:val="000000"/>
          <w:u w:val="single"/>
        </w:rPr>
        <w:t xml:space="preserve"> Collective Rights</w:t>
      </w:r>
    </w:p>
    <w:p w:rsidR="00A00D29" w:rsidRPr="00B73BD3" w:rsidRDefault="00A00D29" w:rsidP="00F258CD">
      <w:pPr>
        <w:pStyle w:val="ReasonsNumbering-AltN"/>
        <w:ind w:left="0" w:firstLine="0"/>
      </w:pPr>
      <w:r w:rsidRPr="00B73BD3">
        <w:rPr>
          <w:color w:val="000000"/>
        </w:rPr>
        <w:t xml:space="preserve">Our colleague </w:t>
      </w:r>
      <w:r w:rsidRPr="00F258CD">
        <w:t>argues</w:t>
      </w:r>
      <w:r w:rsidRPr="00B73BD3">
        <w:rPr>
          <w:color w:val="000000"/>
        </w:rPr>
        <w:t xml:space="preserve"> that the recognition of a constitutional right to collective bargaining in </w:t>
      </w:r>
      <w:r w:rsidRPr="00B73BD3">
        <w:rPr>
          <w:i/>
          <w:color w:val="000000"/>
        </w:rPr>
        <w:t xml:space="preserve">Health Services </w:t>
      </w:r>
      <w:r w:rsidRPr="00B73BD3">
        <w:rPr>
          <w:color w:val="000000"/>
        </w:rPr>
        <w:t>is not supported by the purpose of s.</w:t>
      </w:r>
      <w:r w:rsidRPr="00B73BD3">
        <w:t xml:space="preserve"> </w:t>
      </w:r>
      <w:r w:rsidRPr="00B73BD3">
        <w:rPr>
          <w:color w:val="000000"/>
        </w:rPr>
        <w:t>2(</w:t>
      </w:r>
      <w:r w:rsidRPr="00B73BD3">
        <w:rPr>
          <w:i/>
          <w:color w:val="000000"/>
        </w:rPr>
        <w:t>d</w:t>
      </w:r>
      <w:r w:rsidRPr="00B73BD3">
        <w:rPr>
          <w:color w:val="000000"/>
        </w:rPr>
        <w:t xml:space="preserve">), because it improperly assigns a collective dimension to individual rights. The collective dimension of individual rights was recognized by Dickson C.J., dissenting in </w:t>
      </w:r>
      <w:r w:rsidRPr="00B73BD3">
        <w:rPr>
          <w:i/>
          <w:lang w:val="en-US"/>
        </w:rPr>
        <w:t>Alberta Reference</w:t>
      </w:r>
      <w:r w:rsidRPr="00B73BD3">
        <w:rPr>
          <w:lang w:val="en-US"/>
        </w:rPr>
        <w:t>, stating that s. 2(</w:t>
      </w:r>
      <w:r w:rsidRPr="00B73BD3">
        <w:rPr>
          <w:i/>
          <w:lang w:val="en-US"/>
        </w:rPr>
        <w:t>d</w:t>
      </w:r>
      <w:r w:rsidRPr="00B73BD3">
        <w:rPr>
          <w:lang w:val="en-US"/>
        </w:rPr>
        <w:t>) protects group activity for which activity there is “no analogy involving individuals” such as the right to bargain collectively (pp. 367-70).  The</w:t>
      </w:r>
      <w:r w:rsidRPr="00B73BD3">
        <w:rPr>
          <w:color w:val="000000"/>
        </w:rPr>
        <w:t xml:space="preserve"> Court in </w:t>
      </w:r>
      <w:r w:rsidRPr="00B73BD3">
        <w:rPr>
          <w:i/>
          <w:color w:val="000000"/>
        </w:rPr>
        <w:t xml:space="preserve">Dunmore </w:t>
      </w:r>
      <w:r w:rsidRPr="00B73BD3">
        <w:rPr>
          <w:color w:val="000000"/>
        </w:rPr>
        <w:t xml:space="preserve">modified the fourth proposition in the earlier case of </w:t>
      </w:r>
      <w:r w:rsidRPr="00B73BD3">
        <w:rPr>
          <w:i/>
          <w:color w:val="000000"/>
        </w:rPr>
        <w:t>PIPSC</w:t>
      </w:r>
      <w:r w:rsidRPr="00B73BD3">
        <w:rPr>
          <w:color w:val="000000"/>
        </w:rPr>
        <w:t xml:space="preserve">.  </w:t>
      </w:r>
      <w:r w:rsidRPr="00B73BD3">
        <w:rPr>
          <w:lang w:val="en-US"/>
        </w:rPr>
        <w:t xml:space="preserve">As Bastarache J. there stated, “certain collective activities must be recognized if the freedom to form and maintain an association is to have any meaning”. </w:t>
      </w:r>
    </w:p>
    <w:p w:rsidR="00A00D29" w:rsidRPr="00B73BD3" w:rsidRDefault="00A00D29" w:rsidP="00F258CD">
      <w:pPr>
        <w:pStyle w:val="ReasonsNumbering-AltN"/>
        <w:ind w:left="0" w:firstLine="0"/>
      </w:pPr>
      <w:r w:rsidRPr="00B73BD3">
        <w:rPr>
          <w:lang w:val="en-US"/>
        </w:rPr>
        <w:t xml:space="preserve">Consistent </w:t>
      </w:r>
      <w:r w:rsidRPr="00F258CD">
        <w:t>with</w:t>
      </w:r>
      <w:r w:rsidRPr="00B73BD3">
        <w:rPr>
          <w:lang w:val="en-US"/>
        </w:rPr>
        <w:t xml:space="preserve"> this framework, the majority decision in</w:t>
      </w:r>
      <w:r w:rsidRPr="00B73BD3">
        <w:rPr>
          <w:i/>
          <w:lang w:val="en-US"/>
        </w:rPr>
        <w:t xml:space="preserve"> Health Services</w:t>
      </w:r>
      <w:r w:rsidRPr="00B73BD3">
        <w:rPr>
          <w:lang w:val="en-US"/>
        </w:rPr>
        <w:t xml:space="preserve"> framed s. 2</w:t>
      </w:r>
      <w:r w:rsidRPr="002A427F">
        <w:rPr>
          <w:lang w:val="en-US"/>
        </w:rPr>
        <w:t>(</w:t>
      </w:r>
      <w:r w:rsidRPr="00B73BD3">
        <w:rPr>
          <w:i/>
          <w:lang w:val="en-US"/>
        </w:rPr>
        <w:t>d</w:t>
      </w:r>
      <w:r w:rsidRPr="00B73BD3">
        <w:rPr>
          <w:lang w:val="en-US"/>
        </w:rPr>
        <w:t xml:space="preserve">) as an </w:t>
      </w:r>
      <w:r w:rsidRPr="00B73BD3">
        <w:rPr>
          <w:i/>
          <w:lang w:val="en-US"/>
        </w:rPr>
        <w:t>individual right</w:t>
      </w:r>
      <w:r w:rsidRPr="00B73BD3">
        <w:rPr>
          <w:lang w:val="en-US"/>
        </w:rPr>
        <w:t xml:space="preserve"> (“the right of </w:t>
      </w:r>
      <w:r w:rsidRPr="00B73BD3">
        <w:rPr>
          <w:u w:val="single"/>
          <w:lang w:val="en-US"/>
        </w:rPr>
        <w:t>employees</w:t>
      </w:r>
      <w:r w:rsidRPr="00B73BD3">
        <w:rPr>
          <w:lang w:val="en-US"/>
        </w:rPr>
        <w:t xml:space="preserve">”, para. </w:t>
      </w:r>
      <w:r w:rsidRPr="00B73BD3">
        <w:rPr>
          <w:color w:val="000000"/>
          <w:lang w:val="en-US"/>
        </w:rPr>
        <w:t>8</w:t>
      </w:r>
      <w:r w:rsidRPr="00B73BD3">
        <w:rPr>
          <w:lang w:val="en-US"/>
        </w:rPr>
        <w:t xml:space="preserve">7 (emphasis added)) that </w:t>
      </w:r>
      <w:r w:rsidRPr="00B73BD3">
        <w:rPr>
          <w:i/>
          <w:lang w:val="en-US"/>
        </w:rPr>
        <w:t>may require the protection of group activity</w:t>
      </w:r>
      <w:r w:rsidRPr="00B73BD3">
        <w:rPr>
          <w:lang w:val="en-US"/>
        </w:rPr>
        <w:t xml:space="preserve"> (see also paras. 19</w:t>
      </w:r>
      <w:r w:rsidRPr="00B73BD3">
        <w:rPr>
          <w:color w:val="000000"/>
          <w:lang w:val="en-US"/>
        </w:rPr>
        <w:t xml:space="preserve"> and </w:t>
      </w:r>
      <w:r w:rsidRPr="00B73BD3">
        <w:rPr>
          <w:lang w:val="en-US"/>
        </w:rPr>
        <w:t xml:space="preserve">89).  The fundamental inquiry is whether the state action would </w:t>
      </w:r>
      <w:r w:rsidRPr="00B73BD3">
        <w:rPr>
          <w:i/>
          <w:color w:val="000000"/>
          <w:lang w:val="en-US"/>
        </w:rPr>
        <w:t>substantially impair</w:t>
      </w:r>
      <w:r w:rsidRPr="00B73BD3">
        <w:rPr>
          <w:color w:val="000000"/>
          <w:lang w:val="en-US"/>
        </w:rPr>
        <w:t xml:space="preserve"> </w:t>
      </w:r>
      <w:r w:rsidRPr="00B73BD3">
        <w:rPr>
          <w:lang w:val="en-US"/>
        </w:rPr>
        <w:t>the ability of “</w:t>
      </w:r>
      <w:r w:rsidRPr="00B73BD3">
        <w:rPr>
          <w:u w:val="single"/>
          <w:lang w:val="en-US"/>
        </w:rPr>
        <w:t>union members</w:t>
      </w:r>
      <w:r w:rsidRPr="00B73BD3">
        <w:rPr>
          <w:lang w:val="en-US"/>
        </w:rPr>
        <w:t xml:space="preserve"> to pursue shared goals in concert” (para. 96 (emphasis added)).  As in</w:t>
      </w:r>
      <w:r w:rsidRPr="00B73BD3">
        <w:rPr>
          <w:i/>
          <w:lang w:val="en-US"/>
        </w:rPr>
        <w:t xml:space="preserve"> Dunmore</w:t>
      </w:r>
      <w:r w:rsidRPr="00B73BD3">
        <w:rPr>
          <w:lang w:val="en-US"/>
        </w:rPr>
        <w:t>,</w:t>
      </w:r>
      <w:r w:rsidRPr="00B73BD3">
        <w:rPr>
          <w:i/>
          <w:lang w:val="en-US"/>
        </w:rPr>
        <w:t xml:space="preserve"> </w:t>
      </w:r>
      <w:r w:rsidRPr="00B73BD3">
        <w:rPr>
          <w:lang w:val="en-US"/>
        </w:rPr>
        <w:t>the majority concluded that the realization of the individual right required a capacity to act in common, which may give rise to a need to protect group activities and, as a consequence, to recognize group rights.</w:t>
      </w:r>
    </w:p>
    <w:p w:rsidR="00A00D29" w:rsidRPr="00B73BD3" w:rsidRDefault="00A00D29" w:rsidP="00F258CD">
      <w:pPr>
        <w:pStyle w:val="ReasonsNumbering-AltN"/>
        <w:ind w:left="0" w:firstLine="0"/>
      </w:pPr>
      <w:r w:rsidRPr="00B73BD3">
        <w:rPr>
          <w:lang w:val="en-US"/>
        </w:rPr>
        <w:lastRenderedPageBreak/>
        <w:t xml:space="preserve">In </w:t>
      </w:r>
      <w:r w:rsidRPr="00F258CD">
        <w:t>summary</w:t>
      </w:r>
      <w:r w:rsidRPr="00B73BD3">
        <w:rPr>
          <w:lang w:val="en-US"/>
        </w:rPr>
        <w:t xml:space="preserve">, </w:t>
      </w:r>
      <w:r w:rsidRPr="00B73BD3">
        <w:rPr>
          <w:i/>
          <w:lang w:val="en-US"/>
        </w:rPr>
        <w:t>Health Services</w:t>
      </w:r>
      <w:r w:rsidRPr="00B73BD3">
        <w:rPr>
          <w:lang w:val="en-US"/>
        </w:rPr>
        <w:t xml:space="preserve"> was consistent with the previous cases on the issue of individual and collective rights.  It recognized, as did previous jurisprudence, that s. 2(</w:t>
      </w:r>
      <w:r w:rsidRPr="00B73BD3">
        <w:rPr>
          <w:i/>
          <w:lang w:val="en-US"/>
        </w:rPr>
        <w:t>d</w:t>
      </w:r>
      <w:r w:rsidRPr="00B73BD3">
        <w:rPr>
          <w:lang w:val="en-US"/>
        </w:rPr>
        <w:t>) is an individual right.  But i</w:t>
      </w:r>
      <w:r>
        <w:rPr>
          <w:lang w:val="en-US"/>
        </w:rPr>
        <w:t>t</w:t>
      </w:r>
      <w:r w:rsidRPr="00B73BD3">
        <w:rPr>
          <w:lang w:val="en-US"/>
        </w:rPr>
        <w:t xml:space="preserve"> also recognized, as did previous cases, that to meaningfully uphold this individual right, s. 2(</w:t>
      </w:r>
      <w:r w:rsidRPr="00B73BD3">
        <w:rPr>
          <w:i/>
          <w:lang w:val="en-US"/>
        </w:rPr>
        <w:t>d</w:t>
      </w:r>
      <w:r w:rsidRPr="00B73BD3">
        <w:rPr>
          <w:lang w:val="en-US"/>
        </w:rPr>
        <w:t xml:space="preserve">) may properly </w:t>
      </w:r>
      <w:r w:rsidRPr="00B73BD3">
        <w:rPr>
          <w:color w:val="000000"/>
          <w:lang w:val="en-US"/>
        </w:rPr>
        <w:t xml:space="preserve">require legislative protection of </w:t>
      </w:r>
      <w:r w:rsidRPr="00B73BD3">
        <w:rPr>
          <w:lang w:val="en-US"/>
        </w:rPr>
        <w:t>group or collective activities.</w:t>
      </w:r>
    </w:p>
    <w:p w:rsidR="00A00D29" w:rsidRPr="00B73BD3" w:rsidRDefault="00A00D29" w:rsidP="00F258CD">
      <w:pPr>
        <w:pStyle w:val="ReasonsNumbering-AltN"/>
        <w:ind w:left="0" w:firstLine="0"/>
        <w:rPr>
          <w:lang w:val="en-US"/>
        </w:rPr>
      </w:pPr>
      <w:r w:rsidRPr="00B73BD3">
        <w:rPr>
          <w:lang w:val="en-US"/>
        </w:rPr>
        <w:t xml:space="preserve">Rothstein J. also emphasizes that “[i]ndividuals who are not members of an association . . . have no constitutional right to oblige their employers to bargain” (paras. 179 and 187).  In our view, this outcome </w:t>
      </w:r>
      <w:r w:rsidRPr="00B73BD3">
        <w:rPr>
          <w:color w:val="000000"/>
          <w:lang w:val="en-US"/>
        </w:rPr>
        <w:t xml:space="preserve">is not anomalous. It </w:t>
      </w:r>
      <w:r w:rsidRPr="00B73BD3">
        <w:rPr>
          <w:lang w:val="en-US"/>
        </w:rPr>
        <w:t xml:space="preserve">follows </w:t>
      </w:r>
      <w:r w:rsidRPr="00B73BD3">
        <w:rPr>
          <w:color w:val="000000"/>
          <w:lang w:val="en-US"/>
        </w:rPr>
        <w:t xml:space="preserve">logically </w:t>
      </w:r>
      <w:r w:rsidRPr="00B73BD3">
        <w:rPr>
          <w:lang w:val="en-US"/>
        </w:rPr>
        <w:t>from the fact that collective bargaining is a derivative right</w:t>
      </w:r>
      <w:r w:rsidRPr="00B73BD3">
        <w:rPr>
          <w:color w:val="000000"/>
          <w:lang w:val="en-US"/>
        </w:rPr>
        <w:t xml:space="preserve">, a “necessary precondition” to the meaningful exercise of the constitutional guarantee of freedom of association: see </w:t>
      </w:r>
      <w:r w:rsidRPr="00B73BD3">
        <w:rPr>
          <w:i/>
          <w:color w:val="000000"/>
          <w:lang w:val="en-US"/>
        </w:rPr>
        <w:t>CLA</w:t>
      </w:r>
      <w:r w:rsidRPr="00B73BD3">
        <w:rPr>
          <w:color w:val="000000"/>
          <w:lang w:val="en-US"/>
        </w:rPr>
        <w:t>, at para. 30. Where there is no reliance on freedom of association, there is no derivative right to require employers to bargain</w:t>
      </w:r>
      <w:r w:rsidRPr="00B73BD3">
        <w:rPr>
          <w:lang w:val="en-US"/>
        </w:rPr>
        <w:t xml:space="preserve">.  </w:t>
      </w:r>
    </w:p>
    <w:p w:rsidR="00A00D29" w:rsidRPr="00B73BD3" w:rsidRDefault="00A00D29" w:rsidP="007E352E">
      <w:pPr>
        <w:tabs>
          <w:tab w:val="left" w:pos="1170"/>
        </w:tabs>
        <w:spacing w:after="720"/>
        <w:ind w:left="1620" w:hanging="1620"/>
        <w:jc w:val="both"/>
        <w:rPr>
          <w:u w:val="single"/>
          <w:lang w:val="en-US"/>
        </w:rPr>
      </w:pPr>
      <w:r w:rsidRPr="00B73BD3">
        <w:rPr>
          <w:lang w:val="en-US"/>
        </w:rPr>
        <w:tab/>
      </w:r>
      <w:proofErr w:type="gramStart"/>
      <w:r w:rsidRPr="00B73BD3">
        <w:rPr>
          <w:lang w:val="en-US"/>
        </w:rPr>
        <w:t>(iv)</w:t>
      </w:r>
      <w:r w:rsidR="007E352E">
        <w:rPr>
          <w:lang w:val="en-US"/>
        </w:rPr>
        <w:tab/>
      </w:r>
      <w:r w:rsidRPr="00B73BD3">
        <w:rPr>
          <w:u w:val="single"/>
          <w:lang w:val="en-US"/>
        </w:rPr>
        <w:t>The</w:t>
      </w:r>
      <w:proofErr w:type="gramEnd"/>
      <w:r w:rsidRPr="00B73BD3">
        <w:rPr>
          <w:u w:val="single"/>
          <w:lang w:val="en-US"/>
        </w:rPr>
        <w:t xml:space="preserve"> Argument That Section 2(</w:t>
      </w:r>
      <w:r w:rsidRPr="00B73BD3">
        <w:rPr>
          <w:i/>
          <w:u w:val="single"/>
          <w:lang w:val="en-US"/>
        </w:rPr>
        <w:t>d</w:t>
      </w:r>
      <w:r w:rsidRPr="00B73BD3">
        <w:rPr>
          <w:u w:val="single"/>
          <w:lang w:val="en-US"/>
        </w:rPr>
        <w:t>) Is a Freedom, Not</w:t>
      </w:r>
      <w:r w:rsidRPr="00B73BD3">
        <w:rPr>
          <w:i/>
          <w:u w:val="single"/>
          <w:lang w:val="en-US"/>
        </w:rPr>
        <w:t xml:space="preserve"> </w:t>
      </w:r>
      <w:r w:rsidRPr="00B73BD3">
        <w:rPr>
          <w:u w:val="single"/>
          <w:lang w:val="en-US"/>
        </w:rPr>
        <w:t>a</w:t>
      </w:r>
      <w:r w:rsidRPr="00B73BD3">
        <w:rPr>
          <w:i/>
          <w:u w:val="single"/>
          <w:lang w:val="en-US"/>
        </w:rPr>
        <w:t xml:space="preserve"> </w:t>
      </w:r>
      <w:r w:rsidRPr="00B73BD3">
        <w:rPr>
          <w:u w:val="single"/>
          <w:lang w:val="en-US"/>
        </w:rPr>
        <w:t>Right</w:t>
      </w:r>
    </w:p>
    <w:p w:rsidR="00A00D29" w:rsidRPr="00B73BD3" w:rsidRDefault="00A00D29" w:rsidP="00F258CD">
      <w:pPr>
        <w:pStyle w:val="ReasonsNumbering-AltN"/>
        <w:ind w:left="0" w:firstLine="0"/>
        <w:rPr>
          <w:i/>
          <w:color w:val="000000"/>
        </w:rPr>
      </w:pPr>
      <w:r w:rsidRPr="00B73BD3">
        <w:rPr>
          <w:color w:val="000000"/>
          <w:lang w:val="en-US"/>
        </w:rPr>
        <w:t xml:space="preserve">Our </w:t>
      </w:r>
      <w:r w:rsidRPr="00F258CD">
        <w:t>colleague</w:t>
      </w:r>
      <w:r w:rsidRPr="00B73BD3">
        <w:rPr>
          <w:color w:val="000000"/>
          <w:lang w:val="en-US"/>
        </w:rPr>
        <w:t xml:space="preserve"> argues that by requiring a process that allows for meaningful dialogue on workplace matters, </w:t>
      </w:r>
      <w:r w:rsidRPr="00B73BD3">
        <w:rPr>
          <w:i/>
          <w:color w:val="000000"/>
          <w:lang w:val="en-US"/>
        </w:rPr>
        <w:t>Health Servic</w:t>
      </w:r>
      <w:r w:rsidRPr="00B73BD3">
        <w:rPr>
          <w:i/>
          <w:color w:val="000000"/>
        </w:rPr>
        <w:t>es</w:t>
      </w:r>
      <w:r w:rsidRPr="00B73BD3">
        <w:rPr>
          <w:color w:val="000000"/>
        </w:rPr>
        <w:t xml:space="preserve"> wrongly converts a negative freedom into a positive right.  This bright line between freedoms and rights seems to us impossible to maintain.  Just as freedom of expression implies correlative rights, so may freedom of association.  The freedom to do a thing, when guaranteed by the Constitution interpreted purposively, implies a right to do it. The </w:t>
      </w:r>
      <w:r w:rsidRPr="00B73BD3">
        <w:rPr>
          <w:i/>
          <w:color w:val="000000"/>
        </w:rPr>
        <w:t xml:space="preserve">Charter </w:t>
      </w:r>
      <w:r w:rsidRPr="00B73BD3">
        <w:rPr>
          <w:color w:val="000000"/>
        </w:rPr>
        <w:t xml:space="preserve">cannot be subdivided into two kinds of guarantees — freedoms and rights. </w:t>
      </w:r>
    </w:p>
    <w:p w:rsidR="00A00D29" w:rsidRPr="00B73BD3" w:rsidRDefault="00A00D29" w:rsidP="00F258CD">
      <w:pPr>
        <w:pStyle w:val="ReasonsNumbering-AltN"/>
        <w:ind w:left="0" w:firstLine="0"/>
      </w:pPr>
      <w:r w:rsidRPr="00B73BD3">
        <w:lastRenderedPageBreak/>
        <w:t>T</w:t>
      </w:r>
      <w:r w:rsidRPr="00B73BD3">
        <w:rPr>
          <w:lang w:val="en-US"/>
        </w:rPr>
        <w:t xml:space="preserve">he </w:t>
      </w:r>
      <w:r w:rsidRPr="00F258CD">
        <w:t>majority</w:t>
      </w:r>
      <w:r w:rsidRPr="00B73BD3">
        <w:rPr>
          <w:lang w:val="en-US"/>
        </w:rPr>
        <w:t xml:space="preserve"> in both </w:t>
      </w:r>
      <w:r w:rsidRPr="00B73BD3">
        <w:rPr>
          <w:i/>
          <w:color w:val="000000"/>
          <w:lang w:val="en-US"/>
        </w:rPr>
        <w:t>Dunmore</w:t>
      </w:r>
      <w:r w:rsidRPr="00B73BD3">
        <w:rPr>
          <w:color w:val="000000"/>
          <w:lang w:val="en-US"/>
        </w:rPr>
        <w:t xml:space="preserve"> and </w:t>
      </w:r>
      <w:r w:rsidRPr="00B73BD3">
        <w:rPr>
          <w:i/>
          <w:color w:val="000000"/>
          <w:lang w:val="en-US"/>
        </w:rPr>
        <w:t>Health Services</w:t>
      </w:r>
      <w:r w:rsidRPr="00B73BD3">
        <w:rPr>
          <w:color w:val="000000"/>
          <w:lang w:val="en-US"/>
        </w:rPr>
        <w:t xml:space="preserve"> </w:t>
      </w:r>
      <w:r w:rsidRPr="00B73BD3">
        <w:rPr>
          <w:lang w:val="en-US"/>
        </w:rPr>
        <w:t xml:space="preserve">held that freedom to associate may require the state to take positive steps.  Bastarache J. in </w:t>
      </w:r>
      <w:r w:rsidRPr="00B73BD3">
        <w:rPr>
          <w:i/>
          <w:lang w:val="en-US"/>
        </w:rPr>
        <w:t>Dunmore</w:t>
      </w:r>
      <w:r w:rsidRPr="00B73BD3">
        <w:rPr>
          <w:lang w:val="en-US"/>
        </w:rPr>
        <w:t xml:space="preserve"> underlined that “it may be asked whether the distinction between positive and negative state obligations ought to be nuanced in the context of labour relations” (para. 20). He further noted that </w:t>
      </w:r>
    </w:p>
    <w:p w:rsidR="00A00D29" w:rsidRPr="00B73BD3" w:rsidRDefault="00A00D29" w:rsidP="00F258CD">
      <w:pPr>
        <w:pStyle w:val="Citation-AltC"/>
      </w:pPr>
      <w:proofErr w:type="gramStart"/>
      <w:r w:rsidRPr="00B73BD3">
        <w:rPr>
          <w:lang w:val="en-US"/>
        </w:rPr>
        <w:t>history</w:t>
      </w:r>
      <w:proofErr w:type="gramEnd"/>
      <w:r w:rsidRPr="00B73BD3">
        <w:rPr>
          <w:lang w:val="en-US"/>
        </w:rPr>
        <w:t xml:space="preserve"> has shown, and Canada’s legislatures have uniformly recognized, that a posture of government restraint in the area of labour relations will expose most workers not only to a range of unfair labour practices, but potentially to legal liability under common law inhibitions on combin</w:t>
      </w:r>
      <w:r w:rsidR="002A427F">
        <w:rPr>
          <w:lang w:val="en-US"/>
        </w:rPr>
        <w:t>ations and restraint</w:t>
      </w:r>
      <w:r w:rsidR="00800157">
        <w:rPr>
          <w:lang w:val="en-US"/>
        </w:rPr>
        <w:t>s</w:t>
      </w:r>
      <w:r w:rsidR="002A427F">
        <w:rPr>
          <w:lang w:val="en-US"/>
        </w:rPr>
        <w:t xml:space="preserve"> of trade. </w:t>
      </w:r>
      <w:r w:rsidRPr="00B73BD3">
        <w:rPr>
          <w:lang w:val="en-US"/>
        </w:rPr>
        <w:t>. . . In this context, it must be asked whether, in order to make the freedom to organize meaningful, s. 2(</w:t>
      </w:r>
      <w:r w:rsidRPr="00B73BD3">
        <w:rPr>
          <w:i/>
          <w:lang w:val="en-US"/>
        </w:rPr>
        <w:t>d</w:t>
      </w:r>
      <w:r w:rsidRPr="00B73BD3">
        <w:rPr>
          <w:lang w:val="en-US"/>
        </w:rPr>
        <w:t xml:space="preserve">) of the </w:t>
      </w:r>
      <w:r w:rsidRPr="00B73BD3">
        <w:rPr>
          <w:i/>
          <w:lang w:val="en-US"/>
        </w:rPr>
        <w:t>Charter</w:t>
      </w:r>
      <w:r w:rsidRPr="00B73BD3">
        <w:rPr>
          <w:lang w:val="en-US"/>
        </w:rPr>
        <w:t xml:space="preserve"> imposes a positive obligation on the state to extend protective legislation to unprotected groups. [para. 20]</w:t>
      </w:r>
    </w:p>
    <w:p w:rsidR="00A00D29" w:rsidRPr="00B73BD3" w:rsidRDefault="00A00D29" w:rsidP="00F258CD">
      <w:pPr>
        <w:pStyle w:val="ReasonsNumbering-AltN"/>
        <w:ind w:left="0" w:firstLine="0"/>
      </w:pPr>
      <w:r w:rsidRPr="00B73BD3">
        <w:rPr>
          <w:lang w:val="en-US"/>
        </w:rPr>
        <w:t xml:space="preserve">This Court has consistently rejected a rigid distinction between “positive” freedoms and “negative” rights in the </w:t>
      </w:r>
      <w:r w:rsidRPr="00B73BD3">
        <w:rPr>
          <w:i/>
          <w:lang w:val="en-US"/>
        </w:rPr>
        <w:t>Charter</w:t>
      </w:r>
      <w:r w:rsidRPr="00B73BD3">
        <w:rPr>
          <w:lang w:val="en-US"/>
        </w:rPr>
        <w:t>.  For example, it recently held that s. 2(</w:t>
      </w:r>
      <w:r w:rsidRPr="00B73BD3">
        <w:rPr>
          <w:i/>
          <w:lang w:val="en-US"/>
        </w:rPr>
        <w:t>b</w:t>
      </w:r>
      <w:r w:rsidRPr="00B73BD3">
        <w:rPr>
          <w:lang w:val="en-US"/>
        </w:rPr>
        <w:t xml:space="preserve">) may require the government to disclose documents to the public in order to enable meaningful discourse:  </w:t>
      </w:r>
      <w:r w:rsidRPr="00B73BD3">
        <w:rPr>
          <w:i/>
          <w:lang w:val="en-US"/>
        </w:rPr>
        <w:t>CLA</w:t>
      </w:r>
      <w:r w:rsidRPr="00B73BD3">
        <w:rPr>
          <w:lang w:val="en-US"/>
        </w:rPr>
        <w:t xml:space="preserve">, at para. 37.  As stated by L’Heureux-Dubé J. in </w:t>
      </w:r>
      <w:r w:rsidRPr="00B73BD3">
        <w:rPr>
          <w:i/>
          <w:lang w:val="en-US"/>
        </w:rPr>
        <w:t>Haig v. Canada</w:t>
      </w:r>
      <w:r w:rsidRPr="00B73BD3">
        <w:rPr>
          <w:lang w:val="en-US"/>
        </w:rPr>
        <w:t>, [1993] 2 S.C.R. 995:</w:t>
      </w:r>
    </w:p>
    <w:p w:rsidR="00A00D29" w:rsidRPr="00B73BD3" w:rsidRDefault="00A00D29" w:rsidP="00A00D29">
      <w:pPr>
        <w:pStyle w:val="Citation"/>
      </w:pPr>
      <w:r w:rsidRPr="00B73BD3">
        <w:rPr>
          <w:lang w:val="en-US"/>
        </w:rPr>
        <w:t xml:space="preserve">The distinctions between “freedoms” and “rights”, and between positive and negative entitlements, are not always clearly made, nor are they always helpful.  One must not depart from the context of the purposive approach articulated by this Court in </w:t>
      </w:r>
      <w:r w:rsidRPr="00B73BD3">
        <w:rPr>
          <w:i/>
          <w:lang w:val="en-US"/>
        </w:rPr>
        <w:t>R. v. Big M Drug Mart Ltd.</w:t>
      </w:r>
      <w:r w:rsidRPr="00B73BD3">
        <w:rPr>
          <w:lang w:val="en-US"/>
        </w:rPr>
        <w:t xml:space="preserve">, [1985] 1 S.C.R. 295.  Under this approach, a situation might arise in which, in order to make a fundamental freedom meaningful, a posture of restraint would not be enough, and positive governmental action might be required.  This might, for example, take the form of legislative intervention aimed at preventing certain conditions which muzzle expression, or ensuring public access to </w:t>
      </w:r>
      <w:r w:rsidR="002A427F">
        <w:rPr>
          <w:lang w:val="en-US"/>
        </w:rPr>
        <w:t>certain kinds of information. [</w:t>
      </w:r>
      <w:r w:rsidRPr="00B73BD3">
        <w:rPr>
          <w:lang w:val="en-US"/>
        </w:rPr>
        <w:t>p.</w:t>
      </w:r>
      <w:r w:rsidR="00D3324C">
        <w:rPr>
          <w:lang w:val="en-US"/>
        </w:rPr>
        <w:t> </w:t>
      </w:r>
      <w:r w:rsidRPr="00B73BD3">
        <w:rPr>
          <w:lang w:val="en-US"/>
        </w:rPr>
        <w:t>1039]</w:t>
      </w:r>
    </w:p>
    <w:p w:rsidR="00A00D29" w:rsidRPr="00B73BD3" w:rsidRDefault="00A00D29" w:rsidP="00F258CD">
      <w:pPr>
        <w:pStyle w:val="ReasonsNumbering-AltN"/>
        <w:ind w:left="0" w:firstLine="0"/>
      </w:pPr>
      <w:r w:rsidRPr="00B73BD3">
        <w:rPr>
          <w:lang w:val="en-US"/>
        </w:rPr>
        <w:lastRenderedPageBreak/>
        <w:t>A purposive protection of freedom of association may require the state to act positively to protect the ability of individuals to engage in fundamentally important collective activities, just as a purposive interpretation of freedom of expression may require the state to disclose documents to permit meaningful discussion.</w:t>
      </w:r>
    </w:p>
    <w:p w:rsidR="00A00D29" w:rsidRPr="00B73BD3" w:rsidRDefault="00A00D29" w:rsidP="00F258CD">
      <w:pPr>
        <w:pStyle w:val="ReasonsNumbering-AltN"/>
        <w:ind w:left="0" w:firstLine="0"/>
        <w:rPr>
          <w:lang w:val="en-US"/>
        </w:rPr>
      </w:pPr>
      <w:r w:rsidRPr="00B73BD3">
        <w:rPr>
          <w:lang w:val="en-US"/>
        </w:rPr>
        <w:t xml:space="preserve">With respect, we also do not agree that the structure of the </w:t>
      </w:r>
      <w:r w:rsidRPr="00B73BD3">
        <w:rPr>
          <w:i/>
          <w:lang w:val="en-US"/>
        </w:rPr>
        <w:t xml:space="preserve">Charter </w:t>
      </w:r>
      <w:r w:rsidRPr="00B73BD3">
        <w:rPr>
          <w:lang w:val="en-US"/>
        </w:rPr>
        <w:t xml:space="preserve">reflects a rigid distinction between freedoms and rights. Rothstein J.’s reasons state that “[w]hen the </w:t>
      </w:r>
      <w:r w:rsidRPr="00B73BD3">
        <w:rPr>
          <w:i/>
          <w:lang w:val="en-US"/>
        </w:rPr>
        <w:t>Charter</w:t>
      </w:r>
      <w:r w:rsidRPr="00B73BD3">
        <w:rPr>
          <w:lang w:val="en-US"/>
        </w:rPr>
        <w:t xml:space="preserve"> uses the term ‘right’, as it does in ss. 7 to 12, either a positive entitlement is introduced</w:t>
      </w:r>
      <w:r w:rsidR="00D3324C">
        <w:rPr>
          <w:lang w:val="en-US"/>
        </w:rPr>
        <w:t>,</w:t>
      </w:r>
      <w:r w:rsidRPr="00B73BD3">
        <w:rPr>
          <w:lang w:val="en-US"/>
        </w:rPr>
        <w:t xml:space="preserve"> or a right to be free of some restriction or prohibition (i.e. a freedom) is introduced” (para. 192).  </w:t>
      </w:r>
    </w:p>
    <w:p w:rsidR="00A00D29" w:rsidRPr="00B73BD3" w:rsidRDefault="00A00D29" w:rsidP="00F258CD">
      <w:pPr>
        <w:pStyle w:val="ReasonsNumbering-AltN"/>
        <w:ind w:left="0" w:firstLine="0"/>
      </w:pPr>
      <w:r w:rsidRPr="00B73BD3">
        <w:rPr>
          <w:lang w:val="en-US"/>
        </w:rPr>
        <w:t>In fact, many of the rights in ss. 7 to 12 do not entitle individuals to any form of state action</w:t>
      </w:r>
      <w:r w:rsidRPr="00B73BD3">
        <w:rPr>
          <w:color w:val="000000"/>
          <w:lang w:val="en-US"/>
        </w:rPr>
        <w:t>.</w:t>
      </w:r>
      <w:r w:rsidRPr="00B73BD3">
        <w:rPr>
          <w:lang w:val="en-US"/>
        </w:rPr>
        <w:t xml:space="preserve"> </w:t>
      </w:r>
      <w:r w:rsidRPr="00B73BD3">
        <w:rPr>
          <w:color w:val="000000"/>
          <w:lang w:val="en-US"/>
        </w:rPr>
        <w:t>R</w:t>
      </w:r>
      <w:r w:rsidRPr="00B73BD3">
        <w:rPr>
          <w:lang w:val="en-US"/>
        </w:rPr>
        <w:t xml:space="preserve">ather </w:t>
      </w:r>
      <w:r w:rsidRPr="00B73BD3">
        <w:rPr>
          <w:color w:val="000000"/>
          <w:lang w:val="en-US"/>
        </w:rPr>
        <w:t xml:space="preserve">these provisions guarantee a mixture of </w:t>
      </w:r>
      <w:r w:rsidRPr="00B73BD3">
        <w:rPr>
          <w:lang w:val="en-US"/>
        </w:rPr>
        <w:t xml:space="preserve">negative </w:t>
      </w:r>
      <w:r w:rsidRPr="00B73BD3">
        <w:rPr>
          <w:color w:val="000000"/>
          <w:lang w:val="en-US"/>
        </w:rPr>
        <w:t xml:space="preserve">and positive </w:t>
      </w:r>
      <w:r w:rsidRPr="00B73BD3">
        <w:rPr>
          <w:lang w:val="en-US"/>
        </w:rPr>
        <w:t xml:space="preserve">rights.  For instance, s. 9 protects “the right not to be arbitrarily detained or imprisoned” and s. 12 protects “the right not to be subjected to any cruel and unusual treatment or punishment”.  </w:t>
      </w:r>
      <w:r w:rsidRPr="00B73BD3">
        <w:rPr>
          <w:color w:val="000000"/>
          <w:lang w:val="en-US"/>
        </w:rPr>
        <w:t xml:space="preserve">But s. 10 also protects a right to counsel and imposes a corresponding duty on police officers to facilitate the exercise of this right. </w:t>
      </w:r>
      <w:r w:rsidRPr="00B73BD3">
        <w:rPr>
          <w:lang w:val="en-US"/>
        </w:rPr>
        <w:t>See</w:t>
      </w:r>
      <w:r w:rsidRPr="00B73BD3">
        <w:rPr>
          <w:color w:val="000000"/>
          <w:lang w:val="en-US"/>
        </w:rPr>
        <w:t xml:space="preserve"> also</w:t>
      </w:r>
      <w:r w:rsidRPr="00B73BD3">
        <w:rPr>
          <w:lang w:val="en-US"/>
        </w:rPr>
        <w:t xml:space="preserve"> </w:t>
      </w:r>
      <w:r w:rsidRPr="00B73BD3">
        <w:rPr>
          <w:i/>
          <w:lang w:val="en-US"/>
        </w:rPr>
        <w:t>Charkaoui v. Canada (Citizenship and Immigration)</w:t>
      </w:r>
      <w:r w:rsidRPr="00B73BD3">
        <w:rPr>
          <w:lang w:val="en-US"/>
        </w:rPr>
        <w:t xml:space="preserve">, 2007 SCC 9, </w:t>
      </w:r>
      <w:r w:rsidRPr="00B73BD3">
        <w:rPr>
          <w:rStyle w:val="documentbody"/>
        </w:rPr>
        <w:t>[2007] 1 S.C.R. 350,</w:t>
      </w:r>
      <w:r w:rsidRPr="00B73BD3">
        <w:rPr>
          <w:lang w:val="en-US"/>
        </w:rPr>
        <w:t xml:space="preserve"> at para. 107, referring to “</w:t>
      </w:r>
      <w:r w:rsidRPr="00B73BD3">
        <w:rPr>
          <w:rStyle w:val="documentbody"/>
        </w:rPr>
        <w:t xml:space="preserve">the </w:t>
      </w:r>
      <w:bookmarkStart w:id="2" w:name="SR;32619"/>
      <w:bookmarkStart w:id="3" w:name="SearchTerm"/>
      <w:bookmarkEnd w:id="2"/>
      <w:r w:rsidRPr="00B73BD3">
        <w:rPr>
          <w:rStyle w:val="searchterm"/>
        </w:rPr>
        <w:t>s</w:t>
      </w:r>
      <w:r w:rsidRPr="00B73BD3">
        <w:rPr>
          <w:rStyle w:val="documentbody"/>
        </w:rPr>
        <w:t xml:space="preserve">. </w:t>
      </w:r>
      <w:bookmarkStart w:id="4" w:name="SR;32620"/>
      <w:bookmarkEnd w:id="4"/>
      <w:r w:rsidRPr="00B73BD3">
        <w:rPr>
          <w:rStyle w:val="searchterm"/>
        </w:rPr>
        <w:t>12</w:t>
      </w:r>
      <w:r w:rsidRPr="00B73BD3">
        <w:rPr>
          <w:rStyle w:val="documentbody"/>
        </w:rPr>
        <w:t xml:space="preserve"> guarantee of </w:t>
      </w:r>
      <w:bookmarkStart w:id="5" w:name="SR;32623"/>
      <w:bookmarkEnd w:id="3"/>
      <w:bookmarkEnd w:id="5"/>
      <w:r w:rsidRPr="00B73BD3">
        <w:rPr>
          <w:rStyle w:val="searchterm"/>
          <w:u w:val="single"/>
        </w:rPr>
        <w:t>freedom</w:t>
      </w:r>
      <w:r w:rsidRPr="00B73BD3">
        <w:rPr>
          <w:rStyle w:val="documentbody"/>
        </w:rPr>
        <w:t xml:space="preserve"> from cruel and unusual treatment” (emphasis added). </w:t>
      </w:r>
    </w:p>
    <w:p w:rsidR="00A00D29" w:rsidRPr="00B73BD3" w:rsidRDefault="00A00D29" w:rsidP="00F258CD">
      <w:pPr>
        <w:pStyle w:val="ReasonsNumbering-AltN"/>
        <w:ind w:left="0" w:firstLine="0"/>
      </w:pPr>
      <w:r w:rsidRPr="00B73BD3">
        <w:rPr>
          <w:lang w:val="en-US"/>
        </w:rPr>
        <w:t xml:space="preserve">It may also be observed that </w:t>
      </w:r>
      <w:r w:rsidRPr="00B73BD3">
        <w:rPr>
          <w:i/>
          <w:lang w:val="en-US"/>
        </w:rPr>
        <w:t xml:space="preserve">Health Services </w:t>
      </w:r>
      <w:r w:rsidRPr="00B73BD3">
        <w:rPr>
          <w:lang w:val="en-US"/>
        </w:rPr>
        <w:t>does not impose constitutional duties on private employers</w:t>
      </w:r>
      <w:r w:rsidRPr="00B73BD3">
        <w:rPr>
          <w:color w:val="000000"/>
          <w:lang w:val="en-US"/>
        </w:rPr>
        <w:t xml:space="preserve">, but on governments as employers and </w:t>
      </w:r>
      <w:r w:rsidRPr="00B73BD3">
        <w:rPr>
          <w:color w:val="000000"/>
          <w:lang w:val="en-US"/>
        </w:rPr>
        <w:lastRenderedPageBreak/>
        <w:t xml:space="preserve">parliaments and legislatures as law makers, in accordance with s. 32 of the </w:t>
      </w:r>
      <w:r w:rsidRPr="00B73BD3">
        <w:rPr>
          <w:i/>
          <w:color w:val="000000"/>
          <w:lang w:val="en-US"/>
        </w:rPr>
        <w:t>Charter</w:t>
      </w:r>
      <w:r w:rsidRPr="00B73BD3">
        <w:rPr>
          <w:lang w:val="en-US"/>
        </w:rPr>
        <w:t xml:space="preserve">.  Rather, the majority held that individuals have a right against the state to a process of collective bargaining in good faith, and that this right requires the state to impose statutory obligations on employers.  As held by Cory </w:t>
      </w:r>
      <w:r w:rsidRPr="00B73BD3">
        <w:rPr>
          <w:color w:val="000000"/>
          <w:lang w:val="en-US"/>
        </w:rPr>
        <w:t>and Iacobucci J</w:t>
      </w:r>
      <w:r w:rsidRPr="00B73BD3">
        <w:rPr>
          <w:lang w:val="en-US"/>
        </w:rPr>
        <w:t xml:space="preserve">J. </w:t>
      </w:r>
      <w:proofErr w:type="gramStart"/>
      <w:r w:rsidRPr="00B73BD3">
        <w:rPr>
          <w:lang w:val="en-US"/>
        </w:rPr>
        <w:t>in</w:t>
      </w:r>
      <w:proofErr w:type="gramEnd"/>
      <w:r w:rsidRPr="00B73BD3">
        <w:rPr>
          <w:lang w:val="en-US"/>
        </w:rPr>
        <w:t xml:space="preserve"> </w:t>
      </w:r>
      <w:r w:rsidRPr="00B73BD3">
        <w:rPr>
          <w:i/>
          <w:lang w:val="en-US"/>
        </w:rPr>
        <w:t>Vriend v. Alberta</w:t>
      </w:r>
      <w:r w:rsidRPr="00B73BD3">
        <w:rPr>
          <w:lang w:val="en-US"/>
        </w:rPr>
        <w:t xml:space="preserve">, [1998] 1 S.C.R. 493, one must “distinguish between ‘private activity’ and ‘laws that regulate private activity’.  The former is not subject to the </w:t>
      </w:r>
      <w:r w:rsidRPr="00B73BD3">
        <w:rPr>
          <w:i/>
          <w:lang w:val="en-US"/>
        </w:rPr>
        <w:t>Charter</w:t>
      </w:r>
      <w:r w:rsidRPr="00B73BD3">
        <w:rPr>
          <w:lang w:val="en-US"/>
        </w:rPr>
        <w:t xml:space="preserve">, while the latter obviously is” (para. 66).  If workers are incapable of exercising their right to collective bargaining, they may only bring a </w:t>
      </w:r>
      <w:r w:rsidRPr="00B73BD3">
        <w:rPr>
          <w:i/>
          <w:lang w:val="en-US"/>
        </w:rPr>
        <w:t xml:space="preserve">Charter </w:t>
      </w:r>
      <w:r w:rsidRPr="00B73BD3">
        <w:rPr>
          <w:lang w:val="en-US"/>
        </w:rPr>
        <w:t>claim against the government and not their employer, and they must show a state action.</w:t>
      </w:r>
    </w:p>
    <w:p w:rsidR="00A00D29" w:rsidRPr="00B73BD3" w:rsidRDefault="00A00D29" w:rsidP="00E27EEC">
      <w:pPr>
        <w:tabs>
          <w:tab w:val="left" w:pos="450"/>
          <w:tab w:val="left" w:pos="1080"/>
        </w:tabs>
        <w:spacing w:after="720"/>
        <w:jc w:val="both"/>
        <w:rPr>
          <w:u w:val="single"/>
          <w:lang w:val="en-US"/>
        </w:rPr>
      </w:pPr>
      <w:r w:rsidRPr="00B73BD3">
        <w:rPr>
          <w:lang w:val="en-US"/>
        </w:rPr>
        <w:tab/>
      </w:r>
      <w:r w:rsidRPr="00B73BD3">
        <w:rPr>
          <w:lang w:val="en-US"/>
        </w:rPr>
        <w:tab/>
        <w:t>(</w:t>
      </w:r>
      <w:proofErr w:type="gramStart"/>
      <w:r w:rsidRPr="00B73BD3">
        <w:rPr>
          <w:lang w:val="en-US"/>
        </w:rPr>
        <w:t>v</w:t>
      </w:r>
      <w:proofErr w:type="gramEnd"/>
      <w:r w:rsidRPr="00B73BD3">
        <w:rPr>
          <w:lang w:val="en-US"/>
        </w:rPr>
        <w:t xml:space="preserve">)  </w:t>
      </w:r>
      <w:r w:rsidRPr="00B73BD3">
        <w:rPr>
          <w:u w:val="single"/>
          <w:lang w:val="en-US"/>
        </w:rPr>
        <w:t xml:space="preserve">The Argument That </w:t>
      </w:r>
      <w:r w:rsidRPr="00B73BD3">
        <w:rPr>
          <w:i/>
          <w:u w:val="single"/>
          <w:lang w:val="en-US"/>
        </w:rPr>
        <w:t>Health Services</w:t>
      </w:r>
      <w:r w:rsidRPr="00B73BD3">
        <w:rPr>
          <w:u w:val="single"/>
          <w:lang w:val="en-US"/>
        </w:rPr>
        <w:t xml:space="preserve"> Privileges Particular Associations</w:t>
      </w:r>
    </w:p>
    <w:p w:rsidR="00A00D29" w:rsidRPr="00B73BD3" w:rsidRDefault="00A00D29" w:rsidP="00F258CD">
      <w:pPr>
        <w:pStyle w:val="ReasonsNumbering-AltN"/>
        <w:ind w:left="0" w:firstLine="0"/>
        <w:rPr>
          <w:color w:val="000000"/>
        </w:rPr>
      </w:pPr>
      <w:r w:rsidRPr="00B73BD3">
        <w:rPr>
          <w:color w:val="000000"/>
        </w:rPr>
        <w:t xml:space="preserve">Our </w:t>
      </w:r>
      <w:r w:rsidRPr="00F258CD">
        <w:rPr>
          <w:lang w:val="en-US"/>
        </w:rPr>
        <w:t>colleague</w:t>
      </w:r>
      <w:r w:rsidRPr="00B73BD3">
        <w:rPr>
          <w:color w:val="000000"/>
        </w:rPr>
        <w:t xml:space="preserve"> argues that the effect of </w:t>
      </w:r>
      <w:r w:rsidRPr="00B73BD3">
        <w:rPr>
          <w:i/>
          <w:color w:val="000000"/>
        </w:rPr>
        <w:t xml:space="preserve">Health Services </w:t>
      </w:r>
      <w:r w:rsidRPr="00B73BD3">
        <w:rPr>
          <w:color w:val="000000"/>
        </w:rPr>
        <w:t>is to privilege some associations over others, by interpreting s. 2(</w:t>
      </w:r>
      <w:r w:rsidRPr="00B73BD3">
        <w:rPr>
          <w:i/>
          <w:color w:val="000000"/>
        </w:rPr>
        <w:t>d</w:t>
      </w:r>
      <w:r w:rsidRPr="00B73BD3">
        <w:rPr>
          <w:color w:val="000000"/>
        </w:rPr>
        <w:t xml:space="preserve">) in a way that is not content-neutral. Broadly put, the argument appears to be that, by considering the goals of a particular association, one </w:t>
      </w:r>
      <w:proofErr w:type="gramStart"/>
      <w:r w:rsidRPr="00B73BD3">
        <w:rPr>
          <w:color w:val="000000"/>
        </w:rPr>
        <w:t>moves</w:t>
      </w:r>
      <w:proofErr w:type="gramEnd"/>
      <w:r w:rsidRPr="00B73BD3">
        <w:rPr>
          <w:color w:val="000000"/>
        </w:rPr>
        <w:t xml:space="preserve"> beyond pure associational activity into a court-based selection of what goals are acceptable and what goals are not. </w:t>
      </w:r>
    </w:p>
    <w:p w:rsidR="00A00D29" w:rsidRPr="00B73BD3" w:rsidRDefault="00A00D29" w:rsidP="00F258CD">
      <w:pPr>
        <w:pStyle w:val="ReasonsNumbering-AltN"/>
        <w:ind w:left="0" w:firstLine="0"/>
        <w:rPr>
          <w:color w:val="000000"/>
        </w:rPr>
      </w:pPr>
      <w:r w:rsidRPr="00B73BD3">
        <w:rPr>
          <w:color w:val="000000"/>
        </w:rPr>
        <w:t xml:space="preserve">Yet </w:t>
      </w:r>
      <w:r w:rsidRPr="00F258CD">
        <w:rPr>
          <w:lang w:val="en-US"/>
        </w:rPr>
        <w:t>consideration</w:t>
      </w:r>
      <w:r w:rsidRPr="00B73BD3">
        <w:rPr>
          <w:color w:val="000000"/>
        </w:rPr>
        <w:t xml:space="preserve"> of goals cannot be avoided.  One of the basic principles of </w:t>
      </w:r>
      <w:r w:rsidRPr="00B73BD3">
        <w:rPr>
          <w:i/>
          <w:color w:val="000000"/>
        </w:rPr>
        <w:t xml:space="preserve">Charter </w:t>
      </w:r>
      <w:r w:rsidRPr="00B73BD3">
        <w:rPr>
          <w:color w:val="000000"/>
        </w:rPr>
        <w:t xml:space="preserve">interpretation is that rights must be interpreted in a purposive way — having regard for the purposes, or goals, they serve. Thus, in the </w:t>
      </w:r>
      <w:r w:rsidRPr="00B73BD3">
        <w:rPr>
          <w:i/>
          <w:color w:val="000000"/>
        </w:rPr>
        <w:t>Alberta Reference</w:t>
      </w:r>
      <w:r w:rsidRPr="00B73BD3">
        <w:rPr>
          <w:color w:val="000000"/>
        </w:rPr>
        <w:t>,</w:t>
      </w:r>
      <w:r w:rsidRPr="00B73BD3">
        <w:rPr>
          <w:i/>
          <w:color w:val="000000"/>
        </w:rPr>
        <w:t xml:space="preserve"> </w:t>
      </w:r>
      <w:r w:rsidRPr="00B73BD3">
        <w:rPr>
          <w:color w:val="000000"/>
        </w:rPr>
        <w:t>McIntyre J. described the core of s. 2(</w:t>
      </w:r>
      <w:r w:rsidRPr="00B73BD3">
        <w:rPr>
          <w:i/>
          <w:color w:val="000000"/>
        </w:rPr>
        <w:t>d</w:t>
      </w:r>
      <w:r w:rsidRPr="00B73BD3">
        <w:rPr>
          <w:color w:val="000000"/>
        </w:rPr>
        <w:t xml:space="preserve">) protection as being association “both to satisfy [a] desire for social intercourse and to </w:t>
      </w:r>
      <w:r w:rsidRPr="00B73BD3">
        <w:rPr>
          <w:color w:val="000000"/>
          <w:u w:val="single"/>
        </w:rPr>
        <w:t>realize common purposes</w:t>
      </w:r>
      <w:r w:rsidR="00D3324C">
        <w:rPr>
          <w:color w:val="000000"/>
        </w:rPr>
        <w:t>”</w:t>
      </w:r>
      <w:r w:rsidRPr="00B73BD3">
        <w:rPr>
          <w:color w:val="000000"/>
        </w:rPr>
        <w:t xml:space="preserve"> </w:t>
      </w:r>
      <w:r w:rsidR="00800157">
        <w:rPr>
          <w:color w:val="000000"/>
        </w:rPr>
        <w:t xml:space="preserve">(p. 395 </w:t>
      </w:r>
      <w:r w:rsidRPr="00B73BD3">
        <w:rPr>
          <w:color w:val="000000"/>
        </w:rPr>
        <w:t>(emphasis added</w:t>
      </w:r>
      <w:r w:rsidR="00800157">
        <w:rPr>
          <w:color w:val="000000"/>
        </w:rPr>
        <w:t>)</w:t>
      </w:r>
      <w:r w:rsidRPr="00B73BD3">
        <w:rPr>
          <w:color w:val="000000"/>
        </w:rPr>
        <w:t xml:space="preserve">). </w:t>
      </w:r>
      <w:r w:rsidRPr="00B73BD3">
        <w:rPr>
          <w:i/>
          <w:color w:val="000000"/>
        </w:rPr>
        <w:t>Dunmore</w:t>
      </w:r>
      <w:r w:rsidRPr="00B73BD3">
        <w:rPr>
          <w:color w:val="000000"/>
        </w:rPr>
        <w:t xml:space="preserve"> resolved the issue, not by saying that the s. 2(</w:t>
      </w:r>
      <w:r w:rsidRPr="00B73BD3">
        <w:rPr>
          <w:i/>
          <w:color w:val="000000"/>
        </w:rPr>
        <w:t>d</w:t>
      </w:r>
      <w:r w:rsidRPr="00B73BD3">
        <w:rPr>
          <w:color w:val="000000"/>
        </w:rPr>
        <w:t xml:space="preserve">) right </w:t>
      </w:r>
      <w:r w:rsidRPr="00B73BD3">
        <w:rPr>
          <w:color w:val="000000"/>
        </w:rPr>
        <w:lastRenderedPageBreak/>
        <w:t>must be content-neutral, but by asserting that it must be interpreted in conjunction with Canada’s values and international human rights and labour law commitments.  In our view, this is the preferable approach.  A content-neutral right is too often a meaningless right.</w:t>
      </w:r>
    </w:p>
    <w:p w:rsidR="00A00D29" w:rsidRPr="00B73BD3" w:rsidRDefault="00A00D29" w:rsidP="00E27EEC">
      <w:pPr>
        <w:spacing w:after="720"/>
        <w:ind w:left="1530" w:hanging="450"/>
        <w:jc w:val="both"/>
        <w:rPr>
          <w:color w:val="000000"/>
          <w:u w:val="single"/>
        </w:rPr>
      </w:pPr>
      <w:r w:rsidRPr="00B73BD3">
        <w:rPr>
          <w:color w:val="000000"/>
        </w:rPr>
        <w:t>(vi)</w:t>
      </w:r>
      <w:r w:rsidRPr="00B73BD3">
        <w:rPr>
          <w:color w:val="000000"/>
        </w:rPr>
        <w:tab/>
      </w:r>
      <w:r w:rsidRPr="00B73BD3">
        <w:rPr>
          <w:color w:val="000000"/>
          <w:u w:val="single"/>
        </w:rPr>
        <w:t xml:space="preserve">The Argument That </w:t>
      </w:r>
      <w:r w:rsidRPr="00B73BD3">
        <w:rPr>
          <w:i/>
          <w:color w:val="000000"/>
          <w:u w:val="single"/>
        </w:rPr>
        <w:t>Health Services</w:t>
      </w:r>
      <w:r w:rsidRPr="00B73BD3">
        <w:rPr>
          <w:color w:val="000000"/>
          <w:u w:val="single"/>
        </w:rPr>
        <w:t xml:space="preserve"> Gives Contracts Priority </w:t>
      </w:r>
      <w:proofErr w:type="gramStart"/>
      <w:r w:rsidRPr="00B73BD3">
        <w:rPr>
          <w:color w:val="000000"/>
          <w:u w:val="single"/>
        </w:rPr>
        <w:t>Over</w:t>
      </w:r>
      <w:proofErr w:type="gramEnd"/>
      <w:r w:rsidRPr="00B73BD3">
        <w:rPr>
          <w:color w:val="000000"/>
          <w:u w:val="single"/>
        </w:rPr>
        <w:t xml:space="preserve"> Statutes</w:t>
      </w:r>
    </w:p>
    <w:p w:rsidR="00A00D29" w:rsidRPr="00B73BD3" w:rsidRDefault="00A00D29" w:rsidP="00F258CD">
      <w:pPr>
        <w:pStyle w:val="ReasonsNumbering-AltN"/>
        <w:ind w:left="0" w:firstLine="0"/>
      </w:pPr>
      <w:r w:rsidRPr="00B73BD3">
        <w:rPr>
          <w:color w:val="000000"/>
        </w:rPr>
        <w:t xml:space="preserve">Our </w:t>
      </w:r>
      <w:r w:rsidRPr="00F258CD">
        <w:rPr>
          <w:lang w:val="en-US"/>
        </w:rPr>
        <w:t>colleague</w:t>
      </w:r>
      <w:r w:rsidRPr="00B73BD3">
        <w:rPr>
          <w:color w:val="000000"/>
        </w:rPr>
        <w:t xml:space="preserve"> argues that </w:t>
      </w:r>
      <w:r w:rsidRPr="00B73BD3">
        <w:rPr>
          <w:i/>
          <w:color w:val="000000"/>
        </w:rPr>
        <w:t xml:space="preserve">Health Services </w:t>
      </w:r>
      <w:r w:rsidRPr="00B73BD3">
        <w:rPr>
          <w:color w:val="000000"/>
        </w:rPr>
        <w:t xml:space="preserve">gives constitutional status to contracts, privileging them over statutes. The argument is based on the view that </w:t>
      </w:r>
      <w:r w:rsidRPr="00B73BD3">
        <w:rPr>
          <w:i/>
          <w:color w:val="000000"/>
        </w:rPr>
        <w:t xml:space="preserve">Health Services </w:t>
      </w:r>
      <w:r w:rsidRPr="00B73BD3">
        <w:rPr>
          <w:color w:val="000000"/>
        </w:rPr>
        <w:t>holds that breach of collective agreements violates s. 2(</w:t>
      </w:r>
      <w:r w:rsidRPr="00B73BD3">
        <w:rPr>
          <w:i/>
          <w:color w:val="000000"/>
        </w:rPr>
        <w:t>d</w:t>
      </w:r>
      <w:r w:rsidRPr="00B73BD3">
        <w:rPr>
          <w:color w:val="000000"/>
        </w:rPr>
        <w:t xml:space="preserve">).  In fact, as discussed above, this was not the finding in </w:t>
      </w:r>
      <w:r w:rsidRPr="00B73BD3">
        <w:rPr>
          <w:i/>
          <w:color w:val="000000"/>
        </w:rPr>
        <w:t>Health Services</w:t>
      </w:r>
      <w:r w:rsidRPr="00D3324C">
        <w:rPr>
          <w:color w:val="000000"/>
        </w:rPr>
        <w:t xml:space="preserve">. </w:t>
      </w:r>
      <w:r w:rsidRPr="00B73BD3">
        <w:rPr>
          <w:lang w:val="en-US"/>
        </w:rPr>
        <w:t xml:space="preserve">The majority in </w:t>
      </w:r>
      <w:r w:rsidRPr="00B73BD3">
        <w:rPr>
          <w:i/>
          <w:lang w:val="en-US"/>
        </w:rPr>
        <w:t xml:space="preserve">Health Services </w:t>
      </w:r>
      <w:r w:rsidRPr="00B73BD3">
        <w:rPr>
          <w:lang w:val="en-US"/>
        </w:rPr>
        <w:t xml:space="preserve">held that the unilateral nullification of significant contractual terms, </w:t>
      </w:r>
      <w:r w:rsidRPr="00B73BD3">
        <w:rPr>
          <w:color w:val="000000"/>
          <w:lang w:val="en-US"/>
        </w:rPr>
        <w:t xml:space="preserve">by the government that had entered into them or that had overseen their conclusion, </w:t>
      </w:r>
      <w:r w:rsidRPr="00B73BD3">
        <w:rPr>
          <w:lang w:val="en-US"/>
        </w:rPr>
        <w:t>coupled with effective denial of future collective bargaining, undermines the s. 2(</w:t>
      </w:r>
      <w:r w:rsidRPr="00B73BD3">
        <w:rPr>
          <w:i/>
          <w:lang w:val="en-US"/>
        </w:rPr>
        <w:t>d</w:t>
      </w:r>
      <w:r w:rsidRPr="00B73BD3">
        <w:rPr>
          <w:lang w:val="en-US"/>
        </w:rPr>
        <w:t>) right to associate, not that labour contracts could never be interfered with by legislation.</w:t>
      </w:r>
    </w:p>
    <w:p w:rsidR="00A00D29" w:rsidRPr="00B73BD3" w:rsidRDefault="00B30D50" w:rsidP="00B30D50">
      <w:pPr>
        <w:tabs>
          <w:tab w:val="left" w:pos="1170"/>
          <w:tab w:val="left" w:pos="1800"/>
        </w:tabs>
        <w:spacing w:after="720"/>
        <w:ind w:left="1800" w:hanging="1800"/>
        <w:jc w:val="both"/>
      </w:pPr>
      <w:r>
        <w:rPr>
          <w:lang w:val="en-US"/>
        </w:rPr>
        <w:tab/>
      </w:r>
      <w:r w:rsidR="00A00D29" w:rsidRPr="00B73BD3">
        <w:rPr>
          <w:lang w:val="en-US"/>
        </w:rPr>
        <w:t>(vii)</w:t>
      </w:r>
      <w:r w:rsidR="00A00D29" w:rsidRPr="00B73BD3">
        <w:rPr>
          <w:lang w:val="en-US"/>
        </w:rPr>
        <w:tab/>
      </w:r>
      <w:r w:rsidR="00A00D29" w:rsidRPr="00B73BD3">
        <w:rPr>
          <w:u w:val="single"/>
          <w:lang w:val="en-US"/>
        </w:rPr>
        <w:t xml:space="preserve">The Argument That </w:t>
      </w:r>
      <w:r w:rsidR="00A00D29" w:rsidRPr="00B73BD3">
        <w:rPr>
          <w:i/>
          <w:u w:val="single"/>
          <w:lang w:val="en-US"/>
        </w:rPr>
        <w:t>Health Services</w:t>
      </w:r>
      <w:r w:rsidR="00A00D29" w:rsidRPr="00B73BD3">
        <w:rPr>
          <w:u w:val="single"/>
          <w:lang w:val="en-US"/>
        </w:rPr>
        <w:t xml:space="preserve"> Removes Judicial Deference to the Legislation</w:t>
      </w:r>
    </w:p>
    <w:p w:rsidR="00A00D29" w:rsidRPr="00B73BD3" w:rsidRDefault="00A00D29" w:rsidP="00F258CD">
      <w:pPr>
        <w:pStyle w:val="ReasonsNumbering-AltN"/>
        <w:ind w:left="0" w:firstLine="0"/>
        <w:rPr>
          <w:color w:val="000000"/>
          <w:lang w:val="en-US"/>
        </w:rPr>
      </w:pPr>
      <w:r w:rsidRPr="00B73BD3">
        <w:rPr>
          <w:color w:val="000000"/>
        </w:rPr>
        <w:t xml:space="preserve">Our </w:t>
      </w:r>
      <w:r w:rsidRPr="00F258CD">
        <w:rPr>
          <w:lang w:val="en-US"/>
        </w:rPr>
        <w:t>colleague</w:t>
      </w:r>
      <w:r w:rsidRPr="00B73BD3">
        <w:rPr>
          <w:color w:val="000000"/>
        </w:rPr>
        <w:t xml:space="preserve"> argues that </w:t>
      </w:r>
      <w:r w:rsidRPr="00B73BD3">
        <w:rPr>
          <w:i/>
          <w:color w:val="000000"/>
        </w:rPr>
        <w:t xml:space="preserve">Health Services </w:t>
      </w:r>
      <w:r w:rsidRPr="00B73BD3">
        <w:rPr>
          <w:color w:val="000000"/>
        </w:rPr>
        <w:t xml:space="preserve">undercuts the judicial deference courts have paid in the past to the legislature in labour relations.  We observe at the outset that this argument rests on the premise — repeatedly rejected in </w:t>
      </w:r>
      <w:r w:rsidRPr="00B73BD3">
        <w:rPr>
          <w:i/>
          <w:color w:val="000000"/>
        </w:rPr>
        <w:t xml:space="preserve">Health Services </w:t>
      </w:r>
      <w:r w:rsidRPr="00B73BD3">
        <w:rPr>
          <w:color w:val="000000"/>
        </w:rPr>
        <w:t xml:space="preserve">— that the Court was constitutionally enshrining the Wagner model of labour relations.  In fact this is not what </w:t>
      </w:r>
      <w:r w:rsidRPr="00B73BD3">
        <w:rPr>
          <w:i/>
          <w:color w:val="000000"/>
        </w:rPr>
        <w:t xml:space="preserve">Health Services </w:t>
      </w:r>
      <w:r w:rsidRPr="00B73BD3">
        <w:rPr>
          <w:color w:val="000000"/>
        </w:rPr>
        <w:t xml:space="preserve">held. </w:t>
      </w:r>
    </w:p>
    <w:p w:rsidR="00A00D29" w:rsidRPr="00B73BD3" w:rsidRDefault="00A00D29" w:rsidP="00F258CD">
      <w:pPr>
        <w:pStyle w:val="ReasonsNumbering-AltN"/>
        <w:ind w:left="0" w:firstLine="0"/>
      </w:pPr>
      <w:r w:rsidRPr="00B73BD3">
        <w:rPr>
          <w:color w:val="000000"/>
          <w:lang w:val="en-US"/>
        </w:rPr>
        <w:lastRenderedPageBreak/>
        <w:t xml:space="preserve">As </w:t>
      </w:r>
      <w:r w:rsidRPr="00F258CD">
        <w:rPr>
          <w:lang w:val="en-US"/>
        </w:rPr>
        <w:t>stated</w:t>
      </w:r>
      <w:r w:rsidRPr="00B73BD3">
        <w:rPr>
          <w:color w:val="000000"/>
          <w:lang w:val="en-US"/>
        </w:rPr>
        <w:t xml:space="preserve"> in </w:t>
      </w:r>
      <w:r w:rsidRPr="00B73BD3">
        <w:rPr>
          <w:i/>
          <w:color w:val="000000"/>
          <w:lang w:val="en-US"/>
        </w:rPr>
        <w:t>Health Services</w:t>
      </w:r>
      <w:r w:rsidRPr="00B73BD3">
        <w:rPr>
          <w:color w:val="000000"/>
          <w:lang w:val="en-US"/>
        </w:rPr>
        <w:t>,</w:t>
      </w:r>
      <w:r w:rsidRPr="00B73BD3">
        <w:rPr>
          <w:lang w:val="en-US"/>
        </w:rPr>
        <w:t xml:space="preserve"> “[i]t may well be appropriate for judges to defer to legislatures on policy matters expressed in particular laws”</w:t>
      </w:r>
      <w:r w:rsidR="00D25149" w:rsidRPr="00D25149">
        <w:rPr>
          <w:lang w:val="en-US"/>
        </w:rPr>
        <w:t xml:space="preserve"> </w:t>
      </w:r>
      <w:r w:rsidR="00D25149" w:rsidRPr="00B73BD3">
        <w:rPr>
          <w:lang w:val="en-US"/>
        </w:rPr>
        <w:t xml:space="preserve">(para. 26).  </w:t>
      </w:r>
      <w:r w:rsidRPr="00B73BD3">
        <w:rPr>
          <w:lang w:val="en-US"/>
        </w:rPr>
        <w:t xml:space="preserve">What </w:t>
      </w:r>
      <w:r w:rsidRPr="00B73BD3">
        <w:rPr>
          <w:i/>
          <w:color w:val="000000"/>
          <w:lang w:val="en-US"/>
        </w:rPr>
        <w:t>Health Services</w:t>
      </w:r>
      <w:r w:rsidRPr="00B73BD3">
        <w:rPr>
          <w:color w:val="000000"/>
          <w:lang w:val="en-US"/>
        </w:rPr>
        <w:t xml:space="preserve"> </w:t>
      </w:r>
      <w:r w:rsidRPr="00B73BD3">
        <w:rPr>
          <w:lang w:val="en-US"/>
        </w:rPr>
        <w:t>rejected was a judicial “no go” zone for an entire right on the ground that it may involve the courts in policy matters: creating such a</w:t>
      </w:r>
      <w:r w:rsidRPr="00B73BD3">
        <w:rPr>
          <w:i/>
          <w:lang w:val="en-US"/>
        </w:rPr>
        <w:t xml:space="preserve"> Charter</w:t>
      </w:r>
      <w:r w:rsidRPr="00B73BD3">
        <w:rPr>
          <w:lang w:val="en-US"/>
        </w:rPr>
        <w:t>-free zone would “push deference too far” (</w:t>
      </w:r>
      <w:r w:rsidR="00D25149" w:rsidRPr="00D25149">
        <w:rPr>
          <w:i/>
          <w:lang w:val="en-US"/>
        </w:rPr>
        <w:t>ibid.</w:t>
      </w:r>
      <w:r w:rsidRPr="00B73BD3">
        <w:rPr>
          <w:lang w:val="en-US"/>
        </w:rPr>
        <w:t>).  This Court reached a similar conclusion in</w:t>
      </w:r>
      <w:r w:rsidRPr="00B73BD3">
        <w:rPr>
          <w:i/>
          <w:lang w:val="en-US"/>
        </w:rPr>
        <w:t xml:space="preserve"> U.F.C.W., Local 1518 v. KMart Canada Ltd.</w:t>
      </w:r>
      <w:r w:rsidRPr="00B73BD3">
        <w:rPr>
          <w:lang w:val="en-US"/>
        </w:rPr>
        <w:t>,</w:t>
      </w:r>
      <w:r w:rsidRPr="00B73BD3">
        <w:rPr>
          <w:i/>
          <w:lang w:val="en-US"/>
        </w:rPr>
        <w:t xml:space="preserve"> </w:t>
      </w:r>
      <w:r w:rsidRPr="00B73BD3">
        <w:rPr>
          <w:lang w:val="en-US"/>
        </w:rPr>
        <w:t xml:space="preserve">[1999] 2 S.C.R. 1083, at paras. 62-63.  </w:t>
      </w:r>
    </w:p>
    <w:p w:rsidR="00A00D29" w:rsidRPr="00B73BD3" w:rsidRDefault="00A00D29" w:rsidP="00F258CD">
      <w:pPr>
        <w:pStyle w:val="ReasonsNumbering-AltN"/>
        <w:ind w:left="0" w:firstLine="0"/>
      </w:pPr>
      <w:r w:rsidRPr="00B73BD3">
        <w:rPr>
          <w:lang w:val="en-US"/>
        </w:rPr>
        <w:t xml:space="preserve">The approach to deference advanced in </w:t>
      </w:r>
      <w:r w:rsidRPr="00B73BD3">
        <w:rPr>
          <w:i/>
          <w:lang w:val="en-US"/>
        </w:rPr>
        <w:t>Health Services</w:t>
      </w:r>
      <w:r w:rsidRPr="00B73BD3">
        <w:rPr>
          <w:lang w:val="en-US"/>
        </w:rPr>
        <w:t xml:space="preserve"> is consistent with this Court’s general jurisprudence.  Deference should inform the determination of whether Parliament’s scheme satisfies the requirements of the </w:t>
      </w:r>
      <w:r w:rsidRPr="00B73BD3">
        <w:rPr>
          <w:i/>
          <w:lang w:val="en-US"/>
        </w:rPr>
        <w:t>Charter</w:t>
      </w:r>
      <w:r w:rsidRPr="00B73BD3">
        <w:rPr>
          <w:lang w:val="en-US"/>
        </w:rPr>
        <w:t xml:space="preserve">, as articulated by the courts.  See P. Macklem, “Developments in Employment Law: The 1990-91 Term” (1992), 3 </w:t>
      </w:r>
      <w:r w:rsidRPr="00B73BD3">
        <w:rPr>
          <w:i/>
          <w:lang w:val="en-US"/>
        </w:rPr>
        <w:t xml:space="preserve">S.C.L.R. </w:t>
      </w:r>
      <w:r w:rsidRPr="00B73BD3">
        <w:rPr>
          <w:lang w:val="en-US"/>
        </w:rPr>
        <w:t xml:space="preserve">(2d) 227, at pp. 239-41. Conversely, the courts should not rely on deference to narrow the meaning of </w:t>
      </w:r>
      <w:r w:rsidRPr="00B73BD3">
        <w:rPr>
          <w:i/>
          <w:lang w:val="en-US"/>
        </w:rPr>
        <w:t xml:space="preserve">Charter </w:t>
      </w:r>
      <w:r w:rsidRPr="00B73BD3">
        <w:rPr>
          <w:lang w:val="en-US"/>
        </w:rPr>
        <w:t xml:space="preserve">rights in the first place.  Doing so would abdicate the courts’ duty as the “final arbiters of constitutionality in Canada” </w:t>
      </w:r>
      <w:r w:rsidR="00D25149">
        <w:rPr>
          <w:lang w:val="en-US"/>
        </w:rPr>
        <w:t>(</w:t>
      </w:r>
      <w:r w:rsidRPr="00B73BD3">
        <w:rPr>
          <w:i/>
          <w:lang w:val="en-US"/>
        </w:rPr>
        <w:t>Nova Scotia (Workers’ Compensation Board) v. Martin</w:t>
      </w:r>
      <w:r w:rsidRPr="00B73BD3">
        <w:rPr>
          <w:lang w:val="en-US"/>
        </w:rPr>
        <w:t>, 2003 SCC 54, [2003] 2 S.C.R. 504, at para. 31).</w:t>
      </w:r>
    </w:p>
    <w:p w:rsidR="00A00D29" w:rsidRPr="00B73BD3" w:rsidRDefault="00A00D29" w:rsidP="00F258CD">
      <w:pPr>
        <w:pStyle w:val="ReasonsNumbering-AltN"/>
        <w:ind w:left="0" w:firstLine="0"/>
      </w:pPr>
      <w:r w:rsidRPr="00B73BD3">
        <w:rPr>
          <w:lang w:val="en-US"/>
        </w:rPr>
        <w:t xml:space="preserve">In </w:t>
      </w:r>
      <w:r w:rsidRPr="00B73BD3">
        <w:rPr>
          <w:i/>
          <w:lang w:val="en-US"/>
        </w:rPr>
        <w:t>R. v.</w:t>
      </w:r>
      <w:r w:rsidRPr="00B73BD3">
        <w:rPr>
          <w:lang w:val="en-US"/>
        </w:rPr>
        <w:t xml:space="preserve"> </w:t>
      </w:r>
      <w:r w:rsidRPr="00B73BD3">
        <w:rPr>
          <w:i/>
          <w:lang w:val="en-US"/>
        </w:rPr>
        <w:t>Advance Cutting &amp; Coring Ltd.</w:t>
      </w:r>
      <w:r w:rsidRPr="00B73BD3">
        <w:rPr>
          <w:lang w:val="en-US"/>
        </w:rPr>
        <w:t xml:space="preserve">, 2001 SCC 70, [2001] 3 S.C.R. 209, the reasons of both </w:t>
      </w:r>
      <w:r w:rsidRPr="00B73BD3">
        <w:rPr>
          <w:color w:val="000000"/>
          <w:lang w:val="en-US"/>
        </w:rPr>
        <w:t xml:space="preserve">LeBel J. and </w:t>
      </w:r>
      <w:r w:rsidRPr="00B73BD3">
        <w:rPr>
          <w:lang w:val="en-US"/>
        </w:rPr>
        <w:t>Bastarache J.</w:t>
      </w:r>
      <w:r w:rsidRPr="00B73BD3">
        <w:rPr>
          <w:color w:val="000000"/>
          <w:lang w:val="en-US"/>
        </w:rPr>
        <w:t xml:space="preserve"> (dissenting)</w:t>
      </w:r>
      <w:r w:rsidRPr="00B73BD3">
        <w:rPr>
          <w:lang w:val="en-US"/>
        </w:rPr>
        <w:t xml:space="preserve"> rejected the view that deference to Parliament on labour relations created a </w:t>
      </w:r>
      <w:r w:rsidRPr="00B73BD3">
        <w:rPr>
          <w:i/>
          <w:lang w:val="en-US"/>
        </w:rPr>
        <w:t>Charter</w:t>
      </w:r>
      <w:r w:rsidRPr="00D25149">
        <w:rPr>
          <w:lang w:val="en-US"/>
        </w:rPr>
        <w:t>-</w:t>
      </w:r>
      <w:r w:rsidRPr="00B73BD3">
        <w:rPr>
          <w:lang w:val="en-US"/>
        </w:rPr>
        <w:t>free zone of legislative action, although there was disagreement on the scope of s. 2(</w:t>
      </w:r>
      <w:r w:rsidRPr="00B73BD3">
        <w:rPr>
          <w:i/>
          <w:lang w:val="en-US"/>
        </w:rPr>
        <w:t>d</w:t>
      </w:r>
      <w:r w:rsidRPr="00B73BD3">
        <w:rPr>
          <w:lang w:val="en-US"/>
        </w:rPr>
        <w:t>) and the application of the</w:t>
      </w:r>
      <w:r w:rsidRPr="00B73BD3">
        <w:rPr>
          <w:i/>
          <w:lang w:val="en-US"/>
        </w:rPr>
        <w:t xml:space="preserve"> Charter</w:t>
      </w:r>
      <w:r w:rsidRPr="00B73BD3">
        <w:rPr>
          <w:lang w:val="en-US"/>
        </w:rPr>
        <w:t>.  The reasons of LeBel J., written on behalf of a minority of the Court in finding no violation of s. 2(</w:t>
      </w:r>
      <w:r w:rsidRPr="00B73BD3">
        <w:rPr>
          <w:i/>
          <w:lang w:val="en-US"/>
        </w:rPr>
        <w:t>d</w:t>
      </w:r>
      <w:r w:rsidRPr="00B73BD3">
        <w:rPr>
          <w:lang w:val="en-US"/>
        </w:rPr>
        <w:t xml:space="preserve">), acknowledged the existence of a jurisprudential policy </w:t>
      </w:r>
      <w:r w:rsidRPr="00B73BD3">
        <w:rPr>
          <w:lang w:val="en-US"/>
        </w:rPr>
        <w:lastRenderedPageBreak/>
        <w:t xml:space="preserve">of non-intervention in labour relations.  However, LeBel J. also stated that “the jurisprudence of this Court has never held that labour laws are immune to </w:t>
      </w:r>
      <w:r w:rsidRPr="00B73BD3">
        <w:rPr>
          <w:i/>
          <w:lang w:val="en-US"/>
        </w:rPr>
        <w:t>Charter</w:t>
      </w:r>
      <w:r w:rsidRPr="00B73BD3">
        <w:rPr>
          <w:lang w:val="en-US"/>
        </w:rPr>
        <w:t xml:space="preserve"> review” (para. 162).  </w:t>
      </w:r>
    </w:p>
    <w:p w:rsidR="00A00D29" w:rsidRPr="00B73BD3" w:rsidRDefault="00A00D29" w:rsidP="00F258CD">
      <w:pPr>
        <w:pStyle w:val="ReasonsNumbering-AltN"/>
        <w:ind w:left="0" w:firstLine="0"/>
      </w:pPr>
      <w:r w:rsidRPr="00B73BD3">
        <w:rPr>
          <w:lang w:val="en-US"/>
        </w:rPr>
        <w:t>Rothstein J. argues that courts should consider deference to Parliament in determining the scope of s. 2(</w:t>
      </w:r>
      <w:r w:rsidRPr="00B73BD3">
        <w:rPr>
          <w:i/>
          <w:lang w:val="en-US"/>
        </w:rPr>
        <w:t>d</w:t>
      </w:r>
      <w:r w:rsidRPr="00B73BD3">
        <w:rPr>
          <w:lang w:val="en-US"/>
        </w:rPr>
        <w:t xml:space="preserve">).  </w:t>
      </w:r>
      <w:r w:rsidRPr="00B73BD3">
        <w:rPr>
          <w:color w:val="000000"/>
          <w:lang w:val="en-US"/>
        </w:rPr>
        <w:t>T</w:t>
      </w:r>
      <w:r w:rsidRPr="00B73BD3">
        <w:rPr>
          <w:lang w:val="en-US"/>
        </w:rPr>
        <w:t xml:space="preserve">his approach is inconsistent with this Court’s decision in </w:t>
      </w:r>
      <w:r w:rsidRPr="00B73BD3">
        <w:rPr>
          <w:i/>
          <w:lang w:val="en-US"/>
        </w:rPr>
        <w:t>Dunmore</w:t>
      </w:r>
      <w:r w:rsidRPr="00B73BD3">
        <w:rPr>
          <w:lang w:val="en-US"/>
        </w:rPr>
        <w:t>.  While Rothstein J.</w:t>
      </w:r>
      <w:r w:rsidRPr="00B73BD3">
        <w:rPr>
          <w:color w:val="000000"/>
          <w:lang w:val="en-US"/>
        </w:rPr>
        <w:t xml:space="preserve"> adopts the approach of </w:t>
      </w:r>
      <w:r w:rsidRPr="00B73BD3">
        <w:rPr>
          <w:lang w:val="en-US"/>
        </w:rPr>
        <w:t xml:space="preserve">McIntyre J. in the </w:t>
      </w:r>
      <w:r w:rsidRPr="00B73BD3">
        <w:rPr>
          <w:i/>
          <w:lang w:val="en-US"/>
        </w:rPr>
        <w:t>Alberta Reference</w:t>
      </w:r>
      <w:r w:rsidRPr="00B73BD3">
        <w:rPr>
          <w:lang w:val="en-US"/>
        </w:rPr>
        <w:t xml:space="preserve">, this Court has since distanced itself from this view.  In </w:t>
      </w:r>
      <w:r w:rsidRPr="00B73BD3">
        <w:rPr>
          <w:i/>
          <w:lang w:val="en-US"/>
        </w:rPr>
        <w:t>Dunmore</w:t>
      </w:r>
      <w:r w:rsidRPr="00B73BD3">
        <w:rPr>
          <w:lang w:val="en-US"/>
        </w:rPr>
        <w:t>, Bastarache J. referred to McIntyre J.’s discussion of deference under s. 1, rather than in outlining the scope of s. 2(</w:t>
      </w:r>
      <w:r w:rsidRPr="00B73BD3">
        <w:rPr>
          <w:i/>
          <w:lang w:val="en-US"/>
        </w:rPr>
        <w:t>d</w:t>
      </w:r>
      <w:r w:rsidRPr="00B73BD3">
        <w:rPr>
          <w:lang w:val="en-US"/>
        </w:rPr>
        <w:t xml:space="preserve">): para. 57; see also </w:t>
      </w:r>
      <w:r w:rsidRPr="00B73BD3">
        <w:rPr>
          <w:i/>
          <w:lang w:val="en-US"/>
        </w:rPr>
        <w:t>Delisle</w:t>
      </w:r>
      <w:r w:rsidRPr="00B73BD3">
        <w:rPr>
          <w:lang w:val="en-US"/>
        </w:rPr>
        <w:t xml:space="preserve">, </w:t>
      </w:r>
      <w:r w:rsidRPr="00B73BD3">
        <w:rPr>
          <w:i/>
          <w:lang w:val="en-US"/>
        </w:rPr>
        <w:t xml:space="preserve">per </w:t>
      </w:r>
      <w:r w:rsidRPr="00B73BD3">
        <w:rPr>
          <w:lang w:val="en-US"/>
        </w:rPr>
        <w:t xml:space="preserve">Cory and Iacobucci JJ., dissenting; </w:t>
      </w:r>
      <w:r w:rsidRPr="00B73BD3">
        <w:rPr>
          <w:i/>
          <w:lang w:val="en-US"/>
        </w:rPr>
        <w:t>KMart Canada Ltd.</w:t>
      </w:r>
      <w:r w:rsidRPr="00B73BD3">
        <w:rPr>
          <w:lang w:val="en-US"/>
        </w:rPr>
        <w:t xml:space="preserve">, at paras. 62-63, in which Cory J. referred to this passage from McIntyre J.’s reasons under s. 1 in a freedom of expression case. Deference to legislatures properly plays a part, not in defining the nature and scope of a constitutional right, but within the margin of appreciation that the </w:t>
      </w:r>
      <w:r w:rsidRPr="00B73BD3">
        <w:rPr>
          <w:i/>
          <w:lang w:val="en-US"/>
        </w:rPr>
        <w:t xml:space="preserve">Oakes </w:t>
      </w:r>
      <w:r w:rsidRPr="00B73BD3">
        <w:rPr>
          <w:lang w:val="en-US"/>
        </w:rPr>
        <w:t>analytical process acknowledges, particularly at the minimal impairment stage.</w:t>
      </w:r>
    </w:p>
    <w:p w:rsidR="00A00D29" w:rsidRPr="00B73BD3" w:rsidRDefault="00A00D29" w:rsidP="00E27EEC">
      <w:pPr>
        <w:tabs>
          <w:tab w:val="left" w:pos="450"/>
          <w:tab w:val="left" w:pos="1080"/>
        </w:tabs>
        <w:spacing w:after="720"/>
        <w:jc w:val="both"/>
      </w:pPr>
      <w:r w:rsidRPr="00B73BD3">
        <w:tab/>
      </w:r>
      <w:r w:rsidRPr="00B73BD3">
        <w:tab/>
        <w:t>(</w:t>
      </w:r>
      <w:proofErr w:type="gramStart"/>
      <w:r w:rsidRPr="00B73BD3">
        <w:t>viii</w:t>
      </w:r>
      <w:proofErr w:type="gramEnd"/>
      <w:r w:rsidRPr="00B73BD3">
        <w:t>)</w:t>
      </w:r>
      <w:r>
        <w:t xml:space="preserve">  </w:t>
      </w:r>
      <w:r w:rsidRPr="00B73BD3">
        <w:rPr>
          <w:u w:val="single"/>
        </w:rPr>
        <w:t>The Argument of Unworkability</w:t>
      </w:r>
    </w:p>
    <w:p w:rsidR="00A00D29" w:rsidRPr="00B73BD3" w:rsidRDefault="00A00D29" w:rsidP="00F258CD">
      <w:pPr>
        <w:pStyle w:val="ReasonsNumbering-AltN"/>
        <w:ind w:left="0" w:firstLine="0"/>
      </w:pPr>
      <w:r w:rsidRPr="00F258CD">
        <w:rPr>
          <w:lang w:val="en-US"/>
        </w:rPr>
        <w:t>Rothstein</w:t>
      </w:r>
      <w:r w:rsidRPr="00B73BD3">
        <w:t xml:space="preserve"> J. argues that </w:t>
      </w:r>
      <w:r w:rsidRPr="00B73BD3">
        <w:rPr>
          <w:i/>
        </w:rPr>
        <w:t>Health Services</w:t>
      </w:r>
      <w:r w:rsidRPr="00B73BD3">
        <w:t xml:space="preserve"> is unworkable and therefore must be overturned (para. 256). </w:t>
      </w:r>
    </w:p>
    <w:p w:rsidR="00A00D29" w:rsidRPr="00B73BD3" w:rsidRDefault="00A00D29" w:rsidP="00F258CD">
      <w:pPr>
        <w:pStyle w:val="ReasonsNumbering-AltN"/>
        <w:ind w:left="0" w:firstLine="0"/>
      </w:pPr>
      <w:r w:rsidRPr="00B73BD3">
        <w:t xml:space="preserve">The </w:t>
      </w:r>
      <w:r w:rsidRPr="00F258CD">
        <w:rPr>
          <w:lang w:val="en-US"/>
        </w:rPr>
        <w:t>short</w:t>
      </w:r>
      <w:r w:rsidRPr="00B73BD3">
        <w:t xml:space="preserve"> answer to this argument is that unworkability has not been established.  </w:t>
      </w:r>
      <w:r w:rsidRPr="00B73BD3">
        <w:rPr>
          <w:color w:val="000000"/>
        </w:rPr>
        <w:t xml:space="preserve">Winkler C.J.O. speculates that more will be required to make </w:t>
      </w:r>
      <w:r w:rsidRPr="00B73BD3">
        <w:rPr>
          <w:i/>
          <w:color w:val="000000"/>
        </w:rPr>
        <w:t>Health Services</w:t>
      </w:r>
      <w:r w:rsidRPr="00B73BD3">
        <w:rPr>
          <w:color w:val="000000"/>
        </w:rPr>
        <w:t xml:space="preserve"> work, and academics have weighed in with great passion, some in favour of</w:t>
      </w:r>
      <w:r w:rsidRPr="00B73BD3">
        <w:rPr>
          <w:i/>
          <w:color w:val="000000"/>
        </w:rPr>
        <w:t xml:space="preserve"> </w:t>
      </w:r>
      <w:r w:rsidRPr="00B73BD3">
        <w:rPr>
          <w:color w:val="000000"/>
        </w:rPr>
        <w:lastRenderedPageBreak/>
        <w:t>the decision,</w:t>
      </w:r>
      <w:r w:rsidRPr="00B73BD3">
        <w:rPr>
          <w:i/>
          <w:color w:val="000000"/>
        </w:rPr>
        <w:t xml:space="preserve"> </w:t>
      </w:r>
      <w:proofErr w:type="gramStart"/>
      <w:r w:rsidRPr="00B73BD3">
        <w:rPr>
          <w:color w:val="000000"/>
        </w:rPr>
        <w:t>some</w:t>
      </w:r>
      <w:proofErr w:type="gramEnd"/>
      <w:r w:rsidRPr="00B73BD3">
        <w:rPr>
          <w:color w:val="000000"/>
        </w:rPr>
        <w:t xml:space="preserve"> against it.  But there is no concrete evidence that the principles enunciated in </w:t>
      </w:r>
      <w:r w:rsidRPr="00B73BD3">
        <w:rPr>
          <w:i/>
          <w:color w:val="000000"/>
        </w:rPr>
        <w:t>Dunmore</w:t>
      </w:r>
      <w:r w:rsidRPr="00B73BD3">
        <w:rPr>
          <w:color w:val="000000"/>
        </w:rPr>
        <w:t xml:space="preserve"> and </w:t>
      </w:r>
      <w:r w:rsidRPr="00B73BD3">
        <w:rPr>
          <w:i/>
          <w:color w:val="000000"/>
        </w:rPr>
        <w:t>Health Services</w:t>
      </w:r>
      <w:r w:rsidRPr="00B73BD3">
        <w:rPr>
          <w:color w:val="000000"/>
        </w:rPr>
        <w:t xml:space="preserve"> are unworkable or have led to intolerable results.  I</w:t>
      </w:r>
      <w:r w:rsidRPr="00B73BD3">
        <w:t xml:space="preserve">t is premature to argue that the holding in </w:t>
      </w:r>
      <w:r w:rsidRPr="00B73BD3">
        <w:rPr>
          <w:i/>
        </w:rPr>
        <w:t>Health Services</w:t>
      </w:r>
      <w:r w:rsidRPr="00B73BD3">
        <w:t xml:space="preserve">, rendered </w:t>
      </w:r>
      <w:r w:rsidRPr="00B73BD3">
        <w:rPr>
          <w:color w:val="000000"/>
        </w:rPr>
        <w:t xml:space="preserve">four </w:t>
      </w:r>
      <w:r w:rsidRPr="00B73BD3">
        <w:t xml:space="preserve">years ago, is unworkable in practice. In </w:t>
      </w:r>
      <w:r w:rsidRPr="00B73BD3">
        <w:rPr>
          <w:i/>
        </w:rPr>
        <w:t>Henry</w:t>
      </w:r>
      <w:r w:rsidRPr="00B73BD3">
        <w:t xml:space="preserve">, in holding this Court’s decision in </w:t>
      </w:r>
      <w:r w:rsidRPr="00B73BD3">
        <w:rPr>
          <w:i/>
        </w:rPr>
        <w:t>R. v. Mannion</w:t>
      </w:r>
      <w:r w:rsidRPr="00B73BD3">
        <w:t>,</w:t>
      </w:r>
      <w:r w:rsidRPr="00B73BD3">
        <w:rPr>
          <w:i/>
        </w:rPr>
        <w:t xml:space="preserve"> </w:t>
      </w:r>
      <w:r w:rsidRPr="00B73BD3">
        <w:t>[1986] 2 S.C.R. 272, to be unworkable 19 years after it was delivered, Binnie J. noted that the unworkability of that decision “only emerged over time as the courts have struggled to work with the distinction between impeachment of credibility and incrimination” (para. 45).</w:t>
      </w:r>
    </w:p>
    <w:p w:rsidR="00A00D29" w:rsidRPr="00B73BD3" w:rsidRDefault="00A00D29" w:rsidP="00F258CD">
      <w:pPr>
        <w:pStyle w:val="ReasonsNumbering-AltN"/>
        <w:ind w:left="0" w:firstLine="0"/>
      </w:pPr>
      <w:r w:rsidRPr="00F258CD">
        <w:rPr>
          <w:lang w:val="en-US"/>
        </w:rPr>
        <w:t>Rothstein</w:t>
      </w:r>
      <w:r w:rsidRPr="00B73BD3">
        <w:t xml:space="preserve"> J. argues that the distinction drawn in </w:t>
      </w:r>
      <w:r w:rsidRPr="00B73BD3">
        <w:rPr>
          <w:i/>
        </w:rPr>
        <w:t>Health Services</w:t>
      </w:r>
      <w:r w:rsidRPr="00B73BD3">
        <w:t xml:space="preserve"> between substantive and procedural rights is unworkable.  Again, we must</w:t>
      </w:r>
      <w:r w:rsidRPr="00B73BD3">
        <w:rPr>
          <w:color w:val="000000"/>
        </w:rPr>
        <w:t xml:space="preserve"> disagree</w:t>
      </w:r>
      <w:r w:rsidRPr="00B73BD3">
        <w:t>.  In our colleague’s view, the procedural right to collective activity under s. 2(</w:t>
      </w:r>
      <w:r w:rsidRPr="00B73BD3">
        <w:rPr>
          <w:i/>
        </w:rPr>
        <w:t>d</w:t>
      </w:r>
      <w:r w:rsidRPr="00B73BD3">
        <w:t xml:space="preserve">) would impinge on the substantive right to a concluded collective agreement rejected in </w:t>
      </w:r>
      <w:r w:rsidRPr="00B73BD3">
        <w:rPr>
          <w:i/>
        </w:rPr>
        <w:t>Health Services</w:t>
      </w:r>
      <w:r w:rsidRPr="00B73BD3">
        <w:t xml:space="preserve">.  However, substantive impact does not invalidate a procedural right.  All procedures affect outcomes, but that does not mean that all procedural rights are unworkable.  </w:t>
      </w:r>
      <w:r w:rsidRPr="00B73BD3">
        <w:rPr>
          <w:color w:val="000000"/>
        </w:rPr>
        <w:t>T</w:t>
      </w:r>
      <w:r w:rsidRPr="00B73BD3">
        <w:t xml:space="preserve">he </w:t>
      </w:r>
      <w:r w:rsidRPr="00B73BD3">
        <w:rPr>
          <w:i/>
        </w:rPr>
        <w:t>Charter</w:t>
      </w:r>
      <w:r w:rsidRPr="00B73BD3">
        <w:t xml:space="preserve"> may protect collective bargaining and not the fruits of that process.</w:t>
      </w:r>
    </w:p>
    <w:p w:rsidR="00A00D29" w:rsidRPr="00B73BD3" w:rsidRDefault="00A00D29" w:rsidP="00F258CD">
      <w:pPr>
        <w:pStyle w:val="ReasonsNumbering-AltN"/>
        <w:ind w:left="0" w:firstLine="0"/>
      </w:pPr>
      <w:r w:rsidRPr="00F258CD">
        <w:rPr>
          <w:lang w:val="en-US"/>
        </w:rPr>
        <w:t>Rothstein</w:t>
      </w:r>
      <w:r w:rsidRPr="00B73BD3">
        <w:t xml:space="preserve"> J. also suggests that more is required to transform the principles in </w:t>
      </w:r>
      <w:r w:rsidRPr="00B73BD3">
        <w:rPr>
          <w:i/>
        </w:rPr>
        <w:t xml:space="preserve">Health Services </w:t>
      </w:r>
      <w:r w:rsidRPr="00B73BD3">
        <w:t xml:space="preserve">into a full-blown labour relations scheme.  This, however, does not establish unworkability.  It is not the role of this Court to specify in advance precisely which model of labour relations the legislature should adopt.  Instead, its role is to </w:t>
      </w:r>
      <w:r w:rsidRPr="00B73BD3">
        <w:lastRenderedPageBreak/>
        <w:t xml:space="preserve">outline the boundaries within which the legislature must operate, and to assess if the scheme developed by legislators satisfies this test.  </w:t>
      </w:r>
    </w:p>
    <w:p w:rsidR="00A00D29" w:rsidRPr="00B73BD3" w:rsidRDefault="00A00D29" w:rsidP="00E27EEC">
      <w:pPr>
        <w:tabs>
          <w:tab w:val="left" w:pos="450"/>
          <w:tab w:val="left" w:pos="1080"/>
        </w:tabs>
        <w:spacing w:after="720"/>
        <w:jc w:val="both"/>
      </w:pPr>
      <w:r w:rsidRPr="00B73BD3">
        <w:tab/>
      </w:r>
      <w:r w:rsidRPr="00B73BD3">
        <w:tab/>
        <w:t>(</w:t>
      </w:r>
      <w:proofErr w:type="gramStart"/>
      <w:r w:rsidRPr="00B73BD3">
        <w:t>ix</w:t>
      </w:r>
      <w:proofErr w:type="gramEnd"/>
      <w:r w:rsidRPr="00B73BD3">
        <w:t xml:space="preserve">)  </w:t>
      </w:r>
      <w:r w:rsidRPr="00B73BD3">
        <w:rPr>
          <w:u w:val="single"/>
        </w:rPr>
        <w:t>The Argument on Academic Criticism</w:t>
      </w:r>
    </w:p>
    <w:p w:rsidR="00A00D29" w:rsidRPr="00B73BD3" w:rsidRDefault="00A00D29" w:rsidP="00F258CD">
      <w:pPr>
        <w:pStyle w:val="ReasonsNumbering-AltN"/>
        <w:ind w:left="0" w:firstLine="0"/>
      </w:pPr>
      <w:r w:rsidRPr="00B73BD3">
        <w:t xml:space="preserve">Justice Rothstein argues that academic criticism supports the view that </w:t>
      </w:r>
      <w:r w:rsidRPr="00B73BD3">
        <w:rPr>
          <w:i/>
        </w:rPr>
        <w:t>Health Services</w:t>
      </w:r>
      <w:r w:rsidRPr="00B73BD3">
        <w:t xml:space="preserve"> should be overturned.  While he agrees that criticism of a judgment is not sufficient to justify overruling it, he asserts that it is reason for the Court to “take notice”.</w:t>
      </w:r>
    </w:p>
    <w:p w:rsidR="00A00D29" w:rsidRPr="00B73BD3" w:rsidRDefault="00A00D29" w:rsidP="00F258CD">
      <w:pPr>
        <w:pStyle w:val="ReasonsNumbering-AltN"/>
        <w:ind w:left="0" w:firstLine="0"/>
      </w:pPr>
      <w:r w:rsidRPr="00B73BD3">
        <w:t xml:space="preserve">The </w:t>
      </w:r>
      <w:r w:rsidRPr="00F258CD">
        <w:rPr>
          <w:lang w:val="en-US"/>
        </w:rPr>
        <w:t>first</w:t>
      </w:r>
      <w:r w:rsidRPr="00B73BD3">
        <w:t xml:space="preserve"> point to note is that the decisions that Rothstein J. relies on, the </w:t>
      </w:r>
      <w:r w:rsidRPr="00D25149">
        <w:rPr>
          <w:color w:val="000000"/>
        </w:rPr>
        <w:t>Trilogy</w:t>
      </w:r>
      <w:r w:rsidRPr="00B73BD3">
        <w:rPr>
          <w:i/>
          <w:color w:val="000000"/>
        </w:rPr>
        <w:t xml:space="preserve"> </w:t>
      </w:r>
      <w:r w:rsidRPr="00B73BD3">
        <w:t xml:space="preserve">and </w:t>
      </w:r>
      <w:r w:rsidRPr="00B73BD3">
        <w:rPr>
          <w:i/>
        </w:rPr>
        <w:t>PIPSC</w:t>
      </w:r>
      <w:r w:rsidRPr="00B73BD3">
        <w:t>, were themselves the subject of intense academic criticism (see</w:t>
      </w:r>
      <w:r w:rsidR="00D25149">
        <w:t>,</w:t>
      </w:r>
      <w:r w:rsidRPr="00B73BD3">
        <w:t xml:space="preserve"> e.g.</w:t>
      </w:r>
      <w:r w:rsidR="00D25149">
        <w:t>,</w:t>
      </w:r>
      <w:r w:rsidRPr="00B73BD3">
        <w:rPr>
          <w:i/>
        </w:rPr>
        <w:t xml:space="preserve"> </w:t>
      </w:r>
      <w:r w:rsidRPr="00B73BD3">
        <w:t xml:space="preserve">Macklem, at p. 240: “the combined effect of the Labour Trilogy and </w:t>
      </w:r>
      <w:r w:rsidRPr="00B73BD3">
        <w:rPr>
          <w:i/>
        </w:rPr>
        <w:t>P.I.P.S.</w:t>
      </w:r>
      <w:r w:rsidR="00D25149">
        <w:t xml:space="preserve"> is a national embarrassment”</w:t>
      </w:r>
      <w:r w:rsidRPr="00B73BD3">
        <w:t>; see also</w:t>
      </w:r>
      <w:r w:rsidRPr="00B73BD3">
        <w:rPr>
          <w:i/>
        </w:rPr>
        <w:t xml:space="preserve"> </w:t>
      </w:r>
      <w:r w:rsidRPr="00B73BD3">
        <w:t>D.</w:t>
      </w:r>
      <w:r w:rsidRPr="00B73BD3">
        <w:rPr>
          <w:i/>
        </w:rPr>
        <w:t xml:space="preserve"> </w:t>
      </w:r>
      <w:r w:rsidRPr="00B73BD3">
        <w:t xml:space="preserve">Beatty and S. Kennett, “Striking Back: Fighting Words, Social Protest and Political Participation in Free and Democratic Societies” (1988), 67 </w:t>
      </w:r>
      <w:r w:rsidRPr="00B73BD3">
        <w:rPr>
          <w:i/>
        </w:rPr>
        <w:t>Can. Bar Rev.</w:t>
      </w:r>
      <w:r w:rsidRPr="00B73BD3">
        <w:t xml:space="preserve"> 573; A.</w:t>
      </w:r>
      <w:r w:rsidR="00D25149">
        <w:t> </w:t>
      </w:r>
      <w:r w:rsidRPr="00B73BD3">
        <w:t xml:space="preserve">C. Hutchinson and A. Petter, “Private Rights/Public Wrongs: The Liberal Lie of the Charter” (1988), 38 </w:t>
      </w:r>
      <w:r w:rsidRPr="00B73BD3">
        <w:rPr>
          <w:i/>
        </w:rPr>
        <w:t>U.T.L.J.</w:t>
      </w:r>
      <w:r w:rsidRPr="00B73BD3">
        <w:t xml:space="preserve"> 278; R. Elliot, “Developments in Constitutional Law: The 1989-90 Term” (1991), 2 </w:t>
      </w:r>
      <w:r w:rsidRPr="00B73BD3">
        <w:rPr>
          <w:i/>
        </w:rPr>
        <w:t>S.C.L.R.</w:t>
      </w:r>
      <w:r w:rsidRPr="00B73BD3">
        <w:t xml:space="preserve"> (2d) 83). The real question is whether the academic criticism raises concerns </w:t>
      </w:r>
      <w:r w:rsidRPr="00B73BD3">
        <w:rPr>
          <w:color w:val="000000"/>
        </w:rPr>
        <w:t xml:space="preserve">not identified in </w:t>
      </w:r>
      <w:r w:rsidRPr="00B73BD3">
        <w:rPr>
          <w:i/>
        </w:rPr>
        <w:t>Health Services</w:t>
      </w:r>
      <w:r w:rsidRPr="00B73BD3">
        <w:rPr>
          <w:i/>
          <w:color w:val="000000"/>
        </w:rPr>
        <w:t xml:space="preserve"> </w:t>
      </w:r>
      <w:r w:rsidRPr="00B73BD3">
        <w:rPr>
          <w:color w:val="000000"/>
        </w:rPr>
        <w:t>that would justify overruling it</w:t>
      </w:r>
      <w:r w:rsidRPr="00B73BD3">
        <w:t>.</w:t>
      </w:r>
    </w:p>
    <w:p w:rsidR="00A00D29" w:rsidRPr="00D25149" w:rsidRDefault="00A00D29" w:rsidP="00F258CD">
      <w:pPr>
        <w:pStyle w:val="ReasonsNumbering-AltN"/>
        <w:ind w:left="0" w:firstLine="0"/>
      </w:pPr>
      <w:r w:rsidRPr="00F258CD">
        <w:rPr>
          <w:lang w:val="en-US"/>
        </w:rPr>
        <w:t>Moreover</w:t>
      </w:r>
      <w:r w:rsidRPr="00B73BD3">
        <w:t xml:space="preserve">, </w:t>
      </w:r>
      <w:r w:rsidRPr="00B73BD3">
        <w:rPr>
          <w:color w:val="000000"/>
        </w:rPr>
        <w:t xml:space="preserve">as our colleague acknowledges, there was a </w:t>
      </w:r>
      <w:r w:rsidRPr="00B73BD3">
        <w:t>range of opinions expressed about</w:t>
      </w:r>
      <w:r w:rsidRPr="00B73BD3">
        <w:rPr>
          <w:color w:val="000000"/>
        </w:rPr>
        <w:t xml:space="preserve"> the decision in </w:t>
      </w:r>
      <w:r w:rsidRPr="00B73BD3">
        <w:rPr>
          <w:i/>
          <w:color w:val="000000"/>
        </w:rPr>
        <w:t>Health Services</w:t>
      </w:r>
      <w:r w:rsidRPr="00B73BD3">
        <w:t xml:space="preserve">.  As is often the case, some </w:t>
      </w:r>
      <w:r w:rsidRPr="00B73BD3">
        <w:rPr>
          <w:color w:val="000000"/>
        </w:rPr>
        <w:t xml:space="preserve">commentators </w:t>
      </w:r>
      <w:r w:rsidRPr="00B73BD3">
        <w:t xml:space="preserve">agree, while others disagree in whole or in part.  </w:t>
      </w:r>
      <w:r w:rsidRPr="00B73BD3">
        <w:rPr>
          <w:color w:val="000000"/>
        </w:rPr>
        <w:t xml:space="preserve">A number of </w:t>
      </w:r>
      <w:r w:rsidRPr="00B73BD3">
        <w:lastRenderedPageBreak/>
        <w:t>comments appro</w:t>
      </w:r>
      <w:r w:rsidR="00D25149">
        <w:t>ved of the shift away from the T</w:t>
      </w:r>
      <w:r w:rsidRPr="00B73BD3">
        <w:t>rilogy</w:t>
      </w:r>
      <w:r w:rsidRPr="00B73BD3">
        <w:rPr>
          <w:i/>
        </w:rPr>
        <w:t xml:space="preserve"> </w:t>
      </w:r>
      <w:r w:rsidRPr="00B73BD3">
        <w:t>in favour of a broader and more contextual understanding of freedom of association: see</w:t>
      </w:r>
      <w:r w:rsidR="00D25149">
        <w:t>,</w:t>
      </w:r>
      <w:r w:rsidRPr="00B73BD3">
        <w:t xml:space="preserve"> e.g.</w:t>
      </w:r>
      <w:r w:rsidR="00D25149">
        <w:t>,</w:t>
      </w:r>
      <w:r w:rsidRPr="00B73BD3">
        <w:t xml:space="preserve"> </w:t>
      </w:r>
      <w:r w:rsidRPr="00D25149">
        <w:t xml:space="preserve">C. Brunelle, “La liberté d’association se porte mieux: un commentaire de l’arrêt </w:t>
      </w:r>
      <w:r w:rsidRPr="00D25149">
        <w:rPr>
          <w:i/>
        </w:rPr>
        <w:t>Health Services</w:t>
      </w:r>
      <w:r w:rsidRPr="00D25149">
        <w:t xml:space="preserve">”, in </w:t>
      </w:r>
      <w:r w:rsidRPr="00D25149">
        <w:rPr>
          <w:i/>
        </w:rPr>
        <w:t>Conférence des juristes de l’État 2009:</w:t>
      </w:r>
      <w:r w:rsidR="00D25149">
        <w:rPr>
          <w:i/>
        </w:rPr>
        <w:t xml:space="preserve"> </w:t>
      </w:r>
      <w:r w:rsidRPr="00D25149">
        <w:rPr>
          <w:i/>
        </w:rPr>
        <w:t xml:space="preserve"> XVIII</w:t>
      </w:r>
      <w:r w:rsidRPr="00D25149">
        <w:rPr>
          <w:i/>
          <w:vertAlign w:val="superscript"/>
        </w:rPr>
        <w:t>e</w:t>
      </w:r>
      <w:r w:rsidRPr="00D25149">
        <w:rPr>
          <w:i/>
        </w:rPr>
        <w:t xml:space="preserve"> Conférence</w:t>
      </w:r>
      <w:r w:rsidRPr="00D25149">
        <w:t xml:space="preserve"> (2009), 237; P. Verge, “L’affirmation constitutionnelle de la liberté d’association: une nouvelle vie pour l’autonomie collective?” (2010), 51 </w:t>
      </w:r>
      <w:r w:rsidRPr="00D25149">
        <w:rPr>
          <w:i/>
        </w:rPr>
        <w:t xml:space="preserve">C. de </w:t>
      </w:r>
      <w:r w:rsidR="00D25149" w:rsidRPr="00D25149">
        <w:rPr>
          <w:i/>
        </w:rPr>
        <w:t>D</w:t>
      </w:r>
      <w:r w:rsidRPr="00D25149">
        <w:rPr>
          <w:i/>
        </w:rPr>
        <w:t>.</w:t>
      </w:r>
      <w:r w:rsidRPr="00D25149">
        <w:t xml:space="preserve"> 353.  Indeed, some commentators fault this Court’s decision for not going far enough in protecting collective bargaining and related issues:  see</w:t>
      </w:r>
      <w:r w:rsidR="00D25149" w:rsidRPr="00D25149">
        <w:t>,</w:t>
      </w:r>
      <w:r w:rsidRPr="00D25149">
        <w:t xml:space="preserve"> e.g.</w:t>
      </w:r>
      <w:r w:rsidR="00D25149" w:rsidRPr="00D25149">
        <w:t>,</w:t>
      </w:r>
      <w:r w:rsidRPr="00D25149">
        <w:t xml:space="preserve"> P. Verge, “La Cour suprême, le ‘droit’ à la négociation collective et le ‘droit’ de grève” (2006), 66 </w:t>
      </w:r>
      <w:r w:rsidRPr="00D25149">
        <w:rPr>
          <w:i/>
        </w:rPr>
        <w:t>R. du B.</w:t>
      </w:r>
      <w:r w:rsidRPr="00D25149">
        <w:t xml:space="preserve"> 391; P. Verge, “Inclusion du droit de grève dans la liberté générale et constitutionnelle d’association: justification et effets”  (2009)</w:t>
      </w:r>
      <w:r w:rsidR="00D25149">
        <w:t>,</w:t>
      </w:r>
      <w:r w:rsidRPr="00D25149">
        <w:t xml:space="preserve"> 50 </w:t>
      </w:r>
      <w:r w:rsidRPr="00D25149">
        <w:rPr>
          <w:i/>
        </w:rPr>
        <w:t>C. de D.</w:t>
      </w:r>
      <w:r w:rsidRPr="00D25149">
        <w:t xml:space="preserve"> 267;  J. Cameron, “The Labour Trilogy’s Last Rites: </w:t>
      </w:r>
      <w:r w:rsidRPr="00D25149">
        <w:rPr>
          <w:i/>
        </w:rPr>
        <w:t xml:space="preserve">B.C. Health </w:t>
      </w:r>
      <w:r w:rsidRPr="00D25149">
        <w:t xml:space="preserve">and a Constitutional Right to Strike” (2009-2010), 15 </w:t>
      </w:r>
      <w:r w:rsidRPr="00D25149">
        <w:rPr>
          <w:i/>
        </w:rPr>
        <w:t>C.L.E.L.J.</w:t>
      </w:r>
      <w:r w:rsidRPr="00D25149">
        <w:t xml:space="preserve"> 297; J. Cameron, “Due Process, Collective Bargaining, and s. 2(d) of the </w:t>
      </w:r>
      <w:r w:rsidRPr="00D25149">
        <w:rPr>
          <w:i/>
        </w:rPr>
        <w:t>Charter</w:t>
      </w:r>
      <w:r w:rsidRPr="00D25149">
        <w:t xml:space="preserve">: A Comment on </w:t>
      </w:r>
      <w:r w:rsidRPr="00D25149">
        <w:rPr>
          <w:i/>
        </w:rPr>
        <w:t>B.C. Health Services</w:t>
      </w:r>
      <w:r w:rsidRPr="00D25149">
        <w:t xml:space="preserve">” (2006-2007), 13 </w:t>
      </w:r>
      <w:r w:rsidRPr="00D25149">
        <w:rPr>
          <w:i/>
        </w:rPr>
        <w:t>C.L.E.L.J.</w:t>
      </w:r>
      <w:r w:rsidRPr="00D25149">
        <w:t xml:space="preserve"> 233</w:t>
      </w:r>
      <w:r w:rsidRPr="00D25149">
        <w:rPr>
          <w:color w:val="000000"/>
        </w:rPr>
        <w:t>.</w:t>
      </w:r>
    </w:p>
    <w:p w:rsidR="00A00D29" w:rsidRPr="00B73BD3" w:rsidRDefault="00A00D29" w:rsidP="00E27EEC">
      <w:pPr>
        <w:tabs>
          <w:tab w:val="left" w:pos="1080"/>
        </w:tabs>
        <w:spacing w:after="720"/>
        <w:jc w:val="both"/>
        <w:rPr>
          <w:u w:val="single"/>
        </w:rPr>
      </w:pPr>
      <w:r w:rsidRPr="00D25149">
        <w:tab/>
      </w:r>
      <w:r w:rsidRPr="00B73BD3">
        <w:t xml:space="preserve">(x)  </w:t>
      </w:r>
      <w:r w:rsidRPr="00B73BD3">
        <w:rPr>
          <w:u w:val="single"/>
        </w:rPr>
        <w:t>The Argument on Canadian Labour History</w:t>
      </w:r>
    </w:p>
    <w:p w:rsidR="00A00D29" w:rsidRPr="00B73BD3" w:rsidRDefault="00A00D29" w:rsidP="00F258CD">
      <w:pPr>
        <w:pStyle w:val="ReasonsNumbering-AltN"/>
        <w:ind w:left="0" w:firstLine="0"/>
      </w:pPr>
      <w:r w:rsidRPr="00F258CD">
        <w:rPr>
          <w:lang w:val="en-US"/>
        </w:rPr>
        <w:t>Rothstein</w:t>
      </w:r>
      <w:r w:rsidRPr="00B73BD3">
        <w:t xml:space="preserve"> J. takes issue with the discussion of Canadian labour history in </w:t>
      </w:r>
      <w:r w:rsidRPr="00B73BD3">
        <w:rPr>
          <w:i/>
        </w:rPr>
        <w:t>Health Services</w:t>
      </w:r>
      <w:r w:rsidRPr="00B73BD3">
        <w:t xml:space="preserve">, pointing out that hostility to collective bargaining is part of Canadian labour law history.  We agree with this obvious fact, </w:t>
      </w:r>
      <w:r w:rsidRPr="00B73BD3">
        <w:rPr>
          <w:color w:val="000000"/>
        </w:rPr>
        <w:t xml:space="preserve">which was largely true until the Second World War, </w:t>
      </w:r>
      <w:r w:rsidRPr="00B73BD3">
        <w:t xml:space="preserve">which is indeed referred to in the majority reasons in </w:t>
      </w:r>
      <w:r w:rsidRPr="00B73BD3">
        <w:rPr>
          <w:i/>
        </w:rPr>
        <w:t>Health Services</w:t>
      </w:r>
      <w:r w:rsidRPr="00B73BD3">
        <w:t xml:space="preserve">.  </w:t>
      </w:r>
    </w:p>
    <w:p w:rsidR="00A00D29" w:rsidRPr="00B73BD3" w:rsidRDefault="00A00D29" w:rsidP="00F258CD">
      <w:pPr>
        <w:pStyle w:val="ReasonsNumbering-AltN"/>
        <w:ind w:left="0" w:firstLine="0"/>
      </w:pPr>
      <w:r w:rsidRPr="00B73BD3">
        <w:lastRenderedPageBreak/>
        <w:t xml:space="preserve">The </w:t>
      </w:r>
      <w:r w:rsidRPr="00F258CD">
        <w:rPr>
          <w:lang w:val="en-US"/>
        </w:rPr>
        <w:t>relevant</w:t>
      </w:r>
      <w:r w:rsidRPr="00B73BD3">
        <w:t xml:space="preserve"> question from the perspective of interpreting s. 2(</w:t>
      </w:r>
      <w:r w:rsidRPr="00B73BD3">
        <w:rPr>
          <w:i/>
        </w:rPr>
        <w:t>d</w:t>
      </w:r>
      <w:r w:rsidRPr="00B73BD3">
        <w:t xml:space="preserve">) of the </w:t>
      </w:r>
      <w:r w:rsidRPr="00B73BD3">
        <w:rPr>
          <w:i/>
        </w:rPr>
        <w:t>Charter</w:t>
      </w:r>
      <w:r w:rsidRPr="00B73BD3">
        <w:t xml:space="preserve"> is not whether courts in the past have </w:t>
      </w:r>
      <w:r w:rsidRPr="00B73BD3">
        <w:rPr>
          <w:color w:val="000000"/>
        </w:rPr>
        <w:t xml:space="preserve">undermined </w:t>
      </w:r>
      <w:r w:rsidRPr="00B73BD3">
        <w:t xml:space="preserve">collective bargaining, but rather whether Canadian </w:t>
      </w:r>
      <w:proofErr w:type="gramStart"/>
      <w:r w:rsidRPr="00B73BD3">
        <w:t xml:space="preserve">society’s </w:t>
      </w:r>
      <w:r w:rsidRPr="00B73BD3">
        <w:rPr>
          <w:i/>
        </w:rPr>
        <w:t>understanding</w:t>
      </w:r>
      <w:proofErr w:type="gramEnd"/>
      <w:r w:rsidRPr="00B73BD3">
        <w:rPr>
          <w:i/>
        </w:rPr>
        <w:t xml:space="preserve"> </w:t>
      </w:r>
      <w:r w:rsidRPr="00B73BD3">
        <w:t xml:space="preserve">of freedom of association, viewed broadly, includes the right to collective bargaining in the minimal sense of good faith exchanges affirmed in </w:t>
      </w:r>
      <w:r w:rsidRPr="00B73BD3">
        <w:rPr>
          <w:i/>
        </w:rPr>
        <w:t>Health Services</w:t>
      </w:r>
      <w:r w:rsidRPr="00B73BD3">
        <w:t>.  Whether that right has been consistently guaranteed by the legal system does not resolve the issue before us, the content of the s. 2(</w:t>
      </w:r>
      <w:r w:rsidRPr="00B73BD3">
        <w:rPr>
          <w:i/>
        </w:rPr>
        <w:t>d</w:t>
      </w:r>
      <w:r w:rsidRPr="00B73BD3">
        <w:t xml:space="preserve">) guarantee.  </w:t>
      </w:r>
      <w:r w:rsidRPr="00B73BD3">
        <w:rPr>
          <w:i/>
        </w:rPr>
        <w:t>Charter</w:t>
      </w:r>
      <w:r w:rsidRPr="00B73BD3">
        <w:t xml:space="preserve"> guarantees must be given a generous and purposive interpretation.  While the practice of courts pre-</w:t>
      </w:r>
      <w:r w:rsidRPr="00B73BD3">
        <w:rPr>
          <w:i/>
        </w:rPr>
        <w:t>Charter</w:t>
      </w:r>
      <w:r w:rsidRPr="00B73BD3">
        <w:t xml:space="preserve"> may assist in interpreting </w:t>
      </w:r>
      <w:r w:rsidRPr="00B73BD3">
        <w:rPr>
          <w:i/>
        </w:rPr>
        <w:t>Charter</w:t>
      </w:r>
      <w:r w:rsidRPr="00B73BD3">
        <w:t xml:space="preserve"> guarantees, it does not freeze them forever in a pre-</w:t>
      </w:r>
      <w:r w:rsidRPr="00B73BD3">
        <w:rPr>
          <w:i/>
        </w:rPr>
        <w:t>Charter</w:t>
      </w:r>
      <w:r w:rsidRPr="00B73BD3">
        <w:t xml:space="preserve"> vice.</w:t>
      </w:r>
    </w:p>
    <w:p w:rsidR="00A00D29" w:rsidRPr="00B73BD3" w:rsidRDefault="00A00D29" w:rsidP="00E27EEC">
      <w:pPr>
        <w:tabs>
          <w:tab w:val="left" w:pos="1080"/>
          <w:tab w:val="left" w:pos="1440"/>
        </w:tabs>
        <w:spacing w:after="720"/>
        <w:jc w:val="both"/>
        <w:rPr>
          <w:u w:val="single"/>
        </w:rPr>
      </w:pPr>
      <w:r w:rsidRPr="00B73BD3">
        <w:tab/>
        <w:t>(</w:t>
      </w:r>
      <w:proofErr w:type="gramStart"/>
      <w:r w:rsidRPr="00B73BD3">
        <w:t>xi</w:t>
      </w:r>
      <w:proofErr w:type="gramEnd"/>
      <w:r w:rsidRPr="00B73BD3">
        <w:t xml:space="preserve">)  </w:t>
      </w:r>
      <w:r w:rsidRPr="00B73BD3">
        <w:rPr>
          <w:u w:val="single"/>
        </w:rPr>
        <w:t>The Argument on International Law</w:t>
      </w:r>
    </w:p>
    <w:p w:rsidR="00A00D29" w:rsidRPr="00B73BD3" w:rsidRDefault="00A00D29" w:rsidP="00F258CD">
      <w:pPr>
        <w:pStyle w:val="ReasonsNumbering-AltN"/>
        <w:ind w:left="0" w:firstLine="0"/>
      </w:pPr>
      <w:r w:rsidRPr="00F258CD">
        <w:rPr>
          <w:lang w:val="en-US"/>
        </w:rPr>
        <w:t>Rothstein</w:t>
      </w:r>
      <w:r w:rsidRPr="00B73BD3">
        <w:t xml:space="preserve"> J. takes issue with the majority’s conclusion in </w:t>
      </w:r>
      <w:r w:rsidRPr="00B73BD3">
        <w:rPr>
          <w:i/>
        </w:rPr>
        <w:t>Health Services</w:t>
      </w:r>
      <w:r w:rsidRPr="00B73BD3">
        <w:t xml:space="preserve"> that international law supports a finding that s. 2(</w:t>
      </w:r>
      <w:r w:rsidRPr="00B73BD3">
        <w:rPr>
          <w:i/>
        </w:rPr>
        <w:t>d</w:t>
      </w:r>
      <w:r w:rsidRPr="00B73BD3">
        <w:t>) includes a right to collective bargaining.</w:t>
      </w:r>
    </w:p>
    <w:p w:rsidR="00A00D29" w:rsidRPr="00B73BD3" w:rsidRDefault="00A00D29" w:rsidP="00F258CD">
      <w:pPr>
        <w:pStyle w:val="ReasonsNumbering-AltN"/>
        <w:ind w:left="0" w:firstLine="0"/>
      </w:pPr>
      <w:r w:rsidRPr="00B73BD3">
        <w:t xml:space="preserve">The </w:t>
      </w:r>
      <w:r w:rsidRPr="00F258CD">
        <w:rPr>
          <w:lang w:val="en-US"/>
        </w:rPr>
        <w:t>majority</w:t>
      </w:r>
      <w:r w:rsidRPr="00B73BD3">
        <w:t xml:space="preserve"> in </w:t>
      </w:r>
      <w:r w:rsidRPr="00B73BD3">
        <w:rPr>
          <w:i/>
        </w:rPr>
        <w:t xml:space="preserve">Health Services </w:t>
      </w:r>
      <w:r w:rsidRPr="00B73BD3">
        <w:t xml:space="preserve">discussed both “Canada’s </w:t>
      </w:r>
      <w:r w:rsidRPr="00B73BD3">
        <w:rPr>
          <w:i/>
        </w:rPr>
        <w:t>current</w:t>
      </w:r>
      <w:r w:rsidRPr="00B73BD3">
        <w:t xml:space="preserve"> international law commitments </w:t>
      </w:r>
      <w:r w:rsidRPr="00B73BD3">
        <w:rPr>
          <w:u w:val="single"/>
        </w:rPr>
        <w:t>and the current state of international thought on human rights</w:t>
      </w:r>
      <w:r w:rsidRPr="00B73BD3">
        <w:t xml:space="preserve">” (para. 78 (underlining added)).  </w:t>
      </w:r>
      <w:r w:rsidRPr="00B73BD3">
        <w:rPr>
          <w:i/>
        </w:rPr>
        <w:t xml:space="preserve">Charter </w:t>
      </w:r>
      <w:r w:rsidRPr="00B73BD3">
        <w:t xml:space="preserve">rights </w:t>
      </w:r>
      <w:r w:rsidRPr="00B73BD3">
        <w:rPr>
          <w:i/>
        </w:rPr>
        <w:t>must</w:t>
      </w:r>
      <w:r w:rsidRPr="00B73BD3">
        <w:t xml:space="preserve"> be interpreted in light of Canadian values and Canada’s international and human rights commitments.  In </w:t>
      </w:r>
      <w:r w:rsidRPr="00B73BD3">
        <w:rPr>
          <w:i/>
        </w:rPr>
        <w:t>Dunmore</w:t>
      </w:r>
      <w:r w:rsidRPr="00B73BD3">
        <w:t>, Bastarache J. emphasized the relevance of these in interpreting s. 2(</w:t>
      </w:r>
      <w:r w:rsidRPr="00B73BD3">
        <w:rPr>
          <w:i/>
        </w:rPr>
        <w:t>d</w:t>
      </w:r>
      <w:r w:rsidRPr="00B73BD3">
        <w:t>) in the context.</w:t>
      </w:r>
    </w:p>
    <w:p w:rsidR="00A00D29" w:rsidRPr="00B73BD3" w:rsidRDefault="00A00D29" w:rsidP="00F258CD">
      <w:pPr>
        <w:pStyle w:val="ReasonsNumbering-AltN"/>
        <w:ind w:left="0" w:firstLine="0"/>
      </w:pPr>
      <w:r w:rsidRPr="00B73BD3">
        <w:lastRenderedPageBreak/>
        <w:t xml:space="preserve">The </w:t>
      </w:r>
      <w:r w:rsidRPr="00F258CD">
        <w:rPr>
          <w:lang w:val="en-US"/>
        </w:rPr>
        <w:t>fundamental</w:t>
      </w:r>
      <w:r w:rsidRPr="00B73BD3">
        <w:t xml:space="preserve"> question from the perspective of s. 2(</w:t>
      </w:r>
      <w:r w:rsidRPr="00B73BD3">
        <w:rPr>
          <w:i/>
        </w:rPr>
        <w:t>d</w:t>
      </w:r>
      <w:r w:rsidRPr="00B73BD3">
        <w:t xml:space="preserve">) is whether Canada’s international obligations support the view that collective bargaining </w:t>
      </w:r>
      <w:r w:rsidRPr="00B73BD3">
        <w:rPr>
          <w:color w:val="000000"/>
        </w:rPr>
        <w:t xml:space="preserve">is constitutionally protected </w:t>
      </w:r>
      <w:r w:rsidRPr="00B73BD3">
        <w:t xml:space="preserve">in the minimal sense discussed in </w:t>
      </w:r>
      <w:r w:rsidRPr="00B73BD3">
        <w:rPr>
          <w:i/>
        </w:rPr>
        <w:t>Health Services</w:t>
      </w:r>
      <w:r w:rsidRPr="00B73BD3">
        <w:t xml:space="preserve">.  The majority in </w:t>
      </w:r>
      <w:r w:rsidRPr="00B73BD3">
        <w:rPr>
          <w:i/>
        </w:rPr>
        <w:t>Health Services</w:t>
      </w:r>
      <w:r w:rsidRPr="00B73BD3">
        <w:t xml:space="preserve"> relied on three documents that Canada has endorsed: the </w:t>
      </w:r>
      <w:r w:rsidRPr="00B73BD3">
        <w:rPr>
          <w:i/>
        </w:rPr>
        <w:t>International Covenant on Economic, Social and Cultural Rights</w:t>
      </w:r>
      <w:r w:rsidRPr="00B73BD3">
        <w:t xml:space="preserve">, 993 U.N.T.S. 3, the </w:t>
      </w:r>
      <w:r w:rsidRPr="00B73BD3">
        <w:rPr>
          <w:i/>
        </w:rPr>
        <w:t>International Covenant on Civil and Political Rights</w:t>
      </w:r>
      <w:r w:rsidRPr="00B73BD3">
        <w:t>, 999 U.N.T.S. 171, and the International Labour Organization’s (“ILO’s”)</w:t>
      </w:r>
      <w:r w:rsidRPr="00B73BD3">
        <w:rPr>
          <w:i/>
        </w:rPr>
        <w:t xml:space="preserve"> Convention (No. 87) concerning freedom of association and protection of the right to organise</w:t>
      </w:r>
      <w:r w:rsidRPr="00B73BD3">
        <w:t>, 68 U.N.T.S. 17 (“Convention No. 87”).</w:t>
      </w:r>
    </w:p>
    <w:p w:rsidR="00A00D29" w:rsidRPr="00B73BD3" w:rsidRDefault="00A00D29" w:rsidP="00F258CD">
      <w:pPr>
        <w:pStyle w:val="ReasonsNumbering-AltN"/>
        <w:ind w:left="0" w:firstLine="0"/>
      </w:pPr>
      <w:r w:rsidRPr="00B73BD3">
        <w:t>The decision rendered by the ILO Committee on Freedom of Association (“CFA”)</w:t>
      </w:r>
      <w:r w:rsidRPr="00B73BD3">
        <w:rPr>
          <w:color w:val="000000"/>
        </w:rPr>
        <w:t>,</w:t>
      </w:r>
      <w:r w:rsidRPr="00B73BD3">
        <w:rPr>
          <w:i/>
        </w:rPr>
        <w:t xml:space="preserve"> </w:t>
      </w:r>
      <w:r w:rsidRPr="00B73BD3">
        <w:t xml:space="preserve">in the conflict between the employees of the B.C. health services and the government of British Columbia, </w:t>
      </w:r>
      <w:r w:rsidRPr="00B73BD3">
        <w:rPr>
          <w:color w:val="000000"/>
        </w:rPr>
        <w:t xml:space="preserve">concerned </w:t>
      </w:r>
      <w:r w:rsidRPr="00B73BD3">
        <w:t xml:space="preserve">the very conflict that formed the factual background of the decision in </w:t>
      </w:r>
      <w:r w:rsidRPr="00B73BD3">
        <w:rPr>
          <w:i/>
        </w:rPr>
        <w:t>Health Services</w:t>
      </w:r>
      <w:r w:rsidRPr="00B73BD3">
        <w:t xml:space="preserve">.  After applying </w:t>
      </w:r>
      <w:r w:rsidRPr="00B73BD3">
        <w:rPr>
          <w:color w:val="000000"/>
        </w:rPr>
        <w:t>Convention</w:t>
      </w:r>
      <w:r w:rsidR="00800157">
        <w:rPr>
          <w:color w:val="000000"/>
        </w:rPr>
        <w:t xml:space="preserve"> No.</w:t>
      </w:r>
      <w:r w:rsidRPr="00B73BD3">
        <w:rPr>
          <w:color w:val="000000"/>
        </w:rPr>
        <w:t xml:space="preserve"> 87 </w:t>
      </w:r>
      <w:r w:rsidRPr="00B73BD3">
        <w:t xml:space="preserve">and noting that Canada had not ratified </w:t>
      </w:r>
      <w:r w:rsidRPr="00B73BD3">
        <w:rPr>
          <w:i/>
        </w:rPr>
        <w:t>Convention (No. 98) concerning the application of the principles of the right to organise and to bargain collectively</w:t>
      </w:r>
      <w:r w:rsidRPr="00B73BD3">
        <w:t xml:space="preserve">, 96 U.N.T.S. 257 (“Convention No. 98”), the CFA concluded that the action of the government of British Columbia violated the employees’ right to freedom of association.  It stated that the unilateral cancellation of collective agreements “may have a detrimental effect on workers’ interests in unionization, since members and potential members could consider it useless to join an organization the main objective of which is to represent its members in collective bargaining, if the results of </w:t>
      </w:r>
      <w:r w:rsidRPr="00B73BD3">
        <w:lastRenderedPageBreak/>
        <w:t>bargaining are constantly cancelled by law” (Report No. 330 (2003), vol. LXXXVI, Series B, No. 1, at para. 304).</w:t>
      </w:r>
    </w:p>
    <w:p w:rsidR="00A00D29" w:rsidRPr="00B73BD3" w:rsidRDefault="00A00D29" w:rsidP="00F258CD">
      <w:pPr>
        <w:pStyle w:val="ReasonsNumbering-AltN"/>
        <w:ind w:left="0" w:firstLine="0"/>
      </w:pPr>
      <w:r w:rsidRPr="00F258CD">
        <w:rPr>
          <w:lang w:val="en-US"/>
        </w:rPr>
        <w:t>Rothstein</w:t>
      </w:r>
      <w:r w:rsidRPr="00B73BD3">
        <w:t xml:space="preserve"> J. argues that Convention No. 98 (which is not binding on Canada) does not support “a version of collective bargaining that includes a duty to bargain in good faith” (para. 249).  While voluntariness is a component of the international model of collective bargaining — as noted by the majority in </w:t>
      </w:r>
      <w:r w:rsidRPr="00B73BD3">
        <w:rPr>
          <w:i/>
        </w:rPr>
        <w:t>Health Services</w:t>
      </w:r>
      <w:r w:rsidRPr="00B73BD3">
        <w:t xml:space="preserve"> (para. 77, citing B. Gernigon, A. Odero and H. Guido</w:t>
      </w:r>
      <w:r w:rsidRPr="00527064">
        <w:t xml:space="preserve">, </w:t>
      </w:r>
      <w:r w:rsidRPr="00B73BD3">
        <w:t xml:space="preserve">“ILO principles concerning collective bargaining” (2000), 139 </w:t>
      </w:r>
      <w:r w:rsidRPr="00B73BD3">
        <w:rPr>
          <w:i/>
        </w:rPr>
        <w:t>Int</w:t>
      </w:r>
      <w:r w:rsidR="00527064">
        <w:rPr>
          <w:i/>
        </w:rPr>
        <w:t>ern</w:t>
      </w:r>
      <w:r w:rsidRPr="00B73BD3">
        <w:rPr>
          <w:i/>
        </w:rPr>
        <w:t xml:space="preserve">’l Lab. Rev. </w:t>
      </w:r>
      <w:r w:rsidRPr="00B73BD3">
        <w:t xml:space="preserve">33, at pp. 51-52) — the ILO Committee of Experts has not found compulsory collective bargaining to be contrary </w:t>
      </w:r>
      <w:r w:rsidRPr="00B73BD3">
        <w:rPr>
          <w:color w:val="000000"/>
        </w:rPr>
        <w:t xml:space="preserve">to </w:t>
      </w:r>
      <w:r w:rsidRPr="00B73BD3">
        <w:t xml:space="preserve">international norms.  The 1994 Report of the Committee of Experts discussed the domestic schemes that compelled employers to bargain with unions, listing Canada, and approvingly stated that such schemes illustrated “the principle that employers and trade unions should negotiate in good faith and endeavour to reach an agreement” (Committee of Experts on the Application of Conventions and Recommendations, </w:t>
      </w:r>
      <w:r w:rsidRPr="00B73BD3">
        <w:rPr>
          <w:i/>
        </w:rPr>
        <w:t>Freedom of Association and Collective Bargaining</w:t>
      </w:r>
      <w:r w:rsidRPr="00B73BD3">
        <w:t xml:space="preserve"> (1994), at para. 243).  This is precisely the general principle that </w:t>
      </w:r>
      <w:r w:rsidRPr="00B73BD3">
        <w:rPr>
          <w:i/>
        </w:rPr>
        <w:t>Health Services</w:t>
      </w:r>
      <w:r w:rsidRPr="00B73BD3">
        <w:t xml:space="preserve"> endorses.</w:t>
      </w:r>
    </w:p>
    <w:p w:rsidR="00A00D29" w:rsidRPr="00B73BD3" w:rsidRDefault="00A00D29" w:rsidP="00E27EEC">
      <w:pPr>
        <w:tabs>
          <w:tab w:val="left" w:pos="1080"/>
          <w:tab w:val="left" w:pos="1440"/>
        </w:tabs>
        <w:spacing w:after="720"/>
        <w:jc w:val="both"/>
        <w:rPr>
          <w:u w:val="single"/>
        </w:rPr>
      </w:pPr>
      <w:r w:rsidRPr="00B73BD3">
        <w:tab/>
        <w:t>(</w:t>
      </w:r>
      <w:proofErr w:type="gramStart"/>
      <w:r w:rsidRPr="00B73BD3">
        <w:t>xii</w:t>
      </w:r>
      <w:proofErr w:type="gramEnd"/>
      <w:r w:rsidRPr="00B73BD3">
        <w:t xml:space="preserve">)  </w:t>
      </w:r>
      <w:r w:rsidRPr="00B73BD3">
        <w:rPr>
          <w:u w:val="single"/>
        </w:rPr>
        <w:t xml:space="preserve">The Argument on </w:t>
      </w:r>
      <w:r w:rsidRPr="00527064">
        <w:rPr>
          <w:i/>
          <w:u w:val="single"/>
        </w:rPr>
        <w:t>Charter</w:t>
      </w:r>
      <w:r w:rsidRPr="00B73BD3">
        <w:rPr>
          <w:u w:val="single"/>
        </w:rPr>
        <w:t xml:space="preserve"> Values</w:t>
      </w:r>
    </w:p>
    <w:p w:rsidR="00A00D29" w:rsidRPr="00B73BD3" w:rsidRDefault="00A00D29" w:rsidP="00F258CD">
      <w:pPr>
        <w:pStyle w:val="ReasonsNumbering-AltN"/>
        <w:ind w:left="0" w:firstLine="0"/>
      </w:pPr>
      <w:r w:rsidRPr="00F258CD">
        <w:rPr>
          <w:lang w:val="en-US"/>
        </w:rPr>
        <w:t>Rothstein</w:t>
      </w:r>
      <w:r w:rsidRPr="00B73BD3">
        <w:t xml:space="preserve"> J. argues that the majority in </w:t>
      </w:r>
      <w:r w:rsidRPr="00B73BD3">
        <w:rPr>
          <w:i/>
        </w:rPr>
        <w:t>Health Services</w:t>
      </w:r>
      <w:r w:rsidRPr="00B73BD3">
        <w:t xml:space="preserve"> erred in </w:t>
      </w:r>
      <w:r w:rsidRPr="00B73BD3">
        <w:rPr>
          <w:color w:val="000000"/>
        </w:rPr>
        <w:t xml:space="preserve">relying on the underlying values of the </w:t>
      </w:r>
      <w:r w:rsidRPr="00B73BD3">
        <w:rPr>
          <w:i/>
          <w:color w:val="000000"/>
        </w:rPr>
        <w:t>Charter</w:t>
      </w:r>
      <w:r w:rsidRPr="00B73BD3">
        <w:rPr>
          <w:color w:val="000000"/>
        </w:rPr>
        <w:t xml:space="preserve"> when interpreting the scope of s. 2(</w:t>
      </w:r>
      <w:r w:rsidRPr="00B73BD3">
        <w:rPr>
          <w:i/>
          <w:color w:val="000000"/>
        </w:rPr>
        <w:t>d</w:t>
      </w:r>
      <w:r w:rsidRPr="00B73BD3">
        <w:rPr>
          <w:color w:val="000000"/>
        </w:rPr>
        <w:t xml:space="preserve">) rather than on the text of the </w:t>
      </w:r>
      <w:r w:rsidRPr="00B73BD3">
        <w:rPr>
          <w:i/>
          <w:color w:val="000000"/>
        </w:rPr>
        <w:t>Charter</w:t>
      </w:r>
      <w:r w:rsidRPr="00B73BD3">
        <w:rPr>
          <w:color w:val="000000"/>
        </w:rPr>
        <w:t xml:space="preserve"> itself </w:t>
      </w:r>
      <w:r w:rsidRPr="00B73BD3">
        <w:t>(para</w:t>
      </w:r>
      <w:r w:rsidRPr="00B73BD3">
        <w:rPr>
          <w:color w:val="000000"/>
        </w:rPr>
        <w:t>s</w:t>
      </w:r>
      <w:r w:rsidRPr="00B73BD3">
        <w:t>.</w:t>
      </w:r>
      <w:r>
        <w:t xml:space="preserve"> 252-</w:t>
      </w:r>
      <w:r w:rsidRPr="00B73BD3">
        <w:t xml:space="preserve">54).  We can only respond that a </w:t>
      </w:r>
      <w:proofErr w:type="spellStart"/>
      <w:r w:rsidRPr="00B73BD3">
        <w:lastRenderedPageBreak/>
        <w:t>value</w:t>
      </w:r>
      <w:r w:rsidRPr="00B73BD3">
        <w:noBreakHyphen/>
        <w:t>oriented</w:t>
      </w:r>
      <w:proofErr w:type="spellEnd"/>
      <w:r w:rsidRPr="00B73BD3">
        <w:t xml:space="preserve"> approach to the broadly worded guarantees of the </w:t>
      </w:r>
      <w:r w:rsidRPr="00B73BD3">
        <w:rPr>
          <w:i/>
        </w:rPr>
        <w:t>Charter</w:t>
      </w:r>
      <w:r w:rsidRPr="00B73BD3">
        <w:t xml:space="preserve"> has been repeatedly endorsed by </w:t>
      </w:r>
      <w:r w:rsidRPr="00B73BD3">
        <w:rPr>
          <w:i/>
        </w:rPr>
        <w:t>Charter</w:t>
      </w:r>
      <w:r w:rsidRPr="00B73BD3">
        <w:t xml:space="preserve"> jurisprudence over the last quarter century.</w:t>
      </w:r>
    </w:p>
    <w:p w:rsidR="00A00D29" w:rsidRPr="00B73BD3" w:rsidRDefault="00A00D29" w:rsidP="00E27EEC">
      <w:pPr>
        <w:tabs>
          <w:tab w:val="left" w:pos="1080"/>
        </w:tabs>
        <w:spacing w:after="720"/>
        <w:jc w:val="both"/>
        <w:rPr>
          <w:u w:val="single"/>
        </w:rPr>
      </w:pPr>
      <w:r>
        <w:tab/>
      </w:r>
      <w:r w:rsidRPr="00B73BD3">
        <w:t xml:space="preserve">(xiii)  </w:t>
      </w:r>
      <w:r w:rsidRPr="00B73BD3">
        <w:rPr>
          <w:u w:val="single"/>
        </w:rPr>
        <w:t>Conclusion</w:t>
      </w:r>
    </w:p>
    <w:p w:rsidR="00A00D29" w:rsidRPr="00B73BD3" w:rsidRDefault="00A00D29" w:rsidP="00F258CD">
      <w:pPr>
        <w:pStyle w:val="ReasonsNumbering-AltN"/>
        <w:ind w:left="0" w:firstLine="0"/>
      </w:pPr>
      <w:r w:rsidRPr="00F258CD">
        <w:rPr>
          <w:lang w:val="en-US"/>
        </w:rPr>
        <w:t>Notwithstanding</w:t>
      </w:r>
      <w:r w:rsidRPr="00B73BD3">
        <w:t xml:space="preserve"> the comprehensive reasons of our colleague, we conclude that </w:t>
      </w:r>
      <w:r w:rsidRPr="00B73BD3">
        <w:rPr>
          <w:i/>
        </w:rPr>
        <w:t xml:space="preserve">Health Services </w:t>
      </w:r>
      <w:r w:rsidRPr="00B73BD3">
        <w:t xml:space="preserve">is grounded in precedent, consistent with Canadian values, consistent with Canada’s international commitments and consistent with this Court’s purposive and generous interpretation of other </w:t>
      </w:r>
      <w:r w:rsidRPr="00B73BD3">
        <w:rPr>
          <w:i/>
        </w:rPr>
        <w:t>Charter</w:t>
      </w:r>
      <w:r w:rsidRPr="00B73BD3">
        <w:t xml:space="preserve"> guarantees.  In our view, it should not be overturned.</w:t>
      </w:r>
    </w:p>
    <w:p w:rsidR="00A00D29" w:rsidRPr="00B73BD3" w:rsidRDefault="00197EFB" w:rsidP="00197EFB">
      <w:pPr>
        <w:tabs>
          <w:tab w:val="left" w:pos="1170"/>
          <w:tab w:val="left" w:pos="1710"/>
        </w:tabs>
        <w:spacing w:after="720"/>
        <w:ind w:left="1710" w:hanging="1710"/>
        <w:jc w:val="both"/>
        <w:rPr>
          <w:i/>
          <w:color w:val="000000"/>
        </w:rPr>
      </w:pPr>
      <w:r>
        <w:tab/>
      </w:r>
      <w:r w:rsidR="00A00D29">
        <w:t>(</w:t>
      </w:r>
      <w:r w:rsidR="00A00D29" w:rsidRPr="00B73BD3">
        <w:t>2</w:t>
      </w:r>
      <w:r w:rsidR="00A00D29">
        <w:t>)</w:t>
      </w:r>
      <w:r w:rsidR="00A00D29">
        <w:tab/>
      </w:r>
      <w:r w:rsidR="00A00D29" w:rsidRPr="00B73BD3">
        <w:rPr>
          <w:color w:val="000000"/>
          <w:u w:val="single"/>
        </w:rPr>
        <w:t xml:space="preserve">Application:  Have </w:t>
      </w:r>
      <w:r w:rsidR="00A00D29" w:rsidRPr="00B73BD3">
        <w:rPr>
          <w:u w:val="single"/>
        </w:rPr>
        <w:t xml:space="preserve">the </w:t>
      </w:r>
      <w:r w:rsidR="00A00D29" w:rsidRPr="00B73BD3">
        <w:rPr>
          <w:color w:val="000000"/>
          <w:u w:val="single"/>
        </w:rPr>
        <w:t xml:space="preserve">Respondents </w:t>
      </w:r>
      <w:r w:rsidR="00A00D29" w:rsidRPr="00B73BD3">
        <w:rPr>
          <w:u w:val="single"/>
        </w:rPr>
        <w:t xml:space="preserve">Established </w:t>
      </w:r>
      <w:r w:rsidR="00A00D29" w:rsidRPr="00B73BD3">
        <w:rPr>
          <w:color w:val="000000"/>
          <w:u w:val="single"/>
        </w:rPr>
        <w:t xml:space="preserve">a </w:t>
      </w:r>
      <w:r w:rsidR="00A00D29" w:rsidRPr="00B73BD3">
        <w:rPr>
          <w:u w:val="single"/>
        </w:rPr>
        <w:t>Breach of Section 2(</w:t>
      </w:r>
      <w:r w:rsidR="00A00D29" w:rsidRPr="00B73BD3">
        <w:rPr>
          <w:i/>
          <w:u w:val="single"/>
        </w:rPr>
        <w:t>d</w:t>
      </w:r>
      <w:r w:rsidR="00A00D29" w:rsidRPr="00B73BD3">
        <w:rPr>
          <w:u w:val="single"/>
        </w:rPr>
        <w:t>)</w:t>
      </w:r>
      <w:r w:rsidR="00A00D29" w:rsidRPr="00B73BD3">
        <w:rPr>
          <w:color w:val="000000"/>
          <w:u w:val="single"/>
        </w:rPr>
        <w:t>?</w:t>
      </w:r>
    </w:p>
    <w:p w:rsidR="00A00D29" w:rsidRPr="00E534BC" w:rsidRDefault="00A00D29" w:rsidP="00F258CD">
      <w:pPr>
        <w:pStyle w:val="ReasonsNumbering-AltN"/>
        <w:ind w:left="0" w:firstLine="0"/>
      </w:pPr>
      <w:r w:rsidRPr="00B73BD3">
        <w:rPr>
          <w:color w:val="000000"/>
        </w:rPr>
        <w:t xml:space="preserve">The </w:t>
      </w:r>
      <w:r w:rsidRPr="00F258CD">
        <w:rPr>
          <w:lang w:val="en-US"/>
        </w:rPr>
        <w:t>essential</w:t>
      </w:r>
      <w:r w:rsidRPr="00B73BD3">
        <w:rPr>
          <w:color w:val="000000"/>
        </w:rPr>
        <w:t xml:space="preserve"> question is whether the </w:t>
      </w:r>
      <w:r w:rsidRPr="00B73BD3">
        <w:rPr>
          <w:i/>
          <w:color w:val="000000"/>
        </w:rPr>
        <w:t>AEPA</w:t>
      </w:r>
      <w:r w:rsidRPr="00B73BD3">
        <w:rPr>
          <w:color w:val="000000"/>
        </w:rPr>
        <w:t xml:space="preserve"> makes meaningful association to achieve workplace goals effectively impossible, as was the case in </w:t>
      </w:r>
      <w:r w:rsidRPr="00B73BD3">
        <w:rPr>
          <w:i/>
          <w:color w:val="000000"/>
        </w:rPr>
        <w:t>Dunmore</w:t>
      </w:r>
      <w:r w:rsidRPr="00B73BD3">
        <w:rPr>
          <w:color w:val="000000"/>
        </w:rPr>
        <w:t>.</w:t>
      </w:r>
      <w:r w:rsidRPr="00B73BD3">
        <w:rPr>
          <w:i/>
          <w:color w:val="000000"/>
        </w:rPr>
        <w:t xml:space="preserve">  </w:t>
      </w:r>
      <w:r w:rsidRPr="00B73BD3">
        <w:rPr>
          <w:color w:val="000000"/>
        </w:rPr>
        <w:t xml:space="preserve">If the </w:t>
      </w:r>
      <w:r w:rsidRPr="00B73BD3">
        <w:rPr>
          <w:i/>
          <w:color w:val="000000"/>
        </w:rPr>
        <w:t xml:space="preserve">AEPA </w:t>
      </w:r>
      <w:r w:rsidRPr="00B73BD3">
        <w:rPr>
          <w:color w:val="000000"/>
        </w:rPr>
        <w:t>process, viewed in terms of its effect, makes good faith resolution of workplace issues between employees and their employer effectively impossible, then the exercise of the right to meaningful association guaranteed by s. </w:t>
      </w:r>
      <w:r w:rsidRPr="00B73BD3">
        <w:t>2(</w:t>
      </w:r>
      <w:r w:rsidRPr="00B73BD3">
        <w:rPr>
          <w:i/>
        </w:rPr>
        <w:t>d</w:t>
      </w:r>
      <w:r w:rsidRPr="00B73BD3">
        <w:t>) of the</w:t>
      </w:r>
      <w:r w:rsidRPr="00B73BD3">
        <w:rPr>
          <w:i/>
        </w:rPr>
        <w:t xml:space="preserve"> Charter </w:t>
      </w:r>
      <w:r w:rsidRPr="00B73BD3">
        <w:t xml:space="preserve">will have been limited, and the law found to be unconstitutional in the absence of justification under s. 1 of the </w:t>
      </w:r>
      <w:r w:rsidRPr="00B73BD3">
        <w:rPr>
          <w:i/>
        </w:rPr>
        <w:t>Charter</w:t>
      </w:r>
      <w:r w:rsidRPr="00B73BD3">
        <w:t>.</w:t>
      </w:r>
      <w:r w:rsidRPr="00B73BD3">
        <w:rPr>
          <w:i/>
        </w:rPr>
        <w:t xml:space="preserve"> </w:t>
      </w:r>
      <w:r w:rsidRPr="00B73BD3">
        <w:t xml:space="preserve">The onus is on the farm workers to establish that the </w:t>
      </w:r>
      <w:r w:rsidRPr="00B73BD3">
        <w:rPr>
          <w:i/>
        </w:rPr>
        <w:t>AEPA</w:t>
      </w:r>
      <w:r w:rsidRPr="00B73BD3">
        <w:t xml:space="preserve"> interferes with their s. 2(</w:t>
      </w:r>
      <w:r w:rsidRPr="00B73BD3">
        <w:rPr>
          <w:i/>
        </w:rPr>
        <w:t>d</w:t>
      </w:r>
      <w:r w:rsidRPr="00B73BD3">
        <w:t xml:space="preserve">) right to associate in this way. </w:t>
      </w:r>
    </w:p>
    <w:p w:rsidR="00A00D29" w:rsidRPr="00B73BD3" w:rsidRDefault="00A00D29" w:rsidP="00F258CD">
      <w:pPr>
        <w:pStyle w:val="ReasonsNumbering-AltN"/>
        <w:ind w:left="0" w:firstLine="0"/>
        <w:rPr>
          <w:i/>
        </w:rPr>
      </w:pPr>
      <w:r w:rsidRPr="00B73BD3">
        <w:lastRenderedPageBreak/>
        <w:t xml:space="preserve">As </w:t>
      </w:r>
      <w:r w:rsidRPr="00F258CD">
        <w:rPr>
          <w:lang w:val="en-US"/>
        </w:rPr>
        <w:t>discussed</w:t>
      </w:r>
      <w:r w:rsidRPr="00B73BD3">
        <w:t xml:space="preserve"> above, the right of an employees’ association to make representations to the employer and have its views considered in good faith is a derivative right under s. 2(</w:t>
      </w:r>
      <w:r w:rsidRPr="00B73BD3">
        <w:rPr>
          <w:i/>
        </w:rPr>
        <w:t>d</w:t>
      </w:r>
      <w:r w:rsidRPr="00B73BD3">
        <w:t xml:space="preserve">) of the </w:t>
      </w:r>
      <w:r w:rsidRPr="00B73BD3">
        <w:rPr>
          <w:i/>
        </w:rPr>
        <w:t>Charter</w:t>
      </w:r>
      <w:r w:rsidRPr="00B73BD3">
        <w:t xml:space="preserve">, necessary to meaningful exercise of the right to free association.  The question is whether the </w:t>
      </w:r>
      <w:r w:rsidRPr="00B73BD3">
        <w:rPr>
          <w:i/>
        </w:rPr>
        <w:t>AEPA</w:t>
      </w:r>
      <w:r w:rsidRPr="00B73BD3">
        <w:t xml:space="preserve"> provides a process that satisfies this constitutional requirement.</w:t>
      </w:r>
    </w:p>
    <w:p w:rsidR="00A00D29" w:rsidRPr="00B73BD3" w:rsidRDefault="00A00D29" w:rsidP="00F258CD">
      <w:pPr>
        <w:pStyle w:val="ReasonsNumbering-AltN"/>
        <w:ind w:left="0" w:firstLine="0"/>
        <w:rPr>
          <w:i/>
        </w:rPr>
      </w:pPr>
      <w:r w:rsidRPr="00B73BD3">
        <w:rPr>
          <w:szCs w:val="24"/>
        </w:rPr>
        <w:t xml:space="preserve">Under the </w:t>
      </w:r>
      <w:r w:rsidRPr="00B73BD3">
        <w:rPr>
          <w:i/>
          <w:szCs w:val="24"/>
        </w:rPr>
        <w:t>AEPA</w:t>
      </w:r>
      <w:r w:rsidRPr="00B73BD3">
        <w:rPr>
          <w:szCs w:val="24"/>
        </w:rPr>
        <w:t>, the right of employees’ associations to make representations to their employers is set out in s. 5.  The relevant sections are ss. 5(1), (5), (6) and (7):</w:t>
      </w:r>
    </w:p>
    <w:p w:rsidR="00A00D29" w:rsidRPr="00B73BD3" w:rsidRDefault="00A00D29" w:rsidP="00E534BC">
      <w:pPr>
        <w:pStyle w:val="Citation1"/>
        <w:spacing w:after="240"/>
        <w:ind w:firstLine="274"/>
        <w:contextualSpacing w:val="0"/>
      </w:pPr>
      <w:r w:rsidRPr="00B73BD3">
        <w:rPr>
          <w:b/>
        </w:rPr>
        <w:t>5.</w:t>
      </w:r>
      <w:r w:rsidRPr="00B73BD3">
        <w:t xml:space="preserve"> (1)</w:t>
      </w:r>
      <w:proofErr w:type="gramStart"/>
      <w:r w:rsidRPr="00B73BD3">
        <w:t>  The</w:t>
      </w:r>
      <w:proofErr w:type="gramEnd"/>
      <w:r w:rsidRPr="00B73BD3">
        <w:t xml:space="preserve"> employer shall give an employees’ association a reasonable opportunity to make representations respecting the terms and conditions of employment of one or more of its members who are employed by that employer. </w:t>
      </w:r>
    </w:p>
    <w:p w:rsidR="00A00D29" w:rsidRDefault="0084230A" w:rsidP="0084230A">
      <w:pPr>
        <w:pStyle w:val="Citation1"/>
        <w:spacing w:after="240"/>
        <w:ind w:firstLine="274"/>
        <w:contextualSpacing w:val="0"/>
        <w:jc w:val="center"/>
      </w:pPr>
      <w:r>
        <w:t>. . .</w:t>
      </w:r>
    </w:p>
    <w:p w:rsidR="00A00D29" w:rsidRPr="00B73BD3" w:rsidRDefault="00A00D29" w:rsidP="00E534BC">
      <w:pPr>
        <w:pStyle w:val="Citation1"/>
        <w:spacing w:after="240"/>
        <w:ind w:firstLine="274"/>
        <w:contextualSpacing w:val="0"/>
      </w:pPr>
      <w:r w:rsidRPr="00B73BD3">
        <w:t xml:space="preserve">(5)  The employees’ </w:t>
      </w:r>
      <w:r w:rsidRPr="00E534BC">
        <w:t>association</w:t>
      </w:r>
      <w:r w:rsidRPr="00B73BD3">
        <w:t xml:space="preserve"> may make the representations orally or in writing. </w:t>
      </w:r>
    </w:p>
    <w:p w:rsidR="00A00D29" w:rsidRPr="00B73BD3" w:rsidRDefault="00A00D29" w:rsidP="00527064">
      <w:pPr>
        <w:pStyle w:val="Citation1"/>
        <w:spacing w:after="240"/>
        <w:ind w:firstLine="274"/>
        <w:contextualSpacing w:val="0"/>
      </w:pPr>
      <w:r w:rsidRPr="00B73BD3">
        <w:t xml:space="preserve">(6)  The employer shall </w:t>
      </w:r>
      <w:r w:rsidRPr="00E534BC">
        <w:t>listen</w:t>
      </w:r>
      <w:r w:rsidRPr="00B73BD3">
        <w:t xml:space="preserve"> to the representations if made orally, or read them if made in writing. </w:t>
      </w:r>
    </w:p>
    <w:p w:rsidR="00A00D29" w:rsidRPr="00B73BD3" w:rsidRDefault="00A00D29" w:rsidP="00E534BC">
      <w:pPr>
        <w:pStyle w:val="Citation1"/>
        <w:ind w:firstLine="274"/>
        <w:contextualSpacing w:val="0"/>
      </w:pPr>
      <w:r w:rsidRPr="00B73BD3">
        <w:t>(7)  If the representations are made in writing, the employer shall give the association a written acknowledgment that the employer has read them.</w:t>
      </w:r>
    </w:p>
    <w:p w:rsidR="00A00D29" w:rsidRPr="00B73BD3" w:rsidRDefault="00A00D29" w:rsidP="00F258CD">
      <w:pPr>
        <w:pStyle w:val="ReasonsNumbering-AltN"/>
        <w:ind w:left="0" w:firstLine="0"/>
      </w:pPr>
      <w:r w:rsidRPr="00F258CD">
        <w:rPr>
          <w:lang w:val="en-US"/>
        </w:rPr>
        <w:t>Sections</w:t>
      </w:r>
      <w:r w:rsidRPr="00B73BD3">
        <w:t xml:space="preserve"> 5(6) and (7) are critical.  They provide that the employer shall listen to oral representations, and read written representations, and acknowledge having read them.  They do not expressly refer to a requirement that the employer </w:t>
      </w:r>
      <w:r w:rsidRPr="00B73BD3">
        <w:lastRenderedPageBreak/>
        <w:t xml:space="preserve">consider employee representations in good faith.  Nor do they rule it out.  </w:t>
      </w:r>
      <w:r w:rsidRPr="00B73BD3">
        <w:rPr>
          <w:color w:val="000000"/>
        </w:rPr>
        <w:t>By implication, they include such a requirement</w:t>
      </w:r>
      <w:r w:rsidRPr="00B73BD3">
        <w:t>.</w:t>
      </w:r>
    </w:p>
    <w:p w:rsidR="00A00D29" w:rsidRPr="00B73BD3" w:rsidRDefault="00A00D29" w:rsidP="00486717">
      <w:pPr>
        <w:pStyle w:val="ReasonsNumbering-AltN"/>
        <w:ind w:left="0" w:firstLine="0"/>
      </w:pPr>
      <w:r w:rsidRPr="00B73BD3">
        <w:t xml:space="preserve">Three considerations lead us to conclude that </w:t>
      </w:r>
      <w:r w:rsidRPr="00B73BD3">
        <w:rPr>
          <w:color w:val="000000"/>
        </w:rPr>
        <w:t xml:space="preserve">any </w:t>
      </w:r>
      <w:r w:rsidRPr="00B73BD3">
        <w:t>ambiguity in ss. 5(6) and (7) should be resolved by interpreting them as imposing a duty on agricultural employers to consider employee representations in good faith.</w:t>
      </w:r>
    </w:p>
    <w:p w:rsidR="00A00D29" w:rsidRPr="00B73BD3" w:rsidRDefault="00A00D29" w:rsidP="00486717">
      <w:pPr>
        <w:pStyle w:val="ReasonsNumbering-AltN"/>
        <w:ind w:left="0" w:firstLine="0"/>
      </w:pPr>
      <w:r w:rsidRPr="00B73BD3">
        <w:t>The first consideration is the principle that a statute should be interpreted in a way that gives meaning and purpose to its provisions.  This requires us to ask what the purpose of the requirements in ss. 5(6) and (7) is.  There can only be one purpose for requiring the employer to listen to or read employee</w:t>
      </w:r>
      <w:r w:rsidRPr="00B73BD3">
        <w:rPr>
          <w:color w:val="000000"/>
        </w:rPr>
        <w:t xml:space="preserve"> representations </w:t>
      </w:r>
      <w:r w:rsidRPr="00B73BD3">
        <w:t>— to assure that the employer</w:t>
      </w:r>
      <w:r w:rsidRPr="00B73BD3">
        <w:rPr>
          <w:color w:val="000000"/>
        </w:rPr>
        <w:t xml:space="preserve"> will in fact consider </w:t>
      </w:r>
      <w:r w:rsidRPr="00B73BD3">
        <w:t>the employee representation</w:t>
      </w:r>
      <w:r w:rsidRPr="00B73BD3">
        <w:rPr>
          <w:color w:val="000000"/>
        </w:rPr>
        <w:t>s</w:t>
      </w:r>
      <w:r w:rsidRPr="00B73BD3">
        <w:t xml:space="preserve">.  No labour relations purpose is served merely by </w:t>
      </w:r>
      <w:r w:rsidRPr="00B73BD3">
        <w:rPr>
          <w:i/>
          <w:color w:val="000000"/>
        </w:rPr>
        <w:t>pro forma</w:t>
      </w:r>
      <w:r w:rsidRPr="00B73BD3">
        <w:rPr>
          <w:color w:val="000000"/>
        </w:rPr>
        <w:t xml:space="preserve"> </w:t>
      </w:r>
      <w:r w:rsidRPr="00B73BD3">
        <w:t>listening or reading.  To fulfill the purpose of reading or listening, the employer must consider the submission.  Moreover, the employer must do so in good faith:  consideration with a closed mind would render listening or reading the submission pointless.</w:t>
      </w:r>
    </w:p>
    <w:p w:rsidR="00A00D29" w:rsidRPr="00B73BD3" w:rsidRDefault="00A00D29" w:rsidP="00486717">
      <w:pPr>
        <w:pStyle w:val="ReasonsNumbering-AltN"/>
        <w:ind w:left="0" w:firstLine="0"/>
      </w:pPr>
      <w:r w:rsidRPr="00B73BD3">
        <w:t xml:space="preserve">The </w:t>
      </w:r>
      <w:r w:rsidRPr="00486717">
        <w:rPr>
          <w:lang w:val="en-US"/>
        </w:rPr>
        <w:t>second</w:t>
      </w:r>
      <w:r w:rsidRPr="00B73BD3">
        <w:t xml:space="preserve"> consideration is </w:t>
      </w:r>
      <w:r w:rsidRPr="00B73BD3">
        <w:rPr>
          <w:color w:val="000000"/>
        </w:rPr>
        <w:t xml:space="preserve">that Parliament and legislatures are presumed to intend to comply with </w:t>
      </w:r>
      <w:r w:rsidRPr="00B73BD3">
        <w:t xml:space="preserve">the </w:t>
      </w:r>
      <w:r w:rsidRPr="00B73BD3">
        <w:rPr>
          <w:i/>
        </w:rPr>
        <w:t>Charter</w:t>
      </w:r>
      <w:r w:rsidRPr="00B73BD3">
        <w:t xml:space="preserve">: </w:t>
      </w:r>
      <w:r w:rsidRPr="00B73BD3">
        <w:rPr>
          <w:i/>
        </w:rPr>
        <w:t>Slaight Communications Inc. v. Davidson</w:t>
      </w:r>
      <w:r w:rsidRPr="00B73BD3">
        <w:t xml:space="preserve">, [1989] 1 S.C.R. 1038, at p. 1078, </w:t>
      </w:r>
      <w:r w:rsidRPr="00B73BD3">
        <w:rPr>
          <w:i/>
        </w:rPr>
        <w:t xml:space="preserve">per </w:t>
      </w:r>
      <w:r w:rsidRPr="00B73BD3">
        <w:t xml:space="preserve">Lamer J. (as he then was), dissenting in part; </w:t>
      </w:r>
      <w:r w:rsidRPr="00B73BD3">
        <w:rPr>
          <w:i/>
        </w:rPr>
        <w:t>R. v. Sharpe</w:t>
      </w:r>
      <w:r w:rsidRPr="00B73BD3">
        <w:t xml:space="preserve">, 2001 SCC 2, [2001] 1 S.C.R. 45, at para. 33.  At the time the </w:t>
      </w:r>
      <w:r w:rsidRPr="00B73BD3">
        <w:rPr>
          <w:i/>
        </w:rPr>
        <w:t>AEPA</w:t>
      </w:r>
      <w:r w:rsidRPr="00B73BD3">
        <w:t xml:space="preserve"> was adopted </w:t>
      </w:r>
      <w:r w:rsidRPr="00B73BD3">
        <w:rPr>
          <w:i/>
        </w:rPr>
        <w:t>Dunmore</w:t>
      </w:r>
      <w:r w:rsidRPr="00B73BD3">
        <w:t xml:space="preserve"> had pronounced that the </w:t>
      </w:r>
      <w:r w:rsidRPr="00B73BD3">
        <w:rPr>
          <w:i/>
        </w:rPr>
        <w:t>Charter</w:t>
      </w:r>
      <w:r w:rsidRPr="00B73BD3">
        <w:t xml:space="preserve"> requires meaningful exercise of the right to associate in pursuit of workplace goals.  Since </w:t>
      </w:r>
      <w:r w:rsidRPr="00B73BD3">
        <w:rPr>
          <w:i/>
        </w:rPr>
        <w:t>Health Services</w:t>
      </w:r>
      <w:r w:rsidRPr="00B73BD3">
        <w:rPr>
          <w:color w:val="000000"/>
        </w:rPr>
        <w:t>,</w:t>
      </w:r>
      <w:r w:rsidRPr="00B73BD3">
        <w:t xml:space="preserve"> it has been </w:t>
      </w:r>
      <w:r w:rsidRPr="00B73BD3">
        <w:lastRenderedPageBreak/>
        <w:t xml:space="preserve">clear that this requires employers to consider employee representations in good faith.  Any ambiguity in the </w:t>
      </w:r>
      <w:r w:rsidRPr="00B73BD3">
        <w:rPr>
          <w:i/>
        </w:rPr>
        <w:t>AEPA</w:t>
      </w:r>
      <w:r w:rsidRPr="00B73BD3">
        <w:t xml:space="preserve"> should be resolved accordingly.</w:t>
      </w:r>
    </w:p>
    <w:p w:rsidR="00A00D29" w:rsidRPr="00B73BD3" w:rsidRDefault="00A00D29" w:rsidP="00486717">
      <w:pPr>
        <w:pStyle w:val="ReasonsNumbering-AltN"/>
        <w:ind w:left="0" w:firstLine="0"/>
      </w:pPr>
      <w:r w:rsidRPr="00B73BD3">
        <w:t xml:space="preserve">The third consideration is the expressed intention of the Minister in debates on the legislation.  When introducing the legislation, she stated: </w:t>
      </w:r>
    </w:p>
    <w:p w:rsidR="00A00D29" w:rsidRDefault="00A00D29" w:rsidP="00527064">
      <w:pPr>
        <w:pStyle w:val="Quote"/>
        <w:spacing w:after="480"/>
        <w:ind w:left="1166" w:right="-86"/>
        <w:jc w:val="both"/>
        <w:rPr>
          <w:rFonts w:cs="IKBMEI+TimesNewRoman"/>
          <w:i w:val="0"/>
          <w:color w:val="000000"/>
        </w:rPr>
      </w:pPr>
      <w:r w:rsidRPr="00527064">
        <w:rPr>
          <w:i w:val="0"/>
        </w:rPr>
        <w:t xml:space="preserve">The government is advised that the Supreme Court of Canada decision regarding Dunmore versus Ontario obligates the government to extend legislative protections to agricultural workers.  It obligates us to do this to ensure that employees have the right to form and join associations, </w:t>
      </w:r>
      <w:r w:rsidRPr="00527064">
        <w:rPr>
          <w:i w:val="0"/>
          <w:u w:val="single"/>
        </w:rPr>
        <w:t>as well as have the protection necessary to ensure that the freedom of association is meaningful. The government of Ontario will meet these obligations</w:t>
      </w:r>
      <w:r w:rsidRPr="00527064">
        <w:rPr>
          <w:rFonts w:cs="IKBMEI+TimesNewRoman"/>
          <w:i w:val="0"/>
          <w:color w:val="000000"/>
          <w:u w:val="single"/>
        </w:rPr>
        <w:t>.</w:t>
      </w:r>
    </w:p>
    <w:p w:rsidR="00A00D29" w:rsidRPr="00527064" w:rsidRDefault="00A00D29" w:rsidP="00527064">
      <w:pPr>
        <w:pStyle w:val="Quote"/>
        <w:spacing w:after="480"/>
        <w:ind w:left="1166" w:right="-86"/>
        <w:jc w:val="both"/>
        <w:rPr>
          <w:i w:val="0"/>
        </w:rPr>
      </w:pPr>
      <w:r w:rsidRPr="00527064">
        <w:rPr>
          <w:i w:val="0"/>
        </w:rPr>
        <w:t xml:space="preserve">(Legislative Assembly of Ontario, </w:t>
      </w:r>
      <w:r w:rsidRPr="00527064">
        <w:t>Official Report of Debates (Hansard)</w:t>
      </w:r>
      <w:r w:rsidRPr="00527064">
        <w:rPr>
          <w:i w:val="0"/>
        </w:rPr>
        <w:t>, No. 46</w:t>
      </w:r>
      <w:r w:rsidR="00527064">
        <w:rPr>
          <w:i w:val="0"/>
        </w:rPr>
        <w:t>A</w:t>
      </w:r>
      <w:r w:rsidRPr="00527064">
        <w:rPr>
          <w:i w:val="0"/>
        </w:rPr>
        <w:t>, 3rd Sess., 37th Parl., October 22, 2002</w:t>
      </w:r>
      <w:r w:rsidR="00527064">
        <w:rPr>
          <w:i w:val="0"/>
        </w:rPr>
        <w:t>, at p. 2340 (emphasis added))</w:t>
      </w:r>
    </w:p>
    <w:p w:rsidR="00A00D29" w:rsidRPr="00B73BD3" w:rsidRDefault="00A00D29" w:rsidP="00486717">
      <w:pPr>
        <w:pStyle w:val="ReasonsNumbering-AltN"/>
        <w:ind w:left="0" w:firstLine="0"/>
        <w:rPr>
          <w:lang w:val="en-US"/>
        </w:rPr>
      </w:pPr>
      <w:r w:rsidRPr="00B73BD3">
        <w:t xml:space="preserve">The </w:t>
      </w:r>
      <w:r w:rsidRPr="00486717">
        <w:rPr>
          <w:lang w:val="en-US"/>
        </w:rPr>
        <w:t>government</w:t>
      </w:r>
      <w:r w:rsidRPr="00B73BD3">
        <w:t xml:space="preserve"> must, on the words of its Minister, have intended the legislation to achieve whatever is required to ensure meaningful exercise of freedom of association</w:t>
      </w:r>
      <w:r w:rsidRPr="00B73BD3">
        <w:rPr>
          <w:color w:val="000000"/>
        </w:rPr>
        <w:t xml:space="preserve">. </w:t>
      </w:r>
      <w:r w:rsidRPr="00B73BD3">
        <w:t xml:space="preserve">As discussed above, meaningful exercise of the right to free association in the workplace context requires good faith consideration of employee representations.  As pointed out by the respondents, the Minister also stated that the </w:t>
      </w:r>
      <w:r w:rsidRPr="00B73BD3">
        <w:rPr>
          <w:i/>
        </w:rPr>
        <w:t>AEPA</w:t>
      </w:r>
      <w:r w:rsidRPr="00B73BD3">
        <w:t xml:space="preserve"> was not intended to “extend collective bargaining to agricultural workers”. However, this may be understood as an affirmation that the </w:t>
      </w:r>
      <w:r w:rsidRPr="00B73BD3">
        <w:rPr>
          <w:i/>
        </w:rPr>
        <w:t>AEPA</w:t>
      </w:r>
      <w:r w:rsidRPr="00B73BD3">
        <w:t xml:space="preserve"> did not institute the dominant Wagner model of collective bargaining, or bring agricultural workers within the ambit of</w:t>
      </w:r>
      <w:r w:rsidRPr="00B73BD3">
        <w:rPr>
          <w:color w:val="000000"/>
        </w:rPr>
        <w:t xml:space="preserve"> the</w:t>
      </w:r>
      <w:r w:rsidRPr="00B73BD3">
        <w:t xml:space="preserve"> </w:t>
      </w:r>
      <w:r w:rsidRPr="00B73BD3">
        <w:rPr>
          <w:i/>
        </w:rPr>
        <w:t>LRA</w:t>
      </w:r>
      <w:r w:rsidRPr="00B73BD3">
        <w:rPr>
          <w:color w:val="000000"/>
        </w:rPr>
        <w:t>, not that the Minister intended to deprive farm workers of the protections of collective bargaining that s. 2(</w:t>
      </w:r>
      <w:r w:rsidRPr="00B73BD3">
        <w:rPr>
          <w:i/>
          <w:color w:val="000000"/>
        </w:rPr>
        <w:t>d</w:t>
      </w:r>
      <w:r w:rsidRPr="00B73BD3">
        <w:rPr>
          <w:color w:val="000000"/>
        </w:rPr>
        <w:t>) grants.</w:t>
      </w:r>
      <w:r w:rsidRPr="00B73BD3">
        <w:t xml:space="preserve">  </w:t>
      </w:r>
    </w:p>
    <w:p w:rsidR="00A00D29" w:rsidRPr="00B73BD3" w:rsidRDefault="00A00D29" w:rsidP="00486717">
      <w:pPr>
        <w:pStyle w:val="ReasonsNumbering-AltN"/>
        <w:ind w:left="0" w:firstLine="0"/>
      </w:pPr>
      <w:proofErr w:type="gramStart"/>
      <w:r w:rsidRPr="00B73BD3">
        <w:lastRenderedPageBreak/>
        <w:t xml:space="preserve">These </w:t>
      </w:r>
      <w:r w:rsidRPr="00486717">
        <w:rPr>
          <w:lang w:val="en-US"/>
        </w:rPr>
        <w:t>considerations</w:t>
      </w:r>
      <w:r w:rsidRPr="00B73BD3">
        <w:t xml:space="preserve"> lead us to conclude that s. 5 of the </w:t>
      </w:r>
      <w:r w:rsidRPr="00B73BD3">
        <w:rPr>
          <w:i/>
        </w:rPr>
        <w:t>AEPA</w:t>
      </w:r>
      <w:r w:rsidRPr="00B73BD3">
        <w:t>, correctly interpreted, protects</w:t>
      </w:r>
      <w:proofErr w:type="gramEnd"/>
      <w:r w:rsidRPr="00B73BD3">
        <w:t xml:space="preserve"> not only the right of employees to make submissions to employers on workplace matters, but also the right to have those submissions considered in good faith by the employer.  It follows that s. 5 of the </w:t>
      </w:r>
      <w:r w:rsidRPr="00B73BD3">
        <w:rPr>
          <w:i/>
        </w:rPr>
        <w:t>AEPA</w:t>
      </w:r>
      <w:r w:rsidRPr="00B73BD3">
        <w:t xml:space="preserve"> does not violate s. 2(</w:t>
      </w:r>
      <w:r w:rsidRPr="00B73BD3">
        <w:rPr>
          <w:i/>
        </w:rPr>
        <w:t>d</w:t>
      </w:r>
      <w:r w:rsidRPr="00B73BD3">
        <w:t xml:space="preserve">) of the </w:t>
      </w:r>
      <w:r w:rsidRPr="00B73BD3">
        <w:rPr>
          <w:i/>
        </w:rPr>
        <w:t>Charter</w:t>
      </w:r>
      <w:r w:rsidRPr="00B73BD3">
        <w:t>.</w:t>
      </w:r>
    </w:p>
    <w:p w:rsidR="00A00D29" w:rsidRPr="00B73BD3" w:rsidRDefault="00A00D29" w:rsidP="00486717">
      <w:pPr>
        <w:pStyle w:val="ReasonsNumbering-AltN"/>
        <w:ind w:left="0" w:firstLine="0"/>
      </w:pPr>
      <w:r w:rsidRPr="00B73BD3">
        <w:t xml:space="preserve">It is </w:t>
      </w:r>
      <w:r w:rsidRPr="00486717">
        <w:rPr>
          <w:lang w:val="en-US"/>
        </w:rPr>
        <w:t>argued</w:t>
      </w:r>
      <w:r w:rsidRPr="00B73BD3">
        <w:t xml:space="preserve"> that the record thus far under the </w:t>
      </w:r>
      <w:r w:rsidRPr="00B73BD3">
        <w:rPr>
          <w:i/>
        </w:rPr>
        <w:t>AEPA</w:t>
      </w:r>
      <w:r w:rsidRPr="00B73BD3">
        <w:t xml:space="preserve"> gives little reason to think that the </w:t>
      </w:r>
      <w:r w:rsidRPr="00B73BD3">
        <w:rPr>
          <w:i/>
        </w:rPr>
        <w:t>AEPA</w:t>
      </w:r>
      <w:r w:rsidRPr="00B73BD3">
        <w:t xml:space="preserve"> process will in fact lead to good faith consideration by employers.  </w:t>
      </w:r>
      <w:r w:rsidRPr="00B73BD3">
        <w:rPr>
          <w:lang w:val="en-US"/>
        </w:rPr>
        <w:t xml:space="preserve">The evidence shows that the respondents attempted to engage employers in collective bargaining activities on a few occasions.  On each occasion the employer ignored or rebuffed further engagement.  The employers have refused to recognize their association and have either refused to meet and bargain with it or have not responded to the demands of the respondents.  </w:t>
      </w:r>
    </w:p>
    <w:p w:rsidR="00A00D29" w:rsidRPr="00B73BD3" w:rsidRDefault="00A00D29" w:rsidP="00486717">
      <w:pPr>
        <w:pStyle w:val="ReasonsNumbering-AltN"/>
        <w:ind w:left="0" w:firstLine="0"/>
      </w:pPr>
      <w:r w:rsidRPr="00B73BD3">
        <w:rPr>
          <w:lang w:val="en-US"/>
        </w:rPr>
        <w:t xml:space="preserve">This history, scant as it is, does not establish that the </w:t>
      </w:r>
      <w:r w:rsidRPr="00B73BD3">
        <w:rPr>
          <w:i/>
          <w:lang w:val="en-US"/>
        </w:rPr>
        <w:t>AEPA</w:t>
      </w:r>
      <w:r w:rsidRPr="00B73BD3">
        <w:rPr>
          <w:lang w:val="en-US"/>
        </w:rPr>
        <w:t xml:space="preserve"> violates s. 2(</w:t>
      </w:r>
      <w:r w:rsidRPr="00B73BD3">
        <w:rPr>
          <w:i/>
          <w:lang w:val="en-US"/>
        </w:rPr>
        <w:t>d</w:t>
      </w:r>
      <w:r w:rsidRPr="00B73BD3">
        <w:rPr>
          <w:lang w:val="en-US"/>
        </w:rPr>
        <w:t xml:space="preserve">).  </w:t>
      </w:r>
      <w:r w:rsidRPr="00B73BD3">
        <w:rPr>
          <w:color w:val="000000"/>
          <w:lang w:val="en-US"/>
        </w:rPr>
        <w:t xml:space="preserve">Indeed, the union has not made a significant attempt to make it work. </w:t>
      </w:r>
      <w:r w:rsidRPr="00B73BD3">
        <w:rPr>
          <w:lang w:val="en-US"/>
        </w:rPr>
        <w:t>As just discussed, properly interpreted, it does not</w:t>
      </w:r>
      <w:r w:rsidRPr="00B73BD3">
        <w:rPr>
          <w:color w:val="000000"/>
          <w:lang w:val="en-US"/>
        </w:rPr>
        <w:t xml:space="preserve"> violate s. 2(</w:t>
      </w:r>
      <w:r w:rsidRPr="00B73BD3">
        <w:rPr>
          <w:i/>
          <w:color w:val="000000"/>
          <w:lang w:val="en-US"/>
        </w:rPr>
        <w:t>d</w:t>
      </w:r>
      <w:r w:rsidRPr="00B73BD3">
        <w:rPr>
          <w:color w:val="000000"/>
          <w:lang w:val="en-US"/>
        </w:rPr>
        <w:t>)</w:t>
      </w:r>
      <w:r w:rsidRPr="00B73BD3">
        <w:rPr>
          <w:lang w:val="en-US"/>
        </w:rPr>
        <w:t xml:space="preserve">.  Moreover, the process has not been fully explored and tested.  The </w:t>
      </w:r>
      <w:r w:rsidRPr="00B73BD3">
        <w:rPr>
          <w:i/>
          <w:lang w:val="en-US"/>
        </w:rPr>
        <w:t>AEPA</w:t>
      </w:r>
      <w:r w:rsidRPr="00B73BD3">
        <w:rPr>
          <w:lang w:val="en-US"/>
        </w:rPr>
        <w:t>, as Farley J. noted, contemplates a meaningful exercise of the right of association, and provides a tribunal for the resolution of disputes.</w:t>
      </w:r>
    </w:p>
    <w:p w:rsidR="00A00D29" w:rsidRPr="00B73BD3" w:rsidRDefault="00A00D29" w:rsidP="00486717">
      <w:pPr>
        <w:pStyle w:val="ReasonsNumbering-AltN"/>
        <w:ind w:left="0" w:firstLine="0"/>
      </w:pPr>
      <w:r w:rsidRPr="00B73BD3">
        <w:rPr>
          <w:lang w:val="en-US"/>
        </w:rPr>
        <w:t>Farley J. expressed cautious hope that the Tribunal created by the Act would prove efficacious and that the relief claimed might be granted:</w:t>
      </w:r>
    </w:p>
    <w:p w:rsidR="00A00D29" w:rsidRPr="00B73BD3" w:rsidRDefault="00A00D29" w:rsidP="00A00D29">
      <w:pPr>
        <w:pStyle w:val="Citation"/>
      </w:pPr>
      <w:r w:rsidRPr="00B73BD3">
        <w:lastRenderedPageBreak/>
        <w:t xml:space="preserve">One would think it better to see how the Tribunal operates in fact before condemning it as powerless to deal with such abuses. </w:t>
      </w:r>
      <w:r w:rsidR="008A00B7">
        <w:t>. . .</w:t>
      </w:r>
      <w:r w:rsidRPr="00B73BD3">
        <w:t xml:space="preserve"> I am of the view that this condemnation is premature.  A successful application would do one of several things: be effective positively as to action; or morally give the wrongdoing employer a “bloody nose”; or if truly an empty process, it would demonstrate the need for strengthening by legislative amendment. [para. 18]</w:t>
      </w:r>
    </w:p>
    <w:p w:rsidR="00A00D29" w:rsidRPr="00B73BD3" w:rsidRDefault="00A00D29" w:rsidP="00486717">
      <w:pPr>
        <w:pStyle w:val="ReasonsNumbering-AltN"/>
        <w:ind w:left="0" w:firstLine="0"/>
        <w:rPr>
          <w:lang w:val="en-GB"/>
        </w:rPr>
      </w:pPr>
      <w:r w:rsidRPr="00B73BD3">
        <w:rPr>
          <w:lang w:val="en-GB"/>
        </w:rPr>
        <w:t xml:space="preserve">Farley J.  </w:t>
      </w:r>
      <w:r w:rsidRPr="00486717">
        <w:rPr>
          <w:lang w:val="en-US"/>
        </w:rPr>
        <w:t>accordingly</w:t>
      </w:r>
      <w:r w:rsidRPr="00B73BD3">
        <w:rPr>
          <w:lang w:val="en-GB"/>
        </w:rPr>
        <w:t xml:space="preserve"> found that the complaint was premature:</w:t>
      </w:r>
    </w:p>
    <w:p w:rsidR="00A00D29" w:rsidRPr="00B73BD3" w:rsidRDefault="00A00D29" w:rsidP="008A00B7">
      <w:pPr>
        <w:pStyle w:val="Citation"/>
        <w:ind w:firstLine="4"/>
        <w:rPr>
          <w:lang w:val="en-GB"/>
        </w:rPr>
      </w:pPr>
      <w:r w:rsidRPr="00B73BD3">
        <w:rPr>
          <w:lang w:val="en-GB"/>
        </w:rPr>
        <w:t xml:space="preserve">. . . it would seem to me to be a premature and unfair complaint that the Tribunal charged under the </w:t>
      </w:r>
      <w:r w:rsidRPr="00B73BD3">
        <w:rPr>
          <w:i/>
          <w:lang w:val="en-GB"/>
        </w:rPr>
        <w:t>AEPA</w:t>
      </w:r>
      <w:r w:rsidRPr="00B73BD3">
        <w:rPr>
          <w:lang w:val="en-GB"/>
        </w:rPr>
        <w:t xml:space="preserve"> with dealing with complaints — namely the Agriculture, Food and Rural Affairs Appeal Tribunal — is bereft of expertise in labour relations given its bipartite composition of labour and agricultural experienced personnel.  That Tribunal should be given a fair opportunity to demonstrate its ability to appropriately handle the function given to it by the </w:t>
      </w:r>
      <w:r w:rsidRPr="00B73BD3">
        <w:rPr>
          <w:i/>
          <w:lang w:val="en-GB"/>
        </w:rPr>
        <w:t>AEPA</w:t>
      </w:r>
      <w:r w:rsidRPr="00B73BD3">
        <w:rPr>
          <w:lang w:val="en-GB"/>
        </w:rPr>
        <w:t>. [para. 28]</w:t>
      </w:r>
    </w:p>
    <w:p w:rsidR="00A00D29" w:rsidRPr="00B73BD3" w:rsidRDefault="00A00D29" w:rsidP="00486717">
      <w:pPr>
        <w:pStyle w:val="ReasonsNumbering-AltN"/>
        <w:ind w:left="0" w:firstLine="0"/>
        <w:rPr>
          <w:lang w:val="en-GB"/>
        </w:rPr>
      </w:pPr>
      <w:r w:rsidRPr="00B73BD3">
        <w:rPr>
          <w:lang w:val="en-GB"/>
        </w:rPr>
        <w:t xml:space="preserve">Section 11 of the </w:t>
      </w:r>
      <w:r w:rsidRPr="00B73BD3">
        <w:rPr>
          <w:i/>
          <w:lang w:val="en-GB"/>
        </w:rPr>
        <w:t xml:space="preserve">AEPA </w:t>
      </w:r>
      <w:r w:rsidRPr="00B73BD3">
        <w:rPr>
          <w:lang w:val="en-GB"/>
        </w:rPr>
        <w:t>specifically empowers the Tribunal to make a determination that there has been a contravention of the Act, and to grant an order or remedy with respect to that contravention.  The Tribunal may be expected to interpret its powers</w:t>
      </w:r>
      <w:r w:rsidRPr="00B73BD3">
        <w:rPr>
          <w:color w:val="000000"/>
          <w:lang w:val="en-GB"/>
        </w:rPr>
        <w:t>, in accordance with its mandate,</w:t>
      </w:r>
      <w:r w:rsidRPr="00B73BD3">
        <w:rPr>
          <w:lang w:val="en-GB"/>
        </w:rPr>
        <w:t xml:space="preserve"> purposively, in an </w:t>
      </w:r>
      <w:r w:rsidRPr="00B73BD3">
        <w:rPr>
          <w:color w:val="000000"/>
          <w:lang w:val="en-GB"/>
        </w:rPr>
        <w:t xml:space="preserve">effective and meaningful </w:t>
      </w:r>
      <w:r w:rsidRPr="00B73BD3">
        <w:rPr>
          <w:lang w:val="en-GB"/>
        </w:rPr>
        <w:t xml:space="preserve">way.  Labour tribunals enjoy substantial latitude when applying their constituent statutes to the facts of a given case.  As stated by the Ontario Labour Relations Board in </w:t>
      </w:r>
      <w:r w:rsidRPr="00B73BD3">
        <w:rPr>
          <w:i/>
          <w:lang w:val="en-GB"/>
        </w:rPr>
        <w:t>Adams Mine, Cliffs of Canada Ltd.</w:t>
      </w:r>
      <w:r w:rsidRPr="00B73BD3">
        <w:rPr>
          <w:lang w:val="en-GB"/>
        </w:rPr>
        <w:t xml:space="preserve"> </w:t>
      </w:r>
      <w:r w:rsidRPr="00B73BD3">
        <w:rPr>
          <w:i/>
          <w:lang w:val="en-GB"/>
        </w:rPr>
        <w:t xml:space="preserve">v. United Steelworkers of America </w:t>
      </w:r>
      <w:r w:rsidRPr="00B73BD3">
        <w:rPr>
          <w:lang w:val="en-GB"/>
        </w:rPr>
        <w:t>(1982), 1 C.L.R.B.R. (N.S.) 384:</w:t>
      </w:r>
    </w:p>
    <w:p w:rsidR="00A00D29" w:rsidRPr="00B73BD3" w:rsidRDefault="00A00D29" w:rsidP="00A00D29">
      <w:pPr>
        <w:pStyle w:val="Citation"/>
        <w:rPr>
          <w:lang w:val="en-GB"/>
        </w:rPr>
      </w:pPr>
      <w:r w:rsidRPr="00B73BD3">
        <w:rPr>
          <w:lang w:val="en-GB"/>
        </w:rPr>
        <w:t xml:space="preserve">The Act does not spell out each and every right and obligation of labour and management. This Board is left with the task of applying the Act’s general language in the light of an infinite variety of circumstances which may arise. A rigid scheme of regulation is avoided and flexibility is </w:t>
      </w:r>
      <w:r w:rsidRPr="00B73BD3">
        <w:rPr>
          <w:lang w:val="en-GB"/>
        </w:rPr>
        <w:lastRenderedPageBreak/>
        <w:t>provided although all within the limitations necessary to effectuate the dominant purpose of the Act. [pp. 399-400]</w:t>
      </w:r>
    </w:p>
    <w:p w:rsidR="00A00D29" w:rsidRPr="00B73BD3" w:rsidRDefault="00A00D29" w:rsidP="00486717">
      <w:pPr>
        <w:pStyle w:val="ReasonsNumbering-AltN"/>
        <w:ind w:left="0" w:firstLine="0"/>
        <w:rPr>
          <w:lang w:val="en-GB"/>
        </w:rPr>
      </w:pPr>
      <w:r w:rsidRPr="00B73BD3">
        <w:rPr>
          <w:lang w:val="en-GB"/>
        </w:rPr>
        <w:t xml:space="preserve">We </w:t>
      </w:r>
      <w:r w:rsidRPr="00486717">
        <w:rPr>
          <w:lang w:val="en-US"/>
        </w:rPr>
        <w:t>conclude</w:t>
      </w:r>
      <w:r w:rsidRPr="00B73BD3">
        <w:rPr>
          <w:lang w:val="en-GB"/>
        </w:rPr>
        <w:t xml:space="preserve"> the </w:t>
      </w:r>
      <w:r w:rsidRPr="00B73BD3">
        <w:rPr>
          <w:i/>
          <w:lang w:val="en-GB"/>
        </w:rPr>
        <w:t>AEPA</w:t>
      </w:r>
      <w:r w:rsidRPr="00B73BD3">
        <w:rPr>
          <w:lang w:val="en-GB"/>
        </w:rPr>
        <w:t xml:space="preserve"> does not breach s. 2(</w:t>
      </w:r>
      <w:r w:rsidRPr="00B73BD3">
        <w:rPr>
          <w:i/>
          <w:lang w:val="en-GB"/>
        </w:rPr>
        <w:t>d</w:t>
      </w:r>
      <w:r w:rsidRPr="00B73BD3">
        <w:rPr>
          <w:lang w:val="en-GB"/>
        </w:rPr>
        <w:t xml:space="preserve">) of the </w:t>
      </w:r>
      <w:r w:rsidRPr="00B73BD3">
        <w:rPr>
          <w:i/>
          <w:lang w:val="en-GB"/>
        </w:rPr>
        <w:t>Charter</w:t>
      </w:r>
      <w:r w:rsidRPr="008A00B7">
        <w:rPr>
          <w:lang w:val="en-GB"/>
        </w:rPr>
        <w:t xml:space="preserve">.  </w:t>
      </w:r>
      <w:r w:rsidRPr="00B73BD3">
        <w:rPr>
          <w:lang w:val="en-GB"/>
        </w:rPr>
        <w:t xml:space="preserve">It is therefore unnecessary to consider the s. 1 arguments that the </w:t>
      </w:r>
      <w:r w:rsidRPr="00B73BD3">
        <w:rPr>
          <w:color w:val="000000"/>
          <w:lang w:val="en-GB"/>
        </w:rPr>
        <w:t>respondents’</w:t>
      </w:r>
      <w:r w:rsidRPr="00B73BD3">
        <w:rPr>
          <w:lang w:val="en-GB"/>
        </w:rPr>
        <w:t xml:space="preserve"> demands for full </w:t>
      </w:r>
      <w:r w:rsidRPr="00B73BD3">
        <w:rPr>
          <w:i/>
          <w:lang w:val="en-GB"/>
        </w:rPr>
        <w:t xml:space="preserve">LRA </w:t>
      </w:r>
      <w:r w:rsidRPr="00B73BD3">
        <w:rPr>
          <w:lang w:val="en-GB"/>
        </w:rPr>
        <w:t>protections would be inappropriate because of the diverse nature of the agricultural sector, ranging from small family operations to larger commercial establishments.</w:t>
      </w:r>
    </w:p>
    <w:p w:rsidR="00A00D29" w:rsidRPr="00B73BD3" w:rsidRDefault="00A00D29" w:rsidP="00E27EEC">
      <w:pPr>
        <w:tabs>
          <w:tab w:val="left" w:pos="450"/>
        </w:tabs>
        <w:spacing w:after="720"/>
        <w:jc w:val="both"/>
        <w:rPr>
          <w:lang w:val="en-GB"/>
        </w:rPr>
      </w:pPr>
      <w:r w:rsidRPr="00B73BD3">
        <w:rPr>
          <w:lang w:val="en-GB"/>
        </w:rPr>
        <w:t xml:space="preserve">C.  </w:t>
      </w:r>
      <w:r w:rsidRPr="00B73BD3">
        <w:rPr>
          <w:i/>
          <w:lang w:val="en-GB"/>
        </w:rPr>
        <w:t>Section 15 of the Charter</w:t>
      </w:r>
    </w:p>
    <w:p w:rsidR="00A00D29" w:rsidRPr="00B73BD3" w:rsidRDefault="00A00D29" w:rsidP="00486717">
      <w:pPr>
        <w:pStyle w:val="ReasonsNumbering-AltN"/>
        <w:ind w:left="0" w:firstLine="0"/>
        <w:rPr>
          <w:lang w:val="en-GB"/>
        </w:rPr>
      </w:pPr>
      <w:r w:rsidRPr="00B73BD3">
        <w:rPr>
          <w:lang w:val="en-GB"/>
        </w:rPr>
        <w:t xml:space="preserve">As an </w:t>
      </w:r>
      <w:r w:rsidRPr="00486717">
        <w:rPr>
          <w:lang w:val="en-US"/>
        </w:rPr>
        <w:t>alternative</w:t>
      </w:r>
      <w:r w:rsidRPr="00B73BD3">
        <w:rPr>
          <w:lang w:val="en-GB"/>
        </w:rPr>
        <w:t xml:space="preserve"> to their claim under s. 2(</w:t>
      </w:r>
      <w:r w:rsidRPr="00B73BD3">
        <w:rPr>
          <w:i/>
          <w:lang w:val="en-GB"/>
        </w:rPr>
        <w:t>d</w:t>
      </w:r>
      <w:r w:rsidRPr="00B73BD3">
        <w:rPr>
          <w:lang w:val="en-GB"/>
        </w:rPr>
        <w:t xml:space="preserve">), the respondents contend that Ontario has violated their equality rights under s. 15 of the </w:t>
      </w:r>
      <w:r w:rsidRPr="00B73BD3">
        <w:rPr>
          <w:i/>
          <w:lang w:val="en-GB"/>
        </w:rPr>
        <w:t>Charter</w:t>
      </w:r>
      <w:r w:rsidRPr="00B73BD3">
        <w:rPr>
          <w:lang w:val="en-GB"/>
        </w:rPr>
        <w:t xml:space="preserve"> by excluding them from the statutory protections accorded to workers in other sectors.  They argue that status as an agricultural worker is analogous to the enumerated grounds of discrimination in s. 15(1) because their occupation is a fundamental aspect of their identity.</w:t>
      </w:r>
    </w:p>
    <w:p w:rsidR="00A00D29" w:rsidRPr="00B73BD3" w:rsidRDefault="00A00D29" w:rsidP="00486717">
      <w:pPr>
        <w:pStyle w:val="ReasonsNumbering-AltN"/>
        <w:ind w:left="0" w:firstLine="0"/>
        <w:rPr>
          <w:lang w:val="en-GB"/>
        </w:rPr>
      </w:pPr>
      <w:r w:rsidRPr="00B73BD3">
        <w:rPr>
          <w:lang w:val="en-GB"/>
        </w:rPr>
        <w:t xml:space="preserve">Farley J., </w:t>
      </w:r>
      <w:r w:rsidRPr="00486717">
        <w:rPr>
          <w:lang w:val="en-US"/>
        </w:rPr>
        <w:t>writing</w:t>
      </w:r>
      <w:r w:rsidRPr="00B73BD3">
        <w:rPr>
          <w:lang w:val="en-GB"/>
        </w:rPr>
        <w:t xml:space="preserve"> in 2006, found that the situation of farm workers had not changed appreciably since </w:t>
      </w:r>
      <w:r w:rsidRPr="00B73BD3">
        <w:rPr>
          <w:i/>
          <w:lang w:val="en-GB"/>
        </w:rPr>
        <w:t>Dunmore</w:t>
      </w:r>
      <w:r w:rsidRPr="00B73BD3">
        <w:rPr>
          <w:lang w:val="en-GB"/>
        </w:rPr>
        <w:t xml:space="preserve">, </w:t>
      </w:r>
      <w:r w:rsidRPr="00B73BD3">
        <w:rPr>
          <w:color w:val="000000"/>
          <w:lang w:val="en-GB"/>
        </w:rPr>
        <w:t xml:space="preserve">in 2001, </w:t>
      </w:r>
      <w:r w:rsidRPr="00B73BD3">
        <w:rPr>
          <w:lang w:val="en-GB"/>
        </w:rPr>
        <w:t xml:space="preserve">where this Court wrote with sympathy of the vulnerable position of these workers and the need for greater labour protections.  The Ontario legislature attempted to respond to the concerns expressed in </w:t>
      </w:r>
      <w:r w:rsidRPr="00B73BD3">
        <w:rPr>
          <w:i/>
          <w:lang w:val="en-GB"/>
        </w:rPr>
        <w:t xml:space="preserve">Dunmore </w:t>
      </w:r>
      <w:r w:rsidRPr="00B73BD3">
        <w:rPr>
          <w:lang w:val="en-GB"/>
        </w:rPr>
        <w:t xml:space="preserve">by enacting the </w:t>
      </w:r>
      <w:r w:rsidRPr="00B73BD3">
        <w:rPr>
          <w:i/>
          <w:lang w:val="en-GB"/>
        </w:rPr>
        <w:t>AEPA</w:t>
      </w:r>
      <w:r w:rsidRPr="00B73BD3">
        <w:rPr>
          <w:lang w:val="en-GB"/>
        </w:rPr>
        <w:t>.</w:t>
      </w:r>
    </w:p>
    <w:p w:rsidR="00A00D29" w:rsidRPr="00B73BD3" w:rsidRDefault="00A00D29" w:rsidP="00486717">
      <w:pPr>
        <w:pStyle w:val="ReasonsNumbering-AltN"/>
        <w:ind w:left="0" w:firstLine="0"/>
        <w:rPr>
          <w:lang w:val="en-GB"/>
        </w:rPr>
      </w:pPr>
      <w:r w:rsidRPr="00B73BD3">
        <w:rPr>
          <w:lang w:val="en-GB"/>
        </w:rPr>
        <w:lastRenderedPageBreak/>
        <w:t xml:space="preserve">The s. 15 </w:t>
      </w:r>
      <w:r w:rsidRPr="00486717">
        <w:rPr>
          <w:lang w:val="en-US"/>
        </w:rPr>
        <w:t>discrimination</w:t>
      </w:r>
      <w:r w:rsidRPr="00B73BD3">
        <w:rPr>
          <w:lang w:val="en-GB"/>
        </w:rPr>
        <w:t xml:space="preserve"> claim, like the s. 2(</w:t>
      </w:r>
      <w:r w:rsidRPr="00B73BD3">
        <w:rPr>
          <w:i/>
          <w:lang w:val="en-GB"/>
        </w:rPr>
        <w:t>d</w:t>
      </w:r>
      <w:r w:rsidRPr="00B73BD3">
        <w:rPr>
          <w:lang w:val="en-GB"/>
        </w:rPr>
        <w:t xml:space="preserve">) claim, cannot succeed on the record before us.  It is clear that the regime established by the </w:t>
      </w:r>
      <w:r w:rsidRPr="00B73BD3">
        <w:rPr>
          <w:i/>
          <w:lang w:val="en-GB"/>
        </w:rPr>
        <w:t>AEPA</w:t>
      </w:r>
      <w:r w:rsidRPr="00B73BD3">
        <w:rPr>
          <w:lang w:val="en-GB"/>
        </w:rPr>
        <w:t xml:space="preserve"> does not provide all the protections that the </w:t>
      </w:r>
      <w:r w:rsidRPr="00B73BD3">
        <w:rPr>
          <w:i/>
          <w:lang w:val="en-GB"/>
        </w:rPr>
        <w:t xml:space="preserve">LRA </w:t>
      </w:r>
      <w:r w:rsidRPr="00B73BD3">
        <w:rPr>
          <w:lang w:val="en-GB"/>
        </w:rPr>
        <w:t xml:space="preserve">extends to many other workers.  However, a formal legislative distinction does not establish discrimination under s. 15.  What s. 15 contemplates is substantive discrimination that impacts on individuals stereotypically or in ways that reinforce existing prejudice and disadvantage: </w:t>
      </w:r>
      <w:r w:rsidRPr="00B73BD3">
        <w:rPr>
          <w:i/>
          <w:lang w:val="en-GB"/>
        </w:rPr>
        <w:t>Andrews v. Law Society of British Columbia</w:t>
      </w:r>
      <w:r w:rsidRPr="00B73BD3">
        <w:rPr>
          <w:lang w:val="en-GB"/>
        </w:rPr>
        <w:t xml:space="preserve">, [1989] 1 S.C.R. 143; </w:t>
      </w:r>
      <w:r w:rsidRPr="00B73BD3">
        <w:rPr>
          <w:i/>
          <w:lang w:val="en-GB"/>
        </w:rPr>
        <w:t xml:space="preserve">R. v. </w:t>
      </w:r>
      <w:proofErr w:type="spellStart"/>
      <w:r w:rsidRPr="00B73BD3">
        <w:rPr>
          <w:i/>
          <w:lang w:val="en-GB"/>
        </w:rPr>
        <w:t>Kapp</w:t>
      </w:r>
      <w:proofErr w:type="spellEnd"/>
      <w:r w:rsidRPr="00B73BD3">
        <w:rPr>
          <w:lang w:val="en-GB"/>
        </w:rPr>
        <w:t xml:space="preserve">, 2008 SCC 41, [2008] 2 S.C.R. 483, at para. 17.  The </w:t>
      </w:r>
      <w:r w:rsidRPr="00B73BD3">
        <w:rPr>
          <w:i/>
          <w:lang w:val="en-GB"/>
        </w:rPr>
        <w:t xml:space="preserve">AEPA </w:t>
      </w:r>
      <w:r w:rsidRPr="00B73BD3">
        <w:rPr>
          <w:lang w:val="en-GB"/>
        </w:rPr>
        <w:t xml:space="preserve">provides a special labour regime for agricultural workers.  However, on the record before us, it has not been established that the regime utilizes unfair stereotypes or perpetuates existing prejudice and disadvantage.  Until the regime established by the </w:t>
      </w:r>
      <w:r w:rsidRPr="00B73BD3">
        <w:rPr>
          <w:i/>
          <w:lang w:val="en-GB"/>
        </w:rPr>
        <w:t>AEPA</w:t>
      </w:r>
      <w:r w:rsidRPr="00B73BD3">
        <w:rPr>
          <w:lang w:val="en-GB"/>
        </w:rPr>
        <w:t xml:space="preserve"> is tested, it cannot be known whether it inappropriately disadvantages farm workers.  The claim is premature.</w:t>
      </w:r>
    </w:p>
    <w:p w:rsidR="00A00D29" w:rsidRPr="00B73BD3" w:rsidRDefault="00A00D29" w:rsidP="00E27EEC">
      <w:pPr>
        <w:tabs>
          <w:tab w:val="left" w:pos="450"/>
        </w:tabs>
        <w:spacing w:after="720"/>
        <w:jc w:val="both"/>
        <w:rPr>
          <w:lang w:val="en-GB"/>
        </w:rPr>
      </w:pPr>
      <w:r w:rsidRPr="00B73BD3">
        <w:rPr>
          <w:lang w:val="en-GB"/>
        </w:rPr>
        <w:t xml:space="preserve">V.  </w:t>
      </w:r>
      <w:r w:rsidRPr="00B73BD3">
        <w:rPr>
          <w:u w:val="single"/>
          <w:lang w:val="en-GB"/>
        </w:rPr>
        <w:t>Conclusion</w:t>
      </w:r>
    </w:p>
    <w:p w:rsidR="00A00D29" w:rsidRPr="00B73BD3" w:rsidRDefault="00A00D29" w:rsidP="00486717">
      <w:pPr>
        <w:pStyle w:val="ReasonsNumbering-AltN"/>
        <w:ind w:left="0" w:firstLine="0"/>
        <w:rPr>
          <w:lang w:val="en-GB"/>
        </w:rPr>
      </w:pPr>
      <w:r w:rsidRPr="00B73BD3">
        <w:rPr>
          <w:lang w:val="en-GB"/>
        </w:rPr>
        <w:t xml:space="preserve">The decision </w:t>
      </w:r>
      <w:r w:rsidRPr="00486717">
        <w:rPr>
          <w:lang w:val="en-US"/>
        </w:rPr>
        <w:t>that</w:t>
      </w:r>
      <w:r w:rsidRPr="00B73BD3">
        <w:rPr>
          <w:lang w:val="en-GB"/>
        </w:rPr>
        <w:t xml:space="preserve"> we render today is another step in the resolution of the issues surrounding the organizational challenges faced by farm workers in Ontario.  We hope that all concerned proceed on the basis that s. 2(</w:t>
      </w:r>
      <w:r w:rsidRPr="00B73BD3">
        <w:rPr>
          <w:i/>
          <w:lang w:val="en-GB"/>
        </w:rPr>
        <w:t>d</w:t>
      </w:r>
      <w:r w:rsidRPr="00B73BD3">
        <w:rPr>
          <w:lang w:val="en-GB"/>
        </w:rPr>
        <w:t xml:space="preserve">) of the </w:t>
      </w:r>
      <w:r w:rsidRPr="00B73BD3">
        <w:rPr>
          <w:i/>
          <w:lang w:val="en-GB"/>
        </w:rPr>
        <w:t xml:space="preserve">Charter </w:t>
      </w:r>
      <w:r w:rsidRPr="00B73BD3">
        <w:rPr>
          <w:lang w:val="en-GB"/>
        </w:rPr>
        <w:t xml:space="preserve">confirms a right to collective bargaining, defined as “a process of collective action to achieve workplace goals”, requiring engagement  by both parties.  Like all </w:t>
      </w:r>
      <w:r w:rsidRPr="00B73BD3">
        <w:rPr>
          <w:i/>
          <w:lang w:val="en-GB"/>
        </w:rPr>
        <w:t xml:space="preserve">Charter </w:t>
      </w:r>
      <w:r w:rsidRPr="00B73BD3">
        <w:rPr>
          <w:lang w:val="en-GB"/>
        </w:rPr>
        <w:t>rights, this right must be interpreted generously and purposively.  The bottom line may be simply stated: Farm workers in Ontario are entitled to meaningful processes by which they can pursue workplace goals.</w:t>
      </w:r>
    </w:p>
    <w:p w:rsidR="00A00D29" w:rsidRPr="00B73BD3" w:rsidRDefault="00A00D29" w:rsidP="00A00D29">
      <w:pPr>
        <w:pStyle w:val="ListParagraph"/>
        <w:tabs>
          <w:tab w:val="left" w:pos="1170"/>
        </w:tabs>
        <w:ind w:left="0"/>
        <w:jc w:val="both"/>
        <w:rPr>
          <w:lang w:val="en-GB"/>
        </w:rPr>
      </w:pPr>
    </w:p>
    <w:p w:rsidR="00891157" w:rsidRPr="00891157" w:rsidRDefault="00A00D29" w:rsidP="00891157">
      <w:pPr>
        <w:pStyle w:val="ReasonsNumbering-AltN"/>
        <w:ind w:left="0" w:firstLine="0"/>
        <w:rPr>
          <w:szCs w:val="24"/>
        </w:rPr>
      </w:pPr>
      <w:r w:rsidRPr="00891157">
        <w:rPr>
          <w:szCs w:val="24"/>
          <w:lang w:val="en-GB"/>
        </w:rPr>
        <w:t xml:space="preserve">We would allow the appeal and dismiss the action.  </w:t>
      </w:r>
      <w:r w:rsidRPr="00891157">
        <w:rPr>
          <w:szCs w:val="24"/>
        </w:rPr>
        <w:t>We would answer the constitutional questions as follows:</w:t>
      </w:r>
    </w:p>
    <w:p w:rsidR="00891157" w:rsidRPr="00662592" w:rsidRDefault="00891157" w:rsidP="00891157">
      <w:pPr>
        <w:tabs>
          <w:tab w:val="left" w:pos="1260"/>
        </w:tabs>
        <w:spacing w:after="480"/>
        <w:ind w:left="1814" w:hanging="1627"/>
        <w:jc w:val="both"/>
      </w:pPr>
      <w:r>
        <w:tab/>
        <w:t>1.</w:t>
      </w:r>
      <w:r>
        <w:tab/>
      </w:r>
      <w:r w:rsidRPr="00662592">
        <w:t xml:space="preserve">Does the </w:t>
      </w:r>
      <w:r w:rsidRPr="00662592">
        <w:rPr>
          <w:i/>
        </w:rPr>
        <w:t>Agricultural Employees Protection Act, 2002</w:t>
      </w:r>
      <w:r w:rsidRPr="00662592">
        <w:t>, S.O. 2002, c. 16, infringe s. 2(</w:t>
      </w:r>
      <w:r w:rsidRPr="00662592">
        <w:rPr>
          <w:i/>
        </w:rPr>
        <w:t>d</w:t>
      </w:r>
      <w:r w:rsidRPr="00662592">
        <w:t xml:space="preserve">) of the </w:t>
      </w:r>
      <w:r w:rsidRPr="00662592">
        <w:rPr>
          <w:i/>
        </w:rPr>
        <w:t>Canadian Charter of Rights and Freedoms</w:t>
      </w:r>
      <w:r w:rsidRPr="00662592">
        <w:t>?</w:t>
      </w:r>
    </w:p>
    <w:p w:rsidR="00891157" w:rsidRPr="00B73BD3" w:rsidRDefault="00891157" w:rsidP="00891157">
      <w:pPr>
        <w:pStyle w:val="ListParagraph"/>
        <w:tabs>
          <w:tab w:val="left" w:pos="1350"/>
        </w:tabs>
        <w:spacing w:after="480" w:line="480" w:lineRule="auto"/>
        <w:ind w:left="0"/>
        <w:jc w:val="both"/>
      </w:pPr>
      <w:r>
        <w:tab/>
      </w:r>
      <w:r w:rsidRPr="00B73BD3">
        <w:t>No.</w:t>
      </w:r>
    </w:p>
    <w:p w:rsidR="00891157" w:rsidRPr="00B73BD3" w:rsidRDefault="00891157" w:rsidP="00891157">
      <w:pPr>
        <w:tabs>
          <w:tab w:val="left" w:pos="1260"/>
        </w:tabs>
        <w:spacing w:after="480"/>
        <w:ind w:left="1814" w:hanging="1814"/>
        <w:jc w:val="both"/>
      </w:pPr>
      <w:r>
        <w:tab/>
        <w:t>2.</w:t>
      </w:r>
      <w:r>
        <w:tab/>
      </w:r>
      <w:r w:rsidRPr="00B73BD3">
        <w:t xml:space="preserve">If so, is the infringement a reasonable limit prescribed by law as can be demonstrably justified in a free and democratic society under s. 1 of the </w:t>
      </w:r>
      <w:r w:rsidRPr="00B73BD3">
        <w:rPr>
          <w:i/>
        </w:rPr>
        <w:t>Canadian Charter of Rights and Freedoms</w:t>
      </w:r>
      <w:r w:rsidRPr="00B73BD3">
        <w:t>?</w:t>
      </w:r>
    </w:p>
    <w:p w:rsidR="00891157" w:rsidRPr="00B73BD3" w:rsidRDefault="00891157" w:rsidP="00891157">
      <w:pPr>
        <w:pStyle w:val="ListParagraph"/>
        <w:tabs>
          <w:tab w:val="left" w:pos="1350"/>
        </w:tabs>
        <w:spacing w:after="480" w:line="480" w:lineRule="auto"/>
        <w:ind w:left="0"/>
        <w:jc w:val="both"/>
      </w:pPr>
      <w:r>
        <w:rPr>
          <w:rStyle w:val="documentbody"/>
        </w:rPr>
        <w:tab/>
      </w:r>
      <w:r w:rsidRPr="00B73BD3">
        <w:rPr>
          <w:rStyle w:val="documentbody"/>
        </w:rPr>
        <w:t xml:space="preserve">It is </w:t>
      </w:r>
      <w:r w:rsidRPr="00613FB7">
        <w:t>not</w:t>
      </w:r>
      <w:r w:rsidRPr="00B73BD3">
        <w:rPr>
          <w:rStyle w:val="documentbody"/>
        </w:rPr>
        <w:t xml:space="preserve"> necessary to answer this question.</w:t>
      </w:r>
    </w:p>
    <w:p w:rsidR="00891157" w:rsidRPr="00B73BD3" w:rsidRDefault="00891157" w:rsidP="00891157">
      <w:pPr>
        <w:tabs>
          <w:tab w:val="left" w:pos="1260"/>
        </w:tabs>
        <w:spacing w:after="480"/>
        <w:ind w:left="1814" w:hanging="1814"/>
        <w:jc w:val="both"/>
      </w:pPr>
      <w:r>
        <w:tab/>
        <w:t>3.</w:t>
      </w:r>
      <w:r>
        <w:tab/>
      </w:r>
      <w:r w:rsidRPr="00B73BD3">
        <w:t>Does s. 3(</w:t>
      </w:r>
      <w:r w:rsidRPr="008A00B7">
        <w:t>b.1</w:t>
      </w:r>
      <w:r w:rsidRPr="00B73BD3">
        <w:t xml:space="preserve">) of the </w:t>
      </w:r>
      <w:r w:rsidRPr="00B73BD3">
        <w:rPr>
          <w:i/>
        </w:rPr>
        <w:t>Labour Relations Act</w:t>
      </w:r>
      <w:r w:rsidRPr="00375BFD">
        <w:rPr>
          <w:i/>
        </w:rPr>
        <w:t>, 1995</w:t>
      </w:r>
      <w:r w:rsidRPr="00B73BD3">
        <w:t>, S.O. 1995, c. 1, Sch. A, infringe s. 2(</w:t>
      </w:r>
      <w:r w:rsidRPr="00375BFD">
        <w:rPr>
          <w:i/>
        </w:rPr>
        <w:t>d</w:t>
      </w:r>
      <w:r w:rsidRPr="00B73BD3">
        <w:t xml:space="preserve">) of the </w:t>
      </w:r>
      <w:r w:rsidRPr="00B73BD3">
        <w:rPr>
          <w:i/>
        </w:rPr>
        <w:t>Canadian Charter of Rights and Freedoms</w:t>
      </w:r>
      <w:r w:rsidRPr="00B73BD3">
        <w:t>?</w:t>
      </w:r>
    </w:p>
    <w:p w:rsidR="00891157" w:rsidRPr="00B73BD3" w:rsidRDefault="00891157" w:rsidP="00891157">
      <w:pPr>
        <w:pStyle w:val="ListParagraph"/>
        <w:tabs>
          <w:tab w:val="left" w:pos="1350"/>
        </w:tabs>
        <w:spacing w:after="480" w:line="480" w:lineRule="auto"/>
        <w:ind w:left="0"/>
        <w:jc w:val="both"/>
      </w:pPr>
      <w:r>
        <w:tab/>
      </w:r>
      <w:r w:rsidRPr="00B73BD3">
        <w:t>No.</w:t>
      </w:r>
    </w:p>
    <w:p w:rsidR="00891157" w:rsidRPr="00B73BD3" w:rsidRDefault="00891157" w:rsidP="00891157">
      <w:pPr>
        <w:tabs>
          <w:tab w:val="left" w:pos="1260"/>
        </w:tabs>
        <w:spacing w:after="480"/>
        <w:ind w:left="1814" w:hanging="1814"/>
        <w:jc w:val="both"/>
      </w:pPr>
      <w:r>
        <w:tab/>
      </w:r>
      <w:r w:rsidRPr="00B73BD3">
        <w:t>4.</w:t>
      </w:r>
      <w:r>
        <w:tab/>
      </w:r>
      <w:r w:rsidRPr="00B73BD3">
        <w:t xml:space="preserve">If so, is the infringement a reasonable limit prescribed by law as can be demonstrably justified in a free and democratic society under s. 1 of the </w:t>
      </w:r>
      <w:r w:rsidRPr="00B73BD3">
        <w:rPr>
          <w:i/>
        </w:rPr>
        <w:t>Canadian Charter of Rights and Freedoms</w:t>
      </w:r>
      <w:r w:rsidRPr="00B73BD3">
        <w:t>?</w:t>
      </w:r>
    </w:p>
    <w:p w:rsidR="00891157" w:rsidRPr="00B73BD3" w:rsidRDefault="00891157" w:rsidP="00891157">
      <w:pPr>
        <w:pStyle w:val="ListParagraph"/>
        <w:tabs>
          <w:tab w:val="left" w:pos="1350"/>
        </w:tabs>
        <w:spacing w:after="480" w:line="480" w:lineRule="auto"/>
        <w:ind w:left="0"/>
        <w:jc w:val="both"/>
      </w:pPr>
      <w:r>
        <w:rPr>
          <w:rStyle w:val="documentbody"/>
        </w:rPr>
        <w:tab/>
      </w:r>
      <w:r w:rsidRPr="00B73BD3">
        <w:rPr>
          <w:rStyle w:val="documentbody"/>
        </w:rPr>
        <w:t>It is not necessary to answer this question.</w:t>
      </w:r>
    </w:p>
    <w:p w:rsidR="00891157" w:rsidRPr="00B73BD3" w:rsidRDefault="00891157" w:rsidP="00891157">
      <w:pPr>
        <w:tabs>
          <w:tab w:val="left" w:pos="1260"/>
        </w:tabs>
        <w:spacing w:after="480"/>
        <w:ind w:left="1814" w:hanging="1814"/>
        <w:jc w:val="both"/>
      </w:pPr>
      <w:r>
        <w:tab/>
      </w:r>
      <w:r w:rsidRPr="00B73BD3">
        <w:t>5.</w:t>
      </w:r>
      <w:r>
        <w:tab/>
      </w:r>
      <w:r w:rsidRPr="00B73BD3">
        <w:t xml:space="preserve">Does the </w:t>
      </w:r>
      <w:r w:rsidRPr="00B73BD3">
        <w:rPr>
          <w:i/>
        </w:rPr>
        <w:t>Agricultural Employees Protection Act</w:t>
      </w:r>
      <w:r w:rsidRPr="00375BFD">
        <w:rPr>
          <w:i/>
        </w:rPr>
        <w:t>, 2002</w:t>
      </w:r>
      <w:r w:rsidRPr="00B73BD3">
        <w:t xml:space="preserve">, S.O. 2002, c. 16, infringe s. 15 of the </w:t>
      </w:r>
      <w:r w:rsidRPr="00B73BD3">
        <w:rPr>
          <w:i/>
        </w:rPr>
        <w:t>Canadian Charter of Rights and Freedoms</w:t>
      </w:r>
      <w:r w:rsidRPr="00B73BD3">
        <w:t>?</w:t>
      </w:r>
    </w:p>
    <w:p w:rsidR="00891157" w:rsidRPr="00B73BD3" w:rsidRDefault="00891157" w:rsidP="00891157">
      <w:pPr>
        <w:pStyle w:val="ListParagraph"/>
        <w:tabs>
          <w:tab w:val="left" w:pos="1350"/>
        </w:tabs>
        <w:spacing w:after="480" w:line="480" w:lineRule="auto"/>
        <w:ind w:left="0"/>
        <w:jc w:val="both"/>
      </w:pPr>
      <w:r>
        <w:rPr>
          <w:rStyle w:val="documentbody"/>
        </w:rPr>
        <w:lastRenderedPageBreak/>
        <w:tab/>
      </w:r>
      <w:r w:rsidRPr="00613FB7">
        <w:rPr>
          <w:rStyle w:val="documentbody"/>
        </w:rPr>
        <w:t>No</w:t>
      </w:r>
      <w:r w:rsidRPr="00B73BD3">
        <w:t>.</w:t>
      </w:r>
    </w:p>
    <w:p w:rsidR="00891157" w:rsidRPr="00B73BD3" w:rsidRDefault="00891157" w:rsidP="00891157">
      <w:pPr>
        <w:tabs>
          <w:tab w:val="left" w:pos="1260"/>
        </w:tabs>
        <w:spacing w:after="480"/>
        <w:ind w:left="1814" w:hanging="1814"/>
        <w:jc w:val="both"/>
      </w:pPr>
      <w:r>
        <w:tab/>
      </w:r>
      <w:r w:rsidRPr="00B73BD3">
        <w:t>6.</w:t>
      </w:r>
      <w:r>
        <w:tab/>
      </w:r>
      <w:r w:rsidRPr="00B73BD3">
        <w:t xml:space="preserve">If so, is the infringement a reasonable limit prescribed by law as can be demonstrably justified in a free and democratic society under s. 1 of the </w:t>
      </w:r>
      <w:r w:rsidRPr="00B73BD3">
        <w:rPr>
          <w:i/>
        </w:rPr>
        <w:t>Canadian Charter of Rights and Freedoms</w:t>
      </w:r>
      <w:r w:rsidRPr="00B73BD3">
        <w:t>?</w:t>
      </w:r>
    </w:p>
    <w:p w:rsidR="00891157" w:rsidRPr="00B73BD3" w:rsidRDefault="00891157" w:rsidP="00891157">
      <w:pPr>
        <w:pStyle w:val="ListParagraph"/>
        <w:tabs>
          <w:tab w:val="left" w:pos="1350"/>
        </w:tabs>
        <w:spacing w:after="480" w:line="480" w:lineRule="auto"/>
        <w:ind w:left="0"/>
        <w:jc w:val="both"/>
      </w:pPr>
      <w:r>
        <w:rPr>
          <w:rStyle w:val="documentbody"/>
        </w:rPr>
        <w:tab/>
      </w:r>
      <w:r w:rsidRPr="00B73BD3">
        <w:rPr>
          <w:rStyle w:val="documentbody"/>
        </w:rPr>
        <w:t>It is not necessary to answer this question.</w:t>
      </w:r>
    </w:p>
    <w:p w:rsidR="00891157" w:rsidRPr="00B73BD3" w:rsidRDefault="00891157" w:rsidP="00891157">
      <w:pPr>
        <w:tabs>
          <w:tab w:val="left" w:pos="1260"/>
        </w:tabs>
        <w:spacing w:after="480"/>
        <w:ind w:left="1814" w:hanging="1814"/>
        <w:jc w:val="both"/>
      </w:pPr>
      <w:r>
        <w:tab/>
      </w:r>
      <w:r w:rsidRPr="00B73BD3">
        <w:t>7.</w:t>
      </w:r>
      <w:r>
        <w:tab/>
      </w:r>
      <w:r w:rsidRPr="00B73BD3">
        <w:t>Does s. 3(</w:t>
      </w:r>
      <w:r w:rsidRPr="008A00B7">
        <w:t>b.1</w:t>
      </w:r>
      <w:r w:rsidRPr="00B73BD3">
        <w:t xml:space="preserve">) of the </w:t>
      </w:r>
      <w:r w:rsidRPr="00B73BD3">
        <w:rPr>
          <w:i/>
        </w:rPr>
        <w:t>Labour Relations Act</w:t>
      </w:r>
      <w:r w:rsidRPr="00375BFD">
        <w:rPr>
          <w:i/>
        </w:rPr>
        <w:t>, 1995</w:t>
      </w:r>
      <w:r w:rsidRPr="00B73BD3">
        <w:t xml:space="preserve">, S.O. 1995, c. 1, Sch. A, infringe s. 15 of the </w:t>
      </w:r>
      <w:r w:rsidRPr="00B73BD3">
        <w:rPr>
          <w:i/>
        </w:rPr>
        <w:t>Canadian Charter of Rights and Freedoms</w:t>
      </w:r>
      <w:r w:rsidRPr="00B73BD3">
        <w:t>?</w:t>
      </w:r>
    </w:p>
    <w:p w:rsidR="00891157" w:rsidRPr="00B73BD3" w:rsidRDefault="00891157" w:rsidP="00891157">
      <w:pPr>
        <w:pStyle w:val="ListParagraph"/>
        <w:tabs>
          <w:tab w:val="left" w:pos="1350"/>
        </w:tabs>
        <w:spacing w:after="480" w:line="480" w:lineRule="auto"/>
        <w:ind w:left="0"/>
        <w:jc w:val="both"/>
      </w:pPr>
      <w:r>
        <w:rPr>
          <w:rStyle w:val="documentbody"/>
        </w:rPr>
        <w:tab/>
      </w:r>
      <w:r w:rsidRPr="00613FB7">
        <w:rPr>
          <w:rStyle w:val="documentbody"/>
        </w:rPr>
        <w:t>No</w:t>
      </w:r>
      <w:r w:rsidRPr="00B73BD3">
        <w:t>.</w:t>
      </w:r>
    </w:p>
    <w:p w:rsidR="00891157" w:rsidRPr="00B73BD3" w:rsidRDefault="00891157" w:rsidP="00891157">
      <w:pPr>
        <w:tabs>
          <w:tab w:val="left" w:pos="1260"/>
        </w:tabs>
        <w:spacing w:after="480"/>
        <w:ind w:left="1814" w:hanging="1814"/>
        <w:jc w:val="both"/>
      </w:pPr>
      <w:r>
        <w:tab/>
      </w:r>
      <w:r w:rsidRPr="00B73BD3">
        <w:t>8.</w:t>
      </w:r>
      <w:r>
        <w:tab/>
      </w:r>
      <w:r w:rsidRPr="00B73BD3">
        <w:t xml:space="preserve">If so, is the infringement a reasonable limit prescribed by law as can be demonstrably justified in a free and democratic society under s. 1 of the </w:t>
      </w:r>
      <w:r w:rsidRPr="00B73BD3">
        <w:rPr>
          <w:i/>
        </w:rPr>
        <w:t>Canadian Charter of Rights and Freedoms</w:t>
      </w:r>
      <w:r w:rsidRPr="00B73BD3">
        <w:t>?</w:t>
      </w:r>
    </w:p>
    <w:p w:rsidR="00891157" w:rsidRPr="00B73BD3" w:rsidRDefault="00891157" w:rsidP="00891157">
      <w:pPr>
        <w:pStyle w:val="ListParagraph"/>
        <w:tabs>
          <w:tab w:val="left" w:pos="1350"/>
        </w:tabs>
        <w:spacing w:after="480" w:line="480" w:lineRule="auto"/>
        <w:ind w:left="0"/>
        <w:jc w:val="both"/>
        <w:rPr>
          <w:lang w:val="en-GB"/>
        </w:rPr>
      </w:pPr>
      <w:r>
        <w:rPr>
          <w:rStyle w:val="documentbody"/>
        </w:rPr>
        <w:tab/>
      </w:r>
      <w:r w:rsidRPr="00B73BD3">
        <w:rPr>
          <w:rStyle w:val="documentbody"/>
        </w:rPr>
        <w:t xml:space="preserve">It is </w:t>
      </w:r>
      <w:r w:rsidRPr="00613FB7">
        <w:rPr>
          <w:rStyle w:val="documentbody"/>
        </w:rPr>
        <w:t>not</w:t>
      </w:r>
      <w:r w:rsidRPr="00B73BD3">
        <w:rPr>
          <w:rStyle w:val="documentbody"/>
        </w:rPr>
        <w:t xml:space="preserve"> necessary to answer this question.</w:t>
      </w:r>
      <w:r w:rsidRPr="00B73BD3">
        <w:rPr>
          <w:lang w:val="en-GB"/>
        </w:rPr>
        <w:t xml:space="preserve"> </w:t>
      </w:r>
    </w:p>
    <w:p w:rsidR="00A00D29" w:rsidRPr="001D4494" w:rsidRDefault="00A00D29" w:rsidP="008A00B7">
      <w:pPr>
        <w:spacing w:after="480" w:line="480" w:lineRule="auto"/>
        <w:jc w:val="both"/>
      </w:pPr>
      <w:r w:rsidRPr="00B73BD3">
        <w:rPr>
          <w:lang w:val="en-GB"/>
        </w:rPr>
        <w:t>In the circumstances, we order no costs on this appeal</w:t>
      </w:r>
      <w:r w:rsidRPr="00B73BD3">
        <w:rPr>
          <w:color w:val="000000"/>
          <w:lang w:val="en-GB"/>
        </w:rPr>
        <w:t xml:space="preserve"> or in the courts below</w:t>
      </w:r>
      <w:r w:rsidRPr="00B73BD3">
        <w:rPr>
          <w:lang w:val="en-GB"/>
        </w:rPr>
        <w:t>.</w:t>
      </w:r>
    </w:p>
    <w:p w:rsidR="00C572D7" w:rsidRPr="00C572D7" w:rsidRDefault="00C572D7" w:rsidP="00E27EEC">
      <w:pPr>
        <w:pStyle w:val="JudgeJuge"/>
        <w:jc w:val="both"/>
        <w:rPr>
          <w:smallCaps w:val="0"/>
        </w:rPr>
      </w:pPr>
      <w:r>
        <w:rPr>
          <w:smallCaps w:val="0"/>
        </w:rPr>
        <w:tab/>
      </w:r>
      <w:proofErr w:type="gramStart"/>
      <w:r>
        <w:rPr>
          <w:smallCaps w:val="0"/>
        </w:rPr>
        <w:t>The reasons of Charron and Rothstein JJ.</w:t>
      </w:r>
      <w:proofErr w:type="gramEnd"/>
      <w:r>
        <w:rPr>
          <w:smallCaps w:val="0"/>
        </w:rPr>
        <w:t xml:space="preserve"> </w:t>
      </w:r>
      <w:proofErr w:type="gramStart"/>
      <w:r>
        <w:rPr>
          <w:smallCaps w:val="0"/>
        </w:rPr>
        <w:t>were</w:t>
      </w:r>
      <w:proofErr w:type="gramEnd"/>
      <w:r>
        <w:rPr>
          <w:smallCaps w:val="0"/>
        </w:rPr>
        <w:t xml:space="preserve"> delivered by</w:t>
      </w:r>
    </w:p>
    <w:p w:rsidR="00A00D29" w:rsidRPr="001D4494" w:rsidRDefault="00A00D29" w:rsidP="00E27EEC">
      <w:pPr>
        <w:pStyle w:val="JudgeJuge"/>
        <w:jc w:val="both"/>
      </w:pPr>
      <w:r w:rsidRPr="001D4494">
        <w:tab/>
        <w:t xml:space="preserve">Rothstein J. — </w:t>
      </w:r>
    </w:p>
    <w:p w:rsidR="00A00D29" w:rsidRDefault="00A00D29" w:rsidP="00A00D29">
      <w:pPr>
        <w:pStyle w:val="HeadingTitre-AltH"/>
      </w:pPr>
      <w:r w:rsidRPr="001D4494">
        <w:t>I</w:t>
      </w:r>
      <w:r>
        <w:t>.</w:t>
      </w:r>
      <w:r w:rsidRPr="001D4494">
        <w:tab/>
      </w:r>
      <w:r w:rsidRPr="002D0B72">
        <w:rPr>
          <w:u w:val="single"/>
        </w:rPr>
        <w:t>Introduction</w:t>
      </w:r>
    </w:p>
    <w:p w:rsidR="00A00D29" w:rsidRPr="00615998" w:rsidRDefault="00A00D29" w:rsidP="00A00D29"/>
    <w:p w:rsidR="00A00D29" w:rsidRPr="001D4494" w:rsidRDefault="00A00D29" w:rsidP="00613CC7">
      <w:pPr>
        <w:pStyle w:val="ReasonsNumbering-AltN"/>
        <w:ind w:left="0" w:firstLine="0"/>
      </w:pPr>
      <w:r w:rsidRPr="001D4494">
        <w:lastRenderedPageBreak/>
        <w:t>I have had the opportunity to read the reasons of the Chief Justice and LeBel J. in this appeal.  I agree with them that the appeal should be allowed and the action dismissed.  However, I disagree with their interpretation of s. 2(</w:t>
      </w:r>
      <w:r w:rsidRPr="00615998">
        <w:rPr>
          <w:i/>
        </w:rPr>
        <w:t>d</w:t>
      </w:r>
      <w:r w:rsidRPr="001D4494">
        <w:t xml:space="preserve">) of the </w:t>
      </w:r>
      <w:r w:rsidRPr="001D4494">
        <w:rPr>
          <w:i/>
        </w:rPr>
        <w:t>C</w:t>
      </w:r>
      <w:r>
        <w:rPr>
          <w:i/>
        </w:rPr>
        <w:t>anadian C</w:t>
      </w:r>
      <w:r w:rsidRPr="001D4494">
        <w:rPr>
          <w:i/>
        </w:rPr>
        <w:t>harter of Rights and Freedoms</w:t>
      </w:r>
      <w:r w:rsidRPr="001D4494">
        <w:t xml:space="preserve"> with respect to collective bargaining.</w:t>
      </w:r>
    </w:p>
    <w:p w:rsidR="00A00D29" w:rsidRPr="001D4494" w:rsidRDefault="00A00D29" w:rsidP="00613CC7">
      <w:pPr>
        <w:pStyle w:val="ReasonsNumbering-AltN"/>
        <w:ind w:left="0" w:firstLine="0"/>
        <w:rPr>
          <w:rFonts w:cs="Times New Roman"/>
          <w:szCs w:val="24"/>
        </w:rPr>
      </w:pPr>
      <w:r w:rsidRPr="001D4494">
        <w:rPr>
          <w:rFonts w:cs="Times New Roman"/>
          <w:szCs w:val="24"/>
        </w:rPr>
        <w:t>The Chief Justice and LeBel J. have accurately set out the background, the constitutional challenge and the judicial history in this case.  While I agree with what they have written in these respects, I respectfully disagree with the reasons for their decision.</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 reasons of the Chief Justice and LeBel J. are based upon the </w:t>
      </w:r>
      <w:r>
        <w:rPr>
          <w:rFonts w:cs="Times New Roman"/>
          <w:szCs w:val="24"/>
        </w:rPr>
        <w:t>majority</w:t>
      </w:r>
      <w:r w:rsidRPr="001D4494">
        <w:rPr>
          <w:rFonts w:cs="Times New Roman"/>
          <w:szCs w:val="24"/>
        </w:rPr>
        <w:t xml:space="preserve"> decision in </w:t>
      </w:r>
      <w:r w:rsidRPr="001D4494">
        <w:rPr>
          <w:rFonts w:cs="Times New Roman"/>
          <w:i/>
          <w:szCs w:val="24"/>
        </w:rPr>
        <w:t xml:space="preserve">Health Services and Support </w:t>
      </w:r>
      <w:r w:rsidR="00C572D7">
        <w:rPr>
          <w:rFonts w:cs="Times New Roman"/>
          <w:i/>
          <w:szCs w:val="24"/>
        </w:rPr>
        <w:t>—</w:t>
      </w:r>
      <w:r w:rsidRPr="001D4494">
        <w:rPr>
          <w:rFonts w:cs="Times New Roman"/>
          <w:i/>
          <w:szCs w:val="24"/>
        </w:rPr>
        <w:t xml:space="preserve"> Facilities Subsector Bargaining Assn. v. British Columbia</w:t>
      </w:r>
      <w:r w:rsidRPr="001D4494">
        <w:rPr>
          <w:rFonts w:cs="Times New Roman"/>
          <w:szCs w:val="24"/>
        </w:rPr>
        <w:t>, 2007 SCC 27</w:t>
      </w:r>
      <w:r>
        <w:rPr>
          <w:rFonts w:cs="Times New Roman"/>
          <w:szCs w:val="24"/>
        </w:rPr>
        <w:t>,</w:t>
      </w:r>
      <w:r w:rsidRPr="001D4494">
        <w:rPr>
          <w:rFonts w:cs="Times New Roman"/>
          <w:szCs w:val="24"/>
        </w:rPr>
        <w:t xml:space="preserve"> </w:t>
      </w:r>
      <w:r>
        <w:rPr>
          <w:rFonts w:cs="Times New Roman"/>
          <w:szCs w:val="24"/>
        </w:rPr>
        <w:t>[2007] 2 S.C.R. 391</w:t>
      </w:r>
      <w:r w:rsidRPr="001D4494">
        <w:rPr>
          <w:rFonts w:cs="Times New Roman"/>
          <w:szCs w:val="24"/>
        </w:rPr>
        <w:t xml:space="preserve"> (“</w:t>
      </w:r>
      <w:r w:rsidRPr="001D4494">
        <w:rPr>
          <w:rFonts w:cs="Times New Roman"/>
          <w:i/>
          <w:szCs w:val="24"/>
        </w:rPr>
        <w:t>Health</w:t>
      </w:r>
      <w:r>
        <w:rPr>
          <w:rFonts w:cs="Times New Roman"/>
          <w:i/>
          <w:szCs w:val="24"/>
        </w:rPr>
        <w:t xml:space="preserve"> Services</w:t>
      </w:r>
      <w:r w:rsidRPr="001D4494">
        <w:rPr>
          <w:rFonts w:cs="Times New Roman"/>
          <w:szCs w:val="24"/>
        </w:rPr>
        <w:t xml:space="preserve">”).  The majority in </w:t>
      </w:r>
      <w:r w:rsidRPr="001D4494">
        <w:rPr>
          <w:rFonts w:cs="Times New Roman"/>
          <w:i/>
          <w:szCs w:val="24"/>
        </w:rPr>
        <w:t>Health</w:t>
      </w:r>
      <w:r>
        <w:rPr>
          <w:rFonts w:cs="Times New Roman"/>
          <w:i/>
          <w:szCs w:val="24"/>
        </w:rPr>
        <w:t xml:space="preserve"> Services</w:t>
      </w:r>
      <w:r w:rsidRPr="001D4494">
        <w:rPr>
          <w:rFonts w:cs="Times New Roman"/>
          <w:szCs w:val="24"/>
        </w:rPr>
        <w:t xml:space="preserve"> found that s. 2(</w:t>
      </w:r>
      <w:r w:rsidRPr="00D9698E">
        <w:rPr>
          <w:rFonts w:cs="Times New Roman"/>
          <w:i/>
          <w:szCs w:val="24"/>
        </w:rPr>
        <w:t>d</w:t>
      </w:r>
      <w:r w:rsidRPr="001D4494">
        <w:rPr>
          <w:rFonts w:cs="Times New Roman"/>
          <w:szCs w:val="24"/>
        </w:rPr>
        <w:t xml:space="preserve">) of the </w:t>
      </w:r>
      <w:r w:rsidRPr="001D4494">
        <w:rPr>
          <w:rFonts w:cs="Times New Roman"/>
          <w:i/>
          <w:szCs w:val="24"/>
        </w:rPr>
        <w:t>Charter</w:t>
      </w:r>
      <w:r w:rsidRPr="001D4494">
        <w:rPr>
          <w:rFonts w:cs="Times New Roman"/>
          <w:szCs w:val="24"/>
        </w:rPr>
        <w:t xml:space="preserve"> confers constitutional status on collective bargaining. It concluded that collective bargaining as protected by s. 2(</w:t>
      </w:r>
      <w:r w:rsidRPr="00D9698E">
        <w:rPr>
          <w:rFonts w:cs="Times New Roman"/>
          <w:i/>
          <w:szCs w:val="24"/>
        </w:rPr>
        <w:t>d</w:t>
      </w:r>
      <w:r w:rsidRPr="001D4494">
        <w:rPr>
          <w:rFonts w:cs="Times New Roman"/>
          <w:szCs w:val="24"/>
        </w:rPr>
        <w:t xml:space="preserve">) “requires both employer and employees to meet and to bargain in good faith, in the pursuit of a common goal of peaceful and productive accommodation” </w:t>
      </w:r>
      <w:r w:rsidR="00E52729">
        <w:rPr>
          <w:rFonts w:cs="Times New Roman"/>
          <w:szCs w:val="24"/>
        </w:rPr>
        <w:t>(</w:t>
      </w:r>
      <w:r w:rsidRPr="001D4494">
        <w:rPr>
          <w:rFonts w:cs="Times New Roman"/>
          <w:szCs w:val="24"/>
        </w:rPr>
        <w:t>para. 90</w:t>
      </w:r>
      <w:r w:rsidR="00E52729">
        <w:rPr>
          <w:rFonts w:cs="Times New Roman"/>
          <w:szCs w:val="24"/>
        </w:rPr>
        <w:t>)</w:t>
      </w:r>
      <w:r w:rsidRPr="001D4494">
        <w:rPr>
          <w:rFonts w:cs="Times New Roman"/>
          <w:szCs w:val="24"/>
        </w:rPr>
        <w:t xml:space="preserve">. It further found that the requirement to bargain in good faith imposes a duty on employers to meet with employees and make a “reasonable effort to arrive at an acceptable contract” </w:t>
      </w:r>
      <w:r w:rsidR="00C572D7">
        <w:rPr>
          <w:rFonts w:cs="Times New Roman"/>
          <w:szCs w:val="24"/>
        </w:rPr>
        <w:t>(</w:t>
      </w:r>
      <w:r w:rsidRPr="001D4494">
        <w:rPr>
          <w:rFonts w:cs="Times New Roman"/>
          <w:szCs w:val="24"/>
        </w:rPr>
        <w:t>para. 101</w:t>
      </w:r>
      <w:r w:rsidR="00C572D7">
        <w:rPr>
          <w:rFonts w:cs="Times New Roman"/>
          <w:szCs w:val="24"/>
        </w:rPr>
        <w:t>)</w:t>
      </w:r>
      <w:r w:rsidRPr="001D4494">
        <w:rPr>
          <w:rFonts w:cs="Times New Roman"/>
          <w:szCs w:val="24"/>
        </w:rPr>
        <w:t xml:space="preserve">. </w:t>
      </w:r>
    </w:p>
    <w:p w:rsidR="00A00D29" w:rsidRPr="001D4494" w:rsidRDefault="00A00D29" w:rsidP="00613CC7">
      <w:pPr>
        <w:pStyle w:val="ReasonsNumbering-AltN"/>
        <w:ind w:left="0" w:firstLine="0"/>
        <w:rPr>
          <w:rFonts w:cs="Times New Roman"/>
          <w:szCs w:val="24"/>
        </w:rPr>
      </w:pPr>
      <w:r w:rsidRPr="00613CC7">
        <w:t>Following</w:t>
      </w:r>
      <w:r w:rsidRPr="001D4494">
        <w:rPr>
          <w:rFonts w:cs="Times New Roman"/>
          <w:szCs w:val="24"/>
        </w:rPr>
        <w:t xml:space="preserve"> the reasons in </w:t>
      </w:r>
      <w:r w:rsidRPr="001D4494">
        <w:rPr>
          <w:rFonts w:cs="Times New Roman"/>
          <w:i/>
          <w:szCs w:val="24"/>
        </w:rPr>
        <w:t>Health</w:t>
      </w:r>
      <w:r>
        <w:rPr>
          <w:rFonts w:cs="Times New Roman"/>
          <w:i/>
          <w:szCs w:val="24"/>
        </w:rPr>
        <w:t xml:space="preserve"> Services</w:t>
      </w:r>
      <w:r>
        <w:rPr>
          <w:rFonts w:cs="Times New Roman"/>
          <w:szCs w:val="24"/>
        </w:rPr>
        <w:t>,</w:t>
      </w:r>
      <w:r w:rsidRPr="001D4494">
        <w:rPr>
          <w:rFonts w:cs="Times New Roman"/>
          <w:i/>
          <w:szCs w:val="24"/>
        </w:rPr>
        <w:t xml:space="preserve"> </w:t>
      </w:r>
      <w:r w:rsidRPr="001D4494">
        <w:rPr>
          <w:rFonts w:cs="Times New Roman"/>
          <w:szCs w:val="24"/>
        </w:rPr>
        <w:t>the Chief Justice and LeBel J. in this case say that s. 2(</w:t>
      </w:r>
      <w:r w:rsidRPr="00D9698E">
        <w:rPr>
          <w:rFonts w:cs="Times New Roman"/>
          <w:i/>
          <w:szCs w:val="24"/>
        </w:rPr>
        <w:t>d</w:t>
      </w:r>
      <w:r w:rsidRPr="001D4494">
        <w:rPr>
          <w:rFonts w:cs="Times New Roman"/>
          <w:szCs w:val="24"/>
        </w:rPr>
        <w:t xml:space="preserve">) </w:t>
      </w:r>
      <w:r w:rsidRPr="001D4494">
        <w:rPr>
          <w:rFonts w:cs="Times New Roman"/>
          <w:color w:val="000000"/>
          <w:szCs w:val="24"/>
        </w:rPr>
        <w:t xml:space="preserve">protects a right to collective bargaining, which includes “a process of engagement that permits employee associations to make representations to </w:t>
      </w:r>
      <w:r w:rsidRPr="001D4494">
        <w:rPr>
          <w:rFonts w:cs="Times New Roman"/>
          <w:color w:val="000000"/>
          <w:szCs w:val="24"/>
        </w:rPr>
        <w:lastRenderedPageBreak/>
        <w:t>employers</w:t>
      </w:r>
      <w:r>
        <w:rPr>
          <w:rFonts w:cs="Times New Roman"/>
          <w:color w:val="000000"/>
          <w:szCs w:val="24"/>
        </w:rPr>
        <w:t>, which</w:t>
      </w:r>
      <w:r w:rsidRPr="001D4494">
        <w:rPr>
          <w:rFonts w:cs="Times New Roman"/>
          <w:color w:val="000000"/>
          <w:szCs w:val="24"/>
        </w:rPr>
        <w:t xml:space="preserve"> employers must consider and discuss in good faith” (para. 2).</w:t>
      </w:r>
      <w:r w:rsidRPr="001D4494">
        <w:rPr>
          <w:rFonts w:cs="Times New Roman"/>
          <w:szCs w:val="24"/>
        </w:rPr>
        <w:t xml:space="preserve">  According to them,</w:t>
      </w:r>
      <w:r w:rsidRPr="001D4494">
        <w:rPr>
          <w:rFonts w:cs="Times New Roman"/>
          <w:color w:val="000000"/>
          <w:szCs w:val="24"/>
        </w:rPr>
        <w:t xml:space="preserve"> there is no doubt that because of s. 2(</w:t>
      </w:r>
      <w:r w:rsidRPr="00D9698E">
        <w:rPr>
          <w:rFonts w:cs="Times New Roman"/>
          <w:i/>
          <w:color w:val="000000"/>
          <w:szCs w:val="24"/>
        </w:rPr>
        <w:t>d</w:t>
      </w:r>
      <w:r w:rsidRPr="001D4494">
        <w:rPr>
          <w:rFonts w:cs="Times New Roman"/>
          <w:color w:val="000000"/>
          <w:szCs w:val="24"/>
        </w:rPr>
        <w:t>) employers “must engage in a process of meaningful discussion” because “the effect of denying these rights is to render the association</w:t>
      </w:r>
      <w:r>
        <w:rPr>
          <w:rFonts w:cs="Times New Roman"/>
          <w:color w:val="000000"/>
          <w:szCs w:val="24"/>
        </w:rPr>
        <w:t>al</w:t>
      </w:r>
      <w:r w:rsidRPr="001D4494">
        <w:rPr>
          <w:rFonts w:cs="Times New Roman"/>
          <w:color w:val="000000"/>
          <w:szCs w:val="24"/>
        </w:rPr>
        <w:t xml:space="preserve"> process effectively useless” (para. </w:t>
      </w:r>
      <w:r>
        <w:rPr>
          <w:rFonts w:cs="Times New Roman"/>
          <w:color w:val="000000"/>
          <w:szCs w:val="24"/>
        </w:rPr>
        <w:t>54</w:t>
      </w:r>
      <w:r w:rsidRPr="001D4494">
        <w:rPr>
          <w:rFonts w:cs="Times New Roman"/>
          <w:color w:val="000000"/>
          <w:szCs w:val="24"/>
        </w:rPr>
        <w:t>).</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 </w:t>
      </w:r>
      <w:r w:rsidRPr="00613CC7">
        <w:t>The</w:t>
      </w:r>
      <w:r w:rsidRPr="001D4494">
        <w:rPr>
          <w:rFonts w:cs="Times New Roman"/>
          <w:szCs w:val="24"/>
        </w:rPr>
        <w:t xml:space="preserve"> term collective bargaining may have different meanings in other contexts, which I discuss in further detail below.  For the sake of clarity, throughout these reasons, I will use the term to refer to the entitlements and obligations that the Chief Justice and LeBel J. view as being encompassed by s. 2(</w:t>
      </w:r>
      <w:r w:rsidRPr="00D9698E">
        <w:rPr>
          <w:rFonts w:cs="Times New Roman"/>
          <w:i/>
          <w:szCs w:val="24"/>
        </w:rPr>
        <w:t>d</w:t>
      </w:r>
      <w:r>
        <w:rPr>
          <w:rFonts w:cs="Times New Roman"/>
          <w:szCs w:val="24"/>
        </w:rPr>
        <w:t>), as quoted in para</w:t>
      </w:r>
      <w:r w:rsidR="00E52729">
        <w:rPr>
          <w:rFonts w:cs="Times New Roman"/>
          <w:szCs w:val="24"/>
        </w:rPr>
        <w:t>s.</w:t>
      </w:r>
      <w:r>
        <w:rPr>
          <w:rFonts w:cs="Times New Roman"/>
          <w:szCs w:val="24"/>
        </w:rPr>
        <w:t xml:space="preserve"> 121 and 122 above.</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 </w:t>
      </w:r>
      <w:r w:rsidRPr="00613CC7">
        <w:t>respectfully</w:t>
      </w:r>
      <w:r w:rsidRPr="001D4494">
        <w:rPr>
          <w:rFonts w:cs="Times New Roman"/>
          <w:szCs w:val="24"/>
        </w:rPr>
        <w:t xml:space="preserve"> disagree with the Chief Justice and LeBel J. that collective bargaining enjoys constitutional status under the s. 2(</w:t>
      </w:r>
      <w:r w:rsidRPr="00D9698E">
        <w:rPr>
          <w:rFonts w:cs="Times New Roman"/>
          <w:i/>
          <w:szCs w:val="24"/>
        </w:rPr>
        <w:t>d</w:t>
      </w:r>
      <w:r w:rsidRPr="001D4494">
        <w:rPr>
          <w:rFonts w:cs="Times New Roman"/>
          <w:szCs w:val="24"/>
        </w:rPr>
        <w:t>) freedom of association.  I do not agree that s. 2(</w:t>
      </w:r>
      <w:r w:rsidRPr="00D9698E">
        <w:rPr>
          <w:rFonts w:cs="Times New Roman"/>
          <w:i/>
          <w:szCs w:val="24"/>
        </w:rPr>
        <w:t>d</w:t>
      </w:r>
      <w:r w:rsidRPr="001D4494">
        <w:rPr>
          <w:rFonts w:cs="Times New Roman"/>
          <w:szCs w:val="24"/>
        </w:rPr>
        <w:t xml:space="preserve">) </w:t>
      </w:r>
      <w:r w:rsidRPr="001D4494">
        <w:rPr>
          <w:rFonts w:cs="Times New Roman"/>
          <w:color w:val="000000"/>
          <w:szCs w:val="24"/>
        </w:rPr>
        <w:t xml:space="preserve">requires the state to impose </w:t>
      </w:r>
      <w:r w:rsidRPr="001D4494">
        <w:rPr>
          <w:rFonts w:cs="Times New Roman"/>
          <w:szCs w:val="24"/>
        </w:rPr>
        <w:t xml:space="preserve">a complex </w:t>
      </w:r>
      <w:r>
        <w:rPr>
          <w:rFonts w:cs="Times New Roman"/>
          <w:szCs w:val="24"/>
        </w:rPr>
        <w:t xml:space="preserve">set </w:t>
      </w:r>
      <w:r w:rsidRPr="001D4494">
        <w:rPr>
          <w:rFonts w:cs="Times New Roman"/>
          <w:szCs w:val="24"/>
        </w:rPr>
        <w:t>of statutorily defined reciprocal rights and duties on employers and workers</w:t>
      </w:r>
      <w:r w:rsidRPr="001D4494">
        <w:rPr>
          <w:rFonts w:cs="Times New Roman"/>
          <w:color w:val="000000"/>
          <w:szCs w:val="24"/>
        </w:rPr>
        <w:t xml:space="preserve"> associations</w:t>
      </w:r>
      <w:r w:rsidRPr="001D4494">
        <w:rPr>
          <w:rFonts w:cs="Times New Roman"/>
          <w:szCs w:val="24"/>
        </w:rPr>
        <w:t xml:space="preserve">, including a duty to bargain in good faith.  </w:t>
      </w:r>
    </w:p>
    <w:p w:rsidR="00A00D29" w:rsidRPr="001D4494" w:rsidRDefault="00A00D29" w:rsidP="00613CC7">
      <w:pPr>
        <w:pStyle w:val="ReasonsNumbering-AltN"/>
        <w:ind w:left="0" w:firstLine="0"/>
        <w:rPr>
          <w:rFonts w:cs="Times New Roman"/>
          <w:color w:val="000000"/>
          <w:szCs w:val="24"/>
        </w:rPr>
      </w:pPr>
      <w:r w:rsidRPr="001D4494">
        <w:rPr>
          <w:rFonts w:cs="Times New Roman"/>
          <w:szCs w:val="24"/>
        </w:rPr>
        <w:t xml:space="preserve">In </w:t>
      </w:r>
      <w:r w:rsidRPr="00613CC7">
        <w:t>my</w:t>
      </w:r>
      <w:r w:rsidRPr="001D4494">
        <w:rPr>
          <w:rFonts w:cs="Times New Roman"/>
          <w:szCs w:val="24"/>
        </w:rPr>
        <w:t xml:space="preserve"> view, s. 2(</w:t>
      </w:r>
      <w:r w:rsidRPr="00D9698E">
        <w:rPr>
          <w:rFonts w:cs="Times New Roman"/>
          <w:i/>
          <w:szCs w:val="24"/>
        </w:rPr>
        <w:t>d</w:t>
      </w:r>
      <w:r w:rsidRPr="001D4494">
        <w:rPr>
          <w:rFonts w:cs="Times New Roman"/>
          <w:szCs w:val="24"/>
        </w:rPr>
        <w:t>) protects the liberty of individuals to associate and engage in associational activities.  Therefore, s. 2(</w:t>
      </w:r>
      <w:r w:rsidRPr="00D9698E">
        <w:rPr>
          <w:rFonts w:cs="Times New Roman"/>
          <w:i/>
          <w:szCs w:val="24"/>
        </w:rPr>
        <w:t>d</w:t>
      </w:r>
      <w:r w:rsidRPr="001D4494">
        <w:rPr>
          <w:rFonts w:cs="Times New Roman"/>
          <w:szCs w:val="24"/>
        </w:rPr>
        <w:t>) protects the freedom of workers to form self-directed employee associations in an attempt to improve wages and working conditions. What s. 2(</w:t>
      </w:r>
      <w:r w:rsidRPr="00D9698E">
        <w:rPr>
          <w:rFonts w:cs="Times New Roman"/>
          <w:i/>
          <w:szCs w:val="24"/>
        </w:rPr>
        <w:t>d</w:t>
      </w:r>
      <w:r w:rsidRPr="001D4494">
        <w:rPr>
          <w:rFonts w:cs="Times New Roman"/>
          <w:szCs w:val="24"/>
        </w:rPr>
        <w:t>) does not do, however, is impose duties on others, such as the duty to bargain in good faith</w:t>
      </w:r>
      <w:r w:rsidRPr="00937A7C">
        <w:rPr>
          <w:color w:val="000000"/>
        </w:rPr>
        <w:t xml:space="preserve"> on</w:t>
      </w:r>
      <w:r w:rsidRPr="001D4494">
        <w:rPr>
          <w:rFonts w:cs="Times New Roman"/>
          <w:color w:val="000000"/>
          <w:szCs w:val="24"/>
        </w:rPr>
        <w:t xml:space="preserve"> employers.</w:t>
      </w:r>
    </w:p>
    <w:p w:rsidR="00A00D29" w:rsidRPr="001D4494" w:rsidRDefault="00A00D29" w:rsidP="00613CC7">
      <w:pPr>
        <w:pStyle w:val="ReasonsNumbering-AltN"/>
        <w:ind w:left="0" w:firstLine="0"/>
        <w:rPr>
          <w:rFonts w:cs="Times New Roman"/>
          <w:szCs w:val="24"/>
        </w:rPr>
      </w:pPr>
      <w:r w:rsidRPr="001D4494">
        <w:rPr>
          <w:rFonts w:cs="Times New Roman"/>
          <w:color w:val="000000"/>
          <w:szCs w:val="24"/>
        </w:rPr>
        <w:lastRenderedPageBreak/>
        <w:t xml:space="preserve">A </w:t>
      </w:r>
      <w:r w:rsidRPr="00613CC7">
        <w:t>constitutionally</w:t>
      </w:r>
      <w:r w:rsidRPr="001D4494">
        <w:rPr>
          <w:rFonts w:cs="Times New Roman"/>
          <w:color w:val="000000"/>
          <w:szCs w:val="24"/>
        </w:rPr>
        <w:t xml:space="preserve"> imposed duty to bargain in good faith strengthens the p</w:t>
      </w:r>
      <w:r>
        <w:rPr>
          <w:rFonts w:cs="Times New Roman"/>
          <w:color w:val="000000"/>
          <w:szCs w:val="24"/>
        </w:rPr>
        <w:t xml:space="preserve">osition of organized labour </w:t>
      </w:r>
      <w:r w:rsidRPr="00D9698E">
        <w:rPr>
          <w:rFonts w:cs="Times New Roman"/>
          <w:i/>
          <w:color w:val="000000"/>
          <w:szCs w:val="24"/>
        </w:rPr>
        <w:t>vis-à-vis</w:t>
      </w:r>
      <w:r w:rsidRPr="001D4494">
        <w:rPr>
          <w:rFonts w:cs="Times New Roman"/>
          <w:color w:val="000000"/>
          <w:szCs w:val="24"/>
        </w:rPr>
        <w:t xml:space="preserve"> employers.  I express no opinion on the desirability of such an outcome for agricultural employees in Ontario</w:t>
      </w:r>
      <w:r>
        <w:rPr>
          <w:rFonts w:cs="Times New Roman"/>
          <w:color w:val="000000"/>
          <w:szCs w:val="24"/>
        </w:rPr>
        <w:t>.  My point is only that courts are ill-</w:t>
      </w:r>
      <w:r w:rsidRPr="001D4494">
        <w:rPr>
          <w:rFonts w:cs="Times New Roman"/>
          <w:color w:val="000000"/>
          <w:szCs w:val="24"/>
        </w:rPr>
        <w:t xml:space="preserve">suited to determine what </w:t>
      </w:r>
      <w:proofErr w:type="gramStart"/>
      <w:r w:rsidRPr="001D4494">
        <w:rPr>
          <w:rFonts w:cs="Times New Roman"/>
          <w:color w:val="000000"/>
          <w:szCs w:val="24"/>
        </w:rPr>
        <w:t>is a matter of labour relations policy</w:t>
      </w:r>
      <w:proofErr w:type="gramEnd"/>
      <w:r w:rsidRPr="001D4494">
        <w:rPr>
          <w:rFonts w:cs="Times New Roman"/>
          <w:color w:val="000000"/>
          <w:szCs w:val="24"/>
        </w:rPr>
        <w:t>. Such policy decisions require a balancing of differing interests rather than an application of legal principles.  Courts do not have the necessary expertise, or institutional capacity, to undertake a process which should involve consulting with and receiving representations from the various interested stakeholders and coming to an informed decision after balancing the necessary policy considerations.  The decision to impose a duty of collective bargaining should be made by t</w:t>
      </w:r>
      <w:r>
        <w:rPr>
          <w:rFonts w:cs="Times New Roman"/>
          <w:color w:val="000000"/>
          <w:szCs w:val="24"/>
        </w:rPr>
        <w:t>he legislature, and not by the c</w:t>
      </w:r>
      <w:r w:rsidRPr="001D4494">
        <w:rPr>
          <w:rFonts w:cs="Times New Roman"/>
          <w:color w:val="000000"/>
          <w:szCs w:val="24"/>
        </w:rPr>
        <w:t>ourt.</w:t>
      </w:r>
    </w:p>
    <w:p w:rsidR="00A00D29" w:rsidRPr="001D4494" w:rsidRDefault="00A00D29" w:rsidP="00613CC7">
      <w:pPr>
        <w:pStyle w:val="ReasonsNumbering-AltN"/>
        <w:ind w:left="0" w:firstLine="0"/>
        <w:rPr>
          <w:rFonts w:cs="Times New Roman"/>
          <w:szCs w:val="24"/>
        </w:rPr>
      </w:pPr>
      <w:r w:rsidRPr="00613CC7">
        <w:t>Since</w:t>
      </w:r>
      <w:r w:rsidRPr="001D4494">
        <w:rPr>
          <w:rFonts w:cs="Times New Roman"/>
          <w:szCs w:val="24"/>
        </w:rPr>
        <w:t xml:space="preserve"> the majority reasons are an application of the findings in </w:t>
      </w:r>
      <w:r w:rsidRPr="001D4494">
        <w:rPr>
          <w:rFonts w:cs="Times New Roman"/>
          <w:i/>
          <w:szCs w:val="24"/>
        </w:rPr>
        <w:t>Health</w:t>
      </w:r>
      <w:r>
        <w:rPr>
          <w:rFonts w:cs="Times New Roman"/>
          <w:i/>
          <w:szCs w:val="24"/>
        </w:rPr>
        <w:t xml:space="preserve"> Services</w:t>
      </w:r>
      <w:r w:rsidRPr="001D4494">
        <w:rPr>
          <w:rFonts w:cs="Times New Roman"/>
          <w:szCs w:val="24"/>
        </w:rPr>
        <w:t xml:space="preserve"> to the circumstances of this appeal, the initial question that is raised is whether </w:t>
      </w:r>
      <w:r w:rsidRPr="001D4494">
        <w:rPr>
          <w:rFonts w:cs="Times New Roman"/>
          <w:i/>
          <w:szCs w:val="24"/>
        </w:rPr>
        <w:t>Health</w:t>
      </w:r>
      <w:r>
        <w:rPr>
          <w:rFonts w:cs="Times New Roman"/>
          <w:i/>
          <w:szCs w:val="24"/>
        </w:rPr>
        <w:t xml:space="preserve"> Services</w:t>
      </w:r>
      <w:r w:rsidRPr="001D4494">
        <w:rPr>
          <w:rFonts w:cs="Times New Roman"/>
          <w:i/>
          <w:szCs w:val="24"/>
        </w:rPr>
        <w:t xml:space="preserve"> </w:t>
      </w:r>
      <w:r w:rsidRPr="001D4494">
        <w:rPr>
          <w:rFonts w:cs="Times New Roman"/>
          <w:szCs w:val="24"/>
        </w:rPr>
        <w:t>was correctly decided. As I have already suggested, and as I will explain below, I would find that</w:t>
      </w:r>
      <w:r w:rsidRPr="001D4494">
        <w:rPr>
          <w:rFonts w:cs="Times New Roman"/>
          <w:i/>
          <w:szCs w:val="24"/>
        </w:rPr>
        <w:t xml:space="preserve"> Health</w:t>
      </w:r>
      <w:r>
        <w:rPr>
          <w:rFonts w:cs="Times New Roman"/>
          <w:i/>
          <w:szCs w:val="24"/>
        </w:rPr>
        <w:t xml:space="preserve"> Services</w:t>
      </w:r>
      <w:r w:rsidRPr="001D4494">
        <w:rPr>
          <w:rFonts w:cs="Times New Roman"/>
          <w:szCs w:val="24"/>
        </w:rPr>
        <w:t xml:space="preserve"> was not correctly decided, to the extent that it constitutionalizes collective bargaining. </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In my opinion, overruling </w:t>
      </w:r>
      <w:r w:rsidRPr="001D4494">
        <w:rPr>
          <w:rFonts w:cs="Times New Roman"/>
          <w:i/>
          <w:szCs w:val="24"/>
        </w:rPr>
        <w:t>Health</w:t>
      </w:r>
      <w:r>
        <w:rPr>
          <w:rFonts w:cs="Times New Roman"/>
          <w:i/>
          <w:szCs w:val="24"/>
        </w:rPr>
        <w:t xml:space="preserve"> Services</w:t>
      </w:r>
      <w:r w:rsidRPr="001D4494">
        <w:rPr>
          <w:rFonts w:cs="Times New Roman"/>
          <w:szCs w:val="24"/>
        </w:rPr>
        <w:t xml:space="preserve"> would dispose of the constitutional </w:t>
      </w:r>
      <w:r w:rsidRPr="00613CC7">
        <w:t>challenge</w:t>
      </w:r>
      <w:r w:rsidRPr="001D4494">
        <w:rPr>
          <w:rFonts w:cs="Times New Roman"/>
          <w:szCs w:val="24"/>
        </w:rPr>
        <w:t xml:space="preserve"> in this case.  The respondents’ (Fraser’s) argument that the </w:t>
      </w:r>
      <w:r w:rsidRPr="001D4494">
        <w:rPr>
          <w:rFonts w:cs="Times New Roman"/>
          <w:i/>
          <w:szCs w:val="24"/>
        </w:rPr>
        <w:t>Agricultural Employees Protection Act</w:t>
      </w:r>
      <w:r>
        <w:rPr>
          <w:rFonts w:cs="Times New Roman"/>
          <w:i/>
          <w:szCs w:val="24"/>
        </w:rPr>
        <w:t>, 2002</w:t>
      </w:r>
      <w:r>
        <w:rPr>
          <w:rFonts w:cs="Times New Roman"/>
          <w:szCs w:val="24"/>
        </w:rPr>
        <w:t>, S.O. 2002, c. 16</w:t>
      </w:r>
      <w:r w:rsidRPr="001D4494">
        <w:rPr>
          <w:rFonts w:cs="Times New Roman"/>
          <w:szCs w:val="24"/>
        </w:rPr>
        <w:t xml:space="preserve"> (</w:t>
      </w:r>
      <w:r>
        <w:rPr>
          <w:rFonts w:cs="Times New Roman"/>
          <w:szCs w:val="24"/>
        </w:rPr>
        <w:t>“</w:t>
      </w:r>
      <w:r w:rsidRPr="00E32F85">
        <w:rPr>
          <w:rFonts w:cs="Times New Roman"/>
          <w:i/>
          <w:szCs w:val="24"/>
        </w:rPr>
        <w:t>AEPA</w:t>
      </w:r>
      <w:r>
        <w:rPr>
          <w:rFonts w:cs="Times New Roman"/>
          <w:szCs w:val="24"/>
        </w:rPr>
        <w:t>”</w:t>
      </w:r>
      <w:r w:rsidRPr="001D4494">
        <w:rPr>
          <w:rFonts w:cs="Times New Roman"/>
          <w:szCs w:val="24"/>
        </w:rPr>
        <w:t>)</w:t>
      </w:r>
      <w:r w:rsidR="00E52729">
        <w:rPr>
          <w:rFonts w:cs="Times New Roman"/>
          <w:szCs w:val="24"/>
        </w:rPr>
        <w:t>,</w:t>
      </w:r>
      <w:r w:rsidRPr="001D4494">
        <w:rPr>
          <w:rFonts w:cs="Times New Roman"/>
          <w:szCs w:val="24"/>
        </w:rPr>
        <w:t xml:space="preserve"> violates the </w:t>
      </w:r>
      <w:r w:rsidRPr="001D4494">
        <w:rPr>
          <w:rFonts w:cs="Times New Roman"/>
          <w:i/>
          <w:szCs w:val="24"/>
        </w:rPr>
        <w:t>Charter</w:t>
      </w:r>
      <w:r w:rsidRPr="001D4494">
        <w:rPr>
          <w:rFonts w:cs="Times New Roman"/>
          <w:szCs w:val="24"/>
        </w:rPr>
        <w:t xml:space="preserve"> because it does not protect a right to collective bargaining would have no </w:t>
      </w:r>
      <w:r w:rsidRPr="001D4494">
        <w:rPr>
          <w:rFonts w:cs="Times New Roman"/>
          <w:szCs w:val="24"/>
        </w:rPr>
        <w:lastRenderedPageBreak/>
        <w:t xml:space="preserve">basis.  I therefore turn first to the question of whether it would be appropriate that </w:t>
      </w:r>
      <w:r w:rsidRPr="001D4494">
        <w:rPr>
          <w:rFonts w:cs="Times New Roman"/>
          <w:i/>
          <w:szCs w:val="24"/>
        </w:rPr>
        <w:t>Health</w:t>
      </w:r>
      <w:r>
        <w:rPr>
          <w:rFonts w:cs="Times New Roman"/>
          <w:i/>
          <w:szCs w:val="24"/>
        </w:rPr>
        <w:t xml:space="preserve"> Services</w:t>
      </w:r>
      <w:r w:rsidRPr="001D4494">
        <w:rPr>
          <w:rFonts w:cs="Times New Roman"/>
          <w:szCs w:val="24"/>
        </w:rPr>
        <w:t xml:space="preserve"> be overruled.</w:t>
      </w:r>
    </w:p>
    <w:p w:rsidR="00A00D29" w:rsidRDefault="00A00D29" w:rsidP="00E27EEC">
      <w:pPr>
        <w:pStyle w:val="HeadingTitre-AltH"/>
      </w:pPr>
      <w:r w:rsidRPr="001D4494">
        <w:t>II</w:t>
      </w:r>
      <w:r>
        <w:t>.</w:t>
      </w:r>
      <w:r w:rsidRPr="001D4494">
        <w:tab/>
      </w:r>
      <w:r w:rsidRPr="002D0B72">
        <w:rPr>
          <w:u w:val="single"/>
        </w:rPr>
        <w:t xml:space="preserve">When </w:t>
      </w:r>
      <w:r>
        <w:rPr>
          <w:u w:val="single"/>
        </w:rPr>
        <w:t>Should Precedent B</w:t>
      </w:r>
      <w:r w:rsidRPr="002D0B72">
        <w:rPr>
          <w:u w:val="single"/>
        </w:rPr>
        <w:t>e Overturned?</w:t>
      </w:r>
    </w:p>
    <w:p w:rsidR="00A00D29" w:rsidRPr="00E32F85" w:rsidRDefault="00A00D29" w:rsidP="00A00D29"/>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 </w:t>
      </w:r>
      <w:r w:rsidRPr="00613CC7">
        <w:t>authorities</w:t>
      </w:r>
      <w:r w:rsidRPr="001D4494">
        <w:rPr>
          <w:rFonts w:cs="Times New Roman"/>
          <w:szCs w:val="24"/>
        </w:rPr>
        <w:t xml:space="preserve"> are abundant that this Court may overrule its own decisions, and indeed it has done so on numerous occasions: see </w:t>
      </w:r>
      <w:r w:rsidRPr="001D4494">
        <w:rPr>
          <w:rFonts w:cs="Times New Roman"/>
          <w:i/>
          <w:szCs w:val="24"/>
        </w:rPr>
        <w:t xml:space="preserve">R. v. </w:t>
      </w:r>
      <w:r w:rsidRPr="00937A7C">
        <w:rPr>
          <w:i/>
        </w:rPr>
        <w:t>Bernard</w:t>
      </w:r>
      <w:r w:rsidRPr="001D4494">
        <w:rPr>
          <w:rFonts w:cs="Times New Roman"/>
          <w:szCs w:val="24"/>
        </w:rPr>
        <w:t>, [1988] 2 S.C.R. 833</w:t>
      </w:r>
      <w:r>
        <w:rPr>
          <w:rFonts w:cs="Times New Roman"/>
          <w:szCs w:val="24"/>
        </w:rPr>
        <w:t>, at p. 849,</w:t>
      </w:r>
      <w:r w:rsidRPr="001D4494">
        <w:rPr>
          <w:rFonts w:cs="Times New Roman"/>
          <w:szCs w:val="24"/>
        </w:rPr>
        <w:t xml:space="preserve"> </w:t>
      </w:r>
      <w:r w:rsidRPr="00E32F85">
        <w:rPr>
          <w:rFonts w:cs="Times New Roman"/>
          <w:i/>
          <w:szCs w:val="24"/>
        </w:rPr>
        <w:t>per</w:t>
      </w:r>
      <w:r>
        <w:rPr>
          <w:rFonts w:cs="Times New Roman"/>
          <w:szCs w:val="24"/>
        </w:rPr>
        <w:t xml:space="preserve"> Dickson C.J.</w:t>
      </w:r>
      <w:r w:rsidRPr="001D4494">
        <w:rPr>
          <w:rFonts w:cs="Times New Roman"/>
          <w:szCs w:val="24"/>
        </w:rPr>
        <w:t xml:space="preserve"> in dissent; </w:t>
      </w:r>
      <w:r w:rsidRPr="001D4494">
        <w:rPr>
          <w:rFonts w:cs="Times New Roman"/>
          <w:i/>
          <w:szCs w:val="24"/>
        </w:rPr>
        <w:t>R. v. Chaulk</w:t>
      </w:r>
      <w:r w:rsidRPr="001D4494">
        <w:rPr>
          <w:rFonts w:cs="Times New Roman"/>
          <w:szCs w:val="24"/>
        </w:rPr>
        <w:t>, [1990] 3 S.C.R. 1303</w:t>
      </w:r>
      <w:r>
        <w:rPr>
          <w:rFonts w:cs="Times New Roman"/>
          <w:szCs w:val="24"/>
        </w:rPr>
        <w:t>, at p. 1353,</w:t>
      </w:r>
      <w:r w:rsidRPr="001D4494">
        <w:rPr>
          <w:rFonts w:cs="Times New Roman"/>
          <w:szCs w:val="24"/>
        </w:rPr>
        <w:t xml:space="preserve"> </w:t>
      </w:r>
      <w:r w:rsidRPr="00E32F85">
        <w:rPr>
          <w:rFonts w:cs="Times New Roman"/>
          <w:i/>
          <w:szCs w:val="24"/>
        </w:rPr>
        <w:t>per</w:t>
      </w:r>
      <w:r w:rsidRPr="001D4494">
        <w:rPr>
          <w:rFonts w:cs="Times New Roman"/>
          <w:szCs w:val="24"/>
        </w:rPr>
        <w:t xml:space="preserve"> Lamer C.J. for the majority;</w:t>
      </w:r>
      <w:r w:rsidRPr="001D4494">
        <w:rPr>
          <w:rFonts w:cs="Times New Roman"/>
          <w:i/>
          <w:szCs w:val="24"/>
        </w:rPr>
        <w:t xml:space="preserve"> R. v. B. (K.G.)</w:t>
      </w:r>
      <w:r w:rsidRPr="001D4494">
        <w:rPr>
          <w:rFonts w:cs="Times New Roman"/>
          <w:szCs w:val="24"/>
        </w:rPr>
        <w:t>, [1993] 1 S.C.R. 740;</w:t>
      </w:r>
      <w:r w:rsidRPr="001D4494">
        <w:rPr>
          <w:rFonts w:cs="Times New Roman"/>
          <w:i/>
          <w:szCs w:val="24"/>
        </w:rPr>
        <w:t xml:space="preserve"> R. v. Robinson</w:t>
      </w:r>
      <w:r w:rsidRPr="001D4494">
        <w:rPr>
          <w:rFonts w:cs="Times New Roman"/>
          <w:szCs w:val="24"/>
        </w:rPr>
        <w:t xml:space="preserve">, [1996] 1 S.C.R. 683.  </w:t>
      </w:r>
    </w:p>
    <w:p w:rsidR="00A00D29" w:rsidRPr="001D4494" w:rsidRDefault="00A00D29" w:rsidP="00613CC7">
      <w:pPr>
        <w:pStyle w:val="ReasonsNumbering-AltN"/>
        <w:ind w:left="0" w:firstLine="0"/>
        <w:rPr>
          <w:rFonts w:cs="Times New Roman"/>
          <w:szCs w:val="24"/>
        </w:rPr>
      </w:pPr>
      <w:r w:rsidRPr="001D4494">
        <w:rPr>
          <w:rFonts w:cs="Times New Roman"/>
          <w:szCs w:val="24"/>
        </w:rPr>
        <w:t>However, in order to overrule its own precedent, the Court must be satisfied, based upon substantial reasons, that the precedent was wrongly decided.  It is not appropriate simply because of a change in the composition of the Court that precedent should be overturned, because o</w:t>
      </w:r>
      <w:r>
        <w:rPr>
          <w:rFonts w:cs="Times New Roman"/>
          <w:szCs w:val="24"/>
        </w:rPr>
        <w:t>f the views of newly appointed j</w:t>
      </w:r>
      <w:r w:rsidRPr="001D4494">
        <w:rPr>
          <w:rFonts w:cs="Times New Roman"/>
          <w:szCs w:val="24"/>
        </w:rPr>
        <w:t xml:space="preserve">udges.  There must be compelling reasons to justify overruling: </w:t>
      </w:r>
      <w:r w:rsidRPr="001D4494">
        <w:rPr>
          <w:rFonts w:cs="Times New Roman"/>
          <w:i/>
          <w:szCs w:val="24"/>
        </w:rPr>
        <w:t>R. v. Salituro</w:t>
      </w:r>
      <w:r w:rsidRPr="001D4494">
        <w:rPr>
          <w:rFonts w:cs="Times New Roman"/>
          <w:szCs w:val="24"/>
        </w:rPr>
        <w:t>, [1991] 3 S.C.R. 654</w:t>
      </w:r>
      <w:r>
        <w:rPr>
          <w:rFonts w:cs="Times New Roman"/>
          <w:szCs w:val="24"/>
        </w:rPr>
        <w:t>,</w:t>
      </w:r>
      <w:r w:rsidRPr="001D4494">
        <w:rPr>
          <w:rFonts w:cs="Times New Roman"/>
          <w:szCs w:val="24"/>
        </w:rPr>
        <w:t xml:space="preserve"> at </w:t>
      </w:r>
      <w:r>
        <w:rPr>
          <w:rFonts w:cs="Times New Roman"/>
          <w:szCs w:val="24"/>
        </w:rPr>
        <w:t xml:space="preserve">p. </w:t>
      </w:r>
      <w:r w:rsidRPr="001D4494">
        <w:rPr>
          <w:rFonts w:cs="Times New Roman"/>
          <w:szCs w:val="24"/>
        </w:rPr>
        <w:t xml:space="preserve">665; </w:t>
      </w:r>
      <w:r w:rsidRPr="001D4494">
        <w:rPr>
          <w:rFonts w:cs="Times New Roman"/>
          <w:i/>
          <w:szCs w:val="24"/>
        </w:rPr>
        <w:t>Hamstra (Guardian ad litem of) v. British Columbia Rugby Union</w:t>
      </w:r>
      <w:r w:rsidRPr="001D4494">
        <w:rPr>
          <w:rFonts w:cs="Times New Roman"/>
          <w:szCs w:val="24"/>
        </w:rPr>
        <w:t>, [1997] 1 S.C.R. 1092</w:t>
      </w:r>
      <w:r>
        <w:rPr>
          <w:rFonts w:cs="Times New Roman"/>
          <w:szCs w:val="24"/>
        </w:rPr>
        <w:t>,</w:t>
      </w:r>
      <w:r w:rsidRPr="001D4494">
        <w:rPr>
          <w:rFonts w:cs="Times New Roman"/>
          <w:szCs w:val="24"/>
        </w:rPr>
        <w:t xml:space="preserve"> at paras. 18-19; </w:t>
      </w:r>
      <w:r w:rsidRPr="001D4494">
        <w:rPr>
          <w:rFonts w:cs="Times New Roman"/>
          <w:i/>
          <w:szCs w:val="24"/>
        </w:rPr>
        <w:t>R. v. Henry</w:t>
      </w:r>
      <w:r w:rsidRPr="001D4494">
        <w:rPr>
          <w:rFonts w:cs="Times New Roman"/>
          <w:szCs w:val="24"/>
        </w:rPr>
        <w:t>,</w:t>
      </w:r>
      <w:r>
        <w:rPr>
          <w:rFonts w:cs="Times New Roman"/>
          <w:szCs w:val="24"/>
        </w:rPr>
        <w:t xml:space="preserve"> 2005 SCC 76,</w:t>
      </w:r>
      <w:r w:rsidRPr="001D4494">
        <w:rPr>
          <w:rFonts w:cs="Times New Roman"/>
          <w:szCs w:val="24"/>
        </w:rPr>
        <w:t xml:space="preserve"> [2005] 3 S.C.R. 609</w:t>
      </w:r>
      <w:r>
        <w:rPr>
          <w:rFonts w:cs="Times New Roman"/>
          <w:szCs w:val="24"/>
        </w:rPr>
        <w:t>, at para. 44.</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This Court’s most recent pronouncement on the question of overruling was in </w:t>
      </w:r>
      <w:r w:rsidRPr="001D4494">
        <w:rPr>
          <w:rFonts w:cs="Times New Roman"/>
          <w:i/>
          <w:szCs w:val="24"/>
        </w:rPr>
        <w:t>Henry</w:t>
      </w:r>
      <w:r w:rsidRPr="001D4494">
        <w:rPr>
          <w:rFonts w:cs="Times New Roman"/>
          <w:szCs w:val="24"/>
        </w:rPr>
        <w:t>.  Writing for the Court, Justice Binnie first noted at para. 44 that the Court’s practice is against departing from precedent unless there are compelling reasons to do so.  How</w:t>
      </w:r>
      <w:r>
        <w:rPr>
          <w:rFonts w:cs="Times New Roman"/>
          <w:szCs w:val="24"/>
        </w:rPr>
        <w:t>ever, he also recognized that “</w:t>
      </w:r>
      <w:r w:rsidRPr="001D4494">
        <w:rPr>
          <w:rFonts w:cs="Times New Roman"/>
          <w:szCs w:val="24"/>
        </w:rPr>
        <w:t>while rare, depar</w:t>
      </w:r>
      <w:r>
        <w:rPr>
          <w:rFonts w:cs="Times New Roman"/>
          <w:szCs w:val="24"/>
        </w:rPr>
        <w:t xml:space="preserve">tures [from </w:t>
      </w:r>
      <w:r>
        <w:rPr>
          <w:rFonts w:cs="Times New Roman"/>
          <w:szCs w:val="24"/>
        </w:rPr>
        <w:lastRenderedPageBreak/>
        <w:t>precedent] do occur</w:t>
      </w:r>
      <w:r w:rsidRPr="001D4494">
        <w:rPr>
          <w:rFonts w:cs="Times New Roman"/>
          <w:szCs w:val="24"/>
        </w:rPr>
        <w:t>”</w:t>
      </w:r>
      <w:r>
        <w:rPr>
          <w:rFonts w:cs="Times New Roman"/>
          <w:szCs w:val="24"/>
        </w:rPr>
        <w:t>.</w:t>
      </w:r>
      <w:r w:rsidRPr="001D4494">
        <w:rPr>
          <w:rFonts w:cs="Times New Roman"/>
          <w:szCs w:val="24"/>
        </w:rPr>
        <w:t xml:space="preserve">  He further noted that constitutional decisions, including </w:t>
      </w:r>
      <w:r w:rsidRPr="001D4494">
        <w:rPr>
          <w:rFonts w:cs="Times New Roman"/>
          <w:i/>
          <w:szCs w:val="24"/>
        </w:rPr>
        <w:t xml:space="preserve">Charter </w:t>
      </w:r>
      <w:r w:rsidRPr="001D4494">
        <w:rPr>
          <w:rFonts w:cs="Times New Roman"/>
          <w:szCs w:val="24"/>
        </w:rPr>
        <w:t xml:space="preserve">decisions, are not immutable and may be overruled, though he held that “[t]he Court should be particularly careful before reversing a precedent where the effect is to diminish </w:t>
      </w:r>
      <w:r w:rsidRPr="001D4494">
        <w:rPr>
          <w:rFonts w:cs="Times New Roman"/>
          <w:i/>
          <w:szCs w:val="24"/>
        </w:rPr>
        <w:t>Charter</w:t>
      </w:r>
      <w:r w:rsidRPr="001D4494">
        <w:rPr>
          <w:rFonts w:cs="Times New Roman"/>
          <w:szCs w:val="24"/>
        </w:rPr>
        <w:t xml:space="preserve"> protection.”</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 </w:t>
      </w:r>
      <w:r w:rsidRPr="00613CC7">
        <w:t>values</w:t>
      </w:r>
      <w:r w:rsidRPr="001D4494">
        <w:rPr>
          <w:rFonts w:cs="Times New Roman"/>
          <w:szCs w:val="24"/>
        </w:rPr>
        <w:t xml:space="preserve"> of certainty and consistency, which are served by adherence to precedent, are important to the orderly administration of justice in a system based upon the rule of law.  Therefore, judges must proceed with caution when deciding to overrule a prior decision.  The caution and care with wh</w:t>
      </w:r>
      <w:r>
        <w:rPr>
          <w:rFonts w:cs="Times New Roman"/>
          <w:szCs w:val="24"/>
        </w:rPr>
        <w:t>ich a j</w:t>
      </w:r>
      <w:r w:rsidRPr="001D4494">
        <w:rPr>
          <w:rFonts w:cs="Times New Roman"/>
          <w:szCs w:val="24"/>
        </w:rPr>
        <w:t xml:space="preserve">udge must approach the question of overruling was articulated well by Gibbs J. of the High Court of Australia in </w:t>
      </w:r>
      <w:r w:rsidRPr="001D4494">
        <w:rPr>
          <w:rFonts w:cs="Times New Roman"/>
          <w:i/>
          <w:szCs w:val="24"/>
        </w:rPr>
        <w:t>Queensland v. Commonwealth</w:t>
      </w:r>
      <w:r w:rsidRPr="001D4494">
        <w:rPr>
          <w:rFonts w:cs="Times New Roman"/>
          <w:szCs w:val="24"/>
        </w:rPr>
        <w:t xml:space="preserve"> (19</w:t>
      </w:r>
      <w:r>
        <w:rPr>
          <w:rFonts w:cs="Times New Roman"/>
          <w:szCs w:val="24"/>
        </w:rPr>
        <w:t>7</w:t>
      </w:r>
      <w:r w:rsidRPr="001D4494">
        <w:rPr>
          <w:rFonts w:cs="Times New Roman"/>
          <w:szCs w:val="24"/>
        </w:rPr>
        <w:t>7)</w:t>
      </w:r>
      <w:r>
        <w:rPr>
          <w:rFonts w:cs="Times New Roman"/>
          <w:szCs w:val="24"/>
        </w:rPr>
        <w:t>,</w:t>
      </w:r>
      <w:r w:rsidRPr="001D4494">
        <w:rPr>
          <w:rFonts w:cs="Times New Roman"/>
          <w:szCs w:val="24"/>
        </w:rPr>
        <w:t xml:space="preserve"> 139 C.L.R. 585</w:t>
      </w:r>
      <w:r>
        <w:rPr>
          <w:rFonts w:cs="Times New Roman"/>
          <w:szCs w:val="24"/>
        </w:rPr>
        <w:t>,</w:t>
      </w:r>
      <w:r w:rsidRPr="001D4494">
        <w:rPr>
          <w:rFonts w:cs="Times New Roman"/>
          <w:szCs w:val="24"/>
        </w:rPr>
        <w:t xml:space="preserve"> at </w:t>
      </w:r>
      <w:r>
        <w:rPr>
          <w:rFonts w:cs="Times New Roman"/>
          <w:szCs w:val="24"/>
        </w:rPr>
        <w:t xml:space="preserve">p. </w:t>
      </w:r>
      <w:r w:rsidRPr="001D4494">
        <w:rPr>
          <w:rFonts w:cs="Times New Roman"/>
          <w:szCs w:val="24"/>
        </w:rPr>
        <w:t>599</w:t>
      </w:r>
      <w:r>
        <w:rPr>
          <w:rFonts w:cs="Times New Roman"/>
          <w:szCs w:val="24"/>
        </w:rPr>
        <w:t>:</w:t>
      </w:r>
    </w:p>
    <w:p w:rsidR="00A00D29" w:rsidRPr="001D4494" w:rsidRDefault="00A00D29" w:rsidP="00A00D29">
      <w:pPr>
        <w:pStyle w:val="Citation-AltC"/>
      </w:pPr>
      <w:r w:rsidRPr="001D4494">
        <w:t>No Justice is entitled to ignore the decisions and reasoning of his predecessors, and to arrive at his own judgment as though the pages of the law reports were blank, or as though the authority of a decision did not survive beyond the rising of the Court.  A Justice, unlike a legislator, cannot introduce a program</w:t>
      </w:r>
      <w:r>
        <w:t>me</w:t>
      </w:r>
      <w:r w:rsidRPr="001D4494">
        <w:t xml:space="preserve"> of reform which sets at nought decisions formerly made and principles formerly established.  It is only after the most careful and respectful consideration of the earlier decision, and after giving due weight to all the circumstances, that a Justice may give effect to his own opinions </w:t>
      </w:r>
      <w:r>
        <w:t>in</w:t>
      </w:r>
      <w:r w:rsidRPr="001D4494">
        <w:t xml:space="preserve"> preference to an earlier decision of the Court.  </w:t>
      </w:r>
    </w:p>
    <w:p w:rsidR="00A00D29" w:rsidRPr="001D4494" w:rsidRDefault="00A00D29" w:rsidP="00613CC7">
      <w:pPr>
        <w:pStyle w:val="ReasonsNumbering-AltN"/>
        <w:ind w:left="0" w:firstLine="0"/>
        <w:rPr>
          <w:rFonts w:cs="Times New Roman"/>
          <w:szCs w:val="24"/>
        </w:rPr>
      </w:pPr>
      <w:r w:rsidRPr="001D4494">
        <w:rPr>
          <w:rFonts w:cs="Times New Roman"/>
          <w:color w:val="000000"/>
          <w:szCs w:val="24"/>
        </w:rPr>
        <w:t>What</w:t>
      </w:r>
      <w:r w:rsidRPr="001D4494">
        <w:rPr>
          <w:rFonts w:cs="Times New Roman"/>
          <w:szCs w:val="24"/>
        </w:rPr>
        <w:t xml:space="preserve"> the courts are doing when deciding whether to overrule a precedent is a balancing exercise</w:t>
      </w:r>
      <w:r w:rsidRPr="001D4494">
        <w:rPr>
          <w:rFonts w:cs="Times New Roman"/>
          <w:color w:val="000000"/>
          <w:szCs w:val="24"/>
        </w:rPr>
        <w:t xml:space="preserve"> between two important values: correctness and certainty.  A court must ask</w:t>
      </w:r>
      <w:r w:rsidRPr="001D4494">
        <w:rPr>
          <w:rFonts w:cs="Times New Roman"/>
          <w:szCs w:val="24"/>
        </w:rPr>
        <w:t xml:space="preserve"> whether it is preferable to adhere to an incorrect precedent</w:t>
      </w:r>
      <w:r w:rsidRPr="001D4494">
        <w:rPr>
          <w:rFonts w:cs="Times New Roman"/>
          <w:color w:val="000000"/>
          <w:szCs w:val="24"/>
        </w:rPr>
        <w:t xml:space="preserve"> to maintain certainty</w:t>
      </w:r>
      <w:r w:rsidRPr="001D4494">
        <w:rPr>
          <w:rFonts w:cs="Times New Roman"/>
          <w:szCs w:val="24"/>
        </w:rPr>
        <w:t xml:space="preserve"> or to correct the error.  Indeed, because judicial discretion is being exercised, the courts have set down, and academics have suggested, a plethora of </w:t>
      </w:r>
      <w:r w:rsidRPr="001D4494">
        <w:rPr>
          <w:rFonts w:cs="Times New Roman"/>
          <w:szCs w:val="24"/>
        </w:rPr>
        <w:lastRenderedPageBreak/>
        <w:t xml:space="preserve">criteria for courts to consider in deciding between upholding </w:t>
      </w:r>
      <w:proofErr w:type="gramStart"/>
      <w:r w:rsidRPr="001D4494">
        <w:rPr>
          <w:rFonts w:cs="Times New Roman"/>
          <w:szCs w:val="24"/>
        </w:rPr>
        <w:t>precedent</w:t>
      </w:r>
      <w:proofErr w:type="gramEnd"/>
      <w:r w:rsidRPr="001D4494">
        <w:rPr>
          <w:rFonts w:cs="Times New Roman"/>
          <w:szCs w:val="24"/>
        </w:rPr>
        <w:t xml:space="preserve"> and correcting error. </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In </w:t>
      </w:r>
      <w:r w:rsidRPr="001D4494">
        <w:rPr>
          <w:rFonts w:cs="Times New Roman"/>
          <w:i/>
          <w:szCs w:val="24"/>
        </w:rPr>
        <w:t>Bernard</w:t>
      </w:r>
      <w:r w:rsidRPr="001D4494">
        <w:rPr>
          <w:rFonts w:cs="Times New Roman"/>
          <w:szCs w:val="24"/>
        </w:rPr>
        <w:t xml:space="preserve">, </w:t>
      </w:r>
      <w:r w:rsidRPr="00613CC7">
        <w:t>Dickson</w:t>
      </w:r>
      <w:r w:rsidRPr="001D4494">
        <w:rPr>
          <w:rFonts w:cs="Times New Roman"/>
          <w:szCs w:val="24"/>
        </w:rPr>
        <w:t xml:space="preserve"> </w:t>
      </w:r>
      <w:r>
        <w:rPr>
          <w:rFonts w:cs="Times New Roman"/>
          <w:szCs w:val="24"/>
        </w:rPr>
        <w:t>C.</w:t>
      </w:r>
      <w:r w:rsidRPr="001D4494">
        <w:rPr>
          <w:rFonts w:cs="Times New Roman"/>
          <w:szCs w:val="24"/>
        </w:rPr>
        <w:t>J. in dissent, identified four reasons for overruling a</w:t>
      </w:r>
      <w:r>
        <w:rPr>
          <w:rFonts w:cs="Times New Roman"/>
          <w:szCs w:val="24"/>
        </w:rPr>
        <w:t>n earlier precedent, at pp. 850-</w:t>
      </w:r>
      <w:r w:rsidRPr="001D4494">
        <w:rPr>
          <w:rFonts w:cs="Times New Roman"/>
          <w:szCs w:val="24"/>
        </w:rPr>
        <w:t>61:</w:t>
      </w:r>
    </w:p>
    <w:p w:rsidR="00A00D29" w:rsidRPr="001D4494" w:rsidRDefault="00A00D29" w:rsidP="009A0E4A">
      <w:pPr>
        <w:pStyle w:val="Citation-AltC"/>
        <w:spacing w:after="480" w:line="480" w:lineRule="auto"/>
        <w:ind w:hanging="1166"/>
        <w:contextualSpacing w:val="0"/>
      </w:pPr>
      <w:r w:rsidRPr="001D4494">
        <w:t>1.</w:t>
      </w:r>
      <w:r w:rsidRPr="001D4494">
        <w:tab/>
        <w:t xml:space="preserve">Decisions that predate the </w:t>
      </w:r>
      <w:r w:rsidRPr="001D4494">
        <w:rPr>
          <w:i/>
        </w:rPr>
        <w:t>Charter</w:t>
      </w:r>
      <w:r w:rsidRPr="001D4494">
        <w:t xml:space="preserve"> and fail to reflect </w:t>
      </w:r>
      <w:r w:rsidRPr="001D4494">
        <w:rPr>
          <w:i/>
        </w:rPr>
        <w:t>Charter</w:t>
      </w:r>
      <w:r w:rsidRPr="001D4494">
        <w:t xml:space="preserve"> values;</w:t>
      </w:r>
    </w:p>
    <w:p w:rsidR="00A00D29" w:rsidRPr="001D4494" w:rsidRDefault="00A00D29" w:rsidP="009A0E4A">
      <w:pPr>
        <w:pStyle w:val="Citation-AltC"/>
        <w:spacing w:after="480" w:line="480" w:lineRule="auto"/>
        <w:ind w:hanging="1166"/>
        <w:contextualSpacing w:val="0"/>
      </w:pPr>
      <w:r w:rsidRPr="001D4494">
        <w:t>2.</w:t>
      </w:r>
      <w:r w:rsidRPr="001D4494">
        <w:tab/>
        <w:t>Subsequent developments in the law that undermine the validity of the precedent;</w:t>
      </w:r>
    </w:p>
    <w:p w:rsidR="00A00D29" w:rsidRPr="001D4494" w:rsidRDefault="00A00D29" w:rsidP="009A0E4A">
      <w:pPr>
        <w:pStyle w:val="Citation-AltC"/>
        <w:spacing w:after="480" w:line="480" w:lineRule="auto"/>
        <w:ind w:hanging="1166"/>
        <w:contextualSpacing w:val="0"/>
      </w:pPr>
      <w:r w:rsidRPr="001D4494">
        <w:t>3.</w:t>
      </w:r>
      <w:r w:rsidRPr="001D4494">
        <w:tab/>
        <w:t xml:space="preserve">A prior decision that creates uncertainty contrary to the underlying values of clarity and certainty that lie behind </w:t>
      </w:r>
      <w:r w:rsidRPr="00F7798F">
        <w:rPr>
          <w:i/>
        </w:rPr>
        <w:t xml:space="preserve">stare </w:t>
      </w:r>
      <w:proofErr w:type="spellStart"/>
      <w:r w:rsidRPr="00F7798F">
        <w:rPr>
          <w:i/>
        </w:rPr>
        <w:t>decisis</w:t>
      </w:r>
      <w:proofErr w:type="spellEnd"/>
      <w:r w:rsidRPr="001D4494">
        <w:t>;</w:t>
      </w:r>
    </w:p>
    <w:p w:rsidR="00A00D29" w:rsidRPr="001D4494" w:rsidRDefault="00A00D29" w:rsidP="009A0E4A">
      <w:pPr>
        <w:pStyle w:val="Citation-AltC"/>
        <w:spacing w:after="480" w:line="480" w:lineRule="auto"/>
        <w:ind w:hanging="1166"/>
        <w:contextualSpacing w:val="0"/>
      </w:pPr>
      <w:r w:rsidRPr="001D4494">
        <w:t>4.</w:t>
      </w:r>
      <w:r w:rsidRPr="001D4494">
        <w:tab/>
        <w:t>A prior decision that operates against the accused by expanding the scope of criminal liability beyond its normal limits.</w:t>
      </w:r>
    </w:p>
    <w:p w:rsidR="00A00D29" w:rsidRPr="001D4494" w:rsidRDefault="00A00D29" w:rsidP="00A00D29">
      <w:pPr>
        <w:pStyle w:val="ContinueReasonsNo-AltP"/>
        <w:rPr>
          <w:rFonts w:cs="Times New Roman"/>
          <w:szCs w:val="24"/>
        </w:rPr>
      </w:pPr>
      <w:r w:rsidRPr="001D4494">
        <w:rPr>
          <w:rFonts w:cs="Times New Roman"/>
          <w:szCs w:val="24"/>
        </w:rPr>
        <w:t xml:space="preserve">These factors were subsequently adopted by the majority in </w:t>
      </w:r>
      <w:r w:rsidRPr="001D4494">
        <w:rPr>
          <w:rFonts w:cs="Times New Roman"/>
          <w:i/>
          <w:szCs w:val="24"/>
        </w:rPr>
        <w:t>Chaulk</w:t>
      </w:r>
      <w:r w:rsidRPr="001D4494">
        <w:rPr>
          <w:rFonts w:cs="Times New Roman"/>
          <w:szCs w:val="24"/>
        </w:rPr>
        <w:t xml:space="preserve"> as a non-exhaustive list of considerations relevant to deciding whether to overrule an earlier precedent </w:t>
      </w:r>
      <w:r w:rsidR="00E52729">
        <w:rPr>
          <w:rFonts w:cs="Times New Roman"/>
          <w:szCs w:val="24"/>
        </w:rPr>
        <w:t>(</w:t>
      </w:r>
      <w:r w:rsidRPr="001D4494">
        <w:rPr>
          <w:rFonts w:cs="Times New Roman"/>
          <w:szCs w:val="24"/>
        </w:rPr>
        <w:t>p. 1353</w:t>
      </w:r>
      <w:r w:rsidR="00E52729">
        <w:rPr>
          <w:rFonts w:cs="Times New Roman"/>
          <w:szCs w:val="24"/>
        </w:rPr>
        <w:t>)</w:t>
      </w:r>
      <w:r w:rsidRPr="001D4494">
        <w:rPr>
          <w:rFonts w:cs="Times New Roman"/>
          <w:szCs w:val="24"/>
        </w:rPr>
        <w:t>.</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More </w:t>
      </w:r>
      <w:r w:rsidRPr="00613CC7">
        <w:t>recently</w:t>
      </w:r>
      <w:r>
        <w:rPr>
          <w:rFonts w:cs="Times New Roman"/>
          <w:szCs w:val="24"/>
        </w:rPr>
        <w:t>,</w:t>
      </w:r>
      <w:r w:rsidRPr="001D4494">
        <w:rPr>
          <w:rFonts w:cs="Times New Roman"/>
          <w:szCs w:val="24"/>
        </w:rPr>
        <w:t xml:space="preserve"> in </w:t>
      </w:r>
      <w:r w:rsidRPr="001D4494">
        <w:rPr>
          <w:rFonts w:cs="Times New Roman"/>
          <w:i/>
          <w:szCs w:val="24"/>
        </w:rPr>
        <w:t>Henry</w:t>
      </w:r>
      <w:r w:rsidRPr="001D4494">
        <w:rPr>
          <w:rFonts w:cs="Times New Roman"/>
          <w:szCs w:val="24"/>
        </w:rPr>
        <w:t>, Binnie J. identified the following reasons for overturning an earlier precedent</w:t>
      </w:r>
      <w:r>
        <w:rPr>
          <w:rFonts w:cs="Times New Roman"/>
          <w:szCs w:val="24"/>
        </w:rPr>
        <w:t>, at paras. 45-46</w:t>
      </w:r>
      <w:r w:rsidRPr="001D4494">
        <w:rPr>
          <w:rFonts w:cs="Times New Roman"/>
          <w:szCs w:val="24"/>
        </w:rPr>
        <w:t>:</w:t>
      </w:r>
    </w:p>
    <w:p w:rsidR="00A00D29" w:rsidRPr="001D4494" w:rsidRDefault="00A00D29" w:rsidP="009A0E4A">
      <w:pPr>
        <w:pStyle w:val="Citation-AltC"/>
        <w:spacing w:after="480" w:line="480" w:lineRule="auto"/>
        <w:ind w:hanging="1166"/>
        <w:contextualSpacing w:val="0"/>
      </w:pPr>
      <w:r w:rsidRPr="001D4494">
        <w:lastRenderedPageBreak/>
        <w:t>1.</w:t>
      </w:r>
      <w:r w:rsidRPr="001D4494">
        <w:tab/>
        <w:t xml:space="preserve">The prior decision departed from the purpose of a </w:t>
      </w:r>
      <w:r w:rsidRPr="0074715E">
        <w:rPr>
          <w:i/>
        </w:rPr>
        <w:t>Charter</w:t>
      </w:r>
      <w:r w:rsidRPr="001D4494">
        <w:t xml:space="preserve"> provision as articulated in an earlier precedent;</w:t>
      </w:r>
    </w:p>
    <w:p w:rsidR="00A00D29" w:rsidRPr="001D4494" w:rsidRDefault="00A00D29" w:rsidP="009A0E4A">
      <w:pPr>
        <w:pStyle w:val="Citation-AltC"/>
        <w:spacing w:after="480" w:line="480" w:lineRule="auto"/>
        <w:ind w:hanging="1166"/>
        <w:contextualSpacing w:val="0"/>
      </w:pPr>
      <w:r w:rsidRPr="001D4494">
        <w:t>2.</w:t>
      </w:r>
      <w:r w:rsidRPr="001D4494">
        <w:tab/>
        <w:t>Experience shows that the prior decision is unworkable as its application is unnecessarily complex and technical;</w:t>
      </w:r>
    </w:p>
    <w:p w:rsidR="00A00D29" w:rsidRPr="001D4494" w:rsidRDefault="00A00D29" w:rsidP="009A0E4A">
      <w:pPr>
        <w:pStyle w:val="Citation-AltC"/>
        <w:spacing w:after="480" w:line="480" w:lineRule="auto"/>
        <w:ind w:hanging="1166"/>
        <w:contextualSpacing w:val="0"/>
      </w:pPr>
      <w:r w:rsidRPr="001D4494">
        <w:t>3.</w:t>
      </w:r>
      <w:r w:rsidRPr="001D4494">
        <w:tab/>
        <w:t>The prior decision is contrary to sound principle;</w:t>
      </w:r>
    </w:p>
    <w:p w:rsidR="00A00D29" w:rsidRPr="001D4494" w:rsidRDefault="00A00D29" w:rsidP="009A0E4A">
      <w:pPr>
        <w:pStyle w:val="Citation-AltC"/>
        <w:spacing w:after="480" w:line="480" w:lineRule="auto"/>
        <w:ind w:hanging="1166"/>
        <w:contextualSpacing w:val="0"/>
      </w:pPr>
      <w:r w:rsidRPr="001D4494">
        <w:t>4.</w:t>
      </w:r>
      <w:r w:rsidRPr="001D4494">
        <w:tab/>
        <w:t>The prior decision results in unfairness.</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 </w:t>
      </w:r>
      <w:r w:rsidRPr="00613CC7">
        <w:t>Supreme</w:t>
      </w:r>
      <w:r w:rsidRPr="001D4494">
        <w:rPr>
          <w:rFonts w:cs="Times New Roman"/>
          <w:szCs w:val="24"/>
        </w:rPr>
        <w:t xml:space="preserve"> Court of the United States has also grappled with identifying the appropr</w:t>
      </w:r>
      <w:r>
        <w:rPr>
          <w:rFonts w:cs="Times New Roman"/>
          <w:szCs w:val="24"/>
        </w:rPr>
        <w:t>iate principles governing when c</w:t>
      </w:r>
      <w:r w:rsidRPr="001D4494">
        <w:rPr>
          <w:rFonts w:cs="Times New Roman"/>
          <w:szCs w:val="24"/>
        </w:rPr>
        <w:t xml:space="preserve">ourts should overrule precedent.  In </w:t>
      </w:r>
      <w:r w:rsidRPr="001D4494">
        <w:rPr>
          <w:rFonts w:cs="Times New Roman"/>
          <w:i/>
          <w:szCs w:val="24"/>
        </w:rPr>
        <w:t>Plann</w:t>
      </w:r>
      <w:r>
        <w:rPr>
          <w:rFonts w:cs="Times New Roman"/>
          <w:i/>
          <w:szCs w:val="24"/>
        </w:rPr>
        <w:t>ed Parenthood of Southeastern Pennsylvania</w:t>
      </w:r>
      <w:r w:rsidRPr="001D4494">
        <w:rPr>
          <w:rFonts w:cs="Times New Roman"/>
          <w:i/>
          <w:szCs w:val="24"/>
        </w:rPr>
        <w:t xml:space="preserve"> v. Casey</w:t>
      </w:r>
      <w:r w:rsidRPr="001D4494">
        <w:rPr>
          <w:rFonts w:cs="Times New Roman"/>
          <w:szCs w:val="24"/>
        </w:rPr>
        <w:t>, 505 U.S. 833 (1992), O’Connor</w:t>
      </w:r>
      <w:r>
        <w:rPr>
          <w:rFonts w:cs="Times New Roman"/>
          <w:szCs w:val="24"/>
        </w:rPr>
        <w:t>, Kennedy and Souter</w:t>
      </w:r>
      <w:r w:rsidRPr="001D4494">
        <w:rPr>
          <w:rFonts w:cs="Times New Roman"/>
          <w:szCs w:val="24"/>
        </w:rPr>
        <w:t xml:space="preserve"> J</w:t>
      </w:r>
      <w:r>
        <w:rPr>
          <w:rFonts w:cs="Times New Roman"/>
          <w:szCs w:val="24"/>
        </w:rPr>
        <w:t>J</w:t>
      </w:r>
      <w:r w:rsidRPr="001D4494">
        <w:rPr>
          <w:rFonts w:cs="Times New Roman"/>
          <w:szCs w:val="24"/>
        </w:rPr>
        <w:t>.,</w:t>
      </w:r>
      <w:r w:rsidR="00800157">
        <w:rPr>
          <w:rFonts w:cs="Times New Roman"/>
          <w:szCs w:val="24"/>
        </w:rPr>
        <w:t xml:space="preserve"> writing for a majority of the c</w:t>
      </w:r>
      <w:r w:rsidRPr="001D4494">
        <w:rPr>
          <w:rFonts w:cs="Times New Roman"/>
          <w:szCs w:val="24"/>
        </w:rPr>
        <w:t xml:space="preserve">ourt on </w:t>
      </w:r>
      <w:r w:rsidR="00800157">
        <w:rPr>
          <w:rFonts w:cs="Times New Roman"/>
          <w:szCs w:val="24"/>
        </w:rPr>
        <w:t>this point, held that when the c</w:t>
      </w:r>
      <w:r w:rsidRPr="001D4494">
        <w:rPr>
          <w:rFonts w:cs="Times New Roman"/>
          <w:szCs w:val="24"/>
        </w:rPr>
        <w:t>ourt considers whether to overrule an earlier case, “its judgment is customarily informed by a series of prudential and pragmatic considerations designed to test the consistency of overruling a prior decision with the ideal of the rule of law, and to gauge the respective costs of reaffirm</w:t>
      </w:r>
      <w:r>
        <w:rPr>
          <w:rFonts w:cs="Times New Roman"/>
          <w:szCs w:val="24"/>
        </w:rPr>
        <w:t>ing and overruling a prior case</w:t>
      </w:r>
      <w:r w:rsidRPr="001D4494">
        <w:rPr>
          <w:rFonts w:cs="Times New Roman"/>
          <w:szCs w:val="24"/>
        </w:rPr>
        <w:t>”</w:t>
      </w:r>
      <w:r>
        <w:rPr>
          <w:rFonts w:cs="Times New Roman"/>
          <w:szCs w:val="24"/>
        </w:rPr>
        <w:t xml:space="preserve"> (p. 854).</w:t>
      </w:r>
      <w:r w:rsidRPr="001D4494">
        <w:rPr>
          <w:rFonts w:cs="Times New Roman"/>
          <w:szCs w:val="24"/>
        </w:rPr>
        <w:t xml:space="preserve">  To this end, </w:t>
      </w:r>
      <w:r w:rsidR="00E52729">
        <w:rPr>
          <w:rFonts w:cs="Times New Roman"/>
          <w:szCs w:val="24"/>
        </w:rPr>
        <w:t>they</w:t>
      </w:r>
      <w:r w:rsidRPr="001D4494">
        <w:rPr>
          <w:rFonts w:cs="Times New Roman"/>
          <w:szCs w:val="24"/>
        </w:rPr>
        <w:t xml:space="preserve"> articulated four factors to be considered in deciding whether to overrule precedent</w:t>
      </w:r>
      <w:r>
        <w:rPr>
          <w:rFonts w:cs="Times New Roman"/>
          <w:szCs w:val="24"/>
        </w:rPr>
        <w:t>,</w:t>
      </w:r>
      <w:r w:rsidRPr="001D4494">
        <w:rPr>
          <w:rFonts w:cs="Times New Roman"/>
          <w:szCs w:val="24"/>
        </w:rPr>
        <w:t xml:space="preserve"> at p</w:t>
      </w:r>
      <w:r>
        <w:rPr>
          <w:rFonts w:cs="Times New Roman"/>
          <w:szCs w:val="24"/>
        </w:rPr>
        <w:t>p</w:t>
      </w:r>
      <w:r w:rsidRPr="001D4494">
        <w:rPr>
          <w:rFonts w:cs="Times New Roman"/>
          <w:szCs w:val="24"/>
        </w:rPr>
        <w:t>. 854</w:t>
      </w:r>
      <w:r>
        <w:rPr>
          <w:rFonts w:cs="Times New Roman"/>
          <w:szCs w:val="24"/>
        </w:rPr>
        <w:t>-55</w:t>
      </w:r>
      <w:r w:rsidRPr="001D4494">
        <w:rPr>
          <w:rFonts w:cs="Times New Roman"/>
          <w:szCs w:val="24"/>
        </w:rPr>
        <w:t xml:space="preserve">: </w:t>
      </w:r>
    </w:p>
    <w:p w:rsidR="00A00D29" w:rsidRPr="001D4494" w:rsidRDefault="00A00D29" w:rsidP="009A0E4A">
      <w:pPr>
        <w:pStyle w:val="Citation-AltC"/>
        <w:spacing w:after="480" w:line="480" w:lineRule="auto"/>
        <w:ind w:hanging="1166"/>
        <w:contextualSpacing w:val="0"/>
      </w:pPr>
      <w:r w:rsidRPr="001D4494">
        <w:t>1.</w:t>
      </w:r>
      <w:r w:rsidRPr="001D4494">
        <w:tab/>
        <w:t>Has the rule proved to be intolerable because it defies workability?</w:t>
      </w:r>
    </w:p>
    <w:p w:rsidR="00A00D29" w:rsidRPr="001D4494" w:rsidRDefault="00A00D29" w:rsidP="009A0E4A">
      <w:pPr>
        <w:pStyle w:val="Citation-AltC"/>
        <w:spacing w:after="480" w:line="480" w:lineRule="auto"/>
        <w:ind w:hanging="1166"/>
        <w:contextualSpacing w:val="0"/>
      </w:pPr>
      <w:r w:rsidRPr="001D4494">
        <w:lastRenderedPageBreak/>
        <w:t>2.</w:t>
      </w:r>
      <w:r w:rsidRPr="001D4494">
        <w:tab/>
        <w:t>Is the rule subject to a reliance that would lend a special hardship to the consequences of overruling and add inequity to the cost of repudiation?</w:t>
      </w:r>
    </w:p>
    <w:p w:rsidR="00A00D29" w:rsidRPr="001D4494" w:rsidRDefault="00A00D29" w:rsidP="009A0E4A">
      <w:pPr>
        <w:pStyle w:val="Citation-AltC"/>
        <w:spacing w:after="480" w:line="480" w:lineRule="auto"/>
        <w:ind w:hanging="1166"/>
        <w:contextualSpacing w:val="0"/>
      </w:pPr>
      <w:r w:rsidRPr="001D4494">
        <w:t>3.</w:t>
      </w:r>
      <w:r w:rsidRPr="001D4494">
        <w:tab/>
        <w:t>Have related principles of law developed as to have left the old rule no more than a remnant of abandoned doctrine?</w:t>
      </w:r>
    </w:p>
    <w:p w:rsidR="00A00D29" w:rsidRPr="001D4494" w:rsidRDefault="00A00D29" w:rsidP="009A0E4A">
      <w:pPr>
        <w:pStyle w:val="Citation-AltC"/>
        <w:spacing w:after="480" w:line="480" w:lineRule="auto"/>
        <w:ind w:hanging="1166"/>
        <w:contextualSpacing w:val="0"/>
      </w:pPr>
      <w:r w:rsidRPr="001D4494">
        <w:t>4.</w:t>
      </w:r>
      <w:r w:rsidRPr="001D4494">
        <w:tab/>
        <w:t>Have facts so changed</w:t>
      </w:r>
      <w:r>
        <w:t>,</w:t>
      </w:r>
      <w:r w:rsidRPr="001D4494">
        <w:t xml:space="preserve"> or come to be seen so differently, as to have robbed the old rule of significant application or justification?</w:t>
      </w:r>
    </w:p>
    <w:p w:rsidR="00A00D29" w:rsidRPr="001D4494" w:rsidRDefault="00A00D29" w:rsidP="00613CC7">
      <w:pPr>
        <w:pStyle w:val="ReasonsNumbering-AltN"/>
        <w:ind w:left="0" w:firstLine="0"/>
        <w:rPr>
          <w:rFonts w:cs="Times New Roman"/>
          <w:szCs w:val="24"/>
        </w:rPr>
      </w:pPr>
      <w:r>
        <w:rPr>
          <w:rFonts w:cs="Times New Roman"/>
          <w:szCs w:val="24"/>
        </w:rPr>
        <w:t xml:space="preserve">Professor </w:t>
      </w:r>
      <w:r w:rsidRPr="00613CC7">
        <w:t>Debra</w:t>
      </w:r>
      <w:r w:rsidRPr="001D4494">
        <w:rPr>
          <w:rFonts w:cs="Times New Roman"/>
          <w:szCs w:val="24"/>
        </w:rPr>
        <w:t xml:space="preserve"> Park</w:t>
      </w:r>
      <w:r>
        <w:rPr>
          <w:rFonts w:cs="Times New Roman"/>
          <w:szCs w:val="24"/>
        </w:rPr>
        <w:t>e</w:t>
      </w:r>
      <w:r w:rsidRPr="001D4494">
        <w:rPr>
          <w:rFonts w:cs="Times New Roman"/>
          <w:szCs w:val="24"/>
        </w:rPr>
        <w:t>s has summarized eight criteria suggested by Professor B.</w:t>
      </w:r>
      <w:r>
        <w:rPr>
          <w:rFonts w:cs="Times New Roman"/>
          <w:szCs w:val="24"/>
        </w:rPr>
        <w:t xml:space="preserve"> </w:t>
      </w:r>
      <w:r w:rsidRPr="001D4494">
        <w:rPr>
          <w:rFonts w:cs="Times New Roman"/>
          <w:szCs w:val="24"/>
        </w:rPr>
        <w:t>V. Harris as follows:</w:t>
      </w:r>
    </w:p>
    <w:p w:rsidR="00A00D29" w:rsidRPr="001D4494" w:rsidRDefault="00A00D29" w:rsidP="009A0E4A">
      <w:pPr>
        <w:pStyle w:val="Citation-AltC"/>
        <w:spacing w:after="480" w:line="480" w:lineRule="auto"/>
        <w:ind w:hanging="1166"/>
        <w:contextualSpacing w:val="0"/>
      </w:pPr>
      <w:r w:rsidRPr="001D4494">
        <w:t>1.</w:t>
      </w:r>
      <w:r w:rsidRPr="001D4494">
        <w:tab/>
        <w:t>Can the precedent be distinguished?</w:t>
      </w:r>
    </w:p>
    <w:p w:rsidR="00A00D29" w:rsidRPr="001D4494" w:rsidRDefault="00A00D29" w:rsidP="009A0E4A">
      <w:pPr>
        <w:pStyle w:val="Citation-AltC"/>
        <w:spacing w:after="480" w:line="480" w:lineRule="auto"/>
        <w:ind w:hanging="1166"/>
        <w:contextualSpacing w:val="0"/>
      </w:pPr>
      <w:r w:rsidRPr="001D4494">
        <w:t>2.</w:t>
      </w:r>
      <w:r w:rsidRPr="001D4494">
        <w:tab/>
        <w:t xml:space="preserve">Was it decided </w:t>
      </w:r>
      <w:r w:rsidRPr="003F0D00">
        <w:rPr>
          <w:i/>
        </w:rPr>
        <w:t xml:space="preserve">per </w:t>
      </w:r>
      <w:proofErr w:type="spellStart"/>
      <w:r w:rsidRPr="003F0D00">
        <w:rPr>
          <w:i/>
        </w:rPr>
        <w:t>incuriam</w:t>
      </w:r>
      <w:proofErr w:type="spellEnd"/>
      <w:r w:rsidRPr="001D4494">
        <w:t>?</w:t>
      </w:r>
    </w:p>
    <w:p w:rsidR="00A00D29" w:rsidRPr="001D4494" w:rsidRDefault="00A00D29" w:rsidP="009A0E4A">
      <w:pPr>
        <w:pStyle w:val="Citation-AltC"/>
        <w:spacing w:after="480" w:line="480" w:lineRule="auto"/>
        <w:ind w:hanging="1166"/>
        <w:contextualSpacing w:val="0"/>
      </w:pPr>
      <w:r w:rsidRPr="001D4494">
        <w:t>3.</w:t>
      </w:r>
      <w:r w:rsidRPr="001D4494">
        <w:tab/>
        <w:t>Is the precedent unworkable?</w:t>
      </w:r>
    </w:p>
    <w:p w:rsidR="00A00D29" w:rsidRPr="001D4494" w:rsidRDefault="00A00D29" w:rsidP="009A0E4A">
      <w:pPr>
        <w:pStyle w:val="Citation-AltC"/>
        <w:spacing w:after="480" w:line="480" w:lineRule="auto"/>
        <w:ind w:hanging="1166"/>
        <w:contextualSpacing w:val="0"/>
      </w:pPr>
      <w:r w:rsidRPr="001D4494">
        <w:t>4.</w:t>
      </w:r>
      <w:r w:rsidRPr="001D4494">
        <w:tab/>
        <w:t xml:space="preserve">Are new reasons advanced not considered in the earlier case? </w:t>
      </w:r>
    </w:p>
    <w:p w:rsidR="00A00D29" w:rsidRPr="001D4494" w:rsidRDefault="00A00D29" w:rsidP="009A0E4A">
      <w:pPr>
        <w:pStyle w:val="Citation-AltC"/>
        <w:spacing w:after="480" w:line="480" w:lineRule="auto"/>
        <w:ind w:hanging="1166"/>
        <w:contextualSpacing w:val="0"/>
      </w:pPr>
      <w:r w:rsidRPr="001D4494">
        <w:t>5.</w:t>
      </w:r>
      <w:r w:rsidRPr="001D4494">
        <w:tab/>
        <w:t>Does the law now view the precedent to be wrong?</w:t>
      </w:r>
    </w:p>
    <w:p w:rsidR="00A00D29" w:rsidRPr="001D4494" w:rsidRDefault="00A00D29" w:rsidP="009A0E4A">
      <w:pPr>
        <w:pStyle w:val="Citation-AltC"/>
        <w:spacing w:after="480" w:line="480" w:lineRule="auto"/>
        <w:ind w:hanging="1166"/>
        <w:contextualSpacing w:val="0"/>
      </w:pPr>
      <w:r w:rsidRPr="001D4494">
        <w:t>6.</w:t>
      </w:r>
      <w:r w:rsidRPr="001D4494">
        <w:tab/>
      </w:r>
      <w:r>
        <w:t>Do</w:t>
      </w:r>
      <w:r w:rsidRPr="001D4494">
        <w:t xml:space="preserve"> the values underlying error correction or doing justice </w:t>
      </w:r>
      <w:proofErr w:type="gramStart"/>
      <w:r w:rsidRPr="001D4494">
        <w:t>outweigh</w:t>
      </w:r>
      <w:proofErr w:type="gramEnd"/>
      <w:r w:rsidRPr="001D4494">
        <w:t xml:space="preserve"> the values of adherence to </w:t>
      </w:r>
      <w:r w:rsidRPr="001D4494">
        <w:rPr>
          <w:i/>
        </w:rPr>
        <w:t xml:space="preserve">stare </w:t>
      </w:r>
      <w:proofErr w:type="spellStart"/>
      <w:r w:rsidRPr="001D4494">
        <w:rPr>
          <w:i/>
        </w:rPr>
        <w:t>decisis</w:t>
      </w:r>
      <w:proofErr w:type="spellEnd"/>
      <w:r w:rsidRPr="001D4494">
        <w:t>?</w:t>
      </w:r>
    </w:p>
    <w:p w:rsidR="00A00D29" w:rsidRPr="001D4494" w:rsidRDefault="00A00D29" w:rsidP="009A0E4A">
      <w:pPr>
        <w:pStyle w:val="Citation-AltC"/>
        <w:spacing w:after="480" w:line="480" w:lineRule="auto"/>
        <w:ind w:hanging="1166"/>
        <w:contextualSpacing w:val="0"/>
      </w:pPr>
      <w:r w:rsidRPr="001D4494">
        <w:lastRenderedPageBreak/>
        <w:t>7.</w:t>
      </w:r>
      <w:r w:rsidRPr="001D4494">
        <w:tab/>
        <w:t>Would error be swiftly corrected by the legislature in non-constitutional cases?</w:t>
      </w:r>
    </w:p>
    <w:p w:rsidR="00A00D29" w:rsidRPr="001D4494" w:rsidRDefault="00A00D29" w:rsidP="009A0E4A">
      <w:pPr>
        <w:pStyle w:val="Citation-AltC"/>
        <w:spacing w:after="480" w:line="480" w:lineRule="auto"/>
        <w:ind w:hanging="1166"/>
        <w:contextualSpacing w:val="0"/>
      </w:pPr>
      <w:r w:rsidRPr="001D4494">
        <w:t>8.</w:t>
      </w:r>
      <w:r w:rsidRPr="001D4494">
        <w:tab/>
        <w:t>Are foundational principles of human and civil rights involved?</w:t>
      </w:r>
    </w:p>
    <w:p w:rsidR="00A00D29" w:rsidRPr="001D4494" w:rsidRDefault="00A00D29" w:rsidP="00613CC7">
      <w:pPr>
        <w:pStyle w:val="ContinueParaSuitedupar-AltP"/>
      </w:pPr>
      <w:r>
        <w:t>See D.</w:t>
      </w:r>
      <w:r w:rsidRPr="001D4494">
        <w:t xml:space="preserve"> Parkes, “Precedent Unbound? Contemporary Approaches to Precedent in Canada” (2006)</w:t>
      </w:r>
      <w:r>
        <w:t>,</w:t>
      </w:r>
      <w:r w:rsidRPr="001D4494">
        <w:t xml:space="preserve"> 32 </w:t>
      </w:r>
      <w:r w:rsidRPr="0001359E">
        <w:rPr>
          <w:i/>
        </w:rPr>
        <w:t>Man. L.J.</w:t>
      </w:r>
      <w:r w:rsidRPr="001D4494">
        <w:t xml:space="preserve"> 135</w:t>
      </w:r>
      <w:r>
        <w:t>,</w:t>
      </w:r>
      <w:r w:rsidRPr="001D4494">
        <w:t xml:space="preserve"> at </w:t>
      </w:r>
      <w:r>
        <w:t xml:space="preserve">p. </w:t>
      </w:r>
      <w:r w:rsidRPr="001D4494">
        <w:t>149, citing B</w:t>
      </w:r>
      <w:r w:rsidR="009A0E4A">
        <w:t>. </w:t>
      </w:r>
      <w:r>
        <w:t>V.</w:t>
      </w:r>
      <w:r w:rsidRPr="001D4494">
        <w:t xml:space="preserve"> Harris, “Final Appellate Courts Overruling Their Own ‘Wrong’ Precedents: The Ongoing Search for Principle” (2002)</w:t>
      </w:r>
      <w:r>
        <w:t>,</w:t>
      </w:r>
      <w:r w:rsidRPr="001D4494">
        <w:t xml:space="preserve"> 118 </w:t>
      </w:r>
      <w:r w:rsidRPr="0001359E">
        <w:rPr>
          <w:i/>
        </w:rPr>
        <w:t>L.Q.R.</w:t>
      </w:r>
      <w:r w:rsidRPr="001D4494">
        <w:t xml:space="preserve"> 408.</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If a </w:t>
      </w:r>
      <w:r w:rsidRPr="00613CC7">
        <w:t>precedent</w:t>
      </w:r>
      <w:r w:rsidRPr="001D4494">
        <w:rPr>
          <w:rFonts w:cs="Times New Roman"/>
          <w:szCs w:val="24"/>
        </w:rPr>
        <w:t xml:space="preserve"> has overruled prior cases, two sets of precedents exist, </w:t>
      </w:r>
      <w:r w:rsidRPr="001D4494">
        <w:rPr>
          <w:rFonts w:cs="Times New Roman"/>
          <w:color w:val="000000"/>
          <w:szCs w:val="24"/>
        </w:rPr>
        <w:t xml:space="preserve">an original precedent and a new precedent, </w:t>
      </w:r>
      <w:r w:rsidRPr="001D4494">
        <w:rPr>
          <w:rFonts w:cs="Times New Roman"/>
          <w:szCs w:val="24"/>
        </w:rPr>
        <w:t xml:space="preserve">although one has been overruled.  In such cases it will be </w:t>
      </w:r>
      <w:r w:rsidRPr="001D4494">
        <w:rPr>
          <w:rFonts w:cs="Times New Roman"/>
          <w:color w:val="000000"/>
          <w:szCs w:val="24"/>
        </w:rPr>
        <w:t xml:space="preserve">more </w:t>
      </w:r>
      <w:r w:rsidRPr="001D4494">
        <w:rPr>
          <w:rFonts w:cs="Times New Roman"/>
          <w:szCs w:val="24"/>
        </w:rPr>
        <w:t xml:space="preserve">important to carefully scrutinize the </w:t>
      </w:r>
      <w:r w:rsidRPr="001D4494">
        <w:rPr>
          <w:rFonts w:cs="Times New Roman"/>
          <w:color w:val="000000"/>
          <w:szCs w:val="24"/>
        </w:rPr>
        <w:t xml:space="preserve">new </w:t>
      </w:r>
      <w:r w:rsidRPr="001D4494">
        <w:rPr>
          <w:rFonts w:cs="Times New Roman"/>
          <w:szCs w:val="24"/>
        </w:rPr>
        <w:t xml:space="preserve">precedent to determine if it has strayed from sound prior decisions and whether it would be preferable to return to the original, and more sound, decisions.  In </w:t>
      </w:r>
      <w:r w:rsidRPr="001D4494">
        <w:rPr>
          <w:rFonts w:cs="Times New Roman"/>
          <w:i/>
          <w:szCs w:val="24"/>
        </w:rPr>
        <w:t>Adarand Constructors</w:t>
      </w:r>
      <w:r>
        <w:rPr>
          <w:rFonts w:cs="Times New Roman"/>
          <w:i/>
          <w:szCs w:val="24"/>
        </w:rPr>
        <w:t>,</w:t>
      </w:r>
      <w:r w:rsidRPr="001D4494">
        <w:rPr>
          <w:rFonts w:cs="Times New Roman"/>
          <w:i/>
          <w:szCs w:val="24"/>
        </w:rPr>
        <w:t xml:space="preserve"> Inc. v. Pena</w:t>
      </w:r>
      <w:r w:rsidRPr="001D4494">
        <w:rPr>
          <w:rFonts w:cs="Times New Roman"/>
          <w:szCs w:val="24"/>
        </w:rPr>
        <w:t>, 515 U.S. 200</w:t>
      </w:r>
      <w:r>
        <w:rPr>
          <w:rFonts w:cs="Times New Roman"/>
          <w:szCs w:val="24"/>
        </w:rPr>
        <w:t xml:space="preserve"> (1995)</w:t>
      </w:r>
      <w:r w:rsidRPr="001D4494">
        <w:rPr>
          <w:rFonts w:cs="Times New Roman"/>
          <w:szCs w:val="24"/>
        </w:rPr>
        <w:t>, O’Connor J. confronted this type of situation.  She stated</w:t>
      </w:r>
      <w:r>
        <w:rPr>
          <w:rFonts w:cs="Times New Roman"/>
          <w:szCs w:val="24"/>
        </w:rPr>
        <w:t>,</w:t>
      </w:r>
      <w:r w:rsidRPr="001D4494">
        <w:rPr>
          <w:rFonts w:cs="Times New Roman"/>
          <w:szCs w:val="24"/>
        </w:rPr>
        <w:t xml:space="preserve"> at p. 231:</w:t>
      </w:r>
    </w:p>
    <w:p w:rsidR="00A00D29" w:rsidRPr="001D4494" w:rsidRDefault="00A00D29" w:rsidP="00A00D29">
      <w:pPr>
        <w:pStyle w:val="Citation-AltC"/>
      </w:pPr>
      <w:r w:rsidRPr="001D4494">
        <w:t xml:space="preserve">Remaining true to an </w:t>
      </w:r>
      <w:r>
        <w:t>“</w:t>
      </w:r>
      <w:r w:rsidRPr="001D4494">
        <w:t>intrinsically sounder</w:t>
      </w:r>
      <w:r>
        <w:t>”</w:t>
      </w:r>
      <w:r w:rsidRPr="001D4494">
        <w:t xml:space="preserve"> doctrine established in prior cases better serves the value</w:t>
      </w:r>
      <w:r>
        <w:t>s</w:t>
      </w:r>
      <w:r w:rsidRPr="001D4494">
        <w:t xml:space="preserve"> of </w:t>
      </w:r>
      <w:r w:rsidRPr="001D4494">
        <w:rPr>
          <w:i/>
        </w:rPr>
        <w:t xml:space="preserve">stare </w:t>
      </w:r>
      <w:proofErr w:type="spellStart"/>
      <w:r w:rsidRPr="001D4494">
        <w:rPr>
          <w:i/>
        </w:rPr>
        <w:t>decisis</w:t>
      </w:r>
      <w:proofErr w:type="spellEnd"/>
      <w:r w:rsidRPr="001D4494">
        <w:t xml:space="preserve"> than would following </w:t>
      </w:r>
      <w:r>
        <w:t>a</w:t>
      </w:r>
      <w:r w:rsidRPr="001D4494">
        <w:t xml:space="preserve"> more recently decided case inconsistent with the decisions that came before it; the latter </w:t>
      </w:r>
      <w:r>
        <w:t xml:space="preserve">course </w:t>
      </w:r>
      <w:r w:rsidRPr="001D4494">
        <w:t xml:space="preserve">would simply compound the recent error and would likely make the unjustified break from previously established doctrine complete. </w:t>
      </w:r>
    </w:p>
    <w:p w:rsidR="00A00D29" w:rsidRPr="001D4494" w:rsidRDefault="00A00D29" w:rsidP="00A00D29">
      <w:pPr>
        <w:pStyle w:val="ContinueReasonsNo-AltP"/>
        <w:rPr>
          <w:rFonts w:cs="Times New Roman"/>
          <w:szCs w:val="24"/>
        </w:rPr>
      </w:pPr>
      <w:r w:rsidRPr="001D4494">
        <w:rPr>
          <w:rFonts w:cs="Times New Roman"/>
          <w:szCs w:val="24"/>
        </w:rPr>
        <w:lastRenderedPageBreak/>
        <w:t xml:space="preserve">Thus, where there exist earlier precedents from which the precedent at issue itself departed, it may be justifiable, based on the values underlying </w:t>
      </w:r>
      <w:r w:rsidRPr="001D4494">
        <w:rPr>
          <w:rFonts w:cs="Times New Roman"/>
          <w:i/>
          <w:szCs w:val="24"/>
        </w:rPr>
        <w:t xml:space="preserve">stare </w:t>
      </w:r>
      <w:proofErr w:type="spellStart"/>
      <w:r w:rsidRPr="001D4494">
        <w:rPr>
          <w:rFonts w:cs="Times New Roman"/>
          <w:i/>
          <w:szCs w:val="24"/>
        </w:rPr>
        <w:t>decisis</w:t>
      </w:r>
      <w:proofErr w:type="spellEnd"/>
      <w:r w:rsidRPr="001D4494">
        <w:rPr>
          <w:rFonts w:cs="Times New Roman"/>
          <w:szCs w:val="24"/>
        </w:rPr>
        <w:t>, for the Court to return to the earlier precedents.</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 criteria </w:t>
      </w:r>
      <w:r w:rsidRPr="00613CC7">
        <w:t>discussed</w:t>
      </w:r>
      <w:r w:rsidRPr="001D4494">
        <w:rPr>
          <w:rFonts w:cs="Times New Roman"/>
          <w:szCs w:val="24"/>
        </w:rPr>
        <w:t xml:space="preserve"> in the above cases and articles may, depending on the circumstances of each case, be relevant in deciding whether overruling is appropriate.  However, these criteria do not represent an exhaustive list of considerations or requirements. Rather, such criteria fun</w:t>
      </w:r>
      <w:r w:rsidR="00E52729">
        <w:rPr>
          <w:rFonts w:cs="Times New Roman"/>
          <w:szCs w:val="24"/>
        </w:rPr>
        <w:t xml:space="preserve">ction as “guidelines to assist </w:t>
      </w:r>
      <w:proofErr w:type="spellStart"/>
      <w:proofErr w:type="gramStart"/>
      <w:r w:rsidRPr="001D4494">
        <w:rPr>
          <w:rFonts w:cs="Times New Roman"/>
          <w:szCs w:val="24"/>
        </w:rPr>
        <w:t>th</w:t>
      </w:r>
      <w:proofErr w:type="spellEnd"/>
      <w:r w:rsidR="00E52729">
        <w:rPr>
          <w:rFonts w:cs="Times New Roman"/>
          <w:szCs w:val="24"/>
        </w:rPr>
        <w:t>[</w:t>
      </w:r>
      <w:proofErr w:type="gramEnd"/>
      <w:r w:rsidRPr="001D4494">
        <w:rPr>
          <w:rFonts w:cs="Times New Roman"/>
          <w:szCs w:val="24"/>
        </w:rPr>
        <w:t xml:space="preserve">e] Court in exercising its discretion”: </w:t>
      </w:r>
      <w:r w:rsidRPr="001D4494">
        <w:rPr>
          <w:rFonts w:cs="Times New Roman"/>
          <w:i/>
          <w:szCs w:val="24"/>
        </w:rPr>
        <w:t>Chaulk</w:t>
      </w:r>
      <w:r>
        <w:rPr>
          <w:rFonts w:cs="Times New Roman"/>
          <w:szCs w:val="24"/>
        </w:rPr>
        <w:t>, at p. 1353,</w:t>
      </w:r>
      <w:r w:rsidRPr="001D4494">
        <w:rPr>
          <w:rFonts w:cs="Times New Roman"/>
          <w:szCs w:val="24"/>
        </w:rPr>
        <w:t xml:space="preserve"> </w:t>
      </w:r>
      <w:r w:rsidRPr="0001359E">
        <w:rPr>
          <w:rFonts w:cs="Times New Roman"/>
          <w:i/>
          <w:szCs w:val="24"/>
        </w:rPr>
        <w:t>per</w:t>
      </w:r>
      <w:r>
        <w:rPr>
          <w:rFonts w:cs="Times New Roman"/>
          <w:szCs w:val="24"/>
        </w:rPr>
        <w:t xml:space="preserve"> Lamer C.J.</w:t>
      </w:r>
      <w:r w:rsidRPr="001D4494">
        <w:rPr>
          <w:rFonts w:cs="Times New Roman"/>
          <w:szCs w:val="24"/>
        </w:rPr>
        <w:t xml:space="preserve">  Fundamentally, the question in every case </w:t>
      </w:r>
      <w:r w:rsidRPr="001D4494">
        <w:rPr>
          <w:rFonts w:cs="Times New Roman"/>
          <w:color w:val="000000"/>
          <w:szCs w:val="24"/>
        </w:rPr>
        <w:t xml:space="preserve">involves </w:t>
      </w:r>
      <w:r>
        <w:rPr>
          <w:rFonts w:cs="Times New Roman"/>
          <w:color w:val="000000"/>
          <w:szCs w:val="24"/>
        </w:rPr>
        <w:t>a balancing: D</w:t>
      </w:r>
      <w:r w:rsidRPr="001D4494">
        <w:rPr>
          <w:rFonts w:cs="Times New Roman"/>
          <w:color w:val="000000"/>
          <w:szCs w:val="24"/>
        </w:rPr>
        <w:t>o</w:t>
      </w:r>
      <w:r w:rsidRPr="001D4494">
        <w:rPr>
          <w:rFonts w:cs="Times New Roman"/>
          <w:szCs w:val="24"/>
        </w:rPr>
        <w:t xml:space="preserve"> the reasons in f</w:t>
      </w:r>
      <w:r>
        <w:rPr>
          <w:rFonts w:cs="Times New Roman"/>
          <w:szCs w:val="24"/>
        </w:rPr>
        <w:t xml:space="preserve">avour of following a precedent — </w:t>
      </w:r>
      <w:r w:rsidRPr="001D4494">
        <w:rPr>
          <w:rFonts w:cs="Times New Roman"/>
          <w:szCs w:val="24"/>
        </w:rPr>
        <w:t>such</w:t>
      </w:r>
      <w:r>
        <w:rPr>
          <w:rFonts w:cs="Times New Roman"/>
          <w:szCs w:val="24"/>
        </w:rPr>
        <w:t xml:space="preserve"> </w:t>
      </w:r>
      <w:r w:rsidRPr="001D4494">
        <w:rPr>
          <w:rFonts w:cs="Times New Roman"/>
          <w:szCs w:val="24"/>
        </w:rPr>
        <w:t xml:space="preserve">as certainty, consistency, predictability and </w:t>
      </w:r>
      <w:r>
        <w:rPr>
          <w:rFonts w:cs="Times New Roman"/>
          <w:szCs w:val="24"/>
        </w:rPr>
        <w:t xml:space="preserve">institutional legitimacy — </w:t>
      </w:r>
      <w:r w:rsidRPr="001D4494">
        <w:rPr>
          <w:rFonts w:cs="Times New Roman"/>
          <w:szCs w:val="24"/>
        </w:rPr>
        <w:t>outweigh</w:t>
      </w:r>
      <w:r>
        <w:rPr>
          <w:rFonts w:cs="Times New Roman"/>
          <w:szCs w:val="24"/>
        </w:rPr>
        <w:t xml:space="preserve"> </w:t>
      </w:r>
      <w:r w:rsidRPr="001D4494">
        <w:rPr>
          <w:rFonts w:cs="Times New Roman"/>
          <w:szCs w:val="24"/>
        </w:rPr>
        <w:t>the need to overturn a precedent that is sufficiently wrong that it shoul</w:t>
      </w:r>
      <w:r>
        <w:rPr>
          <w:rFonts w:cs="Times New Roman"/>
          <w:szCs w:val="24"/>
        </w:rPr>
        <w:t>d not be upheld and perpetuated?</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In the case of </w:t>
      </w:r>
      <w:r w:rsidRPr="001D4494">
        <w:rPr>
          <w:rFonts w:cs="Times New Roman"/>
          <w:i/>
          <w:szCs w:val="24"/>
        </w:rPr>
        <w:t>Health</w:t>
      </w:r>
      <w:r>
        <w:rPr>
          <w:rFonts w:cs="Times New Roman"/>
          <w:i/>
          <w:szCs w:val="24"/>
        </w:rPr>
        <w:t xml:space="preserve"> Services</w:t>
      </w:r>
      <w:r w:rsidRPr="001D4494">
        <w:rPr>
          <w:rFonts w:cs="Times New Roman"/>
          <w:szCs w:val="24"/>
        </w:rPr>
        <w:t>, I am of the opinion that the following considerations are relevant and justify overruling.</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First, </w:t>
      </w:r>
      <w:r w:rsidRPr="00613CC7">
        <w:t>the</w:t>
      </w:r>
      <w:r w:rsidRPr="001D4494">
        <w:rPr>
          <w:rFonts w:cs="Times New Roman"/>
          <w:szCs w:val="24"/>
        </w:rPr>
        <w:t xml:space="preserve"> error in </w:t>
      </w:r>
      <w:r w:rsidRPr="001D4494">
        <w:rPr>
          <w:rFonts w:cs="Times New Roman"/>
          <w:i/>
          <w:szCs w:val="24"/>
        </w:rPr>
        <w:t>Health</w:t>
      </w:r>
      <w:r>
        <w:rPr>
          <w:rFonts w:cs="Times New Roman"/>
          <w:i/>
          <w:szCs w:val="24"/>
        </w:rPr>
        <w:t xml:space="preserve"> Services</w:t>
      </w:r>
      <w:r w:rsidRPr="001D4494">
        <w:rPr>
          <w:rFonts w:cs="Times New Roman"/>
          <w:szCs w:val="24"/>
        </w:rPr>
        <w:t xml:space="preserve"> concerns a question of constitutional law.  Thus, not only does it go to one of the foundational principles of our legal system, but it is not susceptible to being corrected in a lasting way by the legislative branch.</w:t>
      </w:r>
      <w:r w:rsidRPr="001D4494">
        <w:rPr>
          <w:rFonts w:cs="Times New Roman"/>
          <w:color w:val="000000"/>
          <w:szCs w:val="24"/>
        </w:rPr>
        <w:t xml:space="preserve">  </w:t>
      </w:r>
      <w:r w:rsidRPr="001D4494">
        <w:rPr>
          <w:rFonts w:cs="Times New Roman"/>
          <w:szCs w:val="24"/>
        </w:rPr>
        <w:t xml:space="preserve">While s. 33 of the </w:t>
      </w:r>
      <w:r w:rsidRPr="001D4494">
        <w:rPr>
          <w:rFonts w:cs="Times New Roman"/>
          <w:i/>
          <w:szCs w:val="24"/>
        </w:rPr>
        <w:t>Charter</w:t>
      </w:r>
      <w:r w:rsidRPr="001D4494">
        <w:rPr>
          <w:rFonts w:cs="Times New Roman"/>
          <w:szCs w:val="24"/>
        </w:rPr>
        <w:t xml:space="preserve"> may allow Parliament or the legislatures to suspend, temporarily, the force of this Court’s ruling</w:t>
      </w:r>
      <w:r w:rsidRPr="001D4494">
        <w:rPr>
          <w:rFonts w:cs="Times New Roman"/>
          <w:color w:val="000000"/>
          <w:szCs w:val="24"/>
        </w:rPr>
        <w:t xml:space="preserve">, history over the last two decades demonstrates that resort to s. 33 by legislatures has been exceedingly rare.  </w:t>
      </w:r>
      <w:r w:rsidRPr="001D4494">
        <w:rPr>
          <w:rFonts w:cs="Times New Roman"/>
          <w:i/>
          <w:szCs w:val="24"/>
        </w:rPr>
        <w:t>Health</w:t>
      </w:r>
      <w:r>
        <w:rPr>
          <w:rFonts w:cs="Times New Roman"/>
          <w:i/>
          <w:szCs w:val="24"/>
        </w:rPr>
        <w:t xml:space="preserve"> Services</w:t>
      </w:r>
      <w:r w:rsidRPr="001D4494">
        <w:rPr>
          <w:rFonts w:cs="Times New Roman"/>
          <w:szCs w:val="24"/>
        </w:rPr>
        <w:t xml:space="preserve"> will, if left to stand, set out abiding principles of constitutional law.  </w:t>
      </w:r>
      <w:r w:rsidRPr="001D4494">
        <w:rPr>
          <w:rFonts w:cs="Times New Roman"/>
          <w:szCs w:val="24"/>
        </w:rPr>
        <w:lastRenderedPageBreak/>
        <w:t>Only the Court may correct this error</w:t>
      </w:r>
      <w:r w:rsidRPr="001D4494">
        <w:rPr>
          <w:rFonts w:cs="Times New Roman"/>
          <w:color w:val="000000"/>
          <w:szCs w:val="24"/>
        </w:rPr>
        <w:t xml:space="preserve"> in fundamental principle</w:t>
      </w:r>
      <w:r w:rsidRPr="001D4494">
        <w:rPr>
          <w:rFonts w:cs="Times New Roman"/>
          <w:szCs w:val="24"/>
        </w:rPr>
        <w:t xml:space="preserve">.  As noted in </w:t>
      </w:r>
      <w:r w:rsidRPr="001D4494">
        <w:rPr>
          <w:rFonts w:cs="Times New Roman"/>
          <w:i/>
          <w:szCs w:val="24"/>
        </w:rPr>
        <w:t>Planned Parenthood</w:t>
      </w:r>
      <w:r w:rsidRPr="001D4494">
        <w:rPr>
          <w:rFonts w:cs="Times New Roman"/>
          <w:szCs w:val="24"/>
        </w:rPr>
        <w:t xml:space="preserve">, it is “common wisdom that the rule of </w:t>
      </w:r>
      <w:r w:rsidRPr="00CC3437">
        <w:rPr>
          <w:rFonts w:cs="Times New Roman"/>
          <w:i/>
          <w:szCs w:val="24"/>
        </w:rPr>
        <w:t xml:space="preserve">stare </w:t>
      </w:r>
      <w:proofErr w:type="spellStart"/>
      <w:r w:rsidRPr="00CC3437">
        <w:rPr>
          <w:rFonts w:cs="Times New Roman"/>
          <w:i/>
          <w:szCs w:val="24"/>
        </w:rPr>
        <w:t>decisis</w:t>
      </w:r>
      <w:proofErr w:type="spellEnd"/>
      <w:r>
        <w:rPr>
          <w:rFonts w:cs="Times New Roman"/>
          <w:szCs w:val="24"/>
        </w:rPr>
        <w:t xml:space="preserve"> is not an ‘inexorable command</w:t>
      </w:r>
      <w:r w:rsidRPr="001D4494">
        <w:rPr>
          <w:rFonts w:cs="Times New Roman"/>
          <w:szCs w:val="24"/>
        </w:rPr>
        <w:t>,</w:t>
      </w:r>
      <w:r>
        <w:rPr>
          <w:rFonts w:cs="Times New Roman"/>
          <w:szCs w:val="24"/>
        </w:rPr>
        <w:t>’</w:t>
      </w:r>
      <w:r w:rsidRPr="001D4494">
        <w:rPr>
          <w:rFonts w:cs="Times New Roman"/>
          <w:szCs w:val="24"/>
        </w:rPr>
        <w:t xml:space="preserve"> and certainly it is not such in every constitutional case”</w:t>
      </w:r>
      <w:r>
        <w:rPr>
          <w:rFonts w:cs="Times New Roman"/>
          <w:szCs w:val="24"/>
        </w:rPr>
        <w:t xml:space="preserve"> (p. 854)</w:t>
      </w:r>
      <w:r w:rsidRPr="001D4494">
        <w:rPr>
          <w:rFonts w:cs="Times New Roman"/>
          <w:szCs w:val="24"/>
        </w:rPr>
        <w:t xml:space="preserve">.  The jurisprudence of this Court contains similar observations.  Because the </w:t>
      </w:r>
      <w:r w:rsidRPr="001D4494">
        <w:rPr>
          <w:rFonts w:cs="Times New Roman"/>
          <w:i/>
          <w:szCs w:val="24"/>
        </w:rPr>
        <w:t>Charter</w:t>
      </w:r>
      <w:r w:rsidRPr="001D4494">
        <w:rPr>
          <w:rFonts w:cs="Times New Roman"/>
          <w:szCs w:val="24"/>
        </w:rPr>
        <w:t xml:space="preserve"> involves the most fundamental principles underlying our law, it is particularly important that its provisions be correctly interpreted. </w:t>
      </w:r>
    </w:p>
    <w:p w:rsidR="00A00D29" w:rsidRPr="001D4494" w:rsidRDefault="00A00D29" w:rsidP="00613CC7">
      <w:pPr>
        <w:pStyle w:val="ReasonsNumbering-AltN"/>
        <w:ind w:left="0" w:firstLine="0"/>
        <w:rPr>
          <w:rFonts w:cs="Times New Roman"/>
          <w:color w:val="000000"/>
          <w:szCs w:val="24"/>
        </w:rPr>
      </w:pPr>
      <w:r w:rsidRPr="001D4494">
        <w:rPr>
          <w:rFonts w:cs="Times New Roman"/>
          <w:szCs w:val="24"/>
        </w:rPr>
        <w:t>The</w:t>
      </w:r>
      <w:r w:rsidRPr="001D4494">
        <w:rPr>
          <w:rFonts w:cs="Times New Roman"/>
          <w:color w:val="000000"/>
          <w:szCs w:val="24"/>
        </w:rPr>
        <w:t xml:space="preserve"> </w:t>
      </w:r>
      <w:r w:rsidRPr="00613CC7">
        <w:t>Chief</w:t>
      </w:r>
      <w:r w:rsidRPr="001D4494">
        <w:rPr>
          <w:rFonts w:cs="Times New Roman"/>
          <w:color w:val="000000"/>
          <w:szCs w:val="24"/>
        </w:rPr>
        <w:t xml:space="preserve"> Justice and LeBel J. say that the constitutional nature of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should only be a final consideration with respect to overruling difficult cases (para. 58)</w:t>
      </w:r>
      <w:r>
        <w:rPr>
          <w:rFonts w:cs="Times New Roman"/>
          <w:color w:val="000000"/>
          <w:szCs w:val="24"/>
        </w:rPr>
        <w:t>.</w:t>
      </w:r>
      <w:r w:rsidRPr="001D4494">
        <w:rPr>
          <w:rFonts w:cs="Times New Roman"/>
          <w:color w:val="000000"/>
          <w:szCs w:val="24"/>
        </w:rPr>
        <w:t xml:space="preserve">  In my respectful view</w:t>
      </w:r>
      <w:r>
        <w:rPr>
          <w:rFonts w:cs="Times New Roman"/>
          <w:color w:val="000000"/>
          <w:szCs w:val="24"/>
        </w:rPr>
        <w:t>,</w:t>
      </w:r>
      <w:r w:rsidRPr="001D4494">
        <w:rPr>
          <w:rFonts w:cs="Times New Roman"/>
          <w:color w:val="000000"/>
          <w:szCs w:val="24"/>
        </w:rPr>
        <w:t xml:space="preserve"> and as my reasons will endeavour to demonstrate, there are no shortage of reasons to believe that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is problematic on other grounds.  </w:t>
      </w:r>
    </w:p>
    <w:p w:rsidR="00A00D29" w:rsidRPr="001D4494" w:rsidRDefault="00A00D29" w:rsidP="00613CC7">
      <w:pPr>
        <w:pStyle w:val="ReasonsNumbering-AltN"/>
        <w:ind w:left="0" w:firstLine="0"/>
        <w:rPr>
          <w:rFonts w:cs="Times New Roman"/>
          <w:color w:val="000000"/>
          <w:szCs w:val="24"/>
        </w:rPr>
      </w:pPr>
      <w:r w:rsidRPr="00613CC7">
        <w:t>Relying</w:t>
      </w:r>
      <w:r w:rsidRPr="001D4494">
        <w:rPr>
          <w:rFonts w:cs="Times New Roman"/>
          <w:szCs w:val="24"/>
        </w:rPr>
        <w:t xml:space="preserve"> on </w:t>
      </w:r>
      <w:r w:rsidRPr="001D4494">
        <w:rPr>
          <w:rFonts w:cs="Times New Roman"/>
          <w:i/>
          <w:szCs w:val="24"/>
        </w:rPr>
        <w:t>Henry</w:t>
      </w:r>
      <w:r w:rsidRPr="001D4494">
        <w:rPr>
          <w:rFonts w:cs="Times New Roman"/>
          <w:szCs w:val="24"/>
        </w:rPr>
        <w:t>, my</w:t>
      </w:r>
      <w:r w:rsidRPr="001D4494">
        <w:rPr>
          <w:rFonts w:cs="Times New Roman"/>
          <w:color w:val="000000"/>
          <w:szCs w:val="24"/>
        </w:rPr>
        <w:t xml:space="preserve"> colleagues also warn that this Court should be wary of overruling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because doing so might have the potential to diminish </w:t>
      </w:r>
      <w:r w:rsidRPr="001D4494">
        <w:rPr>
          <w:rFonts w:cs="Times New Roman"/>
          <w:i/>
          <w:color w:val="000000"/>
          <w:szCs w:val="24"/>
        </w:rPr>
        <w:t>Charter</w:t>
      </w:r>
      <w:r w:rsidRPr="001D4494">
        <w:rPr>
          <w:rFonts w:cs="Times New Roman"/>
          <w:color w:val="000000"/>
          <w:szCs w:val="24"/>
        </w:rPr>
        <w:t xml:space="preserve"> protection (para. 58, citing </w:t>
      </w:r>
      <w:r w:rsidRPr="001D4494">
        <w:rPr>
          <w:rFonts w:cs="Times New Roman"/>
          <w:i/>
          <w:color w:val="000000"/>
          <w:szCs w:val="24"/>
        </w:rPr>
        <w:t>Henry</w:t>
      </w:r>
      <w:r>
        <w:rPr>
          <w:rFonts w:cs="Times New Roman"/>
          <w:color w:val="000000"/>
          <w:szCs w:val="24"/>
        </w:rPr>
        <w:t>,</w:t>
      </w:r>
      <w:r w:rsidRPr="001D4494">
        <w:rPr>
          <w:rFonts w:cs="Times New Roman"/>
          <w:color w:val="000000"/>
          <w:szCs w:val="24"/>
        </w:rPr>
        <w:t xml:space="preserve"> at para. 44).  They say that</w:t>
      </w:r>
      <w:r w:rsidRPr="00937A7C">
        <w:rPr>
          <w:color w:val="000000"/>
        </w:rPr>
        <w:t xml:space="preserve"> </w:t>
      </w:r>
      <w:r w:rsidRPr="001D4494">
        <w:rPr>
          <w:rFonts w:cs="Times New Roman"/>
          <w:color w:val="000000"/>
          <w:szCs w:val="24"/>
        </w:rPr>
        <w:t>this consideration “militate</w:t>
      </w:r>
      <w:r>
        <w:rPr>
          <w:rFonts w:cs="Times New Roman"/>
          <w:color w:val="000000"/>
          <w:szCs w:val="24"/>
        </w:rPr>
        <w:t>[</w:t>
      </w:r>
      <w:r w:rsidRPr="001D4494">
        <w:rPr>
          <w:rFonts w:cs="Times New Roman"/>
          <w:color w:val="000000"/>
          <w:szCs w:val="24"/>
        </w:rPr>
        <w:t>s</w:t>
      </w:r>
      <w:r>
        <w:rPr>
          <w:rFonts w:cs="Times New Roman"/>
          <w:color w:val="000000"/>
          <w:szCs w:val="24"/>
        </w:rPr>
        <w:t>]</w:t>
      </w:r>
      <w:r w:rsidRPr="001D4494">
        <w:rPr>
          <w:rFonts w:cs="Times New Roman"/>
          <w:color w:val="000000"/>
          <w:szCs w:val="24"/>
        </w:rPr>
        <w:t xml:space="preserve"> in favour of upholding” </w:t>
      </w:r>
      <w:r w:rsidRPr="001D4494">
        <w:rPr>
          <w:rFonts w:cs="Times New Roman"/>
          <w:i/>
          <w:color w:val="000000"/>
          <w:szCs w:val="24"/>
        </w:rPr>
        <w:t>Health</w:t>
      </w:r>
      <w:r>
        <w:rPr>
          <w:rFonts w:cs="Times New Roman"/>
          <w:i/>
          <w:color w:val="000000"/>
          <w:szCs w:val="24"/>
        </w:rPr>
        <w:t xml:space="preserve"> Services</w:t>
      </w:r>
      <w:r w:rsidRPr="001D4494">
        <w:rPr>
          <w:rFonts w:cs="Times New Roman"/>
          <w:i/>
          <w:color w:val="000000"/>
          <w:szCs w:val="24"/>
        </w:rPr>
        <w:t xml:space="preserve"> </w:t>
      </w:r>
      <w:r w:rsidRPr="001D4494">
        <w:rPr>
          <w:rFonts w:cs="Times New Roman"/>
          <w:color w:val="000000"/>
          <w:szCs w:val="24"/>
        </w:rPr>
        <w:t xml:space="preserve">(para. 58).  However, the Court cannot be oblivious to errors in prior decisions.  When considering overruling, the Court must balance correctness and certainty.  If there is a potential diminishment arising from correcting prior error, that is a reason to be cautious, not a reason to forego correcting prior error altogether.  Arguably, as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itself strayed from prior precedent, returning to those prior precedents would </w:t>
      </w:r>
      <w:r w:rsidRPr="001D4494">
        <w:rPr>
          <w:rFonts w:cs="Times New Roman"/>
          <w:color w:val="000000"/>
          <w:szCs w:val="24"/>
        </w:rPr>
        <w:lastRenderedPageBreak/>
        <w:t xml:space="preserve">promote certainty.  However, even if certainty would favour retaining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in this case the need for a constitutionally correct answer is paramount.</w:t>
      </w:r>
    </w:p>
    <w:p w:rsidR="00A00D29" w:rsidRPr="001D4494" w:rsidRDefault="00A00D29" w:rsidP="00613CC7">
      <w:pPr>
        <w:pStyle w:val="ReasonsNumbering-AltN"/>
        <w:ind w:left="0" w:firstLine="0"/>
        <w:rPr>
          <w:rFonts w:cs="Times New Roman"/>
          <w:szCs w:val="24"/>
        </w:rPr>
      </w:pPr>
      <w:r w:rsidRPr="001D4494">
        <w:rPr>
          <w:rFonts w:cs="Times New Roman"/>
          <w:szCs w:val="24"/>
        </w:rPr>
        <w:t>Second, as</w:t>
      </w:r>
      <w:r w:rsidRPr="001D4494">
        <w:rPr>
          <w:rFonts w:cs="Times New Roman"/>
          <w:color w:val="000000"/>
          <w:szCs w:val="24"/>
        </w:rPr>
        <w:t xml:space="preserve"> I have indicated, </w:t>
      </w:r>
      <w:r w:rsidRPr="001D4494">
        <w:rPr>
          <w:rFonts w:cs="Times New Roman"/>
          <w:i/>
          <w:szCs w:val="24"/>
        </w:rPr>
        <w:t>Health</w:t>
      </w:r>
      <w:r>
        <w:rPr>
          <w:rFonts w:cs="Times New Roman"/>
          <w:i/>
          <w:szCs w:val="24"/>
        </w:rPr>
        <w:t xml:space="preserve"> Services</w:t>
      </w:r>
      <w:r w:rsidRPr="001D4494">
        <w:rPr>
          <w:rFonts w:cs="Times New Roman"/>
          <w:szCs w:val="24"/>
        </w:rPr>
        <w:t xml:space="preserve"> strayed significantly from earlier sound precedents with respect to the purpose of </w:t>
      </w:r>
      <w:r w:rsidRPr="001D4494">
        <w:rPr>
          <w:rFonts w:cs="Times New Roman"/>
          <w:i/>
          <w:szCs w:val="24"/>
        </w:rPr>
        <w:t>Charter</w:t>
      </w:r>
      <w:r w:rsidRPr="001D4494">
        <w:rPr>
          <w:rFonts w:cs="Times New Roman"/>
          <w:szCs w:val="24"/>
        </w:rPr>
        <w:t xml:space="preserve"> protection for freedom of association.</w:t>
      </w:r>
      <w:r w:rsidRPr="001D4494">
        <w:rPr>
          <w:rFonts w:cs="Times New Roman"/>
          <w:color w:val="000000"/>
          <w:szCs w:val="24"/>
        </w:rPr>
        <w:t xml:space="preserve">  </w:t>
      </w:r>
      <w:r w:rsidRPr="001D4494">
        <w:rPr>
          <w:rFonts w:cs="Times New Roman"/>
          <w:szCs w:val="24"/>
        </w:rPr>
        <w:t xml:space="preserve">The constitutional guarantee of freedom of association is premised on the recognition that individuals may be better able to secure their interests and achieve their goals if they may join with others in their </w:t>
      </w:r>
      <w:r w:rsidRPr="001D4494">
        <w:rPr>
          <w:rFonts w:cs="Times New Roman"/>
          <w:i/>
          <w:szCs w:val="24"/>
        </w:rPr>
        <w:t>attempt</w:t>
      </w:r>
      <w:r w:rsidRPr="001D4494">
        <w:rPr>
          <w:rFonts w:cs="Times New Roman"/>
          <w:szCs w:val="24"/>
        </w:rPr>
        <w:t xml:space="preserve"> to do so.  From this, two propositions necessarily follow: </w:t>
      </w:r>
      <w:r>
        <w:rPr>
          <w:rFonts w:cs="Times New Roman"/>
          <w:szCs w:val="24"/>
        </w:rPr>
        <w:t>(</w:t>
      </w:r>
      <w:r w:rsidRPr="001D4494">
        <w:rPr>
          <w:rFonts w:cs="Times New Roman"/>
          <w:szCs w:val="24"/>
        </w:rPr>
        <w:t>a) that s. 2(</w:t>
      </w:r>
      <w:r w:rsidRPr="0027240E">
        <w:rPr>
          <w:rFonts w:cs="Times New Roman"/>
          <w:i/>
          <w:szCs w:val="24"/>
        </w:rPr>
        <w:t>d</w:t>
      </w:r>
      <w:r w:rsidRPr="001D4494">
        <w:rPr>
          <w:rFonts w:cs="Times New Roman"/>
          <w:szCs w:val="24"/>
        </w:rPr>
        <w:t xml:space="preserve">) was intended to secure </w:t>
      </w:r>
      <w:r w:rsidRPr="001D4494">
        <w:rPr>
          <w:rFonts w:cs="Times New Roman"/>
          <w:i/>
          <w:szCs w:val="24"/>
        </w:rPr>
        <w:t xml:space="preserve">the individual’s </w:t>
      </w:r>
      <w:r w:rsidRPr="001D4494">
        <w:rPr>
          <w:rFonts w:cs="Times New Roman"/>
          <w:color w:val="000000"/>
          <w:szCs w:val="24"/>
        </w:rPr>
        <w:t xml:space="preserve">freedom </w:t>
      </w:r>
      <w:r w:rsidRPr="001D4494">
        <w:rPr>
          <w:rFonts w:cs="Times New Roman"/>
          <w:szCs w:val="24"/>
        </w:rPr>
        <w:t xml:space="preserve">to coordinate his or her actions with others and enjoy the benefits that flow naturally from that coordination; and </w:t>
      </w:r>
      <w:r>
        <w:rPr>
          <w:rFonts w:cs="Times New Roman"/>
          <w:szCs w:val="24"/>
        </w:rPr>
        <w:t>(</w:t>
      </w:r>
      <w:r w:rsidRPr="001D4494">
        <w:rPr>
          <w:rFonts w:cs="Times New Roman"/>
          <w:szCs w:val="24"/>
        </w:rPr>
        <w:t>b) that s. 2(</w:t>
      </w:r>
      <w:r w:rsidRPr="0027240E">
        <w:rPr>
          <w:rFonts w:cs="Times New Roman"/>
          <w:i/>
          <w:szCs w:val="24"/>
        </w:rPr>
        <w:t>d</w:t>
      </w:r>
      <w:r w:rsidRPr="001D4494">
        <w:rPr>
          <w:rFonts w:cs="Times New Roman"/>
          <w:szCs w:val="24"/>
        </w:rPr>
        <w:t xml:space="preserve">) was not intended to promote or guarantee the </w:t>
      </w:r>
      <w:r w:rsidRPr="001D4494">
        <w:rPr>
          <w:rFonts w:cs="Times New Roman"/>
          <w:i/>
          <w:szCs w:val="24"/>
        </w:rPr>
        <w:t xml:space="preserve">outcomes </w:t>
      </w:r>
      <w:r w:rsidRPr="001D4494">
        <w:rPr>
          <w:rFonts w:cs="Times New Roman"/>
          <w:szCs w:val="24"/>
        </w:rPr>
        <w:t xml:space="preserve">for which the association was formed. The ruling in </w:t>
      </w:r>
      <w:r w:rsidRPr="001D4494">
        <w:rPr>
          <w:rFonts w:cs="Times New Roman"/>
          <w:i/>
          <w:szCs w:val="24"/>
        </w:rPr>
        <w:t>Health</w:t>
      </w:r>
      <w:r>
        <w:rPr>
          <w:rFonts w:cs="Times New Roman"/>
          <w:i/>
          <w:szCs w:val="24"/>
        </w:rPr>
        <w:t xml:space="preserve"> Services</w:t>
      </w:r>
      <w:r w:rsidRPr="001D4494">
        <w:rPr>
          <w:rFonts w:cs="Times New Roman"/>
          <w:szCs w:val="24"/>
        </w:rPr>
        <w:t xml:space="preserve"> contradicts both of these central tenets.  By constitutionalizing collective bargaining, </w:t>
      </w:r>
      <w:r w:rsidRPr="001D4494">
        <w:rPr>
          <w:rFonts w:cs="Times New Roman"/>
          <w:i/>
          <w:szCs w:val="24"/>
        </w:rPr>
        <w:t>Health</w:t>
      </w:r>
      <w:r>
        <w:rPr>
          <w:rFonts w:cs="Times New Roman"/>
          <w:i/>
          <w:szCs w:val="24"/>
        </w:rPr>
        <w:t xml:space="preserve"> Services</w:t>
      </w:r>
      <w:r w:rsidRPr="001D4494">
        <w:rPr>
          <w:rFonts w:cs="Times New Roman"/>
          <w:szCs w:val="24"/>
        </w:rPr>
        <w:t xml:space="preserve"> created a group right that vests in the employee association rather than individual workers, and confers substantive outcomes for which the association was formed.  It has therefore moved away from the sound principles established by earlier precedents of this Court.</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Third, the constitutionalization of collective bargaining, as envisaged in </w:t>
      </w:r>
      <w:r w:rsidRPr="001D4494">
        <w:rPr>
          <w:rFonts w:cs="Times New Roman"/>
          <w:i/>
          <w:szCs w:val="24"/>
        </w:rPr>
        <w:t>Health</w:t>
      </w:r>
      <w:r>
        <w:rPr>
          <w:rFonts w:cs="Times New Roman"/>
          <w:i/>
          <w:szCs w:val="24"/>
        </w:rPr>
        <w:t xml:space="preserve"> Services</w:t>
      </w:r>
      <w:r w:rsidRPr="001D4494">
        <w:rPr>
          <w:rFonts w:cs="Times New Roman"/>
          <w:szCs w:val="24"/>
        </w:rPr>
        <w:t xml:space="preserve"> and by the Chief Justice and LeBel J. in this case, is unworkable.  On a practical level, </w:t>
      </w:r>
      <w:r w:rsidRPr="001D4494">
        <w:rPr>
          <w:rFonts w:cs="Times New Roman"/>
          <w:color w:val="000000"/>
          <w:szCs w:val="24"/>
        </w:rPr>
        <w:t>the</w:t>
      </w:r>
      <w:r w:rsidRPr="001D4494">
        <w:rPr>
          <w:rFonts w:cs="Times New Roman"/>
          <w:szCs w:val="24"/>
        </w:rPr>
        <w:t xml:space="preserve"> right to collective bargaining asserted by my colleagues </w:t>
      </w:r>
      <w:r w:rsidRPr="001D4494">
        <w:rPr>
          <w:rFonts w:cs="Times New Roman"/>
          <w:color w:val="000000"/>
          <w:szCs w:val="24"/>
        </w:rPr>
        <w:t>is not workable</w:t>
      </w:r>
      <w:r w:rsidRPr="001D4494">
        <w:rPr>
          <w:rFonts w:cs="Times New Roman"/>
          <w:szCs w:val="24"/>
        </w:rPr>
        <w:t xml:space="preserve"> without other elements of modern labour legislation in place.  As Winkler C.J.O. recognized at the Court of Appeal, if it is to be effective, the right to col</w:t>
      </w:r>
      <w:r>
        <w:rPr>
          <w:rFonts w:cs="Times New Roman"/>
          <w:szCs w:val="24"/>
        </w:rPr>
        <w:t xml:space="preserve">lective </w:t>
      </w:r>
      <w:r>
        <w:rPr>
          <w:rFonts w:cs="Times New Roman"/>
          <w:szCs w:val="24"/>
        </w:rPr>
        <w:lastRenderedPageBreak/>
        <w:t xml:space="preserve">bargaining will be hard </w:t>
      </w:r>
      <w:r w:rsidRPr="001D4494">
        <w:rPr>
          <w:rFonts w:cs="Times New Roman"/>
          <w:szCs w:val="24"/>
        </w:rPr>
        <w:t>pressed to perform its function without reinforcement from the other aspects of labour legislation that he identified</w:t>
      </w:r>
      <w:r>
        <w:rPr>
          <w:rFonts w:cs="Times New Roman"/>
          <w:szCs w:val="24"/>
        </w:rPr>
        <w:t xml:space="preserve"> (2008 ONCA 760, 92 O.R. (3d) 481)</w:t>
      </w:r>
      <w:r w:rsidRPr="001D4494">
        <w:rPr>
          <w:rFonts w:cs="Times New Roman"/>
          <w:szCs w:val="24"/>
        </w:rPr>
        <w:t xml:space="preserve">. As a matter of principle, the distinction between substance and process on which the ruling in </w:t>
      </w:r>
      <w:r w:rsidRPr="001D4494">
        <w:rPr>
          <w:rFonts w:cs="Times New Roman"/>
          <w:i/>
          <w:szCs w:val="24"/>
        </w:rPr>
        <w:t>Health</w:t>
      </w:r>
      <w:r>
        <w:rPr>
          <w:rFonts w:cs="Times New Roman"/>
          <w:i/>
          <w:szCs w:val="24"/>
        </w:rPr>
        <w:t xml:space="preserve"> Services</w:t>
      </w:r>
      <w:r w:rsidRPr="001D4494">
        <w:rPr>
          <w:rFonts w:cs="Times New Roman"/>
          <w:szCs w:val="24"/>
        </w:rPr>
        <w:t xml:space="preserve"> (and of the Chief Justice and LeBel J. in this case) is premised cannot be sustained.  The process is itself a desirable outcome for the association of workers, and will result in substantive concessions by the employer. Thus, both principle and practicality militate against sustaining the ruling in </w:t>
      </w:r>
      <w:r w:rsidRPr="001D4494">
        <w:rPr>
          <w:rFonts w:cs="Times New Roman"/>
          <w:i/>
          <w:szCs w:val="24"/>
        </w:rPr>
        <w:t>Health</w:t>
      </w:r>
      <w:r>
        <w:rPr>
          <w:rFonts w:cs="Times New Roman"/>
          <w:i/>
          <w:szCs w:val="24"/>
        </w:rPr>
        <w:t xml:space="preserve"> Services</w:t>
      </w:r>
      <w:r w:rsidRPr="001D4494">
        <w:rPr>
          <w:rFonts w:cs="Times New Roman"/>
          <w:szCs w:val="24"/>
        </w:rPr>
        <w:t>.</w:t>
      </w:r>
      <w:r w:rsidRPr="001D4494">
        <w:rPr>
          <w:rFonts w:cs="Times New Roman"/>
          <w:color w:val="000000"/>
          <w:szCs w:val="24"/>
        </w:rPr>
        <w:t xml:space="preserve"> </w:t>
      </w:r>
    </w:p>
    <w:p w:rsidR="00A00D29" w:rsidRPr="001D4494" w:rsidRDefault="00A00D29" w:rsidP="00613CC7">
      <w:pPr>
        <w:pStyle w:val="ReasonsNumbering-AltN"/>
        <w:ind w:left="0" w:firstLine="0"/>
      </w:pPr>
      <w:r w:rsidRPr="001D4494">
        <w:rPr>
          <w:rFonts w:cs="Times New Roman"/>
          <w:szCs w:val="24"/>
        </w:rPr>
        <w:t xml:space="preserve">Fourth, </w:t>
      </w:r>
      <w:r w:rsidRPr="00613CC7">
        <w:t>there</w:t>
      </w:r>
      <w:r w:rsidRPr="001D4494">
        <w:rPr>
          <w:rFonts w:cs="Times New Roman"/>
          <w:szCs w:val="24"/>
        </w:rPr>
        <w:t xml:space="preserve"> has been intense academic criticism of </w:t>
      </w:r>
      <w:r w:rsidRPr="001D4494">
        <w:rPr>
          <w:rFonts w:cs="Times New Roman"/>
          <w:i/>
          <w:szCs w:val="24"/>
        </w:rPr>
        <w:t>Health</w:t>
      </w:r>
      <w:r>
        <w:rPr>
          <w:rFonts w:cs="Times New Roman"/>
          <w:i/>
          <w:szCs w:val="24"/>
        </w:rPr>
        <w:t xml:space="preserve"> Services</w:t>
      </w:r>
      <w:r w:rsidRPr="001D4494">
        <w:rPr>
          <w:rFonts w:cs="Times New Roman"/>
          <w:szCs w:val="24"/>
        </w:rPr>
        <w:t>, including by Professor Eric Tucker, who was himself cited by the majority in support of its decision.  See B</w:t>
      </w:r>
      <w:r>
        <w:rPr>
          <w:rFonts w:cs="Times New Roman"/>
          <w:szCs w:val="24"/>
        </w:rPr>
        <w:t>.</w:t>
      </w:r>
      <w:r w:rsidRPr="001D4494">
        <w:rPr>
          <w:rFonts w:cs="Times New Roman"/>
          <w:szCs w:val="24"/>
        </w:rPr>
        <w:t xml:space="preserve"> Etherington, “The B.C. </w:t>
      </w:r>
      <w:r w:rsidRPr="0059015A">
        <w:rPr>
          <w:rFonts w:cs="Times New Roman"/>
          <w:i/>
          <w:szCs w:val="24"/>
        </w:rPr>
        <w:t xml:space="preserve">Health Services and Support </w:t>
      </w:r>
      <w:r w:rsidRPr="00541179">
        <w:rPr>
          <w:rFonts w:cs="Times New Roman"/>
          <w:szCs w:val="24"/>
        </w:rPr>
        <w:t>Decision</w:t>
      </w:r>
      <w:r w:rsidRPr="001D4494">
        <w:rPr>
          <w:rFonts w:cs="Times New Roman"/>
          <w:szCs w:val="24"/>
        </w:rPr>
        <w:t xml:space="preserve"> </w:t>
      </w:r>
      <w:r>
        <w:rPr>
          <w:rFonts w:cs="Times New Roman"/>
          <w:szCs w:val="24"/>
        </w:rPr>
        <w:t xml:space="preserve">— </w:t>
      </w:r>
      <w:proofErr w:type="gramStart"/>
      <w:r>
        <w:rPr>
          <w:rFonts w:cs="Times New Roman"/>
          <w:szCs w:val="24"/>
        </w:rPr>
        <w:t>The</w:t>
      </w:r>
      <w:proofErr w:type="gramEnd"/>
      <w:r>
        <w:rPr>
          <w:rFonts w:cs="Times New Roman"/>
          <w:szCs w:val="24"/>
        </w:rPr>
        <w:t xml:space="preserve"> Constitutionalization of a R</w:t>
      </w:r>
      <w:r w:rsidRPr="001D4494">
        <w:rPr>
          <w:rFonts w:cs="Times New Roman"/>
          <w:szCs w:val="24"/>
        </w:rPr>
        <w:t>ight to Bargain Collectivel</w:t>
      </w:r>
      <w:r>
        <w:rPr>
          <w:rFonts w:cs="Times New Roman"/>
          <w:szCs w:val="24"/>
        </w:rPr>
        <w:t>y in Canada: Where Did It Come From and Where Will I</w:t>
      </w:r>
      <w:r w:rsidRPr="001D4494">
        <w:rPr>
          <w:rFonts w:cs="Times New Roman"/>
          <w:szCs w:val="24"/>
        </w:rPr>
        <w:t xml:space="preserve">t Lead?” </w:t>
      </w:r>
      <w:r>
        <w:rPr>
          <w:rFonts w:cs="Times New Roman"/>
          <w:szCs w:val="24"/>
        </w:rPr>
        <w:t xml:space="preserve">(2009), </w:t>
      </w:r>
      <w:r w:rsidRPr="001D4494">
        <w:rPr>
          <w:rFonts w:cs="Times New Roman"/>
          <w:szCs w:val="24"/>
        </w:rPr>
        <w:t xml:space="preserve">30 </w:t>
      </w:r>
      <w:r w:rsidRPr="001756C9">
        <w:rPr>
          <w:rFonts w:cs="Times New Roman"/>
          <w:i/>
          <w:szCs w:val="24"/>
        </w:rPr>
        <w:t xml:space="preserve">Comp. Lab. L. &amp; </w:t>
      </w:r>
      <w:r w:rsidRPr="001568FE">
        <w:rPr>
          <w:rFonts w:cs="Times New Roman"/>
          <w:i/>
          <w:szCs w:val="24"/>
        </w:rPr>
        <w:t>Pol’y J</w:t>
      </w:r>
      <w:r w:rsidRPr="001D4494">
        <w:rPr>
          <w:rFonts w:cs="Times New Roman"/>
          <w:szCs w:val="24"/>
        </w:rPr>
        <w:t>. 715</w:t>
      </w:r>
      <w:r>
        <w:rPr>
          <w:rFonts w:cs="Times New Roman"/>
          <w:szCs w:val="24"/>
        </w:rPr>
        <w:t>,</w:t>
      </w:r>
      <w:r w:rsidRPr="001D4494">
        <w:rPr>
          <w:rFonts w:cs="Times New Roman"/>
          <w:szCs w:val="24"/>
        </w:rPr>
        <w:t xml:space="preserve"> at </w:t>
      </w:r>
      <w:r>
        <w:rPr>
          <w:rFonts w:cs="Times New Roman"/>
          <w:szCs w:val="24"/>
        </w:rPr>
        <w:t>pp. 734-</w:t>
      </w:r>
      <w:r w:rsidRPr="001D4494">
        <w:rPr>
          <w:rFonts w:cs="Times New Roman"/>
          <w:szCs w:val="24"/>
        </w:rPr>
        <w:t xml:space="preserve">39. </w:t>
      </w:r>
      <w:r w:rsidRPr="001D4494">
        <w:rPr>
          <w:rFonts w:cs="Times New Roman"/>
          <w:color w:val="000000"/>
          <w:szCs w:val="24"/>
        </w:rPr>
        <w:t xml:space="preserve"> I recognize that there is also academic commentary agreeing with the results of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as pointed out by the Chief Justice and LeBel J. (at para. 88).  The existence of such commentary is not unexpected given the highly contentious and polarizing nature of labour relations.  However, as I will explain, while some agree with the result, the academic criticism of concern here targets the reasoning of the majority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w:t>
      </w:r>
    </w:p>
    <w:p w:rsidR="00A00D29" w:rsidRPr="001D4494" w:rsidRDefault="00A00D29" w:rsidP="00613CC7">
      <w:pPr>
        <w:pStyle w:val="ReasonsNumbering-AltN"/>
        <w:ind w:left="0" w:firstLine="0"/>
        <w:rPr>
          <w:rFonts w:cs="Times New Roman"/>
          <w:color w:val="000000"/>
          <w:szCs w:val="24"/>
        </w:rPr>
      </w:pPr>
      <w:r w:rsidRPr="001D4494">
        <w:rPr>
          <w:rFonts w:cs="Times New Roman"/>
          <w:color w:val="000000"/>
          <w:szCs w:val="24"/>
        </w:rPr>
        <w:t xml:space="preserve">Even </w:t>
      </w:r>
      <w:r w:rsidRPr="00613CC7">
        <w:t>some</w:t>
      </w:r>
      <w:r w:rsidRPr="001D4494">
        <w:rPr>
          <w:rFonts w:cs="Times New Roman"/>
          <w:color w:val="000000"/>
          <w:szCs w:val="24"/>
        </w:rPr>
        <w:t xml:space="preserve"> of the authors who support the results of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and who are cited by my colleagues are critical of aspects of the reasoning employed by </w:t>
      </w:r>
      <w:r w:rsidRPr="001D4494">
        <w:rPr>
          <w:rFonts w:cs="Times New Roman"/>
          <w:color w:val="000000"/>
          <w:szCs w:val="24"/>
        </w:rPr>
        <w:lastRenderedPageBreak/>
        <w:t>the majority of the Court to achieve those results.  For example, Professor Jamie Cameron, in “Due Process, Collective Bargaining, and s.</w:t>
      </w:r>
      <w:r w:rsidRPr="001D4494">
        <w:rPr>
          <w:rFonts w:cs="Times New Roman"/>
          <w:szCs w:val="24"/>
        </w:rPr>
        <w:t xml:space="preserve"> </w:t>
      </w:r>
      <w:r w:rsidRPr="001D4494">
        <w:rPr>
          <w:rFonts w:cs="Times New Roman"/>
          <w:color w:val="000000"/>
          <w:szCs w:val="24"/>
        </w:rPr>
        <w:t>2(</w:t>
      </w:r>
      <w:r w:rsidRPr="001756C9">
        <w:rPr>
          <w:rFonts w:cs="Times New Roman"/>
          <w:color w:val="000000"/>
          <w:szCs w:val="24"/>
        </w:rPr>
        <w:t>d</w:t>
      </w:r>
      <w:r w:rsidRPr="001D4494">
        <w:rPr>
          <w:rFonts w:cs="Times New Roman"/>
          <w:color w:val="000000"/>
          <w:szCs w:val="24"/>
        </w:rPr>
        <w:t xml:space="preserve">) of the </w:t>
      </w:r>
      <w:r w:rsidRPr="001D4494">
        <w:rPr>
          <w:rFonts w:cs="Times New Roman"/>
          <w:i/>
          <w:color w:val="000000"/>
          <w:szCs w:val="24"/>
        </w:rPr>
        <w:t>Charter</w:t>
      </w:r>
      <w:r w:rsidRPr="001D4494">
        <w:rPr>
          <w:rFonts w:cs="Times New Roman"/>
          <w:color w:val="000000"/>
          <w:szCs w:val="24"/>
        </w:rPr>
        <w:t xml:space="preserve">: A Comment on </w:t>
      </w:r>
      <w:r w:rsidRPr="001D4494">
        <w:rPr>
          <w:rFonts w:cs="Times New Roman"/>
          <w:i/>
          <w:color w:val="000000"/>
          <w:szCs w:val="24"/>
        </w:rPr>
        <w:t>B.C. Health Services</w:t>
      </w:r>
      <w:r>
        <w:rPr>
          <w:rFonts w:cs="Times New Roman"/>
          <w:color w:val="000000"/>
          <w:szCs w:val="24"/>
        </w:rPr>
        <w:t>” (2006-2007</w:t>
      </w:r>
      <w:r w:rsidRPr="001D4494">
        <w:rPr>
          <w:rFonts w:cs="Times New Roman"/>
          <w:color w:val="000000"/>
          <w:szCs w:val="24"/>
        </w:rPr>
        <w:t xml:space="preserve">), 13 </w:t>
      </w:r>
      <w:r w:rsidRPr="001756C9">
        <w:rPr>
          <w:rFonts w:cs="Times New Roman"/>
          <w:i/>
          <w:color w:val="000000"/>
          <w:szCs w:val="24"/>
        </w:rPr>
        <w:t>C.L.E.L.J.</w:t>
      </w:r>
      <w:r w:rsidRPr="001D4494">
        <w:rPr>
          <w:rFonts w:cs="Times New Roman"/>
          <w:color w:val="000000"/>
          <w:szCs w:val="24"/>
        </w:rPr>
        <w:t xml:space="preserve"> </w:t>
      </w:r>
      <w:r>
        <w:rPr>
          <w:rFonts w:cs="Times New Roman"/>
          <w:color w:val="000000"/>
          <w:szCs w:val="24"/>
        </w:rPr>
        <w:t>233</w:t>
      </w:r>
      <w:r w:rsidRPr="001D4494">
        <w:rPr>
          <w:rFonts w:cs="Times New Roman"/>
          <w:color w:val="000000"/>
          <w:szCs w:val="24"/>
        </w:rPr>
        <w:t xml:space="preserve">, while supportive of the results of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criticized the decision because “</w:t>
      </w:r>
      <w:r w:rsidRPr="001D4494">
        <w:rPr>
          <w:rFonts w:cs="Times New Roman"/>
          <w:i/>
          <w:color w:val="000000"/>
          <w:szCs w:val="24"/>
        </w:rPr>
        <w:t>B.C</w:t>
      </w:r>
      <w:r>
        <w:rPr>
          <w:rFonts w:cs="Times New Roman"/>
          <w:i/>
          <w:color w:val="000000"/>
          <w:szCs w:val="24"/>
        </w:rPr>
        <w:t>.</w:t>
      </w:r>
      <w:r w:rsidRPr="001D4494">
        <w:rPr>
          <w:rFonts w:cs="Times New Roman"/>
          <w:i/>
          <w:color w:val="000000"/>
          <w:szCs w:val="24"/>
        </w:rPr>
        <w:t xml:space="preserve"> Health Services</w:t>
      </w:r>
      <w:r w:rsidRPr="001D4494">
        <w:rPr>
          <w:rFonts w:cs="Times New Roman"/>
          <w:color w:val="000000"/>
          <w:szCs w:val="24"/>
        </w:rPr>
        <w:t xml:space="preserve"> relied on a concept of entitlement that was so heavily and exclusively contextualized to collective bargaining that the decision lost contact with the underlying values which have anchored s.</w:t>
      </w:r>
      <w:r w:rsidRPr="001D4494">
        <w:rPr>
          <w:rFonts w:cs="Times New Roman"/>
          <w:szCs w:val="24"/>
        </w:rPr>
        <w:t xml:space="preserve"> </w:t>
      </w:r>
      <w:r w:rsidRPr="001D4494">
        <w:rPr>
          <w:rFonts w:cs="Times New Roman"/>
          <w:color w:val="000000"/>
          <w:szCs w:val="24"/>
        </w:rPr>
        <w:t xml:space="preserve">2(d) since the </w:t>
      </w:r>
      <w:r w:rsidRPr="001D4494">
        <w:rPr>
          <w:rFonts w:cs="Times New Roman"/>
          <w:i/>
          <w:color w:val="000000"/>
          <w:szCs w:val="24"/>
        </w:rPr>
        <w:t>Labour Trilogy</w:t>
      </w:r>
      <w:r>
        <w:rPr>
          <w:rFonts w:cs="Times New Roman"/>
          <w:color w:val="000000"/>
          <w:szCs w:val="24"/>
        </w:rPr>
        <w:t xml:space="preserve">” (p. </w:t>
      </w:r>
      <w:r w:rsidRPr="001D4494">
        <w:rPr>
          <w:rFonts w:cs="Times New Roman"/>
          <w:color w:val="000000"/>
          <w:szCs w:val="24"/>
        </w:rPr>
        <w:t xml:space="preserve">262; see also </w:t>
      </w:r>
      <w:r>
        <w:rPr>
          <w:rFonts w:cs="Times New Roman"/>
          <w:color w:val="000000"/>
          <w:szCs w:val="24"/>
        </w:rPr>
        <w:t xml:space="preserve">pp. </w:t>
      </w:r>
      <w:r w:rsidRPr="001D4494">
        <w:rPr>
          <w:rFonts w:cs="Times New Roman"/>
          <w:color w:val="000000"/>
          <w:szCs w:val="24"/>
        </w:rPr>
        <w:t>240 and 259).</w:t>
      </w:r>
    </w:p>
    <w:p w:rsidR="00A00D29" w:rsidRPr="001D4494" w:rsidRDefault="00A00D29" w:rsidP="00613CC7">
      <w:pPr>
        <w:pStyle w:val="ReasonsNumbering-AltN"/>
        <w:ind w:left="0" w:firstLine="0"/>
        <w:rPr>
          <w:rFonts w:cs="Times New Roman"/>
          <w:szCs w:val="24"/>
        </w:rPr>
      </w:pPr>
      <w:r w:rsidRPr="001D4494">
        <w:rPr>
          <w:rFonts w:cs="Times New Roman"/>
          <w:color w:val="000000"/>
          <w:szCs w:val="24"/>
        </w:rPr>
        <w:t xml:space="preserve">I reiterate that in light of such academic criticism, it is appropriate for this Court to </w:t>
      </w:r>
      <w:r w:rsidRPr="00613CC7">
        <w:t>take</w:t>
      </w:r>
      <w:r w:rsidRPr="001D4494">
        <w:rPr>
          <w:rFonts w:cs="Times New Roman"/>
          <w:color w:val="000000"/>
          <w:szCs w:val="24"/>
        </w:rPr>
        <w:t xml:space="preserve"> notice and acknowledge the errors that have been identified.</w:t>
      </w:r>
    </w:p>
    <w:p w:rsidR="00A00D29" w:rsidRPr="001D4494" w:rsidRDefault="00A00D29" w:rsidP="00613CC7">
      <w:pPr>
        <w:pStyle w:val="ReasonsNumbering-AltN"/>
        <w:ind w:left="0" w:firstLine="0"/>
      </w:pPr>
      <w:r w:rsidRPr="001D4494">
        <w:t xml:space="preserve">My colleagues say that it is “procedurally inappropriate” to overrule </w:t>
      </w:r>
      <w:r w:rsidRPr="001D4494">
        <w:rPr>
          <w:rFonts w:cs="Times New Roman"/>
          <w:i/>
          <w:color w:val="000000"/>
          <w:szCs w:val="24"/>
        </w:rPr>
        <w:t>Health</w:t>
      </w:r>
      <w:r>
        <w:rPr>
          <w:rFonts w:cs="Times New Roman"/>
          <w:i/>
          <w:color w:val="000000"/>
          <w:szCs w:val="24"/>
        </w:rPr>
        <w:t xml:space="preserve"> Services</w:t>
      </w:r>
      <w:r w:rsidRPr="001D4494">
        <w:t xml:space="preserve"> because none of the parties have expressly asked this Court to do so (para. </w:t>
      </w:r>
      <w:r>
        <w:t>59</w:t>
      </w:r>
      <w:r w:rsidRPr="001D4494">
        <w:t xml:space="preserve">).  However, the substance of the arguments of the appellants and interveners supporting them </w:t>
      </w:r>
      <w:r>
        <w:t>are in effect a claim that</w:t>
      </w:r>
      <w:r w:rsidRPr="001D4494">
        <w:t xml:space="preserve"> </w:t>
      </w:r>
      <w:r w:rsidRPr="001D4494">
        <w:rPr>
          <w:rFonts w:cs="Times New Roman"/>
          <w:i/>
          <w:color w:val="000000"/>
          <w:szCs w:val="24"/>
        </w:rPr>
        <w:t>Health</w:t>
      </w:r>
      <w:r>
        <w:rPr>
          <w:rFonts w:cs="Times New Roman"/>
          <w:i/>
          <w:color w:val="000000"/>
          <w:szCs w:val="24"/>
        </w:rPr>
        <w:t xml:space="preserve"> Services</w:t>
      </w:r>
      <w:r w:rsidRPr="001D4494">
        <w:t xml:space="preserve"> </w:t>
      </w:r>
      <w:r>
        <w:t>should</w:t>
      </w:r>
      <w:r w:rsidRPr="001D4494">
        <w:t xml:space="preserve"> be overruled.  The appellants and interveners supporting them all say that in this case there should be no obligation on agricultural employers to engage in compulsory collective bargaining.  In my opinion, it is not possible to agree that there is no such obligation without overruling </w:t>
      </w:r>
      <w:r w:rsidRPr="001D4494">
        <w:rPr>
          <w:rFonts w:cs="Times New Roman"/>
          <w:i/>
          <w:color w:val="000000"/>
          <w:szCs w:val="24"/>
        </w:rPr>
        <w:t>Health</w:t>
      </w:r>
      <w:r>
        <w:rPr>
          <w:rFonts w:cs="Times New Roman"/>
          <w:i/>
          <w:color w:val="000000"/>
          <w:szCs w:val="24"/>
        </w:rPr>
        <w:t xml:space="preserve"> Services</w:t>
      </w:r>
      <w:r w:rsidRPr="001D4494">
        <w:t>.</w:t>
      </w:r>
    </w:p>
    <w:p w:rsidR="00A00D29" w:rsidRPr="001D4494" w:rsidRDefault="00A00D29" w:rsidP="00613CC7">
      <w:pPr>
        <w:pStyle w:val="ReasonsNumbering-AltN"/>
        <w:ind w:left="0" w:firstLine="0"/>
        <w:rPr>
          <w:rFonts w:cs="Times New Roman"/>
          <w:szCs w:val="24"/>
        </w:rPr>
      </w:pPr>
      <w:r w:rsidRPr="001D4494">
        <w:t xml:space="preserve">Further, as Deschamps J. observes, “an employer’s duty to </w:t>
      </w:r>
      <w:r>
        <w:t>bargain</w:t>
      </w:r>
      <w:r w:rsidRPr="001D4494">
        <w:t xml:space="preserve"> in good faith was not </w:t>
      </w:r>
      <w:r>
        <w:t xml:space="preserve">even </w:t>
      </w:r>
      <w:r w:rsidRPr="001D4494">
        <w:t xml:space="preserve">raised” in </w:t>
      </w:r>
      <w:r w:rsidRPr="001D4494">
        <w:rPr>
          <w:rFonts w:cs="Times New Roman"/>
          <w:i/>
          <w:color w:val="000000"/>
          <w:szCs w:val="24"/>
        </w:rPr>
        <w:t>Health</w:t>
      </w:r>
      <w:r>
        <w:rPr>
          <w:rFonts w:cs="Times New Roman"/>
          <w:i/>
          <w:color w:val="000000"/>
          <w:szCs w:val="24"/>
        </w:rPr>
        <w:t xml:space="preserve"> Services</w:t>
      </w:r>
      <w:r w:rsidRPr="001D4494">
        <w:rPr>
          <w:i/>
        </w:rPr>
        <w:t xml:space="preserve"> </w:t>
      </w:r>
      <w:r>
        <w:t>(at para. 297</w:t>
      </w:r>
      <w:r w:rsidRPr="001D4494">
        <w:t xml:space="preserve">), and while the parties in </w:t>
      </w:r>
      <w:r w:rsidRPr="001D4494">
        <w:rPr>
          <w:rFonts w:cs="Times New Roman"/>
          <w:i/>
          <w:color w:val="000000"/>
          <w:szCs w:val="24"/>
        </w:rPr>
        <w:t>Health</w:t>
      </w:r>
      <w:r>
        <w:rPr>
          <w:rFonts w:cs="Times New Roman"/>
          <w:i/>
          <w:color w:val="000000"/>
          <w:szCs w:val="24"/>
        </w:rPr>
        <w:t xml:space="preserve"> Services</w:t>
      </w:r>
      <w:r w:rsidRPr="001D4494">
        <w:t xml:space="preserve"> “recognized that </w:t>
      </w:r>
      <w:r>
        <w:t xml:space="preserve">under </w:t>
      </w:r>
      <w:r w:rsidRPr="001D4494">
        <w:t>most Canadian labour law statutes</w:t>
      </w:r>
      <w:r>
        <w:t>,</w:t>
      </w:r>
      <w:r w:rsidRPr="001D4494">
        <w:t xml:space="preserve"> </w:t>
      </w:r>
      <w:r w:rsidRPr="001D4494">
        <w:lastRenderedPageBreak/>
        <w:t>employer</w:t>
      </w:r>
      <w:r>
        <w:t>s had an obligation to bargain in good faith, the claimants</w:t>
      </w:r>
      <w:r w:rsidRPr="001D4494">
        <w:t xml:space="preserve"> were not seeking a declaration characterizing this obligat</w:t>
      </w:r>
      <w:r>
        <w:t>ion as a constitutional one” (para. 304</w:t>
      </w:r>
      <w:r w:rsidRPr="001D4494">
        <w:t xml:space="preserve">).  Despite this issue not having been raised in </w:t>
      </w:r>
      <w:r w:rsidRPr="001D4494">
        <w:rPr>
          <w:rFonts w:cs="Times New Roman"/>
          <w:i/>
          <w:color w:val="000000"/>
          <w:szCs w:val="24"/>
        </w:rPr>
        <w:t>Health</w:t>
      </w:r>
      <w:r>
        <w:rPr>
          <w:rFonts w:cs="Times New Roman"/>
          <w:i/>
          <w:color w:val="000000"/>
          <w:szCs w:val="24"/>
        </w:rPr>
        <w:t xml:space="preserve"> Services</w:t>
      </w:r>
      <w:r w:rsidRPr="001D4494">
        <w:t xml:space="preserve">, the majority in that case did not find it “procedurally inappropriate” to find that “collective bargaining imposes corresponding duties on the employer” and “requires both employer and employees to meet and </w:t>
      </w:r>
      <w:r>
        <w:t xml:space="preserve">to </w:t>
      </w:r>
      <w:r w:rsidRPr="001D4494">
        <w:t>bargain in good faith ” (para. 90).</w:t>
      </w:r>
    </w:p>
    <w:p w:rsidR="00A00D29" w:rsidRPr="001D4494" w:rsidRDefault="00A00D29" w:rsidP="00613CC7">
      <w:pPr>
        <w:pStyle w:val="ReasonsNumbering-AltN"/>
        <w:ind w:left="0" w:firstLine="0"/>
        <w:rPr>
          <w:rFonts w:cs="Times New Roman"/>
          <w:szCs w:val="24"/>
        </w:rPr>
      </w:pPr>
      <w:r w:rsidRPr="001D4494">
        <w:rPr>
          <w:rFonts w:cs="Times New Roman"/>
          <w:color w:val="000000"/>
          <w:szCs w:val="24"/>
        </w:rPr>
        <w:t xml:space="preserve">Lastly, while the foregoing factors all support overruling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as the Chief </w:t>
      </w:r>
      <w:r w:rsidRPr="001D4494">
        <w:rPr>
          <w:rFonts w:cs="Times New Roman"/>
          <w:szCs w:val="24"/>
        </w:rPr>
        <w:t>Justice</w:t>
      </w:r>
      <w:r w:rsidRPr="001D4494">
        <w:rPr>
          <w:rFonts w:cs="Times New Roman"/>
          <w:color w:val="000000"/>
          <w:szCs w:val="24"/>
        </w:rPr>
        <w:t xml:space="preserve"> and LeBel J. point out, it is fundamental that it be demonstrated that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was decided in error.  The balance of these reasons endeavour</w:t>
      </w:r>
      <w:r w:rsidR="004F1528">
        <w:rPr>
          <w:rFonts w:cs="Times New Roman"/>
          <w:color w:val="000000"/>
          <w:szCs w:val="24"/>
        </w:rPr>
        <w:t>s</w:t>
      </w:r>
      <w:r w:rsidRPr="001D4494">
        <w:rPr>
          <w:rFonts w:cs="Times New Roman"/>
          <w:color w:val="000000"/>
          <w:szCs w:val="24"/>
        </w:rPr>
        <w:t xml:space="preserve"> to explain why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was erroneously decided.</w:t>
      </w:r>
    </w:p>
    <w:p w:rsidR="00A00D29" w:rsidRDefault="00A00D29" w:rsidP="00A522A7">
      <w:pPr>
        <w:pStyle w:val="HeadingTitre-AltH"/>
        <w:spacing w:line="480" w:lineRule="auto"/>
      </w:pPr>
      <w:r w:rsidRPr="001D4494">
        <w:t>III</w:t>
      </w:r>
      <w:r>
        <w:t>.</w:t>
      </w:r>
      <w:r w:rsidRPr="001D4494">
        <w:tab/>
      </w:r>
      <w:r w:rsidRPr="00395C4A">
        <w:rPr>
          <w:u w:val="single"/>
        </w:rPr>
        <w:t xml:space="preserve">The </w:t>
      </w:r>
      <w:r w:rsidR="00C2678C">
        <w:rPr>
          <w:u w:val="single"/>
        </w:rPr>
        <w:t xml:space="preserve">Explicit Break </w:t>
      </w:r>
      <w:proofErr w:type="gramStart"/>
      <w:r w:rsidR="00C2678C">
        <w:rPr>
          <w:u w:val="single"/>
        </w:rPr>
        <w:t>With</w:t>
      </w:r>
      <w:proofErr w:type="gramEnd"/>
      <w:r w:rsidR="00C2678C">
        <w:rPr>
          <w:u w:val="single"/>
        </w:rPr>
        <w:t xml:space="preserve"> Precedent i</w:t>
      </w:r>
      <w:r w:rsidRPr="00395C4A">
        <w:rPr>
          <w:u w:val="single"/>
        </w:rPr>
        <w:t>n</w:t>
      </w:r>
      <w:r w:rsidRPr="00192A4F">
        <w:rPr>
          <w:u w:val="single"/>
        </w:rPr>
        <w:t xml:space="preserve"> </w:t>
      </w:r>
      <w:r w:rsidRPr="00192A4F">
        <w:rPr>
          <w:rFonts w:cs="Times New Roman"/>
          <w:i/>
          <w:color w:val="000000"/>
          <w:szCs w:val="24"/>
          <w:u w:val="single"/>
        </w:rPr>
        <w:t>Health Services</w:t>
      </w:r>
    </w:p>
    <w:p w:rsidR="00A00D29" w:rsidRDefault="00A00D29" w:rsidP="00A522A7">
      <w:pPr>
        <w:pStyle w:val="HeadingTitre-AltH"/>
        <w:spacing w:line="480" w:lineRule="auto"/>
        <w:rPr>
          <w:i/>
        </w:rPr>
      </w:pPr>
      <w:r w:rsidRPr="001D4494">
        <w:t>A.</w:t>
      </w:r>
      <w:r w:rsidRPr="001D4494">
        <w:tab/>
      </w:r>
      <w:r w:rsidRPr="00395C4A">
        <w:rPr>
          <w:i/>
        </w:rPr>
        <w:t>Introduction</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Prior to explaining why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erred in finding that s. 2(</w:t>
      </w:r>
      <w:r w:rsidRPr="00F35FAC">
        <w:rPr>
          <w:rFonts w:cs="Times New Roman"/>
          <w:i/>
          <w:szCs w:val="24"/>
        </w:rPr>
        <w:t>d</w:t>
      </w:r>
      <w:r w:rsidRPr="001D4494">
        <w:rPr>
          <w:rFonts w:cs="Times New Roman"/>
          <w:szCs w:val="24"/>
        </w:rPr>
        <w:t xml:space="preserve">) of the </w:t>
      </w:r>
      <w:r w:rsidRPr="001D4494">
        <w:rPr>
          <w:rFonts w:cs="Times New Roman"/>
          <w:i/>
          <w:szCs w:val="24"/>
        </w:rPr>
        <w:t>Charter</w:t>
      </w:r>
      <w:r w:rsidRPr="001D4494">
        <w:rPr>
          <w:rFonts w:cs="Times New Roman"/>
          <w:szCs w:val="24"/>
        </w:rPr>
        <w:t xml:space="preserve"> </w:t>
      </w:r>
      <w:r w:rsidRPr="00613CC7">
        <w:t>protects</w:t>
      </w:r>
      <w:r w:rsidRPr="001D4494">
        <w:rPr>
          <w:rFonts w:cs="Times New Roman"/>
          <w:szCs w:val="24"/>
        </w:rPr>
        <w:t xml:space="preserve"> collective bargaining</w:t>
      </w:r>
      <w:r w:rsidRPr="001D4494">
        <w:rPr>
          <w:rFonts w:cs="Times New Roman"/>
          <w:color w:val="000000"/>
          <w:szCs w:val="24"/>
        </w:rPr>
        <w:t xml:space="preserve">, </w:t>
      </w:r>
      <w:r w:rsidRPr="001D4494">
        <w:rPr>
          <w:rFonts w:cs="Times New Roman"/>
          <w:szCs w:val="24"/>
        </w:rPr>
        <w:t xml:space="preserve">I </w:t>
      </w:r>
      <w:r>
        <w:rPr>
          <w:rFonts w:cs="Times New Roman"/>
          <w:szCs w:val="24"/>
        </w:rPr>
        <w:t xml:space="preserve">will </w:t>
      </w:r>
      <w:r w:rsidRPr="001D4494">
        <w:rPr>
          <w:rFonts w:cs="Times New Roman"/>
          <w:szCs w:val="24"/>
        </w:rPr>
        <w:t xml:space="preserve">briefly refer to </w:t>
      </w:r>
      <w:r w:rsidRPr="001D4494">
        <w:rPr>
          <w:rFonts w:cs="Times New Roman"/>
          <w:i/>
          <w:szCs w:val="24"/>
        </w:rPr>
        <w:t>Dunmore</w:t>
      </w:r>
      <w:r>
        <w:rPr>
          <w:rFonts w:cs="Times New Roman"/>
          <w:i/>
          <w:szCs w:val="24"/>
        </w:rPr>
        <w:t xml:space="preserve"> v. Ontario (Attorney General)</w:t>
      </w:r>
      <w:r>
        <w:rPr>
          <w:rFonts w:cs="Times New Roman"/>
          <w:szCs w:val="24"/>
        </w:rPr>
        <w:t>, 2001 SCC 94, [2001] 3 S.C.R. 1016,</w:t>
      </w:r>
      <w:r w:rsidRPr="001D4494">
        <w:rPr>
          <w:rFonts w:cs="Times New Roman"/>
          <w:szCs w:val="24"/>
        </w:rPr>
        <w:t xml:space="preserve"> which was consistent with this Court’s jurisprudence prior to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on the contours of s. 2(</w:t>
      </w:r>
      <w:r w:rsidRPr="00F35FAC">
        <w:rPr>
          <w:rFonts w:cs="Times New Roman"/>
          <w:i/>
          <w:szCs w:val="24"/>
        </w:rPr>
        <w:t>d</w:t>
      </w:r>
      <w:r w:rsidRPr="001D4494">
        <w:rPr>
          <w:rFonts w:cs="Times New Roman"/>
          <w:szCs w:val="24"/>
        </w:rPr>
        <w:t xml:space="preserve">) in the labour law context.  I do this to underline the explicit break from that jurisprudence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This break came when </w:t>
      </w:r>
      <w:r>
        <w:rPr>
          <w:rFonts w:cs="Times New Roman"/>
          <w:szCs w:val="24"/>
        </w:rPr>
        <w:t>a majority of this</w:t>
      </w:r>
      <w:r w:rsidRPr="001D4494">
        <w:rPr>
          <w:rFonts w:cs="Times New Roman"/>
          <w:szCs w:val="24"/>
        </w:rPr>
        <w:t xml:space="preserve"> Court found that s. 2(</w:t>
      </w:r>
      <w:r w:rsidRPr="00F35FAC">
        <w:rPr>
          <w:rFonts w:cs="Times New Roman"/>
          <w:i/>
          <w:szCs w:val="24"/>
        </w:rPr>
        <w:t>d</w:t>
      </w:r>
      <w:r w:rsidRPr="001D4494">
        <w:rPr>
          <w:rFonts w:cs="Times New Roman"/>
          <w:szCs w:val="24"/>
        </w:rPr>
        <w:t xml:space="preserve">) required that government legislate to facilitate collective goals which an association was formed to pursue, rather than protecting the freedom of association itself.  This </w:t>
      </w:r>
      <w:r w:rsidRPr="001D4494">
        <w:rPr>
          <w:rFonts w:cs="Times New Roman"/>
          <w:szCs w:val="24"/>
        </w:rPr>
        <w:lastRenderedPageBreak/>
        <w:t xml:space="preserve">finding went beyond the rule in </w:t>
      </w:r>
      <w:r w:rsidRPr="001D4494">
        <w:rPr>
          <w:rFonts w:cs="Times New Roman"/>
          <w:i/>
          <w:szCs w:val="24"/>
        </w:rPr>
        <w:t>Dunmore</w:t>
      </w:r>
      <w:r w:rsidRPr="001D4494">
        <w:rPr>
          <w:rFonts w:cs="Times New Roman"/>
          <w:szCs w:val="24"/>
        </w:rPr>
        <w:t xml:space="preserve"> which mandated legislative protection only where such protection was necessary to the freedom to associate.</w:t>
      </w:r>
    </w:p>
    <w:p w:rsidR="00A00D29" w:rsidRPr="001D4494" w:rsidRDefault="00A00D29" w:rsidP="00613CC7">
      <w:pPr>
        <w:pStyle w:val="ReasonsNumbering-AltN"/>
        <w:ind w:left="0" w:firstLine="0"/>
      </w:pPr>
      <w:r w:rsidRPr="001D4494">
        <w:rPr>
          <w:rFonts w:cs="Times New Roman"/>
          <w:szCs w:val="24"/>
        </w:rPr>
        <w:t xml:space="preserve">The </w:t>
      </w:r>
      <w:r w:rsidRPr="00613CC7">
        <w:rPr>
          <w:rFonts w:cs="Times New Roman"/>
          <w:szCs w:val="24"/>
        </w:rPr>
        <w:t>Chief</w:t>
      </w:r>
      <w:r w:rsidRPr="001D4494">
        <w:t xml:space="preserve"> Justice and LeBel J. present an alternative inte</w:t>
      </w:r>
      <w:r>
        <w:t xml:space="preserve">rpretation which suggests that </w:t>
      </w:r>
      <w:r w:rsidRPr="001D4494">
        <w:rPr>
          <w:rFonts w:cs="Times New Roman"/>
          <w:i/>
          <w:color w:val="000000"/>
          <w:szCs w:val="24"/>
        </w:rPr>
        <w:t>Health</w:t>
      </w:r>
      <w:r>
        <w:rPr>
          <w:rFonts w:cs="Times New Roman"/>
          <w:i/>
          <w:color w:val="000000"/>
          <w:szCs w:val="24"/>
        </w:rPr>
        <w:t xml:space="preserve"> Services</w:t>
      </w:r>
      <w:r>
        <w:t xml:space="preserve"> </w:t>
      </w:r>
      <w:r w:rsidRPr="00192A4F">
        <w:t>“</w:t>
      </w:r>
      <w:r w:rsidRPr="001D4494">
        <w:t xml:space="preserve">follows directly from the principles enunciated in </w:t>
      </w:r>
      <w:r w:rsidRPr="001D4494">
        <w:rPr>
          <w:i/>
        </w:rPr>
        <w:t>Dunmore</w:t>
      </w:r>
      <w:r w:rsidRPr="001D4494">
        <w:t xml:space="preserve">” (para. 38).  With respect, I do not agree with this interpretation because it does not follow from the words and findings in </w:t>
      </w:r>
      <w:r w:rsidRPr="001D4494">
        <w:rPr>
          <w:i/>
        </w:rPr>
        <w:t>Dunmore</w:t>
      </w:r>
      <w:r w:rsidRPr="001D4494">
        <w:t xml:space="preserve">.  In </w:t>
      </w:r>
      <w:r w:rsidRPr="001D4494">
        <w:rPr>
          <w:i/>
        </w:rPr>
        <w:t>Dunmore</w:t>
      </w:r>
      <w:r w:rsidRPr="00BD379F">
        <w:t>,</w:t>
      </w:r>
      <w:r w:rsidRPr="001D4494">
        <w:t xml:space="preserve"> the requirement that government provide legislation to protect workers was anchored in the proposition that certain workers could not associate without government intervention.  This concept was embodied by the idea that the lack of legislation was a “substantial </w:t>
      </w:r>
      <w:r>
        <w:t>interference</w:t>
      </w:r>
      <w:r w:rsidRPr="001D4494">
        <w:t>” to the ability to form an association (para. 25</w:t>
      </w:r>
      <w:r w:rsidR="00800157">
        <w:t xml:space="preserve"> (emphasis deleted)</w:t>
      </w:r>
      <w:r w:rsidRPr="001D4494">
        <w:t xml:space="preserve">).  Deschamps J. describes </w:t>
      </w:r>
      <w:r w:rsidRPr="001D4494">
        <w:rPr>
          <w:i/>
        </w:rPr>
        <w:t>Dunmore</w:t>
      </w:r>
      <w:r w:rsidRPr="001D4494">
        <w:t xml:space="preserve"> as holding that</w:t>
      </w:r>
      <w:r>
        <w:t xml:space="preserve"> agricultural workers “were substantially unable to exercise their constitutional right [to associate] without</w:t>
      </w:r>
      <w:r w:rsidRPr="001D4494">
        <w:t xml:space="preserve"> the sup</w:t>
      </w:r>
      <w:r>
        <w:t>port of a legislative framework” (para. 307)</w:t>
      </w:r>
      <w:r w:rsidRPr="001D4494">
        <w:t>.  This characterization is in line with the words of Bastarache J. who himself noted the distinction between forming an association and enhancing and facilitating the goals of that association:</w:t>
      </w:r>
    </w:p>
    <w:p w:rsidR="00A00D29" w:rsidRPr="001D4494" w:rsidRDefault="00FA2D51" w:rsidP="00A00D29">
      <w:pPr>
        <w:pStyle w:val="Citation-AltC"/>
      </w:pPr>
      <w:r>
        <w:t>. . .</w:t>
      </w:r>
      <w:r w:rsidR="00A00D29" w:rsidRPr="001D4494">
        <w:t xml:space="preserve"> </w:t>
      </w:r>
      <w:proofErr w:type="gramStart"/>
      <w:r w:rsidR="00A00D29" w:rsidRPr="001D4494">
        <w:t>a</w:t>
      </w:r>
      <w:proofErr w:type="gramEnd"/>
      <w:r w:rsidR="00A00D29" w:rsidRPr="001D4494">
        <w:t xml:space="preserve"> group that proves capable of associating despite its exclusion from a protective regime will be unable to meet the evidentiary burden required of a </w:t>
      </w:r>
      <w:r w:rsidR="00A00D29" w:rsidRPr="001D4494">
        <w:rPr>
          <w:i/>
        </w:rPr>
        <w:t xml:space="preserve">Charter </w:t>
      </w:r>
      <w:r w:rsidR="00A00D29" w:rsidRPr="001D4494">
        <w:t xml:space="preserve">claim.  In such a case, inclusion in a statutory regime cannot be said to safeguard, but rather to enhance, the exercise of a fundamental freedom. </w:t>
      </w:r>
      <w:r w:rsidR="00A00D29">
        <w:t>[para. 39]</w:t>
      </w:r>
    </w:p>
    <w:p w:rsidR="00A00D29" w:rsidRPr="001D4494" w:rsidRDefault="00A00D29" w:rsidP="00613CC7">
      <w:pPr>
        <w:pStyle w:val="ReasonsNumbering-AltN"/>
        <w:ind w:left="0" w:firstLine="0"/>
      </w:pPr>
      <w:r w:rsidRPr="001D4494">
        <w:rPr>
          <w:rFonts w:cs="Times New Roman"/>
          <w:i/>
          <w:color w:val="000000"/>
          <w:szCs w:val="24"/>
        </w:rPr>
        <w:t>Health</w:t>
      </w:r>
      <w:r>
        <w:rPr>
          <w:rFonts w:cs="Times New Roman"/>
          <w:i/>
          <w:color w:val="000000"/>
          <w:szCs w:val="24"/>
        </w:rPr>
        <w:t xml:space="preserve"> Services</w:t>
      </w:r>
      <w:r w:rsidRPr="001D4494">
        <w:t xml:space="preserve">, in contrast, was not focussed on ensuring that government did not interfere with the right of individuals to form an association.  </w:t>
      </w:r>
      <w:r w:rsidRPr="00613CC7">
        <w:rPr>
          <w:rFonts w:cs="Times New Roman"/>
          <w:szCs w:val="24"/>
        </w:rPr>
        <w:t>Indeed</w:t>
      </w:r>
      <w:r w:rsidRPr="001D4494">
        <w:t xml:space="preserve"> the action was brought by existing association</w:t>
      </w:r>
      <w:r>
        <w:t>s</w:t>
      </w:r>
      <w:r w:rsidRPr="001D4494">
        <w:t xml:space="preserve">.  Instead, the decision in </w:t>
      </w:r>
      <w:r w:rsidRPr="001D4494">
        <w:rPr>
          <w:rFonts w:cs="Times New Roman"/>
          <w:i/>
          <w:color w:val="000000"/>
          <w:szCs w:val="24"/>
        </w:rPr>
        <w:lastRenderedPageBreak/>
        <w:t>Health</w:t>
      </w:r>
      <w:r>
        <w:rPr>
          <w:rFonts w:cs="Times New Roman"/>
          <w:i/>
          <w:color w:val="000000"/>
          <w:szCs w:val="24"/>
        </w:rPr>
        <w:t xml:space="preserve"> Services</w:t>
      </w:r>
      <w:r>
        <w:t xml:space="preserve"> cent</w:t>
      </w:r>
      <w:r w:rsidRPr="001D4494">
        <w:t xml:space="preserve">red on the purported need to constitutionalize collective bargaining in order for the association to be “meaningful”.  The </w:t>
      </w:r>
      <w:r>
        <w:t>majority</w:t>
      </w:r>
      <w:r w:rsidRPr="001D4494">
        <w:t xml:space="preserve"> concluded that without a legislated right to collective bargaining, and without constitutional protection of terms of the collective agreement in that case, the formation of an association was meaningless.</w:t>
      </w:r>
    </w:p>
    <w:p w:rsidR="00A00D29" w:rsidRPr="001D4494" w:rsidRDefault="00A00D29" w:rsidP="00613CC7">
      <w:pPr>
        <w:pStyle w:val="ReasonsNumbering-AltN"/>
        <w:ind w:left="0" w:firstLine="0"/>
      </w:pPr>
      <w:r w:rsidRPr="001D4494">
        <w:t xml:space="preserve">This </w:t>
      </w:r>
      <w:r w:rsidRPr="00613CC7">
        <w:rPr>
          <w:rFonts w:cs="Times New Roman"/>
          <w:szCs w:val="24"/>
        </w:rPr>
        <w:t>sentiment</w:t>
      </w:r>
      <w:r w:rsidRPr="001D4494">
        <w:t xml:space="preserve"> was an express break from </w:t>
      </w:r>
      <w:r w:rsidRPr="001D4494">
        <w:rPr>
          <w:i/>
        </w:rPr>
        <w:t xml:space="preserve">Dunmore </w:t>
      </w:r>
      <w:r w:rsidRPr="001D4494">
        <w:t xml:space="preserve">because the majority in </w:t>
      </w:r>
      <w:r w:rsidRPr="001D4494">
        <w:rPr>
          <w:rFonts w:cs="Times New Roman"/>
          <w:i/>
          <w:color w:val="000000"/>
          <w:szCs w:val="24"/>
        </w:rPr>
        <w:t>Health</w:t>
      </w:r>
      <w:r>
        <w:rPr>
          <w:rFonts w:cs="Times New Roman"/>
          <w:i/>
          <w:color w:val="000000"/>
          <w:szCs w:val="24"/>
        </w:rPr>
        <w:t xml:space="preserve"> Services</w:t>
      </w:r>
      <w:r w:rsidRPr="001D4494" w:rsidDel="008A3FB8">
        <w:t xml:space="preserve"> </w:t>
      </w:r>
      <w:r w:rsidRPr="001D4494">
        <w:t xml:space="preserve">focussed on the goals of an association and the </w:t>
      </w:r>
      <w:r w:rsidRPr="001D4494">
        <w:rPr>
          <w:i/>
        </w:rPr>
        <w:t>enhancement</w:t>
      </w:r>
      <w:r w:rsidRPr="001D4494">
        <w:t xml:space="preserve"> of those goals, rather than the </w:t>
      </w:r>
      <w:r>
        <w:t>ability</w:t>
      </w:r>
      <w:r w:rsidRPr="001D4494">
        <w:t xml:space="preserve"> of the claimants to associate (which they already had done).</w:t>
      </w:r>
      <w:r w:rsidRPr="001D4494">
        <w:rPr>
          <w:i/>
        </w:rPr>
        <w:t xml:space="preserve"> </w:t>
      </w:r>
      <w:r w:rsidRPr="001D4494">
        <w:t xml:space="preserve"> Constitutionalizing collective bargaining therefore cannot be said to safeguard the </w:t>
      </w:r>
      <w:r>
        <w:t>ability</w:t>
      </w:r>
      <w:r w:rsidRPr="001D4494">
        <w:t xml:space="preserve"> to associate, but instead is concerned with “</w:t>
      </w:r>
      <w:proofErr w:type="spellStart"/>
      <w:r w:rsidRPr="001D4494">
        <w:t>enhanc</w:t>
      </w:r>
      <w:proofErr w:type="spellEnd"/>
      <w:r w:rsidRPr="001D4494">
        <w:t>[</w:t>
      </w:r>
      <w:proofErr w:type="spellStart"/>
      <w:r w:rsidRPr="001D4494">
        <w:t>ing</w:t>
      </w:r>
      <w:proofErr w:type="spellEnd"/>
      <w:r w:rsidRPr="001D4494">
        <w:t>] the exercise of a fundamental freedom”</w:t>
      </w:r>
      <w:r w:rsidR="00FA2D51">
        <w:t>,</w:t>
      </w:r>
      <w:r w:rsidRPr="001D4494">
        <w:t xml:space="preserve"> which cannot form the basis of a </w:t>
      </w:r>
      <w:r w:rsidRPr="001D4494">
        <w:rPr>
          <w:i/>
        </w:rPr>
        <w:t>Charter</w:t>
      </w:r>
      <w:r w:rsidRPr="001D4494">
        <w:t xml:space="preserve"> claim (</w:t>
      </w:r>
      <w:r w:rsidRPr="001D4494">
        <w:rPr>
          <w:i/>
        </w:rPr>
        <w:t>Dunmore</w:t>
      </w:r>
      <w:r>
        <w:t>,</w:t>
      </w:r>
      <w:r w:rsidRPr="001D4494">
        <w:t xml:space="preserve"> at para. 39).  This express break from </w:t>
      </w:r>
      <w:r w:rsidRPr="001D4494">
        <w:rPr>
          <w:i/>
        </w:rPr>
        <w:t>Dunmore</w:t>
      </w:r>
      <w:r w:rsidRPr="001D4494">
        <w:t xml:space="preserve"> is found in the reasons of the Chief Justice and LeBel J., where they suggest that providing associational protections in the </w:t>
      </w:r>
      <w:r w:rsidRPr="00BD379F">
        <w:rPr>
          <w:i/>
        </w:rPr>
        <w:t>AEPA</w:t>
      </w:r>
      <w:r w:rsidRPr="001D4494">
        <w:t xml:space="preserve"> without also enshrining good faith bargaining would “render the associational process effectively useless” (para. 5</w:t>
      </w:r>
      <w:r>
        <w:t>4</w:t>
      </w:r>
      <w:r w:rsidRPr="001D4494">
        <w:t xml:space="preserve">).  This break from </w:t>
      </w:r>
      <w:r w:rsidRPr="001D4494">
        <w:rPr>
          <w:i/>
        </w:rPr>
        <w:t>Dunmore</w:t>
      </w:r>
      <w:r w:rsidRPr="001D4494">
        <w:t xml:space="preserve"> is also recognized in the reasons of my colleague Abella J., where she observes that </w:t>
      </w:r>
      <w:r w:rsidRPr="001D4494">
        <w:rPr>
          <w:rFonts w:cs="Times New Roman"/>
          <w:i/>
          <w:color w:val="000000"/>
          <w:szCs w:val="24"/>
        </w:rPr>
        <w:t>Health</w:t>
      </w:r>
      <w:r>
        <w:rPr>
          <w:rFonts w:cs="Times New Roman"/>
          <w:i/>
          <w:color w:val="000000"/>
          <w:szCs w:val="24"/>
        </w:rPr>
        <w:t xml:space="preserve"> Services</w:t>
      </w:r>
      <w:r w:rsidRPr="001D4494">
        <w:rPr>
          <w:i/>
        </w:rPr>
        <w:t xml:space="preserve"> </w:t>
      </w:r>
      <w:r w:rsidRPr="001D4494">
        <w:t>resulted in “creating a completely different jurisprudential universe” from that found in the previous “</w:t>
      </w:r>
      <w:r w:rsidRPr="001D4494">
        <w:rPr>
          <w:i/>
        </w:rPr>
        <w:t xml:space="preserve">Dunmore </w:t>
      </w:r>
      <w:r w:rsidRPr="001D4494">
        <w:t xml:space="preserve">‘right to organize’ template” (paras. </w:t>
      </w:r>
      <w:r w:rsidR="00800157">
        <w:t>324-</w:t>
      </w:r>
      <w:r>
        <w:t>25</w:t>
      </w:r>
      <w:r w:rsidRPr="001D4494">
        <w:t>).</w:t>
      </w:r>
    </w:p>
    <w:p w:rsidR="00A00D29" w:rsidRPr="001D4494" w:rsidRDefault="00A00D29" w:rsidP="00613CC7">
      <w:pPr>
        <w:pStyle w:val="ReasonsNumbering-AltN"/>
        <w:ind w:left="0" w:firstLine="0"/>
      </w:pPr>
      <w:r w:rsidRPr="001D4494">
        <w:t xml:space="preserve">It is this shift from protecting what is necessary to exercise the freedom to associate, to constitutionalizing the goals of an association </w:t>
      </w:r>
      <w:r>
        <w:t>—</w:t>
      </w:r>
      <w:r w:rsidRPr="001D4494">
        <w:t xml:space="preserve"> that is, negotiating a </w:t>
      </w:r>
      <w:r w:rsidRPr="001D4494">
        <w:lastRenderedPageBreak/>
        <w:t xml:space="preserve">collective agreement </w:t>
      </w:r>
      <w:r>
        <w:t>—</w:t>
      </w:r>
      <w:r w:rsidRPr="001D4494">
        <w:t xml:space="preserve"> which results in </w:t>
      </w:r>
      <w:r w:rsidRPr="001D4494">
        <w:rPr>
          <w:rFonts w:cs="Times New Roman"/>
          <w:i/>
          <w:color w:val="000000"/>
          <w:szCs w:val="24"/>
        </w:rPr>
        <w:t>Health</w:t>
      </w:r>
      <w:r>
        <w:rPr>
          <w:rFonts w:cs="Times New Roman"/>
          <w:i/>
          <w:color w:val="000000"/>
          <w:szCs w:val="24"/>
        </w:rPr>
        <w:t xml:space="preserve"> Services</w:t>
      </w:r>
      <w:r w:rsidRPr="001D4494">
        <w:t xml:space="preserve"> being inconsistent with the ruling in </w:t>
      </w:r>
      <w:r w:rsidRPr="001D4494">
        <w:rPr>
          <w:i/>
        </w:rPr>
        <w:t>Dunmore</w:t>
      </w:r>
      <w:r w:rsidRPr="001D4494">
        <w:t xml:space="preserve">.  The majority in </w:t>
      </w:r>
      <w:r w:rsidRPr="001D4494">
        <w:rPr>
          <w:rFonts w:cs="Times New Roman"/>
          <w:i/>
          <w:color w:val="000000"/>
          <w:szCs w:val="24"/>
        </w:rPr>
        <w:t>Health</w:t>
      </w:r>
      <w:r>
        <w:rPr>
          <w:rFonts w:cs="Times New Roman"/>
          <w:i/>
          <w:color w:val="000000"/>
          <w:szCs w:val="24"/>
        </w:rPr>
        <w:t xml:space="preserve"> Services</w:t>
      </w:r>
      <w:r w:rsidRPr="001D4494">
        <w:t xml:space="preserve"> found that the freedom of association is meaningless unless the government also imposes a duty on employers to bargain in good faith, and protects the fruits of that bargaining process.  The focus shifted in </w:t>
      </w:r>
      <w:r w:rsidRPr="001D4494">
        <w:rPr>
          <w:rFonts w:cs="Times New Roman"/>
          <w:i/>
          <w:color w:val="000000"/>
          <w:szCs w:val="24"/>
        </w:rPr>
        <w:t>Health</w:t>
      </w:r>
      <w:r>
        <w:rPr>
          <w:rFonts w:cs="Times New Roman"/>
          <w:i/>
          <w:color w:val="000000"/>
          <w:szCs w:val="24"/>
        </w:rPr>
        <w:t xml:space="preserve"> Services</w:t>
      </w:r>
      <w:r w:rsidRPr="001D4494">
        <w:t xml:space="preserve"> from protecting the right to associate to enhancing the goals of the association.  This was an express break from </w:t>
      </w:r>
      <w:r w:rsidRPr="001D4494">
        <w:rPr>
          <w:i/>
        </w:rPr>
        <w:t>Dunmore</w:t>
      </w:r>
      <w:r w:rsidRPr="001D4494">
        <w:t>.</w:t>
      </w:r>
    </w:p>
    <w:p w:rsidR="00A00D29" w:rsidRDefault="00A00D29" w:rsidP="00613CC7">
      <w:pPr>
        <w:pStyle w:val="HeadingTitre-AltH"/>
        <w:spacing w:after="720"/>
      </w:pPr>
      <w:r w:rsidRPr="001D4494">
        <w:t>B.</w:t>
      </w:r>
      <w:r w:rsidRPr="001D4494">
        <w:tab/>
      </w:r>
      <w:r>
        <w:rPr>
          <w:i/>
        </w:rPr>
        <w:t>The Jurisprudential Background P</w:t>
      </w:r>
      <w:r w:rsidRPr="00395C4A">
        <w:rPr>
          <w:i/>
        </w:rPr>
        <w:t xml:space="preserve">rior </w:t>
      </w:r>
      <w:r w:rsidRPr="00FC275D">
        <w:rPr>
          <w:i/>
        </w:rPr>
        <w:t xml:space="preserve">to </w:t>
      </w:r>
      <w:r w:rsidRPr="001D4494">
        <w:rPr>
          <w:rFonts w:cs="Times New Roman"/>
          <w:i/>
          <w:color w:val="000000"/>
          <w:szCs w:val="24"/>
        </w:rPr>
        <w:t>Health</w:t>
      </w:r>
      <w:r>
        <w:rPr>
          <w:rFonts w:cs="Times New Roman"/>
          <w:i/>
          <w:color w:val="000000"/>
          <w:szCs w:val="24"/>
        </w:rPr>
        <w:t xml:space="preserve"> Services</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This Court first examined the scope of the </w:t>
      </w:r>
      <w:r w:rsidRPr="001D4494">
        <w:rPr>
          <w:rFonts w:cs="Times New Roman"/>
          <w:i/>
          <w:szCs w:val="24"/>
        </w:rPr>
        <w:t>Charter</w:t>
      </w:r>
      <w:r w:rsidRPr="001D4494">
        <w:rPr>
          <w:rFonts w:cs="Times New Roman"/>
          <w:szCs w:val="24"/>
        </w:rPr>
        <w:t>’s guarantee of freedom of association in a series of three cases</w:t>
      </w:r>
      <w:r>
        <w:rPr>
          <w:rFonts w:cs="Times New Roman"/>
          <w:szCs w:val="24"/>
        </w:rPr>
        <w:t xml:space="preserve"> that came to be known as the “labour law t</w:t>
      </w:r>
      <w:r w:rsidRPr="001D4494">
        <w:rPr>
          <w:rFonts w:cs="Times New Roman"/>
          <w:szCs w:val="24"/>
        </w:rPr>
        <w:t>rilogy” (“Trilogy”)</w:t>
      </w:r>
      <w:r w:rsidR="00FA2D51">
        <w:rPr>
          <w:rFonts w:cs="Times New Roman"/>
          <w:szCs w:val="24"/>
        </w:rPr>
        <w:t xml:space="preserve">: </w:t>
      </w:r>
      <w:r w:rsidR="00FA2D51">
        <w:rPr>
          <w:rFonts w:cs="Times New Roman"/>
          <w:i/>
          <w:szCs w:val="24"/>
        </w:rPr>
        <w:t xml:space="preserve"> Reference r</w:t>
      </w:r>
      <w:r w:rsidRPr="001D4494">
        <w:rPr>
          <w:rFonts w:cs="Times New Roman"/>
          <w:i/>
          <w:szCs w:val="24"/>
        </w:rPr>
        <w:t>e Public Service Employee Relations Act</w:t>
      </w:r>
      <w:r>
        <w:rPr>
          <w:rFonts w:cs="Times New Roman"/>
          <w:i/>
          <w:szCs w:val="24"/>
        </w:rPr>
        <w:t xml:space="preserve"> (Alta.)</w:t>
      </w:r>
      <w:r w:rsidRPr="001D4494">
        <w:rPr>
          <w:rFonts w:cs="Times New Roman"/>
          <w:szCs w:val="24"/>
        </w:rPr>
        <w:t>, [1987] 1 S.C.R. 313 (the “</w:t>
      </w:r>
      <w:r w:rsidRPr="001D4494">
        <w:rPr>
          <w:rFonts w:cs="Times New Roman"/>
          <w:i/>
          <w:szCs w:val="24"/>
        </w:rPr>
        <w:t>Alberta Reference</w:t>
      </w:r>
      <w:r w:rsidRPr="001D4494">
        <w:rPr>
          <w:rFonts w:cs="Times New Roman"/>
          <w:szCs w:val="24"/>
        </w:rPr>
        <w:t xml:space="preserve">”); </w:t>
      </w:r>
      <w:r w:rsidRPr="001D4494">
        <w:rPr>
          <w:rFonts w:cs="Times New Roman"/>
          <w:i/>
          <w:szCs w:val="24"/>
        </w:rPr>
        <w:t>PSAC v. Canada</w:t>
      </w:r>
      <w:r w:rsidRPr="001D4494">
        <w:rPr>
          <w:rFonts w:cs="Times New Roman"/>
          <w:szCs w:val="24"/>
        </w:rPr>
        <w:t xml:space="preserve">, [1987] 1 S.C.R. 424; </w:t>
      </w:r>
      <w:r>
        <w:rPr>
          <w:rFonts w:cs="Times New Roman"/>
          <w:szCs w:val="24"/>
        </w:rPr>
        <w:t xml:space="preserve">and </w:t>
      </w:r>
      <w:r w:rsidRPr="00C93688">
        <w:rPr>
          <w:rFonts w:cs="Times New Roman"/>
          <w:i/>
          <w:szCs w:val="24"/>
        </w:rPr>
        <w:t>RWDSU v. Saskatchewan</w:t>
      </w:r>
      <w:r w:rsidRPr="001D4494">
        <w:rPr>
          <w:rFonts w:cs="Times New Roman"/>
          <w:szCs w:val="24"/>
        </w:rPr>
        <w:t>, [1987] 1 S.C.R. 460.  The specific issue in those cases was whether s. 2(</w:t>
      </w:r>
      <w:r w:rsidRPr="00C93688">
        <w:rPr>
          <w:rFonts w:cs="Times New Roman"/>
          <w:i/>
          <w:szCs w:val="24"/>
        </w:rPr>
        <w:t>d</w:t>
      </w:r>
      <w:r w:rsidRPr="001D4494">
        <w:rPr>
          <w:rFonts w:cs="Times New Roman"/>
          <w:szCs w:val="24"/>
        </w:rPr>
        <w:t>) protected the right to strike. However, the members of the Court took the opportunity to consider, at length, the purpose and scope of the protections afforded by s. 2(</w:t>
      </w:r>
      <w:r w:rsidRPr="00C93688">
        <w:rPr>
          <w:rFonts w:cs="Times New Roman"/>
          <w:i/>
          <w:szCs w:val="24"/>
        </w:rPr>
        <w:t>d</w:t>
      </w:r>
      <w:r w:rsidRPr="001D4494">
        <w:rPr>
          <w:rFonts w:cs="Times New Roman"/>
          <w:szCs w:val="24"/>
        </w:rPr>
        <w:t xml:space="preserve">).  The bulk of the substantive analysis is found in the </w:t>
      </w:r>
      <w:r w:rsidRPr="001D4494">
        <w:rPr>
          <w:rFonts w:cs="Times New Roman"/>
          <w:i/>
          <w:szCs w:val="24"/>
        </w:rPr>
        <w:t>Alberta Reference</w:t>
      </w:r>
      <w:r w:rsidRPr="001D4494">
        <w:rPr>
          <w:rFonts w:cs="Times New Roman"/>
          <w:szCs w:val="24"/>
        </w:rPr>
        <w:t>.</w:t>
      </w:r>
    </w:p>
    <w:p w:rsidR="00A00D29" w:rsidRPr="001D4494" w:rsidRDefault="00A00D29" w:rsidP="00613CC7">
      <w:pPr>
        <w:pStyle w:val="ReasonsNumbering-AltN"/>
        <w:ind w:left="0" w:firstLine="0"/>
        <w:rPr>
          <w:rFonts w:cs="Times New Roman"/>
          <w:szCs w:val="24"/>
        </w:rPr>
      </w:pPr>
      <w:r w:rsidRPr="001D4494">
        <w:rPr>
          <w:rFonts w:cs="Times New Roman"/>
          <w:szCs w:val="24"/>
        </w:rPr>
        <w:t>While the Court was divided on the result in those cases, there was nonetheless agreement on a number of core principles concerning the purpose and scope of s. 2(</w:t>
      </w:r>
      <w:r w:rsidRPr="00C93688">
        <w:rPr>
          <w:rFonts w:cs="Times New Roman"/>
          <w:i/>
          <w:szCs w:val="24"/>
        </w:rPr>
        <w:t>d</w:t>
      </w:r>
      <w:r w:rsidRPr="001D4494">
        <w:rPr>
          <w:rFonts w:cs="Times New Roman"/>
          <w:szCs w:val="24"/>
        </w:rPr>
        <w:t>).  With respect to the purpose of granting constitutional protection to freedom of association, the following comment by McIntyre J. reflects a general consensus amongst the members of the Court:</w:t>
      </w:r>
    </w:p>
    <w:p w:rsidR="00A00D29" w:rsidRPr="001D4494" w:rsidRDefault="00A00D29" w:rsidP="00A00D29">
      <w:pPr>
        <w:pStyle w:val="Citation-AltC"/>
      </w:pPr>
      <w:r w:rsidRPr="001D4494">
        <w:lastRenderedPageBreak/>
        <w:t>While freedom of association like most other fundamental rights has no single purpose or value, at its core rests a rather simple proposition: the attainment of individual goals, through the exercise of individual rights, is generally impossible without the aid and cooperation of others. “Man, as Aristotle observed, is a ‘social animal</w:t>
      </w:r>
      <w:r>
        <w:t>,</w:t>
      </w:r>
      <w:r w:rsidRPr="001D4494">
        <w:t xml:space="preserve"> formed by nature for living with others’, associating with his fellows both to satisfy his desire for social intercourse and to realize common purposes</w:t>
      </w:r>
      <w:r>
        <w:t>.</w:t>
      </w:r>
      <w:r w:rsidRPr="001D4494">
        <w:t>” [</w:t>
      </w:r>
      <w:r>
        <w:t>p. 395]</w:t>
      </w:r>
    </w:p>
    <w:p w:rsidR="00A00D29" w:rsidRPr="001D4494" w:rsidRDefault="00A00D29" w:rsidP="00613CC7">
      <w:pPr>
        <w:pStyle w:val="ReasonsNumbering-AltN"/>
        <w:ind w:left="0" w:firstLine="0"/>
        <w:rPr>
          <w:rFonts w:cs="Times New Roman"/>
          <w:szCs w:val="24"/>
        </w:rPr>
      </w:pPr>
      <w:r w:rsidRPr="001D4494">
        <w:rPr>
          <w:rFonts w:cs="Times New Roman"/>
          <w:szCs w:val="24"/>
        </w:rPr>
        <w:t>In addition, the Court was agreed that s. 2(</w:t>
      </w:r>
      <w:r w:rsidRPr="00C93688">
        <w:rPr>
          <w:rFonts w:cs="Times New Roman"/>
          <w:i/>
          <w:szCs w:val="24"/>
        </w:rPr>
        <w:t>d</w:t>
      </w:r>
      <w:r w:rsidRPr="001D4494">
        <w:rPr>
          <w:rFonts w:cs="Times New Roman"/>
          <w:szCs w:val="24"/>
        </w:rPr>
        <w:t>) protects an individual right to enter into an association and does not create group rights that vest in the association itself.  In the words of Dickson C.J.</w:t>
      </w:r>
      <w:r>
        <w:rPr>
          <w:rFonts w:cs="Times New Roman"/>
          <w:szCs w:val="24"/>
        </w:rPr>
        <w:t xml:space="preserve"> (dissenting)</w:t>
      </w:r>
      <w:r w:rsidRPr="001D4494">
        <w:rPr>
          <w:rFonts w:cs="Times New Roman"/>
          <w:szCs w:val="24"/>
        </w:rPr>
        <w:t>:</w:t>
      </w:r>
    </w:p>
    <w:p w:rsidR="00A00D29" w:rsidRPr="001D4494" w:rsidRDefault="00A00D29" w:rsidP="00A00D29">
      <w:pPr>
        <w:pStyle w:val="Citation-AltC"/>
      </w:pPr>
      <w:r>
        <w:tab/>
      </w:r>
      <w:r w:rsidRPr="001D4494">
        <w:t xml:space="preserve">What freedom of association seeks to protect is not associational activities </w:t>
      </w:r>
      <w:r w:rsidRPr="001D4494">
        <w:rPr>
          <w:i/>
        </w:rPr>
        <w:t>qua</w:t>
      </w:r>
      <w:r w:rsidRPr="001D4494">
        <w:t xml:space="preserve"> particular activities, but the freedom of individuals to interact with, support, and be supported by, their fellow humans in the varied activities in which they choose to engage. But this is not an unlimited constitutional license for all group activity. The mere fact that an activity is capable of being carried out by several people together, as well as individually, does not mean that the activity acquires constitutional protection from legislative prohibition or regulation</w:t>
      </w:r>
      <w:r>
        <w:t>.</w:t>
      </w:r>
      <w:r w:rsidRPr="001D4494">
        <w:rPr>
          <w:color w:val="000000"/>
        </w:rPr>
        <w:t xml:space="preserve"> </w:t>
      </w:r>
      <w:r>
        <w:rPr>
          <w:color w:val="000000"/>
        </w:rPr>
        <w:t>[</w:t>
      </w:r>
      <w:r w:rsidRPr="001D4494">
        <w:rPr>
          <w:color w:val="000000"/>
        </w:rPr>
        <w:t>p.</w:t>
      </w:r>
      <w:r w:rsidR="00801DBF">
        <w:rPr>
          <w:color w:val="000000"/>
        </w:rPr>
        <w:t> </w:t>
      </w:r>
      <w:r w:rsidRPr="001D4494">
        <w:rPr>
          <w:color w:val="000000"/>
        </w:rPr>
        <w:t>3</w:t>
      </w:r>
      <w:r>
        <w:rPr>
          <w:color w:val="000000"/>
        </w:rPr>
        <w:t>66]</w:t>
      </w:r>
    </w:p>
    <w:p w:rsidR="00A00D29" w:rsidRPr="001D4494" w:rsidRDefault="00A00D29" w:rsidP="00A00D29">
      <w:pPr>
        <w:pStyle w:val="ContinueReasonsNo-AltP"/>
        <w:rPr>
          <w:rFonts w:cs="Times New Roman"/>
          <w:szCs w:val="24"/>
        </w:rPr>
      </w:pPr>
      <w:r w:rsidRPr="001D4494">
        <w:rPr>
          <w:rFonts w:cs="Times New Roman"/>
          <w:szCs w:val="24"/>
        </w:rPr>
        <w:t>McIntyre J. struck a similar note:</w:t>
      </w:r>
    </w:p>
    <w:p w:rsidR="00A00D29" w:rsidRPr="001D4494" w:rsidRDefault="00A00D29" w:rsidP="00A00D29">
      <w:pPr>
        <w:pStyle w:val="Citation-AltC"/>
      </w:pPr>
      <w:r>
        <w:tab/>
      </w:r>
      <w:r w:rsidRPr="001D4494">
        <w:t>In considering the constitutional position of freedom of association, it must be recognized that while it advances many group interests and, of course, cannot be exercised alone, it is nonetheless a freedom belonging to the individual and not to the gro</w:t>
      </w:r>
      <w:r>
        <w:t>up formed through its exercise. [</w:t>
      </w:r>
      <w:r w:rsidRPr="001D4494">
        <w:rPr>
          <w:color w:val="000000"/>
        </w:rPr>
        <w:t>p.</w:t>
      </w:r>
      <w:r w:rsidR="00801DBF">
        <w:rPr>
          <w:color w:val="000000"/>
        </w:rPr>
        <w:t> </w:t>
      </w:r>
      <w:r w:rsidRPr="001D4494">
        <w:rPr>
          <w:color w:val="000000"/>
        </w:rPr>
        <w:t>397</w:t>
      </w:r>
      <w:r>
        <w:t>]</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In </w:t>
      </w:r>
      <w:r w:rsidRPr="001D4494">
        <w:rPr>
          <w:rFonts w:cs="Times New Roman"/>
          <w:i/>
          <w:szCs w:val="24"/>
        </w:rPr>
        <w:t>Professional Institute of the Pub</w:t>
      </w:r>
      <w:r>
        <w:rPr>
          <w:rFonts w:cs="Times New Roman"/>
          <w:i/>
          <w:szCs w:val="24"/>
        </w:rPr>
        <w:t>lic Service of Canada v. Northw</w:t>
      </w:r>
      <w:r w:rsidRPr="001D4494">
        <w:rPr>
          <w:rFonts w:cs="Times New Roman"/>
          <w:i/>
          <w:szCs w:val="24"/>
        </w:rPr>
        <w:t>est Territories (Commissioner)</w:t>
      </w:r>
      <w:r w:rsidRPr="001D4494">
        <w:rPr>
          <w:rFonts w:cs="Times New Roman"/>
          <w:szCs w:val="24"/>
        </w:rPr>
        <w:t>, [1990] 2 S.C.R. 367 (“</w:t>
      </w:r>
      <w:r w:rsidRPr="00C93688">
        <w:rPr>
          <w:rFonts w:cs="Times New Roman"/>
          <w:i/>
          <w:szCs w:val="24"/>
        </w:rPr>
        <w:t>PIPSC</w:t>
      </w:r>
      <w:r w:rsidRPr="001D4494">
        <w:rPr>
          <w:rFonts w:cs="Times New Roman"/>
          <w:szCs w:val="24"/>
        </w:rPr>
        <w:t xml:space="preserve">”), the core areas of </w:t>
      </w:r>
      <w:r w:rsidRPr="001D4494">
        <w:rPr>
          <w:rFonts w:cs="Times New Roman"/>
          <w:szCs w:val="24"/>
        </w:rPr>
        <w:lastRenderedPageBreak/>
        <w:t xml:space="preserve">agreement in the </w:t>
      </w:r>
      <w:r w:rsidRPr="001D4494">
        <w:rPr>
          <w:rFonts w:cs="Times New Roman"/>
          <w:i/>
          <w:szCs w:val="24"/>
        </w:rPr>
        <w:t xml:space="preserve">Alberta Reference </w:t>
      </w:r>
      <w:r w:rsidRPr="001D4494">
        <w:rPr>
          <w:rFonts w:cs="Times New Roman"/>
          <w:szCs w:val="24"/>
        </w:rPr>
        <w:t>were later summarized by Sopinka J. in a passage that has since been frequently cited:</w:t>
      </w:r>
    </w:p>
    <w:p w:rsidR="00A00D29" w:rsidRPr="001D4494" w:rsidRDefault="00A00D29" w:rsidP="00A00D29">
      <w:pPr>
        <w:pStyle w:val="Citation-AltC"/>
      </w:pPr>
      <w:r>
        <w:tab/>
      </w:r>
      <w:r w:rsidRPr="001D4494">
        <w:t xml:space="preserve">Upon considering the various judgments in the </w:t>
      </w:r>
      <w:r w:rsidRPr="00C93688">
        <w:rPr>
          <w:i/>
        </w:rPr>
        <w:t>Alberta Reference</w:t>
      </w:r>
      <w:r w:rsidRPr="001D4494">
        <w:t>, I have come to the view that four separate propositions concerning the coverage of the s. 2(</w:t>
      </w:r>
      <w:r w:rsidRPr="005F7406">
        <w:rPr>
          <w:i/>
        </w:rPr>
        <w:t>d</w:t>
      </w:r>
      <w:r w:rsidRPr="001D4494">
        <w:t>) guarantee of freedom of association emerge from the case:  first, that s. 2(</w:t>
      </w:r>
      <w:r w:rsidRPr="005F7406">
        <w:rPr>
          <w:i/>
        </w:rPr>
        <w:t>d</w:t>
      </w:r>
      <w:r w:rsidRPr="001D4494">
        <w:t>) protects the freedom to establish, belong to and maintain an association; second, that s. 2(</w:t>
      </w:r>
      <w:r w:rsidRPr="005F7406">
        <w:rPr>
          <w:i/>
        </w:rPr>
        <w:t>d</w:t>
      </w:r>
      <w:r w:rsidRPr="001D4494">
        <w:t>) does not protect an activity solely on the ground that the activity is a foundational or essential purpose of an association; third, that s. 2(</w:t>
      </w:r>
      <w:r w:rsidRPr="005F7406">
        <w:rPr>
          <w:i/>
        </w:rPr>
        <w:t>d</w:t>
      </w:r>
      <w:r w:rsidRPr="001D4494">
        <w:t>) protects the exercise in association of the constitutional rights and freedoms of individuals; and fourth, that s. 2(</w:t>
      </w:r>
      <w:r w:rsidRPr="005F7406">
        <w:rPr>
          <w:i/>
        </w:rPr>
        <w:t>d</w:t>
      </w:r>
      <w:r w:rsidRPr="001D4494">
        <w:t>) protects the exercise in association of the lawful rights of individuals.</w:t>
      </w:r>
      <w:r>
        <w:t xml:space="preserve"> [</w:t>
      </w:r>
      <w:r w:rsidRPr="001D4494">
        <w:t>pp. 401-</w:t>
      </w:r>
      <w:r>
        <w:t>2]</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These four propositions were later endorsed by majorities of the Court in </w:t>
      </w:r>
      <w:r w:rsidRPr="001D4494">
        <w:rPr>
          <w:rFonts w:cs="Times New Roman"/>
          <w:i/>
          <w:szCs w:val="24"/>
        </w:rPr>
        <w:t>Canadian Egg Marketing Agency v. Richardson</w:t>
      </w:r>
      <w:r w:rsidRPr="001D4494">
        <w:rPr>
          <w:rFonts w:cs="Times New Roman"/>
          <w:szCs w:val="24"/>
        </w:rPr>
        <w:t>, [1998] 3 S.C.R. 157</w:t>
      </w:r>
      <w:r>
        <w:rPr>
          <w:rFonts w:cs="Times New Roman"/>
          <w:szCs w:val="24"/>
        </w:rPr>
        <w:t>,</w:t>
      </w:r>
      <w:r w:rsidRPr="001D4494">
        <w:rPr>
          <w:rFonts w:cs="Times New Roman"/>
          <w:i/>
          <w:szCs w:val="24"/>
        </w:rPr>
        <w:t xml:space="preserve"> </w:t>
      </w:r>
      <w:r w:rsidRPr="001D4494">
        <w:rPr>
          <w:rFonts w:cs="Times New Roman"/>
          <w:szCs w:val="24"/>
        </w:rPr>
        <w:t xml:space="preserve">and </w:t>
      </w:r>
      <w:r w:rsidRPr="001D4494">
        <w:rPr>
          <w:rFonts w:cs="Times New Roman"/>
          <w:i/>
          <w:szCs w:val="24"/>
        </w:rPr>
        <w:t xml:space="preserve">Delisle </w:t>
      </w:r>
      <w:r>
        <w:rPr>
          <w:rFonts w:cs="Times New Roman"/>
          <w:i/>
          <w:szCs w:val="24"/>
        </w:rPr>
        <w:t xml:space="preserve">v. </w:t>
      </w:r>
      <w:r w:rsidRPr="001D4494">
        <w:rPr>
          <w:rFonts w:cs="Times New Roman"/>
          <w:i/>
          <w:szCs w:val="24"/>
        </w:rPr>
        <w:t>Canada (Deputy Attorney General)</w:t>
      </w:r>
      <w:r>
        <w:rPr>
          <w:rFonts w:cs="Times New Roman"/>
          <w:szCs w:val="24"/>
        </w:rPr>
        <w:t>, [1999] 2 S.C.R. 989</w:t>
      </w:r>
      <w:r w:rsidRPr="001D4494">
        <w:rPr>
          <w:rFonts w:cs="Times New Roman"/>
          <w:szCs w:val="24"/>
        </w:rPr>
        <w:t>.  In the latter case, a majority of the Court ruled that s. 2(</w:t>
      </w:r>
      <w:r w:rsidRPr="005F7406">
        <w:rPr>
          <w:rFonts w:cs="Times New Roman"/>
          <w:i/>
          <w:szCs w:val="24"/>
        </w:rPr>
        <w:t>d</w:t>
      </w:r>
      <w:r w:rsidRPr="001D4494">
        <w:rPr>
          <w:rFonts w:cs="Times New Roman"/>
          <w:szCs w:val="24"/>
        </w:rPr>
        <w:t>) does not entitle workers to any particular set of statutory protections for their associative activities, such as those providing for a right to collective bargaining.</w:t>
      </w:r>
    </w:p>
    <w:p w:rsidR="00A00D29" w:rsidRPr="001D4494" w:rsidRDefault="00A00D29" w:rsidP="00613CC7">
      <w:pPr>
        <w:pStyle w:val="ReasonsNumbering-AltN"/>
        <w:ind w:left="0" w:firstLine="0"/>
        <w:rPr>
          <w:rFonts w:cs="Times New Roman"/>
          <w:szCs w:val="24"/>
        </w:rPr>
      </w:pPr>
      <w:r w:rsidRPr="001D4494">
        <w:rPr>
          <w:rFonts w:cs="Times New Roman"/>
          <w:szCs w:val="24"/>
        </w:rPr>
        <w:t>The proposition that s. 2(</w:t>
      </w:r>
      <w:r w:rsidRPr="005F7406">
        <w:rPr>
          <w:rFonts w:cs="Times New Roman"/>
          <w:i/>
          <w:szCs w:val="24"/>
        </w:rPr>
        <w:t>d</w:t>
      </w:r>
      <w:r w:rsidRPr="001D4494">
        <w:rPr>
          <w:rFonts w:cs="Times New Roman"/>
          <w:szCs w:val="24"/>
        </w:rPr>
        <w:t xml:space="preserve">) does not confer a right to collective bargaining was once again endorsed by a majority of the Court in </w:t>
      </w:r>
      <w:r w:rsidRPr="001D4494">
        <w:rPr>
          <w:rFonts w:cs="Times New Roman"/>
          <w:i/>
          <w:szCs w:val="24"/>
        </w:rPr>
        <w:t>Dunmore</w:t>
      </w:r>
      <w:r w:rsidRPr="001D4494">
        <w:rPr>
          <w:rFonts w:cs="Times New Roman"/>
          <w:szCs w:val="24"/>
        </w:rPr>
        <w:t>.  However, in that case the Court recognized that Sopinka J.’s four propositions, while valid, might not exhaust the entire scope of protection afforded by s. 2(</w:t>
      </w:r>
      <w:r w:rsidRPr="005F7406">
        <w:rPr>
          <w:rFonts w:cs="Times New Roman"/>
          <w:i/>
          <w:szCs w:val="24"/>
        </w:rPr>
        <w:t>d</w:t>
      </w:r>
      <w:r w:rsidRPr="001D4494">
        <w:rPr>
          <w:rFonts w:cs="Times New Roman"/>
          <w:szCs w:val="24"/>
        </w:rPr>
        <w:t xml:space="preserve">) (para. 16). </w:t>
      </w:r>
    </w:p>
    <w:p w:rsidR="00A00D29" w:rsidRPr="001D4494" w:rsidRDefault="00A00D29" w:rsidP="00613CC7">
      <w:pPr>
        <w:pStyle w:val="ReasonsNumbering-AltN"/>
        <w:ind w:left="0" w:firstLine="0"/>
        <w:rPr>
          <w:rFonts w:cs="Times New Roman"/>
          <w:szCs w:val="24"/>
        </w:rPr>
      </w:pPr>
      <w:r w:rsidRPr="001D4494">
        <w:rPr>
          <w:rFonts w:cs="Times New Roman"/>
          <w:szCs w:val="24"/>
        </w:rPr>
        <w:t>Bastarache J. explained that the core of s. 2(</w:t>
      </w:r>
      <w:r w:rsidRPr="005F7406">
        <w:rPr>
          <w:rFonts w:cs="Times New Roman"/>
          <w:i/>
          <w:szCs w:val="24"/>
        </w:rPr>
        <w:t>d</w:t>
      </w:r>
      <w:r w:rsidRPr="001D4494">
        <w:rPr>
          <w:rFonts w:cs="Times New Roman"/>
          <w:szCs w:val="24"/>
        </w:rPr>
        <w:t xml:space="preserve">) protection is to prohibit the state from interfering with an activity because of its associational nature.  Relying on </w:t>
      </w:r>
      <w:r w:rsidRPr="001D4494">
        <w:rPr>
          <w:rFonts w:cs="Times New Roman"/>
          <w:szCs w:val="24"/>
        </w:rPr>
        <w:lastRenderedPageBreak/>
        <w:t xml:space="preserve">comments made by Dickson C.J. in the </w:t>
      </w:r>
      <w:r w:rsidRPr="001D4494">
        <w:rPr>
          <w:rFonts w:cs="Times New Roman"/>
          <w:i/>
          <w:szCs w:val="24"/>
        </w:rPr>
        <w:t>Alberta Reference</w:t>
      </w:r>
      <w:r w:rsidRPr="001D4494">
        <w:rPr>
          <w:rFonts w:cs="Times New Roman"/>
          <w:szCs w:val="24"/>
        </w:rPr>
        <w:t>, he noted that Sopinka J</w:t>
      </w:r>
      <w:r>
        <w:rPr>
          <w:rFonts w:cs="Times New Roman"/>
          <w:szCs w:val="24"/>
        </w:rPr>
        <w:t>.</w:t>
      </w:r>
      <w:r w:rsidRPr="001D4494">
        <w:rPr>
          <w:rFonts w:cs="Times New Roman"/>
          <w:szCs w:val="24"/>
        </w:rPr>
        <w:t>’s fourth proposition, which protects “the exercise in association of the lawful rights of individuals”, suffers from a potential weakness.  That proposition will, in general, serve as a useful test in determining whether the state has targeted the associational aspect of an activity rather than the activity itself.  If the state has outlawed an activity at both the individual and the group level, it is likely that this is because the activity itself is deemed to be harmful or problematic.  By contrast, if the state permits an individual to engage in an activity but has outlawed the performance of that activity in concert with others, this will generally indicate that the state has targeted the activity solely because of its associational nature.  Thus, Sopinka J.’s fourth proposition assists in isolating the true intent or effect of a measure when determining whether it infringes a person’s freedom of association (paras. 16-18).</w:t>
      </w:r>
    </w:p>
    <w:p w:rsidR="00A00D29" w:rsidRPr="001D4494" w:rsidRDefault="00A00D29" w:rsidP="00613CC7">
      <w:pPr>
        <w:pStyle w:val="ReasonsNumbering-AltN"/>
        <w:ind w:left="0" w:firstLine="0"/>
        <w:rPr>
          <w:rFonts w:cs="Times New Roman"/>
          <w:szCs w:val="24"/>
        </w:rPr>
      </w:pPr>
      <w:r w:rsidRPr="001D4494">
        <w:rPr>
          <w:rFonts w:cs="Times New Roman"/>
          <w:szCs w:val="24"/>
        </w:rPr>
        <w:t>However, there may be cases in which the state has directly targeted the associational aspect</w:t>
      </w:r>
      <w:r w:rsidRPr="001D4494">
        <w:rPr>
          <w:rFonts w:cs="Times New Roman"/>
          <w:color w:val="000000"/>
          <w:szCs w:val="24"/>
        </w:rPr>
        <w:t>s</w:t>
      </w:r>
      <w:r w:rsidRPr="001D4494">
        <w:rPr>
          <w:rFonts w:cs="Times New Roman"/>
          <w:szCs w:val="24"/>
        </w:rPr>
        <w:t xml:space="preserve"> of an activity which are not captured by Sopinka</w:t>
      </w:r>
      <w:r>
        <w:rPr>
          <w:rFonts w:cs="Times New Roman"/>
          <w:szCs w:val="24"/>
        </w:rPr>
        <w:t xml:space="preserve"> J.</w:t>
      </w:r>
      <w:r w:rsidRPr="001D4494">
        <w:rPr>
          <w:rFonts w:cs="Times New Roman"/>
          <w:szCs w:val="24"/>
        </w:rPr>
        <w:t>’s fourth proposition.  An activity performed on a group level may be “qualitatively</w:t>
      </w:r>
      <w:r>
        <w:rPr>
          <w:rFonts w:cs="Times New Roman"/>
          <w:szCs w:val="24"/>
        </w:rPr>
        <w:t>”</w:t>
      </w:r>
      <w:r w:rsidRPr="001D4494">
        <w:rPr>
          <w:rFonts w:cs="Times New Roman"/>
          <w:szCs w:val="24"/>
        </w:rPr>
        <w:t xml:space="preserve"> different from what an individual can undertake in isolation, such that no direct comparison or analogy is possible.  If one were to interpret the fourth proposition as requiring a strict analogy between the collective activity and its individual counterpart, a state restriction on such “qualitatively</w:t>
      </w:r>
      <w:r>
        <w:rPr>
          <w:rFonts w:cs="Times New Roman"/>
          <w:szCs w:val="24"/>
        </w:rPr>
        <w:t>”</w:t>
      </w:r>
      <w:r w:rsidRPr="001D4494">
        <w:rPr>
          <w:rFonts w:cs="Times New Roman"/>
          <w:szCs w:val="24"/>
        </w:rPr>
        <w:t xml:space="preserve"> different activities would not be considered to inhibit freedom of association and would therefore pass muster under s. 2(</w:t>
      </w:r>
      <w:r w:rsidRPr="004C5A54">
        <w:rPr>
          <w:rFonts w:cs="Times New Roman"/>
          <w:i/>
          <w:szCs w:val="24"/>
        </w:rPr>
        <w:t>d</w:t>
      </w:r>
      <w:r w:rsidRPr="001D4494">
        <w:rPr>
          <w:rFonts w:cs="Times New Roman"/>
          <w:szCs w:val="24"/>
        </w:rPr>
        <w:t xml:space="preserve">).  Recognizing this, </w:t>
      </w:r>
      <w:r w:rsidRPr="001D4494">
        <w:rPr>
          <w:rFonts w:cs="Times New Roman"/>
          <w:i/>
          <w:szCs w:val="24"/>
        </w:rPr>
        <w:t xml:space="preserve">Dunmore </w:t>
      </w:r>
      <w:r w:rsidRPr="001D4494">
        <w:rPr>
          <w:rFonts w:cs="Times New Roman"/>
          <w:szCs w:val="24"/>
        </w:rPr>
        <w:t>attenuated the requirement of an individual analog</w:t>
      </w:r>
      <w:r>
        <w:rPr>
          <w:rFonts w:cs="Times New Roman"/>
          <w:szCs w:val="24"/>
        </w:rPr>
        <w:t>ue</w:t>
      </w:r>
      <w:r w:rsidRPr="001D4494">
        <w:rPr>
          <w:rFonts w:cs="Times New Roman"/>
          <w:szCs w:val="24"/>
        </w:rPr>
        <w:t xml:space="preserve">.  If it can be demonstrated that a restriction on a group activity is an attack on the </w:t>
      </w:r>
      <w:r w:rsidRPr="001D4494">
        <w:rPr>
          <w:rFonts w:cs="Times New Roman"/>
          <w:szCs w:val="24"/>
        </w:rPr>
        <w:lastRenderedPageBreak/>
        <w:t xml:space="preserve">associational nature of the activity, </w:t>
      </w:r>
      <w:proofErr w:type="gramStart"/>
      <w:r w:rsidRPr="001D4494">
        <w:rPr>
          <w:rFonts w:cs="Times New Roman"/>
          <w:szCs w:val="24"/>
        </w:rPr>
        <w:t>a</w:t>
      </w:r>
      <w:proofErr w:type="gramEnd"/>
      <w:r w:rsidRPr="001D4494">
        <w:rPr>
          <w:rFonts w:cs="Times New Roman"/>
          <w:szCs w:val="24"/>
        </w:rPr>
        <w:t xml:space="preserve"> s. 2(</w:t>
      </w:r>
      <w:r w:rsidRPr="004C5A54">
        <w:rPr>
          <w:rFonts w:cs="Times New Roman"/>
          <w:i/>
          <w:szCs w:val="24"/>
        </w:rPr>
        <w:t>d</w:t>
      </w:r>
      <w:r w:rsidRPr="001D4494">
        <w:rPr>
          <w:rFonts w:cs="Times New Roman"/>
          <w:szCs w:val="24"/>
        </w:rPr>
        <w:t>) claim may yet succeed even if no direct analogy can be made between the group activity and a lawful individual counterpart.</w:t>
      </w:r>
    </w:p>
    <w:p w:rsidR="00A00D29" w:rsidRPr="001D4494" w:rsidRDefault="00A00D29" w:rsidP="00613CC7">
      <w:pPr>
        <w:pStyle w:val="ReasonsNumbering-AltN"/>
        <w:ind w:left="0" w:firstLine="0"/>
        <w:rPr>
          <w:rFonts w:cs="Times New Roman"/>
          <w:szCs w:val="24"/>
        </w:rPr>
      </w:pPr>
      <w:r w:rsidRPr="001D4494">
        <w:t>This observation about how “qualitatively</w:t>
      </w:r>
      <w:r>
        <w:t>”</w:t>
      </w:r>
      <w:r w:rsidRPr="001D4494">
        <w:t xml:space="preserve"> different activities exist was aimed at explaining why certain activities which did not have an individual analogue must be protected in order to protect the freedom to form an association.  The disposition in </w:t>
      </w:r>
      <w:r w:rsidRPr="001D4494">
        <w:rPr>
          <w:i/>
        </w:rPr>
        <w:t>Dunmore</w:t>
      </w:r>
      <w:r w:rsidRPr="001D4494">
        <w:t xml:space="preserve"> turned on whether the lack of protection </w:t>
      </w:r>
      <w:r w:rsidRPr="00613CC7">
        <w:rPr>
          <w:rFonts w:cs="Times New Roman"/>
          <w:szCs w:val="24"/>
        </w:rPr>
        <w:t>for</w:t>
      </w:r>
      <w:r w:rsidRPr="001D4494">
        <w:t xml:space="preserve"> agricultural employees was a “substantial </w:t>
      </w:r>
      <w:r>
        <w:t>interference</w:t>
      </w:r>
      <w:r w:rsidRPr="001D4494">
        <w:t xml:space="preserve">” to the ability of workers to </w:t>
      </w:r>
      <w:r w:rsidRPr="001D4494">
        <w:rPr>
          <w:i/>
        </w:rPr>
        <w:t>form an association</w:t>
      </w:r>
      <w:r w:rsidRPr="001D4494">
        <w:t xml:space="preserve"> (paras. 22-2</w:t>
      </w:r>
      <w:r>
        <w:t xml:space="preserve">3).  </w:t>
      </w:r>
      <w:r w:rsidRPr="001D4494">
        <w:t>To suggest, in hindsight, that “[a]</w:t>
      </w:r>
      <w:proofErr w:type="spellStart"/>
      <w:r w:rsidRPr="001D4494">
        <w:t>fter</w:t>
      </w:r>
      <w:proofErr w:type="spellEnd"/>
      <w:r w:rsidRPr="001D4494">
        <w:t xml:space="preserve"> </w:t>
      </w:r>
      <w:r w:rsidRPr="001D4494">
        <w:rPr>
          <w:i/>
        </w:rPr>
        <w:t>Dunmore</w:t>
      </w:r>
      <w:r w:rsidRPr="001D4494">
        <w:t>, there could be no doubt that [s. 2(</w:t>
      </w:r>
      <w:r w:rsidRPr="00344D2D">
        <w:rPr>
          <w:i/>
        </w:rPr>
        <w:t>d</w:t>
      </w:r>
      <w:r w:rsidRPr="001D4494">
        <w:t xml:space="preserve">)] extends </w:t>
      </w:r>
      <w:r w:rsidRPr="001D4494">
        <w:rPr>
          <w:u w:val="single"/>
        </w:rPr>
        <w:t>to realization of collective</w:t>
      </w:r>
      <w:r w:rsidRPr="001D4494">
        <w:t>, as distinct from individual</w:t>
      </w:r>
      <w:r>
        <w:t>,</w:t>
      </w:r>
      <w:r w:rsidRPr="001D4494">
        <w:t xml:space="preserve"> </w:t>
      </w:r>
      <w:r w:rsidRPr="001D4494">
        <w:rPr>
          <w:u w:val="single"/>
        </w:rPr>
        <w:t>goals</w:t>
      </w:r>
      <w:r w:rsidRPr="001D4494">
        <w:t xml:space="preserve">” as the Chief Justice and LeBel </w:t>
      </w:r>
      <w:r>
        <w:t xml:space="preserve">J. </w:t>
      </w:r>
      <w:r w:rsidRPr="001D4494">
        <w:t>say at para. 32</w:t>
      </w:r>
      <w:r>
        <w:t xml:space="preserve"> (emphasis added), is to </w:t>
      </w:r>
      <w:r w:rsidRPr="001D4494">
        <w:t xml:space="preserve">substantially overstate the holding in </w:t>
      </w:r>
      <w:r w:rsidRPr="001D4494">
        <w:rPr>
          <w:i/>
        </w:rPr>
        <w:t>Dunmore</w:t>
      </w:r>
      <w:r w:rsidRPr="001D4494">
        <w:t>.</w:t>
      </w:r>
    </w:p>
    <w:p w:rsidR="00A00D29" w:rsidRDefault="00A00D29" w:rsidP="00A00D29">
      <w:pPr>
        <w:pStyle w:val="HeadingTitre-AltH"/>
        <w:rPr>
          <w:i/>
        </w:rPr>
      </w:pPr>
      <w:r w:rsidRPr="001D4494">
        <w:t>C.</w:t>
      </w:r>
      <w:r w:rsidRPr="001D4494">
        <w:tab/>
      </w:r>
      <w:r>
        <w:rPr>
          <w:i/>
        </w:rPr>
        <w:t xml:space="preserve">An Express Break </w:t>
      </w:r>
      <w:proofErr w:type="gramStart"/>
      <w:r>
        <w:rPr>
          <w:i/>
        </w:rPr>
        <w:t>With</w:t>
      </w:r>
      <w:proofErr w:type="gramEnd"/>
      <w:r>
        <w:rPr>
          <w:i/>
        </w:rPr>
        <w:t xml:space="preserve"> P</w:t>
      </w:r>
      <w:r w:rsidRPr="00395C4A">
        <w:rPr>
          <w:i/>
        </w:rPr>
        <w:t xml:space="preserve">recedent </w:t>
      </w:r>
      <w:r w:rsidRPr="00FC275D">
        <w:rPr>
          <w:i/>
        </w:rPr>
        <w:t xml:space="preserve">in </w:t>
      </w:r>
      <w:r w:rsidRPr="001D4494">
        <w:rPr>
          <w:rFonts w:cs="Times New Roman"/>
          <w:i/>
          <w:color w:val="000000"/>
          <w:szCs w:val="24"/>
        </w:rPr>
        <w:t>Health</w:t>
      </w:r>
      <w:r>
        <w:rPr>
          <w:rFonts w:cs="Times New Roman"/>
          <w:i/>
          <w:color w:val="000000"/>
          <w:szCs w:val="24"/>
        </w:rPr>
        <w:t xml:space="preserve"> Services</w:t>
      </w:r>
    </w:p>
    <w:p w:rsidR="00A00D29" w:rsidRPr="00344D2D" w:rsidRDefault="00A00D29" w:rsidP="00A00D29"/>
    <w:p w:rsidR="00A00D29" w:rsidRPr="001D4494" w:rsidRDefault="00A00D29" w:rsidP="00613CC7">
      <w:pPr>
        <w:pStyle w:val="ReasonsNumbering-AltN"/>
        <w:ind w:left="0" w:firstLine="0"/>
        <w:rPr>
          <w:rFonts w:cs="Times New Roman"/>
          <w:szCs w:val="24"/>
        </w:rPr>
      </w:pPr>
      <w:r w:rsidRPr="001D4494">
        <w:rPr>
          <w:rFonts w:cs="Times New Roman"/>
          <w:szCs w:val="24"/>
        </w:rPr>
        <w:t xml:space="preserve">While the basic framework set down in the Trilogy had stood for some 20 years, the Court decided to break with this line of precedent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In that case, </w:t>
      </w:r>
      <w:r>
        <w:rPr>
          <w:rFonts w:cs="Times New Roman"/>
          <w:szCs w:val="24"/>
        </w:rPr>
        <w:t xml:space="preserve">the </w:t>
      </w:r>
      <w:r>
        <w:t>majority</w:t>
      </w:r>
      <w:r w:rsidRPr="001D4494">
        <w:rPr>
          <w:rFonts w:cs="Times New Roman"/>
          <w:szCs w:val="24"/>
        </w:rPr>
        <w:t xml:space="preserve"> held that s. 2(</w:t>
      </w:r>
      <w:r w:rsidRPr="00344D2D">
        <w:rPr>
          <w:rFonts w:cs="Times New Roman"/>
          <w:i/>
          <w:szCs w:val="24"/>
        </w:rPr>
        <w:t>d</w:t>
      </w:r>
      <w:r w:rsidRPr="001D4494">
        <w:rPr>
          <w:rFonts w:cs="Times New Roman"/>
          <w:szCs w:val="24"/>
        </w:rPr>
        <w:t>) protects a right to collective bargaining and imposes a duty on employers to bargain in good faith.</w:t>
      </w:r>
      <w:r w:rsidRPr="001D4494">
        <w:rPr>
          <w:rFonts w:cs="Times New Roman"/>
          <w:color w:val="000000"/>
          <w:szCs w:val="24"/>
        </w:rPr>
        <w:t xml:space="preserve">  </w:t>
      </w:r>
      <w:r w:rsidRPr="001D4494">
        <w:rPr>
          <w:rFonts w:cs="Times New Roman"/>
          <w:szCs w:val="24"/>
        </w:rPr>
        <w:t xml:space="preserve">Such a right could not be accommodated within the framework set down by the Trilogy and followed in subsequent cases, and so the majority opted to overturn that line of precedents altogether. </w:t>
      </w:r>
    </w:p>
    <w:p w:rsidR="00A00D29" w:rsidRPr="001D4494" w:rsidRDefault="00A00D29" w:rsidP="00613CC7">
      <w:pPr>
        <w:pStyle w:val="ReasonsNumbering-AltN"/>
        <w:ind w:left="0" w:firstLine="0"/>
        <w:rPr>
          <w:rFonts w:cs="Times New Roman"/>
          <w:szCs w:val="24"/>
        </w:rPr>
      </w:pPr>
      <w:r w:rsidRPr="001D4494">
        <w:rPr>
          <w:rFonts w:cs="Times New Roman"/>
          <w:szCs w:val="24"/>
        </w:rPr>
        <w:lastRenderedPageBreak/>
        <w:t>The overarching reason advanced for rejecting the Trilogy’s interpretation of s. 2(</w:t>
      </w:r>
      <w:r w:rsidRPr="00344D2D">
        <w:rPr>
          <w:rFonts w:cs="Times New Roman"/>
          <w:i/>
          <w:szCs w:val="24"/>
        </w:rPr>
        <w:t>d</w:t>
      </w:r>
      <w:r w:rsidRPr="001D4494">
        <w:rPr>
          <w:rFonts w:cs="Times New Roman"/>
          <w:szCs w:val="24"/>
        </w:rPr>
        <w:t>) was that it reflected a “</w:t>
      </w:r>
      <w:proofErr w:type="spellStart"/>
      <w:r w:rsidRPr="001D4494">
        <w:rPr>
          <w:rFonts w:cs="Times New Roman"/>
          <w:szCs w:val="24"/>
        </w:rPr>
        <w:t>decontextualized</w:t>
      </w:r>
      <w:proofErr w:type="spellEnd"/>
      <w:r w:rsidRPr="001D4494">
        <w:rPr>
          <w:rFonts w:cs="Times New Roman"/>
          <w:szCs w:val="24"/>
        </w:rPr>
        <w:t xml:space="preserve">” rather than “purposive” approach to </w:t>
      </w:r>
      <w:r w:rsidRPr="001D4494">
        <w:rPr>
          <w:rFonts w:cs="Times New Roman"/>
          <w:i/>
          <w:szCs w:val="24"/>
        </w:rPr>
        <w:t>Charter</w:t>
      </w:r>
      <w:r w:rsidRPr="001D4494">
        <w:rPr>
          <w:rFonts w:cs="Times New Roman"/>
          <w:szCs w:val="24"/>
        </w:rPr>
        <w:t xml:space="preserve"> interpretation: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at para. 30.  The </w:t>
      </w:r>
      <w:r>
        <w:t>majority</w:t>
      </w:r>
      <w:r w:rsidRPr="001D4494">
        <w:rPr>
          <w:rFonts w:cs="Times New Roman"/>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found that insufficient attention had been paid to the close connection between freedom of association and labour relations (specifically trade unionism), and that the intimate ties between the two implied that s. 2(</w:t>
      </w:r>
      <w:r w:rsidRPr="00344D2D">
        <w:rPr>
          <w:rFonts w:cs="Times New Roman"/>
          <w:i/>
          <w:szCs w:val="24"/>
        </w:rPr>
        <w:t>d</w:t>
      </w:r>
      <w:r w:rsidRPr="001D4494">
        <w:rPr>
          <w:rFonts w:cs="Times New Roman"/>
          <w:szCs w:val="24"/>
        </w:rPr>
        <w:t xml:space="preserve">) should be held to protect a broader set of entitlements than the Trilogy’s approach could support. Under this view, the main problem with the Trilogy’s approach was that it did not extend a right to “collective bargaining”, the protection of which was, in the </w:t>
      </w:r>
      <w:r>
        <w:t>majority</w:t>
      </w:r>
      <w:r w:rsidRPr="001D4494">
        <w:rPr>
          <w:rFonts w:cs="Times New Roman"/>
          <w:szCs w:val="24"/>
        </w:rPr>
        <w:t>’s view, a central purpose of freedom of association (para. 86).</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In extending constitutional protection to collective bargaining, the </w:t>
      </w:r>
      <w:r>
        <w:t>majority</w:t>
      </w:r>
      <w:r w:rsidRPr="001D4494">
        <w:rPr>
          <w:rFonts w:cs="Times New Roman"/>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viewed this constitutional right as including an obligation on parties to bargain in good faith. The majority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described the protection afforded under s. 2(</w:t>
      </w:r>
      <w:r w:rsidRPr="00344D2D">
        <w:rPr>
          <w:rFonts w:cs="Times New Roman"/>
          <w:i/>
          <w:szCs w:val="24"/>
        </w:rPr>
        <w:t>d</w:t>
      </w:r>
      <w:r w:rsidRPr="001D4494">
        <w:rPr>
          <w:rFonts w:cs="Times New Roman"/>
          <w:szCs w:val="24"/>
        </w:rPr>
        <w:t>) as follows</w:t>
      </w:r>
      <w:r>
        <w:rPr>
          <w:rFonts w:cs="Times New Roman"/>
          <w:szCs w:val="24"/>
        </w:rPr>
        <w:t>,</w:t>
      </w:r>
      <w:r w:rsidRPr="001D4494">
        <w:rPr>
          <w:rFonts w:cs="Times New Roman"/>
          <w:szCs w:val="24"/>
        </w:rPr>
        <w:t xml:space="preserve"> at para. 90:</w:t>
      </w:r>
    </w:p>
    <w:p w:rsidR="00A00D29" w:rsidRPr="001D4494" w:rsidRDefault="00A00D29" w:rsidP="00A00D29">
      <w:pPr>
        <w:pStyle w:val="Citation-AltC"/>
      </w:pPr>
      <w:r>
        <w:t xml:space="preserve">. . . </w:t>
      </w:r>
      <w:proofErr w:type="gramStart"/>
      <w:r>
        <w:t>t</w:t>
      </w:r>
      <w:r w:rsidRPr="001D4494">
        <w:t>he</w:t>
      </w:r>
      <w:proofErr w:type="gramEnd"/>
      <w:r w:rsidRPr="001D4494">
        <w:t xml:space="preserve"> state must not substantially interfere with the ability of a union to exert meaningful influence over working conditions through a process of collective bargaining conducted in accordance with the duty to bargain in good faith. Thus the employees’ right to collective bargaining imposes corresponding duties on the employer. It requires both employer and employees to meet and to bargain in good faith, in the pursuit of a common goal of peaceful and productive accommodation.</w:t>
      </w:r>
    </w:p>
    <w:p w:rsidR="00A00D29" w:rsidRPr="001D4494" w:rsidRDefault="00A00D29" w:rsidP="00A00D29">
      <w:pPr>
        <w:pStyle w:val="ContinueReasonsNo-AltP"/>
        <w:rPr>
          <w:rFonts w:cs="Times New Roman"/>
          <w:szCs w:val="24"/>
        </w:rPr>
      </w:pPr>
      <w:r w:rsidRPr="001D4494">
        <w:rPr>
          <w:rFonts w:cs="Times New Roman"/>
          <w:szCs w:val="24"/>
        </w:rPr>
        <w:t xml:space="preserve">In fact, the majority went so far as to say that “the duty to consult and negotiate in good faith” is “the fundamental precept of collective bargaining” (para. 97). </w:t>
      </w:r>
    </w:p>
    <w:p w:rsidR="00A00D29" w:rsidRPr="001D4494" w:rsidRDefault="00A00D29" w:rsidP="00613CC7">
      <w:pPr>
        <w:pStyle w:val="ReasonsNumbering-AltN"/>
        <w:ind w:left="0" w:firstLine="0"/>
        <w:rPr>
          <w:rFonts w:cs="Times New Roman"/>
          <w:szCs w:val="24"/>
        </w:rPr>
      </w:pPr>
      <w:r w:rsidRPr="001D4494">
        <w:rPr>
          <w:rFonts w:cs="Times New Roman"/>
          <w:szCs w:val="24"/>
        </w:rPr>
        <w:lastRenderedPageBreak/>
        <w:t xml:space="preserve">The decision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purported to impose two limitations on this right. First, the right was said not to cover all aspects of “collective bargaining”</w:t>
      </w:r>
      <w:r>
        <w:rPr>
          <w:rFonts w:cs="Times New Roman"/>
          <w:szCs w:val="24"/>
        </w:rPr>
        <w:t>,</w:t>
      </w:r>
      <w:r w:rsidRPr="001D4494">
        <w:rPr>
          <w:rFonts w:cs="Times New Roman"/>
          <w:szCs w:val="24"/>
        </w:rPr>
        <w:t xml:space="preserve"> as that term is understood in the statutory labour relations regimes based upon the Wagner model that are in place across the country.  The Wagner model refers to Canadian variants of the </w:t>
      </w:r>
      <w:r>
        <w:rPr>
          <w:rFonts w:cs="Times New Roman"/>
          <w:i/>
          <w:szCs w:val="24"/>
        </w:rPr>
        <w:t xml:space="preserve">National Labor </w:t>
      </w:r>
      <w:r w:rsidRPr="00801DBF">
        <w:rPr>
          <w:rFonts w:cs="Times New Roman"/>
          <w:i/>
          <w:szCs w:val="24"/>
        </w:rPr>
        <w:t>Relations Act</w:t>
      </w:r>
      <w:r>
        <w:rPr>
          <w:rFonts w:cs="Times New Roman"/>
          <w:szCs w:val="24"/>
        </w:rPr>
        <w:t>, 49 Stat. 449 (1935) (</w:t>
      </w:r>
      <w:r w:rsidR="00801DBF">
        <w:rPr>
          <w:rFonts w:cs="Times New Roman"/>
          <w:szCs w:val="24"/>
        </w:rPr>
        <w:t xml:space="preserve">the </w:t>
      </w:r>
      <w:r>
        <w:rPr>
          <w:rFonts w:cs="Times New Roman"/>
          <w:szCs w:val="24"/>
        </w:rPr>
        <w:t>“</w:t>
      </w:r>
      <w:r w:rsidRPr="00F33F9C">
        <w:rPr>
          <w:rFonts w:cs="Times New Roman"/>
          <w:i/>
          <w:szCs w:val="24"/>
        </w:rPr>
        <w:t>Wagner Act</w:t>
      </w:r>
      <w:r>
        <w:rPr>
          <w:rFonts w:cs="Times New Roman"/>
          <w:szCs w:val="24"/>
        </w:rPr>
        <w:t>”)</w:t>
      </w:r>
      <w:r w:rsidRPr="001D4494">
        <w:rPr>
          <w:rFonts w:cs="Times New Roman"/>
          <w:szCs w:val="24"/>
        </w:rPr>
        <w:t xml:space="preserve">, which was enacted into law in the United States during the Depression. By the end of the 1930s, most Canadian provinces had passed legislation incorporating the main objectives of the </w:t>
      </w:r>
      <w:r w:rsidRPr="00F33F9C">
        <w:rPr>
          <w:rFonts w:cs="Times New Roman"/>
          <w:i/>
          <w:szCs w:val="24"/>
        </w:rPr>
        <w:t>Wagner Act</w:t>
      </w:r>
      <w:r w:rsidRPr="001D4494">
        <w:rPr>
          <w:rFonts w:cs="Times New Roman"/>
          <w:szCs w:val="24"/>
        </w:rPr>
        <w:t>.  The Wagner model has four l</w:t>
      </w:r>
      <w:r>
        <w:rPr>
          <w:rFonts w:cs="Times New Roman"/>
          <w:szCs w:val="24"/>
        </w:rPr>
        <w:t xml:space="preserve">egislative hallmarks: explicit </w:t>
      </w:r>
      <w:r w:rsidRPr="001D4494">
        <w:rPr>
          <w:rFonts w:cs="Times New Roman"/>
          <w:szCs w:val="24"/>
        </w:rPr>
        <w:t xml:space="preserve">recognition of the right of employees to belong to a trade union of their choice; protections against employer coercion or interference with organizing activities, known as unfair labour practices provisions; a duty upon employers to bargain in </w:t>
      </w:r>
      <w:r>
        <w:rPr>
          <w:rFonts w:cs="Times New Roman"/>
          <w:szCs w:val="24"/>
        </w:rPr>
        <w:t>good faith with their employees’</w:t>
      </w:r>
      <w:r w:rsidRPr="001D4494">
        <w:rPr>
          <w:rFonts w:cs="Times New Roman"/>
          <w:szCs w:val="24"/>
        </w:rPr>
        <w:t xml:space="preserve"> unions; and a dispute resolution mechanism for resolving impasses: see G. W. Adams, </w:t>
      </w:r>
      <w:r w:rsidRPr="00F33F9C">
        <w:rPr>
          <w:rFonts w:cs="Times New Roman"/>
          <w:i/>
          <w:szCs w:val="24"/>
        </w:rPr>
        <w:t>Canadian Labour Law</w:t>
      </w:r>
      <w:r w:rsidRPr="001D4494">
        <w:rPr>
          <w:rFonts w:cs="Times New Roman"/>
          <w:szCs w:val="24"/>
        </w:rPr>
        <w:t xml:space="preserve"> (2nd ed. </w:t>
      </w:r>
      <w:r>
        <w:rPr>
          <w:rFonts w:cs="Times New Roman"/>
          <w:szCs w:val="24"/>
        </w:rPr>
        <w:t>(l</w:t>
      </w:r>
      <w:r w:rsidRPr="001D4494">
        <w:rPr>
          <w:rFonts w:cs="Times New Roman"/>
          <w:szCs w:val="24"/>
        </w:rPr>
        <w:t>oose-leaf)</w:t>
      </w:r>
      <w:r>
        <w:rPr>
          <w:rFonts w:cs="Times New Roman"/>
          <w:szCs w:val="24"/>
        </w:rPr>
        <w:t>),</w:t>
      </w:r>
      <w:r w:rsidRPr="001D4494">
        <w:rPr>
          <w:rFonts w:cs="Times New Roman"/>
          <w:szCs w:val="24"/>
        </w:rPr>
        <w:t xml:space="preserve"> </w:t>
      </w:r>
      <w:r w:rsidR="00801DBF">
        <w:rPr>
          <w:rFonts w:cs="Times New Roman"/>
          <w:szCs w:val="24"/>
        </w:rPr>
        <w:t xml:space="preserve">vol. 1, </w:t>
      </w:r>
      <w:r w:rsidRPr="001D4494">
        <w:rPr>
          <w:rFonts w:cs="Times New Roman"/>
          <w:szCs w:val="24"/>
        </w:rPr>
        <w:t xml:space="preserve">at </w:t>
      </w:r>
      <w:r>
        <w:rPr>
          <w:rFonts w:cs="Times New Roman"/>
          <w:szCs w:val="24"/>
        </w:rPr>
        <w:t xml:space="preserve">p. </w:t>
      </w:r>
      <w:r w:rsidRPr="001D4494">
        <w:rPr>
          <w:rFonts w:cs="Times New Roman"/>
          <w:szCs w:val="24"/>
        </w:rPr>
        <w:t>1-1</w:t>
      </w:r>
      <w:r>
        <w:rPr>
          <w:rFonts w:cs="Times New Roman"/>
          <w:szCs w:val="24"/>
        </w:rPr>
        <w:t>1</w:t>
      </w:r>
      <w:r w:rsidRPr="001D4494">
        <w:rPr>
          <w:rFonts w:cs="Times New Roman"/>
          <w:szCs w:val="24"/>
        </w:rPr>
        <w:t xml:space="preserve">. </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Second, it was said not to be aimed at securing a particular outcome in a labour dispute, or guaranteeing access to any particular statutory scheme: see </w:t>
      </w:r>
      <w:r w:rsidRPr="001D4494">
        <w:rPr>
          <w:rFonts w:cs="Times New Roman"/>
          <w:i/>
          <w:color w:val="000000"/>
          <w:szCs w:val="24"/>
        </w:rPr>
        <w:t>Health</w:t>
      </w:r>
      <w:r>
        <w:rPr>
          <w:rFonts w:cs="Times New Roman"/>
          <w:i/>
          <w:color w:val="000000"/>
          <w:szCs w:val="24"/>
        </w:rPr>
        <w:t xml:space="preserve"> Services</w:t>
      </w:r>
      <w:r>
        <w:rPr>
          <w:rFonts w:cs="Times New Roman"/>
          <w:szCs w:val="24"/>
        </w:rPr>
        <w:t>,</w:t>
      </w:r>
      <w:r w:rsidRPr="001D4494">
        <w:rPr>
          <w:rFonts w:cs="Times New Roman"/>
          <w:szCs w:val="24"/>
        </w:rPr>
        <w:t xml:space="preserve"> at para. 19. Nonetheless, the </w:t>
      </w:r>
      <w:r>
        <w:t>majority</w:t>
      </w:r>
      <w:r w:rsidRPr="001D4494">
        <w:rPr>
          <w:rFonts w:cs="Times New Roman"/>
          <w:szCs w:val="24"/>
        </w:rPr>
        <w:t xml:space="preserve"> held that the process of good faith collective bargaining demands that unions and employers</w:t>
      </w:r>
      <w:r w:rsidRPr="001D4494">
        <w:rPr>
          <w:rFonts w:cs="Times New Roman"/>
          <w:color w:val="000000"/>
          <w:szCs w:val="24"/>
        </w:rPr>
        <w:t xml:space="preserve"> engage with each other and</w:t>
      </w:r>
      <w:r w:rsidRPr="001D4494">
        <w:rPr>
          <w:rFonts w:cs="Times New Roman"/>
          <w:szCs w:val="24"/>
        </w:rPr>
        <w:t xml:space="preserve"> “make a reasonable effort to arrive at an acceptable contract”: </w:t>
      </w:r>
      <w:r w:rsidRPr="001D4494">
        <w:rPr>
          <w:rFonts w:cs="Times New Roman"/>
          <w:i/>
          <w:color w:val="000000"/>
          <w:szCs w:val="24"/>
        </w:rPr>
        <w:t>Health</w:t>
      </w:r>
      <w:r>
        <w:rPr>
          <w:rFonts w:cs="Times New Roman"/>
          <w:i/>
          <w:color w:val="000000"/>
          <w:szCs w:val="24"/>
        </w:rPr>
        <w:t xml:space="preserve"> Services</w:t>
      </w:r>
      <w:r>
        <w:rPr>
          <w:rFonts w:cs="Times New Roman"/>
          <w:szCs w:val="24"/>
        </w:rPr>
        <w:t>,</w:t>
      </w:r>
      <w:r w:rsidRPr="001D4494">
        <w:rPr>
          <w:rFonts w:cs="Times New Roman"/>
          <w:szCs w:val="24"/>
        </w:rPr>
        <w:t xml:space="preserve"> at para. 101.</w:t>
      </w:r>
    </w:p>
    <w:p w:rsidR="00A00D29" w:rsidRPr="001D4494" w:rsidRDefault="00A00D29" w:rsidP="00613CC7">
      <w:pPr>
        <w:pStyle w:val="ReasonsNumbering-AltN"/>
        <w:ind w:left="0" w:firstLine="0"/>
        <w:rPr>
          <w:rFonts w:cs="Times New Roman"/>
          <w:szCs w:val="24"/>
        </w:rPr>
      </w:pPr>
      <w:r w:rsidRPr="001D4494">
        <w:lastRenderedPageBreak/>
        <w:t xml:space="preserve">The Chief Justice and LeBel J. say that </w:t>
      </w:r>
      <w:r w:rsidRPr="001D4494">
        <w:rPr>
          <w:rFonts w:cs="Times New Roman"/>
          <w:i/>
          <w:color w:val="000000"/>
          <w:szCs w:val="24"/>
        </w:rPr>
        <w:t>Health</w:t>
      </w:r>
      <w:r>
        <w:rPr>
          <w:rFonts w:cs="Times New Roman"/>
          <w:i/>
          <w:color w:val="000000"/>
          <w:szCs w:val="24"/>
        </w:rPr>
        <w:t xml:space="preserve"> Services</w:t>
      </w:r>
      <w:r w:rsidRPr="001D4494">
        <w:t xml:space="preserve"> “follows directly” from the finding in </w:t>
      </w:r>
      <w:r w:rsidRPr="001D4494">
        <w:rPr>
          <w:i/>
        </w:rPr>
        <w:t>Dunmore</w:t>
      </w:r>
      <w:r w:rsidRPr="001D4494">
        <w:t>, because the government action in that case “rendered the meaningful pursuit of [workplace goals and collective bargaining activities] impossible and effectively nul</w:t>
      </w:r>
      <w:r>
        <w:t>lified the right to associate of</w:t>
      </w:r>
      <w:r w:rsidRPr="001D4494">
        <w:t xml:space="preserve"> its employees” (para. 38).  However, as I have discussed above, this conflates two arguments.  The first is that restrictions on the ability to </w:t>
      </w:r>
      <w:r w:rsidRPr="001D4494">
        <w:rPr>
          <w:i/>
        </w:rPr>
        <w:t>associate</w:t>
      </w:r>
      <w:r w:rsidRPr="001D4494">
        <w:t xml:space="preserve">, either directly or because the government interfered with an activity because of its “associational nature”, are unconstitutional, which </w:t>
      </w:r>
      <w:r w:rsidRPr="001D4494">
        <w:rPr>
          <w:i/>
        </w:rPr>
        <w:t xml:space="preserve">was </w:t>
      </w:r>
      <w:r w:rsidRPr="001D4494">
        <w:t xml:space="preserve">the finding in </w:t>
      </w:r>
      <w:r w:rsidRPr="001D4494">
        <w:rPr>
          <w:i/>
        </w:rPr>
        <w:t>Dunmore</w:t>
      </w:r>
      <w:r w:rsidRPr="001D4494">
        <w:t xml:space="preserve">.  The second is that governments are required to provide legislation which enhances the ability of an existing association to pursue its goal of negotiating a collective agreement, which was the finding in </w:t>
      </w:r>
      <w:r w:rsidRPr="001D4494">
        <w:rPr>
          <w:rFonts w:cs="Times New Roman"/>
          <w:i/>
          <w:color w:val="000000"/>
          <w:szCs w:val="24"/>
        </w:rPr>
        <w:t>Health</w:t>
      </w:r>
      <w:r>
        <w:rPr>
          <w:rFonts w:cs="Times New Roman"/>
          <w:i/>
          <w:color w:val="000000"/>
          <w:szCs w:val="24"/>
        </w:rPr>
        <w:t xml:space="preserve"> Services</w:t>
      </w:r>
      <w:r w:rsidRPr="001D4494">
        <w:t xml:space="preserve">, but was contrary to </w:t>
      </w:r>
      <w:r w:rsidRPr="001D4494">
        <w:rPr>
          <w:i/>
        </w:rPr>
        <w:t>Dunmore</w:t>
      </w:r>
      <w:r w:rsidRPr="001D4494">
        <w:t xml:space="preserve">.  As noted above, an application of the actual holding in </w:t>
      </w:r>
      <w:r w:rsidRPr="001D4494">
        <w:rPr>
          <w:i/>
        </w:rPr>
        <w:t xml:space="preserve">Dunmore </w:t>
      </w:r>
      <w:r w:rsidRPr="001D4494">
        <w:t>would have asked only if the government substantially interfered with the ability to associate.</w:t>
      </w:r>
    </w:p>
    <w:p w:rsidR="00A00D29" w:rsidRDefault="00A00D29" w:rsidP="00613CC7">
      <w:pPr>
        <w:pStyle w:val="HeadingTitre-AltH"/>
        <w:spacing w:after="720"/>
      </w:pPr>
      <w:r w:rsidRPr="001D4494">
        <w:t>IV</w:t>
      </w:r>
      <w:r>
        <w:t>.</w:t>
      </w:r>
      <w:r w:rsidRPr="001D4494">
        <w:tab/>
      </w:r>
      <w:r w:rsidRPr="00395C4A">
        <w:rPr>
          <w:u w:val="single"/>
        </w:rPr>
        <w:t>Section 2(</w:t>
      </w:r>
      <w:r w:rsidRPr="00F33F9C">
        <w:rPr>
          <w:i/>
          <w:u w:val="single"/>
        </w:rPr>
        <w:t>d</w:t>
      </w:r>
      <w:r w:rsidRPr="00395C4A">
        <w:rPr>
          <w:u w:val="single"/>
        </w:rPr>
        <w:t xml:space="preserve">) of the </w:t>
      </w:r>
      <w:r w:rsidRPr="00395C4A">
        <w:rPr>
          <w:i/>
          <w:u w:val="single"/>
        </w:rPr>
        <w:t>Charter</w:t>
      </w:r>
      <w:r w:rsidRPr="00395C4A">
        <w:rPr>
          <w:u w:val="single"/>
        </w:rPr>
        <w:t xml:space="preserve"> Does Not Protect Collective Bargaining</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 now turn to the fundamental question in this case: namely, whether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was wrong to constitutionalize collective bargaining.  In my respectful view,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was indeed wrong.  The problems relating to this aspect of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can be grouped into three categories. </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First, the collective bargaining right recognized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is inconsistent with the purpose of s. 2(</w:t>
      </w:r>
      <w:r w:rsidRPr="00F33F9C">
        <w:rPr>
          <w:rFonts w:cs="Times New Roman"/>
          <w:i/>
          <w:szCs w:val="24"/>
        </w:rPr>
        <w:t>d</w:t>
      </w:r>
      <w:r w:rsidRPr="001D4494">
        <w:rPr>
          <w:rFonts w:cs="Times New Roman"/>
          <w:szCs w:val="24"/>
        </w:rPr>
        <w:t>).  As I will explain, the interpretation of s. 2(</w:t>
      </w:r>
      <w:r w:rsidRPr="00F33F9C">
        <w:rPr>
          <w:rFonts w:cs="Times New Roman"/>
          <w:i/>
          <w:szCs w:val="24"/>
        </w:rPr>
        <w:t>d</w:t>
      </w:r>
      <w:r w:rsidRPr="001D4494">
        <w:rPr>
          <w:rFonts w:cs="Times New Roman"/>
          <w:szCs w:val="24"/>
        </w:rPr>
        <w:t xml:space="preserve">) adopted by the </w:t>
      </w:r>
      <w:r>
        <w:t>majority</w:t>
      </w:r>
      <w:r w:rsidRPr="001D4494">
        <w:rPr>
          <w:rFonts w:cs="Times New Roman"/>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is unsound in principle for a number of </w:t>
      </w:r>
      <w:r w:rsidRPr="001D4494">
        <w:rPr>
          <w:rFonts w:cs="Times New Roman"/>
          <w:szCs w:val="24"/>
        </w:rPr>
        <w:lastRenderedPageBreak/>
        <w:t>reasons, and the correct conceptual framework for s. 2(</w:t>
      </w:r>
      <w:r w:rsidRPr="00F33F9C">
        <w:rPr>
          <w:rFonts w:cs="Times New Roman"/>
          <w:i/>
          <w:szCs w:val="24"/>
        </w:rPr>
        <w:t>d</w:t>
      </w:r>
      <w:r w:rsidRPr="001D4494">
        <w:rPr>
          <w:rFonts w:cs="Times New Roman"/>
          <w:szCs w:val="24"/>
        </w:rPr>
        <w:t>) is that established by the Trilogy and applied in subsequent cases.  Section 2(</w:t>
      </w:r>
      <w:r w:rsidRPr="00F33F9C">
        <w:rPr>
          <w:rFonts w:cs="Times New Roman"/>
          <w:i/>
          <w:szCs w:val="24"/>
        </w:rPr>
        <w:t>d</w:t>
      </w:r>
      <w:r w:rsidRPr="001D4494">
        <w:rPr>
          <w:rFonts w:cs="Times New Roman"/>
          <w:szCs w:val="24"/>
        </w:rPr>
        <w:t>) does not protect a right to collective bargaining.</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Second, the reasons advanced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for protecting collective bargaining under s. 2(</w:t>
      </w:r>
      <w:r w:rsidRPr="00F33F9C">
        <w:rPr>
          <w:rFonts w:cs="Times New Roman"/>
          <w:i/>
          <w:szCs w:val="24"/>
        </w:rPr>
        <w:t>d</w:t>
      </w:r>
      <w:r w:rsidRPr="001D4494">
        <w:rPr>
          <w:rFonts w:cs="Times New Roman"/>
          <w:szCs w:val="24"/>
        </w:rPr>
        <w:t xml:space="preserve">) do not support that conclusion.  The </w:t>
      </w:r>
      <w:r>
        <w:t>majority</w:t>
      </w:r>
      <w:r w:rsidRPr="001D4494">
        <w:rPr>
          <w:rFonts w:cs="Times New Roman"/>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found that the history of Canadian labour law, international law, and </w:t>
      </w:r>
      <w:r w:rsidRPr="001D4494">
        <w:rPr>
          <w:rFonts w:cs="Times New Roman"/>
          <w:i/>
          <w:szCs w:val="24"/>
        </w:rPr>
        <w:t>Charter</w:t>
      </w:r>
      <w:r w:rsidRPr="001D4494">
        <w:rPr>
          <w:rFonts w:cs="Times New Roman"/>
          <w:szCs w:val="24"/>
        </w:rPr>
        <w:t xml:space="preserve"> values all pointed in favour of extending the guarantee of freedom of association to include collective bargaining.  While all of those factors support constitutional recognition of the freedom of workers to associate, they do not support the right to collective bargaining.  </w:t>
      </w:r>
    </w:p>
    <w:p w:rsidR="00A00D29" w:rsidRPr="001D4494" w:rsidRDefault="00A00D29" w:rsidP="00613CC7">
      <w:pPr>
        <w:pStyle w:val="ReasonsNumbering-AltN"/>
        <w:ind w:left="0" w:firstLine="0"/>
        <w:rPr>
          <w:rFonts w:cs="Times New Roman"/>
          <w:color w:val="000000"/>
          <w:szCs w:val="24"/>
        </w:rPr>
      </w:pPr>
      <w:r w:rsidRPr="001D4494">
        <w:rPr>
          <w:rFonts w:cs="Times New Roman"/>
          <w:szCs w:val="24"/>
        </w:rPr>
        <w:t>Third, the approach to collective bargaining in particular, and s. 2(</w:t>
      </w:r>
      <w:r w:rsidRPr="00F33F9C">
        <w:rPr>
          <w:rFonts w:cs="Times New Roman"/>
          <w:i/>
          <w:szCs w:val="24"/>
        </w:rPr>
        <w:t>d</w:t>
      </w:r>
      <w:r w:rsidRPr="001D4494">
        <w:rPr>
          <w:rFonts w:cs="Times New Roman"/>
          <w:szCs w:val="24"/>
        </w:rPr>
        <w:t xml:space="preserve">) in general, articulated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raises significant problems relating to workability.  In my view, the framework established in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is both inherently unstable and is a vehicle for the imposition of judicial policy preferences.</w:t>
      </w:r>
    </w:p>
    <w:p w:rsidR="00A00D29" w:rsidRPr="001D4494" w:rsidRDefault="00A00D29" w:rsidP="00613CC7">
      <w:pPr>
        <w:pStyle w:val="ReasonsNumbering-AltN"/>
        <w:ind w:left="0" w:firstLine="0"/>
        <w:rPr>
          <w:rFonts w:cs="Times New Roman"/>
          <w:szCs w:val="24"/>
        </w:rPr>
      </w:pPr>
      <w:r w:rsidRPr="001D4494">
        <w:rPr>
          <w:rFonts w:cs="Times New Roman"/>
          <w:color w:val="000000"/>
          <w:szCs w:val="24"/>
        </w:rPr>
        <w:t xml:space="preserve">I now </w:t>
      </w:r>
      <w:r w:rsidRPr="001D4494">
        <w:rPr>
          <w:rFonts w:cs="Times New Roman"/>
          <w:szCs w:val="24"/>
        </w:rPr>
        <w:t>address</w:t>
      </w:r>
      <w:r w:rsidRPr="001D4494">
        <w:rPr>
          <w:rFonts w:cs="Times New Roman"/>
          <w:color w:val="000000"/>
          <w:szCs w:val="24"/>
        </w:rPr>
        <w:t xml:space="preserve"> each of these problems in turn.</w:t>
      </w:r>
    </w:p>
    <w:p w:rsidR="00A00D29" w:rsidRDefault="00A00D29" w:rsidP="00613CC7">
      <w:pPr>
        <w:pStyle w:val="HeadingTitre-AltH"/>
        <w:spacing w:after="720"/>
      </w:pPr>
      <w:r w:rsidRPr="001D4494">
        <w:t>A.</w:t>
      </w:r>
      <w:r w:rsidRPr="001D4494">
        <w:tab/>
      </w:r>
      <w:r w:rsidRPr="00395C4A">
        <w:rPr>
          <w:i/>
        </w:rPr>
        <w:t>T</w:t>
      </w:r>
      <w:r>
        <w:rPr>
          <w:i/>
        </w:rPr>
        <w:t>he Collective Bargaining Right R</w:t>
      </w:r>
      <w:r w:rsidRPr="00395C4A">
        <w:rPr>
          <w:i/>
        </w:rPr>
        <w:t xml:space="preserve">ecognized in </w:t>
      </w:r>
      <w:r w:rsidRPr="001D4494">
        <w:rPr>
          <w:rFonts w:cs="Times New Roman"/>
          <w:i/>
          <w:color w:val="000000"/>
          <w:szCs w:val="24"/>
        </w:rPr>
        <w:t>Health</w:t>
      </w:r>
      <w:r>
        <w:rPr>
          <w:rFonts w:cs="Times New Roman"/>
          <w:i/>
          <w:color w:val="000000"/>
          <w:szCs w:val="24"/>
        </w:rPr>
        <w:t xml:space="preserve"> Services</w:t>
      </w:r>
      <w:r>
        <w:rPr>
          <w:i/>
        </w:rPr>
        <w:t xml:space="preserve"> Is Inconsistent With the P</w:t>
      </w:r>
      <w:r w:rsidRPr="00395C4A">
        <w:rPr>
          <w:i/>
        </w:rPr>
        <w:t xml:space="preserve">urpose of </w:t>
      </w:r>
      <w:r>
        <w:rPr>
          <w:i/>
        </w:rPr>
        <w:t xml:space="preserve">Section </w:t>
      </w:r>
      <w:r w:rsidRPr="00395C4A">
        <w:rPr>
          <w:i/>
        </w:rPr>
        <w:t>2(d)</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There are five reasons why the collective bargaining right recognized by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is inconsistent with the purpose of s. 2(</w:t>
      </w:r>
      <w:r w:rsidRPr="00D1447D">
        <w:rPr>
          <w:rFonts w:cs="Times New Roman"/>
          <w:i/>
          <w:szCs w:val="24"/>
        </w:rPr>
        <w:t>d</w:t>
      </w:r>
      <w:r w:rsidRPr="001D4494">
        <w:rPr>
          <w:rFonts w:cs="Times New Roman"/>
          <w:szCs w:val="24"/>
        </w:rPr>
        <w:t xml:space="preserve">).  First, the analysis in </w:t>
      </w:r>
      <w:r w:rsidRPr="001D4494">
        <w:rPr>
          <w:rFonts w:cs="Times New Roman"/>
          <w:i/>
          <w:color w:val="000000"/>
          <w:szCs w:val="24"/>
        </w:rPr>
        <w:lastRenderedPageBreak/>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 xml:space="preserve">improperly assigned collective dimensions to an individual right.  Second,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 xml:space="preserve">assigned positive obligations to the essentially negative freedom of association.  Third, the reasons in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Pr>
          <w:rFonts w:cs="Times New Roman"/>
          <w:szCs w:val="24"/>
        </w:rPr>
        <w:t>replaced a content-</w:t>
      </w:r>
      <w:r w:rsidRPr="001D4494">
        <w:rPr>
          <w:rFonts w:cs="Times New Roman"/>
          <w:szCs w:val="24"/>
        </w:rPr>
        <w:t>neutral approach to s. 2(</w:t>
      </w:r>
      <w:r w:rsidRPr="00D1447D">
        <w:rPr>
          <w:rFonts w:cs="Times New Roman"/>
          <w:i/>
          <w:szCs w:val="24"/>
        </w:rPr>
        <w:t>d</w:t>
      </w:r>
      <w:r w:rsidRPr="001D4494">
        <w:rPr>
          <w:rFonts w:cs="Times New Roman"/>
          <w:szCs w:val="24"/>
        </w:rPr>
        <w:t>) freedom and adopted an approach to s. 2(</w:t>
      </w:r>
      <w:r w:rsidRPr="00D1447D">
        <w:rPr>
          <w:rFonts w:cs="Times New Roman"/>
          <w:i/>
          <w:szCs w:val="24"/>
        </w:rPr>
        <w:t>d</w:t>
      </w:r>
      <w:r w:rsidRPr="001D4494">
        <w:rPr>
          <w:rFonts w:cs="Times New Roman"/>
          <w:szCs w:val="24"/>
        </w:rPr>
        <w:t xml:space="preserve">) which privileges certain associations over others.  Fourth,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elevated contracts </w:t>
      </w:r>
      <w:r>
        <w:rPr>
          <w:rFonts w:cs="Times New Roman"/>
          <w:szCs w:val="24"/>
        </w:rPr>
        <w:t>—</w:t>
      </w:r>
      <w:r w:rsidRPr="001D4494">
        <w:rPr>
          <w:rFonts w:cs="Times New Roman"/>
          <w:szCs w:val="24"/>
        </w:rPr>
        <w:t xml:space="preserve"> collective bargaining agreements </w:t>
      </w:r>
      <w:r>
        <w:rPr>
          <w:rFonts w:cs="Times New Roman"/>
          <w:szCs w:val="24"/>
        </w:rPr>
        <w:t>—</w:t>
      </w:r>
      <w:r w:rsidRPr="001D4494">
        <w:rPr>
          <w:rFonts w:cs="Times New Roman"/>
          <w:szCs w:val="24"/>
        </w:rPr>
        <w:t xml:space="preserve"> above statutes and disrupted the ordinary hierarchy of laws.  Fifth, the analysis in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departs from a long-standing principle of judicial deference in the field of labour relations.</w:t>
      </w:r>
    </w:p>
    <w:p w:rsidR="00A00D29" w:rsidRDefault="00A00D29" w:rsidP="00801DBF">
      <w:pPr>
        <w:pStyle w:val="HeadingTitre-AltH"/>
        <w:tabs>
          <w:tab w:val="clear" w:pos="360"/>
          <w:tab w:val="left" w:pos="1620"/>
        </w:tabs>
        <w:ind w:left="1170" w:firstLine="0"/>
      </w:pPr>
      <w:r w:rsidRPr="001D4494">
        <w:t>(1)</w:t>
      </w:r>
      <w:r w:rsidRPr="001D4494">
        <w:tab/>
      </w:r>
      <w:r w:rsidRPr="00395C4A">
        <w:rPr>
          <w:u w:val="single"/>
        </w:rPr>
        <w:t>Section 2(</w:t>
      </w:r>
      <w:r w:rsidRPr="00D1447D">
        <w:rPr>
          <w:i/>
          <w:u w:val="single"/>
        </w:rPr>
        <w:t>d</w:t>
      </w:r>
      <w:r w:rsidRPr="00395C4A">
        <w:rPr>
          <w:u w:val="single"/>
        </w:rPr>
        <w:t xml:space="preserve">) </w:t>
      </w:r>
      <w:r>
        <w:rPr>
          <w:u w:val="single"/>
        </w:rPr>
        <w:t>Protects Individual Interests, Not Group I</w:t>
      </w:r>
      <w:r w:rsidRPr="00395C4A">
        <w:rPr>
          <w:u w:val="single"/>
        </w:rPr>
        <w:t>nterests</w:t>
      </w:r>
    </w:p>
    <w:p w:rsidR="00A00D29" w:rsidRDefault="00A00D29" w:rsidP="00801DBF">
      <w:pPr>
        <w:pStyle w:val="HeadingTitre-AltH"/>
        <w:tabs>
          <w:tab w:val="clear" w:pos="360"/>
          <w:tab w:val="left" w:pos="1620"/>
        </w:tabs>
        <w:spacing w:after="720"/>
        <w:ind w:left="1166" w:firstLine="0"/>
      </w:pPr>
      <w:r>
        <w:t>(a)</w:t>
      </w:r>
      <w:r w:rsidRPr="001D4494">
        <w:tab/>
      </w:r>
      <w:r w:rsidRPr="00D1447D">
        <w:rPr>
          <w:i/>
        </w:rPr>
        <w:t xml:space="preserve">Individual Freedoms </w:t>
      </w:r>
      <w:proofErr w:type="gramStart"/>
      <w:r>
        <w:rPr>
          <w:i/>
        </w:rPr>
        <w:t>V</w:t>
      </w:r>
      <w:r w:rsidRPr="00D1447D">
        <w:rPr>
          <w:i/>
        </w:rPr>
        <w:t>ersus</w:t>
      </w:r>
      <w:proofErr w:type="gramEnd"/>
      <w:r w:rsidRPr="00D1447D">
        <w:rPr>
          <w:i/>
        </w:rPr>
        <w:t xml:space="preserve"> Collective Rights</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First,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reinterpreted an individual freedom as giving rise to collective </w:t>
      </w:r>
      <w:r w:rsidRPr="001D4494">
        <w:rPr>
          <w:rFonts w:cs="Times New Roman"/>
          <w:color w:val="000000"/>
          <w:szCs w:val="24"/>
        </w:rPr>
        <w:t>rights with no individual rights foundation</w:t>
      </w:r>
      <w:r w:rsidRPr="001D4494">
        <w:rPr>
          <w:rFonts w:cs="Times New Roman"/>
          <w:szCs w:val="24"/>
        </w:rPr>
        <w:t>. This reinterpretation of the scope of s. 2(</w:t>
      </w:r>
      <w:r w:rsidRPr="00D1447D">
        <w:rPr>
          <w:rFonts w:cs="Times New Roman"/>
          <w:i/>
          <w:szCs w:val="24"/>
        </w:rPr>
        <w:t>d</w:t>
      </w:r>
      <w:r w:rsidRPr="001D4494">
        <w:rPr>
          <w:rFonts w:cs="Times New Roman"/>
          <w:szCs w:val="24"/>
        </w:rPr>
        <w:t xml:space="preserve">) was a departure from previous jurisprudence that is not justified by the purpose of the </w:t>
      </w:r>
      <w:r w:rsidRPr="001D4494">
        <w:rPr>
          <w:rFonts w:cs="Times New Roman"/>
          <w:i/>
          <w:szCs w:val="24"/>
        </w:rPr>
        <w:t xml:space="preserve">Charter </w:t>
      </w:r>
      <w:r w:rsidRPr="001D4494">
        <w:rPr>
          <w:rFonts w:cs="Times New Roman"/>
          <w:szCs w:val="24"/>
        </w:rPr>
        <w:t xml:space="preserve">guarantee.  The series of cases beginning with the </w:t>
      </w:r>
      <w:r w:rsidRPr="001D4494">
        <w:rPr>
          <w:rFonts w:cs="Times New Roman"/>
          <w:i/>
          <w:szCs w:val="24"/>
        </w:rPr>
        <w:t xml:space="preserve">Alberta Reference </w:t>
      </w:r>
      <w:r w:rsidRPr="001D4494">
        <w:rPr>
          <w:rFonts w:cs="Times New Roman"/>
          <w:szCs w:val="24"/>
        </w:rPr>
        <w:t>established that the freedom of association is an individual</w:t>
      </w:r>
      <w:r w:rsidRPr="001D4494">
        <w:rPr>
          <w:rFonts w:cs="Times New Roman"/>
          <w:i/>
          <w:szCs w:val="24"/>
        </w:rPr>
        <w:t xml:space="preserve"> </w:t>
      </w:r>
      <w:r w:rsidRPr="001D4494">
        <w:rPr>
          <w:rFonts w:cs="Times New Roman"/>
          <w:szCs w:val="24"/>
        </w:rPr>
        <w:t>freedom which is intended to prevent the government from interfering with associations by treating groups differently than it treats individuals.</w:t>
      </w:r>
    </w:p>
    <w:p w:rsidR="00A00D29" w:rsidRPr="001D4494" w:rsidRDefault="00A00D29" w:rsidP="00613CC7">
      <w:pPr>
        <w:pStyle w:val="ReasonsNumbering-AltN"/>
        <w:ind w:left="0" w:firstLine="0"/>
        <w:rPr>
          <w:rFonts w:cs="Times New Roman"/>
          <w:szCs w:val="24"/>
        </w:rPr>
      </w:pP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w:t>
      </w:r>
      <w:r w:rsidRPr="001D4494">
        <w:rPr>
          <w:rFonts w:cs="Times New Roman"/>
          <w:color w:val="000000"/>
          <w:szCs w:val="24"/>
        </w:rPr>
        <w:t xml:space="preserve">expanded </w:t>
      </w:r>
      <w:r w:rsidRPr="001D4494">
        <w:rPr>
          <w:rFonts w:cs="Times New Roman"/>
          <w:szCs w:val="24"/>
        </w:rPr>
        <w:t>s. 2(</w:t>
      </w:r>
      <w:r w:rsidRPr="00D1447D">
        <w:rPr>
          <w:rFonts w:cs="Times New Roman"/>
          <w:i/>
          <w:szCs w:val="24"/>
        </w:rPr>
        <w:t>d</w:t>
      </w:r>
      <w:r w:rsidRPr="001D4494">
        <w:rPr>
          <w:rFonts w:cs="Times New Roman"/>
          <w:szCs w:val="24"/>
        </w:rPr>
        <w:t xml:space="preserve">) </w:t>
      </w:r>
      <w:r w:rsidRPr="001D4494">
        <w:rPr>
          <w:rFonts w:cs="Times New Roman"/>
          <w:color w:val="000000"/>
          <w:szCs w:val="24"/>
        </w:rPr>
        <w:t xml:space="preserve">to protect </w:t>
      </w:r>
      <w:r w:rsidRPr="001D4494">
        <w:rPr>
          <w:rFonts w:cs="Times New Roman"/>
          <w:szCs w:val="24"/>
        </w:rPr>
        <w:t>collective right</w:t>
      </w:r>
      <w:r w:rsidRPr="001D4494">
        <w:rPr>
          <w:rFonts w:cs="Times New Roman"/>
          <w:color w:val="000000"/>
          <w:szCs w:val="24"/>
        </w:rPr>
        <w:t>s</w:t>
      </w:r>
      <w:r w:rsidRPr="001D4494">
        <w:rPr>
          <w:rFonts w:cs="Times New Roman"/>
          <w:szCs w:val="24"/>
        </w:rPr>
        <w:t xml:space="preserve"> </w:t>
      </w:r>
      <w:r w:rsidRPr="001D4494">
        <w:rPr>
          <w:rFonts w:cs="Times New Roman"/>
          <w:color w:val="000000"/>
          <w:szCs w:val="24"/>
        </w:rPr>
        <w:t xml:space="preserve">which meant that </w:t>
      </w:r>
      <w:r w:rsidRPr="001D4494">
        <w:rPr>
          <w:rFonts w:cs="Times New Roman"/>
          <w:szCs w:val="24"/>
        </w:rPr>
        <w:t xml:space="preserve">individuals who are members of specific groups </w:t>
      </w:r>
      <w:r w:rsidRPr="001D4494">
        <w:rPr>
          <w:rFonts w:cs="Times New Roman"/>
          <w:color w:val="000000"/>
          <w:szCs w:val="24"/>
        </w:rPr>
        <w:t xml:space="preserve">now </w:t>
      </w:r>
      <w:r w:rsidRPr="001D4494">
        <w:rPr>
          <w:rFonts w:cs="Times New Roman"/>
          <w:szCs w:val="24"/>
        </w:rPr>
        <w:t xml:space="preserve">enjoy greater </w:t>
      </w:r>
      <w:r w:rsidRPr="001D4494">
        <w:rPr>
          <w:rFonts w:cs="Times New Roman"/>
          <w:color w:val="000000"/>
          <w:szCs w:val="24"/>
        </w:rPr>
        <w:t xml:space="preserve">constitutional </w:t>
      </w:r>
      <w:r w:rsidRPr="001D4494">
        <w:rPr>
          <w:rFonts w:cs="Times New Roman"/>
          <w:szCs w:val="24"/>
        </w:rPr>
        <w:t xml:space="preserve">rights than those who are not. In particular, following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workers’ </w:t>
      </w:r>
      <w:r w:rsidRPr="001D4494">
        <w:rPr>
          <w:rFonts w:cs="Times New Roman"/>
          <w:szCs w:val="24"/>
        </w:rPr>
        <w:lastRenderedPageBreak/>
        <w:t xml:space="preserve">associations enjoy a robust right to bargain because employers are constitutionally obligated to bargain with their association.  Individuals who are not members of </w:t>
      </w:r>
      <w:r w:rsidRPr="001D4494">
        <w:rPr>
          <w:rFonts w:cs="Times New Roman"/>
          <w:color w:val="000000"/>
          <w:szCs w:val="24"/>
        </w:rPr>
        <w:t xml:space="preserve">an </w:t>
      </w:r>
      <w:r w:rsidRPr="001D4494">
        <w:rPr>
          <w:rFonts w:cs="Times New Roman"/>
          <w:szCs w:val="24"/>
        </w:rPr>
        <w:t>association</w:t>
      </w:r>
      <w:r w:rsidRPr="001D4494">
        <w:rPr>
          <w:rFonts w:cs="Times New Roman"/>
          <w:color w:val="000000"/>
          <w:szCs w:val="24"/>
        </w:rPr>
        <w:t xml:space="preserve">, on the other hand, have no constitutional right to oblige their employers to bargain. </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While the </w:t>
      </w:r>
      <w:r w:rsidRPr="001D4494">
        <w:rPr>
          <w:rFonts w:cs="Times New Roman"/>
          <w:i/>
          <w:szCs w:val="24"/>
        </w:rPr>
        <w:t xml:space="preserve">Charter </w:t>
      </w:r>
      <w:r w:rsidRPr="001D4494">
        <w:rPr>
          <w:rFonts w:cs="Times New Roman"/>
          <w:szCs w:val="24"/>
        </w:rPr>
        <w:t xml:space="preserve">may protect certain collective rights, freedom of association does not fall into that category.  Where a particular </w:t>
      </w:r>
      <w:r w:rsidRPr="001D4494">
        <w:rPr>
          <w:rFonts w:cs="Times New Roman"/>
          <w:i/>
          <w:szCs w:val="24"/>
        </w:rPr>
        <w:t>Charter</w:t>
      </w:r>
      <w:r w:rsidRPr="001D4494">
        <w:rPr>
          <w:rFonts w:cs="Times New Roman"/>
          <w:szCs w:val="24"/>
        </w:rPr>
        <w:t xml:space="preserve"> guarantee extends greater rights to a group than to an </w:t>
      </w:r>
      <w:proofErr w:type="gramStart"/>
      <w:r w:rsidRPr="001D4494">
        <w:rPr>
          <w:rFonts w:cs="Times New Roman"/>
          <w:szCs w:val="24"/>
        </w:rPr>
        <w:t>individual, that</w:t>
      </w:r>
      <w:proofErr w:type="gramEnd"/>
      <w:r w:rsidRPr="001D4494">
        <w:rPr>
          <w:rFonts w:cs="Times New Roman"/>
          <w:szCs w:val="24"/>
        </w:rPr>
        <w:t xml:space="preserve"> effect is made clear in the text of the particular guarantee.  For example, the right to minority language education in ss. 23(1) and </w:t>
      </w:r>
      <w:r>
        <w:rPr>
          <w:rFonts w:cs="Times New Roman"/>
          <w:szCs w:val="24"/>
        </w:rPr>
        <w:t>23</w:t>
      </w:r>
      <w:r w:rsidRPr="001D4494">
        <w:rPr>
          <w:rFonts w:cs="Times New Roman"/>
          <w:szCs w:val="24"/>
        </w:rPr>
        <w:t xml:space="preserve">(2) is subject to there being a sufficient number of eligible children to warrant public expenditures on minority language education (s. 23(3)).  In this way, the guarantee in s. 23 is predicated on the existence of a group.  Minority language </w:t>
      </w:r>
      <w:r>
        <w:rPr>
          <w:rFonts w:cs="Times New Roman"/>
          <w:szCs w:val="24"/>
        </w:rPr>
        <w:t xml:space="preserve">educational </w:t>
      </w:r>
      <w:r w:rsidRPr="001D4494">
        <w:rPr>
          <w:rFonts w:cs="Times New Roman"/>
          <w:szCs w:val="24"/>
        </w:rPr>
        <w:t xml:space="preserve">rights thus have a “unique collective aspect even though the rights are granted to individuals” </w:t>
      </w:r>
      <w:r w:rsidR="00800157">
        <w:rPr>
          <w:rFonts w:cs="Times New Roman"/>
          <w:szCs w:val="24"/>
        </w:rPr>
        <w:t>(</w:t>
      </w:r>
      <w:proofErr w:type="spellStart"/>
      <w:r w:rsidRPr="001D4494">
        <w:rPr>
          <w:rFonts w:cs="Times New Roman"/>
          <w:i/>
          <w:szCs w:val="24"/>
        </w:rPr>
        <w:t>Doucet</w:t>
      </w:r>
      <w:proofErr w:type="spellEnd"/>
      <w:r w:rsidRPr="001D4494">
        <w:rPr>
          <w:rFonts w:cs="Times New Roman"/>
          <w:i/>
          <w:szCs w:val="24"/>
        </w:rPr>
        <w:t>-Boudreau v. Nova Scotia</w:t>
      </w:r>
      <w:r>
        <w:rPr>
          <w:rFonts w:cs="Times New Roman"/>
          <w:i/>
          <w:szCs w:val="24"/>
        </w:rPr>
        <w:t xml:space="preserve"> (Minister of Education)</w:t>
      </w:r>
      <w:r w:rsidRPr="001D4494">
        <w:rPr>
          <w:rFonts w:cs="Times New Roman"/>
          <w:szCs w:val="24"/>
        </w:rPr>
        <w:t xml:space="preserve">, </w:t>
      </w:r>
      <w:r>
        <w:rPr>
          <w:rFonts w:cs="Times New Roman"/>
          <w:szCs w:val="24"/>
        </w:rPr>
        <w:t xml:space="preserve">2003 SCC 62, </w:t>
      </w:r>
      <w:r w:rsidRPr="001D4494">
        <w:rPr>
          <w:rFonts w:cs="Times New Roman"/>
          <w:szCs w:val="24"/>
        </w:rPr>
        <w:t>[2003] 3 S.C.R. 3</w:t>
      </w:r>
      <w:r>
        <w:rPr>
          <w:rFonts w:cs="Times New Roman"/>
          <w:szCs w:val="24"/>
        </w:rPr>
        <w:t>,</w:t>
      </w:r>
      <w:r w:rsidRPr="001D4494">
        <w:rPr>
          <w:rFonts w:cs="Times New Roman"/>
          <w:szCs w:val="24"/>
        </w:rPr>
        <w:t xml:space="preserve"> at para. 28</w:t>
      </w:r>
      <w:r>
        <w:rPr>
          <w:rFonts w:cs="Times New Roman"/>
          <w:szCs w:val="24"/>
        </w:rPr>
        <w:t>,</w:t>
      </w:r>
      <w:r w:rsidRPr="001D4494">
        <w:rPr>
          <w:rFonts w:cs="Times New Roman"/>
          <w:szCs w:val="24"/>
        </w:rPr>
        <w:t xml:space="preserve"> </w:t>
      </w:r>
      <w:r w:rsidRPr="001D4494">
        <w:rPr>
          <w:rFonts w:cs="Times New Roman"/>
          <w:i/>
          <w:szCs w:val="24"/>
        </w:rPr>
        <w:t>per</w:t>
      </w:r>
      <w:r w:rsidRPr="001D4494">
        <w:rPr>
          <w:rFonts w:cs="Times New Roman"/>
          <w:szCs w:val="24"/>
        </w:rPr>
        <w:t xml:space="preserve"> </w:t>
      </w:r>
      <w:proofErr w:type="spellStart"/>
      <w:r w:rsidRPr="001D4494">
        <w:rPr>
          <w:rFonts w:cs="Times New Roman"/>
          <w:szCs w:val="24"/>
        </w:rPr>
        <w:t>Iacobucci</w:t>
      </w:r>
      <w:proofErr w:type="spellEnd"/>
      <w:r w:rsidRPr="001D4494">
        <w:rPr>
          <w:rFonts w:cs="Times New Roman"/>
          <w:szCs w:val="24"/>
        </w:rPr>
        <w:t xml:space="preserve"> and Arbour JJ.</w:t>
      </w:r>
      <w:r w:rsidR="00800157">
        <w:rPr>
          <w:rFonts w:cs="Times New Roman"/>
          <w:szCs w:val="24"/>
        </w:rPr>
        <w:t>)</w:t>
      </w:r>
      <w:r w:rsidRPr="001D4494">
        <w:rPr>
          <w:rFonts w:cs="Times New Roman"/>
          <w:szCs w:val="24"/>
        </w:rPr>
        <w:t xml:space="preserve">  Similarly, s. 35(1) of the </w:t>
      </w:r>
      <w:r w:rsidRPr="001D4494">
        <w:rPr>
          <w:rFonts w:cs="Times New Roman"/>
          <w:i/>
          <w:szCs w:val="24"/>
        </w:rPr>
        <w:t>Constitution Act, 1982</w:t>
      </w:r>
      <w:r w:rsidRPr="001D4494">
        <w:rPr>
          <w:rFonts w:cs="Times New Roman"/>
          <w:szCs w:val="24"/>
        </w:rPr>
        <w:t xml:space="preserve"> recognizes </w:t>
      </w:r>
      <w:r>
        <w:rPr>
          <w:rFonts w:cs="Times New Roman"/>
          <w:szCs w:val="24"/>
        </w:rPr>
        <w:t xml:space="preserve">the </w:t>
      </w:r>
      <w:r w:rsidRPr="001D4494">
        <w:rPr>
          <w:rFonts w:cs="Times New Roman"/>
          <w:szCs w:val="24"/>
        </w:rPr>
        <w:t>“existing aboriginal and treaty rights of the aboriginal peoples”.  Treaty rights, being rights established in a treaty between a group of aboriginals and the Crown, undoubtedly have a collective dimension to them insofar as they vest rights in a particular group. See, e</w:t>
      </w:r>
      <w:r w:rsidR="00800157">
        <w:rPr>
          <w:rFonts w:cs="Times New Roman"/>
          <w:szCs w:val="24"/>
        </w:rPr>
        <w:t>.g.</w:t>
      </w:r>
      <w:r w:rsidRPr="001D4494">
        <w:rPr>
          <w:rFonts w:cs="Times New Roman"/>
          <w:szCs w:val="24"/>
        </w:rPr>
        <w:t xml:space="preserve">, </w:t>
      </w:r>
      <w:r w:rsidRPr="001D4494">
        <w:rPr>
          <w:rFonts w:cs="Times New Roman"/>
          <w:i/>
          <w:szCs w:val="24"/>
        </w:rPr>
        <w:t>R. v. Powley</w:t>
      </w:r>
      <w:r>
        <w:rPr>
          <w:rFonts w:cs="Times New Roman"/>
          <w:szCs w:val="24"/>
        </w:rPr>
        <w:t>,</w:t>
      </w:r>
      <w:r w:rsidRPr="001D4494">
        <w:rPr>
          <w:rFonts w:cs="Times New Roman"/>
          <w:szCs w:val="24"/>
        </w:rPr>
        <w:t xml:space="preserve"> </w:t>
      </w:r>
      <w:r>
        <w:rPr>
          <w:rFonts w:cs="Times New Roman"/>
          <w:szCs w:val="24"/>
        </w:rPr>
        <w:t xml:space="preserve">2003 SCC 43, </w:t>
      </w:r>
      <w:r w:rsidRPr="001D4494">
        <w:rPr>
          <w:rFonts w:cs="Times New Roman"/>
          <w:szCs w:val="24"/>
        </w:rPr>
        <w:t>[2003] 2 S.C.R. 207</w:t>
      </w:r>
      <w:r>
        <w:rPr>
          <w:rFonts w:cs="Times New Roman"/>
          <w:szCs w:val="24"/>
        </w:rPr>
        <w:t>,</w:t>
      </w:r>
      <w:r w:rsidRPr="001D4494">
        <w:rPr>
          <w:rFonts w:cs="Times New Roman"/>
          <w:szCs w:val="24"/>
        </w:rPr>
        <w:t xml:space="preserve"> at paras. 10-11</w:t>
      </w:r>
      <w:proofErr w:type="gramStart"/>
      <w:r w:rsidRPr="001D4494">
        <w:rPr>
          <w:rFonts w:cs="Times New Roman"/>
          <w:szCs w:val="24"/>
        </w:rPr>
        <w:t>.  By</w:t>
      </w:r>
      <w:proofErr w:type="gramEnd"/>
      <w:r w:rsidRPr="001D4494">
        <w:rPr>
          <w:rFonts w:cs="Times New Roman"/>
          <w:szCs w:val="24"/>
        </w:rPr>
        <w:t xml:space="preserve"> contrast, s. 2(</w:t>
      </w:r>
      <w:r w:rsidRPr="00971FC8">
        <w:rPr>
          <w:rFonts w:cs="Times New Roman"/>
          <w:i/>
          <w:szCs w:val="24"/>
        </w:rPr>
        <w:t>d</w:t>
      </w:r>
      <w:r w:rsidRPr="001D4494">
        <w:rPr>
          <w:rFonts w:cs="Times New Roman"/>
          <w:szCs w:val="24"/>
        </w:rPr>
        <w:t>) provides that “</w:t>
      </w:r>
      <w:r w:rsidRPr="00801DBF">
        <w:rPr>
          <w:rFonts w:cs="Times New Roman"/>
          <w:szCs w:val="24"/>
          <w:u w:val="single"/>
        </w:rPr>
        <w:t>[</w:t>
      </w:r>
      <w:r w:rsidRPr="001D4494">
        <w:rPr>
          <w:rFonts w:cs="Times New Roman"/>
          <w:szCs w:val="24"/>
          <w:u w:val="single"/>
        </w:rPr>
        <w:t>e</w:t>
      </w:r>
      <w:r>
        <w:rPr>
          <w:rFonts w:cs="Times New Roman"/>
          <w:szCs w:val="24"/>
          <w:u w:val="single"/>
        </w:rPr>
        <w:t>]</w:t>
      </w:r>
      <w:proofErr w:type="spellStart"/>
      <w:r w:rsidRPr="001D4494">
        <w:rPr>
          <w:rFonts w:cs="Times New Roman"/>
          <w:szCs w:val="24"/>
          <w:u w:val="single"/>
        </w:rPr>
        <w:t>veryone</w:t>
      </w:r>
      <w:proofErr w:type="spellEnd"/>
      <w:r>
        <w:rPr>
          <w:rFonts w:cs="Times New Roman"/>
          <w:szCs w:val="24"/>
        </w:rPr>
        <w:t xml:space="preserve"> has . . . freedom of association</w:t>
      </w:r>
      <w:r w:rsidRPr="001D4494">
        <w:rPr>
          <w:rFonts w:cs="Times New Roman"/>
          <w:szCs w:val="24"/>
        </w:rPr>
        <w:t>”</w:t>
      </w:r>
      <w:r>
        <w:rPr>
          <w:rFonts w:cs="Times New Roman"/>
          <w:szCs w:val="24"/>
        </w:rPr>
        <w:t>.</w:t>
      </w:r>
      <w:r w:rsidRPr="001D4494">
        <w:rPr>
          <w:rFonts w:cs="Times New Roman"/>
          <w:szCs w:val="24"/>
        </w:rPr>
        <w:t xml:space="preserve">  This language supports an interpretation of s. 2(</w:t>
      </w:r>
      <w:r w:rsidRPr="00971FC8">
        <w:rPr>
          <w:rFonts w:cs="Times New Roman"/>
          <w:i/>
          <w:szCs w:val="24"/>
        </w:rPr>
        <w:t>d</w:t>
      </w:r>
      <w:r w:rsidRPr="001D4494">
        <w:rPr>
          <w:rFonts w:cs="Times New Roman"/>
          <w:szCs w:val="24"/>
        </w:rPr>
        <w:t xml:space="preserve">) as an individual freedom. See </w:t>
      </w:r>
      <w:r>
        <w:rPr>
          <w:rFonts w:cs="Times New Roman"/>
          <w:szCs w:val="24"/>
        </w:rPr>
        <w:t xml:space="preserve">P. W. </w:t>
      </w:r>
      <w:r w:rsidRPr="001D4494">
        <w:rPr>
          <w:rFonts w:cs="Times New Roman"/>
          <w:szCs w:val="24"/>
        </w:rPr>
        <w:t xml:space="preserve">Hogg, </w:t>
      </w:r>
      <w:r w:rsidRPr="001D4494">
        <w:rPr>
          <w:rFonts w:cs="Times New Roman"/>
          <w:i/>
          <w:szCs w:val="24"/>
        </w:rPr>
        <w:t>Constitutional Law of Canada</w:t>
      </w:r>
      <w:r w:rsidRPr="001D4494">
        <w:rPr>
          <w:rFonts w:cs="Times New Roman"/>
          <w:szCs w:val="24"/>
        </w:rPr>
        <w:t xml:space="preserve"> </w:t>
      </w:r>
      <w:r>
        <w:rPr>
          <w:rFonts w:cs="Times New Roman"/>
          <w:szCs w:val="24"/>
        </w:rPr>
        <w:t>(5</w:t>
      </w:r>
      <w:r w:rsidRPr="00147F9B">
        <w:rPr>
          <w:rFonts w:cs="Times New Roman"/>
          <w:szCs w:val="24"/>
        </w:rPr>
        <w:t>th</w:t>
      </w:r>
      <w:r>
        <w:rPr>
          <w:rFonts w:cs="Times New Roman"/>
          <w:szCs w:val="24"/>
        </w:rPr>
        <w:t xml:space="preserve"> ed. Supp.)</w:t>
      </w:r>
      <w:r w:rsidR="00801DBF">
        <w:rPr>
          <w:rFonts w:cs="Times New Roman"/>
          <w:szCs w:val="24"/>
        </w:rPr>
        <w:t>,</w:t>
      </w:r>
      <w:r>
        <w:rPr>
          <w:rFonts w:cs="Times New Roman"/>
          <w:szCs w:val="24"/>
        </w:rPr>
        <w:t xml:space="preserve"> vol</w:t>
      </w:r>
      <w:r w:rsidR="00801DBF">
        <w:rPr>
          <w:rFonts w:cs="Times New Roman"/>
          <w:szCs w:val="24"/>
        </w:rPr>
        <w:t>.</w:t>
      </w:r>
      <w:r>
        <w:rPr>
          <w:rFonts w:cs="Times New Roman"/>
          <w:szCs w:val="24"/>
        </w:rPr>
        <w:t xml:space="preserve"> 2, </w:t>
      </w:r>
      <w:r w:rsidRPr="001D4494">
        <w:rPr>
          <w:rFonts w:cs="Times New Roman"/>
          <w:szCs w:val="24"/>
        </w:rPr>
        <w:t xml:space="preserve">at </w:t>
      </w:r>
      <w:r>
        <w:rPr>
          <w:rFonts w:cs="Times New Roman"/>
          <w:szCs w:val="24"/>
        </w:rPr>
        <w:t>pp. 37-1 and</w:t>
      </w:r>
      <w:r w:rsidRPr="001D4494">
        <w:rPr>
          <w:rFonts w:cs="Times New Roman"/>
          <w:szCs w:val="24"/>
        </w:rPr>
        <w:t xml:space="preserve"> 37-2.</w:t>
      </w:r>
    </w:p>
    <w:p w:rsidR="00A00D29" w:rsidRDefault="00A00D29" w:rsidP="00801DBF">
      <w:pPr>
        <w:pStyle w:val="HeadingTitre-AltH"/>
        <w:tabs>
          <w:tab w:val="clear" w:pos="360"/>
          <w:tab w:val="left" w:pos="1170"/>
        </w:tabs>
        <w:spacing w:after="720"/>
        <w:ind w:left="1620" w:hanging="450"/>
      </w:pPr>
      <w:r>
        <w:lastRenderedPageBreak/>
        <w:t>(b)</w:t>
      </w:r>
      <w:r>
        <w:tab/>
      </w:r>
      <w:r w:rsidRPr="00AE0815">
        <w:rPr>
          <w:i/>
        </w:rPr>
        <w:t xml:space="preserve">Qualitative Differences </w:t>
      </w:r>
      <w:proofErr w:type="gramStart"/>
      <w:r w:rsidRPr="00AE0815">
        <w:rPr>
          <w:i/>
        </w:rPr>
        <w:t>Between</w:t>
      </w:r>
      <w:proofErr w:type="gramEnd"/>
      <w:r w:rsidRPr="00AE0815">
        <w:rPr>
          <w:i/>
        </w:rPr>
        <w:t xml:space="preserve"> Individuals and Associations Do Not Change the Individual Nature of Freedom of Association</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 Chief Justice and LeBel J. say that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was “consistent with the previous cases on the issue of indiv</w:t>
      </w:r>
      <w:r>
        <w:rPr>
          <w:rFonts w:cs="Times New Roman"/>
          <w:szCs w:val="24"/>
        </w:rPr>
        <w:t>idual and collective rights” (</w:t>
      </w:r>
      <w:r w:rsidRPr="001D4494">
        <w:rPr>
          <w:rFonts w:cs="Times New Roman"/>
          <w:szCs w:val="24"/>
        </w:rPr>
        <w:t xml:space="preserve">para. 65).  I must respectfully disagree.  McIntyre J. in the </w:t>
      </w:r>
      <w:r w:rsidRPr="001D4494">
        <w:rPr>
          <w:rFonts w:cs="Times New Roman"/>
          <w:i/>
          <w:szCs w:val="24"/>
        </w:rPr>
        <w:t>Alberta Reference</w:t>
      </w:r>
      <w:r w:rsidRPr="001D4494">
        <w:rPr>
          <w:rFonts w:cs="Times New Roman"/>
          <w:szCs w:val="24"/>
        </w:rPr>
        <w:t xml:space="preserve"> made the point, which is the point that I make in my reasons, that freedom of association protects the right of groups to engage in activities that are lawful or constitutionally protected for individuals.  The reliance on a purposive approach to interpretation advanced by the majority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opens the door to s. 2(</w:t>
      </w:r>
      <w:r w:rsidRPr="00490836">
        <w:rPr>
          <w:rFonts w:cs="Times New Roman"/>
          <w:i/>
          <w:szCs w:val="24"/>
        </w:rPr>
        <w:t>d</w:t>
      </w:r>
      <w:r w:rsidRPr="001D4494">
        <w:rPr>
          <w:rFonts w:cs="Times New Roman"/>
          <w:szCs w:val="24"/>
        </w:rPr>
        <w:t>) being interpreted as a generalized group right as opposed to an individual right, which is an interpretation that is not consistent with this Court’s prior jurisprudence.  My colleagues’ reference to the interpretation of s. 2(</w:t>
      </w:r>
      <w:r w:rsidRPr="00490836">
        <w:rPr>
          <w:rFonts w:cs="Times New Roman"/>
          <w:i/>
          <w:szCs w:val="24"/>
        </w:rPr>
        <w:t>d</w:t>
      </w:r>
      <w:r w:rsidRPr="001D4494">
        <w:rPr>
          <w:rFonts w:cs="Times New Roman"/>
          <w:szCs w:val="24"/>
        </w:rPr>
        <w:t xml:space="preserve">) advanced by Dickson C.J. in the </w:t>
      </w:r>
      <w:r w:rsidRPr="001D4494">
        <w:rPr>
          <w:rFonts w:cs="Times New Roman"/>
          <w:i/>
          <w:szCs w:val="24"/>
        </w:rPr>
        <w:t>Alberta Reference</w:t>
      </w:r>
      <w:r w:rsidRPr="001D4494">
        <w:rPr>
          <w:rFonts w:cs="Times New Roman"/>
          <w:szCs w:val="24"/>
        </w:rPr>
        <w:t xml:space="preserve">, was not a position accepted by the majority and, as my reasons point out, by constitutionalizing the right to bargain collectively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departed from the position</w:t>
      </w:r>
      <w:r>
        <w:rPr>
          <w:rFonts w:cs="Times New Roman"/>
          <w:szCs w:val="24"/>
        </w:rPr>
        <w:t xml:space="preserve"> of the majority in that case.</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As I will now explain, although in </w:t>
      </w:r>
      <w:r w:rsidRPr="001D4494">
        <w:rPr>
          <w:rFonts w:cs="Times New Roman"/>
          <w:i/>
          <w:szCs w:val="24"/>
        </w:rPr>
        <w:t>Dunmore</w:t>
      </w:r>
      <w:r w:rsidRPr="001D4494">
        <w:rPr>
          <w:rFonts w:cs="Times New Roman"/>
          <w:szCs w:val="24"/>
        </w:rPr>
        <w:t>, s. 2(</w:t>
      </w:r>
      <w:r w:rsidRPr="00490836">
        <w:rPr>
          <w:rFonts w:cs="Times New Roman"/>
          <w:i/>
          <w:szCs w:val="24"/>
        </w:rPr>
        <w:t>d</w:t>
      </w:r>
      <w:r w:rsidRPr="001D4494">
        <w:rPr>
          <w:rFonts w:cs="Times New Roman"/>
          <w:szCs w:val="24"/>
        </w:rPr>
        <w:t>) was found to protect group activity that was “qualitatively</w:t>
      </w:r>
      <w:r>
        <w:rPr>
          <w:rFonts w:cs="Times New Roman"/>
          <w:szCs w:val="24"/>
        </w:rPr>
        <w:t>”</w:t>
      </w:r>
      <w:r w:rsidRPr="001D4494">
        <w:rPr>
          <w:rFonts w:cs="Times New Roman"/>
          <w:szCs w:val="24"/>
        </w:rPr>
        <w:t xml:space="preserve"> different from individual activity, s. 2(</w:t>
      </w:r>
      <w:r w:rsidRPr="00490836">
        <w:rPr>
          <w:rFonts w:cs="Times New Roman"/>
          <w:i/>
          <w:szCs w:val="24"/>
        </w:rPr>
        <w:t>d</w:t>
      </w:r>
      <w:r w:rsidRPr="001D4494">
        <w:rPr>
          <w:rFonts w:cs="Times New Roman"/>
          <w:szCs w:val="24"/>
        </w:rPr>
        <w:t>) cannot be used to give groups greater constitutional protection than individuals.</w:t>
      </w:r>
    </w:p>
    <w:p w:rsidR="00A00D29" w:rsidRPr="001D4494" w:rsidRDefault="00A00D29" w:rsidP="00613CC7">
      <w:pPr>
        <w:pStyle w:val="ReasonsNumbering-AltN"/>
        <w:ind w:left="0" w:firstLine="0"/>
        <w:rPr>
          <w:rFonts w:cs="Times New Roman"/>
          <w:szCs w:val="24"/>
        </w:rPr>
      </w:pPr>
      <w:r w:rsidRPr="001D4494">
        <w:rPr>
          <w:rFonts w:cs="Times New Roman"/>
          <w:color w:val="000000"/>
          <w:szCs w:val="24"/>
        </w:rPr>
        <w:t xml:space="preserve">The </w:t>
      </w:r>
      <w:r w:rsidRPr="00613CC7">
        <w:rPr>
          <w:rFonts w:cs="Times New Roman"/>
          <w:szCs w:val="24"/>
        </w:rPr>
        <w:t>majority</w:t>
      </w:r>
      <w:r w:rsidRPr="001D4494">
        <w:rPr>
          <w:rFonts w:cs="Times New Roman"/>
          <w:color w:val="000000"/>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i</w:t>
      </w:r>
      <w:r w:rsidRPr="001D4494">
        <w:rPr>
          <w:rFonts w:cs="Times New Roman"/>
          <w:szCs w:val="24"/>
        </w:rPr>
        <w:t>n rejecting the view that s. 2(</w:t>
      </w:r>
      <w:r w:rsidRPr="00490836">
        <w:rPr>
          <w:rFonts w:cs="Times New Roman"/>
          <w:i/>
          <w:szCs w:val="24"/>
        </w:rPr>
        <w:t>d</w:t>
      </w:r>
      <w:r w:rsidRPr="001D4494">
        <w:rPr>
          <w:rFonts w:cs="Times New Roman"/>
          <w:szCs w:val="24"/>
        </w:rPr>
        <w:t xml:space="preserve">) only protects those activities that may be lawfully pursued on the individual level, said that </w:t>
      </w:r>
      <w:r w:rsidRPr="001D4494">
        <w:rPr>
          <w:rFonts w:cs="Times New Roman"/>
          <w:i/>
          <w:szCs w:val="24"/>
        </w:rPr>
        <w:t>Dunmore</w:t>
      </w:r>
      <w:r w:rsidRPr="001D4494">
        <w:rPr>
          <w:rFonts w:cs="Times New Roman"/>
          <w:szCs w:val="24"/>
        </w:rPr>
        <w:t xml:space="preserve"> had overtaken the notion that freedom of association applies only to </w:t>
      </w:r>
      <w:r w:rsidRPr="001D4494">
        <w:rPr>
          <w:rFonts w:cs="Times New Roman"/>
          <w:szCs w:val="24"/>
        </w:rPr>
        <w:lastRenderedPageBreak/>
        <w:t xml:space="preserve">activities capable of performance by individuals.  </w:t>
      </w:r>
      <w:r w:rsidRPr="001D4494">
        <w:rPr>
          <w:rFonts w:cs="Times New Roman"/>
          <w:i/>
          <w:szCs w:val="24"/>
        </w:rPr>
        <w:t>Dunmore</w:t>
      </w:r>
      <w:r w:rsidRPr="001D4494">
        <w:rPr>
          <w:rFonts w:cs="Times New Roman"/>
          <w:szCs w:val="24"/>
        </w:rPr>
        <w:t xml:space="preserve"> cannot be interpreted in such a manner.  In</w:t>
      </w:r>
      <w:r w:rsidRPr="001D4494">
        <w:rPr>
          <w:rFonts w:cs="Times New Roman"/>
          <w:i/>
          <w:szCs w:val="24"/>
        </w:rPr>
        <w:t xml:space="preserve"> Dunmore</w:t>
      </w:r>
      <w:r w:rsidRPr="001D4494">
        <w:rPr>
          <w:rFonts w:cs="Times New Roman"/>
          <w:szCs w:val="24"/>
        </w:rPr>
        <w:t>, Bastarache J. explained that to limit s. 2(</w:t>
      </w:r>
      <w:r w:rsidRPr="00490836">
        <w:rPr>
          <w:rFonts w:cs="Times New Roman"/>
          <w:i/>
          <w:szCs w:val="24"/>
        </w:rPr>
        <w:t>d</w:t>
      </w:r>
      <w:r w:rsidRPr="001D4494">
        <w:rPr>
          <w:rFonts w:cs="Times New Roman"/>
          <w:szCs w:val="24"/>
        </w:rPr>
        <w:t>) to activities that are performable by individuals might render futile certain fundamental initiatives, since some collective activities may, by their very nature, be incapable of being performed by an individual.</w:t>
      </w:r>
      <w:r w:rsidRPr="001D4494">
        <w:rPr>
          <w:rFonts w:cs="Times New Roman"/>
          <w:b/>
          <w:szCs w:val="24"/>
        </w:rPr>
        <w:t xml:space="preserve">  </w:t>
      </w:r>
      <w:r w:rsidRPr="001D4494">
        <w:rPr>
          <w:rFonts w:cs="Times New Roman"/>
          <w:szCs w:val="24"/>
        </w:rPr>
        <w:t>As I explained above, in the view of Bastarache J., certain activities are, when performed by a group, “qualitatively</w:t>
      </w:r>
      <w:r>
        <w:rPr>
          <w:rFonts w:cs="Times New Roman"/>
          <w:szCs w:val="24"/>
        </w:rPr>
        <w:t>”</w:t>
      </w:r>
      <w:r w:rsidRPr="001D4494">
        <w:rPr>
          <w:rFonts w:cs="Times New Roman"/>
          <w:szCs w:val="24"/>
        </w:rPr>
        <w:t xml:space="preserve"> different from those activities performed solely by an individual, and this qualitative difference may merit constitutional protection for the collective activity (</w:t>
      </w:r>
      <w:r w:rsidRPr="001D4494">
        <w:rPr>
          <w:rFonts w:cs="Times New Roman"/>
          <w:i/>
          <w:szCs w:val="24"/>
        </w:rPr>
        <w:t>Dunmore</w:t>
      </w:r>
      <w:r w:rsidRPr="001D4494">
        <w:rPr>
          <w:rFonts w:cs="Times New Roman"/>
          <w:szCs w:val="24"/>
        </w:rPr>
        <w:t xml:space="preserve">, at para. 17). With respect, </w:t>
      </w:r>
      <w:r w:rsidRPr="001D4494">
        <w:rPr>
          <w:rFonts w:cs="Times New Roman"/>
          <w:i/>
          <w:szCs w:val="24"/>
        </w:rPr>
        <w:t>Dunmore</w:t>
      </w:r>
      <w:r w:rsidRPr="001D4494">
        <w:rPr>
          <w:rFonts w:cs="Times New Roman"/>
          <w:szCs w:val="24"/>
        </w:rPr>
        <w:t xml:space="preserve"> does not stand for the proposition that such qualitative differences open the door to the notion of group rights entirely unconnected to individual rights.</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 accept that there may be qualitative differences between individuals acting alone and individuals acting in concert. Professor Langille refers to the example of choir singing. See B. Langille, </w:t>
      </w:r>
      <w:r>
        <w:rPr>
          <w:rFonts w:cs="Times New Roman"/>
          <w:szCs w:val="24"/>
        </w:rPr>
        <w:t>“</w:t>
      </w:r>
      <w:r w:rsidRPr="006737C0">
        <w:rPr>
          <w:rFonts w:cs="Times New Roman"/>
          <w:szCs w:val="24"/>
        </w:rPr>
        <w:t>The Freedom of Association Mess</w:t>
      </w:r>
      <w:r w:rsidRPr="00801DBF">
        <w:rPr>
          <w:rFonts w:cs="Times New Roman"/>
          <w:szCs w:val="24"/>
        </w:rPr>
        <w:t>:</w:t>
      </w:r>
      <w:r w:rsidRPr="001D4494">
        <w:rPr>
          <w:rFonts w:cs="Times New Roman"/>
          <w:szCs w:val="24"/>
        </w:rPr>
        <w:t xml:space="preserve"> How We Got into It and How We Can Get out of It”</w:t>
      </w:r>
      <w:r>
        <w:rPr>
          <w:rFonts w:cs="Times New Roman"/>
          <w:szCs w:val="24"/>
        </w:rPr>
        <w:t xml:space="preserve"> (2009)</w:t>
      </w:r>
      <w:r w:rsidRPr="001D4494">
        <w:rPr>
          <w:rFonts w:cs="Times New Roman"/>
          <w:szCs w:val="24"/>
        </w:rPr>
        <w:t xml:space="preserve">, </w:t>
      </w:r>
      <w:r>
        <w:rPr>
          <w:rFonts w:cs="Times New Roman"/>
          <w:szCs w:val="24"/>
        </w:rPr>
        <w:t xml:space="preserve">54 </w:t>
      </w:r>
      <w:r w:rsidRPr="008A10CB">
        <w:rPr>
          <w:rFonts w:cs="Times New Roman"/>
          <w:i/>
          <w:szCs w:val="24"/>
        </w:rPr>
        <w:t>McGill L.J.</w:t>
      </w:r>
      <w:r>
        <w:rPr>
          <w:rFonts w:cs="Times New Roman"/>
          <w:szCs w:val="24"/>
        </w:rPr>
        <w:t xml:space="preserve"> 177 (“Freedom of Association”), at </w:t>
      </w:r>
      <w:r w:rsidRPr="001D4494">
        <w:rPr>
          <w:rFonts w:cs="Times New Roman"/>
          <w:szCs w:val="24"/>
        </w:rPr>
        <w:t xml:space="preserve">p. 185.  </w:t>
      </w:r>
      <w:r>
        <w:rPr>
          <w:rFonts w:cs="Times New Roman"/>
          <w:szCs w:val="24"/>
        </w:rPr>
        <w:t>While he ultimately believes that the choir metaphor should not apply to determine the scope of s. 2(</w:t>
      </w:r>
      <w:r w:rsidRPr="006737C0">
        <w:rPr>
          <w:rFonts w:cs="Times New Roman"/>
          <w:i/>
          <w:szCs w:val="24"/>
        </w:rPr>
        <w:t>d</w:t>
      </w:r>
      <w:r>
        <w:rPr>
          <w:rFonts w:cs="Times New Roman"/>
          <w:szCs w:val="24"/>
        </w:rPr>
        <w:t>) rights, in my opinion the metaphor is apt in explaining the limited type of qualitatively different group activities that may be protected by s. 2(</w:t>
      </w:r>
      <w:r w:rsidRPr="006737C0">
        <w:rPr>
          <w:rFonts w:cs="Times New Roman"/>
          <w:i/>
          <w:szCs w:val="24"/>
        </w:rPr>
        <w:t>d</w:t>
      </w:r>
      <w:r>
        <w:rPr>
          <w:rFonts w:cs="Times New Roman"/>
          <w:szCs w:val="24"/>
        </w:rPr>
        <w:t xml:space="preserve">).  </w:t>
      </w:r>
      <w:r w:rsidRPr="001D4494">
        <w:rPr>
          <w:rFonts w:cs="Times New Roman"/>
          <w:szCs w:val="24"/>
        </w:rPr>
        <w:t xml:space="preserve">A group of individuals singing together in a choir can produce musical effects, such as harmonies and </w:t>
      </w:r>
      <w:proofErr w:type="gramStart"/>
      <w:r w:rsidRPr="001D4494">
        <w:rPr>
          <w:rFonts w:cs="Times New Roman"/>
          <w:szCs w:val="24"/>
        </w:rPr>
        <w:t>counterpoint, that</w:t>
      </w:r>
      <w:proofErr w:type="gramEnd"/>
      <w:r w:rsidRPr="001D4494">
        <w:rPr>
          <w:rFonts w:cs="Times New Roman"/>
          <w:szCs w:val="24"/>
        </w:rPr>
        <w:t xml:space="preserve"> an individual singing alone cannot.  Such effects are not just an accumulation of individual voices singing in exactly the same way. Rather, they produce a musical effect that is fundamentally different from what a lone individual can produce.  In other words, the </w:t>
      </w:r>
      <w:r w:rsidRPr="001D4494">
        <w:rPr>
          <w:rFonts w:cs="Times New Roman"/>
          <w:szCs w:val="24"/>
        </w:rPr>
        <w:lastRenderedPageBreak/>
        <w:t xml:space="preserve">whole is not merely the sum of its parts.  The ability to create such effects through the coordination of individual action is one reason why freedom of association is protected.  I believe that </w:t>
      </w:r>
      <w:r w:rsidRPr="001D4494">
        <w:rPr>
          <w:rFonts w:cs="Times New Roman"/>
          <w:i/>
          <w:szCs w:val="24"/>
        </w:rPr>
        <w:t>Dunmore</w:t>
      </w:r>
      <w:r w:rsidRPr="001D4494">
        <w:rPr>
          <w:rFonts w:cs="Times New Roman"/>
          <w:szCs w:val="24"/>
        </w:rPr>
        <w:t xml:space="preserve"> found that s. 2(</w:t>
      </w:r>
      <w:r w:rsidRPr="006737C0">
        <w:rPr>
          <w:rFonts w:cs="Times New Roman"/>
          <w:i/>
          <w:szCs w:val="24"/>
        </w:rPr>
        <w:t>d</w:t>
      </w:r>
      <w:r w:rsidRPr="001D4494">
        <w:rPr>
          <w:rFonts w:cs="Times New Roman"/>
          <w:szCs w:val="24"/>
        </w:rPr>
        <w:t>) may protect voluntary collective activity which is “qualitatively</w:t>
      </w:r>
      <w:r>
        <w:rPr>
          <w:rFonts w:cs="Times New Roman"/>
          <w:szCs w:val="24"/>
        </w:rPr>
        <w:t>”</w:t>
      </w:r>
      <w:r w:rsidRPr="001D4494">
        <w:rPr>
          <w:rFonts w:cs="Times New Roman"/>
          <w:szCs w:val="24"/>
        </w:rPr>
        <w:t xml:space="preserve"> different from individual</w:t>
      </w:r>
      <w:r>
        <w:rPr>
          <w:rFonts w:cs="Times New Roman"/>
          <w:szCs w:val="24"/>
        </w:rPr>
        <w:t xml:space="preserve"> activity in this limited way.</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In my view, the question is not whether the activity is susceptible of being performed, </w:t>
      </w:r>
      <w:r w:rsidRPr="001D4494">
        <w:rPr>
          <w:rFonts w:cs="Times New Roman"/>
          <w:i/>
          <w:szCs w:val="24"/>
        </w:rPr>
        <w:t>in exactly the same manner</w:t>
      </w:r>
      <w:r w:rsidRPr="001D4494">
        <w:rPr>
          <w:rFonts w:cs="Times New Roman"/>
          <w:szCs w:val="24"/>
        </w:rPr>
        <w:t xml:space="preserve">, by an individual acting alone.  A choir singing harmony may produce sound that is qualitatively distinct from an individual voice, but it is nonetheless </w:t>
      </w:r>
      <w:r w:rsidRPr="001D4494">
        <w:rPr>
          <w:rFonts w:cs="Times New Roman"/>
          <w:i/>
          <w:szCs w:val="24"/>
        </w:rPr>
        <w:t xml:space="preserve">produced </w:t>
      </w:r>
      <w:r w:rsidRPr="001D4494">
        <w:rPr>
          <w:rFonts w:cs="Times New Roman"/>
          <w:szCs w:val="24"/>
        </w:rPr>
        <w:t>by a group of individuals voluntarily singing together.  One individual is free to sing in one octave, another is free to sing in another octave.  A harmony may result if they choose to perform these individual activities in concert with one another.  And if the state were to outlaw harmony, it would be attacking the individuals’ ability to do side by side at the same time what each may do apart.  Thus, while harmony arising out of choir singing may have no direct individual analog</w:t>
      </w:r>
      <w:r>
        <w:rPr>
          <w:rFonts w:cs="Times New Roman"/>
          <w:szCs w:val="24"/>
        </w:rPr>
        <w:t>ue</w:t>
      </w:r>
      <w:r w:rsidRPr="001D4494">
        <w:rPr>
          <w:rFonts w:cs="Times New Roman"/>
          <w:szCs w:val="24"/>
        </w:rPr>
        <w:t>, a legislative attack on harmony would be an attack on the association itself, and should not be permitted under s. 2(</w:t>
      </w:r>
      <w:r w:rsidRPr="006737C0">
        <w:rPr>
          <w:rFonts w:cs="Times New Roman"/>
          <w:i/>
          <w:szCs w:val="24"/>
        </w:rPr>
        <w:t>d</w:t>
      </w:r>
      <w:r w:rsidRPr="001D4494">
        <w:rPr>
          <w:rFonts w:cs="Times New Roman"/>
          <w:szCs w:val="24"/>
        </w:rPr>
        <w:t>).  Section 2(</w:t>
      </w:r>
      <w:r w:rsidRPr="006737C0">
        <w:rPr>
          <w:rFonts w:cs="Times New Roman"/>
          <w:i/>
          <w:szCs w:val="24"/>
        </w:rPr>
        <w:t>d</w:t>
      </w:r>
      <w:r w:rsidRPr="001D4494">
        <w:rPr>
          <w:rFonts w:cs="Times New Roman"/>
          <w:szCs w:val="24"/>
        </w:rPr>
        <w:t xml:space="preserve">) may recognize qualitative differences between individual and group activity, without altering the individual nature of freedom of association. </w:t>
      </w:r>
    </w:p>
    <w:p w:rsidR="00A00D29" w:rsidRPr="001D4494" w:rsidRDefault="00A00D29" w:rsidP="00613CC7">
      <w:pPr>
        <w:pStyle w:val="ReasonsNumbering-AltN"/>
        <w:ind w:left="0" w:firstLine="0"/>
        <w:rPr>
          <w:rFonts w:cs="Times New Roman"/>
          <w:szCs w:val="24"/>
        </w:rPr>
      </w:pPr>
      <w:r>
        <w:rPr>
          <w:rFonts w:cs="Times New Roman"/>
          <w:szCs w:val="24"/>
        </w:rPr>
        <w:t>W</w:t>
      </w:r>
      <w:r w:rsidRPr="001D4494">
        <w:rPr>
          <w:rFonts w:cs="Times New Roman"/>
          <w:szCs w:val="24"/>
        </w:rPr>
        <w:t>hile s. 2(</w:t>
      </w:r>
      <w:r w:rsidRPr="006737C0">
        <w:rPr>
          <w:rFonts w:cs="Times New Roman"/>
          <w:i/>
          <w:szCs w:val="24"/>
        </w:rPr>
        <w:t>d</w:t>
      </w:r>
      <w:r w:rsidRPr="001D4494">
        <w:rPr>
          <w:rFonts w:cs="Times New Roman"/>
          <w:szCs w:val="24"/>
        </w:rPr>
        <w:t>) protects “qualitatively</w:t>
      </w:r>
      <w:r>
        <w:rPr>
          <w:rFonts w:cs="Times New Roman"/>
          <w:szCs w:val="24"/>
        </w:rPr>
        <w:t>”</w:t>
      </w:r>
      <w:r w:rsidRPr="001D4494">
        <w:rPr>
          <w:rFonts w:cs="Times New Roman"/>
          <w:szCs w:val="24"/>
        </w:rPr>
        <w:t xml:space="preserve"> different activities which are an emergent result of free individual organization, it does not impose a constitutional obligation on government to </w:t>
      </w:r>
      <w:r w:rsidRPr="001D4494">
        <w:rPr>
          <w:rFonts w:cs="Times New Roman"/>
          <w:i/>
          <w:szCs w:val="24"/>
        </w:rPr>
        <w:t xml:space="preserve">create </w:t>
      </w:r>
      <w:r w:rsidRPr="001D4494">
        <w:rPr>
          <w:rFonts w:cs="Times New Roman"/>
          <w:szCs w:val="24"/>
        </w:rPr>
        <w:t xml:space="preserve">out of whole cloth a set of qualitative differences </w:t>
      </w:r>
      <w:r w:rsidRPr="001D4494">
        <w:rPr>
          <w:rFonts w:cs="Times New Roman"/>
          <w:szCs w:val="24"/>
        </w:rPr>
        <w:lastRenderedPageBreak/>
        <w:t xml:space="preserve">that make the group more powerful than it otherwise would be, even if such differences would enhance its ability to achieve its goals. </w:t>
      </w:r>
    </w:p>
    <w:p w:rsidR="00A00D29" w:rsidRPr="001D4494" w:rsidRDefault="00A00D29" w:rsidP="00613CC7">
      <w:pPr>
        <w:pStyle w:val="ReasonsNumbering-AltN"/>
        <w:ind w:left="0" w:firstLine="0"/>
        <w:rPr>
          <w:rFonts w:cs="Times New Roman"/>
          <w:szCs w:val="24"/>
        </w:rPr>
      </w:pP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did not purport to give constitutional force to a right</w:t>
      </w:r>
      <w:r w:rsidRPr="001D4494">
        <w:rPr>
          <w:rFonts w:cs="Times New Roman"/>
          <w:szCs w:val="24"/>
        </w:rPr>
        <w:t xml:space="preserve"> </w:t>
      </w:r>
      <w:r w:rsidRPr="001D4494">
        <w:rPr>
          <w:rFonts w:cs="Times New Roman"/>
          <w:color w:val="000000"/>
          <w:szCs w:val="24"/>
        </w:rPr>
        <w:t xml:space="preserve">to </w:t>
      </w:r>
      <w:r w:rsidRPr="006737C0">
        <w:rPr>
          <w:rFonts w:cs="Times New Roman"/>
          <w:i/>
          <w:color w:val="000000"/>
          <w:szCs w:val="24"/>
        </w:rPr>
        <w:t>individuals</w:t>
      </w:r>
      <w:r w:rsidRPr="001D4494">
        <w:rPr>
          <w:rFonts w:cs="Times New Roman"/>
          <w:color w:val="000000"/>
          <w:szCs w:val="24"/>
        </w:rPr>
        <w:t xml:space="preserve"> to compel employers to bargain in good faith with them.  Individuals who are not members of an association have no such right.</w:t>
      </w:r>
      <w:r w:rsidRPr="001D4494">
        <w:rPr>
          <w:rFonts w:cs="Times New Roman"/>
          <w:szCs w:val="24"/>
        </w:rPr>
        <w:t xml:space="preserve">  </w:t>
      </w:r>
      <w:r w:rsidRPr="001D4494">
        <w:rPr>
          <w:rFonts w:cs="Times New Roman"/>
          <w:color w:val="000000"/>
          <w:szCs w:val="24"/>
        </w:rPr>
        <w:t>Thus, the constitutional right to compel employers to bargain in good faith with associations must be a unique group right, not an activity emergent from an individual right.</w:t>
      </w:r>
    </w:p>
    <w:p w:rsidR="00A00D29" w:rsidRDefault="00A00D29" w:rsidP="00D442F0">
      <w:pPr>
        <w:pStyle w:val="HeadingTitre-AltH"/>
        <w:tabs>
          <w:tab w:val="clear" w:pos="360"/>
          <w:tab w:val="left" w:pos="1800"/>
        </w:tabs>
        <w:ind w:left="1170" w:firstLine="0"/>
      </w:pPr>
      <w:r w:rsidRPr="001D4494">
        <w:t>(2)</w:t>
      </w:r>
      <w:r w:rsidRPr="001D4494">
        <w:tab/>
      </w:r>
      <w:r w:rsidRPr="00395C4A">
        <w:rPr>
          <w:u w:val="single"/>
        </w:rPr>
        <w:t>Section 2(</w:t>
      </w:r>
      <w:r w:rsidRPr="009E5C6A">
        <w:rPr>
          <w:i/>
          <w:u w:val="single"/>
        </w:rPr>
        <w:t>d</w:t>
      </w:r>
      <w:r>
        <w:rPr>
          <w:u w:val="single"/>
        </w:rPr>
        <w:t>) Protects Freedoms Rather Than R</w:t>
      </w:r>
      <w:r w:rsidRPr="00395C4A">
        <w:rPr>
          <w:u w:val="single"/>
        </w:rPr>
        <w:t>ights</w:t>
      </w:r>
    </w:p>
    <w:p w:rsidR="00A00D29" w:rsidRPr="00FB57D8" w:rsidRDefault="00A00D29" w:rsidP="00613CC7">
      <w:pPr>
        <w:pStyle w:val="ReasonsNumbering-AltN"/>
        <w:ind w:left="0" w:firstLine="0"/>
        <w:rPr>
          <w:rFonts w:cs="Times New Roman"/>
          <w:szCs w:val="24"/>
        </w:rPr>
      </w:pPr>
      <w:r w:rsidRPr="001D4494">
        <w:rPr>
          <w:rFonts w:cs="Times New Roman"/>
          <w:szCs w:val="24"/>
        </w:rPr>
        <w:t xml:space="preserve">Second, the </w:t>
      </w:r>
      <w:r>
        <w:t>majority</w:t>
      </w:r>
      <w:r w:rsidRPr="001D4494">
        <w:rPr>
          <w:rFonts w:cs="Times New Roman"/>
          <w:szCs w:val="24"/>
        </w:rPr>
        <w:t xml:space="preserve"> concluded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that s. 2(</w:t>
      </w:r>
      <w:r w:rsidRPr="00A72DCD">
        <w:rPr>
          <w:rFonts w:cs="Times New Roman"/>
          <w:i/>
          <w:szCs w:val="24"/>
        </w:rPr>
        <w:t>d</w:t>
      </w:r>
      <w:r w:rsidRPr="001D4494">
        <w:rPr>
          <w:rFonts w:cs="Times New Roman"/>
          <w:szCs w:val="24"/>
        </w:rPr>
        <w:t>) imposes a duty to bargain in good faith. It explained this conclusion at para. 90 finding that “the employees’ right to collective bargaining imposes corresponding duties on the employer” requiring “both employer and employees to meet and to bargain in good faith</w:t>
      </w:r>
      <w:r>
        <w:rPr>
          <w:rFonts w:cs="Times New Roman"/>
          <w:szCs w:val="24"/>
        </w:rPr>
        <w:t>,</w:t>
      </w:r>
      <w:r w:rsidRPr="001D4494">
        <w:rPr>
          <w:rFonts w:cs="Times New Roman"/>
          <w:szCs w:val="24"/>
        </w:rPr>
        <w:t xml:space="preserve"> in the pursuit of a common goal of peaceful and productive accommodation”</w:t>
      </w:r>
      <w:r>
        <w:rPr>
          <w:rFonts w:cs="Times New Roman"/>
          <w:szCs w:val="24"/>
        </w:rPr>
        <w:t>.</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Thus,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stands for the proposition that the right to collective bargaining includes an entitlement to have “meaningful” influence over working conditions.  In other words, the right includes an assurance that a real dialogue will take place between an employee association and the employer.  Such assurance can only be provided if the employer is under a duty to engage with representations made by the association and make a good faith attempt to bargain to pursue the goal of accommodation.  In the absence of such a duty, the employer </w:t>
      </w:r>
      <w:r w:rsidRPr="001D4494">
        <w:rPr>
          <w:rFonts w:cs="Times New Roman"/>
          <w:szCs w:val="24"/>
        </w:rPr>
        <w:lastRenderedPageBreak/>
        <w:t xml:space="preserve">would be free to refuse to negotiate with the employee association.  Thus, according to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if s. 2(</w:t>
      </w:r>
      <w:r w:rsidRPr="00A72DCD">
        <w:rPr>
          <w:rFonts w:cs="Times New Roman"/>
          <w:i/>
          <w:szCs w:val="24"/>
        </w:rPr>
        <w:t>d</w:t>
      </w:r>
      <w:r w:rsidRPr="001D4494">
        <w:rPr>
          <w:rFonts w:cs="Times New Roman"/>
          <w:szCs w:val="24"/>
        </w:rPr>
        <w:t>) protected only the ability of workers to make</w:t>
      </w:r>
      <w:r w:rsidRPr="001D4494">
        <w:rPr>
          <w:rFonts w:cs="Times New Roman"/>
          <w:i/>
          <w:szCs w:val="24"/>
        </w:rPr>
        <w:t xml:space="preserve"> </w:t>
      </w:r>
      <w:r w:rsidRPr="001D4494">
        <w:rPr>
          <w:rFonts w:cs="Times New Roman"/>
          <w:szCs w:val="24"/>
        </w:rPr>
        <w:t xml:space="preserve">collective representations and did not impose a duty on the employer to bargain in good faith, it would fail to protect the right to collective bargaining. </w:t>
      </w:r>
    </w:p>
    <w:p w:rsidR="00A00D29" w:rsidRPr="001D4494" w:rsidRDefault="00A00D29" w:rsidP="00613CC7">
      <w:pPr>
        <w:pStyle w:val="ReasonsNumbering-AltN"/>
        <w:ind w:left="0" w:firstLine="0"/>
        <w:rPr>
          <w:rFonts w:cs="Times New Roman"/>
          <w:szCs w:val="24"/>
        </w:rPr>
      </w:pPr>
      <w:r w:rsidRPr="001D4494">
        <w:rPr>
          <w:rFonts w:cs="Times New Roman"/>
          <w:szCs w:val="24"/>
        </w:rPr>
        <w:t>In my view, this proposition suffers from an important defect: it transforms s. 2(</w:t>
      </w:r>
      <w:r w:rsidRPr="00A72DCD">
        <w:rPr>
          <w:rFonts w:cs="Times New Roman"/>
          <w:i/>
          <w:szCs w:val="24"/>
        </w:rPr>
        <w:t>d</w:t>
      </w:r>
      <w:r w:rsidRPr="001D4494">
        <w:rPr>
          <w:rFonts w:cs="Times New Roman"/>
          <w:szCs w:val="24"/>
        </w:rPr>
        <w:t xml:space="preserve">) from a freedom into a “positive” right by imposing an obligation to act on third parties (i.e. the employer).  There is a difference between saying that an individual has the </w:t>
      </w:r>
      <w:r w:rsidRPr="001D4494">
        <w:rPr>
          <w:rFonts w:cs="Times New Roman"/>
          <w:i/>
          <w:szCs w:val="24"/>
        </w:rPr>
        <w:t>freedom</w:t>
      </w:r>
      <w:r w:rsidRPr="001D4494">
        <w:rPr>
          <w:rFonts w:cs="Times New Roman"/>
          <w:szCs w:val="24"/>
        </w:rPr>
        <w:t xml:space="preserve"> or </w:t>
      </w:r>
      <w:r w:rsidRPr="001D4494">
        <w:rPr>
          <w:rFonts w:cs="Times New Roman"/>
          <w:i/>
          <w:szCs w:val="24"/>
        </w:rPr>
        <w:t>liberty</w:t>
      </w:r>
      <w:r w:rsidRPr="001D4494">
        <w:rPr>
          <w:rFonts w:cs="Times New Roman"/>
          <w:szCs w:val="24"/>
        </w:rPr>
        <w:t xml:space="preserve"> to do something, on the one hand, and saying that he or she has the </w:t>
      </w:r>
      <w:r w:rsidRPr="001D4494">
        <w:rPr>
          <w:rFonts w:cs="Times New Roman"/>
          <w:i/>
          <w:szCs w:val="24"/>
        </w:rPr>
        <w:t xml:space="preserve">right </w:t>
      </w:r>
      <w:r w:rsidRPr="001D4494">
        <w:rPr>
          <w:rFonts w:cs="Times New Roman"/>
          <w:szCs w:val="24"/>
        </w:rPr>
        <w:t xml:space="preserve">to do it, on the other. A person is free or at liberty when there is an absence of obstacles or impediments.  Nothing further is required beyond this absence.  However, to say that a person has a “right” is to imply something further.  It suggests that a claim can be made on someone else in order to be </w:t>
      </w:r>
      <w:r w:rsidRPr="001D4494">
        <w:rPr>
          <w:rFonts w:cs="Times New Roman"/>
          <w:i/>
          <w:szCs w:val="24"/>
        </w:rPr>
        <w:t xml:space="preserve">provided with </w:t>
      </w:r>
      <w:r w:rsidRPr="001D4494">
        <w:rPr>
          <w:rFonts w:cs="Times New Roman"/>
          <w:szCs w:val="24"/>
        </w:rPr>
        <w:t xml:space="preserve">the object of the right.  </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It is possible to describe a freedom in terms of rights, but this </w:t>
      </w:r>
      <w:r w:rsidRPr="001D4494">
        <w:rPr>
          <w:rFonts w:cs="Times New Roman"/>
          <w:color w:val="000000"/>
          <w:szCs w:val="24"/>
        </w:rPr>
        <w:t xml:space="preserve">may </w:t>
      </w:r>
      <w:r w:rsidRPr="001D4494">
        <w:rPr>
          <w:rFonts w:cs="Times New Roman"/>
          <w:szCs w:val="24"/>
        </w:rPr>
        <w:t xml:space="preserve">only serve to blur the distinction between what is being protected in either case.  A freedom exists to protect a sphere of autonomy, an area within which the individual will encounter no obstacles.  A right, on the other hand, exists to provide an individual with a claim to some specific thing.  </w:t>
      </w:r>
      <w:r w:rsidRPr="001D4494">
        <w:rPr>
          <w:rFonts w:cs="Times New Roman"/>
          <w:color w:val="000000"/>
          <w:szCs w:val="24"/>
        </w:rPr>
        <w:t>Generally, a</w:t>
      </w:r>
      <w:r w:rsidRPr="001D4494">
        <w:rPr>
          <w:rFonts w:cs="Times New Roman"/>
          <w:szCs w:val="24"/>
        </w:rPr>
        <w:t xml:space="preserve"> freedom can be described as a right only if it is recognized that the right is “negative” in character, that is, only if it is described as an entitlement to be free of restriction or prohibition.</w:t>
      </w:r>
    </w:p>
    <w:p w:rsidR="00A00D29" w:rsidRPr="001D4494" w:rsidRDefault="00A00D29" w:rsidP="00613CC7">
      <w:pPr>
        <w:pStyle w:val="ReasonsNumbering-AltN"/>
        <w:ind w:left="0" w:firstLine="0"/>
        <w:rPr>
          <w:rFonts w:cs="Times New Roman"/>
          <w:color w:val="000000"/>
          <w:szCs w:val="24"/>
        </w:rPr>
      </w:pPr>
      <w:r w:rsidRPr="001D4494">
        <w:rPr>
          <w:rFonts w:cs="Times New Roman"/>
          <w:szCs w:val="24"/>
        </w:rPr>
        <w:lastRenderedPageBreak/>
        <w:t>An example of how a freedom can sometimes be described using the word “right” can be found by examining s</w:t>
      </w:r>
      <w:r>
        <w:rPr>
          <w:rFonts w:cs="Times New Roman"/>
          <w:szCs w:val="24"/>
        </w:rPr>
        <w:t>s.</w:t>
      </w:r>
      <w:r w:rsidRPr="001D4494">
        <w:rPr>
          <w:rFonts w:cs="Times New Roman"/>
          <w:szCs w:val="24"/>
        </w:rPr>
        <w:t xml:space="preserve"> 7 </w:t>
      </w:r>
      <w:r>
        <w:rPr>
          <w:rFonts w:cs="Times New Roman"/>
          <w:szCs w:val="24"/>
        </w:rPr>
        <w:t>to</w:t>
      </w:r>
      <w:r w:rsidRPr="001D4494">
        <w:rPr>
          <w:rFonts w:cs="Times New Roman"/>
          <w:szCs w:val="24"/>
        </w:rPr>
        <w:t xml:space="preserve"> 12 of the </w:t>
      </w:r>
      <w:r w:rsidRPr="001D4494">
        <w:rPr>
          <w:rFonts w:cs="Times New Roman"/>
          <w:i/>
          <w:szCs w:val="24"/>
        </w:rPr>
        <w:t>Charter</w:t>
      </w:r>
      <w:r w:rsidRPr="001D4494">
        <w:rPr>
          <w:rFonts w:cs="Times New Roman"/>
          <w:szCs w:val="24"/>
        </w:rPr>
        <w:t xml:space="preserve">.  When the </w:t>
      </w:r>
      <w:r w:rsidRPr="001D4494">
        <w:rPr>
          <w:rFonts w:cs="Times New Roman"/>
          <w:i/>
          <w:szCs w:val="24"/>
        </w:rPr>
        <w:t>Charter</w:t>
      </w:r>
      <w:r w:rsidRPr="001D4494">
        <w:rPr>
          <w:rFonts w:cs="Times New Roman"/>
          <w:szCs w:val="24"/>
        </w:rPr>
        <w:t xml:space="preserve"> uses the term “right”, as it does in ss</w:t>
      </w:r>
      <w:r>
        <w:rPr>
          <w:rFonts w:cs="Times New Roman"/>
          <w:szCs w:val="24"/>
        </w:rPr>
        <w:t>.</w:t>
      </w:r>
      <w:r w:rsidRPr="001D4494">
        <w:rPr>
          <w:rFonts w:cs="Times New Roman"/>
          <w:szCs w:val="24"/>
        </w:rPr>
        <w:t xml:space="preserve"> 7 to 12, either a positive entitlement is introduced, or a right to be free of some restriction or prohibition (i.e. a freedom) is introduced.  For the positive rights, an individual is given a right to some form of state action, e.g. to be advised of a right to counsel upon arrest.  For the negative rights, the individual is given a right to be free from some form of restriction or prohibition, e.g. a right not to be arbitrarily detained or imprisoned.  As discussed above, the right to be free of a restriction or a prohibition is a description that encompasses the “negative” character of the right, and is simply another way to describe a freedom.</w:t>
      </w:r>
    </w:p>
    <w:p w:rsidR="00A00D29" w:rsidRPr="001D4494" w:rsidRDefault="00A00D29" w:rsidP="00613CC7">
      <w:pPr>
        <w:pStyle w:val="ReasonsNumbering-AltN"/>
        <w:ind w:left="0" w:firstLine="0"/>
        <w:rPr>
          <w:rFonts w:cs="Times New Roman"/>
          <w:szCs w:val="24"/>
        </w:rPr>
      </w:pPr>
      <w:r w:rsidRPr="00613CC7">
        <w:rPr>
          <w:rFonts w:cs="Times New Roman"/>
          <w:szCs w:val="24"/>
        </w:rPr>
        <w:t>The</w:t>
      </w:r>
      <w:r w:rsidRPr="001D4494">
        <w:rPr>
          <w:rFonts w:cs="Times New Roman"/>
          <w:color w:val="000000"/>
          <w:szCs w:val="24"/>
        </w:rPr>
        <w:t xml:space="preserve"> Chief Justice and LeBel J. suggest that my reasons seek to maintain </w:t>
      </w:r>
      <w:r>
        <w:rPr>
          <w:rFonts w:cs="Times New Roman"/>
          <w:color w:val="000000"/>
          <w:szCs w:val="24"/>
        </w:rPr>
        <w:t xml:space="preserve">the </w:t>
      </w:r>
      <w:r w:rsidRPr="001D4494">
        <w:rPr>
          <w:rFonts w:cs="Times New Roman"/>
          <w:color w:val="000000"/>
          <w:szCs w:val="24"/>
        </w:rPr>
        <w:t>“</w:t>
      </w:r>
      <w:r>
        <w:rPr>
          <w:rFonts w:cs="Times New Roman"/>
          <w:color w:val="000000"/>
          <w:szCs w:val="24"/>
        </w:rPr>
        <w:t>consistently rejected . . .</w:t>
      </w:r>
      <w:r w:rsidRPr="001D4494">
        <w:rPr>
          <w:rFonts w:cs="Times New Roman"/>
          <w:color w:val="000000"/>
          <w:szCs w:val="24"/>
        </w:rPr>
        <w:t xml:space="preserve"> rigid distinction” between f</w:t>
      </w:r>
      <w:r>
        <w:rPr>
          <w:rFonts w:cs="Times New Roman"/>
          <w:color w:val="000000"/>
          <w:szCs w:val="24"/>
        </w:rPr>
        <w:t>reedoms and positive rights (</w:t>
      </w:r>
      <w:r w:rsidRPr="001D4494">
        <w:rPr>
          <w:rFonts w:cs="Times New Roman"/>
          <w:color w:val="000000"/>
          <w:szCs w:val="24"/>
        </w:rPr>
        <w:t xml:space="preserve">para. </w:t>
      </w:r>
      <w:r>
        <w:rPr>
          <w:rFonts w:cs="Times New Roman"/>
          <w:color w:val="000000"/>
          <w:szCs w:val="24"/>
        </w:rPr>
        <w:t>69</w:t>
      </w:r>
      <w:r w:rsidRPr="001D4494">
        <w:rPr>
          <w:rFonts w:cs="Times New Roman"/>
          <w:color w:val="000000"/>
          <w:szCs w:val="24"/>
        </w:rPr>
        <w:t>).</w:t>
      </w:r>
      <w:r w:rsidRPr="001D4494">
        <w:rPr>
          <w:rFonts w:cs="Times New Roman"/>
          <w:szCs w:val="24"/>
        </w:rPr>
        <w:t xml:space="preserve">  </w:t>
      </w:r>
      <w:r w:rsidRPr="001D4494">
        <w:rPr>
          <w:rFonts w:cs="Times New Roman"/>
          <w:color w:val="000000"/>
          <w:szCs w:val="24"/>
        </w:rPr>
        <w:t xml:space="preserve">Referring to </w:t>
      </w:r>
      <w:r w:rsidRPr="001D4494">
        <w:rPr>
          <w:rFonts w:cs="Times New Roman"/>
          <w:i/>
          <w:color w:val="000000"/>
          <w:szCs w:val="24"/>
        </w:rPr>
        <w:t>Ontario (Public Safety and Security) v. Criminal Lawyers’ Association</w:t>
      </w:r>
      <w:r w:rsidRPr="001D4494">
        <w:rPr>
          <w:rFonts w:cs="Times New Roman"/>
          <w:color w:val="000000"/>
          <w:szCs w:val="24"/>
        </w:rPr>
        <w:t>, 2010 SCC 23</w:t>
      </w:r>
      <w:r>
        <w:rPr>
          <w:rFonts w:cs="Times New Roman"/>
          <w:color w:val="000000"/>
          <w:szCs w:val="24"/>
        </w:rPr>
        <w:t>, [2010] 1 S.C.R. 815</w:t>
      </w:r>
      <w:r w:rsidRPr="001D4494">
        <w:rPr>
          <w:rFonts w:cs="Times New Roman"/>
          <w:color w:val="000000"/>
          <w:szCs w:val="24"/>
        </w:rPr>
        <w:t xml:space="preserve"> (</w:t>
      </w:r>
      <w:r>
        <w:rPr>
          <w:rFonts w:cs="Times New Roman"/>
          <w:color w:val="000000"/>
          <w:szCs w:val="24"/>
        </w:rPr>
        <w:t>“</w:t>
      </w:r>
      <w:r w:rsidRPr="001D4494">
        <w:rPr>
          <w:rFonts w:cs="Times New Roman"/>
          <w:i/>
          <w:color w:val="000000"/>
          <w:szCs w:val="24"/>
        </w:rPr>
        <w:t>CLA</w:t>
      </w:r>
      <w:r>
        <w:rPr>
          <w:rFonts w:cs="Times New Roman"/>
          <w:color w:val="000000"/>
          <w:szCs w:val="24"/>
        </w:rPr>
        <w:t>”</w:t>
      </w:r>
      <w:r w:rsidRPr="001D4494">
        <w:rPr>
          <w:rFonts w:cs="Times New Roman"/>
          <w:color w:val="000000"/>
          <w:szCs w:val="24"/>
        </w:rPr>
        <w:t>)</w:t>
      </w:r>
      <w:r>
        <w:rPr>
          <w:rFonts w:cs="Times New Roman"/>
          <w:color w:val="000000"/>
          <w:szCs w:val="24"/>
        </w:rPr>
        <w:t>,</w:t>
      </w:r>
      <w:r w:rsidRPr="001D4494">
        <w:rPr>
          <w:rFonts w:cs="Times New Roman"/>
          <w:color w:val="000000"/>
          <w:szCs w:val="24"/>
        </w:rPr>
        <w:t xml:space="preserve"> by way of analogy, they say that in some circumstances a </w:t>
      </w:r>
      <w:r w:rsidRPr="001D4494">
        <w:rPr>
          <w:rFonts w:cs="Times New Roman"/>
          <w:i/>
          <w:color w:val="000000"/>
          <w:szCs w:val="24"/>
        </w:rPr>
        <w:t>Charter</w:t>
      </w:r>
      <w:r w:rsidRPr="001D4494">
        <w:rPr>
          <w:rFonts w:cs="Times New Roman"/>
          <w:color w:val="000000"/>
          <w:szCs w:val="24"/>
        </w:rPr>
        <w:t xml:space="preserve"> freedom, such as freedom of expression under s. 2(</w:t>
      </w:r>
      <w:r w:rsidRPr="00260D42">
        <w:rPr>
          <w:rFonts w:cs="Times New Roman"/>
          <w:i/>
          <w:color w:val="000000"/>
          <w:szCs w:val="24"/>
        </w:rPr>
        <w:t>b</w:t>
      </w:r>
      <w:r w:rsidRPr="001D4494">
        <w:rPr>
          <w:rFonts w:cs="Times New Roman"/>
          <w:color w:val="000000"/>
          <w:szCs w:val="24"/>
        </w:rPr>
        <w:t>), “may require the government to disclose documents to the public in order to enable meaningful discourse</w:t>
      </w:r>
      <w:r>
        <w:rPr>
          <w:rFonts w:cs="Times New Roman"/>
          <w:color w:val="000000"/>
          <w:szCs w:val="24"/>
        </w:rPr>
        <w:t>”</w:t>
      </w:r>
      <w:r w:rsidRPr="001D4494">
        <w:rPr>
          <w:rFonts w:cs="Times New Roman"/>
          <w:color w:val="000000"/>
          <w:szCs w:val="24"/>
        </w:rPr>
        <w:t xml:space="preserve"> (para. 69).  Therefore, they say s. 2(</w:t>
      </w:r>
      <w:r w:rsidRPr="00260D42">
        <w:rPr>
          <w:rFonts w:cs="Times New Roman"/>
          <w:i/>
          <w:color w:val="000000"/>
          <w:szCs w:val="24"/>
        </w:rPr>
        <w:t>d</w:t>
      </w:r>
      <w:r w:rsidRPr="001D4494">
        <w:rPr>
          <w:rFonts w:cs="Times New Roman"/>
          <w:color w:val="000000"/>
          <w:szCs w:val="24"/>
        </w:rPr>
        <w:t xml:space="preserve">) of the </w:t>
      </w:r>
      <w:r w:rsidRPr="001D4494">
        <w:rPr>
          <w:rFonts w:cs="Times New Roman"/>
          <w:i/>
          <w:color w:val="000000"/>
          <w:szCs w:val="24"/>
        </w:rPr>
        <w:t xml:space="preserve">Charter </w:t>
      </w:r>
      <w:r w:rsidRPr="001D4494">
        <w:rPr>
          <w:rFonts w:cs="Times New Roman"/>
          <w:color w:val="000000"/>
          <w:szCs w:val="24"/>
        </w:rPr>
        <w:t>“may require the state to act positively to protect the ability of individuals to engage in fundamentally important collective activities” (para. 70).  While I would agree that in “exceptional circumstances” (</w:t>
      </w:r>
      <w:r w:rsidRPr="001D4494">
        <w:rPr>
          <w:rFonts w:cs="Times New Roman"/>
          <w:i/>
          <w:color w:val="000000"/>
          <w:szCs w:val="24"/>
        </w:rPr>
        <w:t>Dunmore</w:t>
      </w:r>
      <w:r>
        <w:rPr>
          <w:rFonts w:cs="Times New Roman"/>
          <w:color w:val="000000"/>
          <w:szCs w:val="24"/>
        </w:rPr>
        <w:t>, at</w:t>
      </w:r>
      <w:r w:rsidRPr="001D4494">
        <w:rPr>
          <w:rFonts w:cs="Times New Roman"/>
          <w:color w:val="000000"/>
          <w:szCs w:val="24"/>
        </w:rPr>
        <w:t xml:space="preserve"> para. 21; </w:t>
      </w:r>
      <w:r w:rsidRPr="001D4494">
        <w:rPr>
          <w:rFonts w:cs="Times New Roman"/>
          <w:i/>
          <w:color w:val="000000"/>
          <w:szCs w:val="24"/>
        </w:rPr>
        <w:t>Delisle</w:t>
      </w:r>
      <w:r>
        <w:rPr>
          <w:rFonts w:cs="Times New Roman"/>
          <w:color w:val="000000"/>
          <w:szCs w:val="24"/>
        </w:rPr>
        <w:t>, at para. 33)</w:t>
      </w:r>
      <w:r w:rsidRPr="001D4494">
        <w:rPr>
          <w:rFonts w:cs="Times New Roman"/>
          <w:color w:val="000000"/>
          <w:szCs w:val="24"/>
        </w:rPr>
        <w:t xml:space="preserve"> a </w:t>
      </w:r>
      <w:r w:rsidRPr="001D4494">
        <w:rPr>
          <w:rFonts w:cs="Times New Roman"/>
          <w:i/>
          <w:color w:val="000000"/>
          <w:szCs w:val="24"/>
        </w:rPr>
        <w:t>Charter</w:t>
      </w:r>
      <w:r w:rsidRPr="001D4494">
        <w:rPr>
          <w:rFonts w:cs="Times New Roman"/>
          <w:color w:val="000000"/>
          <w:szCs w:val="24"/>
        </w:rPr>
        <w:t xml:space="preserve"> freedom may require positive state action, I do not agree that </w:t>
      </w:r>
      <w:r w:rsidRPr="001D4494">
        <w:rPr>
          <w:rFonts w:cs="Times New Roman"/>
          <w:i/>
          <w:color w:val="000000"/>
          <w:szCs w:val="24"/>
        </w:rPr>
        <w:t xml:space="preserve">CLA </w:t>
      </w:r>
      <w:r w:rsidRPr="001D4494">
        <w:rPr>
          <w:rFonts w:cs="Times New Roman"/>
          <w:color w:val="000000"/>
          <w:szCs w:val="24"/>
        </w:rPr>
        <w:t>is an apt analogy.</w:t>
      </w:r>
    </w:p>
    <w:p w:rsidR="00A00D29" w:rsidRPr="001D4494" w:rsidRDefault="00A00D29" w:rsidP="00613CC7">
      <w:pPr>
        <w:pStyle w:val="ReasonsNumbering-AltN"/>
        <w:ind w:left="0" w:firstLine="0"/>
        <w:rPr>
          <w:color w:val="000000"/>
          <w:szCs w:val="24"/>
        </w:rPr>
      </w:pPr>
      <w:r w:rsidRPr="001D4494">
        <w:rPr>
          <w:rFonts w:cs="Times New Roman"/>
          <w:color w:val="000000"/>
          <w:szCs w:val="24"/>
        </w:rPr>
        <w:lastRenderedPageBreak/>
        <w:t xml:space="preserve">Creating positive rights in exceptional circumstances does not dilute the </w:t>
      </w:r>
      <w:r w:rsidRPr="00613CC7">
        <w:rPr>
          <w:rFonts w:cs="Times New Roman"/>
          <w:szCs w:val="24"/>
        </w:rPr>
        <w:t>coherence</w:t>
      </w:r>
      <w:r w:rsidRPr="001D4494">
        <w:rPr>
          <w:rFonts w:cs="Times New Roman"/>
          <w:color w:val="000000"/>
          <w:szCs w:val="24"/>
        </w:rPr>
        <w:t xml:space="preserve"> of the distinction between freedoms and rights.  This is because those positive rights will only be granted when they are genuinely derivative of a freedom.  A derivat</w:t>
      </w:r>
      <w:r>
        <w:rPr>
          <w:rFonts w:cs="Times New Roman"/>
          <w:color w:val="000000"/>
          <w:szCs w:val="24"/>
        </w:rPr>
        <w:t>iv</w:t>
      </w:r>
      <w:r w:rsidRPr="001D4494">
        <w:rPr>
          <w:rFonts w:cs="Times New Roman"/>
          <w:color w:val="000000"/>
          <w:szCs w:val="24"/>
        </w:rPr>
        <w:t xml:space="preserve">e right is one that is </w:t>
      </w:r>
      <w:r w:rsidRPr="004D7CC6">
        <w:rPr>
          <w:rFonts w:cs="Times New Roman"/>
          <w:i/>
          <w:color w:val="000000"/>
          <w:szCs w:val="24"/>
        </w:rPr>
        <w:t>necessary</w:t>
      </w:r>
      <w:r w:rsidRPr="001D4494">
        <w:rPr>
          <w:rFonts w:cs="Times New Roman"/>
          <w:color w:val="000000"/>
          <w:szCs w:val="24"/>
        </w:rPr>
        <w:t xml:space="preserve"> to allow individuals to exercise a fundamental freedom.  In </w:t>
      </w:r>
      <w:r w:rsidRPr="001D4494">
        <w:rPr>
          <w:rFonts w:cs="Times New Roman"/>
          <w:i/>
          <w:color w:val="000000"/>
          <w:szCs w:val="24"/>
        </w:rPr>
        <w:t>CLA</w:t>
      </w:r>
      <w:r>
        <w:rPr>
          <w:rFonts w:cs="Times New Roman"/>
          <w:color w:val="000000"/>
          <w:szCs w:val="24"/>
        </w:rPr>
        <w:t>,</w:t>
      </w:r>
      <w:r w:rsidRPr="001D4494">
        <w:rPr>
          <w:rFonts w:cs="Times New Roman"/>
          <w:color w:val="000000"/>
          <w:szCs w:val="24"/>
        </w:rPr>
        <w:t xml:space="preserve"> the right to access government information was considered to be “a derivative right which may arise where it is a </w:t>
      </w:r>
      <w:r w:rsidRPr="001D4494">
        <w:rPr>
          <w:rFonts w:cs="Times New Roman"/>
          <w:color w:val="000000"/>
          <w:szCs w:val="24"/>
          <w:u w:val="single"/>
        </w:rPr>
        <w:t>necessary precondition</w:t>
      </w:r>
      <w:r w:rsidRPr="001D4494">
        <w:rPr>
          <w:rFonts w:cs="Times New Roman"/>
          <w:color w:val="000000"/>
          <w:szCs w:val="24"/>
        </w:rPr>
        <w:t xml:space="preserve"> of meaningful expression on the functioning of government” (para. 30</w:t>
      </w:r>
      <w:r>
        <w:rPr>
          <w:rFonts w:cs="Times New Roman"/>
          <w:color w:val="000000"/>
          <w:szCs w:val="24"/>
        </w:rPr>
        <w:t xml:space="preserve"> (emphasis added))</w:t>
      </w:r>
      <w:r w:rsidRPr="001D4494">
        <w:rPr>
          <w:rFonts w:cs="Times New Roman"/>
          <w:color w:val="000000"/>
          <w:szCs w:val="24"/>
        </w:rPr>
        <w:t>. This Court has found that a derivative right must be “inextricably tied to” (</w:t>
      </w:r>
      <w:r w:rsidRPr="001D4494">
        <w:rPr>
          <w:rFonts w:cs="Times New Roman"/>
          <w:i/>
          <w:color w:val="000000"/>
          <w:szCs w:val="24"/>
        </w:rPr>
        <w:t>Canadian Broadcasting Corp. v. New Brunswick (Attorney General)</w:t>
      </w:r>
      <w:r w:rsidRPr="001D4494">
        <w:rPr>
          <w:rFonts w:cs="Times New Roman"/>
          <w:color w:val="000000"/>
          <w:szCs w:val="24"/>
        </w:rPr>
        <w:t>, [1996] 3 S.C.R. 480 (</w:t>
      </w:r>
      <w:r>
        <w:rPr>
          <w:rFonts w:cs="Times New Roman"/>
          <w:color w:val="000000"/>
          <w:szCs w:val="24"/>
        </w:rPr>
        <w:t>“</w:t>
      </w:r>
      <w:r w:rsidRPr="001D4494">
        <w:rPr>
          <w:rFonts w:cs="Times New Roman"/>
          <w:i/>
          <w:color w:val="000000"/>
          <w:szCs w:val="24"/>
        </w:rPr>
        <w:t>CBC</w:t>
      </w:r>
      <w:r>
        <w:rPr>
          <w:rFonts w:cs="Times New Roman"/>
          <w:color w:val="000000"/>
          <w:szCs w:val="24"/>
        </w:rPr>
        <w:t>”), at p</w:t>
      </w:r>
      <w:r w:rsidR="00D442F0">
        <w:rPr>
          <w:rFonts w:cs="Times New Roman"/>
          <w:color w:val="000000"/>
          <w:szCs w:val="24"/>
        </w:rPr>
        <w:t>ara</w:t>
      </w:r>
      <w:r>
        <w:rPr>
          <w:rFonts w:cs="Times New Roman"/>
          <w:color w:val="000000"/>
          <w:szCs w:val="24"/>
        </w:rPr>
        <w:t xml:space="preserve">. </w:t>
      </w:r>
      <w:r w:rsidR="00D442F0">
        <w:rPr>
          <w:rFonts w:cs="Times New Roman"/>
          <w:color w:val="000000"/>
          <w:szCs w:val="24"/>
        </w:rPr>
        <w:t>23</w:t>
      </w:r>
      <w:r>
        <w:rPr>
          <w:rFonts w:cs="Times New Roman"/>
          <w:color w:val="000000"/>
          <w:szCs w:val="24"/>
        </w:rPr>
        <w:t>)</w:t>
      </w:r>
      <w:r w:rsidRPr="001D4494">
        <w:rPr>
          <w:rFonts w:cs="Times New Roman"/>
          <w:color w:val="000000"/>
          <w:szCs w:val="24"/>
        </w:rPr>
        <w:t xml:space="preserve"> </w:t>
      </w:r>
      <w:proofErr w:type="gramStart"/>
      <w:r w:rsidRPr="001D4494">
        <w:rPr>
          <w:rFonts w:cs="Times New Roman"/>
          <w:color w:val="000000"/>
          <w:szCs w:val="24"/>
        </w:rPr>
        <w:t>a</w:t>
      </w:r>
      <w:proofErr w:type="gramEnd"/>
      <w:r w:rsidRPr="001D4494">
        <w:rPr>
          <w:rFonts w:cs="Times New Roman"/>
          <w:color w:val="000000"/>
          <w:szCs w:val="24"/>
        </w:rPr>
        <w:t xml:space="preserve"> “necessary precondition” (</w:t>
      </w:r>
      <w:r w:rsidRPr="001D4494">
        <w:rPr>
          <w:rFonts w:cs="Times New Roman"/>
          <w:i/>
          <w:color w:val="000000"/>
          <w:szCs w:val="24"/>
        </w:rPr>
        <w:t>Dunmore</w:t>
      </w:r>
      <w:r>
        <w:rPr>
          <w:rFonts w:cs="Times New Roman"/>
          <w:color w:val="000000"/>
          <w:szCs w:val="24"/>
        </w:rPr>
        <w:t>,</w:t>
      </w:r>
      <w:r w:rsidRPr="001D4494">
        <w:rPr>
          <w:rFonts w:cs="Times New Roman"/>
          <w:color w:val="000000"/>
          <w:szCs w:val="24"/>
        </w:rPr>
        <w:t xml:space="preserve"> at para. 42) and “clearly within the ambit of the freedom” (</w:t>
      </w:r>
      <w:r w:rsidRPr="001D4494">
        <w:rPr>
          <w:rFonts w:cs="Times New Roman"/>
          <w:i/>
          <w:color w:val="000000"/>
          <w:szCs w:val="24"/>
        </w:rPr>
        <w:t>CBC</w:t>
      </w:r>
      <w:r>
        <w:rPr>
          <w:rFonts w:cs="Times New Roman"/>
          <w:color w:val="000000"/>
          <w:szCs w:val="24"/>
        </w:rPr>
        <w:t>,</w:t>
      </w:r>
      <w:r w:rsidRPr="001D4494">
        <w:rPr>
          <w:rFonts w:cs="Times New Roman"/>
          <w:color w:val="000000"/>
          <w:szCs w:val="24"/>
        </w:rPr>
        <w:t xml:space="preserve"> at p</w:t>
      </w:r>
      <w:r w:rsidR="00D442F0">
        <w:rPr>
          <w:rFonts w:cs="Times New Roman"/>
          <w:color w:val="000000"/>
          <w:szCs w:val="24"/>
        </w:rPr>
        <w:t>ara</w:t>
      </w:r>
      <w:r w:rsidRPr="001D4494">
        <w:rPr>
          <w:rFonts w:cs="Times New Roman"/>
          <w:color w:val="000000"/>
          <w:szCs w:val="24"/>
        </w:rPr>
        <w:t xml:space="preserve">. </w:t>
      </w:r>
      <w:r w:rsidR="00D442F0">
        <w:rPr>
          <w:rFonts w:cs="Times New Roman"/>
          <w:color w:val="000000"/>
          <w:szCs w:val="24"/>
        </w:rPr>
        <w:t>23</w:t>
      </w:r>
      <w:r w:rsidRPr="001D4494">
        <w:rPr>
          <w:rFonts w:cs="Times New Roman"/>
          <w:color w:val="000000"/>
          <w:szCs w:val="24"/>
        </w:rPr>
        <w:t xml:space="preserve">). However, the core of any derivative right is that without that right individuals will not be able to exercise their </w:t>
      </w:r>
      <w:r w:rsidRPr="001D4494">
        <w:rPr>
          <w:rFonts w:cs="Times New Roman"/>
          <w:i/>
          <w:color w:val="000000"/>
          <w:szCs w:val="24"/>
        </w:rPr>
        <w:t>Charter</w:t>
      </w:r>
      <w:r w:rsidRPr="001D4494">
        <w:rPr>
          <w:rFonts w:cs="Times New Roman"/>
          <w:color w:val="000000"/>
          <w:szCs w:val="24"/>
        </w:rPr>
        <w:t xml:space="preserve"> freedom. </w:t>
      </w:r>
    </w:p>
    <w:p w:rsidR="00A00D29" w:rsidRPr="001D4494" w:rsidRDefault="00A00D29" w:rsidP="00613CC7">
      <w:pPr>
        <w:pStyle w:val="ReasonsNumbering-AltN"/>
        <w:ind w:left="0" w:firstLine="0"/>
        <w:rPr>
          <w:color w:val="000000"/>
          <w:szCs w:val="24"/>
        </w:rPr>
      </w:pPr>
      <w:r w:rsidRPr="001D4494">
        <w:rPr>
          <w:rFonts w:cs="Times New Roman"/>
          <w:color w:val="000000"/>
          <w:szCs w:val="24"/>
        </w:rPr>
        <w:t>By its very nature, a derivative right must be</w:t>
      </w:r>
      <w:r w:rsidRPr="001D4494">
        <w:rPr>
          <w:rFonts w:cs="Times New Roman"/>
          <w:szCs w:val="24"/>
        </w:rPr>
        <w:t xml:space="preserve"> </w:t>
      </w:r>
      <w:r w:rsidRPr="001D4494">
        <w:rPr>
          <w:rFonts w:cs="Times New Roman"/>
          <w:color w:val="000000"/>
          <w:szCs w:val="24"/>
        </w:rPr>
        <w:t>necessary to the exercise of a freedom, not constitute a</w:t>
      </w:r>
      <w:r w:rsidRPr="001D4494">
        <w:rPr>
          <w:rFonts w:cs="Times New Roman"/>
          <w:szCs w:val="24"/>
        </w:rPr>
        <w:t xml:space="preserve"> </w:t>
      </w:r>
      <w:r w:rsidRPr="001D4494">
        <w:rPr>
          <w:rFonts w:cs="Times New Roman"/>
          <w:color w:val="000000"/>
          <w:szCs w:val="24"/>
        </w:rPr>
        <w:t>stand</w:t>
      </w:r>
      <w:r>
        <w:rPr>
          <w:rFonts w:cs="Times New Roman"/>
          <w:color w:val="000000"/>
          <w:szCs w:val="24"/>
        </w:rPr>
        <w:t>-</w:t>
      </w:r>
      <w:r w:rsidRPr="001D4494">
        <w:rPr>
          <w:rFonts w:cs="Times New Roman"/>
          <w:color w:val="000000"/>
          <w:szCs w:val="24"/>
        </w:rPr>
        <w:t>alone right itself.  Therefore the</w:t>
      </w:r>
      <w:r w:rsidRPr="001D4494">
        <w:rPr>
          <w:rFonts w:cs="Times New Roman"/>
          <w:szCs w:val="24"/>
        </w:rPr>
        <w:t xml:space="preserve"> </w:t>
      </w:r>
      <w:r w:rsidRPr="001D4494">
        <w:rPr>
          <w:rFonts w:cs="Times New Roman"/>
          <w:color w:val="000000"/>
          <w:szCs w:val="24"/>
        </w:rPr>
        <w:t>ability to exercise the</w:t>
      </w:r>
      <w:r w:rsidRPr="001D4494">
        <w:rPr>
          <w:rFonts w:cs="Times New Roman"/>
          <w:szCs w:val="24"/>
        </w:rPr>
        <w:t xml:space="preserve"> </w:t>
      </w:r>
      <w:r w:rsidRPr="001D4494">
        <w:rPr>
          <w:rFonts w:cs="Times New Roman"/>
          <w:color w:val="000000"/>
          <w:szCs w:val="24"/>
        </w:rPr>
        <w:t>freedom itself must be looked to in order to determine whether any proposed right is genuinely derivative. For example</w:t>
      </w:r>
      <w:r>
        <w:rPr>
          <w:rFonts w:cs="Times New Roman"/>
          <w:color w:val="000000"/>
          <w:szCs w:val="24"/>
        </w:rPr>
        <w:t>,</w:t>
      </w:r>
      <w:r w:rsidRPr="001D4494">
        <w:rPr>
          <w:rFonts w:cs="Times New Roman"/>
          <w:color w:val="000000"/>
          <w:szCs w:val="24"/>
        </w:rPr>
        <w:t xml:space="preserve"> in </w:t>
      </w:r>
      <w:r w:rsidRPr="001D4494">
        <w:rPr>
          <w:rFonts w:cs="Times New Roman"/>
          <w:i/>
          <w:color w:val="000000"/>
          <w:szCs w:val="24"/>
        </w:rPr>
        <w:t>R. v. National Post</w:t>
      </w:r>
      <w:r w:rsidRPr="00BA182B">
        <w:rPr>
          <w:rFonts w:cs="Times New Roman"/>
          <w:color w:val="000000"/>
          <w:szCs w:val="24"/>
        </w:rPr>
        <w:t>,</w:t>
      </w:r>
      <w:r w:rsidRPr="001D4494">
        <w:rPr>
          <w:rFonts w:cs="Times New Roman"/>
          <w:i/>
          <w:color w:val="000000"/>
          <w:szCs w:val="24"/>
        </w:rPr>
        <w:t xml:space="preserve"> </w:t>
      </w:r>
      <w:r w:rsidRPr="001D4494">
        <w:rPr>
          <w:rFonts w:cs="Times New Roman"/>
          <w:color w:val="000000"/>
          <w:szCs w:val="24"/>
        </w:rPr>
        <w:t>2010 SCC 16</w:t>
      </w:r>
      <w:r>
        <w:rPr>
          <w:rFonts w:cs="Times New Roman"/>
          <w:color w:val="000000"/>
          <w:szCs w:val="24"/>
        </w:rPr>
        <w:t xml:space="preserve">, [2010] 1 S.C.R. 477, </w:t>
      </w:r>
      <w:r w:rsidRPr="001D4494">
        <w:rPr>
          <w:rFonts w:cs="Times New Roman"/>
          <w:color w:val="000000"/>
          <w:szCs w:val="24"/>
        </w:rPr>
        <w:t>news organizations were arguing that they should have s. 2(</w:t>
      </w:r>
      <w:r w:rsidRPr="00BA182B">
        <w:rPr>
          <w:rFonts w:cs="Times New Roman"/>
          <w:i/>
          <w:color w:val="000000"/>
          <w:szCs w:val="24"/>
        </w:rPr>
        <w:t>b</w:t>
      </w:r>
      <w:r w:rsidRPr="001D4494">
        <w:rPr>
          <w:rFonts w:cs="Times New Roman"/>
          <w:color w:val="000000"/>
          <w:szCs w:val="24"/>
        </w:rPr>
        <w:t xml:space="preserve">) protection for confidential sources.  In rejecting this argument, this Court said that this position was “built on the premise that protection of confidential sources should be treated as if it were an enumerated </w:t>
      </w:r>
      <w:r w:rsidRPr="001D4494">
        <w:rPr>
          <w:rFonts w:cs="Times New Roman"/>
          <w:i/>
          <w:color w:val="000000"/>
          <w:szCs w:val="24"/>
        </w:rPr>
        <w:t>Charter</w:t>
      </w:r>
      <w:r>
        <w:rPr>
          <w:rFonts w:cs="Times New Roman"/>
          <w:color w:val="000000"/>
          <w:szCs w:val="24"/>
        </w:rPr>
        <w:t xml:space="preserve"> right or freedom” but that “</w:t>
      </w:r>
      <w:r w:rsidRPr="001D4494">
        <w:rPr>
          <w:rFonts w:cs="Times New Roman"/>
          <w:color w:val="000000"/>
          <w:szCs w:val="24"/>
        </w:rPr>
        <w:t>is not so” (</w:t>
      </w:r>
      <w:r w:rsidRPr="001D4494">
        <w:rPr>
          <w:rFonts w:cs="Times New Roman"/>
          <w:i/>
          <w:color w:val="000000"/>
          <w:szCs w:val="24"/>
        </w:rPr>
        <w:t>National Post</w:t>
      </w:r>
      <w:r>
        <w:rPr>
          <w:rFonts w:cs="Times New Roman"/>
          <w:color w:val="000000"/>
          <w:szCs w:val="24"/>
        </w:rPr>
        <w:t>,</w:t>
      </w:r>
      <w:r w:rsidRPr="001D4494">
        <w:rPr>
          <w:rFonts w:cs="Times New Roman"/>
          <w:color w:val="000000"/>
          <w:szCs w:val="24"/>
        </w:rPr>
        <w:t xml:space="preserve"> at para. 38). </w:t>
      </w:r>
      <w:r>
        <w:rPr>
          <w:rFonts w:cs="Times New Roman"/>
          <w:color w:val="000000"/>
          <w:szCs w:val="24"/>
        </w:rPr>
        <w:t xml:space="preserve"> </w:t>
      </w:r>
      <w:r w:rsidRPr="001D4494">
        <w:rPr>
          <w:rFonts w:cs="Times New Roman"/>
          <w:color w:val="000000"/>
          <w:szCs w:val="24"/>
        </w:rPr>
        <w:t xml:space="preserve">In </w:t>
      </w:r>
      <w:r w:rsidRPr="001D4494">
        <w:rPr>
          <w:rFonts w:cs="Times New Roman"/>
          <w:i/>
          <w:color w:val="000000"/>
          <w:szCs w:val="24"/>
        </w:rPr>
        <w:t>CBC</w:t>
      </w:r>
      <w:r w:rsidRPr="001D4494">
        <w:rPr>
          <w:rFonts w:cs="Times New Roman"/>
          <w:color w:val="000000"/>
          <w:szCs w:val="24"/>
        </w:rPr>
        <w:t xml:space="preserve"> a positive right of access to courts was sought in order to allow </w:t>
      </w:r>
      <w:r w:rsidRPr="001D4494">
        <w:rPr>
          <w:rFonts w:cs="Times New Roman"/>
          <w:color w:val="000000"/>
          <w:szCs w:val="24"/>
        </w:rPr>
        <w:lastRenderedPageBreak/>
        <w:t>journalists to report on court proceedings.  La Forest J., writing for the Court</w:t>
      </w:r>
      <w:r>
        <w:rPr>
          <w:rFonts w:cs="Times New Roman"/>
          <w:color w:val="000000"/>
          <w:szCs w:val="24"/>
        </w:rPr>
        <w:t>,</w:t>
      </w:r>
      <w:r w:rsidRPr="001D4494">
        <w:rPr>
          <w:rFonts w:cs="Times New Roman"/>
          <w:color w:val="000000"/>
          <w:szCs w:val="24"/>
        </w:rPr>
        <w:t xml:space="preserve"> stated that “courts</w:t>
      </w:r>
      <w:r>
        <w:rPr>
          <w:rFonts w:cs="Times New Roman"/>
          <w:color w:val="000000"/>
          <w:szCs w:val="24"/>
        </w:rPr>
        <w:t xml:space="preserve"> . . . </w:t>
      </w:r>
      <w:r w:rsidRPr="001D4494">
        <w:rPr>
          <w:rFonts w:cs="Times New Roman"/>
          <w:color w:val="000000"/>
          <w:szCs w:val="24"/>
        </w:rPr>
        <w:t>must be open to public scrutiny and to public criticism of their operations” (</w:t>
      </w:r>
      <w:r w:rsidRPr="001D4494">
        <w:rPr>
          <w:rFonts w:cs="Times New Roman"/>
          <w:i/>
          <w:color w:val="000000"/>
          <w:szCs w:val="24"/>
        </w:rPr>
        <w:t>CBC</w:t>
      </w:r>
      <w:r w:rsidRPr="00D442F0">
        <w:rPr>
          <w:rFonts w:cs="Times New Roman"/>
          <w:color w:val="000000"/>
          <w:szCs w:val="24"/>
        </w:rPr>
        <w:t xml:space="preserve">, </w:t>
      </w:r>
      <w:r w:rsidRPr="001D4494">
        <w:rPr>
          <w:rFonts w:cs="Times New Roman"/>
          <w:color w:val="000000"/>
          <w:szCs w:val="24"/>
        </w:rPr>
        <w:t>at p</w:t>
      </w:r>
      <w:r w:rsidR="00D442F0">
        <w:rPr>
          <w:rFonts w:cs="Times New Roman"/>
          <w:color w:val="000000"/>
          <w:szCs w:val="24"/>
        </w:rPr>
        <w:t>ara</w:t>
      </w:r>
      <w:r w:rsidRPr="001D4494">
        <w:rPr>
          <w:rFonts w:cs="Times New Roman"/>
          <w:color w:val="000000"/>
          <w:szCs w:val="24"/>
        </w:rPr>
        <w:t xml:space="preserve">. </w:t>
      </w:r>
      <w:r w:rsidR="00D442F0">
        <w:rPr>
          <w:rFonts w:cs="Times New Roman"/>
          <w:color w:val="000000"/>
          <w:szCs w:val="24"/>
        </w:rPr>
        <w:t>20</w:t>
      </w:r>
      <w:r w:rsidRPr="001D4494">
        <w:rPr>
          <w:rFonts w:cs="Times New Roman"/>
          <w:color w:val="000000"/>
          <w:szCs w:val="24"/>
        </w:rPr>
        <w:t>). Without the derivative right of access to the courts, it would be impossible for the public (and journalists) to offer criticism in the exercise of their s. 2(</w:t>
      </w:r>
      <w:r w:rsidRPr="007760F0">
        <w:rPr>
          <w:rFonts w:cs="Times New Roman"/>
          <w:i/>
          <w:color w:val="000000"/>
          <w:szCs w:val="24"/>
        </w:rPr>
        <w:t>b</w:t>
      </w:r>
      <w:r>
        <w:rPr>
          <w:rFonts w:cs="Times New Roman"/>
          <w:color w:val="000000"/>
          <w:szCs w:val="24"/>
        </w:rPr>
        <w:t>) freedom of the press.</w:t>
      </w:r>
    </w:p>
    <w:p w:rsidR="00A00D29" w:rsidRPr="001D4494" w:rsidRDefault="00A00D29" w:rsidP="00613CC7">
      <w:pPr>
        <w:pStyle w:val="ReasonsNumbering-AltN"/>
        <w:ind w:left="0" w:firstLine="0"/>
        <w:rPr>
          <w:rFonts w:cs="Times New Roman"/>
          <w:color w:val="000000"/>
          <w:szCs w:val="24"/>
        </w:rPr>
      </w:pPr>
      <w:r w:rsidRPr="001D4494">
        <w:rPr>
          <w:rFonts w:cs="Times New Roman"/>
          <w:szCs w:val="24"/>
        </w:rPr>
        <w:t>In</w:t>
      </w:r>
      <w:r w:rsidRPr="001D4494">
        <w:rPr>
          <w:rFonts w:cs="Times New Roman"/>
          <w:color w:val="000000"/>
          <w:szCs w:val="24"/>
        </w:rPr>
        <w:t xml:space="preserve"> </w:t>
      </w:r>
      <w:r w:rsidRPr="001D4494">
        <w:rPr>
          <w:rFonts w:cs="Times New Roman"/>
          <w:i/>
          <w:color w:val="000000"/>
          <w:szCs w:val="24"/>
        </w:rPr>
        <w:t>Dunmore</w:t>
      </w:r>
      <w:r w:rsidRPr="001D4494">
        <w:rPr>
          <w:rFonts w:cs="Times New Roman"/>
          <w:color w:val="000000"/>
          <w:szCs w:val="24"/>
        </w:rPr>
        <w:t>, a right was derived from s. 2(</w:t>
      </w:r>
      <w:r w:rsidRPr="007760F0">
        <w:rPr>
          <w:rFonts w:cs="Times New Roman"/>
          <w:i/>
          <w:color w:val="000000"/>
          <w:szCs w:val="24"/>
        </w:rPr>
        <w:t>d</w:t>
      </w:r>
      <w:r w:rsidRPr="001D4494">
        <w:rPr>
          <w:rFonts w:cs="Times New Roman"/>
          <w:color w:val="000000"/>
          <w:szCs w:val="24"/>
        </w:rPr>
        <w:t xml:space="preserve">) which required positive governmental action that was “necessary for [employees] to exercise their constitutional freedom to </w:t>
      </w:r>
      <w:r w:rsidRPr="001D4494">
        <w:rPr>
          <w:rFonts w:cs="Times New Roman"/>
          <w:color w:val="000000"/>
          <w:szCs w:val="24"/>
          <w:u w:val="single"/>
        </w:rPr>
        <w:t>form and maintain associations</w:t>
      </w:r>
      <w:r>
        <w:rPr>
          <w:rFonts w:cs="Times New Roman"/>
          <w:color w:val="000000"/>
          <w:szCs w:val="24"/>
        </w:rPr>
        <w:t>” (para. 67</w:t>
      </w:r>
      <w:r w:rsidRPr="001D4494">
        <w:rPr>
          <w:rFonts w:cs="Times New Roman"/>
          <w:color w:val="000000"/>
          <w:szCs w:val="24"/>
        </w:rPr>
        <w:t xml:space="preserve"> </w:t>
      </w:r>
      <w:r>
        <w:rPr>
          <w:rFonts w:cs="Times New Roman"/>
          <w:color w:val="000000"/>
          <w:szCs w:val="24"/>
        </w:rPr>
        <w:t>(</w:t>
      </w:r>
      <w:r w:rsidRPr="001D4494">
        <w:rPr>
          <w:rFonts w:cs="Times New Roman"/>
          <w:color w:val="000000"/>
          <w:szCs w:val="24"/>
        </w:rPr>
        <w:t>emphasis added</w:t>
      </w:r>
      <w:r>
        <w:rPr>
          <w:rFonts w:cs="Times New Roman"/>
          <w:color w:val="000000"/>
          <w:szCs w:val="24"/>
        </w:rPr>
        <w:t>)).</w:t>
      </w:r>
    </w:p>
    <w:p w:rsidR="00A00D29" w:rsidRPr="001D4494" w:rsidRDefault="00A00D29" w:rsidP="00613CC7">
      <w:pPr>
        <w:pStyle w:val="ReasonsNumbering-AltN"/>
        <w:ind w:left="0" w:firstLine="0"/>
        <w:rPr>
          <w:rFonts w:cs="Times New Roman"/>
          <w:color w:val="000000"/>
          <w:szCs w:val="24"/>
        </w:rPr>
      </w:pPr>
      <w:r w:rsidRPr="001D4494">
        <w:rPr>
          <w:rFonts w:cs="Times New Roman"/>
          <w:color w:val="000000"/>
          <w:szCs w:val="24"/>
        </w:rPr>
        <w:t xml:space="preserve">A right to collective bargaining is not a derivative right in the sense in which it has been recognized in </w:t>
      </w:r>
      <w:r w:rsidRPr="001D4494">
        <w:rPr>
          <w:rFonts w:cs="Times New Roman"/>
          <w:i/>
          <w:color w:val="000000"/>
          <w:szCs w:val="24"/>
        </w:rPr>
        <w:t>CLA</w:t>
      </w:r>
      <w:r w:rsidRPr="001D4494">
        <w:rPr>
          <w:rFonts w:cs="Times New Roman"/>
          <w:color w:val="000000"/>
          <w:szCs w:val="24"/>
        </w:rPr>
        <w:t xml:space="preserve">, </w:t>
      </w:r>
      <w:r w:rsidRPr="001D4494">
        <w:rPr>
          <w:rFonts w:cs="Times New Roman"/>
          <w:i/>
          <w:color w:val="000000"/>
          <w:szCs w:val="24"/>
        </w:rPr>
        <w:t>CBC</w:t>
      </w:r>
      <w:r w:rsidRPr="001D4494">
        <w:rPr>
          <w:rFonts w:cs="Times New Roman"/>
          <w:color w:val="000000"/>
          <w:szCs w:val="24"/>
        </w:rPr>
        <w:t xml:space="preserve"> and </w:t>
      </w:r>
      <w:r w:rsidRPr="001D4494">
        <w:rPr>
          <w:rFonts w:cs="Times New Roman"/>
          <w:i/>
          <w:color w:val="000000"/>
          <w:szCs w:val="24"/>
        </w:rPr>
        <w:t>Dunmore</w:t>
      </w:r>
      <w:r w:rsidRPr="001D4494">
        <w:rPr>
          <w:rFonts w:cs="Times New Roman"/>
          <w:color w:val="000000"/>
          <w:szCs w:val="24"/>
        </w:rPr>
        <w:t xml:space="preserve">.  As discussed above, the essence of freedom of association is that it enables individuals to do in association what they could do as individuals.  </w:t>
      </w:r>
      <w:r w:rsidRPr="001D4494">
        <w:rPr>
          <w:rFonts w:cs="Times New Roman"/>
          <w:i/>
          <w:color w:val="000000"/>
          <w:szCs w:val="24"/>
        </w:rPr>
        <w:t>Dunmore</w:t>
      </w:r>
      <w:r w:rsidRPr="001D4494">
        <w:rPr>
          <w:rFonts w:cs="Times New Roman"/>
          <w:color w:val="000000"/>
          <w:szCs w:val="24"/>
        </w:rPr>
        <w:t xml:space="preserve"> is consistent with this principle, in the manner that I have just described.  By contrast, collective bargaining is not emergent from an activity that an individual alone could do.  Rather, as described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it imposes a duty on employers to meet with employees and make a “reasonable effort to arrive at an acceptable contract” (para. 101).  No individual employee has a right to require an employer to meet and make a reasonable effort to arrive at an acceptable employment contract, which is the right for an employee association created by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w:t>
      </w:r>
    </w:p>
    <w:p w:rsidR="00A00D29" w:rsidRPr="001D4494" w:rsidRDefault="00A00D29" w:rsidP="00613CC7">
      <w:pPr>
        <w:pStyle w:val="ReasonsNumbering-AltN"/>
        <w:ind w:left="0" w:firstLine="0"/>
        <w:rPr>
          <w:rFonts w:cs="Times New Roman"/>
          <w:color w:val="000000"/>
          <w:szCs w:val="24"/>
        </w:rPr>
      </w:pPr>
      <w:r w:rsidRPr="001D4494">
        <w:rPr>
          <w:color w:val="000000"/>
        </w:rPr>
        <w:lastRenderedPageBreak/>
        <w:t xml:space="preserve">The Chief Justice and LeBel J. say that collective bargaining is a </w:t>
      </w:r>
      <w:r w:rsidRPr="00613CC7">
        <w:rPr>
          <w:rFonts w:cs="Times New Roman"/>
          <w:szCs w:val="24"/>
        </w:rPr>
        <w:t>derivative</w:t>
      </w:r>
      <w:r w:rsidRPr="001D4494">
        <w:rPr>
          <w:color w:val="000000"/>
        </w:rPr>
        <w:t xml:space="preserve"> right because </w:t>
      </w:r>
      <w:r>
        <w:rPr>
          <w:color w:val="000000"/>
        </w:rPr>
        <w:t xml:space="preserve">it is a “necessary precondition” to </w:t>
      </w:r>
      <w:r w:rsidRPr="001D4494">
        <w:rPr>
          <w:color w:val="000000"/>
        </w:rPr>
        <w:t>make their choice to associate meaningful.  Understood this way, compulsory collective bargaining does not enable association.  Rather</w:t>
      </w:r>
      <w:r w:rsidR="00800157">
        <w:rPr>
          <w:color w:val="000000"/>
        </w:rPr>
        <w:t>,</w:t>
      </w:r>
      <w:r w:rsidRPr="001D4494">
        <w:rPr>
          <w:color w:val="000000"/>
        </w:rPr>
        <w:t xml:space="preserve"> it is entirely concerned with enhancing the ability of employee associations, once formed, to pursue their goals and provide them with a more favourable bargaining position.</w:t>
      </w:r>
    </w:p>
    <w:p w:rsidR="00A00D29" w:rsidRPr="001D4494" w:rsidRDefault="00A00D29" w:rsidP="00613CC7">
      <w:pPr>
        <w:pStyle w:val="ReasonsNumbering-AltN"/>
        <w:ind w:left="0" w:firstLine="0"/>
        <w:rPr>
          <w:rFonts w:cs="Times New Roman"/>
          <w:color w:val="000000"/>
          <w:szCs w:val="24"/>
        </w:rPr>
      </w:pPr>
      <w:r w:rsidRPr="00613CC7">
        <w:rPr>
          <w:rFonts w:cs="Times New Roman"/>
          <w:szCs w:val="24"/>
        </w:rPr>
        <w:t>There</w:t>
      </w:r>
      <w:r w:rsidRPr="001D4494">
        <w:rPr>
          <w:color w:val="000000"/>
        </w:rPr>
        <w:t xml:space="preserve"> is no reason to think that individual employees would not have the exact same desire for a more favourable bargaining position.  Every day in Canada there are individuals who enter into employment contracts with their employers.  Those individuals might also benefit if their employers were compelled to negotiate their employment contracts with them.  However, individuals do not have a constitutionally mandated right to compel their employers to negotiate over an employment contract with them simply because no such right exists in the </w:t>
      </w:r>
      <w:r w:rsidRPr="001D4494">
        <w:rPr>
          <w:i/>
          <w:color w:val="000000"/>
        </w:rPr>
        <w:t>Charter</w:t>
      </w:r>
      <w:r w:rsidRPr="001D4494">
        <w:rPr>
          <w:color w:val="000000"/>
        </w:rPr>
        <w:t>.  Because no individual has the right to compel an employer to negotiate in good faith over an employment contract, collective bargaining is not emergent from an activity that an individual alone could do.</w:t>
      </w:r>
    </w:p>
    <w:p w:rsidR="00A00D29" w:rsidRPr="001D4494" w:rsidRDefault="00A00D29" w:rsidP="00613CC7">
      <w:pPr>
        <w:pStyle w:val="ReasonsNumbering-AltN"/>
        <w:ind w:left="0" w:firstLine="0"/>
        <w:rPr>
          <w:rFonts w:cs="Times New Roman"/>
          <w:color w:val="000000"/>
          <w:szCs w:val="24"/>
        </w:rPr>
      </w:pPr>
      <w:r w:rsidRPr="001D4494">
        <w:rPr>
          <w:rFonts w:cs="Times New Roman"/>
          <w:szCs w:val="24"/>
        </w:rPr>
        <w:t>Accordingly</w:t>
      </w:r>
      <w:r w:rsidRPr="001D4494">
        <w:rPr>
          <w:rFonts w:cs="Times New Roman"/>
          <w:color w:val="000000"/>
          <w:szCs w:val="24"/>
        </w:rPr>
        <w:t xml:space="preserve">, a right to collective bargaining is not derivative of a freedom as described in </w:t>
      </w:r>
      <w:r w:rsidRPr="001D4494">
        <w:rPr>
          <w:rFonts w:cs="Times New Roman"/>
          <w:i/>
          <w:color w:val="000000"/>
          <w:szCs w:val="24"/>
        </w:rPr>
        <w:t>CLA</w:t>
      </w:r>
      <w:r w:rsidRPr="001D4494">
        <w:rPr>
          <w:rFonts w:cs="Times New Roman"/>
          <w:color w:val="000000"/>
          <w:szCs w:val="24"/>
        </w:rPr>
        <w:t xml:space="preserve">, </w:t>
      </w:r>
      <w:r w:rsidRPr="001D4494">
        <w:rPr>
          <w:rFonts w:cs="Times New Roman"/>
          <w:i/>
          <w:color w:val="000000"/>
          <w:szCs w:val="24"/>
        </w:rPr>
        <w:t>CBC</w:t>
      </w:r>
      <w:r w:rsidRPr="001D4494">
        <w:rPr>
          <w:rFonts w:cs="Times New Roman"/>
          <w:color w:val="000000"/>
          <w:szCs w:val="24"/>
        </w:rPr>
        <w:t xml:space="preserve"> and </w:t>
      </w:r>
      <w:r w:rsidRPr="001D4494">
        <w:rPr>
          <w:rFonts w:cs="Times New Roman"/>
          <w:i/>
          <w:color w:val="000000"/>
          <w:szCs w:val="24"/>
        </w:rPr>
        <w:t>Dunmore</w:t>
      </w:r>
      <w:r w:rsidRPr="001D4494">
        <w:rPr>
          <w:rFonts w:cs="Times New Roman"/>
          <w:color w:val="000000"/>
          <w:szCs w:val="24"/>
        </w:rPr>
        <w:t>.  It is a stand</w:t>
      </w:r>
      <w:r>
        <w:rPr>
          <w:rFonts w:cs="Times New Roman"/>
          <w:color w:val="000000"/>
          <w:szCs w:val="24"/>
        </w:rPr>
        <w:t>-</w:t>
      </w:r>
      <w:r w:rsidRPr="001D4494">
        <w:rPr>
          <w:rFonts w:cs="Times New Roman"/>
          <w:color w:val="000000"/>
          <w:szCs w:val="24"/>
        </w:rPr>
        <w:t xml:space="preserve">alone right created by the Court, not by the </w:t>
      </w:r>
      <w:r w:rsidRPr="001D4494">
        <w:rPr>
          <w:rFonts w:cs="Times New Roman"/>
          <w:i/>
          <w:color w:val="000000"/>
          <w:szCs w:val="24"/>
        </w:rPr>
        <w:t>Charter</w:t>
      </w:r>
      <w:r w:rsidRPr="001D4494">
        <w:rPr>
          <w:rFonts w:cs="Times New Roman"/>
          <w:color w:val="000000"/>
          <w:szCs w:val="24"/>
        </w:rPr>
        <w:t>.</w:t>
      </w:r>
    </w:p>
    <w:p w:rsidR="00A00D29" w:rsidRPr="001D4494" w:rsidRDefault="00A00D29" w:rsidP="00613CC7">
      <w:pPr>
        <w:pStyle w:val="ReasonsNumbering-AltN"/>
        <w:ind w:left="0" w:firstLine="0"/>
        <w:rPr>
          <w:rFonts w:cs="Times New Roman"/>
          <w:color w:val="000000"/>
          <w:szCs w:val="24"/>
        </w:rPr>
      </w:pPr>
      <w:r w:rsidRPr="001D4494">
        <w:rPr>
          <w:rFonts w:cs="Times New Roman"/>
          <w:color w:val="000000"/>
          <w:szCs w:val="24"/>
        </w:rPr>
        <w:t xml:space="preserve">Thus, to </w:t>
      </w:r>
      <w:r w:rsidRPr="00613CC7">
        <w:rPr>
          <w:rFonts w:cs="Times New Roman"/>
          <w:szCs w:val="24"/>
        </w:rPr>
        <w:t>grant</w:t>
      </w:r>
      <w:r w:rsidRPr="001D4494">
        <w:rPr>
          <w:rFonts w:cs="Times New Roman"/>
          <w:color w:val="000000"/>
          <w:szCs w:val="24"/>
        </w:rPr>
        <w:t xml:space="preserve"> a right to collective bargaining under s. 2(</w:t>
      </w:r>
      <w:r w:rsidRPr="007760F0">
        <w:rPr>
          <w:rFonts w:cs="Times New Roman"/>
          <w:i/>
          <w:color w:val="000000"/>
          <w:szCs w:val="24"/>
        </w:rPr>
        <w:t>d</w:t>
      </w:r>
      <w:r w:rsidRPr="001D4494">
        <w:rPr>
          <w:rFonts w:cs="Times New Roman"/>
          <w:color w:val="000000"/>
          <w:szCs w:val="24"/>
        </w:rPr>
        <w:t xml:space="preserve">) purportedly as derivative of the freedom of association would not be consistent with the approach </w:t>
      </w:r>
      <w:r w:rsidRPr="001D4494">
        <w:rPr>
          <w:rFonts w:cs="Times New Roman"/>
          <w:color w:val="000000"/>
          <w:szCs w:val="24"/>
        </w:rPr>
        <w:lastRenderedPageBreak/>
        <w:t xml:space="preserve">taken by this Court in its derivative rights jurisprudence in relation to the </w:t>
      </w:r>
      <w:r w:rsidRPr="001D4494">
        <w:rPr>
          <w:rFonts w:cs="Times New Roman"/>
          <w:i/>
          <w:color w:val="000000"/>
          <w:szCs w:val="24"/>
        </w:rPr>
        <w:t>Charter</w:t>
      </w:r>
      <w:r w:rsidRPr="001D4494">
        <w:rPr>
          <w:rFonts w:cs="Times New Roman"/>
          <w:color w:val="000000"/>
          <w:szCs w:val="24"/>
        </w:rPr>
        <w:t>.  Such a derivative right will arise only where it is a “necessary precondition” to the exercise of the freedom (</w:t>
      </w:r>
      <w:r w:rsidRPr="001D4494">
        <w:rPr>
          <w:rFonts w:cs="Times New Roman"/>
          <w:i/>
          <w:color w:val="000000"/>
          <w:szCs w:val="24"/>
        </w:rPr>
        <w:t>CLA</w:t>
      </w:r>
      <w:r>
        <w:rPr>
          <w:rFonts w:cs="Times New Roman"/>
          <w:color w:val="000000"/>
          <w:szCs w:val="24"/>
        </w:rPr>
        <w:t>,</w:t>
      </w:r>
      <w:r w:rsidRPr="001D4494">
        <w:rPr>
          <w:rFonts w:cs="Times New Roman"/>
          <w:color w:val="000000"/>
          <w:szCs w:val="24"/>
        </w:rPr>
        <w:t xml:space="preserve"> at para. 30).  This careful approach is necessary to adhere to the distinction between </w:t>
      </w:r>
      <w:r w:rsidRPr="001D4494">
        <w:rPr>
          <w:rFonts w:cs="Times New Roman"/>
          <w:i/>
          <w:color w:val="000000"/>
          <w:szCs w:val="24"/>
        </w:rPr>
        <w:t>Charter</w:t>
      </w:r>
      <w:r w:rsidRPr="001D4494">
        <w:rPr>
          <w:rFonts w:cs="Times New Roman"/>
          <w:color w:val="000000"/>
          <w:szCs w:val="24"/>
        </w:rPr>
        <w:t xml:space="preserve"> rights and freedoms and prevents transforming freedoms into rights.</w:t>
      </w:r>
    </w:p>
    <w:p w:rsidR="00A00D29" w:rsidRPr="001D4494" w:rsidRDefault="00A00D29" w:rsidP="00613CC7">
      <w:pPr>
        <w:pStyle w:val="ReasonsNumbering-AltN"/>
        <w:ind w:left="0" w:firstLine="0"/>
        <w:rPr>
          <w:rFonts w:cs="Times New Roman"/>
          <w:szCs w:val="24"/>
        </w:rPr>
      </w:pPr>
      <w:r w:rsidRPr="001D4494">
        <w:rPr>
          <w:rFonts w:cs="Times New Roman"/>
          <w:szCs w:val="24"/>
        </w:rPr>
        <w:t>Viewed in this light, it is clear that s. 2(</w:t>
      </w:r>
      <w:r w:rsidRPr="007760F0">
        <w:rPr>
          <w:rFonts w:cs="Times New Roman"/>
          <w:i/>
          <w:szCs w:val="24"/>
        </w:rPr>
        <w:t>d</w:t>
      </w:r>
      <w:r w:rsidRPr="001D4494">
        <w:rPr>
          <w:rFonts w:cs="Times New Roman"/>
          <w:szCs w:val="24"/>
        </w:rPr>
        <w:t xml:space="preserve">) is intended to protect a sphere of individual autonomy or liberty, and not to enhance by state action the capacity of individuals to do a particular activity more effectively or to guarantee that any particular endeavour for which association might take place will succeed.  </w:t>
      </w:r>
    </w:p>
    <w:p w:rsidR="00A00D29" w:rsidRDefault="00E0718D" w:rsidP="00E0718D">
      <w:pPr>
        <w:pStyle w:val="HeadingTitre-AltH"/>
        <w:tabs>
          <w:tab w:val="clear" w:pos="360"/>
          <w:tab w:val="left" w:pos="1260"/>
          <w:tab w:val="left" w:pos="1800"/>
        </w:tabs>
        <w:spacing w:after="720"/>
        <w:ind w:left="1800" w:hanging="1800"/>
      </w:pPr>
      <w:r>
        <w:tab/>
      </w:r>
      <w:r w:rsidR="00A00D29" w:rsidRPr="001D4494">
        <w:t>(3)</w:t>
      </w:r>
      <w:r w:rsidR="00A00D29" w:rsidRPr="001D4494">
        <w:tab/>
      </w:r>
      <w:r w:rsidR="00A00D29" w:rsidRPr="00395C4A">
        <w:rPr>
          <w:u w:val="single"/>
        </w:rPr>
        <w:t>Section 2(</w:t>
      </w:r>
      <w:r w:rsidR="00A00D29" w:rsidRPr="007760F0">
        <w:rPr>
          <w:i/>
          <w:u w:val="single"/>
        </w:rPr>
        <w:t>d</w:t>
      </w:r>
      <w:r w:rsidR="00A00D29" w:rsidRPr="00395C4A">
        <w:rPr>
          <w:u w:val="single"/>
        </w:rPr>
        <w:t xml:space="preserve">) </w:t>
      </w:r>
      <w:r w:rsidR="00A00D29">
        <w:rPr>
          <w:u w:val="single"/>
        </w:rPr>
        <w:t xml:space="preserve">Does Not Privilege Some Associations </w:t>
      </w:r>
      <w:proofErr w:type="gramStart"/>
      <w:r w:rsidR="00A00D29">
        <w:rPr>
          <w:u w:val="single"/>
        </w:rPr>
        <w:t>Over</w:t>
      </w:r>
      <w:proofErr w:type="gramEnd"/>
      <w:r w:rsidR="00A00D29">
        <w:rPr>
          <w:u w:val="single"/>
        </w:rPr>
        <w:t xml:space="preserve"> O</w:t>
      </w:r>
      <w:r w:rsidR="00A00D29" w:rsidRPr="00395C4A">
        <w:rPr>
          <w:u w:val="single"/>
        </w:rPr>
        <w:t>thers</w:t>
      </w:r>
    </w:p>
    <w:p w:rsidR="00A00D29" w:rsidRPr="001D4494" w:rsidRDefault="00A00D29" w:rsidP="00613CC7">
      <w:pPr>
        <w:pStyle w:val="ReasonsNumbering-AltN"/>
        <w:ind w:left="0" w:firstLine="0"/>
        <w:rPr>
          <w:rFonts w:cs="Times New Roman"/>
          <w:szCs w:val="24"/>
        </w:rPr>
      </w:pPr>
      <w:r w:rsidRPr="001D4494">
        <w:rPr>
          <w:rFonts w:cs="Times New Roman"/>
          <w:szCs w:val="24"/>
        </w:rPr>
        <w:t>A third error in the approach to s. 2(</w:t>
      </w:r>
      <w:r w:rsidRPr="007760F0">
        <w:rPr>
          <w:rFonts w:cs="Times New Roman"/>
          <w:i/>
          <w:szCs w:val="24"/>
        </w:rPr>
        <w:t>d</w:t>
      </w:r>
      <w:r w:rsidRPr="001D4494">
        <w:rPr>
          <w:rFonts w:cs="Times New Roman"/>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is that it conceives of s. 2(</w:t>
      </w:r>
      <w:r w:rsidRPr="007760F0">
        <w:rPr>
          <w:rFonts w:cs="Times New Roman"/>
          <w:i/>
          <w:szCs w:val="24"/>
        </w:rPr>
        <w:t>d</w:t>
      </w:r>
      <w:r w:rsidRPr="001D4494">
        <w:rPr>
          <w:rFonts w:cs="Times New Roman"/>
          <w:szCs w:val="24"/>
        </w:rPr>
        <w:t>) as privileging some associations over others.  I cannot agree with an approach to s. 2(</w:t>
      </w:r>
      <w:r w:rsidRPr="007760F0">
        <w:rPr>
          <w:rFonts w:cs="Times New Roman"/>
          <w:i/>
          <w:szCs w:val="24"/>
        </w:rPr>
        <w:t>d</w:t>
      </w:r>
      <w:r w:rsidRPr="001D4494">
        <w:rPr>
          <w:rFonts w:cs="Times New Roman"/>
          <w:szCs w:val="24"/>
        </w:rPr>
        <w:t>) which requires this Court to decide which associations and associational objectives are worthy of constitutional protection and which are not.</w:t>
      </w:r>
    </w:p>
    <w:p w:rsidR="00A00D29" w:rsidRPr="001D4494" w:rsidRDefault="00A00D29" w:rsidP="00613CC7">
      <w:pPr>
        <w:pStyle w:val="ReasonsNumbering-AltN"/>
        <w:ind w:left="0" w:firstLine="0"/>
        <w:rPr>
          <w:rFonts w:cs="Times New Roman"/>
          <w:szCs w:val="24"/>
        </w:rPr>
      </w:pP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rejected the grounds advanced in earlier decisions for excluding collective bargaining from the </w:t>
      </w:r>
      <w:r w:rsidRPr="001D4494">
        <w:rPr>
          <w:rFonts w:cs="Times New Roman"/>
          <w:i/>
          <w:szCs w:val="24"/>
        </w:rPr>
        <w:t>Charter</w:t>
      </w:r>
      <w:r w:rsidRPr="001D4494">
        <w:rPr>
          <w:rFonts w:cs="Times New Roman"/>
          <w:szCs w:val="24"/>
        </w:rPr>
        <w:t>’s guarantee of freedom of association on the basis that they did not “withstand principled scrutiny”</w:t>
      </w:r>
      <w:r w:rsidR="00D442F0">
        <w:rPr>
          <w:rFonts w:cs="Times New Roman"/>
          <w:szCs w:val="24"/>
        </w:rPr>
        <w:t xml:space="preserve"> (</w:t>
      </w:r>
      <w:r w:rsidRPr="001D4494">
        <w:rPr>
          <w:rFonts w:cs="Times New Roman"/>
          <w:szCs w:val="24"/>
        </w:rPr>
        <w:t>para. 22</w:t>
      </w:r>
      <w:r w:rsidR="00D442F0">
        <w:rPr>
          <w:rFonts w:cs="Times New Roman"/>
          <w:szCs w:val="24"/>
        </w:rPr>
        <w:t>)</w:t>
      </w:r>
      <w:r w:rsidRPr="001D4494">
        <w:rPr>
          <w:rFonts w:cs="Times New Roman"/>
          <w:szCs w:val="24"/>
        </w:rPr>
        <w:t xml:space="preserve">. The </w:t>
      </w:r>
      <w:r>
        <w:t>majority</w:t>
      </w:r>
      <w:r w:rsidRPr="001D4494">
        <w:rPr>
          <w:rFonts w:cs="Times New Roman"/>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held that the “overarching” problem with these earlier decisions, particularly the </w:t>
      </w:r>
      <w:r w:rsidRPr="001D4494">
        <w:rPr>
          <w:rFonts w:cs="Times New Roman"/>
          <w:i/>
          <w:szCs w:val="24"/>
        </w:rPr>
        <w:t>Alberta Reference</w:t>
      </w:r>
      <w:r w:rsidRPr="001D4494">
        <w:rPr>
          <w:rFonts w:cs="Times New Roman"/>
          <w:szCs w:val="24"/>
        </w:rPr>
        <w:t xml:space="preserve"> and </w:t>
      </w:r>
      <w:r w:rsidRPr="001D4494">
        <w:rPr>
          <w:rFonts w:cs="Times New Roman"/>
          <w:i/>
          <w:szCs w:val="24"/>
        </w:rPr>
        <w:t>PIPSC</w:t>
      </w:r>
      <w:r w:rsidRPr="001D4494">
        <w:rPr>
          <w:rFonts w:cs="Times New Roman"/>
          <w:szCs w:val="24"/>
        </w:rPr>
        <w:t>, was that they h</w:t>
      </w:r>
      <w:r>
        <w:rPr>
          <w:rFonts w:cs="Times New Roman"/>
          <w:szCs w:val="24"/>
        </w:rPr>
        <w:t>ad pursued a “</w:t>
      </w:r>
      <w:proofErr w:type="spellStart"/>
      <w:r>
        <w:rPr>
          <w:rFonts w:cs="Times New Roman"/>
          <w:szCs w:val="24"/>
        </w:rPr>
        <w:t>decontextualized</w:t>
      </w:r>
      <w:proofErr w:type="spellEnd"/>
      <w:r>
        <w:rPr>
          <w:rFonts w:cs="Times New Roman"/>
          <w:szCs w:val="24"/>
        </w:rPr>
        <w:t>”,</w:t>
      </w:r>
      <w:r w:rsidRPr="001D4494">
        <w:rPr>
          <w:rFonts w:cs="Times New Roman"/>
          <w:szCs w:val="24"/>
        </w:rPr>
        <w:t xml:space="preserve"> as opposed to a “purposive”</w:t>
      </w:r>
      <w:r>
        <w:rPr>
          <w:rFonts w:cs="Times New Roman"/>
          <w:szCs w:val="24"/>
        </w:rPr>
        <w:t>,</w:t>
      </w:r>
      <w:r w:rsidRPr="001D4494">
        <w:rPr>
          <w:rFonts w:cs="Times New Roman"/>
          <w:szCs w:val="24"/>
        </w:rPr>
        <w:t xml:space="preserve"> approach to freedom of </w:t>
      </w:r>
      <w:r w:rsidRPr="001D4494">
        <w:rPr>
          <w:rFonts w:cs="Times New Roman"/>
          <w:szCs w:val="24"/>
        </w:rPr>
        <w:lastRenderedPageBreak/>
        <w:t>association that had ignored the differences between organizations and treated all or</w:t>
      </w:r>
      <w:r>
        <w:rPr>
          <w:rFonts w:cs="Times New Roman"/>
          <w:szCs w:val="24"/>
        </w:rPr>
        <w:t>ganizations in the same way: “W</w:t>
      </w:r>
      <w:r w:rsidRPr="001D4494">
        <w:rPr>
          <w:rFonts w:cs="Times New Roman"/>
          <w:szCs w:val="24"/>
        </w:rPr>
        <w:t>hatever the organization</w:t>
      </w:r>
      <w:r>
        <w:rPr>
          <w:rFonts w:cs="Times New Roman"/>
          <w:szCs w:val="24"/>
        </w:rPr>
        <w:t xml:space="preserve"> — </w:t>
      </w:r>
      <w:r w:rsidRPr="001D4494">
        <w:rPr>
          <w:rFonts w:cs="Times New Roman"/>
          <w:szCs w:val="24"/>
        </w:rPr>
        <w:t>be it trade union or book club</w:t>
      </w:r>
      <w:r>
        <w:rPr>
          <w:rFonts w:cs="Times New Roman"/>
          <w:szCs w:val="24"/>
        </w:rPr>
        <w:t xml:space="preserve"> — </w:t>
      </w:r>
      <w:r w:rsidRPr="001D4494">
        <w:rPr>
          <w:rFonts w:cs="Times New Roman"/>
          <w:szCs w:val="24"/>
        </w:rPr>
        <w:t xml:space="preserve">its freedoms were treated as identical” (para. 30).  Having decided that the objects of trade unions were meritorious of protection, the </w:t>
      </w:r>
      <w:r>
        <w:t>majority</w:t>
      </w:r>
      <w:r w:rsidRPr="001D4494">
        <w:rPr>
          <w:rFonts w:cs="Times New Roman"/>
          <w:szCs w:val="24"/>
        </w:rPr>
        <w:t xml:space="preserve"> decided that the protection of trade unions’ objects required the recognition of the duty to bargain in good faith. </w:t>
      </w:r>
    </w:p>
    <w:p w:rsidR="00A00D29" w:rsidRPr="001D4494" w:rsidRDefault="00A00D29" w:rsidP="00613CC7">
      <w:pPr>
        <w:pStyle w:val="ReasonsNumbering-AltN"/>
        <w:ind w:left="0" w:firstLine="0"/>
        <w:rPr>
          <w:rFonts w:cs="Times New Roman"/>
          <w:szCs w:val="24"/>
        </w:rPr>
      </w:pPr>
      <w:r w:rsidRPr="001D4494">
        <w:rPr>
          <w:rFonts w:cs="Times New Roman"/>
          <w:szCs w:val="24"/>
        </w:rPr>
        <w:t>These earlier cas</w:t>
      </w:r>
      <w:r>
        <w:rPr>
          <w:rFonts w:cs="Times New Roman"/>
          <w:szCs w:val="24"/>
        </w:rPr>
        <w:t>es did indeed exhibit a content-</w:t>
      </w:r>
      <w:r w:rsidRPr="001D4494">
        <w:rPr>
          <w:rFonts w:cs="Times New Roman"/>
          <w:szCs w:val="24"/>
        </w:rPr>
        <w:t xml:space="preserve">neutral approach to freedom of association in the sense that they did not claim to privilege particular associations.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erred in saying </w:t>
      </w:r>
      <w:r w:rsidRPr="001D4494">
        <w:rPr>
          <w:rFonts w:cs="Times New Roman"/>
          <w:szCs w:val="24"/>
        </w:rPr>
        <w:t>that the</w:t>
      </w:r>
      <w:r w:rsidRPr="001D4494">
        <w:rPr>
          <w:rFonts w:cs="Times New Roman"/>
          <w:color w:val="000000"/>
          <w:szCs w:val="24"/>
        </w:rPr>
        <w:t>se</w:t>
      </w:r>
      <w:r w:rsidRPr="001D4494">
        <w:rPr>
          <w:rFonts w:cs="Times New Roman"/>
          <w:szCs w:val="24"/>
        </w:rPr>
        <w:t xml:space="preserve"> approaches were not purposive.</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 purposive approach to </w:t>
      </w:r>
      <w:r w:rsidRPr="001D4494">
        <w:rPr>
          <w:rFonts w:cs="Times New Roman"/>
          <w:i/>
          <w:szCs w:val="24"/>
        </w:rPr>
        <w:t>Charter</w:t>
      </w:r>
      <w:r w:rsidRPr="001D4494">
        <w:rPr>
          <w:rFonts w:cs="Times New Roman"/>
          <w:szCs w:val="24"/>
        </w:rPr>
        <w:t xml:space="preserve"> interpreta</w:t>
      </w:r>
      <w:r>
        <w:rPr>
          <w:rFonts w:cs="Times New Roman"/>
          <w:szCs w:val="24"/>
        </w:rPr>
        <w:t xml:space="preserve">tion was explained by Dickson </w:t>
      </w:r>
      <w:r w:rsidRPr="001D4494">
        <w:rPr>
          <w:rFonts w:cs="Times New Roman"/>
          <w:szCs w:val="24"/>
        </w:rPr>
        <w:t>J.</w:t>
      </w:r>
      <w:r>
        <w:rPr>
          <w:rFonts w:cs="Times New Roman"/>
          <w:szCs w:val="24"/>
        </w:rPr>
        <w:t xml:space="preserve"> (as he then was)</w:t>
      </w:r>
      <w:r w:rsidRPr="001D4494">
        <w:rPr>
          <w:rFonts w:cs="Times New Roman"/>
          <w:szCs w:val="24"/>
        </w:rPr>
        <w:t xml:space="preserve"> in </w:t>
      </w:r>
      <w:r w:rsidRPr="001D4494">
        <w:rPr>
          <w:rFonts w:cs="Times New Roman"/>
          <w:i/>
          <w:szCs w:val="24"/>
        </w:rPr>
        <w:t>R. v. Big M Drug Mart Ltd</w:t>
      </w:r>
      <w:r>
        <w:rPr>
          <w:rFonts w:cs="Times New Roman"/>
          <w:szCs w:val="24"/>
        </w:rPr>
        <w:t>.</w:t>
      </w:r>
      <w:r w:rsidRPr="001D4494">
        <w:rPr>
          <w:rFonts w:cs="Times New Roman"/>
          <w:szCs w:val="24"/>
        </w:rPr>
        <w:t>, [1985] 1 S.C.R. 295 (“</w:t>
      </w:r>
      <w:r w:rsidRPr="001D4494">
        <w:rPr>
          <w:rFonts w:cs="Times New Roman"/>
          <w:i/>
          <w:szCs w:val="24"/>
        </w:rPr>
        <w:t>Big M</w:t>
      </w:r>
      <w:r w:rsidRPr="001D4494">
        <w:rPr>
          <w:rFonts w:cs="Times New Roman"/>
          <w:szCs w:val="24"/>
        </w:rPr>
        <w:t>”), at</w:t>
      </w:r>
      <w:r>
        <w:rPr>
          <w:rFonts w:cs="Times New Roman"/>
          <w:szCs w:val="24"/>
        </w:rPr>
        <w:t xml:space="preserve"> p. 344</w:t>
      </w:r>
      <w:r w:rsidRPr="001D4494">
        <w:rPr>
          <w:rFonts w:cs="Times New Roman"/>
          <w:szCs w:val="24"/>
        </w:rPr>
        <w:t>:</w:t>
      </w:r>
    </w:p>
    <w:p w:rsidR="00A00D29" w:rsidRPr="001D4494" w:rsidRDefault="00A00D29" w:rsidP="00613CC7">
      <w:pPr>
        <w:pStyle w:val="Citation-AltC"/>
        <w:spacing w:after="240"/>
        <w:contextualSpacing w:val="0"/>
      </w:pPr>
      <w:r w:rsidRPr="001D4494">
        <w:t xml:space="preserve">The meaning of a right or freedom guaranteed by the </w:t>
      </w:r>
      <w:r w:rsidRPr="004433E4">
        <w:rPr>
          <w:i/>
        </w:rPr>
        <w:t>Charter</w:t>
      </w:r>
      <w:r w:rsidRPr="001D4494">
        <w:t xml:space="preserve"> [is] to be ascertained by an analysis of the </w:t>
      </w:r>
      <w:r w:rsidRPr="004433E4">
        <w:rPr>
          <w:u w:val="single"/>
        </w:rPr>
        <w:t>purpose</w:t>
      </w:r>
      <w:r w:rsidRPr="001D4494">
        <w:t xml:space="preserve"> of such a guarantee; it [is] to be understood, in other words, in the light of the interests it </w:t>
      </w:r>
      <w:r>
        <w:t>[is]</w:t>
      </w:r>
      <w:r w:rsidRPr="001D4494">
        <w:t xml:space="preserve"> meant to protect.</w:t>
      </w:r>
    </w:p>
    <w:p w:rsidR="00A00D29" w:rsidRPr="001D4494" w:rsidRDefault="00A00D29" w:rsidP="00A00D29">
      <w:pPr>
        <w:pStyle w:val="Citation-AltC"/>
      </w:pPr>
      <w:r>
        <w:tab/>
      </w:r>
      <w:r w:rsidRPr="001D4494">
        <w:t xml:space="preserve">In my view this analysis is to be undertaken, and the purpose of the right or freedom in question is to be sought by reference to the character and the larger objects of the </w:t>
      </w:r>
      <w:r w:rsidRPr="004433E4">
        <w:rPr>
          <w:i/>
        </w:rPr>
        <w:t>Charter</w:t>
      </w:r>
      <w:r w:rsidRPr="001D4494">
        <w:t xml:space="preserve"> itself, to the language chosen to articulate the specific right or freedom, to the historical origins of the concepts enshrined, and where applicable, to the meaning and purpose of the other specific rights and freedoms with which it is associated within the text of the </w:t>
      </w:r>
      <w:r w:rsidRPr="004433E4">
        <w:rPr>
          <w:i/>
        </w:rPr>
        <w:t>Charter</w:t>
      </w:r>
      <w:r w:rsidRPr="001D4494">
        <w:t xml:space="preserve">. The interpretation should be, as the judgment in </w:t>
      </w:r>
      <w:r>
        <w:t>[</w:t>
      </w:r>
      <w:r w:rsidRPr="004433E4">
        <w:rPr>
          <w:i/>
        </w:rPr>
        <w:t>Hunter v. Southam</w:t>
      </w:r>
      <w:r>
        <w:rPr>
          <w:i/>
        </w:rPr>
        <w:t xml:space="preserve"> Inc.</w:t>
      </w:r>
      <w:r w:rsidR="00800157">
        <w:t>, [1984] 2 S.C.R. 145</w:t>
      </w:r>
      <w:r>
        <w:t>]</w:t>
      </w:r>
      <w:r w:rsidRPr="001D4494">
        <w:t xml:space="preserve"> emphasizes, a generous rather than a legalistic one, aimed at fulfilling the purpose of the guarantee and securing for individuals the full benefit of the </w:t>
      </w:r>
      <w:r w:rsidRPr="009A2E5C">
        <w:rPr>
          <w:i/>
        </w:rPr>
        <w:t>Charter</w:t>
      </w:r>
      <w:r>
        <w:t>’</w:t>
      </w:r>
      <w:r w:rsidRPr="001D4494">
        <w:t xml:space="preserve">s </w:t>
      </w:r>
      <w:r w:rsidRPr="001D4494">
        <w:lastRenderedPageBreak/>
        <w:t xml:space="preserve">protection. At the same time it is important not to overshoot the actual purpose of the right or freedom in question, but to recall that the </w:t>
      </w:r>
      <w:r w:rsidRPr="004433E4">
        <w:rPr>
          <w:i/>
        </w:rPr>
        <w:t>Charter</w:t>
      </w:r>
      <w:r w:rsidRPr="001D4494">
        <w:t xml:space="preserve"> was not enacted in a vacuum, and must therefore, as this Court's decision in </w:t>
      </w:r>
      <w:r w:rsidRPr="001D4494">
        <w:rPr>
          <w:i/>
        </w:rPr>
        <w:t>Law Society of Upper Canada v. Skapinker</w:t>
      </w:r>
      <w:r w:rsidRPr="001D4494">
        <w:t>, [1984] 1 S.C.R. 357, illustrates, be placed in its proper linguistic, philosophic and historical contexts.</w:t>
      </w:r>
      <w:r>
        <w:t xml:space="preserve"> </w:t>
      </w:r>
      <w:proofErr w:type="gramStart"/>
      <w:r>
        <w:t>[Emphasis in original.]</w:t>
      </w:r>
      <w:proofErr w:type="gramEnd"/>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 kind of “context” to which the reasons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refer is very different from that being discussed here.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suggested that a “generic” approach to defining freedom of association is inappropriate because different groups must have different freedoms: the needs of a book club are not the same as those of a trade union, and assuming them to be entitled to precisely the same thing under s. 2(</w:t>
      </w:r>
      <w:r w:rsidRPr="004433E4">
        <w:rPr>
          <w:rFonts w:cs="Times New Roman"/>
          <w:i/>
          <w:szCs w:val="24"/>
        </w:rPr>
        <w:t>d</w:t>
      </w:r>
      <w:r w:rsidRPr="001D4494">
        <w:rPr>
          <w:rFonts w:cs="Times New Roman"/>
          <w:szCs w:val="24"/>
        </w:rPr>
        <w:t xml:space="preserve">) would be a mistake (para. 30).  However, the “context” that is relevant to a purposive interpretation of </w:t>
      </w:r>
      <w:r w:rsidRPr="004433E4">
        <w:rPr>
          <w:rFonts w:cs="Times New Roman"/>
          <w:i/>
          <w:szCs w:val="24"/>
        </w:rPr>
        <w:t>Charter</w:t>
      </w:r>
      <w:r w:rsidRPr="001D4494">
        <w:rPr>
          <w:rFonts w:cs="Times New Roman"/>
          <w:szCs w:val="24"/>
        </w:rPr>
        <w:t xml:space="preserve"> </w:t>
      </w:r>
      <w:r w:rsidRPr="001D4494">
        <w:rPr>
          <w:rFonts w:cs="Times New Roman"/>
          <w:color w:val="000000"/>
          <w:szCs w:val="24"/>
        </w:rPr>
        <w:t>freedoms</w:t>
      </w:r>
      <w:r w:rsidRPr="001D4494">
        <w:rPr>
          <w:rFonts w:cs="Times New Roman"/>
          <w:szCs w:val="24"/>
        </w:rPr>
        <w:t xml:space="preserve"> is not the context of the individuals who happen to be exercising that </w:t>
      </w:r>
      <w:r w:rsidRPr="001D4494">
        <w:rPr>
          <w:rFonts w:cs="Times New Roman"/>
          <w:color w:val="000000"/>
          <w:szCs w:val="24"/>
        </w:rPr>
        <w:t>freedom</w:t>
      </w:r>
      <w:r w:rsidRPr="001D4494">
        <w:rPr>
          <w:rFonts w:cs="Times New Roman"/>
          <w:szCs w:val="24"/>
        </w:rPr>
        <w:t xml:space="preserve"> in a given case.  Rather, a purposive interpretation of s. 2(</w:t>
      </w:r>
      <w:r w:rsidRPr="004433E4">
        <w:rPr>
          <w:rFonts w:cs="Times New Roman"/>
          <w:i/>
          <w:szCs w:val="24"/>
        </w:rPr>
        <w:t>d</w:t>
      </w:r>
      <w:r w:rsidRPr="001D4494">
        <w:rPr>
          <w:rFonts w:cs="Times New Roman"/>
          <w:szCs w:val="24"/>
        </w:rPr>
        <w:t xml:space="preserve">) requires that one place </w:t>
      </w:r>
      <w:r w:rsidRPr="004433E4">
        <w:rPr>
          <w:rFonts w:cs="Times New Roman"/>
          <w:i/>
          <w:szCs w:val="24"/>
        </w:rPr>
        <w:t>freedom of association</w:t>
      </w:r>
      <w:r w:rsidRPr="001D4494">
        <w:rPr>
          <w:rFonts w:cs="Times New Roman"/>
          <w:szCs w:val="24"/>
        </w:rPr>
        <w:t xml:space="preserve"> in its linguistic, philosophic and historical contexts.  The origins of the concept, the words used to describe it, and the philosophical principles on which it relies will define the scope of s. 2(</w:t>
      </w:r>
      <w:r w:rsidRPr="004433E4">
        <w:rPr>
          <w:rFonts w:cs="Times New Roman"/>
          <w:i/>
          <w:szCs w:val="24"/>
        </w:rPr>
        <w:t>d</w:t>
      </w:r>
      <w:r w:rsidRPr="001D4494">
        <w:rPr>
          <w:rFonts w:cs="Times New Roman"/>
          <w:szCs w:val="24"/>
        </w:rPr>
        <w:t xml:space="preserve">) protection.  The extent of that protection should not change depending on the particular </w:t>
      </w:r>
      <w:r w:rsidRPr="001D4494">
        <w:rPr>
          <w:rFonts w:cs="Times New Roman"/>
          <w:i/>
          <w:szCs w:val="24"/>
        </w:rPr>
        <w:t>factual</w:t>
      </w:r>
      <w:r w:rsidRPr="001D4494">
        <w:rPr>
          <w:rFonts w:cs="Times New Roman"/>
          <w:szCs w:val="24"/>
        </w:rPr>
        <w:t xml:space="preserve"> context or circumstances in which s. 2(</w:t>
      </w:r>
      <w:r w:rsidRPr="004433E4">
        <w:rPr>
          <w:rFonts w:cs="Times New Roman"/>
          <w:i/>
          <w:szCs w:val="24"/>
        </w:rPr>
        <w:t>d</w:t>
      </w:r>
      <w:r w:rsidRPr="001D4494">
        <w:rPr>
          <w:rFonts w:cs="Times New Roman"/>
          <w:szCs w:val="24"/>
        </w:rPr>
        <w:t>) is being applied.</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In the </w:t>
      </w:r>
      <w:r w:rsidRPr="001D4494">
        <w:rPr>
          <w:rFonts w:cs="Times New Roman"/>
          <w:i/>
          <w:szCs w:val="24"/>
        </w:rPr>
        <w:t>Alberta Reference</w:t>
      </w:r>
      <w:r w:rsidRPr="001D4494">
        <w:rPr>
          <w:rFonts w:cs="Times New Roman"/>
          <w:szCs w:val="24"/>
        </w:rPr>
        <w:t xml:space="preserve">, both Dickson C.J. and McIntyre J. did in fact adopt a purposive approach to interpreting the </w:t>
      </w:r>
      <w:r w:rsidRPr="001D4494">
        <w:rPr>
          <w:rFonts w:cs="Times New Roman"/>
          <w:i/>
          <w:szCs w:val="24"/>
        </w:rPr>
        <w:t>Charter</w:t>
      </w:r>
      <w:r w:rsidRPr="00CF09C6">
        <w:rPr>
          <w:rFonts w:cs="Times New Roman"/>
          <w:szCs w:val="24"/>
        </w:rPr>
        <w:t>’s</w:t>
      </w:r>
      <w:r w:rsidRPr="001D4494">
        <w:rPr>
          <w:rFonts w:cs="Times New Roman"/>
          <w:szCs w:val="24"/>
        </w:rPr>
        <w:t xml:space="preserve"> guarantee of freedom of</w:t>
      </w:r>
      <w:r>
        <w:rPr>
          <w:rFonts w:cs="Times New Roman"/>
          <w:szCs w:val="24"/>
        </w:rPr>
        <w:t xml:space="preserve"> association (pp. 363 and 393-</w:t>
      </w:r>
      <w:r w:rsidRPr="001D4494">
        <w:rPr>
          <w:rFonts w:cs="Times New Roman"/>
          <w:szCs w:val="24"/>
        </w:rPr>
        <w:t>94)</w:t>
      </w:r>
      <w:r w:rsidR="00D442F0">
        <w:rPr>
          <w:rFonts w:cs="Times New Roman"/>
          <w:szCs w:val="24"/>
        </w:rPr>
        <w:t>.</w:t>
      </w:r>
      <w:r w:rsidRPr="001D4494">
        <w:rPr>
          <w:rFonts w:cs="Times New Roman"/>
          <w:szCs w:val="24"/>
        </w:rPr>
        <w:t xml:space="preserve">  It was not their failure to apply such an approach that led to the conclusion that all associations must receive identical freedoms under </w:t>
      </w:r>
      <w:r w:rsidRPr="001D4494">
        <w:rPr>
          <w:rFonts w:cs="Times New Roman"/>
          <w:szCs w:val="24"/>
        </w:rPr>
        <w:lastRenderedPageBreak/>
        <w:t>s. 2(</w:t>
      </w:r>
      <w:r w:rsidRPr="00CF09C6">
        <w:rPr>
          <w:rFonts w:cs="Times New Roman"/>
          <w:i/>
          <w:szCs w:val="24"/>
        </w:rPr>
        <w:t>d</w:t>
      </w:r>
      <w:r w:rsidRPr="001D4494">
        <w:rPr>
          <w:rFonts w:cs="Times New Roman"/>
          <w:szCs w:val="24"/>
        </w:rPr>
        <w:t>). Rather, it was the application of that approach that correctly led them to recognize that a guarantee protecting a fundamental freedom to associate m</w:t>
      </w:r>
      <w:r>
        <w:rPr>
          <w:rFonts w:cs="Times New Roman"/>
          <w:szCs w:val="24"/>
        </w:rPr>
        <w:t>ust be interpreted in a content-</w:t>
      </w:r>
      <w:r w:rsidRPr="001D4494">
        <w:rPr>
          <w:rFonts w:cs="Times New Roman"/>
          <w:szCs w:val="24"/>
        </w:rPr>
        <w:t>neutral fashion as between different associations.</w:t>
      </w:r>
    </w:p>
    <w:p w:rsidR="00A00D29" w:rsidRPr="001D4494" w:rsidRDefault="00A00D29" w:rsidP="00613CC7">
      <w:pPr>
        <w:pStyle w:val="ReasonsNumbering-AltN"/>
        <w:ind w:left="0" w:firstLine="0"/>
        <w:rPr>
          <w:rFonts w:cs="Times New Roman"/>
          <w:szCs w:val="24"/>
        </w:rPr>
      </w:pPr>
      <w:r w:rsidRPr="001D4494">
        <w:rPr>
          <w:rFonts w:cs="Times New Roman"/>
          <w:szCs w:val="24"/>
        </w:rPr>
        <w:t>The protection of fundamental freedoms should not involve the Court in adjudicating the relative values of the way in which individuals exercise those freedoms.  Just as this Court has not adjudicated on the relative value of a religion or its tenets under s. 2(</w:t>
      </w:r>
      <w:r w:rsidRPr="00CF09C6">
        <w:rPr>
          <w:rFonts w:cs="Times New Roman"/>
          <w:i/>
          <w:szCs w:val="24"/>
        </w:rPr>
        <w:t>a</w:t>
      </w:r>
      <w:r w:rsidRPr="001D4494">
        <w:rPr>
          <w:rFonts w:cs="Times New Roman"/>
          <w:szCs w:val="24"/>
        </w:rPr>
        <w:t>) or assessed the relative value or content of a given exercise of freedom of expression</w:t>
      </w:r>
      <w:r>
        <w:rPr>
          <w:rFonts w:cs="Times New Roman"/>
          <w:szCs w:val="24"/>
        </w:rPr>
        <w:t xml:space="preserve"> under s. 2(</w:t>
      </w:r>
      <w:r w:rsidRPr="00CF09C6">
        <w:rPr>
          <w:rFonts w:cs="Times New Roman"/>
          <w:i/>
          <w:szCs w:val="24"/>
        </w:rPr>
        <w:t>b</w:t>
      </w:r>
      <w:r>
        <w:rPr>
          <w:rFonts w:cs="Times New Roman"/>
          <w:szCs w:val="24"/>
        </w:rPr>
        <w:t>)</w:t>
      </w:r>
      <w:r w:rsidRPr="001D4494">
        <w:rPr>
          <w:rFonts w:cs="Times New Roman"/>
          <w:szCs w:val="24"/>
        </w:rPr>
        <w:t>, so too should this Court not privilege some associations over others under s. 2(</w:t>
      </w:r>
      <w:r w:rsidRPr="00CF09C6">
        <w:rPr>
          <w:rFonts w:cs="Times New Roman"/>
          <w:i/>
          <w:szCs w:val="24"/>
        </w:rPr>
        <w:t>d</w:t>
      </w:r>
      <w:r w:rsidRPr="001D4494">
        <w:rPr>
          <w:rFonts w:cs="Times New Roman"/>
          <w:szCs w:val="24"/>
        </w:rPr>
        <w:t xml:space="preserve">): </w:t>
      </w:r>
      <w:r w:rsidRPr="001D4494">
        <w:rPr>
          <w:rFonts w:cs="Times New Roman"/>
          <w:i/>
          <w:szCs w:val="24"/>
        </w:rPr>
        <w:t>Syndicat Northcrest v. Amselem</w:t>
      </w:r>
      <w:r w:rsidRPr="001D4494">
        <w:rPr>
          <w:rFonts w:cs="Times New Roman"/>
          <w:szCs w:val="24"/>
        </w:rPr>
        <w:t xml:space="preserve">, </w:t>
      </w:r>
      <w:r>
        <w:rPr>
          <w:rFonts w:cs="Times New Roman"/>
          <w:szCs w:val="24"/>
        </w:rPr>
        <w:t xml:space="preserve">2004 SCC 47, </w:t>
      </w:r>
      <w:r w:rsidRPr="001D4494">
        <w:rPr>
          <w:rFonts w:cs="Times New Roman"/>
          <w:szCs w:val="24"/>
        </w:rPr>
        <w:t>[2004] 2 S.C.R. 551</w:t>
      </w:r>
      <w:r>
        <w:rPr>
          <w:rFonts w:cs="Times New Roman"/>
          <w:szCs w:val="24"/>
        </w:rPr>
        <w:t>,</w:t>
      </w:r>
      <w:r w:rsidRPr="001D4494">
        <w:rPr>
          <w:rFonts w:cs="Times New Roman"/>
          <w:szCs w:val="24"/>
        </w:rPr>
        <w:t xml:space="preserve"> at para. 50.</w:t>
      </w:r>
    </w:p>
    <w:p w:rsidR="00A00D29" w:rsidRPr="001D4494" w:rsidRDefault="00A00D29" w:rsidP="00613CC7">
      <w:pPr>
        <w:pStyle w:val="ReasonsNumbering-AltN"/>
        <w:ind w:left="0" w:firstLine="0"/>
        <w:rPr>
          <w:rFonts w:cs="Times New Roman"/>
          <w:szCs w:val="24"/>
        </w:rPr>
      </w:pPr>
      <w:r>
        <w:rPr>
          <w:rFonts w:cs="Times New Roman"/>
          <w:szCs w:val="24"/>
        </w:rPr>
        <w:t>Another example of a content-</w:t>
      </w:r>
      <w:r w:rsidRPr="001D4494">
        <w:rPr>
          <w:rFonts w:cs="Times New Roman"/>
          <w:szCs w:val="24"/>
        </w:rPr>
        <w:t xml:space="preserve">neutral approach can be found in </w:t>
      </w:r>
      <w:r w:rsidRPr="001D4494">
        <w:rPr>
          <w:rFonts w:cs="Times New Roman"/>
          <w:i/>
          <w:szCs w:val="24"/>
        </w:rPr>
        <w:t xml:space="preserve">Big M </w:t>
      </w:r>
      <w:r w:rsidRPr="001D4494">
        <w:rPr>
          <w:rFonts w:cs="Times New Roman"/>
          <w:szCs w:val="24"/>
        </w:rPr>
        <w:t>where this Court found:</w:t>
      </w:r>
    </w:p>
    <w:p w:rsidR="00A00D29" w:rsidRPr="001D4494" w:rsidRDefault="00A00D29" w:rsidP="00A00D29">
      <w:pPr>
        <w:pStyle w:val="Citation-AltC"/>
        <w:rPr>
          <w:color w:val="000000"/>
        </w:rPr>
      </w:pPr>
      <w:r w:rsidRPr="001D4494">
        <w:t xml:space="preserve">In my view, however, as I read the </w:t>
      </w:r>
      <w:r w:rsidRPr="001D4494">
        <w:rPr>
          <w:i/>
        </w:rPr>
        <w:t>Charter</w:t>
      </w:r>
      <w:r w:rsidRPr="001D4494">
        <w:t xml:space="preserve">, it mandates that the legislative preservation of a Sunday day of rest should be secular, the diversity of belief and non-belief, the diverse socio-cultural backgrounds of Canadians </w:t>
      </w:r>
      <w:r w:rsidRPr="001D4494">
        <w:rPr>
          <w:u w:val="single"/>
        </w:rPr>
        <w:t>make it constitutionally incompetent for the federal Parliament</w:t>
      </w:r>
      <w:r w:rsidRPr="001D4494">
        <w:rPr>
          <w:i/>
          <w:u w:val="single"/>
        </w:rPr>
        <w:t xml:space="preserve"> </w:t>
      </w:r>
      <w:r w:rsidRPr="00CF09C6">
        <w:rPr>
          <w:u w:val="single"/>
        </w:rPr>
        <w:t>to provide legislative preference</w:t>
      </w:r>
      <w:r w:rsidRPr="001D4494">
        <w:rPr>
          <w:u w:val="single"/>
        </w:rPr>
        <w:t xml:space="preserve"> for any one religion at the expense of those of another religious persuasion</w:t>
      </w:r>
      <w:r w:rsidRPr="001D4494">
        <w:t xml:space="preserve">. </w:t>
      </w:r>
      <w:r>
        <w:t>[</w:t>
      </w:r>
      <w:r w:rsidRPr="00CF09C6">
        <w:t>Emphasis added</w:t>
      </w:r>
      <w:r>
        <w:t>; p. 351.]</w:t>
      </w:r>
    </w:p>
    <w:p w:rsidR="00A00D29" w:rsidRPr="001D4494" w:rsidRDefault="00A00D29" w:rsidP="00A00D29">
      <w:pPr>
        <w:pStyle w:val="ContinueReasonsNo-AltP"/>
        <w:rPr>
          <w:rFonts w:cs="Times New Roman"/>
          <w:szCs w:val="24"/>
        </w:rPr>
      </w:pPr>
      <w:r w:rsidRPr="001D4494">
        <w:rPr>
          <w:rFonts w:cs="Times New Roman"/>
          <w:i/>
          <w:szCs w:val="24"/>
        </w:rPr>
        <w:t xml:space="preserve">Big M </w:t>
      </w:r>
      <w:r w:rsidRPr="001D4494">
        <w:rPr>
          <w:rFonts w:cs="Times New Roman"/>
          <w:szCs w:val="24"/>
        </w:rPr>
        <w:t>considered the purpose of the</w:t>
      </w:r>
      <w:r w:rsidRPr="001D4494">
        <w:rPr>
          <w:rFonts w:cs="Times New Roman"/>
          <w:i/>
          <w:szCs w:val="24"/>
        </w:rPr>
        <w:t xml:space="preserve"> Charter</w:t>
      </w:r>
      <w:r w:rsidRPr="00CF09C6">
        <w:rPr>
          <w:rFonts w:cs="Times New Roman"/>
          <w:szCs w:val="24"/>
        </w:rPr>
        <w:t>,</w:t>
      </w:r>
      <w:r w:rsidRPr="001D4494">
        <w:rPr>
          <w:rFonts w:cs="Times New Roman"/>
          <w:i/>
          <w:szCs w:val="24"/>
        </w:rPr>
        <w:t xml:space="preserve"> </w:t>
      </w:r>
      <w:r w:rsidRPr="001D4494">
        <w:rPr>
          <w:rFonts w:cs="Times New Roman"/>
          <w:szCs w:val="24"/>
        </w:rPr>
        <w:t xml:space="preserve">recognized the Christian underpinning of the impugned law, and concluded that by imposing “a sectarian Christian ideal, the </w:t>
      </w:r>
      <w:r w:rsidRPr="001D4494">
        <w:rPr>
          <w:rFonts w:cs="Times New Roman"/>
          <w:i/>
          <w:szCs w:val="24"/>
        </w:rPr>
        <w:t>Lord’s Day Act</w:t>
      </w:r>
      <w:r w:rsidRPr="001D4494">
        <w:rPr>
          <w:rFonts w:cs="Times New Roman"/>
          <w:szCs w:val="24"/>
        </w:rPr>
        <w:t xml:space="preserve"> works a form of coercion inimical to the spirit of the </w:t>
      </w:r>
      <w:r w:rsidRPr="001D4494">
        <w:rPr>
          <w:rFonts w:cs="Times New Roman"/>
          <w:i/>
          <w:szCs w:val="24"/>
        </w:rPr>
        <w:t>Charter</w:t>
      </w:r>
      <w:r w:rsidRPr="001D4494">
        <w:rPr>
          <w:rFonts w:cs="Times New Roman"/>
          <w:szCs w:val="24"/>
        </w:rPr>
        <w:t xml:space="preserve"> and the </w:t>
      </w:r>
      <w:r w:rsidRPr="001D4494">
        <w:rPr>
          <w:rFonts w:cs="Times New Roman"/>
          <w:szCs w:val="24"/>
        </w:rPr>
        <w:lastRenderedPageBreak/>
        <w:t xml:space="preserve">dignity of all non-Christians” (p. 337).  Dickson J.’s words in </w:t>
      </w:r>
      <w:r w:rsidRPr="001D4494">
        <w:rPr>
          <w:rFonts w:cs="Times New Roman"/>
          <w:i/>
          <w:szCs w:val="24"/>
        </w:rPr>
        <w:t>Big M</w:t>
      </w:r>
      <w:r w:rsidRPr="001D4494">
        <w:rPr>
          <w:rFonts w:cs="Times New Roman"/>
          <w:szCs w:val="24"/>
        </w:rPr>
        <w:t xml:space="preserve"> expressly say that there is no constitutional basis to prefer one religion over others.</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In an article critical of the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decision, Professor Langille describes as “chilling” the suggestion that the Court should “</w:t>
      </w:r>
      <w:proofErr w:type="spellStart"/>
      <w:r w:rsidRPr="001D4494">
        <w:rPr>
          <w:rFonts w:cs="Times New Roman"/>
          <w:szCs w:val="24"/>
        </w:rPr>
        <w:t>weig</w:t>
      </w:r>
      <w:proofErr w:type="spellEnd"/>
      <w:r>
        <w:rPr>
          <w:rFonts w:cs="Times New Roman"/>
          <w:szCs w:val="24"/>
        </w:rPr>
        <w:t>[</w:t>
      </w:r>
      <w:r w:rsidRPr="001D4494">
        <w:rPr>
          <w:rFonts w:cs="Times New Roman"/>
          <w:szCs w:val="24"/>
        </w:rPr>
        <w:t>h</w:t>
      </w:r>
      <w:r>
        <w:rPr>
          <w:rFonts w:cs="Times New Roman"/>
          <w:szCs w:val="24"/>
        </w:rPr>
        <w:t>]</w:t>
      </w:r>
      <w:r w:rsidRPr="001D4494">
        <w:rPr>
          <w:rFonts w:cs="Times New Roman"/>
          <w:szCs w:val="24"/>
        </w:rPr>
        <w:t xml:space="preserve"> the harm of banning book clubs as compared to banning collective bargaining and </w:t>
      </w:r>
      <w:proofErr w:type="spellStart"/>
      <w:r>
        <w:rPr>
          <w:rFonts w:cs="Times New Roman"/>
          <w:szCs w:val="24"/>
        </w:rPr>
        <w:t>relegat</w:t>
      </w:r>
      <w:proofErr w:type="spellEnd"/>
      <w:r>
        <w:rPr>
          <w:rFonts w:cs="Times New Roman"/>
          <w:szCs w:val="24"/>
        </w:rPr>
        <w:t>[</w:t>
      </w:r>
      <w:r w:rsidRPr="001D4494">
        <w:rPr>
          <w:rFonts w:cs="Times New Roman"/>
          <w:szCs w:val="24"/>
        </w:rPr>
        <w:t>e</w:t>
      </w:r>
      <w:r>
        <w:rPr>
          <w:rFonts w:cs="Times New Roman"/>
          <w:szCs w:val="24"/>
        </w:rPr>
        <w:t>]</w:t>
      </w:r>
      <w:r w:rsidRPr="001D4494">
        <w:rPr>
          <w:rFonts w:cs="Times New Roman"/>
          <w:szCs w:val="24"/>
        </w:rPr>
        <w:t xml:space="preserve"> the for</w:t>
      </w:r>
      <w:r>
        <w:rPr>
          <w:rFonts w:cs="Times New Roman"/>
          <w:szCs w:val="24"/>
        </w:rPr>
        <w:t>mer to a lower level of concern</w:t>
      </w:r>
      <w:r w:rsidRPr="001D4494">
        <w:rPr>
          <w:rFonts w:cs="Times New Roman"/>
          <w:szCs w:val="24"/>
        </w:rPr>
        <w:t>”</w:t>
      </w:r>
      <w:r>
        <w:rPr>
          <w:rFonts w:cs="Times New Roman"/>
          <w:szCs w:val="24"/>
        </w:rPr>
        <w:t xml:space="preserve">: </w:t>
      </w:r>
      <w:r w:rsidRPr="001D4494">
        <w:rPr>
          <w:rFonts w:cs="Times New Roman"/>
          <w:szCs w:val="24"/>
        </w:rPr>
        <w:t xml:space="preserve"> </w:t>
      </w:r>
      <w:r>
        <w:rPr>
          <w:rFonts w:cs="Times New Roman"/>
          <w:szCs w:val="24"/>
        </w:rPr>
        <w:t>“Freedom of Association</w:t>
      </w:r>
      <w:r w:rsidRPr="001D4494">
        <w:rPr>
          <w:rFonts w:cs="Times New Roman"/>
          <w:szCs w:val="24"/>
        </w:rPr>
        <w:t>”</w:t>
      </w:r>
      <w:r>
        <w:rPr>
          <w:rFonts w:cs="Times New Roman"/>
          <w:szCs w:val="24"/>
        </w:rPr>
        <w:t>,</w:t>
      </w:r>
      <w:r w:rsidRPr="001D4494">
        <w:rPr>
          <w:rFonts w:cs="Times New Roman"/>
          <w:szCs w:val="24"/>
        </w:rPr>
        <w:t xml:space="preserve"> at </w:t>
      </w:r>
      <w:r>
        <w:rPr>
          <w:rFonts w:cs="Times New Roman"/>
          <w:szCs w:val="24"/>
        </w:rPr>
        <w:t xml:space="preserve">p. </w:t>
      </w:r>
      <w:r w:rsidRPr="001D4494">
        <w:rPr>
          <w:rFonts w:cs="Times New Roman"/>
          <w:szCs w:val="24"/>
        </w:rPr>
        <w:t>185. He goes on to state:</w:t>
      </w:r>
    </w:p>
    <w:p w:rsidR="00A00D29" w:rsidRPr="001D4494" w:rsidRDefault="00A00D29" w:rsidP="00A00D29">
      <w:pPr>
        <w:pStyle w:val="Citation-AltC"/>
      </w:pPr>
      <w:r>
        <w:tab/>
      </w:r>
      <w:r w:rsidRPr="001D4494">
        <w:t xml:space="preserve">We should begin with a reminder that this is, after all, a constitution that is being interpreted. It is an entrenched bill of rights and freedoms. The </w:t>
      </w:r>
      <w:r w:rsidRPr="001D4494">
        <w:rPr>
          <w:i/>
        </w:rPr>
        <w:t>Charter</w:t>
      </w:r>
      <w:r w:rsidRPr="001D4494">
        <w:t xml:space="preserve"> value of freedom of association is a basic one. It applies to all Canadians, and the role of the Court is to interpret it in a principled way. There is, in my view, not one freedom of association for Nova Scotia and another for Ontario, nor one for students and one for tenants, nor one for the service sector and another for the manufacturing sector. If there were, this freedom would not be a matter </w:t>
      </w:r>
      <w:r>
        <w:t xml:space="preserve">of </w:t>
      </w:r>
      <w:r w:rsidRPr="001D4494">
        <w:t>fundamental justice. It would be, to use</w:t>
      </w:r>
      <w:r>
        <w:t xml:space="preserve"> the Court’s word, “contextual”.</w:t>
      </w:r>
      <w:r w:rsidRPr="001D4494">
        <w:t xml:space="preserve">  </w:t>
      </w:r>
      <w:r w:rsidR="00F76B1C">
        <w:t>[p. </w:t>
      </w:r>
      <w:r>
        <w:t>202]</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Like Professor Langille, I question whether the approach advocated in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 xml:space="preserve">accords with a purposive interpretation of </w:t>
      </w:r>
      <w:r w:rsidRPr="001D4494">
        <w:rPr>
          <w:rFonts w:cs="Times New Roman"/>
          <w:i/>
          <w:szCs w:val="24"/>
        </w:rPr>
        <w:t>Charter</w:t>
      </w:r>
      <w:r w:rsidRPr="001D4494">
        <w:rPr>
          <w:rFonts w:cs="Times New Roman"/>
          <w:szCs w:val="24"/>
        </w:rPr>
        <w:t xml:space="preserve"> rights.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the </w:t>
      </w:r>
      <w:r>
        <w:t>majority</w:t>
      </w:r>
      <w:r w:rsidRPr="001D4494">
        <w:rPr>
          <w:rFonts w:cs="Times New Roman"/>
          <w:szCs w:val="24"/>
        </w:rPr>
        <w:t xml:space="preserve"> appeared to be inquiring into the purpose of an activity to see if it merits constitutional protection.  This approach requires judges to select among a range of objects and activities on the basis of their general “importance” to society rather than their connection to the freedom to associate. It is inappropriate for the Court to engage in this sort of inquiry in defining the scope of a constitutional right.  It would be assessing whether, as a matter of policy, a given activity merits constitutional protection.  In my view, the purpose of s. 2(</w:t>
      </w:r>
      <w:r w:rsidRPr="007A4259">
        <w:rPr>
          <w:rFonts w:cs="Times New Roman"/>
          <w:i/>
          <w:szCs w:val="24"/>
        </w:rPr>
        <w:t>d</w:t>
      </w:r>
      <w:r w:rsidRPr="001D4494">
        <w:rPr>
          <w:rFonts w:cs="Times New Roman"/>
          <w:szCs w:val="24"/>
        </w:rPr>
        <w:t xml:space="preserve">) is to protect associational </w:t>
      </w:r>
      <w:r w:rsidRPr="001D4494">
        <w:rPr>
          <w:rFonts w:cs="Times New Roman"/>
          <w:szCs w:val="24"/>
        </w:rPr>
        <w:lastRenderedPageBreak/>
        <w:t xml:space="preserve">activity against precisely such value judgments. A “contextual” approach of the sort proposed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would in fact be contrary to the purpose of s. 2(</w:t>
      </w:r>
      <w:r w:rsidRPr="00307A58">
        <w:rPr>
          <w:rFonts w:cs="Times New Roman"/>
          <w:i/>
          <w:szCs w:val="24"/>
        </w:rPr>
        <w:t>d</w:t>
      </w:r>
      <w:r w:rsidRPr="001D4494">
        <w:rPr>
          <w:rFonts w:cs="Times New Roman"/>
          <w:szCs w:val="24"/>
        </w:rPr>
        <w:t>) as it requires the judiciary to engage in these</w:t>
      </w:r>
      <w:r>
        <w:rPr>
          <w:rFonts w:cs="Times New Roman"/>
          <w:szCs w:val="24"/>
        </w:rPr>
        <w:t xml:space="preserve"> value judgments itself: see R. K. </w:t>
      </w:r>
      <w:r w:rsidRPr="001D4494">
        <w:rPr>
          <w:rFonts w:cs="Times New Roman"/>
          <w:szCs w:val="24"/>
        </w:rPr>
        <w:t xml:space="preserve">Basu, “Revolution and Aftermath: </w:t>
      </w:r>
      <w:r w:rsidRPr="00307A58">
        <w:rPr>
          <w:rFonts w:cs="Times New Roman"/>
          <w:i/>
          <w:szCs w:val="24"/>
        </w:rPr>
        <w:t>B.C. Health Services</w:t>
      </w:r>
      <w:r>
        <w:rPr>
          <w:rFonts w:cs="Times New Roman"/>
          <w:szCs w:val="24"/>
        </w:rPr>
        <w:t xml:space="preserve"> and I</w:t>
      </w:r>
      <w:r w:rsidRPr="001D4494">
        <w:rPr>
          <w:rFonts w:cs="Times New Roman"/>
          <w:szCs w:val="24"/>
        </w:rPr>
        <w:t>ts Implications” (2008)</w:t>
      </w:r>
      <w:r>
        <w:rPr>
          <w:rFonts w:cs="Times New Roman"/>
          <w:szCs w:val="24"/>
        </w:rPr>
        <w:t>,</w:t>
      </w:r>
      <w:r w:rsidRPr="001D4494">
        <w:rPr>
          <w:rFonts w:cs="Times New Roman"/>
          <w:szCs w:val="24"/>
        </w:rPr>
        <w:t xml:space="preserve"> 42 </w:t>
      </w:r>
      <w:r w:rsidRPr="00307A58">
        <w:rPr>
          <w:rFonts w:cs="Times New Roman"/>
          <w:i/>
          <w:szCs w:val="24"/>
        </w:rPr>
        <w:t>S.C.L.R.</w:t>
      </w:r>
      <w:r w:rsidRPr="001D4494">
        <w:rPr>
          <w:rFonts w:cs="Times New Roman"/>
          <w:szCs w:val="24"/>
        </w:rPr>
        <w:t xml:space="preserve"> </w:t>
      </w:r>
      <w:r>
        <w:rPr>
          <w:rFonts w:cs="Times New Roman"/>
          <w:szCs w:val="24"/>
        </w:rPr>
        <w:t xml:space="preserve">(2d) </w:t>
      </w:r>
      <w:r w:rsidRPr="001D4494">
        <w:rPr>
          <w:rFonts w:cs="Times New Roman"/>
          <w:szCs w:val="24"/>
        </w:rPr>
        <w:t>165</w:t>
      </w:r>
      <w:r>
        <w:rPr>
          <w:rFonts w:cs="Times New Roman"/>
          <w:szCs w:val="24"/>
        </w:rPr>
        <w:t>,</w:t>
      </w:r>
      <w:r w:rsidRPr="001D4494">
        <w:rPr>
          <w:rFonts w:cs="Times New Roman"/>
          <w:szCs w:val="24"/>
        </w:rPr>
        <w:t xml:space="preserve"> at </w:t>
      </w:r>
      <w:r>
        <w:rPr>
          <w:rFonts w:cs="Times New Roman"/>
          <w:szCs w:val="24"/>
        </w:rPr>
        <w:t xml:space="preserve">pp. </w:t>
      </w:r>
      <w:r w:rsidRPr="001D4494">
        <w:rPr>
          <w:rFonts w:cs="Times New Roman"/>
          <w:szCs w:val="24"/>
        </w:rPr>
        <w:t>186</w:t>
      </w:r>
      <w:r>
        <w:rPr>
          <w:rFonts w:cs="Times New Roman"/>
          <w:szCs w:val="24"/>
        </w:rPr>
        <w:t>-87</w:t>
      </w:r>
      <w:r w:rsidRPr="001D4494">
        <w:rPr>
          <w:rFonts w:cs="Times New Roman"/>
          <w:szCs w:val="24"/>
        </w:rPr>
        <w:t xml:space="preserve">.  In </w:t>
      </w:r>
      <w:r>
        <w:rPr>
          <w:rFonts w:cs="Times New Roman"/>
          <w:i/>
          <w:szCs w:val="24"/>
        </w:rPr>
        <w:t>R. v. Advance Cutting &amp;</w:t>
      </w:r>
      <w:r w:rsidRPr="001D4494">
        <w:rPr>
          <w:rFonts w:cs="Times New Roman"/>
          <w:i/>
          <w:szCs w:val="24"/>
        </w:rPr>
        <w:t xml:space="preserve"> Coring</w:t>
      </w:r>
      <w:r>
        <w:rPr>
          <w:rFonts w:cs="Times New Roman"/>
          <w:i/>
          <w:szCs w:val="24"/>
        </w:rPr>
        <w:t xml:space="preserve"> Ltd.</w:t>
      </w:r>
      <w:r w:rsidRPr="001D4494">
        <w:rPr>
          <w:rFonts w:cs="Times New Roman"/>
          <w:szCs w:val="24"/>
        </w:rPr>
        <w:t xml:space="preserve">, </w:t>
      </w:r>
      <w:r>
        <w:rPr>
          <w:rFonts w:cs="Times New Roman"/>
          <w:szCs w:val="24"/>
        </w:rPr>
        <w:t xml:space="preserve">2001 SCC 70, [2001] 3 S.C.R. 209, </w:t>
      </w:r>
      <w:r w:rsidRPr="001D4494">
        <w:rPr>
          <w:rFonts w:cs="Times New Roman"/>
          <w:szCs w:val="24"/>
        </w:rPr>
        <w:t>LeBel J. recognized that such a role would be inappropriate for the Court and would take the Court beyond the scope of s. 2(</w:t>
      </w:r>
      <w:r w:rsidRPr="00307A58">
        <w:rPr>
          <w:rFonts w:cs="Times New Roman"/>
          <w:i/>
          <w:szCs w:val="24"/>
        </w:rPr>
        <w:t>d</w:t>
      </w:r>
      <w:r w:rsidRPr="001D4494">
        <w:rPr>
          <w:rFonts w:cs="Times New Roman"/>
          <w:szCs w:val="24"/>
        </w:rPr>
        <w:t xml:space="preserve">): </w:t>
      </w:r>
    </w:p>
    <w:p w:rsidR="00A00D29" w:rsidRPr="001D4494" w:rsidRDefault="00A00D29" w:rsidP="00A00D29">
      <w:pPr>
        <w:pStyle w:val="Citation-AltC"/>
      </w:pPr>
      <w:r w:rsidRPr="001D4494">
        <w:t>If this constitutional guarantee were to apply to the widest range of associations with the most diverse objects and activities, extending constitutional protection to a legislative creation like collective bargaining might have unforeseeable consequences and widen the sphere of constitutional protection to undefined and unknowable activities, well beyond th</w:t>
      </w:r>
      <w:r>
        <w:t>e proper domain of s. 2(</w:t>
      </w:r>
      <w:r w:rsidRPr="0046471A">
        <w:rPr>
          <w:i/>
        </w:rPr>
        <w:t>d</w:t>
      </w:r>
      <w:r>
        <w:t>). [para. 180]</w:t>
      </w:r>
    </w:p>
    <w:p w:rsidR="00A00D29" w:rsidRPr="001D4494" w:rsidRDefault="00A00D29" w:rsidP="00613CC7">
      <w:pPr>
        <w:pStyle w:val="ReasonsNumbering-AltN"/>
        <w:ind w:left="0" w:firstLine="0"/>
        <w:rPr>
          <w:rFonts w:cs="Times New Roman"/>
          <w:color w:val="000000"/>
          <w:szCs w:val="24"/>
        </w:rPr>
      </w:pPr>
      <w:r w:rsidRPr="001D4494">
        <w:rPr>
          <w:color w:val="000000"/>
        </w:rPr>
        <w:t xml:space="preserve">My colleagues say that the “consideration of goals [of a particular association] cannot be avoided” as </w:t>
      </w:r>
      <w:r w:rsidRPr="001D4494">
        <w:rPr>
          <w:i/>
          <w:color w:val="000000"/>
        </w:rPr>
        <w:t>Charter</w:t>
      </w:r>
      <w:r w:rsidRPr="001D4494">
        <w:rPr>
          <w:color w:val="000000"/>
        </w:rPr>
        <w:t xml:space="preserve"> rights “must be interpreted in a purposive way </w:t>
      </w:r>
      <w:r>
        <w:rPr>
          <w:color w:val="000000"/>
        </w:rPr>
        <w:t>—</w:t>
      </w:r>
      <w:r w:rsidRPr="001D4494">
        <w:rPr>
          <w:color w:val="000000"/>
        </w:rPr>
        <w:t xml:space="preserve"> having regard for the purposes, or goals, they serve</w:t>
      </w:r>
      <w:r w:rsidR="00F76B1C">
        <w:rPr>
          <w:color w:val="000000"/>
        </w:rPr>
        <w:t xml:space="preserve">” </w:t>
      </w:r>
      <w:r w:rsidR="00F76B1C" w:rsidRPr="001D4494">
        <w:rPr>
          <w:color w:val="000000"/>
        </w:rPr>
        <w:t xml:space="preserve">(para. 75).  </w:t>
      </w:r>
      <w:r w:rsidRPr="001D4494">
        <w:rPr>
          <w:color w:val="000000"/>
        </w:rPr>
        <w:t>They say that a “content-neutral right is too often a meaningless right” (</w:t>
      </w:r>
      <w:r w:rsidR="00F76B1C" w:rsidRPr="00F76B1C">
        <w:rPr>
          <w:i/>
          <w:color w:val="000000"/>
        </w:rPr>
        <w:t>ibid.</w:t>
      </w:r>
      <w:r w:rsidRPr="001D4494">
        <w:rPr>
          <w:color w:val="000000"/>
        </w:rPr>
        <w:t xml:space="preserve">).  Based on my colleagues’ approach, meaningful freedom of association requires the state to coerce employers into negotiating in good faith with employee associations.  </w:t>
      </w:r>
    </w:p>
    <w:p w:rsidR="00A00D29" w:rsidRPr="001D4494" w:rsidRDefault="00A00D29" w:rsidP="00613CC7">
      <w:pPr>
        <w:pStyle w:val="ReasonsNumbering-AltN"/>
        <w:ind w:left="0" w:firstLine="0"/>
        <w:rPr>
          <w:rFonts w:cs="Times New Roman"/>
          <w:color w:val="000000"/>
          <w:szCs w:val="24"/>
        </w:rPr>
      </w:pPr>
      <w:r w:rsidRPr="001D4494">
        <w:rPr>
          <w:color w:val="000000"/>
        </w:rPr>
        <w:t xml:space="preserve">However, as I have just discussed, their approach would require the courts to focus on the purposes of a particular association rather than the purpose of freedom of association found in the </w:t>
      </w:r>
      <w:r w:rsidRPr="001D4494">
        <w:rPr>
          <w:i/>
          <w:color w:val="000000"/>
        </w:rPr>
        <w:t>Charter</w:t>
      </w:r>
      <w:r w:rsidRPr="001D4494">
        <w:rPr>
          <w:color w:val="000000"/>
        </w:rPr>
        <w:t xml:space="preserve"> itself.  Their approach diverges from the purposive approach to </w:t>
      </w:r>
      <w:r w:rsidRPr="001D4494">
        <w:rPr>
          <w:i/>
          <w:color w:val="000000"/>
        </w:rPr>
        <w:t>Charter</w:t>
      </w:r>
      <w:r w:rsidRPr="001D4494">
        <w:rPr>
          <w:color w:val="000000"/>
        </w:rPr>
        <w:t xml:space="preserve"> interpretation explained in </w:t>
      </w:r>
      <w:r w:rsidRPr="001D4494">
        <w:rPr>
          <w:i/>
          <w:color w:val="000000"/>
        </w:rPr>
        <w:t>Big M</w:t>
      </w:r>
      <w:r w:rsidRPr="001D4494">
        <w:rPr>
          <w:color w:val="000000"/>
        </w:rPr>
        <w:t xml:space="preserve">.  Rather than </w:t>
      </w:r>
      <w:r w:rsidRPr="001D4494">
        <w:rPr>
          <w:color w:val="000000"/>
        </w:rPr>
        <w:lastRenderedPageBreak/>
        <w:t>focus</w:t>
      </w:r>
      <w:r>
        <w:rPr>
          <w:color w:val="000000"/>
        </w:rPr>
        <w:t>s</w:t>
      </w:r>
      <w:r w:rsidRPr="001D4494">
        <w:rPr>
          <w:color w:val="000000"/>
        </w:rPr>
        <w:t>ing on the linguistic, philosophic and historical contexts of the right itself, their approach focus</w:t>
      </w:r>
      <w:r>
        <w:rPr>
          <w:color w:val="000000"/>
        </w:rPr>
        <w:t>s</w:t>
      </w:r>
      <w:r w:rsidRPr="001D4494">
        <w:rPr>
          <w:color w:val="000000"/>
        </w:rPr>
        <w:t xml:space="preserve">es on the particular aims and goals of </w:t>
      </w:r>
      <w:r w:rsidRPr="00613CC7">
        <w:rPr>
          <w:rFonts w:cs="Times New Roman"/>
          <w:szCs w:val="24"/>
        </w:rPr>
        <w:t>the</w:t>
      </w:r>
      <w:r w:rsidRPr="001D4494">
        <w:rPr>
          <w:color w:val="000000"/>
        </w:rPr>
        <w:t xml:space="preserve"> association in question.  The inquiry shifts from a consideration of the purpose and context of the </w:t>
      </w:r>
      <w:r w:rsidRPr="001D4494">
        <w:rPr>
          <w:i/>
          <w:color w:val="000000"/>
        </w:rPr>
        <w:t>Charter</w:t>
      </w:r>
      <w:r w:rsidRPr="001D4494">
        <w:rPr>
          <w:color w:val="000000"/>
        </w:rPr>
        <w:t xml:space="preserve">, to a consideration of what activities the courts believe are normatively and subjectively more important. The result of the approach in </w:t>
      </w:r>
      <w:r w:rsidRPr="001D4494">
        <w:rPr>
          <w:rFonts w:cs="Times New Roman"/>
          <w:i/>
          <w:color w:val="000000"/>
          <w:szCs w:val="24"/>
        </w:rPr>
        <w:t>Health</w:t>
      </w:r>
      <w:r>
        <w:rPr>
          <w:rFonts w:cs="Times New Roman"/>
          <w:i/>
          <w:color w:val="000000"/>
          <w:szCs w:val="24"/>
        </w:rPr>
        <w:t xml:space="preserve"> Services</w:t>
      </w:r>
      <w:r w:rsidRPr="001D4494">
        <w:rPr>
          <w:color w:val="000000"/>
        </w:rPr>
        <w:t xml:space="preserve"> was that the goal of employee associations</w:t>
      </w:r>
      <w:r>
        <w:rPr>
          <w:color w:val="000000"/>
        </w:rPr>
        <w:t xml:space="preserve"> </w:t>
      </w:r>
      <w:r w:rsidRPr="001D4494">
        <w:rPr>
          <w:color w:val="000000"/>
        </w:rPr>
        <w:t>—</w:t>
      </w:r>
      <w:r>
        <w:rPr>
          <w:color w:val="000000"/>
        </w:rPr>
        <w:t xml:space="preserve"> </w:t>
      </w:r>
      <w:r w:rsidRPr="001D4494">
        <w:rPr>
          <w:color w:val="000000"/>
        </w:rPr>
        <w:t>imposing the obligation of collective bargaining on employers</w:t>
      </w:r>
      <w:r>
        <w:rPr>
          <w:color w:val="000000"/>
        </w:rPr>
        <w:t xml:space="preserve"> </w:t>
      </w:r>
      <w:r w:rsidRPr="001D4494">
        <w:rPr>
          <w:color w:val="000000"/>
        </w:rPr>
        <w:t>—</w:t>
      </w:r>
      <w:r>
        <w:rPr>
          <w:color w:val="000000"/>
        </w:rPr>
        <w:t xml:space="preserve"> </w:t>
      </w:r>
      <w:r w:rsidRPr="001D4494">
        <w:rPr>
          <w:color w:val="000000"/>
        </w:rPr>
        <w:t xml:space="preserve">is constitutionally entrenched, while the goals of other associations were not.  </w:t>
      </w:r>
      <w:r w:rsidRPr="001D4494">
        <w:rPr>
          <w:rFonts w:cs="Times New Roman"/>
          <w:color w:val="000000"/>
          <w:szCs w:val="24"/>
        </w:rPr>
        <w:t xml:space="preserve">It is difficult to see how this result can be anything other than a judicial endorsement of the importance of collective bargaining over other </w:t>
      </w:r>
      <w:proofErr w:type="spellStart"/>
      <w:r w:rsidRPr="001D4494">
        <w:rPr>
          <w:rFonts w:cs="Times New Roman"/>
          <w:color w:val="000000"/>
          <w:szCs w:val="24"/>
        </w:rPr>
        <w:t>unconstitutionalized</w:t>
      </w:r>
      <w:proofErr w:type="spellEnd"/>
      <w:r w:rsidRPr="001D4494">
        <w:rPr>
          <w:rFonts w:cs="Times New Roman"/>
          <w:color w:val="000000"/>
          <w:szCs w:val="24"/>
        </w:rPr>
        <w:t xml:space="preserve"> associational activities.</w:t>
      </w:r>
    </w:p>
    <w:p w:rsidR="00A00D29" w:rsidRPr="001D4494" w:rsidRDefault="00A00D29" w:rsidP="00613CC7">
      <w:pPr>
        <w:pStyle w:val="ReasonsNumbering-AltN"/>
        <w:ind w:left="0" w:firstLine="0"/>
        <w:rPr>
          <w:rFonts w:cs="Times New Roman"/>
          <w:szCs w:val="24"/>
        </w:rPr>
      </w:pPr>
      <w:r w:rsidRPr="001D4494">
        <w:rPr>
          <w:rFonts w:cs="Times New Roman"/>
          <w:szCs w:val="24"/>
        </w:rPr>
        <w:t>A content</w:t>
      </w:r>
      <w:r>
        <w:rPr>
          <w:rFonts w:cs="Times New Roman"/>
          <w:szCs w:val="24"/>
        </w:rPr>
        <w:t>-</w:t>
      </w:r>
      <w:r w:rsidRPr="001D4494">
        <w:rPr>
          <w:rFonts w:cs="Times New Roman"/>
          <w:szCs w:val="24"/>
        </w:rPr>
        <w:t>neutral approach does not allow for constitutional protection of collective bargaining and no constitutional protection of the aims and objects of other associations.  Short of protecting all ai</w:t>
      </w:r>
      <w:r>
        <w:rPr>
          <w:rFonts w:cs="Times New Roman"/>
          <w:szCs w:val="24"/>
        </w:rPr>
        <w:t>ms and objects of associations,</w:t>
      </w:r>
      <w:r w:rsidRPr="001D4494">
        <w:rPr>
          <w:rFonts w:cs="Times New Roman"/>
          <w:szCs w:val="24"/>
        </w:rPr>
        <w:t xml:space="preserve"> s. 2(</w:t>
      </w:r>
      <w:r w:rsidRPr="00B5508B">
        <w:rPr>
          <w:rFonts w:cs="Times New Roman"/>
          <w:i/>
          <w:szCs w:val="24"/>
        </w:rPr>
        <w:t>d</w:t>
      </w:r>
      <w:r w:rsidRPr="001D4494">
        <w:rPr>
          <w:rFonts w:cs="Times New Roman"/>
          <w:szCs w:val="24"/>
        </w:rPr>
        <w:t xml:space="preserve">) cannot be interpreted in a fashion which is neutral as between different associations while imposing a duty of collective bargaining on employers and groups of employees. </w:t>
      </w:r>
    </w:p>
    <w:p w:rsidR="00A00D29" w:rsidRDefault="00A00D29" w:rsidP="00F76B1C">
      <w:pPr>
        <w:pStyle w:val="HeadingTitre-AltH"/>
        <w:tabs>
          <w:tab w:val="clear" w:pos="360"/>
          <w:tab w:val="left" w:pos="1800"/>
        </w:tabs>
        <w:ind w:left="1170" w:firstLine="0"/>
      </w:pPr>
      <w:r w:rsidRPr="001D4494">
        <w:t>(4)</w:t>
      </w:r>
      <w:r w:rsidRPr="001D4494">
        <w:tab/>
      </w:r>
      <w:r w:rsidRPr="00395C4A">
        <w:rPr>
          <w:u w:val="single"/>
        </w:rPr>
        <w:t>Section 2(</w:t>
      </w:r>
      <w:r w:rsidRPr="00B5508B">
        <w:rPr>
          <w:i/>
          <w:u w:val="single"/>
        </w:rPr>
        <w:t>d</w:t>
      </w:r>
      <w:r w:rsidRPr="00395C4A">
        <w:rPr>
          <w:u w:val="single"/>
        </w:rPr>
        <w:t xml:space="preserve">) </w:t>
      </w:r>
      <w:r>
        <w:rPr>
          <w:u w:val="single"/>
        </w:rPr>
        <w:t>Does Not Give Constitutional Status to C</w:t>
      </w:r>
      <w:r w:rsidRPr="00395C4A">
        <w:rPr>
          <w:u w:val="single"/>
        </w:rPr>
        <w:t>ontracts</w:t>
      </w:r>
    </w:p>
    <w:p w:rsidR="00A00D29" w:rsidRPr="00324606" w:rsidRDefault="00A00D29" w:rsidP="00A00D29"/>
    <w:p w:rsidR="00A00D29" w:rsidRPr="001D4494" w:rsidRDefault="00A00D29" w:rsidP="00613CC7">
      <w:pPr>
        <w:pStyle w:val="ReasonsNumbering-AltN"/>
        <w:ind w:left="0" w:firstLine="0"/>
        <w:rPr>
          <w:rFonts w:cs="Times New Roman"/>
          <w:szCs w:val="24"/>
        </w:rPr>
      </w:pPr>
      <w:r w:rsidRPr="001D4494">
        <w:rPr>
          <w:rFonts w:cs="Times New Roman"/>
          <w:szCs w:val="24"/>
        </w:rPr>
        <w:t xml:space="preserve">A fourth difficulty with the collective bargaining right in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 xml:space="preserve">is that it places contracts above statutes in the traditional hierarchy of laws. Although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purported to constitutionalize the process of collective bargaining rather than its fruits, it in fact granted constitutional protection to the collective agreements on the basis that they were the fruits of that process.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w:t>
      </w:r>
      <w:r w:rsidRPr="001D4494">
        <w:rPr>
          <w:rFonts w:cs="Times New Roman"/>
          <w:szCs w:val="24"/>
        </w:rPr>
        <w:lastRenderedPageBreak/>
        <w:t>the challenged legislation had the effect of invalidating portions of existing collective agreements and consequently “undermining the past bargaining processes that formed the basis for these agreements”</w:t>
      </w:r>
      <w:r w:rsidR="00F76B1C">
        <w:rPr>
          <w:rFonts w:cs="Times New Roman"/>
          <w:szCs w:val="24"/>
        </w:rPr>
        <w:t xml:space="preserve"> (</w:t>
      </w:r>
      <w:r w:rsidRPr="001D4494">
        <w:rPr>
          <w:rFonts w:cs="Times New Roman"/>
          <w:szCs w:val="24"/>
        </w:rPr>
        <w:t>para. 113</w:t>
      </w:r>
      <w:r w:rsidR="00F76B1C">
        <w:rPr>
          <w:rFonts w:cs="Times New Roman"/>
          <w:szCs w:val="24"/>
        </w:rPr>
        <w:t>)</w:t>
      </w:r>
      <w:r w:rsidRPr="001D4494">
        <w:rPr>
          <w:rFonts w:cs="Times New Roman"/>
          <w:szCs w:val="24"/>
        </w:rPr>
        <w:t>.  This was found to violate s. 2(</w:t>
      </w:r>
      <w:r w:rsidRPr="00B5508B">
        <w:rPr>
          <w:rFonts w:cs="Times New Roman"/>
          <w:i/>
          <w:szCs w:val="24"/>
        </w:rPr>
        <w:t>d</w:t>
      </w:r>
      <w:r w:rsidRPr="001D4494">
        <w:rPr>
          <w:rFonts w:cs="Times New Roman"/>
          <w:szCs w:val="24"/>
        </w:rPr>
        <w:t>) (para. 136).</w:t>
      </w:r>
    </w:p>
    <w:p w:rsidR="00A00D29" w:rsidRPr="001D4494" w:rsidRDefault="00A00D29" w:rsidP="00613CC7">
      <w:pPr>
        <w:pStyle w:val="ReasonsNumbering-AltN"/>
        <w:ind w:left="0" w:firstLine="0"/>
        <w:rPr>
          <w:rFonts w:cs="Times New Roman"/>
          <w:color w:val="000000"/>
          <w:szCs w:val="24"/>
        </w:rPr>
      </w:pPr>
      <w:r w:rsidRPr="001D4494">
        <w:rPr>
          <w:rFonts w:cs="Times New Roman"/>
          <w:color w:val="000000"/>
          <w:szCs w:val="24"/>
        </w:rPr>
        <w:t xml:space="preserve">In </w:t>
      </w:r>
      <w:r w:rsidRPr="00613CC7">
        <w:rPr>
          <w:rFonts w:cs="Times New Roman"/>
          <w:szCs w:val="24"/>
        </w:rPr>
        <w:t>response</w:t>
      </w:r>
      <w:r w:rsidRPr="001D4494">
        <w:rPr>
          <w:rFonts w:cs="Times New Roman"/>
          <w:color w:val="000000"/>
          <w:szCs w:val="24"/>
        </w:rPr>
        <w:t xml:space="preserve"> to this argument, the Chief Justice and LeBel J. write that </w:t>
      </w:r>
      <w:r w:rsidRPr="001D4494">
        <w:rPr>
          <w:rFonts w:cs="Times New Roman"/>
          <w:i/>
          <w:color w:val="000000"/>
          <w:szCs w:val="24"/>
        </w:rPr>
        <w:t>Health</w:t>
      </w:r>
      <w:r>
        <w:rPr>
          <w:rFonts w:cs="Times New Roman"/>
          <w:i/>
          <w:color w:val="000000"/>
          <w:szCs w:val="24"/>
        </w:rPr>
        <w:t xml:space="preserve"> Services</w:t>
      </w:r>
      <w:r>
        <w:rPr>
          <w:rFonts w:cs="Times New Roman"/>
          <w:color w:val="000000"/>
          <w:szCs w:val="24"/>
        </w:rPr>
        <w:t xml:space="preserve"> </w:t>
      </w:r>
      <w:r w:rsidRPr="001D4494">
        <w:rPr>
          <w:rFonts w:cs="Times New Roman"/>
          <w:color w:val="000000"/>
          <w:szCs w:val="24"/>
        </w:rPr>
        <w:t xml:space="preserve">did not hold that </w:t>
      </w:r>
      <w:r>
        <w:rPr>
          <w:rFonts w:cs="Times New Roman"/>
          <w:color w:val="000000"/>
          <w:szCs w:val="24"/>
        </w:rPr>
        <w:t>“</w:t>
      </w:r>
      <w:r w:rsidRPr="001D4494">
        <w:rPr>
          <w:rFonts w:cs="Times New Roman"/>
          <w:color w:val="000000"/>
          <w:szCs w:val="24"/>
        </w:rPr>
        <w:t xml:space="preserve">labour contracts could never be interfered with by legislation” (para. 76).  However, if as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holds, it is unconstitutional for a statute to legislatively nullify “significant contractual terms”, then it must logically follow that those “significant contractual terms” have been elevated above statutes.  The actual effect of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is quite the opposite from what my colleagues assert it to be.</w:t>
      </w:r>
    </w:p>
    <w:p w:rsidR="00A00D29" w:rsidRPr="001D4494" w:rsidRDefault="00A00D29" w:rsidP="00613CC7">
      <w:pPr>
        <w:pStyle w:val="ReasonsNumbering-AltN"/>
        <w:ind w:left="0" w:firstLine="0"/>
        <w:rPr>
          <w:rFonts w:cs="Times New Roman"/>
          <w:szCs w:val="24"/>
        </w:rPr>
      </w:pPr>
      <w:r w:rsidRPr="001D4494">
        <w:rPr>
          <w:rFonts w:cs="Times New Roman"/>
          <w:color w:val="000000"/>
          <w:szCs w:val="24"/>
        </w:rPr>
        <w:t xml:space="preserve">My </w:t>
      </w:r>
      <w:r w:rsidRPr="00613CC7">
        <w:rPr>
          <w:rFonts w:cs="Times New Roman"/>
          <w:szCs w:val="24"/>
        </w:rPr>
        <w:t>view</w:t>
      </w:r>
      <w:r w:rsidRPr="001D4494">
        <w:rPr>
          <w:rFonts w:cs="Times New Roman"/>
          <w:color w:val="000000"/>
          <w:szCs w:val="24"/>
        </w:rPr>
        <w:t xml:space="preserve"> is consistent with that of </w:t>
      </w:r>
      <w:r w:rsidRPr="001D4494">
        <w:rPr>
          <w:rFonts w:cs="Times New Roman"/>
          <w:szCs w:val="24"/>
        </w:rPr>
        <w:t xml:space="preserve">Professor Hogg </w:t>
      </w:r>
      <w:r w:rsidRPr="001D4494">
        <w:rPr>
          <w:rFonts w:cs="Times New Roman"/>
          <w:color w:val="000000"/>
          <w:szCs w:val="24"/>
        </w:rPr>
        <w:t xml:space="preserve">who observed that </w:t>
      </w:r>
      <w:r>
        <w:rPr>
          <w:rFonts w:cs="Times New Roman"/>
          <w:szCs w:val="24"/>
        </w:rPr>
        <w:t>“[t]his</w:t>
      </w:r>
      <w:r w:rsidRPr="001D4494">
        <w:rPr>
          <w:rFonts w:cs="Times New Roman"/>
          <w:szCs w:val="24"/>
        </w:rPr>
        <w:t xml:space="preserve"> ruling elevated collective agreements above statutes in the hierarchy of laws, and granted them virtually the same status as the provisions of the </w:t>
      </w:r>
      <w:r w:rsidRPr="00B5508B">
        <w:rPr>
          <w:rFonts w:cs="Times New Roman"/>
          <w:szCs w:val="24"/>
        </w:rPr>
        <w:t>Charter</w:t>
      </w:r>
      <w:r w:rsidRPr="001D4494">
        <w:rPr>
          <w:rFonts w:cs="Times New Roman"/>
          <w:i/>
          <w:szCs w:val="24"/>
        </w:rPr>
        <w:t xml:space="preserve"> </w:t>
      </w:r>
      <w:r w:rsidRPr="001D4494">
        <w:rPr>
          <w:rFonts w:cs="Times New Roman"/>
          <w:szCs w:val="24"/>
        </w:rPr>
        <w:t>itself”</w:t>
      </w:r>
      <w:r w:rsidR="00F76B1C">
        <w:rPr>
          <w:rFonts w:cs="Times New Roman"/>
          <w:szCs w:val="24"/>
        </w:rPr>
        <w:t xml:space="preserve"> (</w:t>
      </w:r>
      <w:r>
        <w:rPr>
          <w:rFonts w:cs="Times New Roman"/>
          <w:szCs w:val="24"/>
        </w:rPr>
        <w:t>p. 44-</w:t>
      </w:r>
      <w:r w:rsidRPr="001D4494">
        <w:rPr>
          <w:rFonts w:cs="Times New Roman"/>
          <w:szCs w:val="24"/>
        </w:rPr>
        <w:t>9</w:t>
      </w:r>
      <w:r w:rsidR="00F76B1C">
        <w:rPr>
          <w:rFonts w:cs="Times New Roman"/>
          <w:szCs w:val="24"/>
        </w:rPr>
        <w:t>)</w:t>
      </w:r>
      <w:r w:rsidRPr="001D4494">
        <w:rPr>
          <w:rFonts w:cs="Times New Roman"/>
          <w:szCs w:val="24"/>
        </w:rPr>
        <w:t xml:space="preserve">.  Indeed, in the </w:t>
      </w:r>
      <w:r w:rsidRPr="00324606">
        <w:rPr>
          <w:rFonts w:cs="Times New Roman"/>
          <w:i/>
          <w:szCs w:val="24"/>
        </w:rPr>
        <w:t>Reference re ss. 193 and 195.1(1</w:t>
      </w:r>
      <w:proofErr w:type="gramStart"/>
      <w:r w:rsidRPr="00324606">
        <w:rPr>
          <w:rFonts w:cs="Times New Roman"/>
          <w:i/>
          <w:szCs w:val="24"/>
        </w:rPr>
        <w:t>)(</w:t>
      </w:r>
      <w:proofErr w:type="gramEnd"/>
      <w:r w:rsidRPr="00324606">
        <w:rPr>
          <w:rFonts w:cs="Times New Roman"/>
          <w:i/>
          <w:szCs w:val="24"/>
        </w:rPr>
        <w:t>c) of the</w:t>
      </w:r>
      <w:r w:rsidRPr="001D4494">
        <w:rPr>
          <w:rFonts w:cs="Times New Roman"/>
          <w:szCs w:val="24"/>
        </w:rPr>
        <w:t xml:space="preserve"> </w:t>
      </w:r>
      <w:r w:rsidRPr="001D4494">
        <w:rPr>
          <w:rFonts w:cs="Times New Roman"/>
          <w:i/>
          <w:szCs w:val="24"/>
        </w:rPr>
        <w:t>Criminal Code (Man.)</w:t>
      </w:r>
      <w:r w:rsidRPr="001D4494">
        <w:rPr>
          <w:rFonts w:cs="Times New Roman"/>
          <w:szCs w:val="24"/>
        </w:rPr>
        <w:t xml:space="preserve">, [1990] 1 S.C.R. 1123 </w:t>
      </w:r>
      <w:r>
        <w:rPr>
          <w:rFonts w:cs="Times New Roman"/>
          <w:szCs w:val="24"/>
        </w:rPr>
        <w:t>(the “</w:t>
      </w:r>
      <w:r w:rsidRPr="001D4494">
        <w:rPr>
          <w:rFonts w:cs="Times New Roman"/>
          <w:i/>
          <w:szCs w:val="24"/>
        </w:rPr>
        <w:t>Prostitution Reference</w:t>
      </w:r>
      <w:r>
        <w:rPr>
          <w:rFonts w:cs="Times New Roman"/>
          <w:szCs w:val="24"/>
        </w:rPr>
        <w:t>”),</w:t>
      </w:r>
      <w:r w:rsidRPr="001D4494">
        <w:rPr>
          <w:rFonts w:cs="Times New Roman"/>
          <w:szCs w:val="24"/>
        </w:rPr>
        <w:t xml:space="preserve"> at p. 1171, Justice Lamer (as he then was) explicitly rejected the idea that a constitutional guarantee safeguarding freedom of contract was included under the Canadian </w:t>
      </w:r>
      <w:r w:rsidRPr="001D4494">
        <w:rPr>
          <w:rFonts w:cs="Times New Roman"/>
          <w:i/>
          <w:szCs w:val="24"/>
        </w:rPr>
        <w:t>Charter</w:t>
      </w:r>
      <w:r w:rsidRPr="001D4494">
        <w:rPr>
          <w:rFonts w:cs="Times New Roman"/>
          <w:szCs w:val="24"/>
        </w:rPr>
        <w:t>.</w:t>
      </w:r>
    </w:p>
    <w:p w:rsidR="00A00D29" w:rsidRDefault="00A00D29" w:rsidP="00F76B1C">
      <w:pPr>
        <w:pStyle w:val="HeadingTitre-AltH"/>
        <w:tabs>
          <w:tab w:val="clear" w:pos="360"/>
          <w:tab w:val="left" w:pos="1170"/>
        </w:tabs>
        <w:spacing w:after="720"/>
        <w:ind w:left="1800" w:hanging="630"/>
      </w:pPr>
      <w:r w:rsidRPr="001D4494">
        <w:t>(5)</w:t>
      </w:r>
      <w:r w:rsidRPr="001D4494">
        <w:tab/>
      </w:r>
      <w:r w:rsidRPr="00395C4A">
        <w:rPr>
          <w:u w:val="single"/>
        </w:rPr>
        <w:t xml:space="preserve">Courts </w:t>
      </w:r>
      <w:r>
        <w:rPr>
          <w:u w:val="single"/>
        </w:rPr>
        <w:t>Have Afforded the Legislature Significant D</w:t>
      </w:r>
      <w:r w:rsidRPr="00395C4A">
        <w:rPr>
          <w:u w:val="single"/>
        </w:rPr>
        <w:t xml:space="preserve">eference in the </w:t>
      </w:r>
      <w:r>
        <w:rPr>
          <w:u w:val="single"/>
        </w:rPr>
        <w:t>A</w:t>
      </w:r>
      <w:r w:rsidRPr="00395C4A">
        <w:rPr>
          <w:u w:val="single"/>
        </w:rPr>
        <w:t xml:space="preserve">pplication of </w:t>
      </w:r>
      <w:r>
        <w:rPr>
          <w:u w:val="single"/>
        </w:rPr>
        <w:t xml:space="preserve">Section </w:t>
      </w:r>
      <w:r w:rsidRPr="00395C4A">
        <w:rPr>
          <w:u w:val="single"/>
        </w:rPr>
        <w:t>2(</w:t>
      </w:r>
      <w:r w:rsidRPr="00324606">
        <w:rPr>
          <w:i/>
          <w:u w:val="single"/>
        </w:rPr>
        <w:t>d</w:t>
      </w:r>
      <w:r w:rsidRPr="00395C4A">
        <w:rPr>
          <w:u w:val="single"/>
        </w:rPr>
        <w:t xml:space="preserve">) to the </w:t>
      </w:r>
      <w:r>
        <w:rPr>
          <w:u w:val="single"/>
        </w:rPr>
        <w:t>F</w:t>
      </w:r>
      <w:r w:rsidRPr="00395C4A">
        <w:rPr>
          <w:u w:val="single"/>
        </w:rPr>
        <w:t xml:space="preserve">ield of </w:t>
      </w:r>
      <w:r>
        <w:rPr>
          <w:u w:val="single"/>
        </w:rPr>
        <w:t>Labour R</w:t>
      </w:r>
      <w:r w:rsidRPr="00395C4A">
        <w:rPr>
          <w:u w:val="single"/>
        </w:rPr>
        <w:t>elations</w:t>
      </w:r>
    </w:p>
    <w:p w:rsidR="00A00D29" w:rsidRPr="001D4494" w:rsidRDefault="00A00D29" w:rsidP="00613CC7">
      <w:pPr>
        <w:pStyle w:val="ReasonsNumbering-AltN"/>
        <w:ind w:left="0" w:firstLine="0"/>
        <w:rPr>
          <w:rFonts w:cs="Times New Roman"/>
          <w:szCs w:val="24"/>
        </w:rPr>
      </w:pPr>
      <w:r w:rsidRPr="001D4494">
        <w:rPr>
          <w:rFonts w:cs="Times New Roman"/>
          <w:szCs w:val="24"/>
        </w:rPr>
        <w:lastRenderedPageBreak/>
        <w:t>A final difficulty with the approach to s. 2(</w:t>
      </w:r>
      <w:r w:rsidRPr="00324606">
        <w:rPr>
          <w:rFonts w:cs="Times New Roman"/>
          <w:i/>
          <w:szCs w:val="24"/>
        </w:rPr>
        <w:t>d</w:t>
      </w:r>
      <w:r w:rsidRPr="001D4494">
        <w:rPr>
          <w:rFonts w:cs="Times New Roman"/>
          <w:szCs w:val="24"/>
        </w:rPr>
        <w:t xml:space="preserve">) taken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is that it explicitly rejected judicial deference by judges towards the legislature in labour relations.  Indeed, the majority indicated that </w:t>
      </w:r>
      <w:r>
        <w:rPr>
          <w:rFonts w:cs="Times New Roman"/>
          <w:szCs w:val="24"/>
        </w:rPr>
        <w:t>Courts had previously taken an “overbroad view”</w:t>
      </w:r>
      <w:r w:rsidRPr="001D4494">
        <w:rPr>
          <w:rFonts w:cs="Times New Roman"/>
          <w:szCs w:val="24"/>
        </w:rPr>
        <w:t xml:space="preserve"> of judicial deference</w:t>
      </w:r>
      <w:r w:rsidR="00F76B1C">
        <w:rPr>
          <w:rFonts w:cs="Times New Roman"/>
          <w:szCs w:val="24"/>
        </w:rPr>
        <w:t xml:space="preserve"> (</w:t>
      </w:r>
      <w:r w:rsidRPr="001D4494">
        <w:rPr>
          <w:rFonts w:cs="Times New Roman"/>
          <w:szCs w:val="24"/>
        </w:rPr>
        <w:t>para. 26</w:t>
      </w:r>
      <w:r w:rsidR="00F76B1C">
        <w:rPr>
          <w:rFonts w:cs="Times New Roman"/>
          <w:szCs w:val="24"/>
        </w:rPr>
        <w:t>)</w:t>
      </w:r>
      <w:r w:rsidRPr="001D4494">
        <w:rPr>
          <w:rFonts w:cs="Times New Roman"/>
          <w:szCs w:val="24"/>
        </w:rPr>
        <w:t>.  While judicial deference has its limits, the general approach of judicial deference in the fi</w:t>
      </w:r>
      <w:r>
        <w:rPr>
          <w:rFonts w:cs="Times New Roman"/>
          <w:szCs w:val="24"/>
        </w:rPr>
        <w:t xml:space="preserve">eld of labour relations is well </w:t>
      </w:r>
      <w:r w:rsidRPr="001D4494">
        <w:rPr>
          <w:rFonts w:cs="Times New Roman"/>
          <w:szCs w:val="24"/>
        </w:rPr>
        <w:t xml:space="preserve">supported by precedent and is sound in principle.  I am of the view that the reasons for judicial deference strongly militate against constitutionalizing the right to collective bargaining.  In my respectful opinion, the </w:t>
      </w:r>
      <w:r>
        <w:t>majority</w:t>
      </w:r>
      <w:r w:rsidRPr="001D4494">
        <w:rPr>
          <w:rFonts w:cs="Times New Roman"/>
          <w:szCs w:val="24"/>
        </w:rPr>
        <w:t xml:space="preserve"> erred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by removing decision-making power on this question from Parliament and the provincial legislatures.</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For nearly twenty years between the Trilogy and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a majority of this Court was consistently of the view that judges should defer to legislators on labour relations matters. As discussed by LeBel J. at paras. 156-</w:t>
      </w:r>
      <w:r>
        <w:rPr>
          <w:rFonts w:cs="Times New Roman"/>
          <w:szCs w:val="24"/>
        </w:rPr>
        <w:t>62</w:t>
      </w:r>
      <w:r w:rsidRPr="001D4494">
        <w:rPr>
          <w:rFonts w:cs="Times New Roman"/>
          <w:szCs w:val="24"/>
        </w:rPr>
        <w:t xml:space="preserve"> of </w:t>
      </w:r>
      <w:r w:rsidRPr="001D4494">
        <w:rPr>
          <w:rFonts w:cs="Times New Roman"/>
          <w:i/>
          <w:szCs w:val="24"/>
        </w:rPr>
        <w:t>Advance Cutting &amp; Coring</w:t>
      </w:r>
      <w:r w:rsidRPr="001D4494">
        <w:rPr>
          <w:rFonts w:cs="Times New Roman"/>
          <w:szCs w:val="24"/>
        </w:rPr>
        <w:t>, this position stemmed from a recognition that the management of labour relations requires a delicate exercise in reconciling conflicting values and interests and that the political, social and economic considerations that this exercise raises lie largely beyond the expertise of the courts. This position was also in line with history. The law of collective bargaining, as it has developed in Canada since the Depression and the Second World War, as well as union and employer conflicts like strikes and lockouts, have been subject to legislative control based on government policy rather than judicial intervention.</w:t>
      </w:r>
    </w:p>
    <w:p w:rsidR="00A00D29" w:rsidRPr="001D4494" w:rsidRDefault="00A00D29" w:rsidP="00613CC7">
      <w:pPr>
        <w:pStyle w:val="ReasonsNumbering-AltN"/>
        <w:ind w:left="0" w:firstLine="0"/>
        <w:rPr>
          <w:rFonts w:cs="Times New Roman"/>
          <w:szCs w:val="24"/>
        </w:rPr>
      </w:pPr>
      <w:r w:rsidRPr="001D4494">
        <w:rPr>
          <w:rFonts w:cs="Times New Roman"/>
          <w:szCs w:val="24"/>
        </w:rPr>
        <w:lastRenderedPageBreak/>
        <w:t xml:space="preserve">Beginning with the decisions in the </w:t>
      </w:r>
      <w:r>
        <w:rPr>
          <w:rFonts w:cs="Times New Roman"/>
          <w:szCs w:val="24"/>
        </w:rPr>
        <w:t>l</w:t>
      </w:r>
      <w:r w:rsidRPr="001D4494">
        <w:rPr>
          <w:rFonts w:cs="Times New Roman"/>
          <w:szCs w:val="24"/>
        </w:rPr>
        <w:t xml:space="preserve">abour Trilogy and continuing through </w:t>
      </w:r>
      <w:r w:rsidRPr="001D4494">
        <w:rPr>
          <w:rFonts w:cs="Times New Roman"/>
          <w:i/>
          <w:szCs w:val="24"/>
        </w:rPr>
        <w:t>PIPSC</w:t>
      </w:r>
      <w:r w:rsidRPr="001D4494">
        <w:rPr>
          <w:rFonts w:cs="Times New Roman"/>
          <w:szCs w:val="24"/>
        </w:rPr>
        <w:t xml:space="preserve">, </w:t>
      </w:r>
      <w:r w:rsidRPr="001D4494">
        <w:rPr>
          <w:rFonts w:cs="Times New Roman"/>
          <w:i/>
          <w:szCs w:val="24"/>
        </w:rPr>
        <w:t>Lavigne</w:t>
      </w:r>
      <w:r>
        <w:rPr>
          <w:rFonts w:cs="Times New Roman"/>
          <w:i/>
          <w:szCs w:val="24"/>
        </w:rPr>
        <w:t xml:space="preserve"> v. Ontario Public Service Employees Union</w:t>
      </w:r>
      <w:r>
        <w:rPr>
          <w:rFonts w:cs="Times New Roman"/>
          <w:szCs w:val="24"/>
        </w:rPr>
        <w:t>, [1991] 2 S.C.R. 211,</w:t>
      </w:r>
      <w:r w:rsidRPr="001D4494">
        <w:rPr>
          <w:rFonts w:cs="Times New Roman"/>
          <w:szCs w:val="24"/>
        </w:rPr>
        <w:t xml:space="preserve"> </w:t>
      </w:r>
      <w:r w:rsidRPr="001D4494">
        <w:rPr>
          <w:rFonts w:cs="Times New Roman"/>
          <w:i/>
          <w:szCs w:val="24"/>
        </w:rPr>
        <w:t>Delisle</w:t>
      </w:r>
      <w:r w:rsidRPr="001D4494">
        <w:rPr>
          <w:rFonts w:cs="Times New Roman"/>
          <w:szCs w:val="24"/>
        </w:rPr>
        <w:t xml:space="preserve">, and </w:t>
      </w:r>
      <w:r w:rsidRPr="001D4494">
        <w:rPr>
          <w:rFonts w:cs="Times New Roman"/>
          <w:i/>
          <w:szCs w:val="24"/>
        </w:rPr>
        <w:t>Advance Cutting &amp; Coring</w:t>
      </w:r>
      <w:r w:rsidRPr="001D4494">
        <w:rPr>
          <w:rFonts w:cs="Times New Roman"/>
          <w:szCs w:val="24"/>
        </w:rPr>
        <w:t xml:space="preserve">, this Court has consistently deferred to elected legislatures on issues of labour relations.  In </w:t>
      </w:r>
      <w:r w:rsidRPr="001D4494">
        <w:rPr>
          <w:rFonts w:cs="Times New Roman"/>
          <w:i/>
          <w:szCs w:val="24"/>
        </w:rPr>
        <w:t>Advance Cutting &amp; Coring</w:t>
      </w:r>
      <w:r w:rsidRPr="001D4494">
        <w:rPr>
          <w:rFonts w:cs="Times New Roman"/>
          <w:szCs w:val="24"/>
        </w:rPr>
        <w:t xml:space="preserve">, Justice LeBel, writing for himself and </w:t>
      </w:r>
      <w:proofErr w:type="spellStart"/>
      <w:r w:rsidRPr="001D4494">
        <w:rPr>
          <w:rFonts w:cs="Times New Roman"/>
          <w:szCs w:val="24"/>
        </w:rPr>
        <w:t>Gonthier</w:t>
      </w:r>
      <w:proofErr w:type="spellEnd"/>
      <w:r w:rsidRPr="001D4494">
        <w:rPr>
          <w:rFonts w:cs="Times New Roman"/>
          <w:szCs w:val="24"/>
        </w:rPr>
        <w:t xml:space="preserve"> and Arbour JJ., described the Court’s deferential approach as a “non-intervention policy” (para. 160). LeBel J. upheld the legislative regime at issue in the appeal:</w:t>
      </w:r>
    </w:p>
    <w:p w:rsidR="00A00D29" w:rsidRPr="001D4494" w:rsidRDefault="00A00D29" w:rsidP="00A00D29">
      <w:pPr>
        <w:pStyle w:val="Citation-AltC"/>
      </w:pPr>
      <w:r>
        <w:tab/>
      </w:r>
      <w:r w:rsidRPr="001D4494">
        <w:t xml:space="preserve">The question at stake in this appeal should thus be left to the political process. Such a solution would be consistent with the jurisprudential attitude of the Court that was summarized above. It retains a balance in the application of the </w:t>
      </w:r>
      <w:r w:rsidRPr="00636098">
        <w:rPr>
          <w:i/>
        </w:rPr>
        <w:t>Charter</w:t>
      </w:r>
      <w:r w:rsidRPr="001D4494">
        <w:t>. It leaves the legal management of labour relations to Parliament and legislatures as well as to the parties to labour agreements, as the majority of the Court has held consistently since the labour law trilogy of 1987</w:t>
      </w:r>
      <w:r>
        <w:t>.</w:t>
      </w:r>
      <w:r w:rsidRPr="001D4494">
        <w:t xml:space="preserve"> </w:t>
      </w:r>
      <w:r>
        <w:t>. . .</w:t>
      </w:r>
      <w:r w:rsidR="00F76B1C">
        <w:t xml:space="preserve"> </w:t>
      </w:r>
      <w:r w:rsidRPr="001D4494">
        <w:rPr>
          <w:u w:val="single"/>
        </w:rPr>
        <w:t>This limited and prudent approach to court interventions in the field of labour relations reflects a proper understanding of the functions of courts and legislatures.</w:t>
      </w:r>
      <w:r w:rsidRPr="001D4494">
        <w:t xml:space="preserve"> [Emphasis added</w:t>
      </w:r>
      <w:r>
        <w:t>; para. 239</w:t>
      </w:r>
      <w:r w:rsidRPr="001D4494">
        <w:t xml:space="preserve">.] </w:t>
      </w:r>
    </w:p>
    <w:p w:rsidR="00A00D29" w:rsidRPr="001D4494" w:rsidRDefault="00A00D29" w:rsidP="00A00D29">
      <w:pPr>
        <w:pStyle w:val="ContinueReasonsNo-AltP"/>
        <w:rPr>
          <w:rFonts w:cs="Times New Roman"/>
          <w:szCs w:val="24"/>
        </w:rPr>
      </w:pPr>
      <w:r w:rsidRPr="001D4494">
        <w:rPr>
          <w:rFonts w:cs="Times New Roman"/>
          <w:szCs w:val="24"/>
        </w:rPr>
        <w:t>The principle of deference provides a reason for choosing a more restrained version of s. 2(</w:t>
      </w:r>
      <w:r w:rsidRPr="00636098">
        <w:rPr>
          <w:rFonts w:cs="Times New Roman"/>
          <w:i/>
          <w:szCs w:val="24"/>
        </w:rPr>
        <w:t>d</w:t>
      </w:r>
      <w:r w:rsidRPr="001D4494">
        <w:rPr>
          <w:rFonts w:cs="Times New Roman"/>
          <w:szCs w:val="24"/>
        </w:rPr>
        <w:t>) when the Court is faced with competing visions of what s. 2(</w:t>
      </w:r>
      <w:r w:rsidRPr="00636098">
        <w:rPr>
          <w:rFonts w:cs="Times New Roman"/>
          <w:i/>
          <w:szCs w:val="24"/>
        </w:rPr>
        <w:t>d</w:t>
      </w:r>
      <w:r>
        <w:rPr>
          <w:rFonts w:cs="Times New Roman"/>
          <w:szCs w:val="24"/>
        </w:rPr>
        <w:t>) protects.</w:t>
      </w:r>
    </w:p>
    <w:p w:rsidR="00A00D29" w:rsidRPr="001D4494" w:rsidRDefault="00A00D29" w:rsidP="00613CC7">
      <w:pPr>
        <w:pStyle w:val="ReasonsNumbering-AltN"/>
        <w:ind w:left="0" w:firstLine="0"/>
        <w:rPr>
          <w:rFonts w:cs="Times New Roman"/>
          <w:szCs w:val="24"/>
        </w:rPr>
      </w:pPr>
      <w:r w:rsidRPr="001D4494">
        <w:t>My colleagues imply that my view on deference creates a “judicial ‘no go’ zone” or creates a “</w:t>
      </w:r>
      <w:r w:rsidRPr="001D4494">
        <w:rPr>
          <w:i/>
        </w:rPr>
        <w:t>Charter</w:t>
      </w:r>
      <w:r w:rsidRPr="001D4494">
        <w:t xml:space="preserve">-free zone” for labour relations (paras. 78-80).  That is not a correct understanding of my position.  Clearly if legislatures, for example, chose to enact legislation that permitted discrimination in labour relations or precluded the ability to form an employee </w:t>
      </w:r>
      <w:proofErr w:type="gramStart"/>
      <w:r w:rsidRPr="001D4494">
        <w:t>association</w:t>
      </w:r>
      <w:r>
        <w:t>,</w:t>
      </w:r>
      <w:r w:rsidRPr="001D4494">
        <w:t xml:space="preserve"> that</w:t>
      </w:r>
      <w:proofErr w:type="gramEnd"/>
      <w:r w:rsidRPr="001D4494">
        <w:t xml:space="preserve"> legislation would be subject to judicial review for being non-compliant with the </w:t>
      </w:r>
      <w:r w:rsidRPr="001D4494">
        <w:rPr>
          <w:i/>
        </w:rPr>
        <w:t>Charter</w:t>
      </w:r>
      <w:r w:rsidRPr="001D4494">
        <w:t xml:space="preserve">. In matters of labour relations, the </w:t>
      </w:r>
      <w:r w:rsidRPr="001D4494">
        <w:rPr>
          <w:i/>
        </w:rPr>
        <w:lastRenderedPageBreak/>
        <w:t>Charter</w:t>
      </w:r>
      <w:r w:rsidRPr="001D4494">
        <w:t xml:space="preserve"> still applies. If my colleagues believe that my view on deference creates a “</w:t>
      </w:r>
      <w:r w:rsidRPr="001D4494">
        <w:rPr>
          <w:i/>
        </w:rPr>
        <w:t>Charter</w:t>
      </w:r>
      <w:r>
        <w:t>-</w:t>
      </w:r>
      <w:r w:rsidRPr="001D4494">
        <w:t>free zone”, they have misunderstood my reasons.</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In my opinion, the principle of judicial deference in the field of labour relations is rooted in two underlying concerns. The first of these is that the Court is ill-equipped to carry out the requisite balancing of interests in the labour relations context. Since McIntyre J.’s comments in the </w:t>
      </w:r>
      <w:r w:rsidRPr="001D4494">
        <w:rPr>
          <w:rFonts w:cs="Times New Roman"/>
          <w:i/>
          <w:szCs w:val="24"/>
        </w:rPr>
        <w:t>Alberta Reference</w:t>
      </w:r>
      <w:r w:rsidRPr="001D4494">
        <w:rPr>
          <w:rFonts w:cs="Times New Roman"/>
          <w:szCs w:val="24"/>
        </w:rPr>
        <w:t>, this Court has recognized that labour relations are an “extremely sensitive subject” premised on “a political and economic comp</w:t>
      </w:r>
      <w:r>
        <w:rPr>
          <w:rFonts w:cs="Times New Roman"/>
          <w:szCs w:val="24"/>
        </w:rPr>
        <w:t xml:space="preserve">romise between organized labour — </w:t>
      </w:r>
      <w:r w:rsidRPr="001D4494">
        <w:rPr>
          <w:rFonts w:cs="Times New Roman"/>
          <w:szCs w:val="24"/>
        </w:rPr>
        <w:t>a very powerful socio-economic force</w:t>
      </w:r>
      <w:r>
        <w:rPr>
          <w:rFonts w:cs="Times New Roman"/>
          <w:szCs w:val="24"/>
        </w:rPr>
        <w:t xml:space="preserve"> — </w:t>
      </w:r>
      <w:r w:rsidRPr="001D4494">
        <w:rPr>
          <w:rFonts w:cs="Times New Roman"/>
          <w:szCs w:val="24"/>
        </w:rPr>
        <w:t xml:space="preserve">on the one </w:t>
      </w:r>
      <w:r>
        <w:rPr>
          <w:rFonts w:cs="Times New Roman"/>
          <w:szCs w:val="24"/>
        </w:rPr>
        <w:t xml:space="preserve">hand, and the employers of labour — </w:t>
      </w:r>
      <w:r w:rsidRPr="001D4494">
        <w:rPr>
          <w:rFonts w:cs="Times New Roman"/>
          <w:szCs w:val="24"/>
        </w:rPr>
        <w:t>an equall</w:t>
      </w:r>
      <w:r>
        <w:rPr>
          <w:rFonts w:cs="Times New Roman"/>
          <w:szCs w:val="24"/>
        </w:rPr>
        <w:t>y powerful socio-economic force — on the other”</w:t>
      </w:r>
      <w:r w:rsidR="00F76B1C">
        <w:rPr>
          <w:rFonts w:cs="Times New Roman"/>
          <w:szCs w:val="24"/>
        </w:rPr>
        <w:t xml:space="preserve"> (</w:t>
      </w:r>
      <w:r>
        <w:rPr>
          <w:rFonts w:cs="Times New Roman"/>
          <w:szCs w:val="24"/>
        </w:rPr>
        <w:t>p. 414</w:t>
      </w:r>
      <w:r w:rsidR="00F76B1C">
        <w:rPr>
          <w:rFonts w:cs="Times New Roman"/>
          <w:szCs w:val="24"/>
        </w:rPr>
        <w:t>)</w:t>
      </w:r>
      <w:r w:rsidRPr="001D4494">
        <w:rPr>
          <w:rFonts w:cs="Times New Roman"/>
          <w:szCs w:val="24"/>
        </w:rPr>
        <w:t xml:space="preserve">. While the courts are responsible for safeguarding the ability of individuals to do collectively that which they have the right to do as individuals, the judiciary is ill-equipped to engage in fine adjustments to the balance of power between labour and management. </w:t>
      </w:r>
    </w:p>
    <w:p w:rsidR="00A00D29" w:rsidRPr="001D4494" w:rsidRDefault="00A00D29" w:rsidP="00613CC7">
      <w:pPr>
        <w:pStyle w:val="ReasonsNumbering-AltN"/>
        <w:ind w:left="0" w:firstLine="0"/>
        <w:rPr>
          <w:rFonts w:cs="Times New Roman"/>
          <w:color w:val="000000"/>
          <w:szCs w:val="24"/>
        </w:rPr>
      </w:pPr>
      <w:r w:rsidRPr="001D4494">
        <w:rPr>
          <w:rFonts w:cs="Times New Roman"/>
          <w:szCs w:val="24"/>
        </w:rPr>
        <w:t>The</w:t>
      </w:r>
      <w:r w:rsidRPr="001D4494">
        <w:rPr>
          <w:rFonts w:cs="Times New Roman"/>
          <w:color w:val="000000"/>
          <w:szCs w:val="24"/>
        </w:rPr>
        <w:t xml:space="preserve"> Chief Justice and LeBel J. write that this Court has “distanced itself” from the approach of McIntyre J. in the </w:t>
      </w:r>
      <w:r w:rsidRPr="001D4494">
        <w:rPr>
          <w:rFonts w:cs="Times New Roman"/>
          <w:i/>
          <w:color w:val="000000"/>
          <w:szCs w:val="24"/>
        </w:rPr>
        <w:t>Alberta Reference</w:t>
      </w:r>
      <w:r w:rsidRPr="001D4494">
        <w:rPr>
          <w:rFonts w:cs="Times New Roman"/>
          <w:color w:val="000000"/>
          <w:szCs w:val="24"/>
        </w:rPr>
        <w:t>, and now deals with deference under s. 1, rather than in outlining the scope of s. 2(</w:t>
      </w:r>
      <w:r w:rsidRPr="00AE1394">
        <w:rPr>
          <w:rFonts w:cs="Times New Roman"/>
          <w:i/>
          <w:color w:val="000000"/>
          <w:szCs w:val="24"/>
        </w:rPr>
        <w:t>d</w:t>
      </w:r>
      <w:r w:rsidRPr="001D4494">
        <w:rPr>
          <w:rFonts w:cs="Times New Roman"/>
          <w:color w:val="000000"/>
          <w:szCs w:val="24"/>
        </w:rPr>
        <w:t xml:space="preserve">) (para. 81).  With respect, I think this point is debatable.  While that may have been the approach adopted by the majority in </w:t>
      </w:r>
      <w:r w:rsidRPr="001D4494">
        <w:rPr>
          <w:rFonts w:cs="Times New Roman"/>
          <w:i/>
          <w:color w:val="000000"/>
          <w:szCs w:val="24"/>
        </w:rPr>
        <w:t>Dunmore</w:t>
      </w:r>
      <w:r w:rsidRPr="001D4494">
        <w:rPr>
          <w:rFonts w:cs="Times New Roman"/>
          <w:color w:val="000000"/>
          <w:szCs w:val="24"/>
        </w:rPr>
        <w:t>, there are a number of examples of this Court dealing with deference at the s. 2(</w:t>
      </w:r>
      <w:r w:rsidRPr="00AE1394">
        <w:rPr>
          <w:rFonts w:cs="Times New Roman"/>
          <w:i/>
          <w:color w:val="000000"/>
          <w:szCs w:val="24"/>
        </w:rPr>
        <w:t>d</w:t>
      </w:r>
      <w:r w:rsidRPr="001D4494">
        <w:rPr>
          <w:rFonts w:cs="Times New Roman"/>
          <w:color w:val="000000"/>
          <w:szCs w:val="24"/>
        </w:rPr>
        <w:t>) stage of the analysis.  For example, LeBel J. dealt with deference at the s.</w:t>
      </w:r>
      <w:r w:rsidRPr="001D4494">
        <w:rPr>
          <w:rFonts w:cs="Times New Roman"/>
          <w:szCs w:val="24"/>
        </w:rPr>
        <w:t xml:space="preserve"> </w:t>
      </w:r>
      <w:r w:rsidRPr="001D4494">
        <w:rPr>
          <w:rFonts w:cs="Times New Roman"/>
          <w:color w:val="000000"/>
          <w:szCs w:val="24"/>
        </w:rPr>
        <w:t>2(</w:t>
      </w:r>
      <w:r w:rsidRPr="00AE1394">
        <w:rPr>
          <w:rFonts w:cs="Times New Roman"/>
          <w:i/>
          <w:color w:val="000000"/>
          <w:szCs w:val="24"/>
        </w:rPr>
        <w:t>d</w:t>
      </w:r>
      <w:r w:rsidRPr="001D4494">
        <w:rPr>
          <w:rFonts w:cs="Times New Roman"/>
          <w:color w:val="000000"/>
          <w:szCs w:val="24"/>
        </w:rPr>
        <w:t xml:space="preserve">) stage of the analysis in </w:t>
      </w:r>
      <w:r w:rsidRPr="001D4494">
        <w:rPr>
          <w:rFonts w:cs="Times New Roman"/>
          <w:i/>
          <w:color w:val="000000"/>
          <w:szCs w:val="24"/>
        </w:rPr>
        <w:t xml:space="preserve">Advance </w:t>
      </w:r>
      <w:proofErr w:type="gramStart"/>
      <w:r w:rsidRPr="001D4494">
        <w:rPr>
          <w:rFonts w:cs="Times New Roman"/>
          <w:i/>
          <w:color w:val="000000"/>
          <w:szCs w:val="24"/>
        </w:rPr>
        <w:t>Cutting</w:t>
      </w:r>
      <w:proofErr w:type="gramEnd"/>
      <w:r w:rsidRPr="001D4494">
        <w:rPr>
          <w:rFonts w:cs="Times New Roman"/>
          <w:i/>
          <w:color w:val="000000"/>
          <w:szCs w:val="24"/>
        </w:rPr>
        <w:t xml:space="preserve"> &amp; Coring</w:t>
      </w:r>
      <w:r w:rsidRPr="001D4494">
        <w:rPr>
          <w:rFonts w:cs="Times New Roman"/>
          <w:color w:val="000000"/>
          <w:szCs w:val="24"/>
        </w:rPr>
        <w:t xml:space="preserve">.  Another example is </w:t>
      </w:r>
      <w:r w:rsidRPr="001D4494">
        <w:rPr>
          <w:rFonts w:cs="Times New Roman"/>
          <w:i/>
          <w:color w:val="000000"/>
          <w:szCs w:val="24"/>
        </w:rPr>
        <w:t>Delisle</w:t>
      </w:r>
      <w:r w:rsidRPr="001D4494">
        <w:rPr>
          <w:rFonts w:cs="Times New Roman"/>
          <w:color w:val="000000"/>
          <w:szCs w:val="24"/>
        </w:rPr>
        <w:t>, where Bastarache J.</w:t>
      </w:r>
      <w:r>
        <w:rPr>
          <w:rFonts w:cs="Times New Roman"/>
          <w:color w:val="000000"/>
          <w:szCs w:val="24"/>
        </w:rPr>
        <w:t xml:space="preserve"> for the majority</w:t>
      </w:r>
      <w:r w:rsidRPr="001D4494">
        <w:rPr>
          <w:rFonts w:cs="Times New Roman"/>
          <w:color w:val="000000"/>
          <w:szCs w:val="24"/>
        </w:rPr>
        <w:t xml:space="preserve"> (writing on behalf of </w:t>
      </w:r>
      <w:proofErr w:type="spellStart"/>
      <w:r w:rsidRPr="001D4494">
        <w:rPr>
          <w:rFonts w:cs="Times New Roman"/>
          <w:color w:val="000000"/>
          <w:szCs w:val="24"/>
        </w:rPr>
        <w:lastRenderedPageBreak/>
        <w:t>Gonthier</w:t>
      </w:r>
      <w:proofErr w:type="spellEnd"/>
      <w:r w:rsidRPr="001D4494">
        <w:rPr>
          <w:rFonts w:cs="Times New Roman"/>
          <w:color w:val="000000"/>
          <w:szCs w:val="24"/>
        </w:rPr>
        <w:t xml:space="preserve">, </w:t>
      </w:r>
      <w:proofErr w:type="spellStart"/>
      <w:r w:rsidRPr="001D4494">
        <w:rPr>
          <w:rFonts w:cs="Times New Roman"/>
          <w:color w:val="000000"/>
          <w:szCs w:val="24"/>
        </w:rPr>
        <w:t>McLachlin</w:t>
      </w:r>
      <w:proofErr w:type="spellEnd"/>
      <w:r w:rsidRPr="001D4494">
        <w:rPr>
          <w:rFonts w:cs="Times New Roman"/>
          <w:color w:val="000000"/>
          <w:szCs w:val="24"/>
        </w:rPr>
        <w:t xml:space="preserve"> (as she then was), and Major JJ.)</w:t>
      </w:r>
      <w:r>
        <w:rPr>
          <w:rFonts w:cs="Times New Roman"/>
          <w:color w:val="000000"/>
          <w:szCs w:val="24"/>
        </w:rPr>
        <w:t>,</w:t>
      </w:r>
      <w:r w:rsidRPr="001D4494">
        <w:rPr>
          <w:rFonts w:cs="Times New Roman"/>
          <w:color w:val="000000"/>
          <w:szCs w:val="24"/>
        </w:rPr>
        <w:t xml:space="preserve"> dealt with the concept of deference under the s.</w:t>
      </w:r>
      <w:r>
        <w:rPr>
          <w:rFonts w:cs="Times New Roman"/>
          <w:color w:val="000000"/>
          <w:szCs w:val="24"/>
        </w:rPr>
        <w:t xml:space="preserve"> </w:t>
      </w:r>
      <w:r w:rsidRPr="001D4494">
        <w:rPr>
          <w:rFonts w:cs="Times New Roman"/>
          <w:color w:val="000000"/>
          <w:szCs w:val="24"/>
        </w:rPr>
        <w:t>2(</w:t>
      </w:r>
      <w:r w:rsidRPr="00116350">
        <w:rPr>
          <w:rFonts w:cs="Times New Roman"/>
          <w:i/>
          <w:color w:val="000000"/>
          <w:szCs w:val="24"/>
        </w:rPr>
        <w:t>d</w:t>
      </w:r>
      <w:r w:rsidRPr="001D4494">
        <w:rPr>
          <w:rFonts w:cs="Times New Roman"/>
          <w:color w:val="000000"/>
          <w:szCs w:val="24"/>
        </w:rPr>
        <w:t xml:space="preserve">) stage of the analysis.  Bastarache J. wrote that he shared the opinion of McIntyre J. in the </w:t>
      </w:r>
      <w:r w:rsidRPr="001D4494">
        <w:rPr>
          <w:rFonts w:cs="Times New Roman"/>
          <w:i/>
          <w:color w:val="000000"/>
          <w:szCs w:val="24"/>
        </w:rPr>
        <w:t>Alberta Reference</w:t>
      </w:r>
      <w:r w:rsidRPr="001D4494">
        <w:rPr>
          <w:rFonts w:cs="Times New Roman"/>
          <w:color w:val="000000"/>
          <w:szCs w:val="24"/>
        </w:rPr>
        <w:t>, writing that “[f]</w:t>
      </w:r>
      <w:proofErr w:type="spellStart"/>
      <w:r w:rsidRPr="001D4494">
        <w:rPr>
          <w:rFonts w:cs="Times New Roman"/>
          <w:color w:val="000000"/>
          <w:szCs w:val="24"/>
        </w:rPr>
        <w:t>reedom</w:t>
      </w:r>
      <w:proofErr w:type="spellEnd"/>
      <w:r w:rsidRPr="001D4494">
        <w:rPr>
          <w:rFonts w:cs="Times New Roman"/>
          <w:color w:val="000000"/>
          <w:szCs w:val="24"/>
        </w:rPr>
        <w:t xml:space="preserve"> of association does not include the right to establish a particular type of association defined in a particular statute; this kind of recognition would unduly limit the ability of Parliament or a provincial legislature to regulate labour relations” (</w:t>
      </w:r>
      <w:r w:rsidRPr="001D4494">
        <w:rPr>
          <w:rFonts w:cs="Times New Roman"/>
          <w:i/>
          <w:color w:val="000000"/>
          <w:szCs w:val="24"/>
        </w:rPr>
        <w:t>Delisle</w:t>
      </w:r>
      <w:r>
        <w:rPr>
          <w:rFonts w:cs="Times New Roman"/>
          <w:color w:val="000000"/>
          <w:szCs w:val="24"/>
        </w:rPr>
        <w:t>,</w:t>
      </w:r>
      <w:r w:rsidRPr="001D4494">
        <w:rPr>
          <w:rFonts w:cs="Times New Roman"/>
          <w:color w:val="000000"/>
          <w:szCs w:val="24"/>
        </w:rPr>
        <w:t xml:space="preserve"> at para. 33).</w:t>
      </w:r>
    </w:p>
    <w:p w:rsidR="00A00D29" w:rsidRPr="00D63F28" w:rsidRDefault="00A00D29" w:rsidP="00613CC7">
      <w:pPr>
        <w:pStyle w:val="ReasonsNumbering-AltN"/>
        <w:ind w:left="0" w:firstLine="0"/>
        <w:rPr>
          <w:rFonts w:cs="Times New Roman"/>
          <w:szCs w:val="24"/>
        </w:rPr>
      </w:pPr>
      <w:r w:rsidRPr="00D63F28">
        <w:rPr>
          <w:rFonts w:cs="Times New Roman"/>
          <w:szCs w:val="24"/>
        </w:rPr>
        <w:t xml:space="preserve">The second underlying concern justifying judicial deference in the area of labour relations is that courts should avoid extending constitutional protection to a particular statutory model of labour relations.  Different statutory models of labour relations may be appropriate in different socio-economic contexts, and the courts should avoid defining as a matter of constitutional law the particular framework according to which all Canadian labour relations must be structured for the indefinite future.  Parliament and the provincial legislatures should not be precluded from fashioning appropriate labour relations regimes that are responsive to the relevant socio-economic contexts. </w:t>
      </w:r>
    </w:p>
    <w:p w:rsidR="00A00D29" w:rsidRPr="00D63F28" w:rsidRDefault="00A00D29" w:rsidP="00E37E0F">
      <w:pPr>
        <w:pStyle w:val="ReasonsNumbering-AltN"/>
        <w:ind w:left="0" w:firstLine="0"/>
        <w:rPr>
          <w:rFonts w:cs="Times New Roman"/>
          <w:szCs w:val="24"/>
        </w:rPr>
      </w:pPr>
      <w:r>
        <w:rPr>
          <w:rFonts w:cs="Times New Roman"/>
          <w:szCs w:val="24"/>
        </w:rPr>
        <w:t xml:space="preserve">In </w:t>
      </w:r>
      <w:r w:rsidRPr="001D4494">
        <w:rPr>
          <w:rFonts w:cs="Times New Roman"/>
          <w:i/>
          <w:color w:val="000000"/>
          <w:szCs w:val="24"/>
        </w:rPr>
        <w:t>Health</w:t>
      </w:r>
      <w:r>
        <w:rPr>
          <w:rFonts w:cs="Times New Roman"/>
          <w:i/>
          <w:color w:val="000000"/>
          <w:szCs w:val="24"/>
        </w:rPr>
        <w:t xml:space="preserve"> Services</w:t>
      </w:r>
      <w:r>
        <w:rPr>
          <w:rFonts w:cs="Times New Roman"/>
          <w:szCs w:val="24"/>
        </w:rPr>
        <w:t xml:space="preserve">, this Court departed from a long-standing course of judicial deference in the field of labour relations.  The </w:t>
      </w:r>
      <w:r>
        <w:t>majority</w:t>
      </w:r>
      <w:r>
        <w:rPr>
          <w:rFonts w:cs="Times New Roman"/>
          <w:szCs w:val="24"/>
        </w:rPr>
        <w:t xml:space="preserve"> intervened to adjust aspects of the balance of power between unions, employers and individual employees, and, as a consequence, constitutionalized prominent features of the Wagner model under s. 2(</w:t>
      </w:r>
      <w:r w:rsidRPr="00116350">
        <w:rPr>
          <w:rFonts w:cs="Times New Roman"/>
          <w:i/>
          <w:szCs w:val="24"/>
        </w:rPr>
        <w:t>d</w:t>
      </w:r>
      <w:r>
        <w:rPr>
          <w:rFonts w:cs="Times New Roman"/>
          <w:szCs w:val="24"/>
        </w:rPr>
        <w:t xml:space="preserve">) of the </w:t>
      </w:r>
      <w:r>
        <w:rPr>
          <w:rFonts w:cs="Times New Roman"/>
          <w:i/>
          <w:szCs w:val="24"/>
        </w:rPr>
        <w:t>Charter</w:t>
      </w:r>
      <w:r>
        <w:rPr>
          <w:rFonts w:cs="Times New Roman"/>
          <w:szCs w:val="24"/>
        </w:rPr>
        <w:t>, namely collective bargaining.</w:t>
      </w:r>
    </w:p>
    <w:p w:rsidR="00A00D29" w:rsidRPr="00D63F28" w:rsidRDefault="00A00D29" w:rsidP="00613CC7">
      <w:pPr>
        <w:pStyle w:val="ReasonsNumbering-AltN"/>
        <w:ind w:left="0" w:firstLine="0"/>
        <w:rPr>
          <w:rFonts w:cs="Times New Roman"/>
          <w:szCs w:val="24"/>
        </w:rPr>
      </w:pPr>
      <w:r>
        <w:rPr>
          <w:rFonts w:cs="Times New Roman"/>
          <w:szCs w:val="24"/>
        </w:rPr>
        <w:lastRenderedPageBreak/>
        <w:t xml:space="preserve">Although the </w:t>
      </w:r>
      <w:r>
        <w:t>majority</w:t>
      </w:r>
      <w:r>
        <w:rPr>
          <w:rFonts w:cs="Times New Roman"/>
          <w:szCs w:val="24"/>
        </w:rPr>
        <w:t xml:space="preserve"> insisted that it was not enshrining a particular model of labour relations, and the Chief Justice and LeBel J. say that such a conclusion was “repeatedly rejected” (para. 77), I believe that such a conclusion is inescapable.  As my colleague Deschamps J. observes, the duty to negotiate in good faith enshrined by </w:t>
      </w:r>
      <w:r w:rsidRPr="001D4494">
        <w:rPr>
          <w:rFonts w:cs="Times New Roman"/>
          <w:i/>
          <w:color w:val="000000"/>
          <w:szCs w:val="24"/>
        </w:rPr>
        <w:t>Health</w:t>
      </w:r>
      <w:r>
        <w:rPr>
          <w:rFonts w:cs="Times New Roman"/>
          <w:i/>
          <w:color w:val="000000"/>
          <w:szCs w:val="24"/>
        </w:rPr>
        <w:t xml:space="preserve"> Services</w:t>
      </w:r>
      <w:r>
        <w:rPr>
          <w:rFonts w:cs="Times New Roman"/>
          <w:szCs w:val="24"/>
        </w:rPr>
        <w:t xml:space="preserve"> “is one of the hallmarks of the Wagner model and that inevitably entails a number of statutory components” (para. 304).  Professor Hogg writes:</w:t>
      </w:r>
    </w:p>
    <w:p w:rsidR="00A00D29" w:rsidRPr="001D4494" w:rsidRDefault="00A00D29" w:rsidP="00A00D29">
      <w:pPr>
        <w:pStyle w:val="Citation-AltC"/>
      </w:pPr>
      <w:r>
        <w:t>The majority . . . claimed that it was not constitutionalizing “a particular model of labour relations”.  But that is exactly what it was doing: North American labour relations regimes are based on the American Wagner Act of 1935. The Wagner model of compulsory collective bargaining with a single union compulsorily representing all members of a bargaining unit has not been ad</w:t>
      </w:r>
      <w:r w:rsidR="00E37E0F">
        <w:t>o</w:t>
      </w:r>
      <w:r>
        <w:t>pted outside the United States and Canada, and, even in the United States, compulsory arbitration or other wage-setting mechanisms often replace collective bargaining in the public sector.  Presumably, only compulsory collective bargaining on the Wagner model will now pass muster in Canada. The majority even claimed that the Court had been wrong in the past to exercise “judicial restraint in interfering with government regulation of labour relations</w:t>
      </w:r>
      <w:r w:rsidRPr="001D4494">
        <w:t>”</w:t>
      </w:r>
      <w:r>
        <w:t xml:space="preserve">. </w:t>
      </w:r>
      <w:r w:rsidRPr="001D4494">
        <w:t xml:space="preserve">But, without any clear prescription in the Charter, there is much to be said for leaving the regulation of labour relations to elected legislative bodies (and </w:t>
      </w:r>
      <w:r>
        <w:t>the sanction of the ballot box).</w:t>
      </w:r>
      <w:r w:rsidRPr="001D4494">
        <w:t xml:space="preserve"> </w:t>
      </w:r>
      <w:r>
        <w:t>[p.</w:t>
      </w:r>
      <w:r w:rsidRPr="001D4494">
        <w:t xml:space="preserve"> 44-8</w:t>
      </w:r>
      <w:r>
        <w:t>]</w:t>
      </w:r>
    </w:p>
    <w:p w:rsidR="00A00D29" w:rsidRPr="001D4494" w:rsidRDefault="00A00D29" w:rsidP="00613CC7">
      <w:pPr>
        <w:pStyle w:val="ReasonsNumbering-AltN"/>
        <w:ind w:left="0" w:firstLine="0"/>
        <w:rPr>
          <w:rFonts w:cs="Times New Roman"/>
          <w:szCs w:val="24"/>
        </w:rPr>
      </w:pPr>
      <w:r w:rsidRPr="001D4494">
        <w:rPr>
          <w:rFonts w:cs="Times New Roman"/>
          <w:szCs w:val="24"/>
        </w:rPr>
        <w:t>As Professor Langille points out, examination of the different labour relations regimes of the roughly 180 that compose the International Labour Organization (</w:t>
      </w:r>
      <w:r>
        <w:rPr>
          <w:rFonts w:cs="Times New Roman"/>
          <w:szCs w:val="24"/>
        </w:rPr>
        <w:t>“</w:t>
      </w:r>
      <w:r w:rsidRPr="001D4494">
        <w:rPr>
          <w:rFonts w:cs="Times New Roman"/>
          <w:szCs w:val="24"/>
        </w:rPr>
        <w:t>ILO</w:t>
      </w:r>
      <w:r>
        <w:rPr>
          <w:rFonts w:cs="Times New Roman"/>
          <w:szCs w:val="24"/>
        </w:rPr>
        <w:t>”</w:t>
      </w:r>
      <w:r w:rsidRPr="001D4494">
        <w:rPr>
          <w:rFonts w:cs="Times New Roman"/>
          <w:szCs w:val="24"/>
        </w:rPr>
        <w:t xml:space="preserve">), reveals a range of ways a government might choose to structure labour relations: </w:t>
      </w:r>
      <w:r>
        <w:rPr>
          <w:rFonts w:cs="Times New Roman"/>
          <w:szCs w:val="24"/>
        </w:rPr>
        <w:t xml:space="preserve">see B. </w:t>
      </w:r>
      <w:r w:rsidRPr="001D4494">
        <w:rPr>
          <w:rFonts w:cs="Times New Roman"/>
          <w:szCs w:val="24"/>
        </w:rPr>
        <w:t>Langille, “Why Are Canadian Judges Drafting Labour Codes</w:t>
      </w:r>
      <w:r>
        <w:rPr>
          <w:rFonts w:cs="Times New Roman"/>
          <w:szCs w:val="24"/>
        </w:rPr>
        <w:t xml:space="preserve"> </w:t>
      </w:r>
      <w:r w:rsidR="00E37E0F">
        <w:rPr>
          <w:rFonts w:cs="Times New Roman"/>
          <w:szCs w:val="24"/>
        </w:rPr>
        <w:t>—</w:t>
      </w:r>
      <w:r>
        <w:rPr>
          <w:rFonts w:cs="Times New Roman"/>
          <w:szCs w:val="24"/>
        </w:rPr>
        <w:t xml:space="preserve"> And Constitutionalizing the Wagner Act Model?</w:t>
      </w:r>
      <w:r w:rsidRPr="001D4494">
        <w:rPr>
          <w:rFonts w:cs="Times New Roman"/>
          <w:szCs w:val="24"/>
        </w:rPr>
        <w:t>”</w:t>
      </w:r>
      <w:r>
        <w:rPr>
          <w:rFonts w:cs="Times New Roman"/>
          <w:szCs w:val="24"/>
        </w:rPr>
        <w:t xml:space="preserve"> (2009-2010), 15 </w:t>
      </w:r>
      <w:r w:rsidRPr="00130200">
        <w:rPr>
          <w:rFonts w:cs="Times New Roman"/>
          <w:i/>
          <w:szCs w:val="24"/>
        </w:rPr>
        <w:t>C.L.E.L.J.</w:t>
      </w:r>
      <w:r>
        <w:rPr>
          <w:rFonts w:cs="Times New Roman"/>
          <w:szCs w:val="24"/>
        </w:rPr>
        <w:t xml:space="preserve"> 101,</w:t>
      </w:r>
      <w:r w:rsidRPr="001D4494">
        <w:rPr>
          <w:rFonts w:cs="Times New Roman"/>
          <w:szCs w:val="24"/>
        </w:rPr>
        <w:t xml:space="preserve"> at </w:t>
      </w:r>
      <w:r>
        <w:rPr>
          <w:rFonts w:cs="Times New Roman"/>
          <w:szCs w:val="24"/>
        </w:rPr>
        <w:t xml:space="preserve">p. </w:t>
      </w:r>
      <w:r w:rsidRPr="001D4494">
        <w:rPr>
          <w:rFonts w:cs="Times New Roman"/>
          <w:szCs w:val="24"/>
        </w:rPr>
        <w:t xml:space="preserve">107.  By way of illustration, bargaining between employers’ </w:t>
      </w:r>
      <w:r w:rsidRPr="001D4494">
        <w:rPr>
          <w:rFonts w:cs="Times New Roman"/>
          <w:szCs w:val="24"/>
        </w:rPr>
        <w:lastRenderedPageBreak/>
        <w:t xml:space="preserve">associations and trade unions is entirely voluntary in Germany; specifically, there is no obligation on employers’ association to bargain in good faith, as there is in North American labour relations regimes: see </w:t>
      </w:r>
      <w:r>
        <w:rPr>
          <w:rFonts w:cs="Times New Roman"/>
          <w:szCs w:val="24"/>
        </w:rPr>
        <w:t>generally K. G. Dau-Schmidt, “Labo</w:t>
      </w:r>
      <w:r w:rsidRPr="001D4494">
        <w:rPr>
          <w:rFonts w:cs="Times New Roman"/>
          <w:szCs w:val="24"/>
        </w:rPr>
        <w:t>r Law and Industrial Peace: A Comparative Analysis of the United States, the Unit</w:t>
      </w:r>
      <w:r>
        <w:rPr>
          <w:rFonts w:cs="Times New Roman"/>
          <w:szCs w:val="24"/>
        </w:rPr>
        <w:t>ed Kingdom, Germany, and Japan U</w:t>
      </w:r>
      <w:r w:rsidRPr="001D4494">
        <w:rPr>
          <w:rFonts w:cs="Times New Roman"/>
          <w:szCs w:val="24"/>
        </w:rPr>
        <w:t>nder the Bargaining Model” (2000)</w:t>
      </w:r>
      <w:r>
        <w:rPr>
          <w:rFonts w:cs="Times New Roman"/>
          <w:szCs w:val="24"/>
        </w:rPr>
        <w:t>,</w:t>
      </w:r>
      <w:r w:rsidRPr="001D4494">
        <w:rPr>
          <w:rFonts w:cs="Times New Roman"/>
          <w:szCs w:val="24"/>
        </w:rPr>
        <w:t xml:space="preserve"> 8 </w:t>
      </w:r>
      <w:r w:rsidRPr="00E37E0F">
        <w:rPr>
          <w:rFonts w:cs="Times New Roman"/>
          <w:i/>
          <w:szCs w:val="24"/>
        </w:rPr>
        <w:t>T</w:t>
      </w:r>
      <w:r w:rsidRPr="0002615A">
        <w:rPr>
          <w:rFonts w:cs="Times New Roman"/>
          <w:i/>
          <w:szCs w:val="24"/>
        </w:rPr>
        <w:t>ul. J. Int’l &amp; Com</w:t>
      </w:r>
      <w:r>
        <w:rPr>
          <w:rFonts w:cs="Times New Roman"/>
          <w:i/>
          <w:szCs w:val="24"/>
        </w:rPr>
        <w:t>p</w:t>
      </w:r>
      <w:r w:rsidRPr="0002615A">
        <w:rPr>
          <w:rFonts w:cs="Times New Roman"/>
          <w:i/>
          <w:szCs w:val="24"/>
        </w:rPr>
        <w:t>. L.</w:t>
      </w:r>
      <w:r w:rsidRPr="001D4494">
        <w:rPr>
          <w:rFonts w:cs="Times New Roman"/>
          <w:szCs w:val="24"/>
        </w:rPr>
        <w:t xml:space="preserve"> 117.</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More fundamentally, the fact that the Wagner model of collective bargaining is currently the dominant mode of resolving labour relations issues today does not mean that this will always be the case. Peter A. Gall sounded this note of caution in the early years of the </w:t>
      </w:r>
      <w:r w:rsidRPr="001D4494">
        <w:rPr>
          <w:rFonts w:cs="Times New Roman"/>
          <w:i/>
          <w:szCs w:val="24"/>
        </w:rPr>
        <w:t>Charter</w:t>
      </w:r>
      <w:r w:rsidRPr="001D4494">
        <w:rPr>
          <w:rFonts w:cs="Times New Roman"/>
          <w:szCs w:val="24"/>
        </w:rPr>
        <w:t>:</w:t>
      </w:r>
    </w:p>
    <w:p w:rsidR="00A00D29" w:rsidRDefault="00A00D29" w:rsidP="00613CC7">
      <w:pPr>
        <w:pStyle w:val="Citation-AltC"/>
        <w:spacing w:after="240"/>
        <w:contextualSpacing w:val="0"/>
      </w:pPr>
      <w:r w:rsidRPr="001D4494">
        <w:t xml:space="preserve">Collective bargaining is extremely important in our society and has been for some time now. But will it always be so? Can we confidently predict that 50 or even 20 years from now collective bargaining will still be the primary activity of trade unions? Or will we have adopted some other technique for setting terms and conditions of employment, such as full-scale interest arbitration or greater reliance on legislated standards. If we cannot reject this out of hand, and I do not think we can, then we must seriously question whether collective bargaining is the kind of activity that warrants constitutional status. The Charter enshrines the fundamental principles of </w:t>
      </w:r>
      <w:r>
        <w:t xml:space="preserve">individual </w:t>
      </w:r>
      <w:r w:rsidRPr="001D4494">
        <w:t>liberty. The activities of man may change over time, but these principles remain constant. Collective bargaining does not have this same timeless quality, and, accordingly, we should be leery of giving</w:t>
      </w:r>
      <w:r w:rsidR="00DB4BD2">
        <w:t xml:space="preserve"> it</w:t>
      </w:r>
      <w:r w:rsidRPr="001D4494">
        <w:t xml:space="preserve"> constitutional protection under the conc</w:t>
      </w:r>
      <w:r>
        <w:t xml:space="preserve">ept of freedom of association. </w:t>
      </w:r>
      <w:r w:rsidRPr="001D4494">
        <w:t xml:space="preserve"> </w:t>
      </w:r>
    </w:p>
    <w:p w:rsidR="00A00D29" w:rsidRPr="001D4494" w:rsidRDefault="00A00D29" w:rsidP="00A00D29">
      <w:pPr>
        <w:pStyle w:val="Citation-AltC"/>
      </w:pPr>
      <w:r>
        <w:t>(</w:t>
      </w:r>
      <w:r w:rsidRPr="001D4494">
        <w:t>“Freedom of Association and Trade Unions: A Double-Edged Constitutional Sword”</w:t>
      </w:r>
      <w:r>
        <w:t>,</w:t>
      </w:r>
      <w:r w:rsidRPr="001D4494">
        <w:t xml:space="preserve"> in </w:t>
      </w:r>
      <w:r>
        <w:t xml:space="preserve">J. M. </w:t>
      </w:r>
      <w:r w:rsidRPr="001D4494">
        <w:t xml:space="preserve">Weiler and </w:t>
      </w:r>
      <w:r>
        <w:t xml:space="preserve">R. M. </w:t>
      </w:r>
      <w:r w:rsidRPr="001D4494">
        <w:t>Elliot</w:t>
      </w:r>
      <w:r>
        <w:t>,</w:t>
      </w:r>
      <w:r w:rsidRPr="001D4494">
        <w:t xml:space="preserve"> eds., </w:t>
      </w:r>
      <w:r w:rsidRPr="00817988">
        <w:rPr>
          <w:i/>
        </w:rPr>
        <w:t>Litigating the Values of a Nation: The Canadian Charter of Rights and Freedoms</w:t>
      </w:r>
      <w:r w:rsidRPr="001D4494">
        <w:t xml:space="preserve"> (</w:t>
      </w:r>
      <w:r>
        <w:t>1986</w:t>
      </w:r>
      <w:r w:rsidRPr="001D4494">
        <w:t>)</w:t>
      </w:r>
      <w:r>
        <w:t>, 245, at p. 248)</w:t>
      </w:r>
    </w:p>
    <w:p w:rsidR="00A00D29" w:rsidRPr="001D4494" w:rsidRDefault="00A00D29" w:rsidP="00613CC7">
      <w:pPr>
        <w:pStyle w:val="ReasonsNumbering-AltN"/>
        <w:ind w:left="0" w:firstLine="0"/>
        <w:rPr>
          <w:rFonts w:cs="Times New Roman"/>
          <w:szCs w:val="24"/>
        </w:rPr>
      </w:pPr>
      <w:r w:rsidRPr="001D4494">
        <w:rPr>
          <w:rFonts w:cs="Times New Roman"/>
          <w:szCs w:val="24"/>
        </w:rPr>
        <w:lastRenderedPageBreak/>
        <w:t xml:space="preserve">For these reasons, I am of the view that recognizing a </w:t>
      </w:r>
      <w:r w:rsidRPr="001D4494">
        <w:rPr>
          <w:rFonts w:cs="Times New Roman"/>
          <w:color w:val="000000"/>
          <w:szCs w:val="24"/>
        </w:rPr>
        <w:t xml:space="preserve">constitutional </w:t>
      </w:r>
      <w:r w:rsidRPr="001D4494">
        <w:rPr>
          <w:rFonts w:cs="Times New Roman"/>
          <w:szCs w:val="24"/>
        </w:rPr>
        <w:t xml:space="preserve">right to collective bargaining, as did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w:t>
      </w:r>
      <w:r w:rsidRPr="001D4494">
        <w:rPr>
          <w:rFonts w:cs="Times New Roman"/>
          <w:i/>
          <w:szCs w:val="24"/>
        </w:rPr>
        <w:t xml:space="preserve"> </w:t>
      </w:r>
      <w:r w:rsidRPr="001D4494">
        <w:rPr>
          <w:rFonts w:cs="Times New Roman"/>
          <w:szCs w:val="24"/>
        </w:rPr>
        <w:t>represents an imprudent departure from the course of judicial deference.</w:t>
      </w:r>
    </w:p>
    <w:p w:rsidR="00A00D29" w:rsidRPr="001D4494" w:rsidRDefault="00A00D29" w:rsidP="00613CC7">
      <w:pPr>
        <w:pStyle w:val="HeadingTitre-AltH"/>
        <w:spacing w:after="720"/>
      </w:pPr>
      <w:r w:rsidRPr="001D4494">
        <w:t>B.</w:t>
      </w:r>
      <w:r w:rsidRPr="001D4494">
        <w:tab/>
      </w:r>
      <w:r w:rsidRPr="00395C4A">
        <w:rPr>
          <w:i/>
        </w:rPr>
        <w:t xml:space="preserve">The </w:t>
      </w:r>
      <w:r>
        <w:rPr>
          <w:i/>
        </w:rPr>
        <w:t>Reasons A</w:t>
      </w:r>
      <w:r w:rsidRPr="00395C4A">
        <w:rPr>
          <w:i/>
        </w:rPr>
        <w:t xml:space="preserve">dvanced in </w:t>
      </w:r>
      <w:r w:rsidRPr="001D4494">
        <w:rPr>
          <w:rFonts w:cs="Times New Roman"/>
          <w:i/>
          <w:color w:val="000000"/>
          <w:szCs w:val="24"/>
        </w:rPr>
        <w:t>Health</w:t>
      </w:r>
      <w:r>
        <w:rPr>
          <w:rFonts w:cs="Times New Roman"/>
          <w:i/>
          <w:color w:val="000000"/>
          <w:szCs w:val="24"/>
        </w:rPr>
        <w:t xml:space="preserve"> Services</w:t>
      </w:r>
      <w:r w:rsidRPr="00395C4A">
        <w:rPr>
          <w:i/>
        </w:rPr>
        <w:t xml:space="preserve"> </w:t>
      </w:r>
      <w:r>
        <w:rPr>
          <w:i/>
        </w:rPr>
        <w:t>D</w:t>
      </w:r>
      <w:r w:rsidRPr="00395C4A">
        <w:rPr>
          <w:i/>
        </w:rPr>
        <w:t xml:space="preserve">o </w:t>
      </w:r>
      <w:r>
        <w:rPr>
          <w:i/>
        </w:rPr>
        <w:t>Not Support C</w:t>
      </w:r>
      <w:r w:rsidRPr="00395C4A">
        <w:rPr>
          <w:i/>
        </w:rPr>
        <w:t xml:space="preserve">onstitutionalizing </w:t>
      </w:r>
      <w:r>
        <w:rPr>
          <w:i/>
        </w:rPr>
        <w:t>Collective Bargaining U</w:t>
      </w:r>
      <w:r w:rsidRPr="00395C4A">
        <w:rPr>
          <w:i/>
        </w:rPr>
        <w:t xml:space="preserve">nder </w:t>
      </w:r>
      <w:r>
        <w:rPr>
          <w:i/>
        </w:rPr>
        <w:t>S</w:t>
      </w:r>
      <w:r w:rsidRPr="00395C4A">
        <w:rPr>
          <w:i/>
        </w:rPr>
        <w:t>ection 2(d) of the Charter</w:t>
      </w:r>
    </w:p>
    <w:p w:rsidR="00A00D29" w:rsidRPr="001D4494" w:rsidRDefault="00A00D29" w:rsidP="00613CC7">
      <w:pPr>
        <w:pStyle w:val="ReasonsNumbering-AltN"/>
        <w:ind w:left="0" w:firstLine="0"/>
        <w:rPr>
          <w:rFonts w:cs="Times New Roman"/>
          <w:szCs w:val="24"/>
        </w:rPr>
      </w:pPr>
      <w:r w:rsidRPr="001D4494">
        <w:rPr>
          <w:rFonts w:cs="Times New Roman"/>
          <w:szCs w:val="24"/>
        </w:rPr>
        <w:t>In the previous section, I pointed to five reasons why the approach to s. 2(</w:t>
      </w:r>
      <w:r w:rsidRPr="00A2748B">
        <w:rPr>
          <w:rFonts w:cs="Times New Roman"/>
          <w:i/>
          <w:szCs w:val="24"/>
        </w:rPr>
        <w:t>d</w:t>
      </w:r>
      <w:r w:rsidRPr="001D4494">
        <w:rPr>
          <w:rFonts w:cs="Times New Roman"/>
          <w:szCs w:val="24"/>
        </w:rPr>
        <w:t xml:space="preserve">) adopted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is inconsistent with both precedent and principle relating to the purpose of s. 2(</w:t>
      </w:r>
      <w:r w:rsidRPr="00A2748B">
        <w:rPr>
          <w:rFonts w:cs="Times New Roman"/>
          <w:i/>
          <w:szCs w:val="24"/>
        </w:rPr>
        <w:t>d</w:t>
      </w:r>
      <w:r w:rsidRPr="001D4494">
        <w:rPr>
          <w:rFonts w:cs="Times New Roman"/>
          <w:szCs w:val="24"/>
        </w:rPr>
        <w:t xml:space="preserve">).  In this section, I address the reasons advanced by the </w:t>
      </w:r>
      <w:r>
        <w:t>majority</w:t>
      </w:r>
      <w:r w:rsidRPr="001D4494">
        <w:rPr>
          <w:rFonts w:cs="Times New Roman"/>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for providing s. 2(</w:t>
      </w:r>
      <w:r w:rsidRPr="00A2748B">
        <w:rPr>
          <w:rFonts w:cs="Times New Roman"/>
          <w:i/>
          <w:szCs w:val="24"/>
        </w:rPr>
        <w:t>d</w:t>
      </w:r>
      <w:r w:rsidRPr="001D4494">
        <w:rPr>
          <w:rFonts w:cs="Times New Roman"/>
          <w:szCs w:val="24"/>
        </w:rPr>
        <w:t xml:space="preserve">) protection to collective bargaining.  As I understand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these reasons were advanced to demonstrate that collective bargaining is a fundamental right that justifies it being constitutionalized. With respect, I do not think these reasons withstand scrutiny. </w:t>
      </w:r>
    </w:p>
    <w:p w:rsidR="00A00D29" w:rsidRPr="001D4494" w:rsidRDefault="00A00D29" w:rsidP="00613CC7">
      <w:pPr>
        <w:pStyle w:val="ReasonsNumbering-AltN"/>
        <w:ind w:left="0" w:firstLine="0"/>
        <w:rPr>
          <w:rFonts w:cs="Times New Roman"/>
          <w:szCs w:val="24"/>
        </w:rPr>
      </w:pP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rests its conclusion that s. 2(</w:t>
      </w:r>
      <w:r w:rsidRPr="00A2748B">
        <w:rPr>
          <w:rFonts w:cs="Times New Roman"/>
          <w:i/>
          <w:szCs w:val="24"/>
        </w:rPr>
        <w:t>d</w:t>
      </w:r>
      <w:r w:rsidRPr="001D4494">
        <w:rPr>
          <w:rFonts w:cs="Times New Roman"/>
          <w:szCs w:val="24"/>
        </w:rPr>
        <w:t xml:space="preserve">) of the </w:t>
      </w:r>
      <w:r w:rsidRPr="001D4494">
        <w:rPr>
          <w:rFonts w:cs="Times New Roman"/>
          <w:i/>
          <w:szCs w:val="24"/>
        </w:rPr>
        <w:t xml:space="preserve">Charter </w:t>
      </w:r>
      <w:r w:rsidRPr="001D4494">
        <w:rPr>
          <w:rFonts w:cs="Times New Roman"/>
          <w:szCs w:val="24"/>
        </w:rPr>
        <w:t xml:space="preserve">contains a right of collective bargaining on four propositions, which the </w:t>
      </w:r>
      <w:r>
        <w:rPr>
          <w:rFonts w:cs="Times New Roman"/>
          <w:szCs w:val="24"/>
        </w:rPr>
        <w:t>majority</w:t>
      </w:r>
      <w:r w:rsidRPr="001D4494">
        <w:rPr>
          <w:rFonts w:cs="Times New Roman"/>
          <w:szCs w:val="24"/>
        </w:rPr>
        <w:t xml:space="preserve"> outlines at para. 20: </w:t>
      </w:r>
    </w:p>
    <w:p w:rsidR="00A00D29" w:rsidRPr="001D4494" w:rsidRDefault="00A00D29" w:rsidP="00A00D29">
      <w:pPr>
        <w:pStyle w:val="Citation-AltC"/>
      </w:pPr>
      <w:r w:rsidRPr="00A2748B">
        <w:rPr>
          <w:u w:val="single"/>
        </w:rPr>
        <w:t>First</w:t>
      </w:r>
      <w:r w:rsidRPr="001D4494">
        <w:t>, a review of the s. 2(</w:t>
      </w:r>
      <w:r w:rsidRPr="00A2748B">
        <w:rPr>
          <w:i/>
        </w:rPr>
        <w:t>d</w:t>
      </w:r>
      <w:r w:rsidRPr="001D4494">
        <w:t xml:space="preserve">) jurisprudence of this Court reveals that the reasons evoked in the past for holding that the guarantee of freedom of association does not extend to collective bargaining can no longer stand. </w:t>
      </w:r>
      <w:r w:rsidRPr="00A2748B">
        <w:rPr>
          <w:u w:val="single"/>
        </w:rPr>
        <w:t>Second</w:t>
      </w:r>
      <w:r w:rsidRPr="001D4494">
        <w:t>, an interpretation of s. 2(</w:t>
      </w:r>
      <w:r w:rsidRPr="00A2748B">
        <w:rPr>
          <w:i/>
        </w:rPr>
        <w:t>d</w:t>
      </w:r>
      <w:r w:rsidRPr="001D4494">
        <w:t xml:space="preserve">) that precludes collective bargaining from its ambit is inconsistent with Canada’s historic recognition of the importance of collective bargaining to freedom of association. </w:t>
      </w:r>
      <w:r w:rsidRPr="00A2748B">
        <w:rPr>
          <w:u w:val="single"/>
        </w:rPr>
        <w:t>Third</w:t>
      </w:r>
      <w:r w:rsidRPr="001D4494">
        <w:t>, collective bargaining</w:t>
      </w:r>
      <w:r w:rsidR="00DB4BD2">
        <w:t xml:space="preserve"> is an integral component of</w:t>
      </w:r>
      <w:r w:rsidRPr="001D4494">
        <w:t xml:space="preserve"> freedom of association in international law, which may inform the interpretation of </w:t>
      </w:r>
      <w:r w:rsidRPr="006D75F6">
        <w:rPr>
          <w:i/>
        </w:rPr>
        <w:t>Charter</w:t>
      </w:r>
      <w:r w:rsidRPr="001D4494">
        <w:t xml:space="preserve"> guarantees. </w:t>
      </w:r>
      <w:r w:rsidRPr="00A2748B">
        <w:rPr>
          <w:u w:val="single"/>
        </w:rPr>
        <w:t>Finally</w:t>
      </w:r>
      <w:r w:rsidRPr="001D4494">
        <w:t>, interpreting s. 2(</w:t>
      </w:r>
      <w:r w:rsidRPr="00A2748B">
        <w:rPr>
          <w:i/>
        </w:rPr>
        <w:t>d</w:t>
      </w:r>
      <w:r w:rsidRPr="001D4494">
        <w:t xml:space="preserve">) as including a right to collective </w:t>
      </w:r>
      <w:r w:rsidRPr="001D4494">
        <w:lastRenderedPageBreak/>
        <w:t xml:space="preserve">bargaining is consistent with, and indeed, promotes, other </w:t>
      </w:r>
      <w:r w:rsidRPr="006D75F6">
        <w:rPr>
          <w:i/>
        </w:rPr>
        <w:t>Charter</w:t>
      </w:r>
      <w:r w:rsidRPr="001D4494">
        <w:t xml:space="preserve"> rights, freedoms and values</w:t>
      </w:r>
      <w:r>
        <w:t>. [E</w:t>
      </w:r>
      <w:r w:rsidRPr="001D4494">
        <w:t>mphasis added</w:t>
      </w:r>
      <w:r>
        <w:t>.</w:t>
      </w:r>
      <w:r w:rsidRPr="001D4494">
        <w:t>]</w:t>
      </w:r>
    </w:p>
    <w:p w:rsidR="00A00D29" w:rsidRPr="001D4494" w:rsidRDefault="00A00D29" w:rsidP="00A00D29">
      <w:pPr>
        <w:pStyle w:val="ContinueReasonsNo-AltP"/>
        <w:rPr>
          <w:rFonts w:cs="Times New Roman"/>
          <w:szCs w:val="24"/>
        </w:rPr>
      </w:pPr>
      <w:r w:rsidRPr="001D4494">
        <w:rPr>
          <w:rFonts w:cs="Times New Roman"/>
          <w:szCs w:val="24"/>
        </w:rPr>
        <w:t>In this section each of these contentions is addressed.</w:t>
      </w:r>
    </w:p>
    <w:p w:rsidR="00A00D29" w:rsidRDefault="00A00D29" w:rsidP="00E37E0F">
      <w:pPr>
        <w:pStyle w:val="HeadingTitre-AltH"/>
        <w:tabs>
          <w:tab w:val="clear" w:pos="360"/>
          <w:tab w:val="left" w:pos="1170"/>
        </w:tabs>
        <w:spacing w:after="720"/>
        <w:ind w:left="1800" w:hanging="630"/>
        <w:rPr>
          <w:u w:val="single"/>
        </w:rPr>
      </w:pPr>
      <w:r w:rsidRPr="001D4494">
        <w:t>(1)</w:t>
      </w:r>
      <w:r w:rsidRPr="001D4494">
        <w:tab/>
      </w:r>
      <w:r w:rsidRPr="00395C4A">
        <w:rPr>
          <w:u w:val="single"/>
        </w:rPr>
        <w:t xml:space="preserve">The </w:t>
      </w:r>
      <w:r>
        <w:rPr>
          <w:u w:val="single"/>
        </w:rPr>
        <w:t>C</w:t>
      </w:r>
      <w:r w:rsidRPr="00395C4A">
        <w:rPr>
          <w:u w:val="single"/>
        </w:rPr>
        <w:t xml:space="preserve">ontinuing </w:t>
      </w:r>
      <w:r>
        <w:rPr>
          <w:u w:val="single"/>
        </w:rPr>
        <w:t>V</w:t>
      </w:r>
      <w:r w:rsidRPr="00395C4A">
        <w:rPr>
          <w:u w:val="single"/>
        </w:rPr>
        <w:t xml:space="preserve">alidity of </w:t>
      </w:r>
      <w:r>
        <w:rPr>
          <w:u w:val="single"/>
        </w:rPr>
        <w:t>P</w:t>
      </w:r>
      <w:r w:rsidRPr="00395C4A">
        <w:rPr>
          <w:u w:val="single"/>
        </w:rPr>
        <w:t>a</w:t>
      </w:r>
      <w:r>
        <w:rPr>
          <w:u w:val="single"/>
        </w:rPr>
        <w:t>st Precedents on the Scope of Section</w:t>
      </w:r>
      <w:r w:rsidRPr="00395C4A">
        <w:rPr>
          <w:u w:val="single"/>
        </w:rPr>
        <w:t xml:space="preserve"> 2(</w:t>
      </w:r>
      <w:r w:rsidRPr="00A2748B">
        <w:rPr>
          <w:i/>
          <w:u w:val="single"/>
        </w:rPr>
        <w:t>d</w:t>
      </w:r>
      <w:r w:rsidRPr="00395C4A">
        <w:rPr>
          <w:u w:val="single"/>
        </w:rPr>
        <w:t>)</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I have already dealt with the substance of the first proposition in the course of explaining why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was wrong to overrule the approach to s. 2(</w:t>
      </w:r>
      <w:r w:rsidRPr="00A2748B">
        <w:rPr>
          <w:rFonts w:cs="Times New Roman"/>
          <w:i/>
          <w:szCs w:val="24"/>
        </w:rPr>
        <w:t>d</w:t>
      </w:r>
      <w:r w:rsidRPr="001D4494">
        <w:rPr>
          <w:rFonts w:cs="Times New Roman"/>
          <w:szCs w:val="24"/>
        </w:rPr>
        <w:t xml:space="preserve">) of the </w:t>
      </w:r>
      <w:r w:rsidRPr="001D4494">
        <w:rPr>
          <w:rFonts w:cs="Times New Roman"/>
          <w:i/>
          <w:szCs w:val="24"/>
        </w:rPr>
        <w:t xml:space="preserve">Charter </w:t>
      </w:r>
      <w:r w:rsidRPr="001D4494">
        <w:rPr>
          <w:rFonts w:cs="Times New Roman"/>
          <w:szCs w:val="24"/>
        </w:rPr>
        <w:t>embodied in the prior jurisprudence, and I need not discuss it further here.</w:t>
      </w:r>
    </w:p>
    <w:p w:rsidR="00A00D29" w:rsidRDefault="00A00D29" w:rsidP="00E37E0F">
      <w:pPr>
        <w:pStyle w:val="HeadingTitre-AltH"/>
        <w:tabs>
          <w:tab w:val="clear" w:pos="360"/>
          <w:tab w:val="left" w:pos="1170"/>
        </w:tabs>
        <w:spacing w:after="720"/>
        <w:ind w:left="1800" w:hanging="630"/>
        <w:rPr>
          <w:u w:val="single"/>
        </w:rPr>
      </w:pPr>
      <w:r w:rsidRPr="001D4494">
        <w:t>(2)</w:t>
      </w:r>
      <w:r w:rsidRPr="001D4494">
        <w:tab/>
      </w:r>
      <w:r>
        <w:rPr>
          <w:u w:val="single"/>
        </w:rPr>
        <w:t>Canadian L</w:t>
      </w:r>
      <w:r w:rsidRPr="00395C4A">
        <w:rPr>
          <w:u w:val="single"/>
        </w:rPr>
        <w:t xml:space="preserve">abour </w:t>
      </w:r>
      <w:r>
        <w:rPr>
          <w:u w:val="single"/>
        </w:rPr>
        <w:t>History Does Not Support C</w:t>
      </w:r>
      <w:r w:rsidRPr="00395C4A">
        <w:rPr>
          <w:u w:val="single"/>
        </w:rPr>
        <w:t>onstituti</w:t>
      </w:r>
      <w:r>
        <w:rPr>
          <w:u w:val="single"/>
        </w:rPr>
        <w:t>onalizing Collective Bargaining R</w:t>
      </w:r>
      <w:r w:rsidRPr="00395C4A">
        <w:rPr>
          <w:u w:val="single"/>
        </w:rPr>
        <w:t>ights</w:t>
      </w:r>
    </w:p>
    <w:p w:rsidR="00A00D29" w:rsidRPr="001D4494" w:rsidRDefault="00A00D29" w:rsidP="00613CC7">
      <w:pPr>
        <w:pStyle w:val="ReasonsNumbering-AltN"/>
        <w:ind w:left="0" w:firstLine="0"/>
        <w:rPr>
          <w:rFonts w:cs="Times New Roman"/>
          <w:szCs w:val="24"/>
        </w:rPr>
      </w:pPr>
      <w:r w:rsidRPr="001D4494">
        <w:rPr>
          <w:rFonts w:cs="Times New Roman"/>
          <w:szCs w:val="24"/>
        </w:rPr>
        <w:t xml:space="preserve">The second reason advanced by the majority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is that collective bargaining has historically been recognized in Canada as an integral component of freedom of association</w:t>
      </w:r>
      <w:r w:rsidR="00E37E0F">
        <w:rPr>
          <w:rFonts w:cs="Times New Roman"/>
          <w:szCs w:val="24"/>
        </w:rPr>
        <w:t xml:space="preserve"> (</w:t>
      </w:r>
      <w:r w:rsidRPr="001D4494">
        <w:rPr>
          <w:rFonts w:cs="Times New Roman"/>
          <w:szCs w:val="24"/>
        </w:rPr>
        <w:t>para. 25</w:t>
      </w:r>
      <w:r w:rsidR="00E37E0F">
        <w:rPr>
          <w:rFonts w:cs="Times New Roman"/>
          <w:szCs w:val="24"/>
        </w:rPr>
        <w:t>)</w:t>
      </w:r>
      <w:r w:rsidRPr="001D4494">
        <w:rPr>
          <w:rFonts w:cs="Times New Roman"/>
          <w:szCs w:val="24"/>
        </w:rPr>
        <w:t xml:space="preserve">. The view that a right to collective bargaining which includes a duty on employers to bargain in good faith is a pre-statutory feature of Canadian labour law contradicts established accounts of the history of labour relations in Canada. </w:t>
      </w:r>
    </w:p>
    <w:p w:rsidR="00A00D29" w:rsidRPr="001D4494" w:rsidRDefault="00A00D29" w:rsidP="00E70547">
      <w:pPr>
        <w:pStyle w:val="ReasonsNumbering-AltN"/>
        <w:ind w:left="0" w:firstLine="0"/>
        <w:rPr>
          <w:rFonts w:cs="Times New Roman"/>
          <w:szCs w:val="24"/>
        </w:rPr>
      </w:pPr>
      <w:r w:rsidRPr="001D4494">
        <w:rPr>
          <w:rFonts w:cs="Times New Roman"/>
          <w:szCs w:val="24"/>
        </w:rPr>
        <w:t xml:space="preserve">The labour history offered in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in support of this argument is inconsistent with a number of historical accounts of the development of labour law in Canada and has recently been the subject of intense academic criticism. See E</w:t>
      </w:r>
      <w:r>
        <w:rPr>
          <w:rFonts w:cs="Times New Roman"/>
          <w:szCs w:val="24"/>
        </w:rPr>
        <w:t>.</w:t>
      </w:r>
      <w:r w:rsidRPr="001D4494">
        <w:rPr>
          <w:rFonts w:cs="Times New Roman"/>
          <w:szCs w:val="24"/>
        </w:rPr>
        <w:t xml:space="preserve"> </w:t>
      </w:r>
      <w:r w:rsidRPr="001D4494">
        <w:rPr>
          <w:rFonts w:cs="Times New Roman"/>
          <w:szCs w:val="24"/>
        </w:rPr>
        <w:lastRenderedPageBreak/>
        <w:t>Tucker, “The Constitutional Right to Bar</w:t>
      </w:r>
      <w:r>
        <w:rPr>
          <w:rFonts w:cs="Times New Roman"/>
          <w:szCs w:val="24"/>
        </w:rPr>
        <w:t>gain Collectively: Th</w:t>
      </w:r>
      <w:r w:rsidRPr="001D4494">
        <w:rPr>
          <w:rFonts w:cs="Times New Roman"/>
          <w:szCs w:val="24"/>
        </w:rPr>
        <w:t>e Ironies of Labour History in the Supreme Court of Canada” (2008)</w:t>
      </w:r>
      <w:r>
        <w:rPr>
          <w:rFonts w:cs="Times New Roman"/>
          <w:szCs w:val="24"/>
        </w:rPr>
        <w:t>,</w:t>
      </w:r>
      <w:r w:rsidRPr="001D4494">
        <w:rPr>
          <w:rFonts w:cs="Times New Roman"/>
          <w:szCs w:val="24"/>
        </w:rPr>
        <w:t xml:space="preserve"> 61 </w:t>
      </w:r>
      <w:r w:rsidRPr="00D45BEC">
        <w:rPr>
          <w:rFonts w:cs="Times New Roman"/>
          <w:i/>
          <w:szCs w:val="24"/>
        </w:rPr>
        <w:t>Labour</w:t>
      </w:r>
      <w:r w:rsidR="00E37E0F">
        <w:rPr>
          <w:rFonts w:cs="Times New Roman"/>
          <w:szCs w:val="24"/>
        </w:rPr>
        <w:t xml:space="preserve"> 151</w:t>
      </w:r>
      <w:r w:rsidRPr="001D4494">
        <w:rPr>
          <w:rFonts w:cs="Times New Roman"/>
          <w:szCs w:val="24"/>
        </w:rPr>
        <w:t>; Langille, “Freedom of Association”</w:t>
      </w:r>
      <w:r>
        <w:rPr>
          <w:rFonts w:cs="Times New Roman"/>
          <w:szCs w:val="24"/>
        </w:rPr>
        <w:t>,</w:t>
      </w:r>
      <w:r w:rsidRPr="001D4494">
        <w:rPr>
          <w:rFonts w:cs="Times New Roman"/>
          <w:szCs w:val="24"/>
        </w:rPr>
        <w:t xml:space="preserve"> </w:t>
      </w:r>
      <w:r>
        <w:rPr>
          <w:rFonts w:cs="Times New Roman"/>
          <w:szCs w:val="24"/>
        </w:rPr>
        <w:t>at pp.</w:t>
      </w:r>
      <w:r w:rsidRPr="001D4494">
        <w:rPr>
          <w:rFonts w:cs="Times New Roman"/>
          <w:szCs w:val="24"/>
        </w:rPr>
        <w:t xml:space="preserve"> </w:t>
      </w:r>
      <w:r>
        <w:rPr>
          <w:rFonts w:cs="Times New Roman"/>
          <w:szCs w:val="24"/>
        </w:rPr>
        <w:t>191-</w:t>
      </w:r>
      <w:r w:rsidRPr="001D4494">
        <w:rPr>
          <w:rFonts w:cs="Times New Roman"/>
          <w:szCs w:val="24"/>
        </w:rPr>
        <w:t xml:space="preserve">92; </w:t>
      </w:r>
      <w:r>
        <w:rPr>
          <w:rFonts w:cs="Times New Roman"/>
          <w:szCs w:val="24"/>
        </w:rPr>
        <w:t xml:space="preserve">and </w:t>
      </w:r>
      <w:r w:rsidRPr="001D4494">
        <w:rPr>
          <w:rFonts w:cs="Times New Roman"/>
          <w:szCs w:val="24"/>
        </w:rPr>
        <w:t>Etherington</w:t>
      </w:r>
      <w:r>
        <w:rPr>
          <w:rFonts w:cs="Times New Roman"/>
          <w:szCs w:val="24"/>
        </w:rPr>
        <w:t>,</w:t>
      </w:r>
      <w:r w:rsidRPr="001D4494">
        <w:rPr>
          <w:rFonts w:cs="Times New Roman"/>
          <w:szCs w:val="24"/>
        </w:rPr>
        <w:t xml:space="preserve"> at </w:t>
      </w:r>
      <w:r>
        <w:rPr>
          <w:rFonts w:cs="Times New Roman"/>
          <w:szCs w:val="24"/>
        </w:rPr>
        <w:t>pp. 726-</w:t>
      </w:r>
      <w:r w:rsidRPr="001D4494">
        <w:rPr>
          <w:rFonts w:cs="Times New Roman"/>
          <w:szCs w:val="24"/>
        </w:rPr>
        <w:t>27</w:t>
      </w:r>
      <w:r>
        <w:rPr>
          <w:rFonts w:cs="Times New Roman"/>
          <w:szCs w:val="24"/>
        </w:rPr>
        <w:t xml:space="preserve">. </w:t>
      </w:r>
      <w:r w:rsidRPr="001D4494">
        <w:rPr>
          <w:rFonts w:cs="Times New Roman"/>
          <w:szCs w:val="24"/>
        </w:rPr>
        <w:t xml:space="preserve"> For a historical account</w:t>
      </w:r>
      <w:r>
        <w:rPr>
          <w:rFonts w:cs="Times New Roman"/>
          <w:szCs w:val="24"/>
        </w:rPr>
        <w:t>, see, e.g., J.</w:t>
      </w:r>
      <w:r w:rsidRPr="001D4494">
        <w:rPr>
          <w:rFonts w:cs="Times New Roman"/>
          <w:szCs w:val="24"/>
        </w:rPr>
        <w:t xml:space="preserve"> Fudge </w:t>
      </w:r>
      <w:r>
        <w:rPr>
          <w:rFonts w:cs="Times New Roman"/>
          <w:szCs w:val="24"/>
        </w:rPr>
        <w:t>and</w:t>
      </w:r>
      <w:r w:rsidRPr="001D4494">
        <w:rPr>
          <w:rFonts w:cs="Times New Roman"/>
          <w:szCs w:val="24"/>
        </w:rPr>
        <w:t xml:space="preserve"> E</w:t>
      </w:r>
      <w:r>
        <w:rPr>
          <w:rFonts w:cs="Times New Roman"/>
          <w:szCs w:val="24"/>
        </w:rPr>
        <w:t>.</w:t>
      </w:r>
      <w:r w:rsidRPr="001D4494">
        <w:rPr>
          <w:rFonts w:cs="Times New Roman"/>
          <w:szCs w:val="24"/>
        </w:rPr>
        <w:t xml:space="preserve"> Tucker, </w:t>
      </w:r>
      <w:r w:rsidRPr="001E0574">
        <w:rPr>
          <w:rFonts w:cs="Times New Roman"/>
          <w:i/>
          <w:szCs w:val="24"/>
        </w:rPr>
        <w:t xml:space="preserve">Labour </w:t>
      </w:r>
      <w:proofErr w:type="gramStart"/>
      <w:r w:rsidRPr="001E0574">
        <w:rPr>
          <w:rFonts w:cs="Times New Roman"/>
          <w:i/>
          <w:szCs w:val="24"/>
        </w:rPr>
        <w:t>Before</w:t>
      </w:r>
      <w:proofErr w:type="gramEnd"/>
      <w:r w:rsidRPr="001E0574">
        <w:rPr>
          <w:rFonts w:cs="Times New Roman"/>
          <w:i/>
          <w:szCs w:val="24"/>
        </w:rPr>
        <w:t xml:space="preserve"> the Law: The Regulation of Workers’ Collective Action in Canada, 1900-1948</w:t>
      </w:r>
      <w:r w:rsidRPr="001D4494">
        <w:rPr>
          <w:rFonts w:cs="Times New Roman"/>
          <w:szCs w:val="24"/>
        </w:rPr>
        <w:t xml:space="preserve"> (200</w:t>
      </w:r>
      <w:r>
        <w:rPr>
          <w:rFonts w:cs="Times New Roman"/>
          <w:szCs w:val="24"/>
        </w:rPr>
        <w:t>1); J.</w:t>
      </w:r>
      <w:r w:rsidRPr="001D4494">
        <w:rPr>
          <w:rFonts w:cs="Times New Roman"/>
          <w:szCs w:val="24"/>
        </w:rPr>
        <w:t xml:space="preserve"> Fudge,</w:t>
      </w:r>
      <w:r>
        <w:rPr>
          <w:rFonts w:cs="Times New Roman"/>
          <w:szCs w:val="24"/>
        </w:rPr>
        <w:t xml:space="preserve"> </w:t>
      </w:r>
      <w:r w:rsidRPr="001D4494">
        <w:rPr>
          <w:rFonts w:cs="Times New Roman"/>
          <w:szCs w:val="24"/>
        </w:rPr>
        <w:t>“</w:t>
      </w:r>
      <w:r>
        <w:rPr>
          <w:rFonts w:cs="Times New Roman"/>
          <w:szCs w:val="24"/>
        </w:rPr>
        <w:t>‘Labour is Not a Commodity’: T</w:t>
      </w:r>
      <w:r w:rsidRPr="001D4494">
        <w:rPr>
          <w:rFonts w:cs="Times New Roman"/>
          <w:szCs w:val="24"/>
        </w:rPr>
        <w:t>he Supreme Court of Canada and the Freedom of Association” (2004)</w:t>
      </w:r>
      <w:r>
        <w:rPr>
          <w:rFonts w:cs="Times New Roman"/>
          <w:szCs w:val="24"/>
        </w:rPr>
        <w:t>,</w:t>
      </w:r>
      <w:r w:rsidRPr="001D4494">
        <w:rPr>
          <w:rFonts w:cs="Times New Roman"/>
          <w:szCs w:val="24"/>
        </w:rPr>
        <w:t xml:space="preserve"> 67 </w:t>
      </w:r>
      <w:r w:rsidRPr="001E0574">
        <w:rPr>
          <w:rFonts w:cs="Times New Roman"/>
          <w:i/>
          <w:szCs w:val="24"/>
        </w:rPr>
        <w:t>Sask. L. Rev.</w:t>
      </w:r>
      <w:r w:rsidRPr="001D4494">
        <w:rPr>
          <w:rFonts w:cs="Times New Roman"/>
          <w:szCs w:val="24"/>
        </w:rPr>
        <w:t xml:space="preserve"> 425.</w:t>
      </w:r>
    </w:p>
    <w:p w:rsidR="00A00D29" w:rsidRPr="001D4494" w:rsidRDefault="00A00D29" w:rsidP="00E70547">
      <w:pPr>
        <w:pStyle w:val="ReasonsNumbering-AltN"/>
        <w:ind w:left="0" w:firstLine="0"/>
        <w:rPr>
          <w:rFonts w:cs="Times New Roman"/>
          <w:szCs w:val="24"/>
        </w:rPr>
      </w:pPr>
      <w:r w:rsidRPr="001D4494">
        <w:rPr>
          <w:rFonts w:cs="Times New Roman"/>
          <w:szCs w:val="24"/>
        </w:rPr>
        <w:t xml:space="preserve">Professor Tucker, whose account of the development of labour relations was invoked in support of the judicial history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characterizes the </w:t>
      </w:r>
      <w:r>
        <w:t>majority</w:t>
      </w:r>
      <w:r w:rsidRPr="001D4494">
        <w:rPr>
          <w:rFonts w:cs="Times New Roman"/>
          <w:szCs w:val="24"/>
        </w:rPr>
        <w:t>’s historical claims as “flawed” and describes the use of his and other historians’ work as “ironic”</w:t>
      </w:r>
      <w:r>
        <w:rPr>
          <w:rFonts w:cs="Times New Roman"/>
          <w:szCs w:val="24"/>
        </w:rPr>
        <w:t>,</w:t>
      </w:r>
      <w:r w:rsidRPr="001D4494">
        <w:rPr>
          <w:rFonts w:cs="Times New Roman"/>
          <w:szCs w:val="24"/>
        </w:rPr>
        <w:t xml:space="preserve"> in the sense </w:t>
      </w:r>
      <w:r>
        <w:rPr>
          <w:rFonts w:cs="Times New Roman"/>
          <w:szCs w:val="24"/>
        </w:rPr>
        <w:t xml:space="preserve">that it </w:t>
      </w:r>
      <w:r w:rsidRPr="001D4494">
        <w:rPr>
          <w:rFonts w:cs="Times New Roman"/>
          <w:szCs w:val="24"/>
        </w:rPr>
        <w:t>was used “to support a narrative that is inconsistent with the interpretation of that work (without acknowledging that difference of view)” (</w:t>
      </w:r>
      <w:r>
        <w:rPr>
          <w:rFonts w:cs="Times New Roman"/>
          <w:szCs w:val="24"/>
        </w:rPr>
        <w:t xml:space="preserve">p. </w:t>
      </w:r>
      <w:r w:rsidRPr="001D4494">
        <w:rPr>
          <w:rFonts w:cs="Times New Roman"/>
          <w:szCs w:val="24"/>
        </w:rPr>
        <w:t xml:space="preserve">168).  He writes that the </w:t>
      </w:r>
      <w:r>
        <w:t>majority</w:t>
      </w:r>
      <w:r w:rsidRPr="001D4494">
        <w:rPr>
          <w:rFonts w:cs="Times New Roman"/>
          <w:szCs w:val="24"/>
        </w:rPr>
        <w:t xml:space="preserve">’s historical analysis fails to support the historical proposition that it </w:t>
      </w:r>
      <w:r>
        <w:rPr>
          <w:rFonts w:cs="Times New Roman"/>
          <w:szCs w:val="24"/>
        </w:rPr>
        <w:t>seeks to defend, “namely that ‘A</w:t>
      </w:r>
      <w:r w:rsidRPr="001D4494">
        <w:rPr>
          <w:rFonts w:cs="Times New Roman"/>
          <w:szCs w:val="24"/>
        </w:rPr>
        <w:t>ssociation for purposes of collective bargaining has long been recognized as a funda</w:t>
      </w:r>
      <w:r>
        <w:rPr>
          <w:rFonts w:cs="Times New Roman"/>
          <w:szCs w:val="24"/>
        </w:rPr>
        <w:t>mental Canadian right which predated</w:t>
      </w:r>
      <w:r w:rsidRPr="001D4494">
        <w:rPr>
          <w:rFonts w:cs="Times New Roman"/>
          <w:szCs w:val="24"/>
        </w:rPr>
        <w:t xml:space="preserve"> the </w:t>
      </w:r>
      <w:r w:rsidRPr="000738C4">
        <w:rPr>
          <w:rFonts w:cs="Times New Roman"/>
          <w:i/>
          <w:szCs w:val="24"/>
        </w:rPr>
        <w:t>Charter</w:t>
      </w:r>
      <w:r>
        <w:rPr>
          <w:rFonts w:cs="Times New Roman"/>
          <w:szCs w:val="24"/>
        </w:rPr>
        <w:t>’” (p.</w:t>
      </w:r>
      <w:r w:rsidRPr="001D4494">
        <w:rPr>
          <w:rFonts w:cs="Times New Roman"/>
          <w:szCs w:val="24"/>
        </w:rPr>
        <w:t xml:space="preserve"> 166).</w:t>
      </w:r>
    </w:p>
    <w:p w:rsidR="00A00D29" w:rsidRPr="001D4494" w:rsidRDefault="00A00D29" w:rsidP="00E70547">
      <w:pPr>
        <w:pStyle w:val="ReasonsNumbering-AltN"/>
        <w:ind w:left="0" w:firstLine="0"/>
        <w:rPr>
          <w:rFonts w:cs="Times New Roman"/>
          <w:szCs w:val="24"/>
        </w:rPr>
      </w:pPr>
      <w:r w:rsidRPr="001D4494">
        <w:rPr>
          <w:rFonts w:cs="Times New Roman"/>
          <w:szCs w:val="24"/>
        </w:rPr>
        <w:t xml:space="preserve">One of the problems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is that the term “collective bargaining” is used throughout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without it being acknowledged that, from a historical perspective, there are two meanings that can be ascribed to the te</w:t>
      </w:r>
      <w:r>
        <w:rPr>
          <w:rFonts w:cs="Times New Roman"/>
          <w:szCs w:val="24"/>
        </w:rPr>
        <w:t>rm.  On the one hand, the term “</w:t>
      </w:r>
      <w:r w:rsidRPr="001D4494">
        <w:rPr>
          <w:rFonts w:cs="Times New Roman"/>
          <w:szCs w:val="24"/>
        </w:rPr>
        <w:t>collective bargaining</w:t>
      </w:r>
      <w:r>
        <w:rPr>
          <w:rFonts w:cs="Times New Roman"/>
          <w:szCs w:val="24"/>
        </w:rPr>
        <w:t>”</w:t>
      </w:r>
      <w:r w:rsidRPr="001D4494">
        <w:rPr>
          <w:rFonts w:cs="Times New Roman"/>
          <w:szCs w:val="24"/>
        </w:rPr>
        <w:t xml:space="preserve"> refers to self-directed activities engaged in by workers without the benefit of statutory enhancements or protection, </w:t>
      </w:r>
      <w:r w:rsidRPr="001D4494">
        <w:rPr>
          <w:rFonts w:cs="Times New Roman"/>
          <w:szCs w:val="24"/>
        </w:rPr>
        <w:lastRenderedPageBreak/>
        <w:t>i.e. workers organizing in order to attempt collective engagement with their employer in the hopes of obtaining better pay and working c</w:t>
      </w:r>
      <w:r>
        <w:rPr>
          <w:rFonts w:cs="Times New Roman"/>
          <w:szCs w:val="24"/>
        </w:rPr>
        <w:t xml:space="preserve">onditions.  See </w:t>
      </w:r>
      <w:r w:rsidRPr="001D4494">
        <w:rPr>
          <w:rFonts w:cs="Times New Roman"/>
          <w:szCs w:val="24"/>
        </w:rPr>
        <w:t xml:space="preserve">Tucker, at </w:t>
      </w:r>
      <w:r>
        <w:rPr>
          <w:rFonts w:cs="Times New Roman"/>
          <w:szCs w:val="24"/>
        </w:rPr>
        <w:t>p. 166.</w:t>
      </w:r>
    </w:p>
    <w:p w:rsidR="00A00D29" w:rsidRPr="001D4494" w:rsidRDefault="00A00D29" w:rsidP="00E70547">
      <w:pPr>
        <w:pStyle w:val="ReasonsNumbering-AltN"/>
        <w:ind w:left="0" w:firstLine="0"/>
        <w:rPr>
          <w:rFonts w:cs="Times New Roman"/>
          <w:szCs w:val="24"/>
        </w:rPr>
      </w:pPr>
      <w:r w:rsidRPr="001D4494">
        <w:rPr>
          <w:rFonts w:cs="Times New Roman"/>
          <w:szCs w:val="24"/>
        </w:rPr>
        <w:t>On the other hand, the term is used as shorthand for a</w:t>
      </w:r>
      <w:r>
        <w:rPr>
          <w:rFonts w:cs="Times New Roman"/>
          <w:szCs w:val="24"/>
        </w:rPr>
        <w:t xml:space="preserve"> particular kind of statutorily enabled activity.  “</w:t>
      </w:r>
      <w:r w:rsidRPr="001D4494">
        <w:rPr>
          <w:rFonts w:cs="Times New Roman"/>
          <w:szCs w:val="24"/>
        </w:rPr>
        <w:t>Collective bargaining</w:t>
      </w:r>
      <w:r>
        <w:rPr>
          <w:rFonts w:cs="Times New Roman"/>
          <w:szCs w:val="24"/>
        </w:rPr>
        <w:t>”</w:t>
      </w:r>
      <w:r w:rsidRPr="001D4494">
        <w:rPr>
          <w:rFonts w:cs="Times New Roman"/>
          <w:szCs w:val="24"/>
        </w:rPr>
        <w:t xml:space="preserve">, in the age of the Wagner model, refers to a complex package of reciprocal rights and duties imposed on employers and workers alike. </w:t>
      </w:r>
    </w:p>
    <w:p w:rsidR="00A00D29" w:rsidRPr="001D4494" w:rsidRDefault="00A00D29" w:rsidP="00E70547">
      <w:pPr>
        <w:pStyle w:val="ReasonsNumbering-AltN"/>
        <w:ind w:left="0" w:firstLine="0"/>
        <w:rPr>
          <w:rFonts w:cs="Times New Roman"/>
          <w:szCs w:val="24"/>
        </w:rPr>
      </w:pPr>
      <w:r w:rsidRPr="001D4494">
        <w:rPr>
          <w:rFonts w:cs="Times New Roman"/>
          <w:szCs w:val="24"/>
        </w:rPr>
        <w:t>The dominance of the Wagner model of labour relations</w:t>
      </w:r>
      <w:r>
        <w:rPr>
          <w:rFonts w:cs="Times New Roman"/>
          <w:szCs w:val="24"/>
        </w:rPr>
        <w:t xml:space="preserve"> in Canada has caused the term “collective bargaining”</w:t>
      </w:r>
      <w:r w:rsidRPr="001D4494">
        <w:rPr>
          <w:rFonts w:cs="Times New Roman"/>
          <w:szCs w:val="24"/>
        </w:rPr>
        <w:t xml:space="preserve"> to become virtually synonymous with a specific set of legislatively imposed obligations, including the requirement of a duty to bargain in good faith.  However, collective bargaining, in its original and most basic form, did not involve or require the existence of statutory obligations.</w:t>
      </w:r>
    </w:p>
    <w:p w:rsidR="00A00D29" w:rsidRPr="001D4494" w:rsidRDefault="00A00D29" w:rsidP="00E70547">
      <w:pPr>
        <w:pStyle w:val="ReasonsNumbering-AltN"/>
        <w:ind w:left="0" w:firstLine="0"/>
        <w:rPr>
          <w:rFonts w:cs="Times New Roman"/>
          <w:szCs w:val="24"/>
        </w:rPr>
      </w:pPr>
      <w:r w:rsidRPr="001D4494">
        <w:rPr>
          <w:rFonts w:cs="Times New Roman"/>
          <w:szCs w:val="24"/>
        </w:rPr>
        <w:t xml:space="preserve">In its decision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the </w:t>
      </w:r>
      <w:r>
        <w:t>majority</w:t>
      </w:r>
      <w:r w:rsidRPr="001D4494">
        <w:rPr>
          <w:rFonts w:cs="Times New Roman"/>
          <w:szCs w:val="24"/>
        </w:rPr>
        <w:t xml:space="preserve"> did not distinguish between the Wagner form of collective bargaining and the non-statutory form when stating that the “right” to collective bargaining had a long history in Canada.  This is manifested in the </w:t>
      </w:r>
      <w:r>
        <w:t>majority</w:t>
      </w:r>
      <w:r w:rsidRPr="001D4494">
        <w:rPr>
          <w:rFonts w:cs="Times New Roman"/>
          <w:szCs w:val="24"/>
        </w:rPr>
        <w:t>’s statement, for example, that “the duty to consult and negotiate in good faith” is “the fundamental precept of collective bargaining”</w:t>
      </w:r>
      <w:r w:rsidR="00E37E0F">
        <w:rPr>
          <w:rFonts w:cs="Times New Roman"/>
          <w:szCs w:val="24"/>
        </w:rPr>
        <w:t xml:space="preserve"> (</w:t>
      </w:r>
      <w:r w:rsidRPr="001D4494">
        <w:rPr>
          <w:rFonts w:cs="Times New Roman"/>
          <w:szCs w:val="24"/>
        </w:rPr>
        <w:t>para. 97</w:t>
      </w:r>
      <w:r w:rsidR="00E37E0F">
        <w:rPr>
          <w:rFonts w:cs="Times New Roman"/>
          <w:szCs w:val="24"/>
        </w:rPr>
        <w:t>)</w:t>
      </w:r>
      <w:r w:rsidRPr="001D4494">
        <w:rPr>
          <w:rFonts w:cs="Times New Roman"/>
          <w:szCs w:val="24"/>
        </w:rPr>
        <w:t xml:space="preserve">.  While the </w:t>
      </w:r>
      <w:r w:rsidRPr="006F454C">
        <w:rPr>
          <w:rFonts w:cs="Times New Roman"/>
          <w:i/>
          <w:szCs w:val="24"/>
        </w:rPr>
        <w:t>duty</w:t>
      </w:r>
      <w:r w:rsidRPr="001D4494">
        <w:rPr>
          <w:rFonts w:cs="Times New Roman"/>
          <w:szCs w:val="24"/>
        </w:rPr>
        <w:t xml:space="preserve"> to bargain in good faith may be a fundamental precept of the Wagner model of collective bargaining, it is not a fundamental precept of the concept of collective bargaining as it was understood before </w:t>
      </w:r>
      <w:r w:rsidR="00DB4BD2">
        <w:rPr>
          <w:rFonts w:cs="Times New Roman"/>
          <w:szCs w:val="24"/>
        </w:rPr>
        <w:t xml:space="preserve">the </w:t>
      </w:r>
      <w:r w:rsidRPr="001D4494">
        <w:rPr>
          <w:rFonts w:cs="Times New Roman"/>
          <w:szCs w:val="24"/>
        </w:rPr>
        <w:t xml:space="preserve">introduction of the </w:t>
      </w:r>
      <w:r w:rsidRPr="001D4494">
        <w:rPr>
          <w:rFonts w:cs="Times New Roman"/>
          <w:i/>
          <w:szCs w:val="24"/>
        </w:rPr>
        <w:t>Wagner Act</w:t>
      </w:r>
      <w:r w:rsidRPr="001D4494">
        <w:rPr>
          <w:rFonts w:cs="Times New Roman"/>
          <w:szCs w:val="24"/>
        </w:rPr>
        <w:t xml:space="preserve"> or as it is still understood today in many parts of the world.</w:t>
      </w:r>
    </w:p>
    <w:p w:rsidR="00A00D29" w:rsidRPr="001D4494" w:rsidRDefault="00A00D29" w:rsidP="00E70547">
      <w:pPr>
        <w:pStyle w:val="ReasonsNumbering-AltN"/>
        <w:ind w:left="0" w:firstLine="0"/>
        <w:rPr>
          <w:rFonts w:cs="Times New Roman"/>
          <w:szCs w:val="24"/>
        </w:rPr>
      </w:pPr>
      <w:r w:rsidRPr="001D4494">
        <w:rPr>
          <w:rFonts w:cs="Times New Roman"/>
          <w:szCs w:val="24"/>
        </w:rPr>
        <w:lastRenderedPageBreak/>
        <w:t xml:space="preserve"> It is true that there is a long-standing practice of Canadian workers associating for the purpose of bargaining collectively with their employers. Likewise, it is true that at least since</w:t>
      </w:r>
      <w:r>
        <w:rPr>
          <w:rFonts w:cs="Times New Roman"/>
          <w:szCs w:val="24"/>
        </w:rPr>
        <w:t xml:space="preserve"> the </w:t>
      </w:r>
      <w:r>
        <w:rPr>
          <w:rFonts w:cs="Times New Roman"/>
          <w:i/>
          <w:szCs w:val="24"/>
        </w:rPr>
        <w:t>Trade Unions Act</w:t>
      </w:r>
      <w:r>
        <w:rPr>
          <w:rFonts w:cs="Times New Roman"/>
          <w:szCs w:val="24"/>
        </w:rPr>
        <w:t xml:space="preserve"> of</w:t>
      </w:r>
      <w:r w:rsidRPr="001D4494">
        <w:rPr>
          <w:rFonts w:cs="Times New Roman"/>
          <w:szCs w:val="24"/>
        </w:rPr>
        <w:t xml:space="preserve"> 1872 workers enjoyed a legal freedom to </w:t>
      </w:r>
      <w:r w:rsidRPr="006F454C">
        <w:rPr>
          <w:rFonts w:cs="Times New Roman"/>
          <w:i/>
          <w:szCs w:val="24"/>
        </w:rPr>
        <w:t>associate</w:t>
      </w:r>
      <w:r w:rsidRPr="001D4494">
        <w:rPr>
          <w:rFonts w:cs="Times New Roman"/>
          <w:szCs w:val="24"/>
        </w:rPr>
        <w:t xml:space="preserve"> for the purpose of bargaining collectively with their employers without being prosecuted or sued for simply doing so. </w:t>
      </w:r>
    </w:p>
    <w:p w:rsidR="00A00D29" w:rsidRPr="001D4494" w:rsidRDefault="00A00D29" w:rsidP="00E70547">
      <w:pPr>
        <w:pStyle w:val="ReasonsNumbering-AltN"/>
        <w:ind w:left="0" w:firstLine="0"/>
        <w:rPr>
          <w:rFonts w:cs="Times New Roman"/>
          <w:szCs w:val="24"/>
        </w:rPr>
      </w:pPr>
      <w:r w:rsidRPr="001D4494">
        <w:rPr>
          <w:rFonts w:cs="Times New Roman"/>
          <w:szCs w:val="24"/>
        </w:rPr>
        <w:t xml:space="preserve">However, the </w:t>
      </w:r>
      <w:r w:rsidRPr="001D4494">
        <w:rPr>
          <w:rFonts w:cs="Times New Roman"/>
          <w:i/>
          <w:szCs w:val="24"/>
        </w:rPr>
        <w:t xml:space="preserve">legal rights </w:t>
      </w:r>
      <w:r w:rsidRPr="001D4494">
        <w:rPr>
          <w:rFonts w:cs="Times New Roman"/>
          <w:szCs w:val="24"/>
        </w:rPr>
        <w:t xml:space="preserve">of organization, which imposed duties of non-interference on employers, and collective bargaining, which imposed good faith duties of negotiation on employers, </w:t>
      </w:r>
      <w:r w:rsidRPr="006F454C">
        <w:rPr>
          <w:rFonts w:cs="Times New Roman"/>
          <w:i/>
          <w:szCs w:val="24"/>
        </w:rPr>
        <w:t>did not</w:t>
      </w:r>
      <w:r w:rsidRPr="001D4494">
        <w:rPr>
          <w:rFonts w:cs="Times New Roman"/>
          <w:szCs w:val="24"/>
        </w:rPr>
        <w:t xml:space="preserve"> exist prior to their enactment in statutes</w:t>
      </w:r>
      <w:r w:rsidR="00E37E0F">
        <w:rPr>
          <w:rFonts w:cs="Times New Roman"/>
          <w:szCs w:val="24"/>
        </w:rPr>
        <w:t>:</w:t>
      </w:r>
      <w:r w:rsidRPr="001D4494">
        <w:rPr>
          <w:rFonts w:cs="Times New Roman"/>
          <w:szCs w:val="24"/>
        </w:rPr>
        <w:t xml:space="preserve"> </w:t>
      </w:r>
    </w:p>
    <w:p w:rsidR="00A00D29" w:rsidRPr="001D4494" w:rsidRDefault="00A00D29" w:rsidP="00E70547">
      <w:pPr>
        <w:pStyle w:val="Citation-AltC"/>
        <w:spacing w:after="240"/>
        <w:contextualSpacing w:val="0"/>
      </w:pPr>
      <w:r w:rsidRPr="001D4494">
        <w:t>The establishment of a legal right for workers to associate for the purposes of forming a trade union, in the sense that employers are subject to a concomitant duty not to interfere with their organizing, however, can only be traced to the freedom of trade union association legislation passed in the 1930s, while the legal right for workers to bargain collectively, in the sense that employers have a positive duty to participate in a process of good faith negotiation with their workers’ chosen representatives, first appeared in British Columbia and Nova Scotia statutes enacted in 1937, but only became generalized for private sector workers in the 1940s and for public sector workers in the 1960s and 70s.</w:t>
      </w:r>
    </w:p>
    <w:p w:rsidR="00A00D29" w:rsidRDefault="00A00D29" w:rsidP="00E70547">
      <w:pPr>
        <w:pStyle w:val="Citation-AltC"/>
        <w:spacing w:after="240"/>
        <w:contextualSpacing w:val="0"/>
      </w:pPr>
      <w:r>
        <w:tab/>
      </w:r>
      <w:r w:rsidRPr="001D4494">
        <w:t xml:space="preserve">Thus while the court is on firm historical ground when it states in paragraph 66 that collective bargaining (understood here as a social practice) has long been recognized in Canada (in the sense that it could neither be repressed nor ignored) and that “historically it emerges as the most significant collective activity through which freedom of association is expressed in the labour context,” its further claim that a procedural </w:t>
      </w:r>
      <w:r w:rsidRPr="006F454C">
        <w:rPr>
          <w:i/>
        </w:rPr>
        <w:t>right</w:t>
      </w:r>
      <w:r w:rsidRPr="001D4494">
        <w:t xml:space="preserve"> to collective bargaining has </w:t>
      </w:r>
      <w:r w:rsidRPr="006F454C">
        <w:rPr>
          <w:i/>
        </w:rPr>
        <w:t>long</w:t>
      </w:r>
      <w:r w:rsidRPr="001D4494">
        <w:t xml:space="preserve"> been recognized as </w:t>
      </w:r>
      <w:r w:rsidRPr="006F454C">
        <w:rPr>
          <w:i/>
        </w:rPr>
        <w:t>fundamental</w:t>
      </w:r>
      <w:r w:rsidRPr="001D4494">
        <w:t xml:space="preserve"> in Canada prior to 1982 is deeply problematic as a statement of historical fact. </w:t>
      </w:r>
    </w:p>
    <w:p w:rsidR="00A00D29" w:rsidRPr="001D4494" w:rsidRDefault="00A00D29" w:rsidP="00A00D29">
      <w:pPr>
        <w:pStyle w:val="Citation-AltC"/>
      </w:pPr>
      <w:r w:rsidRPr="001D4494">
        <w:rPr>
          <w:color w:val="000000"/>
        </w:rPr>
        <w:t>(</w:t>
      </w:r>
      <w:r w:rsidRPr="001D4494">
        <w:t>Tucker</w:t>
      </w:r>
      <w:r>
        <w:t>,</w:t>
      </w:r>
      <w:r w:rsidRPr="001D4494">
        <w:t xml:space="preserve"> at </w:t>
      </w:r>
      <w:r>
        <w:t>p. 166 (emphasis in original)</w:t>
      </w:r>
      <w:r w:rsidRPr="001D4494">
        <w:rPr>
          <w:color w:val="000000"/>
        </w:rPr>
        <w:t>)</w:t>
      </w:r>
    </w:p>
    <w:p w:rsidR="00A00D29" w:rsidRPr="00FD48EA" w:rsidRDefault="00A00D29" w:rsidP="00E70547">
      <w:pPr>
        <w:pStyle w:val="ReasonsNumbering-AltN"/>
        <w:ind w:left="0" w:firstLine="0"/>
        <w:rPr>
          <w:rFonts w:cs="Times New Roman"/>
          <w:szCs w:val="24"/>
        </w:rPr>
      </w:pPr>
      <w:r w:rsidRPr="001D4494">
        <w:rPr>
          <w:rFonts w:cs="Times New Roman"/>
          <w:szCs w:val="24"/>
        </w:rPr>
        <w:lastRenderedPageBreak/>
        <w:t>Professor Langille also takes the position that Canada’s labour history does not reveal an acceptance by our common law courts or our legislatures of a concept of freedom of association that included an obligation on the part of employers to engage in collective bargaining:</w:t>
      </w:r>
      <w:r>
        <w:rPr>
          <w:rFonts w:cs="Times New Roman"/>
          <w:szCs w:val="24"/>
        </w:rPr>
        <w:t xml:space="preserve">  </w:t>
      </w:r>
      <w:r w:rsidRPr="00FD48EA">
        <w:rPr>
          <w:szCs w:val="24"/>
        </w:rPr>
        <w:t>“Beyond any doubt, there was no duty imposed on an employer to bargain with a union</w:t>
      </w:r>
      <w:r>
        <w:rPr>
          <w:szCs w:val="24"/>
        </w:rPr>
        <w:t xml:space="preserve"> — </w:t>
      </w:r>
      <w:r w:rsidRPr="00FD48EA">
        <w:rPr>
          <w:szCs w:val="24"/>
        </w:rPr>
        <w:t xml:space="preserve">even if, contrary to all legal indications, there was an effectively protected right to belong to a union and to participate in a strike” </w:t>
      </w:r>
      <w:r>
        <w:rPr>
          <w:szCs w:val="24"/>
        </w:rPr>
        <w:t>(“Freedom of Association”, at p. 191)</w:t>
      </w:r>
      <w:r w:rsidRPr="00FD48EA">
        <w:rPr>
          <w:szCs w:val="24"/>
        </w:rPr>
        <w:t>.</w:t>
      </w:r>
    </w:p>
    <w:p w:rsidR="00A00D29" w:rsidRPr="001D4494" w:rsidRDefault="00A00D29" w:rsidP="00E70547">
      <w:pPr>
        <w:pStyle w:val="ReasonsNumbering-AltN"/>
        <w:ind w:left="0" w:firstLine="0"/>
        <w:rPr>
          <w:rFonts w:cs="Times New Roman"/>
          <w:szCs w:val="24"/>
        </w:rPr>
      </w:pPr>
      <w:r w:rsidRPr="001D4494">
        <w:rPr>
          <w:rFonts w:cs="Times New Roman"/>
          <w:szCs w:val="24"/>
        </w:rPr>
        <w:t>Not only did courts not recognize such a bargaining right in the period before the adoption of the Wagner model in Canada, but they often issued injunctions against labour’s attempts to bargain collectively.  Professor Etherington writes:</w:t>
      </w:r>
    </w:p>
    <w:p w:rsidR="00A00D29" w:rsidRPr="001D4494" w:rsidRDefault="00A00D29" w:rsidP="00A00D29">
      <w:pPr>
        <w:pStyle w:val="Citation-AltC"/>
      </w:pPr>
      <w:r>
        <w:t>. . . p</w:t>
      </w:r>
      <w:r w:rsidRPr="001D4494">
        <w:t xml:space="preserve">rior to the adoption of statutes in Canada modeled on the </w:t>
      </w:r>
      <w:r w:rsidRPr="008C1834">
        <w:t>Wagner Act</w:t>
      </w:r>
      <w:r w:rsidRPr="001D4494">
        <w:t xml:space="preserve">, the best our unions could hope for was a laissez-faire attitude that would allow them to use strikes to force employers to bargain. More often than not during that period they were even disappointed in that hope by courts that were too willing to use their injunctive powers  at common law to prevent unions from taking collective economic action against employers to compel them to bargain collectively. In that context, it may be a hollow claim to even assert that our law or society recognized access to collective bargaining in any sense as a fundamental right or freedom, but </w:t>
      </w:r>
      <w:r w:rsidRPr="001D4494">
        <w:rPr>
          <w:u w:val="single"/>
        </w:rPr>
        <w:t>it is clearly not accurate to assert that it recognized a legal right to engage in collective bargaining that included an obligation on the part of employers also to engage in bargaining when approached by unions</w:t>
      </w:r>
      <w:r w:rsidRPr="001D4494">
        <w:t>. [Emphasis added</w:t>
      </w:r>
      <w:r>
        <w:t>; p. 727</w:t>
      </w:r>
      <w:r w:rsidRPr="001D4494">
        <w:t>.]</w:t>
      </w:r>
    </w:p>
    <w:p w:rsidR="00A00D29" w:rsidRPr="001D4494" w:rsidRDefault="00A00D29" w:rsidP="00E70547">
      <w:pPr>
        <w:pStyle w:val="ReasonsNumbering-AltN"/>
        <w:ind w:left="0" w:firstLine="0"/>
        <w:rPr>
          <w:rFonts w:cs="Times New Roman"/>
          <w:color w:val="000000"/>
          <w:szCs w:val="24"/>
        </w:rPr>
      </w:pPr>
      <w:r w:rsidRPr="001D4494">
        <w:rPr>
          <w:rFonts w:cs="Times New Roman"/>
          <w:szCs w:val="24"/>
        </w:rPr>
        <w:t>The</w:t>
      </w:r>
      <w:r w:rsidRPr="001D4494">
        <w:rPr>
          <w:rFonts w:cs="Times New Roman"/>
          <w:color w:val="000000"/>
          <w:szCs w:val="24"/>
        </w:rPr>
        <w:t xml:space="preserve"> </w:t>
      </w:r>
      <w:r w:rsidRPr="00E70547">
        <w:rPr>
          <w:rFonts w:cs="Times New Roman"/>
          <w:szCs w:val="24"/>
        </w:rPr>
        <w:t>Chief</w:t>
      </w:r>
      <w:r w:rsidRPr="001D4494">
        <w:rPr>
          <w:rFonts w:cs="Times New Roman"/>
          <w:color w:val="000000"/>
          <w:szCs w:val="24"/>
        </w:rPr>
        <w:t xml:space="preserve"> Justice and LeBel J. take issue with my focus on whether, historically, the right to collective bargaining was consistently guaranteed by the legal system, noting that the question should instead be “whether Canadian society’s </w:t>
      </w:r>
      <w:r w:rsidRPr="001D4494">
        <w:rPr>
          <w:rFonts w:cs="Times New Roman"/>
          <w:i/>
          <w:color w:val="000000"/>
          <w:szCs w:val="24"/>
        </w:rPr>
        <w:t>understanding</w:t>
      </w:r>
      <w:r w:rsidRPr="001D4494">
        <w:rPr>
          <w:rFonts w:cs="Times New Roman"/>
          <w:color w:val="000000"/>
          <w:szCs w:val="24"/>
        </w:rPr>
        <w:t xml:space="preserve"> of freedom of association, viewed broadly, includes the right to </w:t>
      </w:r>
      <w:r w:rsidRPr="001D4494">
        <w:rPr>
          <w:rFonts w:cs="Times New Roman"/>
          <w:color w:val="000000"/>
          <w:szCs w:val="24"/>
        </w:rPr>
        <w:lastRenderedPageBreak/>
        <w:t xml:space="preserve">collective bargaining in the minimal sense of good faith exchanges affirmed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(para. 90</w:t>
      </w:r>
      <w:r>
        <w:rPr>
          <w:rFonts w:cs="Times New Roman"/>
          <w:color w:val="000000"/>
          <w:szCs w:val="24"/>
        </w:rPr>
        <w:t xml:space="preserve"> (emphasis in original)</w:t>
      </w:r>
      <w:r w:rsidRPr="001D4494">
        <w:rPr>
          <w:rFonts w:cs="Times New Roman"/>
          <w:color w:val="000000"/>
          <w:szCs w:val="24"/>
        </w:rPr>
        <w:t>).</w:t>
      </w:r>
      <w:r w:rsidRPr="001D4494">
        <w:rPr>
          <w:rFonts w:cs="Times New Roman"/>
          <w:szCs w:val="24"/>
        </w:rPr>
        <w:t xml:space="preserve"> </w:t>
      </w:r>
      <w:r w:rsidRPr="001D4494">
        <w:rPr>
          <w:rFonts w:cs="Times New Roman"/>
          <w:color w:val="000000"/>
          <w:szCs w:val="24"/>
        </w:rPr>
        <w:t xml:space="preserve"> With respect, this bare assertion, without any evidence or explanation as to what Canadian society’s understanding of freedom of association actually is, does not rehabilitate the flawed historical analysis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w:t>
      </w:r>
    </w:p>
    <w:p w:rsidR="00A00D29" w:rsidRPr="001D4494" w:rsidRDefault="00A00D29" w:rsidP="00E70547">
      <w:pPr>
        <w:pStyle w:val="ReasonsNumbering-AltN"/>
        <w:ind w:left="0" w:firstLine="0"/>
        <w:rPr>
          <w:rFonts w:cs="Times New Roman"/>
          <w:szCs w:val="24"/>
        </w:rPr>
      </w:pPr>
      <w:r w:rsidRPr="001D4494">
        <w:rPr>
          <w:rFonts w:cs="Times New Roman"/>
          <w:szCs w:val="24"/>
        </w:rPr>
        <w:t>In light of the consistent</w:t>
      </w:r>
      <w:r w:rsidRPr="001D4494">
        <w:rPr>
          <w:rFonts w:cs="Times New Roman"/>
          <w:color w:val="000000"/>
          <w:szCs w:val="24"/>
        </w:rPr>
        <w:t xml:space="preserve"> academic</w:t>
      </w:r>
      <w:r w:rsidRPr="001D4494">
        <w:rPr>
          <w:rFonts w:cs="Times New Roman"/>
          <w:szCs w:val="24"/>
        </w:rPr>
        <w:t xml:space="preserve"> criticisms, I cannot accept the </w:t>
      </w:r>
      <w:r w:rsidRPr="001D4494">
        <w:rPr>
          <w:rFonts w:cs="Times New Roman"/>
          <w:color w:val="000000"/>
          <w:szCs w:val="24"/>
        </w:rPr>
        <w:t xml:space="preserve">majority’s </w:t>
      </w:r>
      <w:r w:rsidRPr="001D4494">
        <w:rPr>
          <w:rFonts w:cs="Times New Roman"/>
          <w:szCs w:val="24"/>
        </w:rPr>
        <w:t xml:space="preserve">assertion in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that the Wagner model statutes did not create a modern right to bargain collectively but only “afforded it protection”</w:t>
      </w:r>
      <w:r>
        <w:rPr>
          <w:rFonts w:cs="Times New Roman"/>
          <w:szCs w:val="24"/>
        </w:rPr>
        <w:t xml:space="preserve"> (para. 25). </w:t>
      </w:r>
      <w:r w:rsidRPr="001D4494">
        <w:rPr>
          <w:rFonts w:cs="Times New Roman"/>
          <w:szCs w:val="24"/>
        </w:rPr>
        <w:t xml:space="preserve"> While the legal freedom to enter into voluntary collective negotiations may have been a fundamental freedom prior to legislation based on the </w:t>
      </w:r>
      <w:r w:rsidRPr="001D4494">
        <w:rPr>
          <w:rFonts w:cs="Times New Roman"/>
          <w:i/>
          <w:szCs w:val="24"/>
        </w:rPr>
        <w:t>Wagner Act</w:t>
      </w:r>
      <w:r w:rsidRPr="001D4494">
        <w:rPr>
          <w:rFonts w:cs="Times New Roman"/>
          <w:szCs w:val="24"/>
        </w:rPr>
        <w:t xml:space="preserve">, these statutes did in fact constitute a substantial innovation over the </w:t>
      </w:r>
      <w:r w:rsidRPr="001D4494">
        <w:rPr>
          <w:rFonts w:cs="Times New Roman"/>
          <w:i/>
          <w:szCs w:val="24"/>
        </w:rPr>
        <w:t>status quo ante</w:t>
      </w:r>
      <w:r w:rsidRPr="001D4494">
        <w:rPr>
          <w:rFonts w:cs="Times New Roman"/>
          <w:szCs w:val="24"/>
        </w:rPr>
        <w:t xml:space="preserve"> with respect to various labour rights, including the duty of employers to bargain in good faith.</w:t>
      </w:r>
    </w:p>
    <w:p w:rsidR="00A00D29" w:rsidRDefault="00A00D29" w:rsidP="00E37E0F">
      <w:pPr>
        <w:pStyle w:val="HeadingTitre-AltH"/>
        <w:tabs>
          <w:tab w:val="clear" w:pos="360"/>
          <w:tab w:val="left" w:pos="1170"/>
        </w:tabs>
        <w:ind w:left="1800" w:hanging="630"/>
      </w:pPr>
      <w:r w:rsidRPr="001D4494">
        <w:t>(3)</w:t>
      </w:r>
      <w:r w:rsidRPr="001D4494">
        <w:tab/>
      </w:r>
      <w:r w:rsidRPr="00395C4A">
        <w:rPr>
          <w:u w:val="single"/>
        </w:rPr>
        <w:t xml:space="preserve">International </w:t>
      </w:r>
      <w:r>
        <w:rPr>
          <w:u w:val="single"/>
        </w:rPr>
        <w:t>Law Does Not Support C</w:t>
      </w:r>
      <w:r w:rsidRPr="00395C4A">
        <w:rPr>
          <w:u w:val="single"/>
        </w:rPr>
        <w:t xml:space="preserve">onstitutionalizing </w:t>
      </w:r>
      <w:r>
        <w:rPr>
          <w:u w:val="single"/>
        </w:rPr>
        <w:t>C</w:t>
      </w:r>
      <w:r w:rsidRPr="00395C4A">
        <w:rPr>
          <w:u w:val="single"/>
        </w:rPr>
        <w:t xml:space="preserve">ollective </w:t>
      </w:r>
      <w:r>
        <w:rPr>
          <w:u w:val="single"/>
        </w:rPr>
        <w:t>Bargaining R</w:t>
      </w:r>
      <w:r w:rsidRPr="00395C4A">
        <w:rPr>
          <w:u w:val="single"/>
        </w:rPr>
        <w:t>ights</w:t>
      </w:r>
    </w:p>
    <w:p w:rsidR="00A00D29" w:rsidRPr="001D4494" w:rsidRDefault="00A00D29" w:rsidP="00E70547">
      <w:pPr>
        <w:pStyle w:val="ReasonsNumbering-AltN"/>
        <w:ind w:left="0" w:firstLine="0"/>
        <w:rPr>
          <w:rFonts w:cs="Times New Roman"/>
          <w:szCs w:val="24"/>
        </w:rPr>
      </w:pPr>
      <w:r w:rsidRPr="001D4494">
        <w:rPr>
          <w:rFonts w:cs="Times New Roman"/>
          <w:szCs w:val="24"/>
        </w:rPr>
        <w:t xml:space="preserve">The third proposition the </w:t>
      </w:r>
      <w:r>
        <w:t>majority</w:t>
      </w:r>
      <w:r w:rsidRPr="001D4494">
        <w:rPr>
          <w:rFonts w:cs="Times New Roman"/>
          <w:szCs w:val="24"/>
        </w:rPr>
        <w:t xml:space="preserve"> relied on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was that collective bargaining is an integral component of the freedom of association under international law.  The </w:t>
      </w:r>
      <w:r>
        <w:t>majority</w:t>
      </w:r>
      <w:r>
        <w:rPr>
          <w:rFonts w:cs="Times New Roman"/>
          <w:szCs w:val="24"/>
        </w:rPr>
        <w:t xml:space="preserve"> relied in particular on ILO </w:t>
      </w:r>
      <w:r w:rsidRPr="008A3DB7">
        <w:rPr>
          <w:rFonts w:cs="Times New Roman"/>
          <w:i/>
          <w:szCs w:val="24"/>
        </w:rPr>
        <w:t>Convention (No. 87)</w:t>
      </w:r>
      <w:r>
        <w:rPr>
          <w:rFonts w:cs="Times New Roman"/>
          <w:szCs w:val="24"/>
        </w:rPr>
        <w:t xml:space="preserve"> </w:t>
      </w:r>
      <w:r w:rsidRPr="008A3DB7">
        <w:rPr>
          <w:rFonts w:cs="Times New Roman"/>
          <w:i/>
          <w:szCs w:val="24"/>
        </w:rPr>
        <w:t>concerning freedom of association and protection of the right to organise</w:t>
      </w:r>
      <w:r>
        <w:rPr>
          <w:rFonts w:cs="Times New Roman"/>
          <w:szCs w:val="24"/>
        </w:rPr>
        <w:t>, 68 U.N.T.S</w:t>
      </w:r>
      <w:r w:rsidR="00DB4BD2">
        <w:rPr>
          <w:rFonts w:cs="Times New Roman"/>
          <w:szCs w:val="24"/>
        </w:rPr>
        <w:t>.</w:t>
      </w:r>
      <w:r>
        <w:rPr>
          <w:rFonts w:cs="Times New Roman"/>
          <w:szCs w:val="24"/>
        </w:rPr>
        <w:t xml:space="preserve"> 17 (“Convention No. 87”),</w:t>
      </w:r>
      <w:r w:rsidRPr="001D4494">
        <w:rPr>
          <w:rFonts w:cs="Times New Roman"/>
          <w:szCs w:val="24"/>
        </w:rPr>
        <w:t xml:space="preserve"> in support of the position that collective bargaining is protected under international law.  In doing so, it committed two errors.</w:t>
      </w:r>
    </w:p>
    <w:p w:rsidR="00A00D29" w:rsidRPr="001D4494" w:rsidRDefault="00A00D29" w:rsidP="00E70547">
      <w:pPr>
        <w:pStyle w:val="ReasonsNumbering-AltN"/>
        <w:ind w:left="0" w:firstLine="0"/>
        <w:rPr>
          <w:rFonts w:cs="Times New Roman"/>
          <w:szCs w:val="24"/>
        </w:rPr>
      </w:pPr>
      <w:r w:rsidRPr="001D4494">
        <w:rPr>
          <w:rFonts w:cs="Times New Roman"/>
          <w:szCs w:val="24"/>
        </w:rPr>
        <w:lastRenderedPageBreak/>
        <w:t xml:space="preserve">First, in discussing protection for collective bargaining under international law, the </w:t>
      </w:r>
      <w:r>
        <w:t>majority</w:t>
      </w:r>
      <w:r w:rsidRPr="001D4494">
        <w:rPr>
          <w:rFonts w:cs="Times New Roman"/>
          <w:szCs w:val="24"/>
        </w:rPr>
        <w:t xml:space="preserve"> conflated two distinct ILO Conventions.  While Canada has ratified ILO Convention No. </w:t>
      </w:r>
      <w:proofErr w:type="gramStart"/>
      <w:r w:rsidRPr="001D4494">
        <w:rPr>
          <w:rFonts w:cs="Times New Roman"/>
          <w:szCs w:val="24"/>
        </w:rPr>
        <w:t>87, that</w:t>
      </w:r>
      <w:proofErr w:type="gramEnd"/>
      <w:r w:rsidRPr="001D4494">
        <w:rPr>
          <w:rFonts w:cs="Times New Roman"/>
          <w:szCs w:val="24"/>
        </w:rPr>
        <w:t xml:space="preserve"> Convention deals with freedom of association and does not at any point specifically discuss collective bargaining.  The </w:t>
      </w:r>
      <w:r>
        <w:t>majority</w:t>
      </w:r>
      <w:r w:rsidRPr="001D4494">
        <w:rPr>
          <w:rFonts w:cs="Times New Roman"/>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cites an extended passage from an article by </w:t>
      </w:r>
      <w:r>
        <w:rPr>
          <w:rFonts w:cs="Times New Roman"/>
          <w:szCs w:val="24"/>
        </w:rPr>
        <w:t xml:space="preserve">B. </w:t>
      </w:r>
      <w:r w:rsidRPr="001D4494">
        <w:rPr>
          <w:rFonts w:cs="Times New Roman"/>
          <w:szCs w:val="24"/>
        </w:rPr>
        <w:t xml:space="preserve">Gernigon, </w:t>
      </w:r>
      <w:r>
        <w:rPr>
          <w:rFonts w:cs="Times New Roman"/>
          <w:szCs w:val="24"/>
        </w:rPr>
        <w:t xml:space="preserve">A. </w:t>
      </w:r>
      <w:r w:rsidRPr="001D4494">
        <w:rPr>
          <w:rFonts w:cs="Times New Roman"/>
          <w:szCs w:val="24"/>
        </w:rPr>
        <w:t xml:space="preserve">Odero and </w:t>
      </w:r>
      <w:r>
        <w:rPr>
          <w:rFonts w:cs="Times New Roman"/>
          <w:szCs w:val="24"/>
        </w:rPr>
        <w:t xml:space="preserve">H. </w:t>
      </w:r>
      <w:r w:rsidRPr="001D4494">
        <w:rPr>
          <w:rFonts w:cs="Times New Roman"/>
          <w:szCs w:val="24"/>
        </w:rPr>
        <w:t>Guido, “ILO principles concerning collective bargaining” (2000)</w:t>
      </w:r>
      <w:r>
        <w:rPr>
          <w:rFonts w:cs="Times New Roman"/>
          <w:szCs w:val="24"/>
        </w:rPr>
        <w:t>,</w:t>
      </w:r>
      <w:r w:rsidRPr="001D4494">
        <w:rPr>
          <w:rFonts w:cs="Times New Roman"/>
          <w:szCs w:val="24"/>
        </w:rPr>
        <w:t xml:space="preserve"> 139 </w:t>
      </w:r>
      <w:r w:rsidRPr="001C5EA2">
        <w:rPr>
          <w:rFonts w:cs="Times New Roman"/>
          <w:i/>
          <w:szCs w:val="24"/>
        </w:rPr>
        <w:t>Intern’l Lab. Rev.</w:t>
      </w:r>
      <w:r w:rsidRPr="001D4494">
        <w:rPr>
          <w:rFonts w:cs="Times New Roman"/>
          <w:szCs w:val="24"/>
        </w:rPr>
        <w:t xml:space="preserve"> 33, to elaborate on the scope of protection for collective bargaining under international law.  However, in that article </w:t>
      </w:r>
      <w:r w:rsidR="00E37E0F">
        <w:rPr>
          <w:rFonts w:cs="Times New Roman"/>
          <w:szCs w:val="24"/>
        </w:rPr>
        <w:t>the authors</w:t>
      </w:r>
      <w:r w:rsidRPr="001D4494">
        <w:rPr>
          <w:rFonts w:cs="Times New Roman"/>
          <w:szCs w:val="24"/>
        </w:rPr>
        <w:t xml:space="preserve"> are actually discussing the scope of ILO </w:t>
      </w:r>
      <w:r w:rsidRPr="008A3DB7">
        <w:rPr>
          <w:rFonts w:cs="Times New Roman"/>
          <w:i/>
          <w:szCs w:val="24"/>
        </w:rPr>
        <w:t xml:space="preserve">Convention (No. 98) </w:t>
      </w:r>
      <w:r w:rsidRPr="001C5EA2">
        <w:rPr>
          <w:rFonts w:cs="Times New Roman"/>
          <w:i/>
          <w:szCs w:val="24"/>
        </w:rPr>
        <w:t>concerning the application of the principles of the right to organise and bargain collectively</w:t>
      </w:r>
      <w:r>
        <w:rPr>
          <w:rFonts w:cs="Times New Roman"/>
          <w:szCs w:val="24"/>
        </w:rPr>
        <w:t>, 96 U.N.T.S. 257 (“Convention No. 98”)</w:t>
      </w:r>
      <w:r w:rsidRPr="001D4494">
        <w:rPr>
          <w:rFonts w:cs="Times New Roman"/>
          <w:szCs w:val="24"/>
        </w:rPr>
        <w:t xml:space="preserve">, which deals more specifically with collective bargaining.  </w:t>
      </w:r>
      <w:r w:rsidRPr="001D4494">
        <w:rPr>
          <w:rFonts w:cs="Times New Roman"/>
          <w:color w:val="000000"/>
          <w:szCs w:val="24"/>
        </w:rPr>
        <w:t>As my colleagues</w:t>
      </w:r>
      <w:r w:rsidRPr="001D4494">
        <w:rPr>
          <w:rFonts w:cs="Times New Roman"/>
          <w:szCs w:val="24"/>
        </w:rPr>
        <w:t xml:space="preserve"> </w:t>
      </w:r>
      <w:r w:rsidRPr="001D4494">
        <w:rPr>
          <w:rFonts w:cs="Times New Roman"/>
          <w:color w:val="000000"/>
          <w:szCs w:val="24"/>
        </w:rPr>
        <w:t xml:space="preserve">acknowledge, </w:t>
      </w:r>
      <w:r w:rsidRPr="001D4494">
        <w:rPr>
          <w:rFonts w:cs="Times New Roman"/>
          <w:szCs w:val="24"/>
        </w:rPr>
        <w:t xml:space="preserve">Canada has not ratified </w:t>
      </w:r>
      <w:r w:rsidR="00E37E0F">
        <w:rPr>
          <w:rFonts w:cs="Times New Roman"/>
          <w:szCs w:val="24"/>
        </w:rPr>
        <w:t xml:space="preserve">Convention </w:t>
      </w:r>
      <w:r w:rsidRPr="008A3DB7">
        <w:rPr>
          <w:rFonts w:cs="Times New Roman"/>
          <w:szCs w:val="24"/>
        </w:rPr>
        <w:t>No. 98</w:t>
      </w:r>
      <w:r w:rsidRPr="001D4494">
        <w:rPr>
          <w:rFonts w:cs="Times New Roman"/>
          <w:color w:val="000000"/>
          <w:szCs w:val="24"/>
        </w:rPr>
        <w:t>.  This means that</w:t>
      </w:r>
      <w:r w:rsidRPr="001D4494">
        <w:rPr>
          <w:rFonts w:cs="Times New Roman"/>
          <w:szCs w:val="24"/>
        </w:rPr>
        <w:t xml:space="preserve"> Canada has no obligations under that Convention as outlined in the ILO Constitution: see </w:t>
      </w:r>
      <w:r w:rsidRPr="001D4494">
        <w:rPr>
          <w:rFonts w:cs="Times New Roman"/>
          <w:i/>
          <w:szCs w:val="24"/>
        </w:rPr>
        <w:t xml:space="preserve">Constitution of the </w:t>
      </w:r>
      <w:r w:rsidRPr="00BB4FFD">
        <w:rPr>
          <w:rFonts w:cs="Times New Roman"/>
          <w:i/>
          <w:szCs w:val="24"/>
        </w:rPr>
        <w:t xml:space="preserve">International </w:t>
      </w:r>
      <w:r>
        <w:rPr>
          <w:rFonts w:cs="Times New Roman"/>
          <w:i/>
          <w:szCs w:val="24"/>
        </w:rPr>
        <w:t>Labour Organis</w:t>
      </w:r>
      <w:r w:rsidRPr="001D4494">
        <w:rPr>
          <w:rFonts w:cs="Times New Roman"/>
          <w:i/>
          <w:szCs w:val="24"/>
        </w:rPr>
        <w:t>ation</w:t>
      </w:r>
      <w:r w:rsidRPr="001D4494">
        <w:rPr>
          <w:rFonts w:cs="Times New Roman"/>
          <w:szCs w:val="24"/>
        </w:rPr>
        <w:t xml:space="preserve">, </w:t>
      </w:r>
      <w:r w:rsidR="00A37BCD">
        <w:rPr>
          <w:rFonts w:cs="Times New Roman"/>
          <w:szCs w:val="24"/>
        </w:rPr>
        <w:t xml:space="preserve">15 U.N.T.S. 40, </w:t>
      </w:r>
      <w:r w:rsidRPr="001D4494">
        <w:rPr>
          <w:rFonts w:cs="Times New Roman"/>
          <w:szCs w:val="24"/>
        </w:rPr>
        <w:t>Art</w:t>
      </w:r>
      <w:r>
        <w:rPr>
          <w:rFonts w:cs="Times New Roman"/>
          <w:szCs w:val="24"/>
        </w:rPr>
        <w:t>.</w:t>
      </w:r>
      <w:r w:rsidRPr="001D4494">
        <w:rPr>
          <w:rFonts w:cs="Times New Roman"/>
          <w:szCs w:val="24"/>
        </w:rPr>
        <w:t xml:space="preserve"> 19(5</w:t>
      </w:r>
      <w:proofErr w:type="gramStart"/>
      <w:r w:rsidRPr="001D4494">
        <w:rPr>
          <w:rFonts w:cs="Times New Roman"/>
          <w:szCs w:val="24"/>
        </w:rPr>
        <w:t>)(</w:t>
      </w:r>
      <w:proofErr w:type="gramEnd"/>
      <w:r w:rsidRPr="00B75A03">
        <w:rPr>
          <w:rFonts w:cs="Times New Roman"/>
          <w:i/>
          <w:szCs w:val="24"/>
        </w:rPr>
        <w:t>e</w:t>
      </w:r>
      <w:r>
        <w:rPr>
          <w:rFonts w:cs="Times New Roman"/>
          <w:szCs w:val="24"/>
        </w:rPr>
        <w:t>); B.</w:t>
      </w:r>
      <w:r w:rsidRPr="001D4494">
        <w:rPr>
          <w:rFonts w:cs="Times New Roman"/>
          <w:szCs w:val="24"/>
        </w:rPr>
        <w:t xml:space="preserve"> A. Langille, </w:t>
      </w:r>
      <w:r>
        <w:rPr>
          <w:rFonts w:cs="Times New Roman"/>
          <w:szCs w:val="24"/>
        </w:rPr>
        <w:t>“</w:t>
      </w:r>
      <w:r w:rsidRPr="001D4494">
        <w:rPr>
          <w:rFonts w:cs="Times New Roman"/>
          <w:szCs w:val="24"/>
        </w:rPr>
        <w:t>Can We Rely on the ILO?</w:t>
      </w:r>
      <w:r>
        <w:rPr>
          <w:rFonts w:cs="Times New Roman"/>
          <w:szCs w:val="24"/>
        </w:rPr>
        <w:t>”</w:t>
      </w:r>
      <w:r w:rsidRPr="001D4494">
        <w:rPr>
          <w:rFonts w:cs="Times New Roman"/>
          <w:szCs w:val="24"/>
        </w:rPr>
        <w:t xml:space="preserve"> </w:t>
      </w:r>
      <w:r>
        <w:rPr>
          <w:rFonts w:cs="Times New Roman"/>
          <w:szCs w:val="24"/>
        </w:rPr>
        <w:t xml:space="preserve">(2006-2007), </w:t>
      </w:r>
      <w:r w:rsidRPr="001D4494">
        <w:rPr>
          <w:rFonts w:cs="Times New Roman"/>
          <w:szCs w:val="24"/>
        </w:rPr>
        <w:t xml:space="preserve">13 </w:t>
      </w:r>
      <w:r w:rsidRPr="00B75A03">
        <w:rPr>
          <w:rFonts w:cs="Times New Roman"/>
          <w:i/>
          <w:szCs w:val="24"/>
        </w:rPr>
        <w:t>C.L.E.L.J.</w:t>
      </w:r>
      <w:r w:rsidRPr="001D4494">
        <w:rPr>
          <w:rFonts w:cs="Times New Roman"/>
          <w:szCs w:val="24"/>
        </w:rPr>
        <w:t xml:space="preserve"> </w:t>
      </w:r>
      <w:r>
        <w:rPr>
          <w:rFonts w:cs="Times New Roman"/>
          <w:szCs w:val="24"/>
        </w:rPr>
        <w:t>273</w:t>
      </w:r>
      <w:r w:rsidRPr="001D4494">
        <w:rPr>
          <w:rFonts w:cs="Times New Roman"/>
          <w:szCs w:val="24"/>
        </w:rPr>
        <w:t>.  It is therefore inappropriate to interpret the scope of Canada’s obligations on the basis of that Convention.</w:t>
      </w:r>
    </w:p>
    <w:p w:rsidR="00A00D29" w:rsidRPr="001D4494" w:rsidRDefault="00A00D29" w:rsidP="00E70547">
      <w:pPr>
        <w:pStyle w:val="ReasonsNumbering-AltN"/>
        <w:ind w:left="0" w:firstLine="0"/>
        <w:rPr>
          <w:rFonts w:cs="Times New Roman"/>
          <w:szCs w:val="24"/>
        </w:rPr>
      </w:pPr>
      <w:r>
        <w:rPr>
          <w:rFonts w:cs="Times New Roman"/>
          <w:szCs w:val="24"/>
        </w:rPr>
        <w:t>Second</w:t>
      </w:r>
      <w:r w:rsidRPr="001D4494">
        <w:rPr>
          <w:rFonts w:cs="Times New Roman"/>
          <w:szCs w:val="24"/>
        </w:rPr>
        <w:t xml:space="preserve">, even if Convention No. 98 were applicable to Canada, the </w:t>
      </w:r>
      <w:r>
        <w:t>majority</w:t>
      </w:r>
      <w:r w:rsidRPr="001D4494">
        <w:rPr>
          <w:rFonts w:cs="Times New Roman"/>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would</w:t>
      </w:r>
      <w:r w:rsidRPr="001D4494">
        <w:rPr>
          <w:rFonts w:cs="Times New Roman"/>
          <w:i/>
          <w:szCs w:val="24"/>
        </w:rPr>
        <w:t xml:space="preserve"> </w:t>
      </w:r>
      <w:r w:rsidRPr="001D4494">
        <w:rPr>
          <w:rFonts w:cs="Times New Roman"/>
          <w:szCs w:val="24"/>
        </w:rPr>
        <w:t xml:space="preserve">still have erred in relying on that Convention to constitutionalize a version of collective bargaining that includes a duty to bargain in good faith.  While Convention No. 98 provides protection for a process of collective bargaining, it conceives of collective bargaining as being a process of “voluntary </w:t>
      </w:r>
      <w:r w:rsidRPr="001D4494">
        <w:rPr>
          <w:rFonts w:cs="Times New Roman"/>
          <w:szCs w:val="24"/>
        </w:rPr>
        <w:lastRenderedPageBreak/>
        <w:t>negotiation” that is fundamentally distinct from the model of collective bargaining incorporated in the Wagner model: se</w:t>
      </w:r>
      <w:r>
        <w:rPr>
          <w:rFonts w:cs="Times New Roman"/>
          <w:szCs w:val="24"/>
        </w:rPr>
        <w:t>e ILO Convention No. 98, Art.</w:t>
      </w:r>
      <w:r w:rsidRPr="001D4494">
        <w:rPr>
          <w:rFonts w:cs="Times New Roman"/>
          <w:szCs w:val="24"/>
        </w:rPr>
        <w:t xml:space="preserve"> 4.  More specifically, Convention No. 98 does not contemplate the imposition of a duty on parties</w:t>
      </w:r>
      <w:r>
        <w:rPr>
          <w:rFonts w:cs="Times New Roman"/>
          <w:szCs w:val="24"/>
        </w:rPr>
        <w:t xml:space="preserve"> to bargain in good faith: </w:t>
      </w:r>
      <w:r w:rsidRPr="001D4494">
        <w:rPr>
          <w:rFonts w:cs="Times New Roman"/>
          <w:szCs w:val="24"/>
        </w:rPr>
        <w:t>Langille, “Can We Rely on the ILO?</w:t>
      </w:r>
      <w:proofErr w:type="gramStart"/>
      <w:r w:rsidRPr="001D4494">
        <w:rPr>
          <w:rFonts w:cs="Times New Roman"/>
          <w:szCs w:val="24"/>
        </w:rPr>
        <w:t>”</w:t>
      </w:r>
      <w:r>
        <w:rPr>
          <w:rFonts w:cs="Times New Roman"/>
          <w:szCs w:val="24"/>
        </w:rPr>
        <w:t>,</w:t>
      </w:r>
      <w:proofErr w:type="gramEnd"/>
      <w:r w:rsidRPr="001D4494">
        <w:rPr>
          <w:rFonts w:cs="Times New Roman"/>
          <w:szCs w:val="24"/>
        </w:rPr>
        <w:t xml:space="preserve"> at </w:t>
      </w:r>
      <w:r>
        <w:rPr>
          <w:rFonts w:cs="Times New Roman"/>
          <w:szCs w:val="24"/>
        </w:rPr>
        <w:t>pp. 291-92</w:t>
      </w:r>
      <w:r w:rsidRPr="001D4494">
        <w:rPr>
          <w:rFonts w:cs="Times New Roman"/>
          <w:szCs w:val="24"/>
        </w:rPr>
        <w:t xml:space="preserve">.  Indeed, Gernigon et al. express this point in the article relied on by the </w:t>
      </w:r>
      <w:r>
        <w:t>majority</w:t>
      </w:r>
      <w:r w:rsidRPr="001D4494">
        <w:rPr>
          <w:rFonts w:cs="Times New Roman"/>
          <w:szCs w:val="24"/>
        </w:rPr>
        <w:t xml:space="preserve"> in </w:t>
      </w:r>
      <w:r w:rsidRPr="001D4494">
        <w:rPr>
          <w:rFonts w:cs="Times New Roman"/>
          <w:i/>
          <w:szCs w:val="24"/>
        </w:rPr>
        <w:t>Health</w:t>
      </w:r>
      <w:r>
        <w:rPr>
          <w:rFonts w:cs="Times New Roman"/>
          <w:i/>
          <w:szCs w:val="24"/>
        </w:rPr>
        <w:t xml:space="preserve"> Services</w:t>
      </w:r>
      <w:r w:rsidRPr="001D4494">
        <w:rPr>
          <w:rFonts w:cs="Times New Roman"/>
          <w:szCs w:val="24"/>
        </w:rPr>
        <w:t xml:space="preserve">: </w:t>
      </w:r>
    </w:p>
    <w:p w:rsidR="00A00D29" w:rsidRPr="001D4494" w:rsidRDefault="00A00D29" w:rsidP="00E70547">
      <w:pPr>
        <w:pStyle w:val="Citation-AltC"/>
        <w:spacing w:after="240"/>
        <w:contextualSpacing w:val="0"/>
      </w:pPr>
      <w:r>
        <w:tab/>
      </w:r>
      <w:r w:rsidRPr="001D4494">
        <w:t xml:space="preserve">The voluntary nature of collective bargaining is explicitly laid down in Article 4 of Convention No. 98 and, according to the Committee on Freedom of Association, is “a fundamental aspect of the principles of freedom of association” (ILO, 1996a, para. 844).  Thus, the obligation to promote collective bargaining excludes recourse to measures of compulsion.  </w:t>
      </w:r>
      <w:r w:rsidRPr="001D4494">
        <w:rPr>
          <w:u w:val="single"/>
        </w:rPr>
        <w:t xml:space="preserve">During the preparatory work for Convention No. 154, the Committee on </w:t>
      </w:r>
      <w:r w:rsidR="00A37BCD">
        <w:rPr>
          <w:u w:val="single"/>
        </w:rPr>
        <w:t>C</w:t>
      </w:r>
      <w:r w:rsidRPr="001D4494">
        <w:rPr>
          <w:u w:val="single"/>
        </w:rPr>
        <w:t xml:space="preserve">ollective </w:t>
      </w:r>
      <w:r w:rsidR="00A37BCD">
        <w:rPr>
          <w:u w:val="single"/>
        </w:rPr>
        <w:t>B</w:t>
      </w:r>
      <w:r w:rsidRPr="001D4494">
        <w:rPr>
          <w:u w:val="single"/>
        </w:rPr>
        <w:t>argaining agreed upon an interpretation of the term “promotion” (of collective bargaining) in the sense that it “should not be capable of being interpreted in a manner suggesting an obligation for the State to intervene to impose collective bargaining”</w:t>
      </w:r>
      <w:r w:rsidRPr="001D4494">
        <w:t>, thereby allaying the fear expressed by the Employer members that the text of the Convention could imply the obligation for the State to take compulsory measures (ILO, 1981, p. 22/6).</w:t>
      </w:r>
    </w:p>
    <w:p w:rsidR="00A00D29" w:rsidRPr="001D4494" w:rsidRDefault="00A00D29" w:rsidP="00E70547">
      <w:pPr>
        <w:pStyle w:val="Citation-AltC"/>
        <w:spacing w:after="240"/>
        <w:contextualSpacing w:val="0"/>
      </w:pPr>
      <w:r>
        <w:tab/>
      </w:r>
      <w:r w:rsidRPr="001D4494">
        <w:t xml:space="preserve">The Committee on Freedom of Association, following this line of reasoning, has stated that </w:t>
      </w:r>
      <w:r w:rsidRPr="00B75A03">
        <w:rPr>
          <w:u w:val="single"/>
        </w:rPr>
        <w:t>nothing in Article 4 of Convention No. 98 places a duty on a government to enforce collective bargaining with a given organization by compulsory means</w:t>
      </w:r>
      <w:r w:rsidRPr="001D4494">
        <w:t>, and that such an intervention by a government would clearly alter the nature of bargaining (ILO, 1996a, para. 846).</w:t>
      </w:r>
    </w:p>
    <w:p w:rsidR="00A00D29" w:rsidRPr="001D4494" w:rsidRDefault="00A00D29" w:rsidP="00A00D29">
      <w:pPr>
        <w:pStyle w:val="Citation-AltC"/>
      </w:pPr>
      <w:r>
        <w:tab/>
      </w:r>
      <w:r w:rsidRPr="00B75A03">
        <w:rPr>
          <w:u w:val="single"/>
        </w:rPr>
        <w:t>It cannot therefore be deduced from the ILO’s Conventions on collective bargaining that there is a formal obligation to negotiate</w:t>
      </w:r>
      <w:r w:rsidRPr="001D4494">
        <w:t xml:space="preserve"> or to ach</w:t>
      </w:r>
      <w:r>
        <w:t>ieve a result (an agreement). [E</w:t>
      </w:r>
      <w:r w:rsidRPr="001D4494">
        <w:t>mphasis added</w:t>
      </w:r>
      <w:r>
        <w:t>; pp. 40-41</w:t>
      </w:r>
      <w:r w:rsidR="00A37BCD">
        <w:t>.</w:t>
      </w:r>
      <w:r w:rsidRPr="001D4494">
        <w:t>]</w:t>
      </w:r>
    </w:p>
    <w:p w:rsidR="00A00D29" w:rsidRPr="001D4494" w:rsidRDefault="00A00D29" w:rsidP="00E70547">
      <w:pPr>
        <w:pStyle w:val="ReasonsNumbering-AltN"/>
        <w:ind w:left="0" w:firstLine="0"/>
        <w:rPr>
          <w:rFonts w:cs="Times New Roman"/>
          <w:szCs w:val="24"/>
        </w:rPr>
      </w:pPr>
      <w:r w:rsidRPr="001D4494">
        <w:rPr>
          <w:rFonts w:cs="Times New Roman"/>
          <w:color w:val="000000"/>
          <w:szCs w:val="24"/>
        </w:rPr>
        <w:t xml:space="preserve">The </w:t>
      </w:r>
      <w:r w:rsidRPr="00E70547">
        <w:rPr>
          <w:rFonts w:cs="Times New Roman"/>
          <w:szCs w:val="24"/>
        </w:rPr>
        <w:t>majority</w:t>
      </w:r>
      <w:r w:rsidRPr="001D4494">
        <w:rPr>
          <w:rFonts w:cs="Times New Roman"/>
          <w:color w:val="000000"/>
          <w:szCs w:val="24"/>
        </w:rPr>
        <w:t xml:space="preserve">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was in error when it concluded that international law pointed to compulsory collective bargaining (</w:t>
      </w:r>
      <w:r>
        <w:rPr>
          <w:rFonts w:cs="Times New Roman"/>
          <w:color w:val="000000"/>
          <w:szCs w:val="24"/>
        </w:rPr>
        <w:t>paras. 69-</w:t>
      </w:r>
      <w:r w:rsidRPr="001D4494">
        <w:rPr>
          <w:rFonts w:cs="Times New Roman"/>
          <w:color w:val="000000"/>
          <w:szCs w:val="24"/>
        </w:rPr>
        <w:t xml:space="preserve">79).  My colleagues say that international norms are </w:t>
      </w:r>
      <w:r w:rsidRPr="001D4494">
        <w:rPr>
          <w:rFonts w:cs="Times New Roman"/>
          <w:i/>
          <w:color w:val="000000"/>
          <w:szCs w:val="24"/>
        </w:rPr>
        <w:t>not inconsistent</w:t>
      </w:r>
      <w:r w:rsidRPr="001D4494">
        <w:rPr>
          <w:rFonts w:cs="Times New Roman"/>
          <w:color w:val="000000"/>
          <w:szCs w:val="24"/>
        </w:rPr>
        <w:t xml:space="preserve"> with compulsory </w:t>
      </w:r>
      <w:r w:rsidRPr="001D4494">
        <w:rPr>
          <w:rFonts w:cs="Times New Roman"/>
          <w:color w:val="000000"/>
          <w:szCs w:val="24"/>
        </w:rPr>
        <w:lastRenderedPageBreak/>
        <w:t>collective bargaining (para. 95).  While this is true, it does not assist with the interpretation of s. 2(</w:t>
      </w:r>
      <w:r w:rsidRPr="0030795D">
        <w:rPr>
          <w:rFonts w:cs="Times New Roman"/>
          <w:i/>
          <w:color w:val="000000"/>
          <w:szCs w:val="24"/>
        </w:rPr>
        <w:t>d</w:t>
      </w:r>
      <w:r w:rsidRPr="001D4494">
        <w:rPr>
          <w:rFonts w:cs="Times New Roman"/>
          <w:color w:val="000000"/>
          <w:szCs w:val="24"/>
        </w:rPr>
        <w:t xml:space="preserve">).  Many positions — including a freedom of association which includes voluntary collective bargaining — are equally, if not more, consistent with international norms.  However, the majority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said more than this.  It said that Canada’s obligations and those international norms imply compulsory collective bargaining more than th</w:t>
      </w:r>
      <w:r w:rsidR="00A37BCD">
        <w:rPr>
          <w:rFonts w:cs="Times New Roman"/>
          <w:color w:val="000000"/>
          <w:szCs w:val="24"/>
        </w:rPr>
        <w:t>ey imply voluntary associations (</w:t>
      </w:r>
      <w:r w:rsidRPr="001D4494">
        <w:rPr>
          <w:rFonts w:cs="Times New Roman"/>
          <w:color w:val="000000"/>
          <w:szCs w:val="24"/>
        </w:rPr>
        <w:t>para. 72</w:t>
      </w:r>
      <w:r w:rsidR="00A37BCD">
        <w:rPr>
          <w:rFonts w:cs="Times New Roman"/>
          <w:color w:val="000000"/>
          <w:szCs w:val="24"/>
        </w:rPr>
        <w:t>)</w:t>
      </w:r>
      <w:r w:rsidRPr="001D4494">
        <w:rPr>
          <w:rFonts w:cs="Times New Roman"/>
          <w:color w:val="000000"/>
          <w:szCs w:val="24"/>
        </w:rPr>
        <w:t>.  With respect, international law does not support that conclusion.</w:t>
      </w:r>
    </w:p>
    <w:p w:rsidR="00A00D29" w:rsidRDefault="00A00D29" w:rsidP="00A37BCD">
      <w:pPr>
        <w:pStyle w:val="HeadingTitre-AltH"/>
        <w:tabs>
          <w:tab w:val="clear" w:pos="360"/>
          <w:tab w:val="left" w:pos="1170"/>
        </w:tabs>
        <w:ind w:left="1800" w:hanging="630"/>
      </w:pPr>
      <w:r w:rsidRPr="001D4494">
        <w:t>(4)</w:t>
      </w:r>
      <w:r w:rsidRPr="001D4494">
        <w:tab/>
      </w:r>
      <w:r w:rsidRPr="00395C4A">
        <w:rPr>
          <w:i/>
          <w:u w:val="single"/>
        </w:rPr>
        <w:t>Charter</w:t>
      </w:r>
      <w:r>
        <w:rPr>
          <w:u w:val="single"/>
        </w:rPr>
        <w:t xml:space="preserve"> Values Cannot Be Invoked to Support Constitutionalizing C</w:t>
      </w:r>
      <w:r w:rsidRPr="00395C4A">
        <w:rPr>
          <w:u w:val="single"/>
        </w:rPr>
        <w:t>ollectiv</w:t>
      </w:r>
      <w:r>
        <w:rPr>
          <w:u w:val="single"/>
        </w:rPr>
        <w:t>e Bargaining R</w:t>
      </w:r>
      <w:r w:rsidRPr="00395C4A">
        <w:rPr>
          <w:u w:val="single"/>
        </w:rPr>
        <w:t>ights</w:t>
      </w:r>
    </w:p>
    <w:p w:rsidR="00A00D29" w:rsidRPr="001D4494" w:rsidRDefault="00A00D29" w:rsidP="00830519">
      <w:pPr>
        <w:pStyle w:val="ReasonsNumbering-AltN"/>
        <w:ind w:left="0" w:firstLine="0"/>
        <w:rPr>
          <w:rFonts w:cs="Times New Roman"/>
          <w:szCs w:val="24"/>
        </w:rPr>
      </w:pPr>
      <w:r w:rsidRPr="001D4494">
        <w:rPr>
          <w:rFonts w:cs="Times New Roman"/>
          <w:szCs w:val="24"/>
        </w:rPr>
        <w:t xml:space="preserve">In its fourth proposition, the </w:t>
      </w:r>
      <w:r>
        <w:t>majority</w:t>
      </w:r>
      <w:r w:rsidRPr="001D4494">
        <w:rPr>
          <w:rFonts w:cs="Times New Roman"/>
          <w:szCs w:val="24"/>
        </w:rPr>
        <w:t xml:space="preserve"> maintained that the recognition of a good </w:t>
      </w:r>
      <w:r w:rsidRPr="00830519">
        <w:rPr>
          <w:rFonts w:cs="Times New Roman"/>
          <w:color w:val="000000"/>
          <w:szCs w:val="24"/>
        </w:rPr>
        <w:t>faith</w:t>
      </w:r>
      <w:r w:rsidRPr="001D4494">
        <w:rPr>
          <w:rFonts w:cs="Times New Roman"/>
          <w:szCs w:val="24"/>
        </w:rPr>
        <w:t xml:space="preserve"> collective bargaining right is consistent with and promotes other </w:t>
      </w:r>
      <w:r w:rsidRPr="001D4494">
        <w:rPr>
          <w:rFonts w:cs="Times New Roman"/>
          <w:i/>
          <w:szCs w:val="24"/>
        </w:rPr>
        <w:t xml:space="preserve">Charter </w:t>
      </w:r>
      <w:r w:rsidRPr="001D4494">
        <w:rPr>
          <w:rFonts w:cs="Times New Roman"/>
          <w:szCs w:val="24"/>
        </w:rPr>
        <w:t>rights, freedoms and values: namely, human dignity, equality, liberty, respect for the autonomy of the person and</w:t>
      </w:r>
      <w:r>
        <w:rPr>
          <w:rFonts w:cs="Times New Roman"/>
          <w:szCs w:val="24"/>
        </w:rPr>
        <w:t xml:space="preserve"> the enhancement of democracy: s</w:t>
      </w:r>
      <w:r w:rsidRPr="001D4494">
        <w:rPr>
          <w:rFonts w:cs="Times New Roman"/>
          <w:szCs w:val="24"/>
        </w:rPr>
        <w:t xml:space="preserve">ee </w:t>
      </w:r>
      <w:r w:rsidRPr="001D4494">
        <w:rPr>
          <w:rFonts w:cs="Times New Roman"/>
          <w:i/>
          <w:color w:val="000000"/>
          <w:szCs w:val="24"/>
        </w:rPr>
        <w:t>Health</w:t>
      </w:r>
      <w:r>
        <w:rPr>
          <w:rFonts w:cs="Times New Roman"/>
          <w:i/>
          <w:color w:val="000000"/>
          <w:szCs w:val="24"/>
        </w:rPr>
        <w:t xml:space="preserve"> Services</w:t>
      </w:r>
      <w:r>
        <w:rPr>
          <w:rFonts w:cs="Times New Roman"/>
          <w:szCs w:val="24"/>
        </w:rPr>
        <w:t>,</w:t>
      </w:r>
      <w:r w:rsidRPr="001D4494">
        <w:rPr>
          <w:rFonts w:cs="Times New Roman"/>
          <w:szCs w:val="24"/>
        </w:rPr>
        <w:t xml:space="preserve"> at para. 81. The </w:t>
      </w:r>
      <w:r>
        <w:t>majority</w:t>
      </w:r>
      <w:r w:rsidRPr="001D4494">
        <w:rPr>
          <w:rFonts w:cs="Times New Roman"/>
          <w:szCs w:val="24"/>
        </w:rPr>
        <w:t xml:space="preserve"> said that the right promotes human dignity, liberty and autonomy of workers by giving them the opportunity to influence the establishment of workplace rules and thereby to gain a measure of control over a major aspect of their lives, that it enhances equality because it palliates the historical inequality between employers and employees, and that it achieves a form of workplace democracy and ensures the rule of law in the workplace by giving workers a voice to influence the establishment of rules that control</w:t>
      </w:r>
      <w:r>
        <w:rPr>
          <w:rFonts w:cs="Times New Roman"/>
          <w:szCs w:val="24"/>
        </w:rPr>
        <w:t xml:space="preserve"> major aspects of their lives</w:t>
      </w:r>
      <w:r w:rsidR="00A37BCD">
        <w:rPr>
          <w:rFonts w:cs="Times New Roman"/>
          <w:szCs w:val="24"/>
        </w:rPr>
        <w:t xml:space="preserve"> (</w:t>
      </w:r>
      <w:r w:rsidRPr="001D4494">
        <w:rPr>
          <w:rFonts w:cs="Times New Roman"/>
          <w:szCs w:val="24"/>
        </w:rPr>
        <w:t>paras. 82-85</w:t>
      </w:r>
      <w:r w:rsidR="00A37BCD">
        <w:rPr>
          <w:rFonts w:cs="Times New Roman"/>
          <w:szCs w:val="24"/>
        </w:rPr>
        <w:t>)</w:t>
      </w:r>
      <w:r w:rsidRPr="001D4494">
        <w:rPr>
          <w:rFonts w:cs="Times New Roman"/>
          <w:szCs w:val="24"/>
        </w:rPr>
        <w:t xml:space="preserve">. </w:t>
      </w:r>
    </w:p>
    <w:p w:rsidR="00A00D29" w:rsidRPr="001D4494" w:rsidRDefault="00A00D29" w:rsidP="00830519">
      <w:pPr>
        <w:pStyle w:val="ReasonsNumbering-AltN"/>
        <w:ind w:left="0" w:firstLine="0"/>
        <w:rPr>
          <w:rFonts w:cs="Times New Roman"/>
          <w:color w:val="000000"/>
          <w:szCs w:val="24"/>
        </w:rPr>
      </w:pPr>
      <w:r w:rsidRPr="001D4494">
        <w:rPr>
          <w:rFonts w:cs="Times New Roman"/>
          <w:szCs w:val="24"/>
        </w:rPr>
        <w:lastRenderedPageBreak/>
        <w:t xml:space="preserve">A duty </w:t>
      </w:r>
      <w:r w:rsidRPr="00830519">
        <w:rPr>
          <w:rFonts w:cs="Times New Roman"/>
          <w:color w:val="000000"/>
          <w:szCs w:val="24"/>
        </w:rPr>
        <w:t>to</w:t>
      </w:r>
      <w:r w:rsidRPr="001D4494">
        <w:rPr>
          <w:rFonts w:cs="Times New Roman"/>
          <w:szCs w:val="24"/>
        </w:rPr>
        <w:t xml:space="preserve"> bargain in good faith may achieve those ends. However, either the </w:t>
      </w:r>
      <w:r w:rsidRPr="001D4494">
        <w:rPr>
          <w:rFonts w:cs="Times New Roman"/>
          <w:i/>
          <w:szCs w:val="24"/>
        </w:rPr>
        <w:t>Charter</w:t>
      </w:r>
      <w:r w:rsidRPr="001D4494">
        <w:rPr>
          <w:rFonts w:cs="Times New Roman"/>
          <w:szCs w:val="24"/>
        </w:rPr>
        <w:t xml:space="preserve"> requires something or it does not.  </w:t>
      </w:r>
      <w:r w:rsidRPr="001D4494">
        <w:t>The Chief Justice</w:t>
      </w:r>
      <w:r>
        <w:t xml:space="preserve"> and LeBel J. say that a “value-</w:t>
      </w:r>
      <w:r w:rsidRPr="001D4494">
        <w:t>oriented approach .</w:t>
      </w:r>
      <w:r>
        <w:t xml:space="preserve"> </w:t>
      </w:r>
      <w:r w:rsidRPr="001D4494">
        <w:t>.</w:t>
      </w:r>
      <w:r>
        <w:t xml:space="preserve"> </w:t>
      </w:r>
      <w:r w:rsidRPr="001D4494">
        <w:t xml:space="preserve">. has been repeatedly endorsed by </w:t>
      </w:r>
      <w:r w:rsidRPr="001D4494">
        <w:rPr>
          <w:i/>
        </w:rPr>
        <w:t xml:space="preserve">Charter </w:t>
      </w:r>
      <w:r w:rsidRPr="001D4494">
        <w:t>jurisprudence over the last quarter century” (para. 96).  Tha</w:t>
      </w:r>
      <w:r>
        <w:t>t may be so, however this value-</w:t>
      </w:r>
      <w:r w:rsidRPr="001D4494">
        <w:t xml:space="preserve">oriented approach is a means by which courts interpret the </w:t>
      </w:r>
      <w:r w:rsidRPr="001D4494">
        <w:rPr>
          <w:i/>
        </w:rPr>
        <w:t>Charter</w:t>
      </w:r>
      <w:r>
        <w:t xml:space="preserve"> —</w:t>
      </w:r>
      <w:r w:rsidRPr="001D4494">
        <w:t xml:space="preserve"> a process, as I will now explain, that must begin with the words of the </w:t>
      </w:r>
      <w:r w:rsidRPr="001D4494">
        <w:rPr>
          <w:i/>
        </w:rPr>
        <w:t>Charter</w:t>
      </w:r>
      <w:r w:rsidRPr="001D4494">
        <w:t xml:space="preserve"> itself and must be bound by the normal constraints of legal reasoning and analysis.  As Mr. Justice Robert J. Sharpe and Professor Kent Roach say, “</w:t>
      </w:r>
      <w:r w:rsidR="00A37BCD">
        <w:t>[t]</w:t>
      </w:r>
      <w:r w:rsidRPr="001D4494">
        <w:t xml:space="preserve">he task of </w:t>
      </w:r>
      <w:r w:rsidRPr="001D4494">
        <w:rPr>
          <w:i/>
        </w:rPr>
        <w:t xml:space="preserve">Charter </w:t>
      </w:r>
      <w:r w:rsidRPr="001D4494">
        <w:t>interpretation has structure and discipline.  The first source is obvious</w:t>
      </w:r>
      <w:r>
        <w:t xml:space="preserve"> — </w:t>
      </w:r>
      <w:r w:rsidRPr="001D4494">
        <w:t xml:space="preserve">the language of the </w:t>
      </w:r>
      <w:r w:rsidRPr="001D4494">
        <w:rPr>
          <w:i/>
        </w:rPr>
        <w:t xml:space="preserve">Charter </w:t>
      </w:r>
      <w:r w:rsidRPr="001D4494">
        <w:t>itself”</w:t>
      </w:r>
      <w:r>
        <w:t xml:space="preserve"> (</w:t>
      </w:r>
      <w:r w:rsidRPr="001D4494">
        <w:rPr>
          <w:i/>
        </w:rPr>
        <w:t>The</w:t>
      </w:r>
      <w:r>
        <w:rPr>
          <w:i/>
        </w:rPr>
        <w:t xml:space="preserve"> Charter of Rights and </w:t>
      </w:r>
      <w:r w:rsidRPr="00A37BCD">
        <w:rPr>
          <w:i/>
        </w:rPr>
        <w:t>Freedoms</w:t>
      </w:r>
      <w:r>
        <w:t xml:space="preserve"> (</w:t>
      </w:r>
      <w:r w:rsidRPr="003530E3">
        <w:t>4th</w:t>
      </w:r>
      <w:r w:rsidRPr="001D4494">
        <w:t xml:space="preserve"> ed.</w:t>
      </w:r>
      <w:r>
        <w:t xml:space="preserve"> 2009), at p. 59</w:t>
      </w:r>
      <w:r w:rsidR="00A37BCD">
        <w:t>)</w:t>
      </w:r>
      <w:r w:rsidRPr="001D4494">
        <w:t xml:space="preserve">.  </w:t>
      </w:r>
      <w:r w:rsidRPr="001D4494">
        <w:rPr>
          <w:rFonts w:cs="Times New Roman"/>
          <w:szCs w:val="24"/>
        </w:rPr>
        <w:t xml:space="preserve">The role of the Court is to determine what the </w:t>
      </w:r>
      <w:r w:rsidRPr="001D4494">
        <w:rPr>
          <w:rFonts w:cs="Times New Roman"/>
          <w:i/>
          <w:szCs w:val="24"/>
        </w:rPr>
        <w:t>Charter</w:t>
      </w:r>
      <w:r w:rsidRPr="001D4494">
        <w:rPr>
          <w:rFonts w:cs="Times New Roman"/>
          <w:szCs w:val="24"/>
        </w:rPr>
        <w:t xml:space="preserve"> requires and what it does not and then apply the requirements it finds to the case before it.  It is not to simply promote, as much as possible, values that some subjectively think underpin the </w:t>
      </w:r>
      <w:r w:rsidRPr="001D4494">
        <w:rPr>
          <w:rFonts w:cs="Times New Roman"/>
          <w:i/>
          <w:szCs w:val="24"/>
        </w:rPr>
        <w:t>Charter</w:t>
      </w:r>
      <w:r w:rsidRPr="001D4494">
        <w:rPr>
          <w:rFonts w:cs="Times New Roman"/>
          <w:szCs w:val="24"/>
        </w:rPr>
        <w:t xml:space="preserve"> in a general sense. </w:t>
      </w:r>
    </w:p>
    <w:p w:rsidR="00A00D29" w:rsidRPr="001D4494" w:rsidRDefault="00A00D29" w:rsidP="00830519">
      <w:pPr>
        <w:pStyle w:val="ReasonsNumbering-AltN"/>
        <w:ind w:left="0" w:firstLine="0"/>
        <w:rPr>
          <w:rFonts w:cs="Times New Roman"/>
          <w:color w:val="000000"/>
          <w:szCs w:val="24"/>
        </w:rPr>
      </w:pPr>
      <w:r w:rsidRPr="001D4494">
        <w:rPr>
          <w:rFonts w:cs="Times New Roman"/>
          <w:color w:val="000000"/>
          <w:szCs w:val="24"/>
        </w:rPr>
        <w:t xml:space="preserve">I agree with the words of Iacobucci J. in </w:t>
      </w:r>
      <w:r w:rsidRPr="001D4494">
        <w:rPr>
          <w:rFonts w:cs="Times New Roman"/>
          <w:i/>
          <w:color w:val="000000"/>
          <w:szCs w:val="24"/>
        </w:rPr>
        <w:t xml:space="preserve">Bell ExpressVu </w:t>
      </w:r>
      <w:r>
        <w:rPr>
          <w:rFonts w:cs="Times New Roman"/>
          <w:i/>
          <w:color w:val="000000"/>
          <w:szCs w:val="24"/>
        </w:rPr>
        <w:t xml:space="preserve">Limited </w:t>
      </w:r>
      <w:r w:rsidRPr="001D4494">
        <w:rPr>
          <w:rFonts w:cs="Times New Roman"/>
          <w:i/>
          <w:color w:val="000000"/>
          <w:szCs w:val="24"/>
        </w:rPr>
        <w:t>Partnership v. Rex</w:t>
      </w:r>
      <w:r w:rsidRPr="001D4494">
        <w:rPr>
          <w:rFonts w:cs="Times New Roman"/>
          <w:color w:val="000000"/>
          <w:szCs w:val="24"/>
        </w:rPr>
        <w:t xml:space="preserve">, 2002 </w:t>
      </w:r>
      <w:r>
        <w:rPr>
          <w:rFonts w:cs="Times New Roman"/>
          <w:color w:val="000000"/>
          <w:szCs w:val="24"/>
        </w:rPr>
        <w:t xml:space="preserve">SCC 42, [2002] </w:t>
      </w:r>
      <w:r w:rsidRPr="001D4494">
        <w:rPr>
          <w:rFonts w:cs="Times New Roman"/>
          <w:color w:val="000000"/>
          <w:szCs w:val="24"/>
        </w:rPr>
        <w:t>2 S.C.R. 559</w:t>
      </w:r>
      <w:r>
        <w:rPr>
          <w:rFonts w:cs="Times New Roman"/>
          <w:color w:val="000000"/>
          <w:szCs w:val="24"/>
        </w:rPr>
        <w:t>,</w:t>
      </w:r>
      <w:r w:rsidRPr="001D4494">
        <w:rPr>
          <w:rFonts w:cs="Times New Roman"/>
          <w:color w:val="000000"/>
          <w:szCs w:val="24"/>
        </w:rPr>
        <w:t xml:space="preserve"> at para. 62</w:t>
      </w:r>
      <w:r>
        <w:rPr>
          <w:rFonts w:cs="Times New Roman"/>
          <w:color w:val="000000"/>
          <w:szCs w:val="24"/>
        </w:rPr>
        <w:t>,</w:t>
      </w:r>
      <w:r w:rsidRPr="001D4494">
        <w:rPr>
          <w:rFonts w:cs="Times New Roman"/>
          <w:color w:val="000000"/>
          <w:szCs w:val="24"/>
        </w:rPr>
        <w:t xml:space="preserve"> where he wrote “to the extent this Court has recognized a ‘</w:t>
      </w:r>
      <w:r w:rsidRPr="001D4494">
        <w:rPr>
          <w:rFonts w:cs="Times New Roman"/>
          <w:i/>
          <w:color w:val="000000"/>
          <w:szCs w:val="24"/>
        </w:rPr>
        <w:t>Charter</w:t>
      </w:r>
      <w:r w:rsidRPr="001D4494">
        <w:rPr>
          <w:rFonts w:cs="Times New Roman"/>
          <w:color w:val="000000"/>
          <w:szCs w:val="24"/>
        </w:rPr>
        <w:t xml:space="preserve"> values’ interpretive principle, such principle can only receive application in circumstances of genuine ambiguity, i.e., where a statutory provision is subject to differing, but equally plausible</w:t>
      </w:r>
      <w:r>
        <w:rPr>
          <w:rFonts w:cs="Times New Roman"/>
          <w:color w:val="000000"/>
          <w:szCs w:val="24"/>
        </w:rPr>
        <w:t>, interpretations</w:t>
      </w:r>
      <w:r w:rsidRPr="001D4494">
        <w:rPr>
          <w:rFonts w:cs="Times New Roman"/>
          <w:color w:val="000000"/>
          <w:szCs w:val="24"/>
        </w:rPr>
        <w:t>”</w:t>
      </w:r>
      <w:r w:rsidR="00DB4BD2">
        <w:rPr>
          <w:rFonts w:cs="Times New Roman"/>
          <w:color w:val="000000"/>
          <w:szCs w:val="24"/>
        </w:rPr>
        <w:t xml:space="preserve"> (emphasis deleted)</w:t>
      </w:r>
      <w:r>
        <w:rPr>
          <w:rFonts w:cs="Times New Roman"/>
          <w:color w:val="000000"/>
          <w:szCs w:val="24"/>
        </w:rPr>
        <w:t>.</w:t>
      </w:r>
      <w:r w:rsidRPr="001D4494">
        <w:rPr>
          <w:rFonts w:cs="Times New Roman"/>
          <w:color w:val="000000"/>
          <w:szCs w:val="24"/>
        </w:rPr>
        <w:t xml:space="preserve">  The Court cannot employ a </w:t>
      </w:r>
      <w:r w:rsidRPr="001D4494">
        <w:rPr>
          <w:rFonts w:cs="Times New Roman"/>
          <w:i/>
          <w:color w:val="000000"/>
          <w:szCs w:val="24"/>
        </w:rPr>
        <w:t>Charter</w:t>
      </w:r>
      <w:r w:rsidRPr="001D4494">
        <w:rPr>
          <w:rFonts w:cs="Times New Roman"/>
          <w:color w:val="000000"/>
          <w:szCs w:val="24"/>
        </w:rPr>
        <w:t xml:space="preserve"> values argument to interpret the </w:t>
      </w:r>
      <w:r w:rsidRPr="001D4494">
        <w:rPr>
          <w:rFonts w:cs="Times New Roman"/>
          <w:i/>
          <w:color w:val="000000"/>
          <w:szCs w:val="24"/>
        </w:rPr>
        <w:t>Charter</w:t>
      </w:r>
      <w:r w:rsidRPr="001D4494">
        <w:rPr>
          <w:rFonts w:cs="Times New Roman"/>
          <w:color w:val="000000"/>
          <w:szCs w:val="24"/>
        </w:rPr>
        <w:t xml:space="preserve"> itself so broadly that the interpretation is no </w:t>
      </w:r>
      <w:r>
        <w:rPr>
          <w:rFonts w:cs="Times New Roman"/>
          <w:color w:val="000000"/>
          <w:szCs w:val="24"/>
        </w:rPr>
        <w:t xml:space="preserve">longer plausible.  As Dickson </w:t>
      </w:r>
      <w:r w:rsidRPr="001D4494">
        <w:rPr>
          <w:rFonts w:cs="Times New Roman"/>
          <w:color w:val="000000"/>
          <w:szCs w:val="24"/>
        </w:rPr>
        <w:t xml:space="preserve">J. observed, “it is important not to overshoot the actual </w:t>
      </w:r>
      <w:r w:rsidRPr="001D4494">
        <w:rPr>
          <w:rFonts w:cs="Times New Roman"/>
          <w:color w:val="000000"/>
          <w:szCs w:val="24"/>
        </w:rPr>
        <w:lastRenderedPageBreak/>
        <w:t>purpose of the right or freedom in question” (</w:t>
      </w:r>
      <w:r w:rsidRPr="001D4494">
        <w:rPr>
          <w:rFonts w:cs="Times New Roman"/>
          <w:i/>
          <w:color w:val="000000"/>
          <w:szCs w:val="24"/>
        </w:rPr>
        <w:t>Big M</w:t>
      </w:r>
      <w:r w:rsidRPr="001D4494">
        <w:rPr>
          <w:rFonts w:cs="Times New Roman"/>
          <w:color w:val="000000"/>
          <w:szCs w:val="24"/>
        </w:rPr>
        <w:t xml:space="preserve">, at p. </w:t>
      </w:r>
      <w:r w:rsidR="00A37BCD">
        <w:rPr>
          <w:rFonts w:cs="Times New Roman"/>
          <w:color w:val="000000"/>
          <w:szCs w:val="24"/>
        </w:rPr>
        <w:t>344</w:t>
      </w:r>
      <w:r w:rsidRPr="001D4494">
        <w:rPr>
          <w:rFonts w:cs="Times New Roman"/>
          <w:color w:val="000000"/>
          <w:szCs w:val="24"/>
        </w:rPr>
        <w:t>). This means, as Professor Hogg says, that even though this Court has adopted a progressive, purposive approach to interpreting the Constitution, courts are not liberated from the “normal constrain</w:t>
      </w:r>
      <w:r>
        <w:rPr>
          <w:rFonts w:cs="Times New Roman"/>
          <w:color w:val="000000"/>
          <w:szCs w:val="24"/>
        </w:rPr>
        <w:t>t</w:t>
      </w:r>
      <w:r w:rsidRPr="001D4494">
        <w:rPr>
          <w:rFonts w:cs="Times New Roman"/>
          <w:color w:val="000000"/>
          <w:szCs w:val="24"/>
        </w:rPr>
        <w:t>s of interpretation” (</w:t>
      </w:r>
      <w:r>
        <w:rPr>
          <w:rFonts w:cs="Times New Roman"/>
          <w:color w:val="000000"/>
          <w:szCs w:val="24"/>
        </w:rPr>
        <w:t>p. 15-50).</w:t>
      </w:r>
    </w:p>
    <w:p w:rsidR="00A00D29" w:rsidRPr="001D4494" w:rsidRDefault="00A00D29" w:rsidP="00830519">
      <w:pPr>
        <w:pStyle w:val="ReasonsNumbering-AltN"/>
        <w:ind w:left="0" w:firstLine="0"/>
        <w:rPr>
          <w:rFonts w:cs="Times New Roman"/>
          <w:color w:val="000000"/>
          <w:szCs w:val="24"/>
        </w:rPr>
      </w:pPr>
      <w:r w:rsidRPr="001D4494">
        <w:rPr>
          <w:rFonts w:cs="Times New Roman"/>
          <w:color w:val="000000"/>
          <w:szCs w:val="24"/>
        </w:rPr>
        <w:t>Section 2(</w:t>
      </w:r>
      <w:r w:rsidRPr="000C682F">
        <w:rPr>
          <w:rFonts w:cs="Times New Roman"/>
          <w:i/>
          <w:color w:val="000000"/>
          <w:szCs w:val="24"/>
        </w:rPr>
        <w:t>d</w:t>
      </w:r>
      <w:r w:rsidRPr="001D4494">
        <w:rPr>
          <w:rFonts w:cs="Times New Roman"/>
          <w:color w:val="000000"/>
          <w:szCs w:val="24"/>
        </w:rPr>
        <w:t>) protects the freedom to associate.  It does not purport to guarantee the “collective goals” (</w:t>
      </w:r>
      <w:r>
        <w:rPr>
          <w:rFonts w:cs="Times New Roman"/>
          <w:color w:val="000000"/>
          <w:szCs w:val="24"/>
        </w:rPr>
        <w:t xml:space="preserve">reasons of the Chief Justice and LeBel J., at </w:t>
      </w:r>
      <w:r w:rsidRPr="001D4494">
        <w:rPr>
          <w:rFonts w:cs="Times New Roman"/>
          <w:color w:val="000000"/>
          <w:szCs w:val="24"/>
        </w:rPr>
        <w:t xml:space="preserve">para. 46) of the association once formed.  The majority’s interpretation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is not plau</w:t>
      </w:r>
      <w:r>
        <w:rPr>
          <w:rFonts w:cs="Times New Roman"/>
          <w:color w:val="000000"/>
          <w:szCs w:val="24"/>
        </w:rPr>
        <w:t>sible because it created a free-</w:t>
      </w:r>
      <w:r w:rsidRPr="001D4494">
        <w:rPr>
          <w:rFonts w:cs="Times New Roman"/>
          <w:color w:val="000000"/>
          <w:szCs w:val="24"/>
        </w:rPr>
        <w:t xml:space="preserve">standing right to the objectives of employee associations; it created a right which “requires both employer and employees to meet and to bargain in good faith, in the pursuit of a common goal of peaceful and productive accommodation” and make </w:t>
      </w:r>
      <w:r>
        <w:rPr>
          <w:rFonts w:cs="Times New Roman"/>
          <w:color w:val="000000"/>
          <w:szCs w:val="24"/>
        </w:rPr>
        <w:t xml:space="preserve">a </w:t>
      </w:r>
      <w:r w:rsidRPr="001D4494">
        <w:rPr>
          <w:rFonts w:cs="Times New Roman"/>
          <w:color w:val="000000"/>
          <w:szCs w:val="24"/>
        </w:rPr>
        <w:t>“reasonable effort to arrive at an acceptable contract” (paras. 90</w:t>
      </w:r>
      <w:r>
        <w:rPr>
          <w:rFonts w:cs="Times New Roman"/>
          <w:color w:val="000000"/>
          <w:szCs w:val="24"/>
        </w:rPr>
        <w:t xml:space="preserve"> and</w:t>
      </w:r>
      <w:r w:rsidRPr="001D4494">
        <w:rPr>
          <w:rFonts w:cs="Times New Roman"/>
          <w:color w:val="000000"/>
          <w:szCs w:val="24"/>
        </w:rPr>
        <w:t xml:space="preserve"> 101).  To suggest that s. </w:t>
      </w:r>
      <w:r w:rsidRPr="001D4494">
        <w:rPr>
          <w:rFonts w:cs="Times New Roman"/>
          <w:szCs w:val="24"/>
        </w:rPr>
        <w:t>2(</w:t>
      </w:r>
      <w:r w:rsidRPr="00505DDB">
        <w:rPr>
          <w:rFonts w:cs="Times New Roman"/>
          <w:i/>
          <w:szCs w:val="24"/>
        </w:rPr>
        <w:t>d</w:t>
      </w:r>
      <w:r w:rsidRPr="001D4494">
        <w:rPr>
          <w:rFonts w:cs="Times New Roman"/>
          <w:szCs w:val="24"/>
        </w:rPr>
        <w:t>) protects the right to equal bargaining power with one’s employer or “a form of workplace democracy”</w:t>
      </w:r>
      <w:r w:rsidRPr="001D4494">
        <w:rPr>
          <w:rFonts w:cs="Times New Roman"/>
          <w:color w:val="000000"/>
          <w:szCs w:val="24"/>
        </w:rPr>
        <w:t xml:space="preserve"> takes it far outside its linguistic, philosophical and historical context</w:t>
      </w:r>
      <w:r w:rsidR="00A37BCD">
        <w:rPr>
          <w:rFonts w:cs="Times New Roman"/>
          <w:color w:val="000000"/>
          <w:szCs w:val="24"/>
        </w:rPr>
        <w:t xml:space="preserve"> (para. 85)</w:t>
      </w:r>
      <w:r w:rsidRPr="001D4494">
        <w:rPr>
          <w:rFonts w:cs="Times New Roman"/>
          <w:szCs w:val="24"/>
        </w:rPr>
        <w:t xml:space="preserve">. </w:t>
      </w:r>
    </w:p>
    <w:p w:rsidR="00A00D29" w:rsidRPr="001D4494" w:rsidRDefault="00A00D29" w:rsidP="00830519">
      <w:pPr>
        <w:pStyle w:val="ReasonsNumbering-AltN"/>
        <w:ind w:left="0" w:firstLine="0"/>
        <w:rPr>
          <w:rFonts w:cs="Times New Roman"/>
          <w:szCs w:val="24"/>
        </w:rPr>
      </w:pPr>
      <w:r w:rsidRPr="001D4494">
        <w:rPr>
          <w:rFonts w:cs="Times New Roman"/>
          <w:szCs w:val="24"/>
        </w:rPr>
        <w:t>I agree that one’s work is fundamental to one’s identity and well-being and that exerting control over one’s working conditions is a desirable goal.  However, even assuming that such considerations militate in favour of legislative intervention to empower workers and employee associations, the fact remains that our Constitution leaves the determination as to whether, and to what extent, such intervention is appropriate to Parliament and the provincial legislatures.  Section 2(</w:t>
      </w:r>
      <w:r w:rsidRPr="00505DDB">
        <w:rPr>
          <w:rFonts w:cs="Times New Roman"/>
          <w:i/>
          <w:szCs w:val="24"/>
        </w:rPr>
        <w:t>d</w:t>
      </w:r>
      <w:r w:rsidRPr="001D4494">
        <w:rPr>
          <w:rFonts w:cs="Times New Roman"/>
          <w:szCs w:val="24"/>
        </w:rPr>
        <w:t xml:space="preserve">) </w:t>
      </w:r>
      <w:r w:rsidRPr="001D4494">
        <w:rPr>
          <w:rFonts w:cs="Times New Roman"/>
          <w:szCs w:val="24"/>
        </w:rPr>
        <w:lastRenderedPageBreak/>
        <w:t>is silent on such matters and this Court may not intervene into questions of economic and social policy in the absence of a legislative or cons</w:t>
      </w:r>
      <w:r>
        <w:rPr>
          <w:rFonts w:cs="Times New Roman"/>
          <w:szCs w:val="24"/>
        </w:rPr>
        <w:t>titutional grant of authority.</w:t>
      </w:r>
    </w:p>
    <w:p w:rsidR="00A00D29" w:rsidRDefault="00A00D29" w:rsidP="00830519">
      <w:pPr>
        <w:pStyle w:val="HeadingTitre-AltH"/>
        <w:spacing w:after="720"/>
      </w:pPr>
      <w:r w:rsidRPr="001D4494">
        <w:t>C.</w:t>
      </w:r>
      <w:r w:rsidRPr="001D4494">
        <w:tab/>
      </w:r>
      <w:r>
        <w:rPr>
          <w:i/>
        </w:rPr>
        <w:t>The A</w:t>
      </w:r>
      <w:r w:rsidRPr="00395C4A">
        <w:rPr>
          <w:i/>
        </w:rPr>
        <w:t xml:space="preserve">pproach in </w:t>
      </w:r>
      <w:r w:rsidRPr="001D4494">
        <w:rPr>
          <w:rFonts w:cs="Times New Roman"/>
          <w:i/>
          <w:color w:val="000000"/>
          <w:szCs w:val="24"/>
        </w:rPr>
        <w:t>Health</w:t>
      </w:r>
      <w:r>
        <w:rPr>
          <w:rFonts w:cs="Times New Roman"/>
          <w:i/>
          <w:color w:val="000000"/>
          <w:szCs w:val="24"/>
        </w:rPr>
        <w:t xml:space="preserve"> Services</w:t>
      </w:r>
      <w:r w:rsidRPr="00395C4A">
        <w:rPr>
          <w:i/>
        </w:rPr>
        <w:t xml:space="preserve"> </w:t>
      </w:r>
      <w:r>
        <w:rPr>
          <w:i/>
        </w:rPr>
        <w:t>Is U</w:t>
      </w:r>
      <w:r w:rsidRPr="00395C4A">
        <w:rPr>
          <w:i/>
        </w:rPr>
        <w:t>nworkable</w:t>
      </w:r>
    </w:p>
    <w:p w:rsidR="00A00D29" w:rsidRPr="001D4494" w:rsidRDefault="00A00D29" w:rsidP="00830519">
      <w:pPr>
        <w:pStyle w:val="ReasonsNumbering-AltN"/>
        <w:ind w:left="0" w:firstLine="0"/>
        <w:rPr>
          <w:rFonts w:cs="Times New Roman"/>
          <w:szCs w:val="24"/>
        </w:rPr>
      </w:pPr>
      <w:r w:rsidRPr="001D4494">
        <w:rPr>
          <w:rFonts w:cs="Times New Roman"/>
          <w:szCs w:val="24"/>
        </w:rPr>
        <w:t xml:space="preserve">Beyond </w:t>
      </w:r>
      <w:r w:rsidRPr="001D4494">
        <w:rPr>
          <w:rFonts w:cs="Times New Roman"/>
          <w:i/>
          <w:color w:val="000000"/>
          <w:szCs w:val="24"/>
        </w:rPr>
        <w:t>Health</w:t>
      </w:r>
      <w:r>
        <w:rPr>
          <w:rFonts w:cs="Times New Roman"/>
          <w:i/>
          <w:color w:val="000000"/>
          <w:szCs w:val="24"/>
        </w:rPr>
        <w:t xml:space="preserve"> Services</w:t>
      </w:r>
      <w:r>
        <w:rPr>
          <w:rFonts w:cs="Times New Roman"/>
          <w:color w:val="000000"/>
          <w:szCs w:val="24"/>
        </w:rPr>
        <w:t>’</w:t>
      </w:r>
      <w:r w:rsidRPr="001D4494">
        <w:rPr>
          <w:rFonts w:cs="Times New Roman"/>
          <w:szCs w:val="24"/>
        </w:rPr>
        <w:t xml:space="preserve"> </w:t>
      </w:r>
      <w:r w:rsidRPr="00830519">
        <w:rPr>
          <w:rFonts w:cs="Times New Roman"/>
          <w:color w:val="000000"/>
          <w:szCs w:val="24"/>
        </w:rPr>
        <w:t>errors</w:t>
      </w:r>
      <w:r>
        <w:rPr>
          <w:rFonts w:cs="Times New Roman"/>
          <w:szCs w:val="24"/>
        </w:rPr>
        <w:t xml:space="preserve"> as to the nature of s. 2(</w:t>
      </w:r>
      <w:r w:rsidRPr="00C31C40">
        <w:rPr>
          <w:rFonts w:cs="Times New Roman"/>
          <w:i/>
          <w:szCs w:val="24"/>
        </w:rPr>
        <w:t>d</w:t>
      </w:r>
      <w:r w:rsidRPr="001D4494">
        <w:rPr>
          <w:rFonts w:cs="Times New Roman"/>
          <w:szCs w:val="24"/>
        </w:rPr>
        <w:t xml:space="preserve">) and its reasons for constitutionalizing a duty to bargain in good faith, the collective bargaining right </w:t>
      </w:r>
      <w:r w:rsidRPr="001D4494">
        <w:rPr>
          <w:rFonts w:cs="Times New Roman"/>
          <w:color w:val="000000"/>
          <w:szCs w:val="24"/>
        </w:rPr>
        <w:t xml:space="preserve">itself is unworkable for two reasons. First, as found by the Ontario Court of Appeal, the right to collective bargaining imposed by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is unworkable unless it is supported by at least two additional elements of Wagner model collective bargaining.  Second, the attempt to draw a distinction between the </w:t>
      </w:r>
      <w:proofErr w:type="gramStart"/>
      <w:r w:rsidRPr="001D4494">
        <w:rPr>
          <w:rFonts w:cs="Times New Roman"/>
          <w:color w:val="000000"/>
          <w:szCs w:val="24"/>
        </w:rPr>
        <w:t>process</w:t>
      </w:r>
      <w:proofErr w:type="gramEnd"/>
      <w:r w:rsidRPr="001D4494">
        <w:rPr>
          <w:rFonts w:cs="Times New Roman"/>
          <w:color w:val="000000"/>
          <w:szCs w:val="24"/>
        </w:rPr>
        <w:t xml:space="preserve"> of good faith bargaining and the fruits of such bargaining is unworkable, as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itself demonstrates. </w:t>
      </w:r>
    </w:p>
    <w:p w:rsidR="00A00D29" w:rsidRDefault="00A00D29" w:rsidP="00A37BCD">
      <w:pPr>
        <w:pStyle w:val="HeadingTitre-AltH"/>
        <w:tabs>
          <w:tab w:val="clear" w:pos="360"/>
          <w:tab w:val="left" w:pos="1170"/>
        </w:tabs>
        <w:ind w:left="1800" w:hanging="630"/>
      </w:pPr>
      <w:r w:rsidRPr="001D4494">
        <w:t>(1)</w:t>
      </w:r>
      <w:r w:rsidRPr="001D4494">
        <w:tab/>
      </w:r>
      <w:r>
        <w:rPr>
          <w:u w:val="single"/>
        </w:rPr>
        <w:t>The Problem of Constitutionalizing One P</w:t>
      </w:r>
      <w:r w:rsidRPr="00395C4A">
        <w:rPr>
          <w:u w:val="single"/>
        </w:rPr>
        <w:t xml:space="preserve">art </w:t>
      </w:r>
      <w:r>
        <w:rPr>
          <w:u w:val="single"/>
        </w:rPr>
        <w:t>of the Wagner M</w:t>
      </w:r>
      <w:r w:rsidRPr="00395C4A">
        <w:rPr>
          <w:u w:val="single"/>
        </w:rPr>
        <w:t>odel</w:t>
      </w:r>
    </w:p>
    <w:p w:rsidR="00A00D29" w:rsidRPr="001D4494" w:rsidRDefault="00A00D29" w:rsidP="00830519">
      <w:pPr>
        <w:pStyle w:val="ReasonsNumbering-AltN"/>
        <w:ind w:left="0" w:firstLine="0"/>
        <w:rPr>
          <w:rFonts w:cs="Times New Roman"/>
          <w:szCs w:val="24"/>
        </w:rPr>
      </w:pPr>
      <w:r w:rsidRPr="001D4494">
        <w:rPr>
          <w:rFonts w:cs="Times New Roman"/>
          <w:szCs w:val="24"/>
        </w:rPr>
        <w:t xml:space="preserve">In the </w:t>
      </w:r>
      <w:r w:rsidRPr="00830519">
        <w:rPr>
          <w:rFonts w:cs="Times New Roman"/>
          <w:color w:val="000000"/>
          <w:szCs w:val="24"/>
        </w:rPr>
        <w:t>court</w:t>
      </w:r>
      <w:r w:rsidRPr="001D4494">
        <w:rPr>
          <w:rFonts w:cs="Times New Roman"/>
          <w:szCs w:val="24"/>
        </w:rPr>
        <w:t xml:space="preserve"> below in this appeal, an experienced and eminent labour lawyer and now Chief Justice of Ontario, Winkler C.J.O., took the view that </w:t>
      </w:r>
      <w:r w:rsidRPr="001D4494">
        <w:rPr>
          <w:rFonts w:cs="Times New Roman"/>
          <w:color w:val="000000"/>
          <w:szCs w:val="24"/>
        </w:rPr>
        <w:t xml:space="preserve">a </w:t>
      </w:r>
      <w:r w:rsidRPr="001D4494">
        <w:rPr>
          <w:rFonts w:cs="Times New Roman"/>
          <w:szCs w:val="24"/>
        </w:rPr>
        <w:t xml:space="preserve">constitutional right to </w:t>
      </w:r>
      <w:r w:rsidRPr="001D4494">
        <w:rPr>
          <w:rFonts w:cs="Times New Roman"/>
          <w:color w:val="000000"/>
          <w:szCs w:val="24"/>
        </w:rPr>
        <w:t xml:space="preserve">meaningful </w:t>
      </w:r>
      <w:r w:rsidRPr="001D4494">
        <w:rPr>
          <w:rFonts w:cs="Times New Roman"/>
          <w:szCs w:val="24"/>
        </w:rPr>
        <w:t xml:space="preserve">collective bargaining </w:t>
      </w:r>
      <w:r w:rsidRPr="001D4494">
        <w:rPr>
          <w:rFonts w:cs="Times New Roman"/>
          <w:color w:val="000000"/>
          <w:szCs w:val="24"/>
        </w:rPr>
        <w:t xml:space="preserve">must </w:t>
      </w:r>
      <w:r w:rsidRPr="001D4494">
        <w:rPr>
          <w:rFonts w:cs="Times New Roman"/>
          <w:szCs w:val="24"/>
        </w:rPr>
        <w:t>extend to two additional aspects: the principle of majoritarian exclusivity and a mechanism for resolving bargaining impasses and disputes regarding the interpretation and administration of collective agreements.</w:t>
      </w:r>
      <w:r>
        <w:rPr>
          <w:rFonts w:cs="Times New Roman"/>
          <w:szCs w:val="24"/>
        </w:rPr>
        <w:t xml:space="preserve">  Accordingly, he</w:t>
      </w:r>
      <w:r w:rsidRPr="001D4494">
        <w:rPr>
          <w:rFonts w:cs="Times New Roman"/>
          <w:szCs w:val="24"/>
        </w:rPr>
        <w:t xml:space="preserve"> ordered legislation that would extend the missing protections to agricultural workers:</w:t>
      </w:r>
    </w:p>
    <w:p w:rsidR="00A00D29" w:rsidRPr="001D4494" w:rsidRDefault="00A00D29" w:rsidP="00A00D29">
      <w:pPr>
        <w:pStyle w:val="Citation-AltC"/>
      </w:pPr>
      <w:r>
        <w:lastRenderedPageBreak/>
        <w:tab/>
      </w:r>
      <w:r w:rsidRPr="005E3C4A">
        <w:rPr>
          <w:u w:val="single"/>
        </w:rPr>
        <w:t>If legislation is to provide for meaningful collective bargaining, it must go further than simply stating the principle and must include provisions t</w:t>
      </w:r>
      <w:r w:rsidR="00A37BCD">
        <w:rPr>
          <w:u w:val="single"/>
        </w:rPr>
        <w:t>hat</w:t>
      </w:r>
      <w:r w:rsidRPr="005E3C4A">
        <w:rPr>
          <w:u w:val="single"/>
        </w:rPr>
        <w:t xml:space="preserve"> ensure that the right can be realized.</w:t>
      </w:r>
      <w:r w:rsidRPr="001D4494">
        <w:t xml:space="preserve"> At </w:t>
      </w:r>
      <w:r w:rsidR="00DB4BD2">
        <w:t xml:space="preserve">a </w:t>
      </w:r>
      <w:r w:rsidRPr="001D4494">
        <w:t>minimum, the following statutory protections are required to enable agricultural workers to exercise their right to bargain collectively in a meaningful way: (1) a statutory duty to bargain in good faith; (2) statutory recognition of the principles of exclusivity and majoritarianism; and (3) a statutory mechanism for resolving bargaining impasses and disputes regarding the interpretation or administration of collective agreements.</w:t>
      </w:r>
      <w:r>
        <w:t xml:space="preserve"> </w:t>
      </w:r>
      <w:r w:rsidRPr="001D4494">
        <w:t xml:space="preserve"> [Emphasis added</w:t>
      </w:r>
      <w:r>
        <w:t>; para</w:t>
      </w:r>
      <w:r w:rsidRPr="001D4494">
        <w:t>.</w:t>
      </w:r>
      <w:r>
        <w:t xml:space="preserve"> 80</w:t>
      </w:r>
      <w:r w:rsidR="00A37BCD">
        <w:t>.</w:t>
      </w:r>
      <w:r w:rsidRPr="001D4494">
        <w:t>]</w:t>
      </w:r>
    </w:p>
    <w:p w:rsidR="00A00D29" w:rsidRDefault="00A00D29" w:rsidP="00A00D29">
      <w:pPr>
        <w:pStyle w:val="ContinueReasonsNo-AltP"/>
      </w:pPr>
      <w:r w:rsidRPr="001D4494">
        <w:rPr>
          <w:rFonts w:cs="Times New Roman"/>
          <w:szCs w:val="24"/>
        </w:rPr>
        <w:t xml:space="preserve">Abella J. in her reasons </w:t>
      </w:r>
      <w:r>
        <w:rPr>
          <w:rFonts w:cs="Times New Roman"/>
          <w:szCs w:val="24"/>
        </w:rPr>
        <w:t>finds</w:t>
      </w:r>
      <w:r w:rsidRPr="001D4494">
        <w:rPr>
          <w:rFonts w:cs="Times New Roman"/>
          <w:szCs w:val="24"/>
        </w:rPr>
        <w:t xml:space="preserve"> that a right to collective bargaining </w:t>
      </w:r>
      <w:r>
        <w:rPr>
          <w:rFonts w:cs="Times New Roman"/>
          <w:szCs w:val="24"/>
        </w:rPr>
        <w:t xml:space="preserve">for agricultural workers </w:t>
      </w:r>
      <w:r w:rsidRPr="001D4494">
        <w:rPr>
          <w:rFonts w:cs="Times New Roman"/>
          <w:szCs w:val="24"/>
        </w:rPr>
        <w:t xml:space="preserve">must include an enforcement and compliance mechanism to </w:t>
      </w:r>
      <w:r w:rsidR="00A37BCD">
        <w:rPr>
          <w:rFonts w:cs="Times New Roman"/>
          <w:szCs w:val="24"/>
        </w:rPr>
        <w:t>resolve bargaining disputes (</w:t>
      </w:r>
      <w:r w:rsidRPr="001D4494">
        <w:rPr>
          <w:rFonts w:cs="Times New Roman"/>
          <w:szCs w:val="24"/>
        </w:rPr>
        <w:t xml:space="preserve">para. </w:t>
      </w:r>
      <w:r>
        <w:rPr>
          <w:rFonts w:cs="Times New Roman"/>
          <w:szCs w:val="24"/>
        </w:rPr>
        <w:t>339)</w:t>
      </w:r>
      <w:r w:rsidRPr="001D4494">
        <w:rPr>
          <w:rFonts w:cs="Times New Roman"/>
          <w:szCs w:val="24"/>
        </w:rPr>
        <w:t xml:space="preserve"> and the statutory recognition of major</w:t>
      </w:r>
      <w:r w:rsidR="00A37BCD">
        <w:rPr>
          <w:rFonts w:cs="Times New Roman"/>
          <w:szCs w:val="24"/>
        </w:rPr>
        <w:t>itarian exclusivity (</w:t>
      </w:r>
      <w:r>
        <w:rPr>
          <w:rFonts w:cs="Times New Roman"/>
          <w:szCs w:val="24"/>
        </w:rPr>
        <w:t>para. 343</w:t>
      </w:r>
      <w:r w:rsidRPr="001D4494">
        <w:rPr>
          <w:rFonts w:cs="Times New Roman"/>
          <w:szCs w:val="24"/>
        </w:rPr>
        <w:t>)</w:t>
      </w:r>
      <w:r>
        <w:rPr>
          <w:rFonts w:cs="Times New Roman"/>
          <w:szCs w:val="24"/>
        </w:rPr>
        <w:t>.</w:t>
      </w:r>
    </w:p>
    <w:p w:rsidR="00A00D29" w:rsidRPr="001D4494" w:rsidRDefault="00A00D29" w:rsidP="00830519">
      <w:pPr>
        <w:pStyle w:val="ReasonsNumbering-AltN"/>
        <w:ind w:left="0" w:firstLine="0"/>
        <w:rPr>
          <w:rFonts w:cs="Times New Roman"/>
          <w:szCs w:val="24"/>
        </w:rPr>
      </w:pPr>
      <w:r w:rsidRPr="00830519">
        <w:rPr>
          <w:rFonts w:cs="Times New Roman"/>
          <w:color w:val="000000"/>
          <w:szCs w:val="24"/>
        </w:rPr>
        <w:t>Winkler</w:t>
      </w:r>
      <w:r w:rsidRPr="001D4494">
        <w:rPr>
          <w:rFonts w:cs="Times New Roman"/>
          <w:szCs w:val="24"/>
        </w:rPr>
        <w:t xml:space="preserve"> C.J.O. explained that these elements were necessary to a workable system of good faith collective bargaining. He justified adding the mechanism for resolving bargaining impasses by explaining that the bargaining process would be “jeopardized” if the parties had no recourse to a dispute resolution mechanism when </w:t>
      </w:r>
      <w:r w:rsidR="00A37BCD">
        <w:rPr>
          <w:rFonts w:cs="Times New Roman"/>
          <w:szCs w:val="24"/>
        </w:rPr>
        <w:t>faced with fruitless bargaining (</w:t>
      </w:r>
      <w:r w:rsidRPr="001D4494">
        <w:rPr>
          <w:rFonts w:cs="Times New Roman"/>
          <w:szCs w:val="24"/>
        </w:rPr>
        <w:t>para. 82</w:t>
      </w:r>
      <w:r w:rsidR="00A37BCD">
        <w:rPr>
          <w:rFonts w:cs="Times New Roman"/>
          <w:szCs w:val="24"/>
        </w:rPr>
        <w:t>)</w:t>
      </w:r>
      <w:r w:rsidRPr="001D4494">
        <w:rPr>
          <w:rFonts w:cs="Times New Roman"/>
          <w:szCs w:val="24"/>
        </w:rPr>
        <w:t xml:space="preserve">. </w:t>
      </w:r>
    </w:p>
    <w:p w:rsidR="00A00D29" w:rsidRPr="001D4494" w:rsidRDefault="00A00D29" w:rsidP="00830519">
      <w:pPr>
        <w:pStyle w:val="ReasonsNumbering-AltN"/>
        <w:ind w:left="0" w:firstLine="0"/>
        <w:rPr>
          <w:rFonts w:cs="Times New Roman"/>
          <w:szCs w:val="24"/>
        </w:rPr>
      </w:pPr>
      <w:r w:rsidRPr="001D4494">
        <w:rPr>
          <w:rFonts w:cs="Times New Roman"/>
          <w:szCs w:val="24"/>
        </w:rPr>
        <w:t xml:space="preserve">Indeed, when a duty is imposed on a party by law, it must be accompanied by sanctions or means of enforcement if there is non-compliance </w:t>
      </w:r>
      <w:r w:rsidRPr="00830519">
        <w:rPr>
          <w:rFonts w:cs="Times New Roman"/>
          <w:color w:val="000000"/>
          <w:szCs w:val="24"/>
        </w:rPr>
        <w:t>with</w:t>
      </w:r>
      <w:r w:rsidRPr="001D4494">
        <w:rPr>
          <w:rFonts w:cs="Times New Roman"/>
          <w:szCs w:val="24"/>
        </w:rPr>
        <w:t xml:space="preserve"> the duty.  Without sanctions or means of enforcement, compliance with the duty would be, to all intents and purposes, voluntary. This would hardly meet the requirement, according to the Chief Justice and LeBel J., that collective bargaining </w:t>
      </w:r>
      <w:proofErr w:type="gramStart"/>
      <w:r w:rsidRPr="001D4494">
        <w:rPr>
          <w:rFonts w:cs="Times New Roman"/>
          <w:szCs w:val="24"/>
        </w:rPr>
        <w:t>be</w:t>
      </w:r>
      <w:proofErr w:type="gramEnd"/>
      <w:r w:rsidRPr="001D4494">
        <w:rPr>
          <w:rFonts w:cs="Times New Roman"/>
          <w:szCs w:val="24"/>
        </w:rPr>
        <w:t xml:space="preserve"> mandatory. </w:t>
      </w:r>
    </w:p>
    <w:p w:rsidR="00A00D29" w:rsidRPr="001D4494" w:rsidRDefault="00A00D29" w:rsidP="00830519">
      <w:pPr>
        <w:pStyle w:val="ReasonsNumbering-AltN"/>
        <w:ind w:left="0" w:firstLine="0"/>
        <w:rPr>
          <w:rFonts w:cs="Times New Roman"/>
          <w:szCs w:val="24"/>
        </w:rPr>
      </w:pPr>
      <w:r w:rsidRPr="00830519">
        <w:rPr>
          <w:rFonts w:cs="Times New Roman"/>
          <w:color w:val="000000"/>
          <w:szCs w:val="24"/>
        </w:rPr>
        <w:lastRenderedPageBreak/>
        <w:t>Winkler</w:t>
      </w:r>
      <w:r w:rsidRPr="001D4494">
        <w:rPr>
          <w:rFonts w:cs="Times New Roman"/>
          <w:szCs w:val="24"/>
        </w:rPr>
        <w:t xml:space="preserve"> C.J.O. also explained that a collective bargaining process that lacks the feature of majoritarian exclusivity would be “impractical” and lead to “chaos”:</w:t>
      </w:r>
    </w:p>
    <w:p w:rsidR="00A00D29" w:rsidRPr="001D4494" w:rsidRDefault="00A00D29" w:rsidP="00A00D29">
      <w:pPr>
        <w:pStyle w:val="Citation-AltC"/>
      </w:pPr>
      <w:r w:rsidRPr="001D4494">
        <w:t xml:space="preserve">It is impractical to expect employers to engage in good faith bargaining discussions when confronted with a process that does not eradicate the possibility of irreconcilable demands from multiple employee representatives, purporting to simultaneously represent employees in the same workplace with similar job functions. It is not overstating the point to say that to avoid chaos in the workplace to the detriment of the employer and employees alike, it is essential that a representative organization be selected on a majoritarian basis and imbued with exclusive bargaining rights. </w:t>
      </w:r>
      <w:r>
        <w:t xml:space="preserve"> [para. 92]</w:t>
      </w:r>
    </w:p>
    <w:p w:rsidR="00A00D29" w:rsidRPr="001D4494" w:rsidRDefault="00A00D29" w:rsidP="00830519">
      <w:pPr>
        <w:pStyle w:val="ReasonsNumbering-AltN"/>
        <w:ind w:left="0" w:firstLine="0"/>
        <w:rPr>
          <w:rFonts w:cs="Times New Roman"/>
          <w:szCs w:val="24"/>
        </w:rPr>
      </w:pPr>
      <w:r w:rsidRPr="00830519">
        <w:rPr>
          <w:rFonts w:cs="Times New Roman"/>
          <w:color w:val="000000"/>
          <w:szCs w:val="24"/>
        </w:rPr>
        <w:t>Winkler</w:t>
      </w:r>
      <w:r w:rsidRPr="001D4494">
        <w:rPr>
          <w:rFonts w:cs="Times New Roman"/>
          <w:szCs w:val="24"/>
        </w:rPr>
        <w:t xml:space="preserve"> C.J.O.’s concerns present a significant problem that the Chief Justice and LeBel J. do not address in their reasons.  They limit constitutionalization to collective bargaining imposing a duty on employers to bargain in good faith. The reasons of the Chief Justice and LeBel J. provide no explanation for why Winkler C.J.O. is wrong.  </w:t>
      </w:r>
      <w:r w:rsidRPr="001D4494">
        <w:rPr>
          <w:rFonts w:cs="Times New Roman"/>
          <w:color w:val="000000"/>
          <w:szCs w:val="24"/>
        </w:rPr>
        <w:t xml:space="preserve">As the majority in </w:t>
      </w:r>
      <w:r w:rsidRPr="001D4494">
        <w:rPr>
          <w:rFonts w:cs="Times New Roman"/>
          <w:i/>
          <w:color w:val="000000"/>
          <w:szCs w:val="24"/>
        </w:rPr>
        <w:t>Doucet-Boudreau</w:t>
      </w:r>
      <w:r w:rsidRPr="001D4494">
        <w:rPr>
          <w:rFonts w:cs="Times New Roman"/>
          <w:color w:val="000000"/>
          <w:szCs w:val="24"/>
        </w:rPr>
        <w:t xml:space="preserve"> said in discussing minority language </w:t>
      </w:r>
      <w:r>
        <w:rPr>
          <w:rFonts w:cs="Times New Roman"/>
          <w:color w:val="000000"/>
          <w:szCs w:val="24"/>
        </w:rPr>
        <w:t xml:space="preserve">educational </w:t>
      </w:r>
      <w:r w:rsidRPr="001D4494">
        <w:rPr>
          <w:rFonts w:cs="Times New Roman"/>
          <w:color w:val="000000"/>
          <w:szCs w:val="24"/>
        </w:rPr>
        <w:t xml:space="preserve">rights: “A purposive approach to remedies in a </w:t>
      </w:r>
      <w:r w:rsidRPr="001D4494">
        <w:rPr>
          <w:rFonts w:cs="Times New Roman"/>
          <w:i/>
          <w:color w:val="000000"/>
          <w:szCs w:val="24"/>
        </w:rPr>
        <w:t>Charter</w:t>
      </w:r>
      <w:r w:rsidRPr="001D4494">
        <w:rPr>
          <w:rFonts w:cs="Times New Roman"/>
          <w:color w:val="000000"/>
          <w:szCs w:val="24"/>
        </w:rPr>
        <w:t xml:space="preserve"> context gives modern vitality to the ancient maxim </w:t>
      </w:r>
      <w:proofErr w:type="spellStart"/>
      <w:r w:rsidRPr="001D4494">
        <w:rPr>
          <w:rFonts w:cs="Times New Roman"/>
          <w:i/>
          <w:color w:val="000000"/>
          <w:szCs w:val="24"/>
        </w:rPr>
        <w:t>ubi</w:t>
      </w:r>
      <w:proofErr w:type="spellEnd"/>
      <w:r w:rsidRPr="001D4494">
        <w:rPr>
          <w:rFonts w:cs="Times New Roman"/>
          <w:i/>
          <w:color w:val="000000"/>
          <w:szCs w:val="24"/>
        </w:rPr>
        <w:t xml:space="preserve"> jus, </w:t>
      </w:r>
      <w:proofErr w:type="spellStart"/>
      <w:r w:rsidRPr="001D4494">
        <w:rPr>
          <w:rFonts w:cs="Times New Roman"/>
          <w:i/>
          <w:color w:val="000000"/>
          <w:szCs w:val="24"/>
        </w:rPr>
        <w:t>ibi</w:t>
      </w:r>
      <w:proofErr w:type="spellEnd"/>
      <w:r w:rsidRPr="001D4494">
        <w:rPr>
          <w:rFonts w:cs="Times New Roman"/>
          <w:i/>
          <w:color w:val="000000"/>
          <w:szCs w:val="24"/>
        </w:rPr>
        <w:t xml:space="preserve"> </w:t>
      </w:r>
      <w:proofErr w:type="spellStart"/>
      <w:r w:rsidRPr="001D4494">
        <w:rPr>
          <w:rFonts w:cs="Times New Roman"/>
          <w:i/>
          <w:color w:val="000000"/>
          <w:szCs w:val="24"/>
        </w:rPr>
        <w:t>remedium</w:t>
      </w:r>
      <w:proofErr w:type="spellEnd"/>
      <w:r w:rsidRPr="001D4494">
        <w:rPr>
          <w:rFonts w:cs="Times New Roman"/>
          <w:color w:val="000000"/>
          <w:szCs w:val="24"/>
        </w:rPr>
        <w:t xml:space="preserve">: where there is a right, there must be a remedy” (para. 25). </w:t>
      </w:r>
      <w:r>
        <w:rPr>
          <w:rFonts w:cs="Times New Roman"/>
          <w:color w:val="000000"/>
          <w:szCs w:val="24"/>
        </w:rPr>
        <w:t xml:space="preserve"> </w:t>
      </w:r>
      <w:r w:rsidRPr="001D4494">
        <w:rPr>
          <w:rFonts w:cs="Times New Roman"/>
          <w:color w:val="000000"/>
          <w:szCs w:val="24"/>
        </w:rPr>
        <w:t>I cannot agree that a right can be workable without the imposition of an appropriate remedy.</w:t>
      </w:r>
    </w:p>
    <w:p w:rsidR="00A00D29" w:rsidRPr="001D4494" w:rsidRDefault="00A00D29" w:rsidP="00830519">
      <w:pPr>
        <w:pStyle w:val="ReasonsNumbering-AltN"/>
        <w:ind w:left="0" w:firstLine="0"/>
        <w:rPr>
          <w:rFonts w:cs="Times New Roman"/>
          <w:szCs w:val="24"/>
        </w:rPr>
      </w:pPr>
      <w:r w:rsidRPr="001D4494">
        <w:t>The Chief Justice and LeBel J. say that “</w:t>
      </w:r>
      <w:r>
        <w:t>[</w:t>
      </w:r>
      <w:r w:rsidRPr="001D4494">
        <w:t>i</w:t>
      </w:r>
      <w:r>
        <w:t>]</w:t>
      </w:r>
      <w:r w:rsidRPr="001D4494">
        <w:t xml:space="preserve">t is premature to argue that the holding in </w:t>
      </w:r>
      <w:r w:rsidRPr="001D4494">
        <w:rPr>
          <w:rFonts w:cs="Times New Roman"/>
          <w:i/>
          <w:color w:val="000000"/>
          <w:szCs w:val="24"/>
        </w:rPr>
        <w:t>Health</w:t>
      </w:r>
      <w:r>
        <w:rPr>
          <w:rFonts w:cs="Times New Roman"/>
          <w:i/>
          <w:color w:val="000000"/>
          <w:szCs w:val="24"/>
        </w:rPr>
        <w:t xml:space="preserve"> Services</w:t>
      </w:r>
      <w:r>
        <w:t>,</w:t>
      </w:r>
      <w:r w:rsidRPr="001D4494">
        <w:t xml:space="preserve"> rendered </w:t>
      </w:r>
      <w:r>
        <w:t xml:space="preserve">four </w:t>
      </w:r>
      <w:r w:rsidRPr="001D4494">
        <w:t xml:space="preserve">years ago, is unworkable in practice” (para. 83).  They say that it takes time before the unworkability of a decision emerges.  I disagree.  Winkler C.J.O.’s conclusion that a constitutional right to meaningful </w:t>
      </w:r>
      <w:r w:rsidRPr="001D4494">
        <w:lastRenderedPageBreak/>
        <w:t>collective bargaining must include constitutionalizing elements of the Wagner model provides strong support for the proposition that</w:t>
      </w:r>
      <w:r>
        <w:t>, without these protections, compulsory collective bargaining</w:t>
      </w:r>
      <w:r w:rsidRPr="001D4494">
        <w:t xml:space="preserve"> is unworkable.</w:t>
      </w:r>
    </w:p>
    <w:p w:rsidR="00A00D29" w:rsidRDefault="00A00D29" w:rsidP="00A37BCD">
      <w:pPr>
        <w:pStyle w:val="HeadingTitre-AltH"/>
        <w:tabs>
          <w:tab w:val="clear" w:pos="360"/>
          <w:tab w:val="left" w:pos="1800"/>
        </w:tabs>
        <w:spacing w:after="720"/>
        <w:ind w:left="1166" w:firstLine="0"/>
      </w:pPr>
      <w:r w:rsidRPr="001D4494">
        <w:t>(2)</w:t>
      </w:r>
      <w:r w:rsidRPr="001D4494">
        <w:tab/>
      </w:r>
      <w:r>
        <w:rPr>
          <w:u w:val="single"/>
        </w:rPr>
        <w:t xml:space="preserve">The Untenable Distinction </w:t>
      </w:r>
      <w:proofErr w:type="gramStart"/>
      <w:r>
        <w:rPr>
          <w:u w:val="single"/>
        </w:rPr>
        <w:t>Between</w:t>
      </w:r>
      <w:proofErr w:type="gramEnd"/>
      <w:r>
        <w:rPr>
          <w:u w:val="single"/>
        </w:rPr>
        <w:t xml:space="preserve"> Substance and P</w:t>
      </w:r>
      <w:r w:rsidRPr="00395C4A">
        <w:rPr>
          <w:u w:val="single"/>
        </w:rPr>
        <w:t>rocess</w:t>
      </w:r>
    </w:p>
    <w:p w:rsidR="00A00D29" w:rsidRPr="001D4494" w:rsidRDefault="00A00D29" w:rsidP="00830519">
      <w:pPr>
        <w:pStyle w:val="ReasonsNumbering-AltN"/>
        <w:ind w:left="0" w:firstLine="0"/>
        <w:rPr>
          <w:rFonts w:cs="Times New Roman"/>
          <w:szCs w:val="24"/>
        </w:rPr>
      </w:pPr>
      <w:r w:rsidRPr="001D4494">
        <w:rPr>
          <w:rFonts w:cs="Times New Roman"/>
          <w:szCs w:val="24"/>
        </w:rPr>
        <w:t xml:space="preserve">Unworkability also </w:t>
      </w:r>
      <w:r w:rsidRPr="001D4494">
        <w:rPr>
          <w:rFonts w:cs="Times New Roman"/>
          <w:color w:val="000000"/>
          <w:szCs w:val="24"/>
        </w:rPr>
        <w:t xml:space="preserve">arises from </w:t>
      </w:r>
      <w:r w:rsidRPr="001D4494">
        <w:rPr>
          <w:rFonts w:cs="Times New Roman"/>
          <w:szCs w:val="24"/>
        </w:rPr>
        <w:t xml:space="preserve">the </w:t>
      </w:r>
      <w:r w:rsidRPr="001D4494">
        <w:rPr>
          <w:rFonts w:cs="Times New Roman"/>
          <w:color w:val="000000"/>
          <w:szCs w:val="24"/>
        </w:rPr>
        <w:t>majority’s instruction</w:t>
      </w:r>
      <w:r w:rsidRPr="001D4494">
        <w:rPr>
          <w:rFonts w:cs="Times New Roman"/>
          <w:szCs w:val="24"/>
        </w:rPr>
        <w:t xml:space="preserve"> in </w:t>
      </w:r>
      <w:r w:rsidRPr="001D4494">
        <w:rPr>
          <w:rFonts w:cs="Times New Roman"/>
          <w:i/>
          <w:szCs w:val="24"/>
        </w:rPr>
        <w:t>Health</w:t>
      </w:r>
      <w:r>
        <w:rPr>
          <w:rFonts w:cs="Times New Roman"/>
          <w:i/>
          <w:szCs w:val="24"/>
        </w:rPr>
        <w:t xml:space="preserve"> Services</w:t>
      </w:r>
      <w:r w:rsidRPr="001D4494">
        <w:rPr>
          <w:rFonts w:cs="Times New Roman"/>
          <w:i/>
          <w:szCs w:val="24"/>
        </w:rPr>
        <w:t xml:space="preserve"> </w:t>
      </w:r>
      <w:r w:rsidRPr="001D4494">
        <w:rPr>
          <w:rFonts w:cs="Times New Roman"/>
          <w:szCs w:val="24"/>
        </w:rPr>
        <w:t xml:space="preserve">to protect the process of collective bargaining without also protecting its substantive fruits.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the </w:t>
      </w:r>
      <w:r>
        <w:rPr>
          <w:rFonts w:cs="Times New Roman"/>
          <w:szCs w:val="24"/>
        </w:rPr>
        <w:t>majority</w:t>
      </w:r>
      <w:r w:rsidRPr="001D4494">
        <w:rPr>
          <w:rFonts w:cs="Times New Roman"/>
          <w:szCs w:val="24"/>
        </w:rPr>
        <w:t xml:space="preserve"> posited </w:t>
      </w:r>
      <w:r w:rsidRPr="001D4494">
        <w:rPr>
          <w:rFonts w:cs="Times New Roman"/>
          <w:color w:val="000000"/>
          <w:szCs w:val="24"/>
        </w:rPr>
        <w:t xml:space="preserve">that this </w:t>
      </w:r>
      <w:r w:rsidRPr="001D4494">
        <w:rPr>
          <w:rFonts w:cs="Times New Roman"/>
          <w:szCs w:val="24"/>
        </w:rPr>
        <w:t>distin</w:t>
      </w:r>
      <w:r w:rsidRPr="001D4494">
        <w:rPr>
          <w:rFonts w:cs="Times New Roman"/>
          <w:color w:val="000000"/>
          <w:szCs w:val="24"/>
        </w:rPr>
        <w:t xml:space="preserve">ction was </w:t>
      </w:r>
      <w:r w:rsidRPr="001D4494">
        <w:rPr>
          <w:rFonts w:cs="Times New Roman"/>
          <w:szCs w:val="24"/>
        </w:rPr>
        <w:t xml:space="preserve">entirely possible (para. 29).  In my view, </w:t>
      </w:r>
      <w:r w:rsidRPr="001D4494">
        <w:rPr>
          <w:rFonts w:cs="Times New Roman"/>
          <w:color w:val="000000"/>
          <w:szCs w:val="24"/>
        </w:rPr>
        <w:t xml:space="preserve">this distinction is unworkable because </w:t>
      </w:r>
      <w:r w:rsidRPr="001D4494">
        <w:rPr>
          <w:rFonts w:cs="Times New Roman"/>
          <w:szCs w:val="24"/>
        </w:rPr>
        <w:t xml:space="preserve">it is impossible to divorce the process of collective bargaining from </w:t>
      </w:r>
      <w:r w:rsidRPr="001D4494">
        <w:rPr>
          <w:rFonts w:cs="Times New Roman"/>
          <w:color w:val="000000"/>
          <w:szCs w:val="24"/>
        </w:rPr>
        <w:t xml:space="preserve">its </w:t>
      </w:r>
      <w:r w:rsidRPr="001D4494">
        <w:rPr>
          <w:rFonts w:cs="Times New Roman"/>
          <w:szCs w:val="24"/>
        </w:rPr>
        <w:t>substantive outcomes.  There are three reasons.</w:t>
      </w:r>
    </w:p>
    <w:p w:rsidR="00A00D29" w:rsidRPr="001D4494" w:rsidRDefault="00A00D29" w:rsidP="00830519">
      <w:pPr>
        <w:pStyle w:val="ReasonsNumbering-AltN"/>
        <w:ind w:left="0" w:firstLine="0"/>
        <w:rPr>
          <w:rFonts w:cs="Times New Roman"/>
          <w:szCs w:val="24"/>
        </w:rPr>
      </w:pPr>
      <w:r w:rsidRPr="001D4494">
        <w:rPr>
          <w:rFonts w:cs="Times New Roman"/>
          <w:szCs w:val="24"/>
        </w:rPr>
        <w:t>First, as I have already discussed,</w:t>
      </w:r>
      <w:r w:rsidRPr="001D4494">
        <w:rPr>
          <w:rFonts w:cs="Times New Roman"/>
          <w:i/>
          <w:szCs w:val="24"/>
        </w:rPr>
        <w:t xml:space="preserve">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 xml:space="preserve">itself did not respect this distinction since the </w:t>
      </w:r>
      <w:r>
        <w:t>majority</w:t>
      </w:r>
      <w:r w:rsidRPr="001D4494">
        <w:rPr>
          <w:rFonts w:cs="Times New Roman"/>
          <w:szCs w:val="24"/>
        </w:rPr>
        <w:t xml:space="preserve"> granted constitutional protection to “significant” terms of the collective agreements at issue in that very case. </w:t>
      </w:r>
      <w:r>
        <w:rPr>
          <w:rFonts w:cs="Times New Roman"/>
          <w:szCs w:val="24"/>
        </w:rPr>
        <w:t xml:space="preserve"> </w:t>
      </w:r>
      <w:r w:rsidRPr="001D4494">
        <w:rPr>
          <w:rFonts w:cs="Times New Roman"/>
          <w:szCs w:val="24"/>
        </w:rPr>
        <w:t xml:space="preserve">The </w:t>
      </w:r>
      <w:r>
        <w:t>majority</w:t>
      </w:r>
      <w:r w:rsidRPr="001D4494">
        <w:rPr>
          <w:rFonts w:cs="Times New Roman"/>
          <w:szCs w:val="24"/>
        </w:rPr>
        <w:t xml:space="preserve"> found that the challenged B.C. legislation breached s. 2(</w:t>
      </w:r>
      <w:r w:rsidRPr="005E3C4A">
        <w:rPr>
          <w:rFonts w:cs="Times New Roman"/>
          <w:i/>
          <w:szCs w:val="24"/>
        </w:rPr>
        <w:t>d</w:t>
      </w:r>
      <w:r w:rsidRPr="001D4494">
        <w:rPr>
          <w:rFonts w:cs="Times New Roman"/>
          <w:szCs w:val="24"/>
        </w:rPr>
        <w:t xml:space="preserve">) not just by limiting future bargaining but also by invalidating existing collective agreements and consequently undermining the past bargaining process that formed the basis for these agreements. </w:t>
      </w:r>
      <w:r>
        <w:rPr>
          <w:rFonts w:cs="Times New Roman"/>
          <w:szCs w:val="24"/>
        </w:rPr>
        <w:t xml:space="preserve"> </w:t>
      </w:r>
      <w:r w:rsidRPr="001D4494">
        <w:rPr>
          <w:rFonts w:cs="Times New Roman"/>
          <w:szCs w:val="24"/>
        </w:rPr>
        <w:t>Therefore, the application of the collective bargaining right in</w:t>
      </w:r>
      <w:r w:rsidRPr="001D4494">
        <w:rPr>
          <w:rFonts w:cs="Times New Roman"/>
          <w:i/>
          <w:szCs w:val="24"/>
        </w:rPr>
        <w:t xml:space="preserve"> </w:t>
      </w:r>
      <w:r w:rsidRPr="001D4494">
        <w:rPr>
          <w:rFonts w:cs="Times New Roman"/>
          <w:i/>
          <w:color w:val="000000"/>
          <w:szCs w:val="24"/>
        </w:rPr>
        <w:t>Health</w:t>
      </w:r>
      <w:r>
        <w:rPr>
          <w:rFonts w:cs="Times New Roman"/>
          <w:i/>
          <w:color w:val="000000"/>
          <w:szCs w:val="24"/>
        </w:rPr>
        <w:t xml:space="preserve"> Services</w:t>
      </w:r>
      <w:r w:rsidRPr="001D4494">
        <w:rPr>
          <w:rFonts w:cs="Times New Roman"/>
          <w:i/>
          <w:szCs w:val="24"/>
        </w:rPr>
        <w:t xml:space="preserve"> </w:t>
      </w:r>
      <w:r w:rsidRPr="001D4494">
        <w:rPr>
          <w:rFonts w:cs="Times New Roman"/>
          <w:szCs w:val="24"/>
        </w:rPr>
        <w:t>had the result of protecting the substance of those agreements.</w:t>
      </w:r>
    </w:p>
    <w:p w:rsidR="00A00D29" w:rsidRPr="001D4494" w:rsidRDefault="00A00D29" w:rsidP="00830519">
      <w:pPr>
        <w:pStyle w:val="ReasonsNumbering-AltN"/>
        <w:ind w:left="0" w:firstLine="0"/>
        <w:rPr>
          <w:rFonts w:cs="Times New Roman"/>
          <w:szCs w:val="24"/>
        </w:rPr>
      </w:pPr>
      <w:r w:rsidRPr="001D4494">
        <w:rPr>
          <w:rFonts w:cs="Times New Roman"/>
          <w:szCs w:val="24"/>
        </w:rPr>
        <w:t xml:space="preserve">Second, the duty to bargain in good faith cannot be described as only a “procedural” guarantee, as the Chief Justice and LeBel J. do in this case and as the </w:t>
      </w:r>
      <w:r w:rsidRPr="001D4494">
        <w:rPr>
          <w:rFonts w:cs="Times New Roman"/>
          <w:color w:val="000000"/>
          <w:szCs w:val="24"/>
        </w:rPr>
        <w:lastRenderedPageBreak/>
        <w:t xml:space="preserve">majority </w:t>
      </w:r>
      <w:r w:rsidRPr="001D4494">
        <w:rPr>
          <w:rFonts w:cs="Times New Roman"/>
          <w:szCs w:val="24"/>
        </w:rPr>
        <w:t xml:space="preserve">did in </w:t>
      </w:r>
      <w:r w:rsidRPr="001D4494">
        <w:rPr>
          <w:rFonts w:cs="Times New Roman"/>
          <w:i/>
          <w:color w:val="000000"/>
          <w:szCs w:val="24"/>
        </w:rPr>
        <w:t>Health</w:t>
      </w:r>
      <w:r>
        <w:rPr>
          <w:rFonts w:cs="Times New Roman"/>
          <w:i/>
          <w:color w:val="000000"/>
          <w:szCs w:val="24"/>
        </w:rPr>
        <w:t xml:space="preserve"> Services</w:t>
      </w:r>
      <w:r w:rsidRPr="001D4494">
        <w:rPr>
          <w:rFonts w:cs="Times New Roman"/>
          <w:szCs w:val="24"/>
        </w:rPr>
        <w:t xml:space="preserve">.  </w:t>
      </w:r>
      <w:r w:rsidRPr="001D4494">
        <w:rPr>
          <w:rFonts w:cs="Times New Roman"/>
          <w:color w:val="000000"/>
          <w:szCs w:val="24"/>
        </w:rPr>
        <w:t xml:space="preserve">Recognizing </w:t>
      </w:r>
      <w:r w:rsidRPr="001D4494">
        <w:rPr>
          <w:rFonts w:cs="Times New Roman"/>
          <w:szCs w:val="24"/>
        </w:rPr>
        <w:t>an employee association and requiring the employer to engage in collective bargaining are themselves substantive outcomes for which workers organize.  In a labour context, as in other contexts, certain “procedures” are favoured because they are more likely to produce a certain outcome.</w:t>
      </w:r>
    </w:p>
    <w:p w:rsidR="00A00D29" w:rsidRPr="001D4494" w:rsidRDefault="00A00D29" w:rsidP="00830519">
      <w:pPr>
        <w:pStyle w:val="ReasonsNumbering-AltN"/>
        <w:ind w:left="0" w:firstLine="0"/>
        <w:rPr>
          <w:rFonts w:cs="Times New Roman"/>
          <w:szCs w:val="24"/>
        </w:rPr>
      </w:pPr>
      <w:r w:rsidRPr="001D4494">
        <w:rPr>
          <w:rFonts w:cs="Times New Roman"/>
          <w:color w:val="000000"/>
          <w:szCs w:val="24"/>
        </w:rPr>
        <w:t xml:space="preserve"> </w:t>
      </w:r>
      <w:r w:rsidRPr="001D4494">
        <w:rPr>
          <w:rFonts w:cs="Times New Roman"/>
          <w:szCs w:val="24"/>
        </w:rPr>
        <w:t xml:space="preserve">The very requirement that the parties engage in </w:t>
      </w:r>
      <w:r w:rsidRPr="001D4494">
        <w:rPr>
          <w:rFonts w:cs="Times New Roman"/>
          <w:color w:val="000000"/>
          <w:szCs w:val="24"/>
        </w:rPr>
        <w:t>collective</w:t>
      </w:r>
      <w:r w:rsidRPr="001D4494">
        <w:rPr>
          <w:rFonts w:cs="Times New Roman"/>
          <w:szCs w:val="24"/>
        </w:rPr>
        <w:t xml:space="preserve"> bargaining</w:t>
      </w:r>
      <w:r w:rsidRPr="001D4494">
        <w:rPr>
          <w:rFonts w:cs="Times New Roman"/>
          <w:color w:val="000000"/>
          <w:szCs w:val="24"/>
        </w:rPr>
        <w:t xml:space="preserve"> tips</w:t>
      </w:r>
      <w:r w:rsidRPr="001D4494">
        <w:rPr>
          <w:rFonts w:cs="Times New Roman"/>
          <w:szCs w:val="24"/>
        </w:rPr>
        <w:t xml:space="preserve"> the economic balance between parties </w:t>
      </w:r>
      <w:r w:rsidRPr="001D4494">
        <w:rPr>
          <w:rFonts w:cs="Times New Roman"/>
          <w:color w:val="000000"/>
          <w:szCs w:val="24"/>
        </w:rPr>
        <w:t>in favour of the workers and, as such, constitutes a particular outcome.</w:t>
      </w:r>
      <w:r w:rsidRPr="001D4494">
        <w:rPr>
          <w:rFonts w:cs="Times New Roman"/>
          <w:szCs w:val="24"/>
        </w:rPr>
        <w:t xml:space="preserve">  Consequently, the act of engaging in the process itself constitutes a concession on the part of the employer.  Were it not so, organized labour would have little reason to demand constitutional protection for the “right” to engage in a process of collective bargaining.   </w:t>
      </w:r>
    </w:p>
    <w:p w:rsidR="00A00D29" w:rsidRPr="001D4494" w:rsidRDefault="00A00D29" w:rsidP="00830519">
      <w:pPr>
        <w:pStyle w:val="ReasonsNumbering-AltN"/>
        <w:ind w:left="0" w:firstLine="0"/>
        <w:rPr>
          <w:rFonts w:cs="Times New Roman"/>
          <w:szCs w:val="24"/>
        </w:rPr>
      </w:pPr>
      <w:r w:rsidRPr="001D4494">
        <w:rPr>
          <w:rFonts w:cs="Times New Roman"/>
          <w:color w:val="000000"/>
          <w:szCs w:val="24"/>
        </w:rPr>
        <w:t xml:space="preserve">In </w:t>
      </w:r>
      <w:r w:rsidRPr="00830519">
        <w:rPr>
          <w:rFonts w:cs="Times New Roman"/>
          <w:szCs w:val="24"/>
        </w:rPr>
        <w:t>addition</w:t>
      </w:r>
      <w:r w:rsidRPr="001D4494">
        <w:rPr>
          <w:rFonts w:cs="Times New Roman"/>
          <w:color w:val="000000"/>
          <w:szCs w:val="24"/>
        </w:rPr>
        <w:t xml:space="preserve"> to providing the substantive benefit of requiring employers to meet with workers, the duty to bargain in good faith </w:t>
      </w:r>
      <w:r w:rsidRPr="001D4494">
        <w:rPr>
          <w:rFonts w:cs="Times New Roman"/>
          <w:szCs w:val="24"/>
        </w:rPr>
        <w:t>bring</w:t>
      </w:r>
      <w:r w:rsidRPr="001D4494">
        <w:rPr>
          <w:rFonts w:cs="Times New Roman"/>
          <w:color w:val="000000"/>
          <w:szCs w:val="24"/>
        </w:rPr>
        <w:t>s</w:t>
      </w:r>
      <w:r w:rsidRPr="001D4494">
        <w:rPr>
          <w:rFonts w:cs="Times New Roman"/>
          <w:szCs w:val="24"/>
        </w:rPr>
        <w:t xml:space="preserve"> other, more specific substantive</w:t>
      </w:r>
      <w:r w:rsidRPr="001D4494">
        <w:rPr>
          <w:rFonts w:cs="Times New Roman"/>
          <w:color w:val="000000"/>
          <w:szCs w:val="24"/>
        </w:rPr>
        <w:t xml:space="preserve"> benefits</w:t>
      </w:r>
      <w:r w:rsidRPr="001D4494">
        <w:rPr>
          <w:rFonts w:cs="Times New Roman"/>
          <w:szCs w:val="24"/>
        </w:rPr>
        <w:t xml:space="preserve">. </w:t>
      </w:r>
      <w:r>
        <w:rPr>
          <w:rFonts w:cs="Times New Roman"/>
          <w:szCs w:val="24"/>
        </w:rPr>
        <w:t xml:space="preserve"> </w:t>
      </w:r>
      <w:r w:rsidRPr="001D4494">
        <w:rPr>
          <w:rFonts w:cs="Times New Roman"/>
          <w:szCs w:val="24"/>
        </w:rPr>
        <w:t xml:space="preserve">As the term is understood in Canadian labour law, the duty to bargain in good faith </w:t>
      </w:r>
      <w:r>
        <w:rPr>
          <w:rFonts w:cs="Times New Roman"/>
          <w:szCs w:val="24"/>
        </w:rPr>
        <w:t xml:space="preserve">prohibits an employer from flat </w:t>
      </w:r>
      <w:r w:rsidRPr="001D4494">
        <w:rPr>
          <w:rFonts w:cs="Times New Roman"/>
          <w:szCs w:val="24"/>
        </w:rPr>
        <w:t>out refusing to bargain with the union or from only going t</w:t>
      </w:r>
      <w:r w:rsidR="00A37BCD">
        <w:rPr>
          <w:rFonts w:cs="Times New Roman"/>
          <w:szCs w:val="24"/>
        </w:rPr>
        <w:t xml:space="preserve">o a few cursory meetings:  </w:t>
      </w:r>
      <w:r w:rsidRPr="001D4494">
        <w:rPr>
          <w:rFonts w:cs="Times New Roman"/>
          <w:szCs w:val="24"/>
        </w:rPr>
        <w:t xml:space="preserve">Adams, </w:t>
      </w:r>
      <w:r w:rsidR="00A37BCD">
        <w:rPr>
          <w:rFonts w:cs="Times New Roman"/>
          <w:szCs w:val="24"/>
        </w:rPr>
        <w:t xml:space="preserve">vol. 2, </w:t>
      </w:r>
      <w:r w:rsidRPr="001D4494">
        <w:rPr>
          <w:rFonts w:cs="Times New Roman"/>
          <w:szCs w:val="24"/>
        </w:rPr>
        <w:t xml:space="preserve">at </w:t>
      </w:r>
      <w:r>
        <w:rPr>
          <w:rFonts w:cs="Times New Roman"/>
          <w:szCs w:val="24"/>
        </w:rPr>
        <w:t xml:space="preserve">p. </w:t>
      </w:r>
      <w:r w:rsidRPr="001D4494">
        <w:rPr>
          <w:rFonts w:cs="Times New Roman"/>
          <w:szCs w:val="24"/>
        </w:rPr>
        <w:t>10-1</w:t>
      </w:r>
      <w:r>
        <w:rPr>
          <w:rFonts w:cs="Times New Roman"/>
          <w:szCs w:val="24"/>
        </w:rPr>
        <w:t>2</w:t>
      </w:r>
      <w:r w:rsidRPr="001D4494">
        <w:rPr>
          <w:rFonts w:cs="Times New Roman"/>
          <w:szCs w:val="24"/>
        </w:rPr>
        <w:t xml:space="preserve">2.  However, it also goes much beyond that.  Depending on the circumstances, the duty to bargain in good faith can prohibit an employer from refusing to include or discuss the inclusion of standard industry terms in a collective agreement or, conversely, insisting on the inclusion of a term to the point of impasse: see Adams, </w:t>
      </w:r>
      <w:r w:rsidR="00A37BCD">
        <w:rPr>
          <w:rFonts w:cs="Times New Roman"/>
          <w:szCs w:val="24"/>
        </w:rPr>
        <w:t xml:space="preserve">vol. 2, </w:t>
      </w:r>
      <w:r w:rsidRPr="001D4494">
        <w:rPr>
          <w:rFonts w:cs="Times New Roman"/>
          <w:szCs w:val="24"/>
        </w:rPr>
        <w:t xml:space="preserve">at </w:t>
      </w:r>
      <w:r>
        <w:rPr>
          <w:rFonts w:cs="Times New Roman"/>
          <w:szCs w:val="24"/>
        </w:rPr>
        <w:t xml:space="preserve">pp. </w:t>
      </w:r>
      <w:r w:rsidRPr="001D4494">
        <w:rPr>
          <w:rFonts w:cs="Times New Roman"/>
          <w:szCs w:val="24"/>
        </w:rPr>
        <w:t>10-</w:t>
      </w:r>
      <w:r>
        <w:rPr>
          <w:rFonts w:cs="Times New Roman"/>
          <w:szCs w:val="24"/>
        </w:rPr>
        <w:t>111 to 10</w:t>
      </w:r>
      <w:r w:rsidRPr="001D4494">
        <w:rPr>
          <w:rFonts w:cs="Times New Roman"/>
          <w:szCs w:val="24"/>
        </w:rPr>
        <w:t>-</w:t>
      </w:r>
      <w:r>
        <w:rPr>
          <w:rFonts w:cs="Times New Roman"/>
          <w:szCs w:val="24"/>
        </w:rPr>
        <w:t>112</w:t>
      </w:r>
      <w:r w:rsidRPr="001D4494">
        <w:rPr>
          <w:rFonts w:cs="Times New Roman"/>
          <w:szCs w:val="24"/>
        </w:rPr>
        <w:t xml:space="preserve">; </w:t>
      </w:r>
      <w:r w:rsidRPr="001D4494">
        <w:rPr>
          <w:rFonts w:cs="Times New Roman"/>
          <w:i/>
          <w:szCs w:val="24"/>
        </w:rPr>
        <w:t>Royal Oak Mines Inc. v. Canada (Labour Relations Board)</w:t>
      </w:r>
      <w:r w:rsidRPr="001D4494">
        <w:rPr>
          <w:rFonts w:cs="Times New Roman"/>
          <w:szCs w:val="24"/>
        </w:rPr>
        <w:t>, [1996] 1 S.C.R. 369</w:t>
      </w:r>
      <w:r>
        <w:rPr>
          <w:rFonts w:cs="Times New Roman"/>
          <w:szCs w:val="24"/>
        </w:rPr>
        <w:t>,</w:t>
      </w:r>
      <w:r w:rsidRPr="001D4494">
        <w:rPr>
          <w:rFonts w:cs="Times New Roman"/>
          <w:szCs w:val="24"/>
        </w:rPr>
        <w:t xml:space="preserve"> at para. 45</w:t>
      </w:r>
      <w:r>
        <w:rPr>
          <w:rFonts w:cs="Times New Roman"/>
          <w:szCs w:val="24"/>
        </w:rPr>
        <w:t>,</w:t>
      </w:r>
      <w:r w:rsidRPr="001D4494">
        <w:rPr>
          <w:rFonts w:cs="Times New Roman"/>
          <w:szCs w:val="24"/>
        </w:rPr>
        <w:t xml:space="preserve"> </w:t>
      </w:r>
      <w:r w:rsidRPr="001D4494">
        <w:rPr>
          <w:rFonts w:cs="Times New Roman"/>
          <w:i/>
          <w:szCs w:val="24"/>
        </w:rPr>
        <w:t xml:space="preserve">per </w:t>
      </w:r>
      <w:r w:rsidRPr="001D4494">
        <w:rPr>
          <w:rFonts w:cs="Times New Roman"/>
          <w:szCs w:val="24"/>
        </w:rPr>
        <w:t xml:space="preserve">Cory J.  It also obligates employers to disclose material </w:t>
      </w:r>
      <w:r w:rsidRPr="001D4494">
        <w:rPr>
          <w:rFonts w:cs="Times New Roman"/>
          <w:szCs w:val="24"/>
        </w:rPr>
        <w:lastRenderedPageBreak/>
        <w:t xml:space="preserve">information to unions in advance of negotiations: Adams, </w:t>
      </w:r>
      <w:r w:rsidR="00A37BCD">
        <w:rPr>
          <w:rFonts w:cs="Times New Roman"/>
          <w:szCs w:val="24"/>
        </w:rPr>
        <w:t xml:space="preserve">vol. 2, </w:t>
      </w:r>
      <w:r w:rsidRPr="001D4494">
        <w:rPr>
          <w:rFonts w:cs="Times New Roman"/>
          <w:szCs w:val="24"/>
        </w:rPr>
        <w:t xml:space="preserve">at </w:t>
      </w:r>
      <w:r>
        <w:rPr>
          <w:rFonts w:cs="Times New Roman"/>
          <w:szCs w:val="24"/>
        </w:rPr>
        <w:t xml:space="preserve">pp. </w:t>
      </w:r>
      <w:r w:rsidRPr="001D4494">
        <w:rPr>
          <w:rFonts w:cs="Times New Roman"/>
          <w:szCs w:val="24"/>
        </w:rPr>
        <w:t>10-1</w:t>
      </w:r>
      <w:r>
        <w:rPr>
          <w:rFonts w:cs="Times New Roman"/>
          <w:szCs w:val="24"/>
        </w:rPr>
        <w:t>24 to 10-128</w:t>
      </w:r>
      <w:r w:rsidRPr="001D4494">
        <w:rPr>
          <w:rFonts w:cs="Times New Roman"/>
          <w:szCs w:val="24"/>
        </w:rPr>
        <w:t>.</w:t>
      </w:r>
      <w:r>
        <w:rPr>
          <w:rFonts w:cs="Times New Roman"/>
          <w:szCs w:val="24"/>
        </w:rPr>
        <w:t xml:space="preserve">  </w:t>
      </w:r>
      <w:r w:rsidRPr="001D4494">
        <w:rPr>
          <w:rFonts w:cs="Times New Roman"/>
          <w:szCs w:val="24"/>
        </w:rPr>
        <w:t xml:space="preserve">All of these aspects of the duty to bargain in good faith change these measures and constrain the range of negotiating positions available to the employer and thus have a substantive impact on the terms of employment. </w:t>
      </w:r>
    </w:p>
    <w:p w:rsidR="00A00D29" w:rsidRPr="001D4494" w:rsidRDefault="00A00D29" w:rsidP="00830519">
      <w:pPr>
        <w:pStyle w:val="ReasonsNumbering-AltN"/>
        <w:ind w:left="0" w:firstLine="0"/>
        <w:rPr>
          <w:rFonts w:cs="Times New Roman"/>
          <w:szCs w:val="24"/>
        </w:rPr>
      </w:pPr>
      <w:r w:rsidRPr="001D4494">
        <w:rPr>
          <w:rFonts w:cs="Times New Roman"/>
          <w:szCs w:val="24"/>
        </w:rPr>
        <w:t xml:space="preserve">Finally, for a duty to bargain in good faith not to be an illusory </w:t>
      </w:r>
      <w:proofErr w:type="gramStart"/>
      <w:r w:rsidRPr="001D4494">
        <w:rPr>
          <w:rFonts w:cs="Times New Roman"/>
          <w:szCs w:val="24"/>
        </w:rPr>
        <w:t>benefit,</w:t>
      </w:r>
      <w:proofErr w:type="gramEnd"/>
      <w:r w:rsidRPr="001D4494">
        <w:rPr>
          <w:rFonts w:cs="Times New Roman"/>
          <w:szCs w:val="24"/>
        </w:rPr>
        <w:t xml:space="preserve"> there must be both a way of dealing with bargaining impasses as well as an effective remedy for persistent breaches of a duty to bargain in good faith.  The first requires that there be some default mechanism for resolving the dispute in case an impasse is reached</w:t>
      </w:r>
      <w:r>
        <w:rPr>
          <w:rFonts w:cs="Times New Roman"/>
          <w:szCs w:val="24"/>
        </w:rPr>
        <w:t xml:space="preserve"> — </w:t>
      </w:r>
      <w:r w:rsidRPr="001D4494">
        <w:rPr>
          <w:rFonts w:cs="Times New Roman"/>
          <w:szCs w:val="24"/>
        </w:rPr>
        <w:t xml:space="preserve">such as </w:t>
      </w:r>
      <w:r>
        <w:rPr>
          <w:rFonts w:cs="Times New Roman"/>
          <w:szCs w:val="24"/>
        </w:rPr>
        <w:t xml:space="preserve">striking or binding arbitration — </w:t>
      </w:r>
      <w:r w:rsidRPr="001D4494">
        <w:rPr>
          <w:rFonts w:cs="Times New Roman"/>
          <w:szCs w:val="24"/>
        </w:rPr>
        <w:t>while the second may require, in extreme circumstances, the imposition by an arbitrator of particular terms o</w:t>
      </w:r>
      <w:r>
        <w:rPr>
          <w:rFonts w:cs="Times New Roman"/>
          <w:szCs w:val="24"/>
        </w:rPr>
        <w:t>f a collective agreement: W.</w:t>
      </w:r>
      <w:r w:rsidRPr="001D4494">
        <w:rPr>
          <w:rFonts w:cs="Times New Roman"/>
          <w:szCs w:val="24"/>
        </w:rPr>
        <w:t xml:space="preserve"> B. Rayner, </w:t>
      </w:r>
      <w:r w:rsidRPr="001D4494">
        <w:rPr>
          <w:rFonts w:cs="Times New Roman"/>
          <w:i/>
          <w:szCs w:val="24"/>
        </w:rPr>
        <w:t>Canadian Collective Bargaining Law</w:t>
      </w:r>
      <w:r w:rsidRPr="001D4494">
        <w:rPr>
          <w:rFonts w:cs="Times New Roman"/>
          <w:szCs w:val="24"/>
        </w:rPr>
        <w:t xml:space="preserve"> </w:t>
      </w:r>
      <w:r>
        <w:rPr>
          <w:rFonts w:cs="Times New Roman"/>
          <w:szCs w:val="24"/>
        </w:rPr>
        <w:t xml:space="preserve">(2nd ed. </w:t>
      </w:r>
      <w:r w:rsidRPr="001D4494">
        <w:rPr>
          <w:rFonts w:cs="Times New Roman"/>
          <w:szCs w:val="24"/>
        </w:rPr>
        <w:t>2007)</w:t>
      </w:r>
      <w:r>
        <w:rPr>
          <w:rFonts w:cs="Times New Roman"/>
          <w:szCs w:val="24"/>
        </w:rPr>
        <w:t>,</w:t>
      </w:r>
      <w:r w:rsidRPr="001D4494">
        <w:rPr>
          <w:rFonts w:cs="Times New Roman"/>
          <w:szCs w:val="24"/>
        </w:rPr>
        <w:t xml:space="preserve"> at </w:t>
      </w:r>
      <w:r>
        <w:rPr>
          <w:rFonts w:cs="Times New Roman"/>
          <w:szCs w:val="24"/>
        </w:rPr>
        <w:t>pp. 349-</w:t>
      </w:r>
      <w:r w:rsidRPr="001D4494">
        <w:rPr>
          <w:rFonts w:cs="Times New Roman"/>
          <w:szCs w:val="24"/>
        </w:rPr>
        <w:t xml:space="preserve">55. </w:t>
      </w:r>
      <w:r>
        <w:rPr>
          <w:rFonts w:cs="Times New Roman"/>
          <w:szCs w:val="24"/>
        </w:rPr>
        <w:t xml:space="preserve"> </w:t>
      </w:r>
      <w:r w:rsidRPr="001D4494">
        <w:rPr>
          <w:rFonts w:cs="Times New Roman"/>
          <w:szCs w:val="24"/>
        </w:rPr>
        <w:t>Each of these goes well beyond a mere process and results in the protection of a p</w:t>
      </w:r>
      <w:r>
        <w:rPr>
          <w:rFonts w:cs="Times New Roman"/>
          <w:szCs w:val="24"/>
        </w:rPr>
        <w:t>articular substantive outcome.</w:t>
      </w:r>
    </w:p>
    <w:p w:rsidR="00A00D29" w:rsidRPr="001D4494" w:rsidRDefault="00A00D29" w:rsidP="00830519">
      <w:pPr>
        <w:pStyle w:val="ReasonsNumbering-AltN"/>
        <w:ind w:left="0" w:firstLine="0"/>
        <w:rPr>
          <w:rFonts w:cs="Times New Roman"/>
          <w:szCs w:val="24"/>
        </w:rPr>
      </w:pPr>
      <w:r w:rsidRPr="001D4494">
        <w:rPr>
          <w:rFonts w:cs="Times New Roman"/>
          <w:szCs w:val="24"/>
        </w:rPr>
        <w:t>The</w:t>
      </w:r>
      <w:r w:rsidRPr="001D4494">
        <w:rPr>
          <w:rFonts w:cs="Times New Roman"/>
          <w:color w:val="000000"/>
          <w:szCs w:val="24"/>
        </w:rPr>
        <w:t xml:space="preserve"> </w:t>
      </w:r>
      <w:r>
        <w:t>majority</w:t>
      </w:r>
      <w:r w:rsidRPr="001D4494">
        <w:rPr>
          <w:rFonts w:cs="Times New Roman"/>
          <w:color w:val="000000"/>
          <w:szCs w:val="24"/>
        </w:rPr>
        <w:t xml:space="preserve">’s inability to separate substance and process, and the consequent constitutionalization of collective bargaining terms demonstrates the unworkability of the distinction between substance and process asserted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This unworkability is further underlined by the fact that the collective bargaining itself is an outcome for which parties organize and does affect substantive outcomes.  For these reasons, as well as the unenforceability of the bare right to good faith bargaining, the ruling in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is unworkable.</w:t>
      </w:r>
    </w:p>
    <w:p w:rsidR="00A00D29" w:rsidRDefault="00A00D29" w:rsidP="00830519">
      <w:pPr>
        <w:pStyle w:val="HeadingTitre-AltH"/>
        <w:spacing w:after="720"/>
      </w:pPr>
      <w:r w:rsidRPr="001D4494">
        <w:lastRenderedPageBreak/>
        <w:t>V</w:t>
      </w:r>
      <w:r>
        <w:t>.</w:t>
      </w:r>
      <w:r w:rsidRPr="001D4494">
        <w:tab/>
      </w:r>
      <w:r w:rsidRPr="00395C4A">
        <w:rPr>
          <w:u w:val="single"/>
        </w:rPr>
        <w:t xml:space="preserve">The </w:t>
      </w:r>
      <w:r w:rsidRPr="00395C4A">
        <w:rPr>
          <w:i/>
          <w:u w:val="single"/>
        </w:rPr>
        <w:t>Charter</w:t>
      </w:r>
      <w:r>
        <w:rPr>
          <w:u w:val="single"/>
        </w:rPr>
        <w:t xml:space="preserve"> Protects a Voluntary Association of Workers Whose Objectives Are to Improve Wages and Working C</w:t>
      </w:r>
      <w:r w:rsidRPr="00395C4A">
        <w:rPr>
          <w:u w:val="single"/>
        </w:rPr>
        <w:t>onditions</w:t>
      </w:r>
    </w:p>
    <w:p w:rsidR="00A00D29" w:rsidRPr="001D4494" w:rsidRDefault="00A00D29" w:rsidP="00830519">
      <w:pPr>
        <w:pStyle w:val="ReasonsNumbering-AltN"/>
        <w:ind w:left="0" w:firstLine="0"/>
        <w:rPr>
          <w:rFonts w:cs="Times New Roman"/>
          <w:szCs w:val="24"/>
        </w:rPr>
      </w:pPr>
      <w:r w:rsidRPr="001D4494">
        <w:rPr>
          <w:rFonts w:cs="Times New Roman"/>
          <w:szCs w:val="24"/>
        </w:rPr>
        <w:t>As I have explained through these reasons, I do not accept that s. 2(</w:t>
      </w:r>
      <w:r w:rsidRPr="004B78DE">
        <w:rPr>
          <w:rFonts w:cs="Times New Roman"/>
          <w:i/>
          <w:szCs w:val="24"/>
        </w:rPr>
        <w:t>d</w:t>
      </w:r>
      <w:r w:rsidRPr="001D4494">
        <w:rPr>
          <w:rFonts w:cs="Times New Roman"/>
          <w:szCs w:val="24"/>
        </w:rPr>
        <w:t>) protects a right to collective bargaining.  I am, however, of the view that s. 2(</w:t>
      </w:r>
      <w:r w:rsidRPr="004B78DE">
        <w:rPr>
          <w:rFonts w:cs="Times New Roman"/>
          <w:i/>
          <w:szCs w:val="24"/>
        </w:rPr>
        <w:t>d</w:t>
      </w:r>
      <w:r w:rsidRPr="001D4494">
        <w:rPr>
          <w:rFonts w:cs="Times New Roman"/>
          <w:szCs w:val="24"/>
        </w:rPr>
        <w:t>) does protect a voluntary association of workers who wish to use their associational freedoms to come together and attempt to improve their wages and working conditions.</w:t>
      </w:r>
    </w:p>
    <w:p w:rsidR="00A00D29" w:rsidRPr="001D4494" w:rsidRDefault="00A00D29" w:rsidP="00AF3301">
      <w:pPr>
        <w:pStyle w:val="ReasonsNumbering-AltN"/>
        <w:ind w:left="0" w:firstLine="0"/>
        <w:rPr>
          <w:rFonts w:cs="Times New Roman"/>
          <w:szCs w:val="24"/>
        </w:rPr>
      </w:pPr>
      <w:r w:rsidRPr="001D4494">
        <w:rPr>
          <w:rFonts w:cs="Times New Roman"/>
          <w:szCs w:val="24"/>
        </w:rPr>
        <w:t>Under Canadian law, an individual is generally free to bargain with an employer over terms of employment.  Because such individual bargaining is generally lawful, it necessarily follows that the decision of individuals to band together to approach their employer must necessarily be protected.  The free decisions of individuals to do in association what they can lawfully do alone lies at the very heart of s. 2(</w:t>
      </w:r>
      <w:r w:rsidRPr="000E1BA0">
        <w:rPr>
          <w:rFonts w:cs="Times New Roman"/>
          <w:i/>
          <w:szCs w:val="24"/>
        </w:rPr>
        <w:t>d</w:t>
      </w:r>
      <w:r w:rsidRPr="001D4494">
        <w:rPr>
          <w:rFonts w:cs="Times New Roman"/>
          <w:szCs w:val="24"/>
        </w:rPr>
        <w:t>) protection, and it therefore follows that s. 2(</w:t>
      </w:r>
      <w:r w:rsidRPr="00084570">
        <w:rPr>
          <w:rFonts w:cs="Times New Roman"/>
          <w:i/>
          <w:szCs w:val="24"/>
        </w:rPr>
        <w:t>d</w:t>
      </w:r>
      <w:r w:rsidRPr="001D4494">
        <w:rPr>
          <w:rFonts w:cs="Times New Roman"/>
          <w:szCs w:val="24"/>
        </w:rPr>
        <w:t>) must protect the decision of individuals to come together, to form a bargaining position and to present a common and</w:t>
      </w:r>
      <w:r>
        <w:rPr>
          <w:rFonts w:cs="Times New Roman"/>
          <w:szCs w:val="24"/>
        </w:rPr>
        <w:t xml:space="preserve"> united front to an employer.</w:t>
      </w:r>
    </w:p>
    <w:p w:rsidR="00A00D29" w:rsidRPr="001D4494" w:rsidRDefault="00A00D29" w:rsidP="00AF3301">
      <w:pPr>
        <w:pStyle w:val="ReasonsNumbering-AltN"/>
        <w:ind w:left="0" w:firstLine="0"/>
        <w:rPr>
          <w:rFonts w:cs="Times New Roman"/>
          <w:szCs w:val="24"/>
        </w:rPr>
      </w:pPr>
      <w:r w:rsidRPr="001D4494">
        <w:rPr>
          <w:rFonts w:cs="Times New Roman"/>
          <w:szCs w:val="24"/>
        </w:rPr>
        <w:t>However, s. 2(</w:t>
      </w:r>
      <w:r w:rsidRPr="00084570">
        <w:rPr>
          <w:rFonts w:cs="Times New Roman"/>
          <w:i/>
          <w:szCs w:val="24"/>
        </w:rPr>
        <w:t>d</w:t>
      </w:r>
      <w:r w:rsidRPr="001D4494">
        <w:rPr>
          <w:rFonts w:cs="Times New Roman"/>
          <w:szCs w:val="24"/>
        </w:rPr>
        <w:t>) does not provide greater legal protection to individuals acting in concert than is afforded to individuals acting alone.  While greater economic clout or political power may flow from the very act of association in a way that makes the associational activity “qualitatively</w:t>
      </w:r>
      <w:r>
        <w:rPr>
          <w:rFonts w:cs="Times New Roman"/>
          <w:szCs w:val="24"/>
        </w:rPr>
        <w:t>”</w:t>
      </w:r>
      <w:r w:rsidRPr="001D4494">
        <w:rPr>
          <w:rFonts w:cs="Times New Roman"/>
          <w:szCs w:val="24"/>
        </w:rPr>
        <w:t xml:space="preserve"> different from the individual activity, the legal rights and freedoms granted to individuals acting in association under s. 2(</w:t>
      </w:r>
      <w:r w:rsidRPr="00084570">
        <w:rPr>
          <w:rFonts w:cs="Times New Roman"/>
          <w:i/>
          <w:szCs w:val="24"/>
        </w:rPr>
        <w:t>d</w:t>
      </w:r>
      <w:r w:rsidRPr="001D4494">
        <w:rPr>
          <w:rFonts w:cs="Times New Roman"/>
          <w:szCs w:val="24"/>
        </w:rPr>
        <w:t xml:space="preserve">) are </w:t>
      </w:r>
      <w:r w:rsidRPr="001D4494">
        <w:rPr>
          <w:rFonts w:cs="Times New Roman"/>
          <w:szCs w:val="24"/>
        </w:rPr>
        <w:lastRenderedPageBreak/>
        <w:t>nonetheless limited to the same rights and freedoms afforded to individuals acting alone.</w:t>
      </w:r>
    </w:p>
    <w:p w:rsidR="00A00D29" w:rsidRPr="001D4494" w:rsidRDefault="00A00D29" w:rsidP="00AF3301">
      <w:pPr>
        <w:pStyle w:val="ReasonsNumbering-AltN"/>
        <w:ind w:left="0" w:firstLine="0"/>
        <w:rPr>
          <w:rFonts w:cs="Times New Roman"/>
          <w:szCs w:val="24"/>
        </w:rPr>
      </w:pPr>
      <w:r w:rsidRPr="001D4494">
        <w:rPr>
          <w:rFonts w:cs="Times New Roman"/>
          <w:szCs w:val="24"/>
        </w:rPr>
        <w:t>While s. 2(</w:t>
      </w:r>
      <w:r w:rsidRPr="00084570">
        <w:rPr>
          <w:rFonts w:cs="Times New Roman"/>
          <w:i/>
          <w:szCs w:val="24"/>
        </w:rPr>
        <w:t>d</w:t>
      </w:r>
      <w:r w:rsidRPr="001D4494">
        <w:rPr>
          <w:rFonts w:cs="Times New Roman"/>
          <w:szCs w:val="24"/>
        </w:rPr>
        <w:t>) protects the ability of workers to come together and to organize with a view to engaging in collective bargaining with an employer, s. 2(</w:t>
      </w:r>
      <w:r w:rsidRPr="00084570">
        <w:rPr>
          <w:rFonts w:cs="Times New Roman"/>
          <w:i/>
          <w:szCs w:val="24"/>
        </w:rPr>
        <w:t>d</w:t>
      </w:r>
      <w:r w:rsidRPr="001D4494">
        <w:rPr>
          <w:rFonts w:cs="Times New Roman"/>
          <w:szCs w:val="24"/>
        </w:rPr>
        <w:t>) does not impose any obligation on an employer to actually negotiate with a group of employees.  In the individual case, there is generally no legal obligation on an employer to negotiate with the employee.  It is entirely permissible for an employer, in the course of negotiating a new contract with an employee, to make a “take it or leave it” offer to an employee, which the employee may then accept or reject.  Such individual agreements are generally left to voluntary negotiation in accordance with the law of contract, subject only to requirements set out in employment standards legislation and other statutes.  Thus, just as an employer can decline to meet or negotiate with an individual, so can an employer decline to meet or negoti</w:t>
      </w:r>
      <w:r>
        <w:rPr>
          <w:rFonts w:cs="Times New Roman"/>
          <w:szCs w:val="24"/>
        </w:rPr>
        <w:t xml:space="preserve">ate with a group of </w:t>
      </w:r>
      <w:proofErr w:type="gramStart"/>
      <w:r>
        <w:rPr>
          <w:rFonts w:cs="Times New Roman"/>
          <w:szCs w:val="24"/>
        </w:rPr>
        <w:t>employees.</w:t>
      </w:r>
      <w:proofErr w:type="gramEnd"/>
    </w:p>
    <w:p w:rsidR="00A00D29" w:rsidRPr="001D4494" w:rsidRDefault="00A00D29" w:rsidP="00AF3301">
      <w:pPr>
        <w:pStyle w:val="ReasonsNumbering-AltN"/>
        <w:ind w:left="0" w:firstLine="0"/>
        <w:rPr>
          <w:rFonts w:cs="Times New Roman"/>
          <w:szCs w:val="24"/>
        </w:rPr>
      </w:pPr>
      <w:r w:rsidRPr="001D4494">
        <w:rPr>
          <w:rFonts w:cs="Times New Roman"/>
          <w:szCs w:val="24"/>
        </w:rPr>
        <w:t>In my view, a proper application of s. 2(</w:t>
      </w:r>
      <w:r w:rsidRPr="00084570">
        <w:rPr>
          <w:rFonts w:cs="Times New Roman"/>
          <w:i/>
          <w:szCs w:val="24"/>
        </w:rPr>
        <w:t>d</w:t>
      </w:r>
      <w:r w:rsidRPr="001D4494">
        <w:rPr>
          <w:rFonts w:cs="Times New Roman"/>
          <w:szCs w:val="24"/>
        </w:rPr>
        <w:t>) provides protection for voluntary associations of workers, but such protection does not involve the constitutionalization of a duty on employers to engage in collective bargaining.  Such an approach is</w:t>
      </w:r>
      <w:r>
        <w:rPr>
          <w:rFonts w:cs="Times New Roman"/>
          <w:szCs w:val="24"/>
        </w:rPr>
        <w:t>,</w:t>
      </w:r>
      <w:r w:rsidRPr="001D4494">
        <w:rPr>
          <w:rFonts w:cs="Times New Roman"/>
          <w:szCs w:val="24"/>
        </w:rPr>
        <w:t xml:space="preserve"> in my view</w:t>
      </w:r>
      <w:r>
        <w:rPr>
          <w:rFonts w:cs="Times New Roman"/>
          <w:szCs w:val="24"/>
        </w:rPr>
        <w:t>,</w:t>
      </w:r>
      <w:r w:rsidRPr="001D4494">
        <w:rPr>
          <w:rFonts w:cs="Times New Roman"/>
          <w:szCs w:val="24"/>
        </w:rPr>
        <w:t xml:space="preserve"> consistent with the purpose and scope of s. 2(</w:t>
      </w:r>
      <w:r w:rsidRPr="00084570">
        <w:rPr>
          <w:rFonts w:cs="Times New Roman"/>
          <w:i/>
          <w:szCs w:val="24"/>
        </w:rPr>
        <w:t>d</w:t>
      </w:r>
      <w:r w:rsidRPr="001D4494">
        <w:rPr>
          <w:rFonts w:cs="Times New Roman"/>
          <w:szCs w:val="24"/>
        </w:rPr>
        <w:t>), the principle of judicial deference in labour relations, and Canada’s labour history and international obligations.</w:t>
      </w:r>
    </w:p>
    <w:p w:rsidR="00A00D29" w:rsidRDefault="00A00D29" w:rsidP="00EB049E">
      <w:pPr>
        <w:pStyle w:val="HeadingTitre-AltH"/>
        <w:tabs>
          <w:tab w:val="clear" w:pos="360"/>
          <w:tab w:val="left" w:pos="540"/>
        </w:tabs>
        <w:spacing w:after="720"/>
        <w:ind w:left="0" w:firstLine="0"/>
      </w:pPr>
      <w:r w:rsidRPr="001D4494">
        <w:t>VI</w:t>
      </w:r>
      <w:r>
        <w:t>.</w:t>
      </w:r>
      <w:r w:rsidR="00EB049E">
        <w:tab/>
      </w:r>
      <w:r w:rsidRPr="00395C4A">
        <w:rPr>
          <w:u w:val="single"/>
        </w:rPr>
        <w:t>Summary</w:t>
      </w:r>
    </w:p>
    <w:p w:rsidR="00A9461C" w:rsidRPr="00A9461C" w:rsidRDefault="00A00D29" w:rsidP="00A9461C">
      <w:pPr>
        <w:pStyle w:val="ReasonsNumbering-AltN"/>
        <w:ind w:left="0" w:firstLine="0"/>
        <w:rPr>
          <w:rFonts w:cs="Times New Roman"/>
          <w:szCs w:val="24"/>
        </w:rPr>
      </w:pPr>
      <w:r w:rsidRPr="001D4494">
        <w:rPr>
          <w:rFonts w:cs="Times New Roman"/>
          <w:szCs w:val="24"/>
        </w:rPr>
        <w:lastRenderedPageBreak/>
        <w:t>Given the length of these reasons thus far, I now provide a summary of the principles discussed above before proceeding to apply these principles in the present case:</w:t>
      </w:r>
    </w:p>
    <w:p w:rsidR="00A9461C" w:rsidRPr="001D4494" w:rsidRDefault="00A9461C" w:rsidP="00A9461C">
      <w:pPr>
        <w:pStyle w:val="Citation-AltC"/>
        <w:tabs>
          <w:tab w:val="left" w:pos="1170"/>
        </w:tabs>
        <w:spacing w:after="480" w:line="480" w:lineRule="auto"/>
        <w:ind w:hanging="1166"/>
        <w:contextualSpacing w:val="0"/>
      </w:pPr>
      <w:r w:rsidRPr="001D4494">
        <w:t>1.</w:t>
      </w:r>
      <w:r w:rsidRPr="001D4494">
        <w:tab/>
        <w:t>This Court may overrule its own precedents, but it should only do so where there are compelling reasons for doing so.</w:t>
      </w:r>
      <w:r>
        <w:t xml:space="preserve"> </w:t>
      </w:r>
      <w:r w:rsidRPr="001D4494">
        <w:t>In this case, such compelling reasons exist.</w:t>
      </w:r>
      <w:r>
        <w:t xml:space="preserve"> </w:t>
      </w:r>
      <w:r w:rsidRPr="001D4494">
        <w:rPr>
          <w:i/>
          <w:color w:val="000000"/>
        </w:rPr>
        <w:t>Health</w:t>
      </w:r>
      <w:r>
        <w:rPr>
          <w:i/>
          <w:color w:val="000000"/>
        </w:rPr>
        <w:t xml:space="preserve"> Services</w:t>
      </w:r>
      <w:r>
        <w:t xml:space="preserve"> </w:t>
      </w:r>
      <w:r w:rsidRPr="001D4494">
        <w:t xml:space="preserve">involves </w:t>
      </w:r>
      <w:r w:rsidRPr="001D4494">
        <w:rPr>
          <w:i/>
        </w:rPr>
        <w:t>Charter</w:t>
      </w:r>
      <w:r w:rsidRPr="001D4494">
        <w:t xml:space="preserve"> rights that are not susceptible to legislative correction, overruled a line of prior sound decisions, is unworkable and has been the subject of intense academic criticism.</w:t>
      </w:r>
    </w:p>
    <w:p w:rsidR="00A9461C" w:rsidRPr="001D4494" w:rsidRDefault="00A9461C" w:rsidP="00A9461C">
      <w:pPr>
        <w:pStyle w:val="Citation-AltC"/>
        <w:tabs>
          <w:tab w:val="left" w:pos="1170"/>
        </w:tabs>
        <w:spacing w:after="480" w:line="480" w:lineRule="auto"/>
        <w:ind w:left="1170" w:hanging="1170"/>
        <w:contextualSpacing w:val="0"/>
      </w:pPr>
      <w:r w:rsidRPr="00541179">
        <w:t>2.</w:t>
      </w:r>
      <w:r w:rsidRPr="001D4494">
        <w:rPr>
          <w:i/>
        </w:rPr>
        <w:tab/>
      </w:r>
      <w:r w:rsidRPr="001D4494">
        <w:rPr>
          <w:i/>
          <w:color w:val="000000"/>
        </w:rPr>
        <w:t>Health</w:t>
      </w:r>
      <w:r>
        <w:rPr>
          <w:i/>
          <w:color w:val="000000"/>
        </w:rPr>
        <w:t xml:space="preserve"> Services</w:t>
      </w:r>
      <w:r w:rsidRPr="001D4494">
        <w:t xml:space="preserve"> erred for three reasons in concluding that s. 2(</w:t>
      </w:r>
      <w:r w:rsidRPr="00436C94">
        <w:rPr>
          <w:i/>
        </w:rPr>
        <w:t>d</w:t>
      </w:r>
      <w:r w:rsidRPr="001D4494">
        <w:t>) protects collective bargaining and obliges parties to bargain in good faith:</w:t>
      </w:r>
    </w:p>
    <w:p w:rsidR="00A9461C" w:rsidRPr="001D4494" w:rsidRDefault="00A9461C" w:rsidP="00A9461C">
      <w:pPr>
        <w:pStyle w:val="Citation-AltC"/>
        <w:tabs>
          <w:tab w:val="left" w:pos="1170"/>
          <w:tab w:val="left" w:pos="1800"/>
        </w:tabs>
        <w:spacing w:after="480" w:line="480" w:lineRule="auto"/>
        <w:ind w:left="1800" w:hanging="1800"/>
        <w:contextualSpacing w:val="0"/>
      </w:pPr>
      <w:r>
        <w:tab/>
      </w:r>
      <w:r w:rsidRPr="001D4494">
        <w:t>a.</w:t>
      </w:r>
      <w:r w:rsidRPr="001D4494">
        <w:tab/>
        <w:t xml:space="preserve">First, </w:t>
      </w:r>
      <w:r w:rsidRPr="001D4494">
        <w:rPr>
          <w:i/>
          <w:color w:val="000000"/>
        </w:rPr>
        <w:t>Health</w:t>
      </w:r>
      <w:r>
        <w:rPr>
          <w:i/>
          <w:color w:val="000000"/>
        </w:rPr>
        <w:t xml:space="preserve"> Services</w:t>
      </w:r>
      <w:r w:rsidRPr="001D4494">
        <w:t xml:space="preserve"> departed from sound princ</w:t>
      </w:r>
      <w:r>
        <w:t>iples established in this Court’</w:t>
      </w:r>
      <w:r w:rsidRPr="001D4494">
        <w:t>s precedents on the nature and scope of s. 2(</w:t>
      </w:r>
      <w:r w:rsidRPr="00436C94">
        <w:rPr>
          <w:i/>
        </w:rPr>
        <w:t>d</w:t>
      </w:r>
      <w:r w:rsidRPr="001D4494">
        <w:t>); specifically, it</w:t>
      </w:r>
      <w:r w:rsidRPr="001D4494">
        <w:rPr>
          <w:i/>
        </w:rPr>
        <w:t xml:space="preserve"> </w:t>
      </w:r>
      <w:r w:rsidRPr="001D4494">
        <w:t>departed from the following five characteristics of s. 2(</w:t>
      </w:r>
      <w:r w:rsidRPr="00436C94">
        <w:rPr>
          <w:i/>
        </w:rPr>
        <w:t>d</w:t>
      </w:r>
      <w:r w:rsidRPr="001D4494">
        <w:t>):</w:t>
      </w:r>
    </w:p>
    <w:p w:rsidR="00A9461C" w:rsidRPr="001D4494" w:rsidRDefault="00A9461C" w:rsidP="00A9461C">
      <w:pPr>
        <w:pStyle w:val="Citation-AltC"/>
        <w:tabs>
          <w:tab w:val="left" w:pos="1800"/>
        </w:tabs>
        <w:spacing w:after="480" w:line="480" w:lineRule="auto"/>
        <w:ind w:left="2250" w:hanging="2250"/>
        <w:contextualSpacing w:val="0"/>
      </w:pPr>
      <w:r>
        <w:tab/>
      </w:r>
      <w:r w:rsidRPr="001D4494">
        <w:t>i.</w:t>
      </w:r>
      <w:r w:rsidRPr="001D4494">
        <w:tab/>
        <w:t>The purpose of s. 2(</w:t>
      </w:r>
      <w:r w:rsidRPr="00436C94">
        <w:rPr>
          <w:i/>
        </w:rPr>
        <w:t>d</w:t>
      </w:r>
      <w:r w:rsidRPr="001D4494">
        <w:t xml:space="preserve">) is to protect individuals rather than groups </w:t>
      </w:r>
      <w:r w:rsidRPr="001D4494">
        <w:rPr>
          <w:i/>
        </w:rPr>
        <w:t>per se</w:t>
      </w:r>
      <w:r w:rsidRPr="001D4494">
        <w:t>.</w:t>
      </w:r>
    </w:p>
    <w:p w:rsidR="00A9461C" w:rsidRPr="001D4494" w:rsidRDefault="00A9461C" w:rsidP="00A9461C">
      <w:pPr>
        <w:pStyle w:val="Citation-AltC"/>
        <w:tabs>
          <w:tab w:val="left" w:pos="1800"/>
        </w:tabs>
        <w:spacing w:after="480" w:line="480" w:lineRule="auto"/>
        <w:ind w:left="2250" w:hanging="2250"/>
        <w:contextualSpacing w:val="0"/>
      </w:pPr>
      <w:r>
        <w:tab/>
      </w:r>
      <w:r w:rsidRPr="001D4494">
        <w:t>ii.</w:t>
      </w:r>
      <w:r w:rsidRPr="001D4494">
        <w:tab/>
        <w:t>Section 2(</w:t>
      </w:r>
      <w:r w:rsidRPr="00436C94">
        <w:rPr>
          <w:i/>
        </w:rPr>
        <w:t>d</w:t>
      </w:r>
      <w:r w:rsidRPr="001D4494">
        <w:t>)</w:t>
      </w:r>
      <w:r>
        <w:t xml:space="preserve"> protects freedoms not rights.</w:t>
      </w:r>
    </w:p>
    <w:p w:rsidR="00A9461C" w:rsidRPr="001D4494" w:rsidRDefault="00A9461C" w:rsidP="00A9461C">
      <w:pPr>
        <w:pStyle w:val="Citation-AltC"/>
        <w:tabs>
          <w:tab w:val="left" w:pos="1800"/>
        </w:tabs>
        <w:spacing w:after="480" w:line="480" w:lineRule="auto"/>
        <w:ind w:left="2250" w:hanging="2250"/>
        <w:contextualSpacing w:val="0"/>
      </w:pPr>
      <w:r>
        <w:lastRenderedPageBreak/>
        <w:tab/>
      </w:r>
      <w:r w:rsidRPr="001D4494">
        <w:t>iii.</w:t>
      </w:r>
      <w:r w:rsidRPr="001D4494">
        <w:tab/>
        <w:t>Section 2(</w:t>
      </w:r>
      <w:r w:rsidRPr="00436C94">
        <w:rPr>
          <w:i/>
        </w:rPr>
        <w:t>d</w:t>
      </w:r>
      <w:r w:rsidRPr="001D4494">
        <w:t>) does not empower the Court to privilege cer</w:t>
      </w:r>
      <w:r>
        <w:t>tain associations over others.</w:t>
      </w:r>
    </w:p>
    <w:p w:rsidR="00A9461C" w:rsidRPr="001D4494" w:rsidRDefault="00A9461C" w:rsidP="00A9461C">
      <w:pPr>
        <w:pStyle w:val="Citation-AltC"/>
        <w:tabs>
          <w:tab w:val="left" w:pos="1800"/>
        </w:tabs>
        <w:spacing w:after="480" w:line="480" w:lineRule="auto"/>
        <w:ind w:left="2250" w:hanging="2250"/>
        <w:contextualSpacing w:val="0"/>
      </w:pPr>
      <w:r>
        <w:tab/>
      </w:r>
      <w:r w:rsidRPr="001D4494">
        <w:t>iv.</w:t>
      </w:r>
      <w:r w:rsidRPr="001D4494">
        <w:tab/>
        <w:t>Section 2(</w:t>
      </w:r>
      <w:r w:rsidRPr="00436C94">
        <w:rPr>
          <w:i/>
        </w:rPr>
        <w:t>d</w:t>
      </w:r>
      <w:r w:rsidRPr="001D4494">
        <w:t>) does not afford constitut</w:t>
      </w:r>
      <w:r>
        <w:t>ional protection to contracts.</w:t>
      </w:r>
    </w:p>
    <w:p w:rsidR="00A9461C" w:rsidRPr="001D4494" w:rsidRDefault="00A9461C" w:rsidP="00A9461C">
      <w:pPr>
        <w:pStyle w:val="Citation-AltC"/>
        <w:tabs>
          <w:tab w:val="left" w:pos="1800"/>
        </w:tabs>
        <w:spacing w:after="480" w:line="480" w:lineRule="auto"/>
        <w:ind w:left="2250" w:hanging="2250"/>
        <w:contextualSpacing w:val="0"/>
      </w:pPr>
      <w:r>
        <w:tab/>
      </w:r>
      <w:r w:rsidRPr="001D4494">
        <w:t>v.</w:t>
      </w:r>
      <w:r w:rsidRPr="001D4494">
        <w:tab/>
        <w:t>Section 2(</w:t>
      </w:r>
      <w:r w:rsidRPr="00395E9C">
        <w:rPr>
          <w:i/>
        </w:rPr>
        <w:t>d</w:t>
      </w:r>
      <w:r w:rsidRPr="001D4494">
        <w:t>) is to be interpreted in such a way as to afford deference to the legislative branch in the field of labour relations.</w:t>
      </w:r>
    </w:p>
    <w:p w:rsidR="00A9461C" w:rsidRPr="001D4494" w:rsidRDefault="00A9461C" w:rsidP="00A9461C">
      <w:pPr>
        <w:pStyle w:val="Citation-AltC"/>
        <w:tabs>
          <w:tab w:val="left" w:pos="1170"/>
          <w:tab w:val="left" w:pos="1800"/>
        </w:tabs>
        <w:spacing w:after="480" w:line="480" w:lineRule="auto"/>
        <w:ind w:left="1800" w:hanging="1800"/>
        <w:contextualSpacing w:val="0"/>
      </w:pPr>
      <w:r>
        <w:tab/>
      </w:r>
      <w:r w:rsidRPr="001D4494">
        <w:t>b.</w:t>
      </w:r>
      <w:r w:rsidRPr="001D4494">
        <w:tab/>
        <w:t xml:space="preserve">Second, the reasons advanced in </w:t>
      </w:r>
      <w:r w:rsidRPr="001D4494">
        <w:rPr>
          <w:i/>
          <w:color w:val="000000"/>
        </w:rPr>
        <w:t>Health</w:t>
      </w:r>
      <w:r>
        <w:rPr>
          <w:i/>
          <w:color w:val="000000"/>
        </w:rPr>
        <w:t xml:space="preserve"> Services</w:t>
      </w:r>
      <w:r w:rsidRPr="001D4494">
        <w:rPr>
          <w:i/>
        </w:rPr>
        <w:t xml:space="preserve"> </w:t>
      </w:r>
      <w:r w:rsidRPr="001D4494">
        <w:t>for protecting collective bargaining under s. 2(</w:t>
      </w:r>
      <w:r w:rsidRPr="00436C94">
        <w:rPr>
          <w:i/>
        </w:rPr>
        <w:t>d</w:t>
      </w:r>
      <w:r w:rsidRPr="001D4494">
        <w:t>)</w:t>
      </w:r>
      <w:r>
        <w:t xml:space="preserve"> — </w:t>
      </w:r>
      <w:r w:rsidRPr="001D4494">
        <w:t xml:space="preserve">Canadian labour history, Canada’s international obligations, and </w:t>
      </w:r>
      <w:r w:rsidRPr="001D4494">
        <w:rPr>
          <w:i/>
        </w:rPr>
        <w:t>Charter</w:t>
      </w:r>
      <w:r w:rsidRPr="001D4494">
        <w:t xml:space="preserve"> values</w:t>
      </w:r>
      <w:r>
        <w:t xml:space="preserve"> — </w:t>
      </w:r>
      <w:r w:rsidRPr="001D4494">
        <w:t xml:space="preserve">do not support conferring a constitutional right to collective bargaining and imposing a duty on employers to engage in collective bargaining. </w:t>
      </w:r>
    </w:p>
    <w:p w:rsidR="00A9461C" w:rsidRPr="001D4494" w:rsidRDefault="00A9461C" w:rsidP="00A9461C">
      <w:pPr>
        <w:pStyle w:val="Citation-AltC"/>
        <w:tabs>
          <w:tab w:val="left" w:pos="1170"/>
          <w:tab w:val="left" w:pos="1800"/>
        </w:tabs>
        <w:spacing w:after="480" w:line="480" w:lineRule="auto"/>
        <w:ind w:left="1800" w:hanging="1800"/>
        <w:contextualSpacing w:val="0"/>
      </w:pPr>
      <w:r>
        <w:tab/>
      </w:r>
      <w:r w:rsidRPr="001D4494">
        <w:t>c.</w:t>
      </w:r>
      <w:r w:rsidRPr="001D4494">
        <w:tab/>
        <w:t xml:space="preserve">Third, the </w:t>
      </w:r>
      <w:r>
        <w:t>majority</w:t>
      </w:r>
      <w:r w:rsidRPr="001D4494">
        <w:t>’s approach to collective bargaining in particular and s. 2(</w:t>
      </w:r>
      <w:r w:rsidRPr="00436C94">
        <w:rPr>
          <w:i/>
        </w:rPr>
        <w:t>d</w:t>
      </w:r>
      <w:r w:rsidRPr="001D4494">
        <w:t>) in general articulated in</w:t>
      </w:r>
      <w:r w:rsidRPr="001D4494">
        <w:rPr>
          <w:i/>
        </w:rPr>
        <w:t xml:space="preserve"> </w:t>
      </w:r>
      <w:r w:rsidRPr="001D4494">
        <w:rPr>
          <w:i/>
          <w:color w:val="000000"/>
        </w:rPr>
        <w:t>Health</w:t>
      </w:r>
      <w:r>
        <w:rPr>
          <w:i/>
          <w:color w:val="000000"/>
        </w:rPr>
        <w:t xml:space="preserve"> Services</w:t>
      </w:r>
      <w:r w:rsidRPr="001D4494">
        <w:rPr>
          <w:i/>
        </w:rPr>
        <w:t xml:space="preserve"> </w:t>
      </w:r>
      <w:r w:rsidRPr="001D4494">
        <w:t>is unworkable.</w:t>
      </w:r>
      <w:r>
        <w:t xml:space="preserve"> </w:t>
      </w:r>
      <w:r w:rsidRPr="001D4494">
        <w:t>It extends constitutional protection to the duty to bargain in good faith without importing other aspects of the Wagner framework, and by purporting to protect the process of collective bargaining without also protecting its fruits, neither of which is tenable.</w:t>
      </w:r>
      <w:r>
        <w:t xml:space="preserve"> </w:t>
      </w:r>
    </w:p>
    <w:p w:rsidR="00A9461C" w:rsidRPr="001D4494" w:rsidRDefault="00A9461C" w:rsidP="00A9461C">
      <w:pPr>
        <w:pStyle w:val="Citation-AltC"/>
        <w:tabs>
          <w:tab w:val="left" w:pos="1170"/>
        </w:tabs>
        <w:spacing w:after="480" w:line="480" w:lineRule="auto"/>
        <w:ind w:left="1170" w:hanging="1170"/>
        <w:contextualSpacing w:val="0"/>
      </w:pPr>
      <w:r w:rsidRPr="001D4494">
        <w:lastRenderedPageBreak/>
        <w:t>3.</w:t>
      </w:r>
      <w:r w:rsidRPr="001D4494">
        <w:tab/>
        <w:t>Section 2(</w:t>
      </w:r>
      <w:r w:rsidRPr="00436C94">
        <w:rPr>
          <w:i/>
        </w:rPr>
        <w:t>d</w:t>
      </w:r>
      <w:r w:rsidRPr="001D4494">
        <w:t>) protects the ability of individuals to form associations and to do in association what they can lawfully do alone.</w:t>
      </w:r>
      <w:r>
        <w:t xml:space="preserve"> </w:t>
      </w:r>
      <w:r w:rsidRPr="001D4494">
        <w:t>Because individuals are generally free to bargain with their employer individually, it follows that s. 2(</w:t>
      </w:r>
      <w:r w:rsidRPr="00436C94">
        <w:rPr>
          <w:i/>
        </w:rPr>
        <w:t>d</w:t>
      </w:r>
      <w:r w:rsidRPr="001D4494">
        <w:t>) must protect the decision of individuals to come together, to form a bargaining position and to present a common and united front to their employers.</w:t>
      </w:r>
      <w:r>
        <w:t xml:space="preserve"> </w:t>
      </w:r>
      <w:r w:rsidRPr="001D4494">
        <w:t>However, just as an employer is not obliged to bargain with an individual employee, s. 2(</w:t>
      </w:r>
      <w:r w:rsidRPr="00436C94">
        <w:rPr>
          <w:i/>
        </w:rPr>
        <w:t>d</w:t>
      </w:r>
      <w:r w:rsidRPr="001D4494">
        <w:t>) does not oblige an employer to bargain with a group of employees.</w:t>
      </w:r>
    </w:p>
    <w:p w:rsidR="00A00D29" w:rsidRDefault="00A00D29" w:rsidP="00EB049E">
      <w:pPr>
        <w:pStyle w:val="HeadingTitre-AltH"/>
        <w:tabs>
          <w:tab w:val="clear" w:pos="360"/>
        </w:tabs>
        <w:spacing w:after="720"/>
        <w:ind w:left="0" w:firstLine="0"/>
      </w:pPr>
      <w:r w:rsidRPr="001D4494">
        <w:t>VII</w:t>
      </w:r>
      <w:r>
        <w:t>.</w:t>
      </w:r>
      <w:r w:rsidRPr="001D4494">
        <w:tab/>
      </w:r>
      <w:r>
        <w:rPr>
          <w:u w:val="single"/>
        </w:rPr>
        <w:t>Application to the Present C</w:t>
      </w:r>
      <w:r w:rsidRPr="00395C4A">
        <w:rPr>
          <w:u w:val="single"/>
        </w:rPr>
        <w:t>ase</w:t>
      </w:r>
    </w:p>
    <w:p w:rsidR="00A00D29" w:rsidRPr="001D4494" w:rsidRDefault="00A00D29" w:rsidP="00F66299">
      <w:pPr>
        <w:pStyle w:val="ReasonsNumbering-AltN"/>
        <w:ind w:left="0" w:firstLine="0"/>
        <w:rPr>
          <w:rFonts w:cs="Times New Roman"/>
          <w:color w:val="000000"/>
          <w:szCs w:val="24"/>
          <w:u w:val="single"/>
        </w:rPr>
      </w:pPr>
      <w:r w:rsidRPr="001D4494">
        <w:rPr>
          <w:rFonts w:cs="Times New Roman"/>
          <w:color w:val="000000"/>
          <w:szCs w:val="24"/>
        </w:rPr>
        <w:t xml:space="preserve">I </w:t>
      </w:r>
      <w:r w:rsidRPr="00F66299">
        <w:rPr>
          <w:rFonts w:cs="Times New Roman"/>
          <w:szCs w:val="24"/>
        </w:rPr>
        <w:t>agree</w:t>
      </w:r>
      <w:r w:rsidRPr="001D4494">
        <w:rPr>
          <w:rFonts w:cs="Times New Roman"/>
          <w:color w:val="000000"/>
          <w:szCs w:val="24"/>
        </w:rPr>
        <w:t xml:space="preserve"> with the conclusions of the Chief Justice and LeBel J. that the </w:t>
      </w:r>
      <w:r w:rsidRPr="00436C94">
        <w:rPr>
          <w:rFonts w:cs="Times New Roman"/>
          <w:i/>
          <w:color w:val="000000"/>
          <w:szCs w:val="24"/>
        </w:rPr>
        <w:t>AEPA</w:t>
      </w:r>
      <w:r w:rsidRPr="001D4494">
        <w:rPr>
          <w:rFonts w:cs="Times New Roman"/>
          <w:color w:val="000000"/>
          <w:szCs w:val="24"/>
        </w:rPr>
        <w:t xml:space="preserve"> does not violate s. 2(</w:t>
      </w:r>
      <w:r w:rsidRPr="00436C94">
        <w:rPr>
          <w:rFonts w:cs="Times New Roman"/>
          <w:i/>
          <w:color w:val="000000"/>
          <w:szCs w:val="24"/>
        </w:rPr>
        <w:t>d</w:t>
      </w:r>
      <w:r w:rsidRPr="001D4494">
        <w:rPr>
          <w:rFonts w:cs="Times New Roman"/>
          <w:color w:val="000000"/>
          <w:szCs w:val="24"/>
        </w:rPr>
        <w:t xml:space="preserve">) of the </w:t>
      </w:r>
      <w:r w:rsidRPr="001D4494">
        <w:rPr>
          <w:rFonts w:cs="Times New Roman"/>
          <w:i/>
          <w:color w:val="000000"/>
          <w:szCs w:val="24"/>
        </w:rPr>
        <w:t>Charter</w:t>
      </w:r>
      <w:r w:rsidRPr="001D4494">
        <w:rPr>
          <w:rFonts w:cs="Times New Roman"/>
          <w:color w:val="000000"/>
          <w:szCs w:val="24"/>
        </w:rPr>
        <w:t>, but for the reasons I have given.  Section 2(</w:t>
      </w:r>
      <w:r w:rsidRPr="00436C94">
        <w:rPr>
          <w:rFonts w:cs="Times New Roman"/>
          <w:i/>
          <w:color w:val="000000"/>
          <w:szCs w:val="24"/>
        </w:rPr>
        <w:t>d</w:t>
      </w:r>
      <w:r w:rsidRPr="001D4494">
        <w:rPr>
          <w:rFonts w:cs="Times New Roman"/>
          <w:color w:val="000000"/>
          <w:szCs w:val="24"/>
        </w:rPr>
        <w:t>) does not confer a right of collective bargaining</w:t>
      </w:r>
      <w:r>
        <w:rPr>
          <w:rFonts w:cs="Times New Roman"/>
          <w:color w:val="000000"/>
          <w:szCs w:val="24"/>
        </w:rPr>
        <w:t>; nor does it</w:t>
      </w:r>
      <w:r w:rsidRPr="001D4494">
        <w:rPr>
          <w:rFonts w:cs="Times New Roman"/>
          <w:color w:val="000000"/>
          <w:szCs w:val="24"/>
        </w:rPr>
        <w:t xml:space="preserve"> impose a duty on employers to meet with employees and “consider employee representations in good faith” (para. 104).  I agree with Farley J. </w:t>
      </w:r>
      <w:r w:rsidR="00EB049E">
        <w:rPr>
          <w:rFonts w:cs="Times New Roman"/>
          <w:color w:val="000000"/>
          <w:szCs w:val="24"/>
        </w:rPr>
        <w:t xml:space="preserve">((2006), 79 O.R. (3d) 219) </w:t>
      </w:r>
      <w:r w:rsidRPr="001D4494">
        <w:rPr>
          <w:rFonts w:cs="Times New Roman"/>
          <w:color w:val="000000"/>
          <w:szCs w:val="24"/>
        </w:rPr>
        <w:t xml:space="preserve">that the </w:t>
      </w:r>
      <w:r w:rsidRPr="00436C94">
        <w:rPr>
          <w:rFonts w:cs="Times New Roman"/>
          <w:i/>
          <w:color w:val="000000"/>
          <w:szCs w:val="24"/>
        </w:rPr>
        <w:t>AEPA</w:t>
      </w:r>
      <w:r w:rsidRPr="001D4494">
        <w:rPr>
          <w:rFonts w:cs="Times New Roman"/>
          <w:color w:val="000000"/>
          <w:szCs w:val="24"/>
        </w:rPr>
        <w:t xml:space="preserve"> satisfies all of the concerns raised in </w:t>
      </w:r>
      <w:r w:rsidRPr="001D4494">
        <w:rPr>
          <w:rFonts w:cs="Times New Roman"/>
          <w:i/>
          <w:color w:val="000000"/>
          <w:szCs w:val="24"/>
        </w:rPr>
        <w:t>Dunmore</w:t>
      </w:r>
      <w:r>
        <w:rPr>
          <w:rFonts w:cs="Times New Roman"/>
          <w:color w:val="000000"/>
          <w:szCs w:val="24"/>
        </w:rPr>
        <w:t>.</w:t>
      </w:r>
    </w:p>
    <w:p w:rsidR="00A00D29" w:rsidRPr="001D4494" w:rsidRDefault="00A00D29" w:rsidP="00F66299">
      <w:pPr>
        <w:pStyle w:val="ReasonsNumbering-AltN"/>
        <w:ind w:left="0" w:firstLine="0"/>
        <w:rPr>
          <w:rFonts w:cs="Times New Roman"/>
          <w:color w:val="000000"/>
          <w:szCs w:val="24"/>
          <w:u w:val="single"/>
        </w:rPr>
      </w:pPr>
      <w:r w:rsidRPr="001D4494">
        <w:rPr>
          <w:rFonts w:cs="Times New Roman"/>
          <w:color w:val="000000"/>
          <w:szCs w:val="24"/>
        </w:rPr>
        <w:t xml:space="preserve">On a plain reading of the provisions of the </w:t>
      </w:r>
      <w:r w:rsidRPr="00436C94">
        <w:rPr>
          <w:rFonts w:cs="Times New Roman"/>
          <w:i/>
          <w:color w:val="000000"/>
          <w:szCs w:val="24"/>
        </w:rPr>
        <w:t>AEPA</w:t>
      </w:r>
      <w:r w:rsidRPr="001D4494">
        <w:rPr>
          <w:rFonts w:cs="Times New Roman"/>
          <w:color w:val="000000"/>
          <w:szCs w:val="24"/>
        </w:rPr>
        <w:t xml:space="preserve"> it provides all of the protections which were imposed by this Court in </w:t>
      </w:r>
      <w:r w:rsidRPr="001D4494">
        <w:rPr>
          <w:rFonts w:cs="Times New Roman"/>
          <w:i/>
          <w:color w:val="000000"/>
          <w:szCs w:val="24"/>
        </w:rPr>
        <w:t>Dunmore</w:t>
      </w:r>
      <w:r w:rsidRPr="001D4494">
        <w:rPr>
          <w:rFonts w:cs="Times New Roman"/>
          <w:color w:val="000000"/>
          <w:szCs w:val="24"/>
        </w:rPr>
        <w:t xml:space="preserve">, but goes no further.  It does not provide any right to collective bargaining, or other incidents of </w:t>
      </w:r>
      <w:r w:rsidRPr="00436C94">
        <w:rPr>
          <w:rFonts w:cs="Times New Roman"/>
          <w:i/>
          <w:color w:val="000000"/>
          <w:szCs w:val="24"/>
        </w:rPr>
        <w:t>Wagner Act</w:t>
      </w:r>
      <w:r w:rsidRPr="001D4494">
        <w:rPr>
          <w:rFonts w:cs="Times New Roman"/>
          <w:color w:val="000000"/>
          <w:szCs w:val="24"/>
        </w:rPr>
        <w:t xml:space="preserve"> collective bargaining.  Indeed up to t</w:t>
      </w:r>
      <w:r w:rsidR="00EB049E">
        <w:rPr>
          <w:rFonts w:cs="Times New Roman"/>
          <w:color w:val="000000"/>
          <w:szCs w:val="24"/>
        </w:rPr>
        <w:t>his point, the parties and the c</w:t>
      </w:r>
      <w:r w:rsidRPr="001D4494">
        <w:rPr>
          <w:rFonts w:cs="Times New Roman"/>
          <w:color w:val="000000"/>
          <w:szCs w:val="24"/>
        </w:rPr>
        <w:t xml:space="preserve">ourts have all proceeded on the basis that the </w:t>
      </w:r>
      <w:r w:rsidRPr="005F2C44">
        <w:rPr>
          <w:rFonts w:cs="Times New Roman"/>
          <w:i/>
          <w:color w:val="000000"/>
          <w:szCs w:val="24"/>
        </w:rPr>
        <w:t>AEPA</w:t>
      </w:r>
      <w:r w:rsidRPr="001D4494">
        <w:rPr>
          <w:rFonts w:cs="Times New Roman"/>
          <w:color w:val="000000"/>
          <w:szCs w:val="24"/>
        </w:rPr>
        <w:t xml:space="preserve"> did not include a duty of collective bargaining.  The claimants chose to bring this case because in their view, the </w:t>
      </w:r>
      <w:r w:rsidRPr="005F2C44">
        <w:rPr>
          <w:rFonts w:cs="Times New Roman"/>
          <w:i/>
          <w:color w:val="000000"/>
          <w:szCs w:val="24"/>
        </w:rPr>
        <w:t>AEPA</w:t>
      </w:r>
      <w:r w:rsidRPr="001D4494">
        <w:rPr>
          <w:rFonts w:cs="Times New Roman"/>
          <w:color w:val="000000"/>
          <w:szCs w:val="24"/>
        </w:rPr>
        <w:t xml:space="preserve"> did not </w:t>
      </w:r>
      <w:r w:rsidRPr="001D4494">
        <w:rPr>
          <w:rFonts w:cs="Times New Roman"/>
          <w:color w:val="000000"/>
          <w:szCs w:val="24"/>
        </w:rPr>
        <w:lastRenderedPageBreak/>
        <w:t xml:space="preserve">include provisions to enforce a duty of collective bargaining on agricultural employers.  Based on this Court’s ruling in </w:t>
      </w:r>
      <w:r w:rsidRPr="001D4494">
        <w:rPr>
          <w:rFonts w:cs="Times New Roman"/>
          <w:i/>
          <w:color w:val="000000"/>
          <w:szCs w:val="24"/>
        </w:rPr>
        <w:t>Dunmore</w:t>
      </w:r>
      <w:r w:rsidRPr="001D4494">
        <w:rPr>
          <w:rFonts w:cs="Times New Roman"/>
          <w:color w:val="000000"/>
          <w:szCs w:val="24"/>
        </w:rPr>
        <w:t xml:space="preserve"> that s. 2(</w:t>
      </w:r>
      <w:r w:rsidRPr="005F2C44">
        <w:rPr>
          <w:rFonts w:cs="Times New Roman"/>
          <w:i/>
          <w:color w:val="000000"/>
          <w:szCs w:val="24"/>
        </w:rPr>
        <w:t>d</w:t>
      </w:r>
      <w:r w:rsidRPr="001D4494">
        <w:rPr>
          <w:rFonts w:cs="Times New Roman"/>
          <w:color w:val="000000"/>
          <w:szCs w:val="24"/>
        </w:rPr>
        <w:t xml:space="preserve">) did not create a right of collective bargaining, Farley J. ruled that the </w:t>
      </w:r>
      <w:r w:rsidRPr="005F2C44">
        <w:rPr>
          <w:rFonts w:cs="Times New Roman"/>
          <w:i/>
          <w:color w:val="000000"/>
          <w:szCs w:val="24"/>
        </w:rPr>
        <w:t>AEPA</w:t>
      </w:r>
      <w:r w:rsidRPr="001D4494">
        <w:rPr>
          <w:rFonts w:cs="Times New Roman"/>
          <w:color w:val="000000"/>
          <w:szCs w:val="24"/>
        </w:rPr>
        <w:t xml:space="preserve"> did not violate the </w:t>
      </w:r>
      <w:r w:rsidRPr="001D4494">
        <w:rPr>
          <w:rFonts w:cs="Times New Roman"/>
          <w:i/>
          <w:color w:val="000000"/>
          <w:szCs w:val="24"/>
        </w:rPr>
        <w:t>Charter</w:t>
      </w:r>
      <w:r w:rsidRPr="001D4494">
        <w:rPr>
          <w:rFonts w:cs="Times New Roman"/>
          <w:color w:val="000000"/>
          <w:szCs w:val="24"/>
        </w:rPr>
        <w:t xml:space="preserve">.  </w:t>
      </w:r>
      <w:r w:rsidRPr="001D4494">
        <w:rPr>
          <w:rFonts w:cs="Times New Roman"/>
          <w:i/>
          <w:color w:val="000000"/>
          <w:szCs w:val="24"/>
        </w:rPr>
        <w:t>Health</w:t>
      </w:r>
      <w:r>
        <w:rPr>
          <w:rFonts w:cs="Times New Roman"/>
          <w:i/>
          <w:color w:val="000000"/>
          <w:szCs w:val="24"/>
        </w:rPr>
        <w:t xml:space="preserve"> Services</w:t>
      </w:r>
      <w:r w:rsidRPr="001D4494">
        <w:rPr>
          <w:rFonts w:cs="Times New Roman"/>
          <w:color w:val="000000"/>
          <w:szCs w:val="24"/>
        </w:rPr>
        <w:t xml:space="preserve"> subsequently expanded the scope of s. 2(</w:t>
      </w:r>
      <w:r w:rsidRPr="005F2C44">
        <w:rPr>
          <w:rFonts w:cs="Times New Roman"/>
          <w:i/>
          <w:color w:val="000000"/>
          <w:szCs w:val="24"/>
        </w:rPr>
        <w:t>d</w:t>
      </w:r>
      <w:r w:rsidRPr="001D4494">
        <w:rPr>
          <w:rFonts w:cs="Times New Roman"/>
          <w:color w:val="000000"/>
          <w:szCs w:val="24"/>
        </w:rPr>
        <w:t xml:space="preserve">) to constitutionalize the right to collective bargaining.  Thus the Court of Appeal was obliged to and did find that the </w:t>
      </w:r>
      <w:r w:rsidRPr="005F2C44">
        <w:rPr>
          <w:rFonts w:cs="Times New Roman"/>
          <w:i/>
          <w:color w:val="000000"/>
          <w:szCs w:val="24"/>
        </w:rPr>
        <w:t>AEPA</w:t>
      </w:r>
      <w:r w:rsidRPr="001D4494">
        <w:rPr>
          <w:rFonts w:cs="Times New Roman"/>
          <w:color w:val="000000"/>
          <w:szCs w:val="24"/>
        </w:rPr>
        <w:t xml:space="preserve"> was no longer </w:t>
      </w:r>
      <w:r w:rsidRPr="001D4494">
        <w:rPr>
          <w:rFonts w:cs="Times New Roman"/>
          <w:i/>
          <w:color w:val="000000"/>
          <w:szCs w:val="24"/>
        </w:rPr>
        <w:t>Charter</w:t>
      </w:r>
      <w:r w:rsidRPr="001D4494">
        <w:rPr>
          <w:rFonts w:cs="Times New Roman"/>
          <w:color w:val="000000"/>
          <w:szCs w:val="24"/>
        </w:rPr>
        <w:t xml:space="preserve"> compliant.  Both of these conclusions were entirely consistent with the text of the </w:t>
      </w:r>
      <w:r w:rsidRPr="005F2C44">
        <w:rPr>
          <w:rFonts w:cs="Times New Roman"/>
          <w:i/>
          <w:color w:val="000000"/>
          <w:szCs w:val="24"/>
        </w:rPr>
        <w:t>AEPA</w:t>
      </w:r>
      <w:r w:rsidRPr="001D4494">
        <w:rPr>
          <w:rFonts w:cs="Times New Roman"/>
          <w:color w:val="000000"/>
          <w:szCs w:val="24"/>
        </w:rPr>
        <w:t xml:space="preserve"> and the parties’ understanding that the </w:t>
      </w:r>
      <w:r w:rsidRPr="005F2C44">
        <w:rPr>
          <w:rFonts w:cs="Times New Roman"/>
          <w:i/>
          <w:color w:val="000000"/>
          <w:szCs w:val="24"/>
        </w:rPr>
        <w:t>AEPA</w:t>
      </w:r>
      <w:r w:rsidRPr="001D4494">
        <w:rPr>
          <w:rFonts w:cs="Times New Roman"/>
          <w:color w:val="000000"/>
          <w:szCs w:val="24"/>
        </w:rPr>
        <w:t xml:space="preserve"> did not include a duty of collective bargaining on agricultural employers.</w:t>
      </w:r>
    </w:p>
    <w:p w:rsidR="00A00D29" w:rsidRPr="001D4494" w:rsidRDefault="00A00D29" w:rsidP="00F66299">
      <w:pPr>
        <w:pStyle w:val="ReasonsNumbering-AltN"/>
        <w:ind w:left="0" w:firstLine="0"/>
        <w:rPr>
          <w:rFonts w:cs="Times New Roman"/>
          <w:color w:val="000000"/>
          <w:szCs w:val="24"/>
          <w:u w:val="single"/>
        </w:rPr>
      </w:pPr>
      <w:r w:rsidRPr="001D4494">
        <w:rPr>
          <w:rFonts w:cs="Times New Roman"/>
          <w:color w:val="000000"/>
          <w:szCs w:val="24"/>
        </w:rPr>
        <w:t xml:space="preserve">By enacting the </w:t>
      </w:r>
      <w:r w:rsidRPr="005F2C44">
        <w:rPr>
          <w:rFonts w:cs="Times New Roman"/>
          <w:i/>
          <w:color w:val="000000"/>
          <w:szCs w:val="24"/>
        </w:rPr>
        <w:t>AEPA</w:t>
      </w:r>
      <w:r w:rsidRPr="001D4494">
        <w:rPr>
          <w:rFonts w:cs="Times New Roman"/>
          <w:color w:val="000000"/>
          <w:szCs w:val="24"/>
        </w:rPr>
        <w:t xml:space="preserve">, the legislature precisely addressed this Court’s ruling in </w:t>
      </w:r>
      <w:r w:rsidRPr="001D4494">
        <w:rPr>
          <w:rFonts w:cs="Times New Roman"/>
          <w:i/>
          <w:color w:val="000000"/>
          <w:szCs w:val="24"/>
        </w:rPr>
        <w:t>Dunmore</w:t>
      </w:r>
      <w:r w:rsidRPr="001D4494">
        <w:rPr>
          <w:rFonts w:cs="Times New Roman"/>
          <w:color w:val="000000"/>
          <w:szCs w:val="24"/>
        </w:rPr>
        <w:t xml:space="preserve">.  The text, context and purpose of the </w:t>
      </w:r>
      <w:r w:rsidRPr="005F2C44">
        <w:rPr>
          <w:rFonts w:cs="Times New Roman"/>
          <w:i/>
          <w:color w:val="000000"/>
          <w:szCs w:val="24"/>
        </w:rPr>
        <w:t>AEPA</w:t>
      </w:r>
      <w:r w:rsidRPr="001D4494">
        <w:rPr>
          <w:rFonts w:cs="Times New Roman"/>
          <w:color w:val="000000"/>
          <w:szCs w:val="24"/>
        </w:rPr>
        <w:t xml:space="preserve"> clearly demonstrate that the legislature intentionally opted not to include a duty on employers to engage in collective bargaining with employee associations.</w:t>
      </w:r>
    </w:p>
    <w:p w:rsidR="00A00D29" w:rsidRPr="001D4494" w:rsidRDefault="00A00D29" w:rsidP="00F66299">
      <w:pPr>
        <w:pStyle w:val="ReasonsNumbering-AltN"/>
        <w:ind w:left="0" w:firstLine="0"/>
        <w:rPr>
          <w:rFonts w:cs="Times New Roman"/>
          <w:color w:val="000000"/>
          <w:szCs w:val="24"/>
          <w:u w:val="single"/>
        </w:rPr>
      </w:pPr>
      <w:r w:rsidRPr="00F66299">
        <w:rPr>
          <w:rFonts w:cs="Times New Roman"/>
          <w:color w:val="000000"/>
          <w:szCs w:val="24"/>
        </w:rPr>
        <w:t>Nonetheless</w:t>
      </w:r>
      <w:r>
        <w:rPr>
          <w:color w:val="000000"/>
        </w:rPr>
        <w:t>,</w:t>
      </w:r>
      <w:r w:rsidRPr="001D4494">
        <w:rPr>
          <w:color w:val="000000"/>
        </w:rPr>
        <w:t xml:space="preserve"> the Chief Justice and LeBel J. </w:t>
      </w:r>
      <w:r>
        <w:rPr>
          <w:color w:val="000000"/>
        </w:rPr>
        <w:t>say</w:t>
      </w:r>
      <w:r w:rsidRPr="001D4494">
        <w:rPr>
          <w:color w:val="000000"/>
        </w:rPr>
        <w:t xml:space="preserve"> that s. 5 of the </w:t>
      </w:r>
      <w:r w:rsidRPr="005F2C44">
        <w:rPr>
          <w:i/>
          <w:color w:val="000000"/>
        </w:rPr>
        <w:t>AEPA</w:t>
      </w:r>
      <w:r w:rsidRPr="001D4494">
        <w:rPr>
          <w:color w:val="000000"/>
        </w:rPr>
        <w:t xml:space="preserve"> can be read as imposing a duty to bargain in good faith (para. 107), which would render the statute constitutional.  They argue that the words of s. 5 are ambiguous and that the interpretive tools of purposive interpretation, the presumption of consistency with the </w:t>
      </w:r>
      <w:r w:rsidRPr="001D4494">
        <w:rPr>
          <w:i/>
          <w:color w:val="000000"/>
        </w:rPr>
        <w:t>Charter</w:t>
      </w:r>
      <w:r w:rsidRPr="001D4494">
        <w:rPr>
          <w:color w:val="000000"/>
        </w:rPr>
        <w:t>, and reference to legislative debates lead to t</w:t>
      </w:r>
      <w:r>
        <w:rPr>
          <w:color w:val="000000"/>
        </w:rPr>
        <w:t xml:space="preserve">his conclusion. </w:t>
      </w:r>
      <w:r w:rsidRPr="001D4494">
        <w:rPr>
          <w:color w:val="000000"/>
        </w:rPr>
        <w:t xml:space="preserve"> </w:t>
      </w:r>
      <w:r>
        <w:rPr>
          <w:color w:val="000000"/>
        </w:rPr>
        <w:t xml:space="preserve">Like my colleagues Deschamps J. and Abella J., </w:t>
      </w:r>
      <w:r w:rsidRPr="001D4494">
        <w:rPr>
          <w:color w:val="000000"/>
        </w:rPr>
        <w:t>I cannot agree.</w:t>
      </w:r>
    </w:p>
    <w:p w:rsidR="00A00D29" w:rsidRPr="001D4494" w:rsidRDefault="00A00D29" w:rsidP="00F66299">
      <w:pPr>
        <w:pStyle w:val="ReasonsNumbering-AltN"/>
        <w:ind w:left="0" w:firstLine="0"/>
        <w:rPr>
          <w:color w:val="000000"/>
          <w:szCs w:val="24"/>
        </w:rPr>
      </w:pPr>
      <w:r w:rsidRPr="001D4494">
        <w:rPr>
          <w:color w:val="000000"/>
        </w:rPr>
        <w:t xml:space="preserve">The words of s. 5 are unambiguous.  </w:t>
      </w:r>
      <w:r w:rsidRPr="001D4494">
        <w:rPr>
          <w:rFonts w:cs="Times New Roman"/>
          <w:color w:val="000000"/>
          <w:szCs w:val="24"/>
        </w:rPr>
        <w:t>The relevant portions of s. 5 are subsections (1), (5), (6) and (7).</w:t>
      </w:r>
    </w:p>
    <w:p w:rsidR="00A00D29" w:rsidRDefault="00A00D29" w:rsidP="00BB28F2">
      <w:pPr>
        <w:pStyle w:val="Citation-AltC"/>
        <w:tabs>
          <w:tab w:val="left" w:pos="1620"/>
        </w:tabs>
        <w:spacing w:after="240"/>
        <w:ind w:hanging="1166"/>
        <w:contextualSpacing w:val="0"/>
        <w:rPr>
          <w:color w:val="000000"/>
        </w:rPr>
      </w:pPr>
      <w:r>
        <w:rPr>
          <w:b/>
          <w:color w:val="000000"/>
        </w:rPr>
        <w:lastRenderedPageBreak/>
        <w:tab/>
      </w:r>
      <w:r w:rsidR="00BB28F2">
        <w:rPr>
          <w:b/>
          <w:color w:val="000000"/>
        </w:rPr>
        <w:tab/>
      </w:r>
      <w:r>
        <w:rPr>
          <w:b/>
          <w:color w:val="000000"/>
        </w:rPr>
        <w:t xml:space="preserve">5. </w:t>
      </w:r>
      <w:r w:rsidRPr="001D4494">
        <w:rPr>
          <w:color w:val="000000"/>
        </w:rPr>
        <w:t>(1) The employer shall give an employees</w:t>
      </w:r>
      <w:r>
        <w:rPr>
          <w:color w:val="000000"/>
        </w:rPr>
        <w:t>’</w:t>
      </w:r>
      <w:r w:rsidRPr="001D4494">
        <w:rPr>
          <w:color w:val="000000"/>
        </w:rPr>
        <w:t xml:space="preserve"> association a reasonable opportunity to make representations respecting the terms and conditions of employment of one or more of its members who are employed by that employer</w:t>
      </w:r>
      <w:r>
        <w:rPr>
          <w:color w:val="000000"/>
        </w:rPr>
        <w:t>.</w:t>
      </w:r>
    </w:p>
    <w:p w:rsidR="00A00D29" w:rsidRPr="001D4494" w:rsidRDefault="00A00D29" w:rsidP="00F66299">
      <w:pPr>
        <w:pStyle w:val="Citation-AltC"/>
        <w:spacing w:after="240"/>
        <w:contextualSpacing w:val="0"/>
        <w:jc w:val="center"/>
      </w:pPr>
      <w:r>
        <w:rPr>
          <w:color w:val="000000"/>
        </w:rPr>
        <w:t>. . .</w:t>
      </w:r>
    </w:p>
    <w:p w:rsidR="00A00D29" w:rsidRPr="001D4494" w:rsidRDefault="00A00D29" w:rsidP="00BB28F2">
      <w:pPr>
        <w:pStyle w:val="Citation-AltC"/>
        <w:tabs>
          <w:tab w:val="left" w:pos="1620"/>
        </w:tabs>
        <w:spacing w:after="240"/>
        <w:ind w:hanging="1166"/>
        <w:contextualSpacing w:val="0"/>
        <w:rPr>
          <w:color w:val="000000"/>
        </w:rPr>
      </w:pPr>
      <w:r>
        <w:rPr>
          <w:color w:val="000000"/>
        </w:rPr>
        <w:tab/>
      </w:r>
      <w:r w:rsidR="00BB28F2">
        <w:rPr>
          <w:color w:val="000000"/>
        </w:rPr>
        <w:tab/>
        <w:t>(5)</w:t>
      </w:r>
      <w:r w:rsidR="00BB28F2">
        <w:rPr>
          <w:color w:val="000000"/>
        </w:rPr>
        <w:tab/>
      </w:r>
      <w:r w:rsidRPr="001D4494">
        <w:rPr>
          <w:color w:val="000000"/>
        </w:rPr>
        <w:t>The employees</w:t>
      </w:r>
      <w:r>
        <w:rPr>
          <w:color w:val="000000"/>
        </w:rPr>
        <w:t>’</w:t>
      </w:r>
      <w:r w:rsidRPr="001D4494">
        <w:rPr>
          <w:color w:val="000000"/>
        </w:rPr>
        <w:t xml:space="preserve"> association may make the representations orally or in writing</w:t>
      </w:r>
      <w:r>
        <w:rPr>
          <w:color w:val="000000"/>
        </w:rPr>
        <w:t>.</w:t>
      </w:r>
    </w:p>
    <w:p w:rsidR="00A00D29" w:rsidRPr="001D4494" w:rsidRDefault="00A00D29" w:rsidP="00BB28F2">
      <w:pPr>
        <w:pStyle w:val="Citation-AltC"/>
        <w:tabs>
          <w:tab w:val="left" w:pos="1620"/>
        </w:tabs>
        <w:spacing w:after="240"/>
        <w:ind w:hanging="1166"/>
        <w:contextualSpacing w:val="0"/>
        <w:rPr>
          <w:color w:val="000000"/>
        </w:rPr>
      </w:pPr>
      <w:r>
        <w:rPr>
          <w:color w:val="000000"/>
        </w:rPr>
        <w:tab/>
      </w:r>
      <w:r w:rsidR="00BB28F2">
        <w:rPr>
          <w:color w:val="000000"/>
        </w:rPr>
        <w:tab/>
        <w:t>(6)</w:t>
      </w:r>
      <w:r w:rsidR="00BB28F2">
        <w:rPr>
          <w:color w:val="000000"/>
        </w:rPr>
        <w:tab/>
      </w:r>
      <w:r w:rsidRPr="001D4494">
        <w:rPr>
          <w:color w:val="000000"/>
        </w:rPr>
        <w:t xml:space="preserve">The employer shall listen to the representations </w:t>
      </w:r>
      <w:r>
        <w:rPr>
          <w:color w:val="000000"/>
        </w:rPr>
        <w:t>if</w:t>
      </w:r>
      <w:r w:rsidRPr="001D4494">
        <w:rPr>
          <w:color w:val="000000"/>
        </w:rPr>
        <w:t xml:space="preserve"> made orally, or read them if made in writing</w:t>
      </w:r>
      <w:r>
        <w:rPr>
          <w:color w:val="000000"/>
        </w:rPr>
        <w:t>.</w:t>
      </w:r>
    </w:p>
    <w:p w:rsidR="00A00D29" w:rsidRPr="00415E8A" w:rsidRDefault="00A00D29" w:rsidP="00BB28F2">
      <w:pPr>
        <w:pStyle w:val="Citation-AltC"/>
        <w:tabs>
          <w:tab w:val="left" w:pos="1620"/>
        </w:tabs>
        <w:spacing w:after="240"/>
        <w:ind w:hanging="1166"/>
        <w:contextualSpacing w:val="0"/>
        <w:rPr>
          <w:color w:val="000000"/>
        </w:rPr>
      </w:pPr>
      <w:r>
        <w:rPr>
          <w:color w:val="000000"/>
        </w:rPr>
        <w:tab/>
      </w:r>
      <w:r w:rsidR="00BB28F2">
        <w:rPr>
          <w:color w:val="000000"/>
        </w:rPr>
        <w:tab/>
        <w:t>(7)</w:t>
      </w:r>
      <w:r w:rsidR="00BB28F2">
        <w:rPr>
          <w:color w:val="000000"/>
        </w:rPr>
        <w:tab/>
      </w:r>
      <w:r w:rsidRPr="001D4494">
        <w:rPr>
          <w:color w:val="000000"/>
        </w:rPr>
        <w:t>If the representations are made in writing, the employer shall give the a</w:t>
      </w:r>
      <w:r>
        <w:rPr>
          <w:color w:val="000000"/>
        </w:rPr>
        <w:t>ssociation a written acknowledg</w:t>
      </w:r>
      <w:r w:rsidRPr="001D4494">
        <w:rPr>
          <w:color w:val="000000"/>
        </w:rPr>
        <w:t>ment that the employer has read them.</w:t>
      </w:r>
    </w:p>
    <w:p w:rsidR="00A00D29" w:rsidRPr="001D4494" w:rsidRDefault="00A00D29" w:rsidP="00A00D29">
      <w:pPr>
        <w:pStyle w:val="ContinueReasonsNo-AltP"/>
        <w:tabs>
          <w:tab w:val="left" w:pos="0"/>
        </w:tabs>
        <w:rPr>
          <w:color w:val="000000"/>
          <w:u w:val="single"/>
        </w:rPr>
      </w:pPr>
      <w:r w:rsidRPr="001D4494">
        <w:t>These words could not be clearer: they provide employee associations the opportunity to make representations to an employer.  The only obligation on an employer is to provide the employee association with the opportunity to make representations and to listen if they are oral or read and acknowledge them if they are written.</w:t>
      </w:r>
    </w:p>
    <w:p w:rsidR="00A00D29" w:rsidRPr="001D4494" w:rsidRDefault="00A00D29" w:rsidP="00F66299">
      <w:pPr>
        <w:pStyle w:val="ReasonsNumbering-AltN"/>
        <w:ind w:left="0" w:firstLine="0"/>
        <w:rPr>
          <w:color w:val="000000"/>
        </w:rPr>
      </w:pPr>
      <w:r w:rsidRPr="001D4494">
        <w:rPr>
          <w:color w:val="000000"/>
        </w:rPr>
        <w:t xml:space="preserve">The words “listen to” or “read” and “give the association a written </w:t>
      </w:r>
      <w:r>
        <w:rPr>
          <w:color w:val="000000"/>
        </w:rPr>
        <w:t>acknowledg</w:t>
      </w:r>
      <w:r w:rsidRPr="001D4494">
        <w:rPr>
          <w:color w:val="000000"/>
        </w:rPr>
        <w:t>ment” are not ambiguous. This Court’s approach to statutory interpretation has long held that “the words of an Act are to be read in their entire context and in their grammatical and ordinary sense harmoniously with the scheme of the Act, the object of the Act, and the intention of Parliament</w:t>
      </w:r>
      <w:r>
        <w:rPr>
          <w:color w:val="000000"/>
        </w:rPr>
        <w:t>”</w:t>
      </w:r>
      <w:r w:rsidRPr="001D4494">
        <w:rPr>
          <w:color w:val="000000"/>
        </w:rPr>
        <w:t xml:space="preserve"> (</w:t>
      </w:r>
      <w:r w:rsidRPr="001D4494">
        <w:rPr>
          <w:i/>
          <w:color w:val="000000"/>
        </w:rPr>
        <w:t>Rizzo &amp; Rizzo Shoes Ltd. (Re)</w:t>
      </w:r>
      <w:r>
        <w:rPr>
          <w:color w:val="000000"/>
        </w:rPr>
        <w:t>, [199</w:t>
      </w:r>
      <w:r w:rsidRPr="001D4494">
        <w:rPr>
          <w:color w:val="000000"/>
        </w:rPr>
        <w:t xml:space="preserve">8] 1 S.C.R. 27, </w:t>
      </w:r>
      <w:r>
        <w:rPr>
          <w:color w:val="000000"/>
        </w:rPr>
        <w:t>at p</w:t>
      </w:r>
      <w:r w:rsidR="00EB049E">
        <w:rPr>
          <w:color w:val="000000"/>
        </w:rPr>
        <w:t>ara</w:t>
      </w:r>
      <w:r>
        <w:rPr>
          <w:color w:val="000000"/>
        </w:rPr>
        <w:t xml:space="preserve">. </w:t>
      </w:r>
      <w:r w:rsidR="00EB049E">
        <w:rPr>
          <w:color w:val="000000"/>
        </w:rPr>
        <w:t>2</w:t>
      </w:r>
      <w:r>
        <w:rPr>
          <w:color w:val="000000"/>
        </w:rPr>
        <w:t xml:space="preserve">1, </w:t>
      </w:r>
      <w:r w:rsidRPr="001D4494">
        <w:rPr>
          <w:color w:val="000000"/>
        </w:rPr>
        <w:t xml:space="preserve">citing Elmer Driedger in </w:t>
      </w:r>
      <w:r w:rsidRPr="001D4494">
        <w:rPr>
          <w:i/>
          <w:color w:val="000000"/>
        </w:rPr>
        <w:t>Construction of Statutes</w:t>
      </w:r>
      <w:r w:rsidRPr="001D4494">
        <w:rPr>
          <w:color w:val="000000"/>
        </w:rPr>
        <w:t xml:space="preserve"> (2nd ed. 1983)).  To say that the words “listen to” or “read” and “give the association a written </w:t>
      </w:r>
      <w:r>
        <w:rPr>
          <w:color w:val="000000"/>
        </w:rPr>
        <w:t>acknowledg</w:t>
      </w:r>
      <w:r w:rsidRPr="001D4494">
        <w:rPr>
          <w:color w:val="000000"/>
        </w:rPr>
        <w:t xml:space="preserve">ment” are ambiguous would be to ignore the grammatical and ordinary sense of the words, and the purpose of the </w:t>
      </w:r>
      <w:r w:rsidRPr="001F17A6">
        <w:rPr>
          <w:i/>
          <w:color w:val="000000"/>
        </w:rPr>
        <w:t>AEPA</w:t>
      </w:r>
      <w:r w:rsidRPr="001D4494">
        <w:rPr>
          <w:color w:val="000000"/>
        </w:rPr>
        <w:t>, and would manufacture ambiguity w</w:t>
      </w:r>
      <w:r>
        <w:rPr>
          <w:color w:val="000000"/>
        </w:rPr>
        <w:t>here none exists.</w:t>
      </w:r>
    </w:p>
    <w:p w:rsidR="00A00D29" w:rsidRPr="001D4494" w:rsidRDefault="00A00D29" w:rsidP="00F66299">
      <w:pPr>
        <w:pStyle w:val="ReasonsNumbering-AltN"/>
        <w:ind w:left="0" w:firstLine="0"/>
        <w:rPr>
          <w:rFonts w:cs="Times New Roman"/>
          <w:color w:val="000000"/>
          <w:szCs w:val="24"/>
          <w:u w:val="single"/>
        </w:rPr>
      </w:pPr>
      <w:r w:rsidRPr="001D4494">
        <w:rPr>
          <w:color w:val="000000"/>
        </w:rPr>
        <w:lastRenderedPageBreak/>
        <w:t>Professor Sullivan observes that “</w:t>
      </w:r>
      <w:r>
        <w:rPr>
          <w:color w:val="000000"/>
        </w:rPr>
        <w:t>[</w:t>
      </w:r>
      <w:r w:rsidRPr="001D4494">
        <w:rPr>
          <w:color w:val="000000"/>
        </w:rPr>
        <w:t>i</w:t>
      </w:r>
      <w:r>
        <w:rPr>
          <w:color w:val="000000"/>
        </w:rPr>
        <w:t>]</w:t>
      </w:r>
      <w:r w:rsidRPr="001D4494">
        <w:rPr>
          <w:color w:val="000000"/>
        </w:rPr>
        <w:t>t is presumed that the ordinary meaning of legislation is the most appropriate or ‘intended’ meaning” unless there is a reason to reject that meaning (</w:t>
      </w:r>
      <w:r w:rsidRPr="001D4494">
        <w:rPr>
          <w:i/>
          <w:color w:val="000000"/>
        </w:rPr>
        <w:t xml:space="preserve">Sullivan and Driedger on the Construction of Statutes </w:t>
      </w:r>
      <w:r w:rsidRPr="001D4494">
        <w:rPr>
          <w:color w:val="000000"/>
        </w:rPr>
        <w:t>(</w:t>
      </w:r>
      <w:r>
        <w:rPr>
          <w:color w:val="000000"/>
        </w:rPr>
        <w:t>4th</w:t>
      </w:r>
      <w:r w:rsidRPr="001D4494">
        <w:rPr>
          <w:color w:val="000000"/>
        </w:rPr>
        <w:t xml:space="preserve"> </w:t>
      </w:r>
      <w:r>
        <w:rPr>
          <w:color w:val="000000"/>
        </w:rPr>
        <w:t xml:space="preserve">ed. </w:t>
      </w:r>
      <w:r w:rsidRPr="001D4494">
        <w:rPr>
          <w:color w:val="000000"/>
        </w:rPr>
        <w:t>2002)</w:t>
      </w:r>
      <w:r>
        <w:rPr>
          <w:color w:val="000000"/>
        </w:rPr>
        <w:t>,</w:t>
      </w:r>
      <w:r w:rsidRPr="001D4494">
        <w:rPr>
          <w:color w:val="000000"/>
        </w:rPr>
        <w:t xml:space="preserve"> at p.</w:t>
      </w:r>
      <w:r>
        <w:rPr>
          <w:color w:val="000000"/>
        </w:rPr>
        <w:t xml:space="preserve"> </w:t>
      </w:r>
      <w:r w:rsidRPr="001D4494">
        <w:rPr>
          <w:color w:val="000000"/>
        </w:rPr>
        <w:t>34</w:t>
      </w:r>
      <w:r>
        <w:rPr>
          <w:color w:val="000000"/>
        </w:rPr>
        <w:t xml:space="preserve">). </w:t>
      </w:r>
      <w:r w:rsidRPr="001D4494">
        <w:rPr>
          <w:color w:val="000000"/>
        </w:rPr>
        <w:t xml:space="preserve"> As Professor Hogg</w:t>
      </w:r>
      <w:r>
        <w:rPr>
          <w:color w:val="000000"/>
        </w:rPr>
        <w:t>, A. A. Bushell Thornton and W. K. Wright,</w:t>
      </w:r>
      <w:r w:rsidRPr="001D4494">
        <w:rPr>
          <w:color w:val="000000"/>
        </w:rPr>
        <w:t xml:space="preserve"> write in “</w:t>
      </w:r>
      <w:r w:rsidRPr="001F17A6">
        <w:rPr>
          <w:i/>
          <w:color w:val="000000"/>
        </w:rPr>
        <w:t>Charter</w:t>
      </w:r>
      <w:r>
        <w:rPr>
          <w:color w:val="000000"/>
        </w:rPr>
        <w:t xml:space="preserve"> Dialogue Revisited —</w:t>
      </w:r>
      <w:r w:rsidRPr="001D4494">
        <w:rPr>
          <w:color w:val="000000"/>
        </w:rPr>
        <w:t xml:space="preserve"> Or </w:t>
      </w:r>
      <w:r>
        <w:rPr>
          <w:color w:val="000000"/>
        </w:rPr>
        <w:t>‘</w:t>
      </w:r>
      <w:r w:rsidRPr="001D4494">
        <w:rPr>
          <w:color w:val="000000"/>
        </w:rPr>
        <w:t>Much Ado About Metaphors</w:t>
      </w:r>
      <w:r>
        <w:rPr>
          <w:color w:val="000000"/>
        </w:rPr>
        <w:t>’</w:t>
      </w:r>
      <w:r w:rsidRPr="001D4494">
        <w:rPr>
          <w:color w:val="000000"/>
        </w:rPr>
        <w:t>”</w:t>
      </w:r>
      <w:r>
        <w:rPr>
          <w:color w:val="000000"/>
        </w:rPr>
        <w:t xml:space="preserve"> (2007)</w:t>
      </w:r>
      <w:r w:rsidRPr="001D4494">
        <w:rPr>
          <w:color w:val="000000"/>
        </w:rPr>
        <w:t xml:space="preserve">, 45 </w:t>
      </w:r>
      <w:r w:rsidRPr="001F17A6">
        <w:rPr>
          <w:i/>
          <w:color w:val="000000"/>
        </w:rPr>
        <w:t>Osgoode Hall L.J.</w:t>
      </w:r>
      <w:r w:rsidRPr="001D4494">
        <w:rPr>
          <w:color w:val="000000"/>
        </w:rPr>
        <w:t xml:space="preserve"> 1, at p. 12: </w:t>
      </w:r>
    </w:p>
    <w:p w:rsidR="00A00D29" w:rsidRPr="001F17A6" w:rsidRDefault="00A00D29" w:rsidP="00A00D29">
      <w:pPr>
        <w:pStyle w:val="Citation-AltC"/>
        <w:rPr>
          <w:u w:val="single"/>
        </w:rPr>
      </w:pPr>
      <w:r w:rsidRPr="001D4494">
        <w:t xml:space="preserve">A broader general rule, requiring the courts to stretch the plausible interpretation of a statute in order to bring it into conformity with the </w:t>
      </w:r>
      <w:r w:rsidRPr="001D4494">
        <w:rPr>
          <w:i/>
        </w:rPr>
        <w:t>Charter</w:t>
      </w:r>
      <w:r w:rsidRPr="001D4494">
        <w:t xml:space="preserve">, “would wrongly upset the dialogic balance.” When a statute is unambiguous, courts should give effect to the clearly expressed legislative intent, even if it leads to the conclusion that the statute was unconstitutional and should be struck down for breach of the </w:t>
      </w:r>
      <w:r w:rsidRPr="001D4494">
        <w:rPr>
          <w:i/>
        </w:rPr>
        <w:t>Charter</w:t>
      </w:r>
      <w:r>
        <w:t>.</w:t>
      </w:r>
    </w:p>
    <w:p w:rsidR="00A00D29" w:rsidRPr="001D4494" w:rsidRDefault="00A00D29" w:rsidP="00A00D29">
      <w:pPr>
        <w:pStyle w:val="ContinueReasonsNo-AltP"/>
      </w:pPr>
      <w:r w:rsidRPr="001D4494">
        <w:t xml:space="preserve">In this case, there is nothing in the </w:t>
      </w:r>
      <w:r w:rsidRPr="001F17A6">
        <w:rPr>
          <w:i/>
        </w:rPr>
        <w:t>AEPA</w:t>
      </w:r>
      <w:r w:rsidRPr="001D4494">
        <w:t xml:space="preserve"> that suggests that there is a reason to depart from the ordinary and </w:t>
      </w:r>
      <w:r>
        <w:t>grammatical sense of the words.</w:t>
      </w:r>
    </w:p>
    <w:p w:rsidR="00A00D29" w:rsidRPr="001D4494" w:rsidRDefault="00A00D29" w:rsidP="00F66299">
      <w:pPr>
        <w:pStyle w:val="ReasonsNumbering-AltN"/>
        <w:ind w:left="0" w:firstLine="0"/>
        <w:rPr>
          <w:rFonts w:cs="Times New Roman"/>
          <w:color w:val="000000"/>
          <w:szCs w:val="24"/>
          <w:u w:val="single"/>
        </w:rPr>
      </w:pPr>
      <w:r w:rsidRPr="001D4494">
        <w:rPr>
          <w:color w:val="000000"/>
        </w:rPr>
        <w:t xml:space="preserve">It is true, as my colleagues say, that the words “listen to” and “read” and “give the association a written </w:t>
      </w:r>
      <w:r>
        <w:rPr>
          <w:color w:val="000000"/>
        </w:rPr>
        <w:t>acknowledg</w:t>
      </w:r>
      <w:r w:rsidRPr="001D4494">
        <w:rPr>
          <w:color w:val="000000"/>
        </w:rPr>
        <w:t xml:space="preserve">ment” neither impose nor preclude a duty to bargain in good faith. However, this does not lead to ambiguity.  A duty to bargain in good faith, as discussed above, is a term of art in labour law that carries with it a complex series of reciprocal rights and obligations (see Adams, </w:t>
      </w:r>
      <w:r w:rsidR="00EB049E">
        <w:rPr>
          <w:color w:val="000000"/>
        </w:rPr>
        <w:t xml:space="preserve">vol. 2, </w:t>
      </w:r>
      <w:r w:rsidRPr="001D4494">
        <w:rPr>
          <w:color w:val="000000"/>
        </w:rPr>
        <w:t xml:space="preserve">at </w:t>
      </w:r>
      <w:r>
        <w:rPr>
          <w:color w:val="000000"/>
        </w:rPr>
        <w:t xml:space="preserve">pp. </w:t>
      </w:r>
      <w:r w:rsidRPr="001D4494">
        <w:rPr>
          <w:color w:val="000000"/>
        </w:rPr>
        <w:t>10-1</w:t>
      </w:r>
      <w:r>
        <w:rPr>
          <w:color w:val="000000"/>
        </w:rPr>
        <w:t xml:space="preserve">11 to 10-112, 10-122, </w:t>
      </w:r>
      <w:r w:rsidR="002A30BA">
        <w:rPr>
          <w:color w:val="000000"/>
        </w:rPr>
        <w:t xml:space="preserve">and </w:t>
      </w:r>
      <w:r>
        <w:rPr>
          <w:color w:val="000000"/>
        </w:rPr>
        <w:t>10-124 to 10-128</w:t>
      </w:r>
      <w:r w:rsidRPr="001D4494">
        <w:rPr>
          <w:color w:val="000000"/>
        </w:rPr>
        <w:t xml:space="preserve">). Where good faith bargaining is protected by statute it is explicitly included: </w:t>
      </w:r>
      <w:r>
        <w:rPr>
          <w:color w:val="000000"/>
        </w:rPr>
        <w:t xml:space="preserve">see, </w:t>
      </w:r>
      <w:r w:rsidRPr="001D4494">
        <w:rPr>
          <w:color w:val="000000"/>
        </w:rPr>
        <w:t>e</w:t>
      </w:r>
      <w:r w:rsidR="00DB4BD2">
        <w:rPr>
          <w:color w:val="000000"/>
        </w:rPr>
        <w:t>.g.</w:t>
      </w:r>
      <w:r>
        <w:rPr>
          <w:color w:val="000000"/>
        </w:rPr>
        <w:t>,</w:t>
      </w:r>
      <w:r w:rsidRPr="001D4494">
        <w:rPr>
          <w:color w:val="000000"/>
        </w:rPr>
        <w:t xml:space="preserve"> s. 17 of the Ontario </w:t>
      </w:r>
      <w:r w:rsidRPr="001D4494">
        <w:rPr>
          <w:i/>
          <w:color w:val="000000"/>
        </w:rPr>
        <w:t>L</w:t>
      </w:r>
      <w:r>
        <w:rPr>
          <w:i/>
          <w:color w:val="000000"/>
        </w:rPr>
        <w:t xml:space="preserve">abour </w:t>
      </w:r>
      <w:r w:rsidRPr="001D4494">
        <w:rPr>
          <w:i/>
          <w:color w:val="000000"/>
        </w:rPr>
        <w:t>R</w:t>
      </w:r>
      <w:r>
        <w:rPr>
          <w:i/>
          <w:color w:val="000000"/>
        </w:rPr>
        <w:t xml:space="preserve">elations </w:t>
      </w:r>
      <w:r w:rsidRPr="001D4494">
        <w:rPr>
          <w:i/>
          <w:color w:val="000000"/>
        </w:rPr>
        <w:t>A</w:t>
      </w:r>
      <w:r>
        <w:rPr>
          <w:i/>
          <w:color w:val="000000"/>
        </w:rPr>
        <w:t>ct, 1995</w:t>
      </w:r>
      <w:r>
        <w:rPr>
          <w:color w:val="000000"/>
        </w:rPr>
        <w:t>, S.O. 1995, c. 1</w:t>
      </w:r>
      <w:r w:rsidR="00EB049E">
        <w:rPr>
          <w:color w:val="000000"/>
        </w:rPr>
        <w:t>,</w:t>
      </w:r>
      <w:r>
        <w:rPr>
          <w:color w:val="000000"/>
        </w:rPr>
        <w:t xml:space="preserve"> Sch. A,</w:t>
      </w:r>
      <w:r w:rsidRPr="001D4494">
        <w:rPr>
          <w:i/>
          <w:color w:val="000000"/>
        </w:rPr>
        <w:t xml:space="preserve"> </w:t>
      </w:r>
      <w:r w:rsidRPr="001D4494">
        <w:rPr>
          <w:color w:val="000000"/>
        </w:rPr>
        <w:t xml:space="preserve">which requires that parties “shall bargain in good faith and make every reasonable effort to make a collective agreement”.  To simply imply </w:t>
      </w:r>
      <w:r w:rsidRPr="001D4494">
        <w:rPr>
          <w:color w:val="000000"/>
        </w:rPr>
        <w:lastRenderedPageBreak/>
        <w:t xml:space="preserve">the existence of a set of statutory </w:t>
      </w:r>
      <w:r>
        <w:rPr>
          <w:color w:val="000000"/>
        </w:rPr>
        <w:t>rights by the absence of a well-</w:t>
      </w:r>
      <w:r w:rsidRPr="001D4494">
        <w:rPr>
          <w:color w:val="000000"/>
        </w:rPr>
        <w:t>known term of art stretches the interpretive exercise beyond its breaking point.</w:t>
      </w:r>
    </w:p>
    <w:p w:rsidR="00A00D29" w:rsidRPr="001D4494" w:rsidRDefault="00A00D29" w:rsidP="00F66299">
      <w:pPr>
        <w:pStyle w:val="ReasonsNumbering-AltN"/>
        <w:ind w:left="0" w:firstLine="0"/>
        <w:rPr>
          <w:rFonts w:cs="Times New Roman"/>
          <w:color w:val="000000"/>
          <w:szCs w:val="24"/>
          <w:u w:val="single"/>
        </w:rPr>
      </w:pPr>
      <w:r w:rsidRPr="00F66299">
        <w:rPr>
          <w:color w:val="000000"/>
        </w:rPr>
        <w:t>The</w:t>
      </w:r>
      <w:r w:rsidRPr="001D4494">
        <w:rPr>
          <w:rFonts w:cs="Times New Roman"/>
          <w:color w:val="000000"/>
          <w:szCs w:val="24"/>
        </w:rPr>
        <w:t xml:space="preserve"> Chief Justice and LeBel J. say that “</w:t>
      </w:r>
      <w:r>
        <w:rPr>
          <w:rFonts w:cs="Times New Roman"/>
          <w:color w:val="000000"/>
          <w:szCs w:val="24"/>
        </w:rPr>
        <w:t>[</w:t>
      </w:r>
      <w:r w:rsidRPr="001D4494">
        <w:rPr>
          <w:rFonts w:cs="Times New Roman"/>
          <w:color w:val="000000"/>
          <w:szCs w:val="24"/>
        </w:rPr>
        <w:t>t</w:t>
      </w:r>
      <w:r>
        <w:rPr>
          <w:rFonts w:cs="Times New Roman"/>
          <w:color w:val="000000"/>
          <w:szCs w:val="24"/>
        </w:rPr>
        <w:t>]</w:t>
      </w:r>
      <w:r w:rsidRPr="001D4494">
        <w:rPr>
          <w:rFonts w:cs="Times New Roman"/>
          <w:color w:val="000000"/>
          <w:szCs w:val="24"/>
        </w:rPr>
        <w:t>here can only be one purpose for requiring the employer to listen to or read emp</w:t>
      </w:r>
      <w:r>
        <w:rPr>
          <w:rFonts w:cs="Times New Roman"/>
          <w:color w:val="000000"/>
          <w:szCs w:val="24"/>
        </w:rPr>
        <w:t xml:space="preserve">loyee </w:t>
      </w:r>
      <w:r w:rsidRPr="001D4494">
        <w:rPr>
          <w:rFonts w:cs="Times New Roman"/>
          <w:color w:val="000000"/>
          <w:szCs w:val="24"/>
        </w:rPr>
        <w:t>representations</w:t>
      </w:r>
      <w:r>
        <w:rPr>
          <w:rFonts w:cs="Times New Roman"/>
          <w:color w:val="000000"/>
          <w:szCs w:val="24"/>
        </w:rPr>
        <w:t xml:space="preserve"> —</w:t>
      </w:r>
      <w:r w:rsidRPr="001D4494">
        <w:rPr>
          <w:rFonts w:cs="Times New Roman"/>
          <w:color w:val="000000"/>
          <w:szCs w:val="24"/>
        </w:rPr>
        <w:t xml:space="preserve"> </w:t>
      </w:r>
      <w:r>
        <w:rPr>
          <w:rFonts w:cs="Times New Roman"/>
          <w:color w:val="000000"/>
          <w:szCs w:val="24"/>
        </w:rPr>
        <w:t xml:space="preserve">to </w:t>
      </w:r>
      <w:r w:rsidRPr="001D4494">
        <w:rPr>
          <w:rFonts w:cs="Times New Roman"/>
          <w:color w:val="000000"/>
          <w:szCs w:val="24"/>
        </w:rPr>
        <w:t xml:space="preserve">assure that the employer will in fact consider the employee representations” (para. 103).  They argue that this leads to the conclusion that s. 5 </w:t>
      </w:r>
      <w:proofErr w:type="gramStart"/>
      <w:r w:rsidRPr="001D4494">
        <w:rPr>
          <w:rFonts w:cs="Times New Roman"/>
          <w:color w:val="000000"/>
          <w:szCs w:val="24"/>
        </w:rPr>
        <w:t>includes</w:t>
      </w:r>
      <w:proofErr w:type="gramEnd"/>
      <w:r w:rsidRPr="001D4494">
        <w:rPr>
          <w:rFonts w:cs="Times New Roman"/>
          <w:color w:val="000000"/>
          <w:szCs w:val="24"/>
        </w:rPr>
        <w:t xml:space="preserve"> a duty on employers to engage in collective bargaining with employee associations.</w:t>
      </w:r>
    </w:p>
    <w:p w:rsidR="00A00D29" w:rsidRPr="001D4494" w:rsidRDefault="00A00D29" w:rsidP="00F66299">
      <w:pPr>
        <w:pStyle w:val="ReasonsNumbering-AltN"/>
        <w:ind w:left="0" w:firstLine="0"/>
        <w:rPr>
          <w:color w:val="000000"/>
          <w:szCs w:val="24"/>
          <w:u w:val="single"/>
        </w:rPr>
      </w:pPr>
      <w:r w:rsidRPr="00937A7C">
        <w:rPr>
          <w:color w:val="000000"/>
        </w:rPr>
        <w:t>The</w:t>
      </w:r>
      <w:r w:rsidRPr="001D4494">
        <w:rPr>
          <w:rFonts w:cs="Times New Roman"/>
          <w:color w:val="000000"/>
          <w:szCs w:val="24"/>
        </w:rPr>
        <w:t xml:space="preserve"> purpose of the </w:t>
      </w:r>
      <w:r w:rsidRPr="00FF41EF">
        <w:rPr>
          <w:rFonts w:cs="Times New Roman"/>
          <w:i/>
          <w:color w:val="000000"/>
          <w:szCs w:val="24"/>
        </w:rPr>
        <w:t>AEPA</w:t>
      </w:r>
      <w:r w:rsidRPr="001D4494">
        <w:rPr>
          <w:rFonts w:cs="Times New Roman"/>
          <w:color w:val="000000"/>
          <w:szCs w:val="24"/>
        </w:rPr>
        <w:t xml:space="preserve"> is set out expressly in s. 1:</w:t>
      </w:r>
    </w:p>
    <w:p w:rsidR="00A00D29" w:rsidRPr="001D4494" w:rsidRDefault="00A00D29" w:rsidP="00F66299">
      <w:pPr>
        <w:pStyle w:val="Citation-AltC"/>
        <w:spacing w:after="240"/>
        <w:contextualSpacing w:val="0"/>
      </w:pPr>
      <w:r>
        <w:rPr>
          <w:color w:val="000000"/>
        </w:rPr>
        <w:tab/>
      </w:r>
      <w:r>
        <w:rPr>
          <w:b/>
          <w:color w:val="000000"/>
        </w:rPr>
        <w:t xml:space="preserve">1. </w:t>
      </w:r>
      <w:r w:rsidRPr="00937A7C">
        <w:rPr>
          <w:color w:val="000000"/>
        </w:rPr>
        <w:t>(1) The purpose of this Act is to protect the rights of agricultural employees while having regard to the unique characteristics of agriculture, including, but not limited to, its seasonal</w:t>
      </w:r>
      <w:r w:rsidRPr="001D4494">
        <w:t xml:space="preserve"> nature, its sensiti</w:t>
      </w:r>
      <w:r>
        <w:t xml:space="preserve">vity to time and climate, the </w:t>
      </w:r>
      <w:proofErr w:type="spellStart"/>
      <w:r>
        <w:t>pe</w:t>
      </w:r>
      <w:r w:rsidRPr="001D4494">
        <w:t>rishability</w:t>
      </w:r>
      <w:proofErr w:type="spellEnd"/>
      <w:r w:rsidRPr="001D4494">
        <w:t xml:space="preserve"> of agricultural products and the need to protect animal and plant life.</w:t>
      </w:r>
    </w:p>
    <w:p w:rsidR="005672CD" w:rsidRPr="00B3234A" w:rsidRDefault="005672CD" w:rsidP="005672CD">
      <w:pPr>
        <w:pStyle w:val="Citation-AltC"/>
        <w:tabs>
          <w:tab w:val="left" w:pos="1170"/>
          <w:tab w:val="left" w:pos="1620"/>
        </w:tabs>
        <w:spacing w:after="240"/>
        <w:ind w:hanging="1166"/>
        <w:contextualSpacing w:val="0"/>
      </w:pPr>
      <w:r w:rsidRPr="00B3234A">
        <w:tab/>
      </w:r>
      <w:r>
        <w:tab/>
      </w:r>
      <w:r w:rsidRPr="00B3234A">
        <w:tab/>
        <w:t>(2)</w:t>
      </w:r>
      <w:r w:rsidRPr="00B3234A">
        <w:tab/>
        <w:t>The following are the rights of agricultural employees referred to in subsection (1):</w:t>
      </w:r>
    </w:p>
    <w:p w:rsidR="005672CD" w:rsidRPr="00B3234A" w:rsidRDefault="005672CD" w:rsidP="005672CD">
      <w:pPr>
        <w:pStyle w:val="Citation-AltC"/>
        <w:tabs>
          <w:tab w:val="left" w:pos="1620"/>
          <w:tab w:val="left" w:pos="2250"/>
        </w:tabs>
        <w:spacing w:after="240"/>
        <w:ind w:left="2250" w:hanging="2250"/>
        <w:contextualSpacing w:val="0"/>
      </w:pPr>
      <w:r w:rsidRPr="00B3234A">
        <w:tab/>
        <w:t>1.</w:t>
      </w:r>
      <w:r w:rsidRPr="00B3234A">
        <w:tab/>
        <w:t>The right to form or join an employees</w:t>
      </w:r>
      <w:r>
        <w:t>’</w:t>
      </w:r>
      <w:r w:rsidRPr="00B3234A">
        <w:t xml:space="preserve"> association.</w:t>
      </w:r>
    </w:p>
    <w:p w:rsidR="005672CD" w:rsidRPr="00B3234A" w:rsidRDefault="005672CD" w:rsidP="005672CD">
      <w:pPr>
        <w:pStyle w:val="Citation-AltC"/>
        <w:tabs>
          <w:tab w:val="left" w:pos="1620"/>
          <w:tab w:val="left" w:pos="2250"/>
        </w:tabs>
        <w:spacing w:after="240"/>
        <w:ind w:left="2250" w:hanging="2250"/>
        <w:contextualSpacing w:val="0"/>
      </w:pPr>
      <w:r w:rsidRPr="00B3234A">
        <w:tab/>
        <w:t>2.</w:t>
      </w:r>
      <w:r w:rsidRPr="00B3234A">
        <w:tab/>
        <w:t>The right to participate in the lawful activities of an employees</w:t>
      </w:r>
      <w:r>
        <w:t>’</w:t>
      </w:r>
      <w:r w:rsidRPr="00B3234A">
        <w:t xml:space="preserve"> association.</w:t>
      </w:r>
    </w:p>
    <w:p w:rsidR="005672CD" w:rsidRPr="00B3234A" w:rsidRDefault="005672CD" w:rsidP="005672CD">
      <w:pPr>
        <w:pStyle w:val="Citation-AltC"/>
        <w:tabs>
          <w:tab w:val="left" w:pos="1620"/>
          <w:tab w:val="left" w:pos="2250"/>
        </w:tabs>
        <w:spacing w:after="240"/>
        <w:ind w:left="2250" w:hanging="2250"/>
        <w:contextualSpacing w:val="0"/>
      </w:pPr>
      <w:r w:rsidRPr="00B3234A">
        <w:tab/>
        <w:t>3.</w:t>
      </w:r>
      <w:r w:rsidRPr="00B3234A">
        <w:tab/>
        <w:t>The right to assemble.</w:t>
      </w:r>
    </w:p>
    <w:p w:rsidR="005672CD" w:rsidRPr="00B3234A" w:rsidRDefault="005672CD" w:rsidP="005672CD">
      <w:pPr>
        <w:pStyle w:val="Citation-AltC"/>
        <w:tabs>
          <w:tab w:val="left" w:pos="1620"/>
          <w:tab w:val="left" w:pos="2250"/>
        </w:tabs>
        <w:spacing w:after="240"/>
        <w:ind w:left="2250" w:hanging="2250"/>
        <w:contextualSpacing w:val="0"/>
      </w:pPr>
      <w:r w:rsidRPr="00B3234A">
        <w:tab/>
        <w:t>4.</w:t>
      </w:r>
      <w:r w:rsidRPr="00B3234A">
        <w:tab/>
        <w:t>The right to make representations to their employers, through an employees</w:t>
      </w:r>
      <w:r>
        <w:t>’</w:t>
      </w:r>
      <w:r w:rsidRPr="00B3234A">
        <w:t xml:space="preserve"> association, respecting the terms and conditions of their employment.</w:t>
      </w:r>
    </w:p>
    <w:p w:rsidR="005672CD" w:rsidRPr="00B3234A" w:rsidRDefault="005672CD" w:rsidP="005672CD">
      <w:pPr>
        <w:pStyle w:val="Citation-AltC"/>
        <w:tabs>
          <w:tab w:val="left" w:pos="1620"/>
          <w:tab w:val="left" w:pos="2250"/>
        </w:tabs>
        <w:ind w:left="2246" w:hanging="2246"/>
        <w:contextualSpacing w:val="0"/>
      </w:pPr>
      <w:r w:rsidRPr="00B3234A">
        <w:tab/>
        <w:t>5.</w:t>
      </w:r>
      <w:r w:rsidRPr="00B3234A">
        <w:tab/>
        <w:t>The right to protection against interference, coercion and discrimination in the exercise of their rights.</w:t>
      </w:r>
    </w:p>
    <w:p w:rsidR="00A00D29" w:rsidRDefault="00A00D29" w:rsidP="00F66299">
      <w:pPr>
        <w:pStyle w:val="ReasonsNumbering-AltN"/>
        <w:ind w:left="0" w:firstLine="0"/>
        <w:rPr>
          <w:color w:val="000000"/>
          <w:szCs w:val="24"/>
        </w:rPr>
      </w:pPr>
      <w:r w:rsidRPr="00F66299">
        <w:rPr>
          <w:color w:val="000000"/>
        </w:rPr>
        <w:lastRenderedPageBreak/>
        <w:t>Nothing</w:t>
      </w:r>
      <w:r w:rsidRPr="001D4494">
        <w:rPr>
          <w:rFonts w:cs="Times New Roman"/>
          <w:color w:val="000000"/>
          <w:szCs w:val="24"/>
        </w:rPr>
        <w:t xml:space="preserve"> in the explicit s. 1 purpose supports the view that agricultural employees have a right to require agricultural employers to engage in collective bargaining.</w:t>
      </w:r>
    </w:p>
    <w:p w:rsidR="00A00D29" w:rsidRPr="001D4494" w:rsidRDefault="00A00D29" w:rsidP="00F66299">
      <w:pPr>
        <w:pStyle w:val="ReasonsNumbering-AltN"/>
        <w:ind w:left="0" w:firstLine="0"/>
        <w:rPr>
          <w:color w:val="000000"/>
          <w:szCs w:val="24"/>
        </w:rPr>
      </w:pPr>
      <w:r w:rsidRPr="001D4494">
        <w:rPr>
          <w:rFonts w:cs="Times New Roman"/>
          <w:color w:val="000000"/>
          <w:szCs w:val="24"/>
        </w:rPr>
        <w:t xml:space="preserve">My </w:t>
      </w:r>
      <w:r w:rsidRPr="00F66299">
        <w:rPr>
          <w:color w:val="000000"/>
        </w:rPr>
        <w:t>colleagues</w:t>
      </w:r>
      <w:r w:rsidRPr="001D4494">
        <w:rPr>
          <w:rFonts w:cs="Times New Roman"/>
          <w:color w:val="000000"/>
          <w:szCs w:val="24"/>
        </w:rPr>
        <w:t xml:space="preserve"> ask what purpose there could be to requiring employers to listen to or read employee representations if not to respond to them.  The answer is that the purpose is what the words say it is </w:t>
      </w:r>
      <w:r>
        <w:rPr>
          <w:rFonts w:cs="Times New Roman"/>
          <w:color w:val="000000"/>
          <w:szCs w:val="24"/>
        </w:rPr>
        <w:t>—</w:t>
      </w:r>
      <w:r w:rsidRPr="001D4494">
        <w:rPr>
          <w:rFonts w:cs="Times New Roman"/>
          <w:color w:val="000000"/>
          <w:szCs w:val="24"/>
        </w:rPr>
        <w:t xml:space="preserve"> to give employees the opportunity to more effectively put forward their representations by allowing them to do so collectively, rather than acting individually.  Given the unique nature of the agricultural industry as recognized in s. 1, an employer is at liberty to respond or not.  With respect, my colleagues interpretation of the words, “listen to” or “read” or “give the a</w:t>
      </w:r>
      <w:r>
        <w:rPr>
          <w:rFonts w:cs="Times New Roman"/>
          <w:color w:val="000000"/>
          <w:szCs w:val="24"/>
        </w:rPr>
        <w:t>ssociation a written acknowledg</w:t>
      </w:r>
      <w:r w:rsidRPr="001D4494">
        <w:rPr>
          <w:rFonts w:cs="Times New Roman"/>
          <w:color w:val="000000"/>
          <w:szCs w:val="24"/>
        </w:rPr>
        <w:t xml:space="preserve">ment” as including a duty on employers to engage in collective bargaining </w:t>
      </w:r>
      <w:r>
        <w:rPr>
          <w:rFonts w:cs="Times New Roman"/>
          <w:color w:val="000000"/>
          <w:szCs w:val="24"/>
        </w:rPr>
        <w:t xml:space="preserve">does not accord with the purpose as expressed by the plain language of the </w:t>
      </w:r>
      <w:r w:rsidRPr="00FF41EF">
        <w:rPr>
          <w:rFonts w:cs="Times New Roman"/>
          <w:i/>
          <w:color w:val="000000"/>
          <w:szCs w:val="24"/>
        </w:rPr>
        <w:t>AEPA</w:t>
      </w:r>
      <w:r>
        <w:rPr>
          <w:rFonts w:cs="Times New Roman"/>
          <w:color w:val="000000"/>
          <w:szCs w:val="24"/>
        </w:rPr>
        <w:t>.</w:t>
      </w:r>
    </w:p>
    <w:p w:rsidR="00A00D29" w:rsidRPr="001D4494" w:rsidRDefault="00A00D29" w:rsidP="00101BBB">
      <w:pPr>
        <w:pStyle w:val="ReasonsNumbering-AltN"/>
        <w:ind w:left="0" w:firstLine="0"/>
        <w:rPr>
          <w:rFonts w:cs="Times New Roman"/>
          <w:color w:val="000000"/>
          <w:szCs w:val="24"/>
        </w:rPr>
      </w:pPr>
      <w:r w:rsidRPr="00101BBB">
        <w:rPr>
          <w:color w:val="000000"/>
        </w:rPr>
        <w:t>Finally</w:t>
      </w:r>
      <w:r w:rsidRPr="001D4494">
        <w:t xml:space="preserve">, the Chief Justice and LeBel J. say that when the government of Ontario introduced the </w:t>
      </w:r>
      <w:r w:rsidRPr="00FF41EF">
        <w:rPr>
          <w:i/>
        </w:rPr>
        <w:t>AEPA</w:t>
      </w:r>
      <w:r w:rsidRPr="001D4494">
        <w:t xml:space="preserve"> it intended the legislation to provide protection for collective bargaining. </w:t>
      </w:r>
      <w:r>
        <w:t xml:space="preserve"> </w:t>
      </w:r>
      <w:r w:rsidRPr="001D4494">
        <w:t>They base their view on a</w:t>
      </w:r>
      <w:r>
        <w:t xml:space="preserve"> statement</w:t>
      </w:r>
      <w:r w:rsidRPr="001D4494">
        <w:t xml:space="preserve"> made by the Minister (at the time) that the Act was meant to meet the obligations set by this Court in </w:t>
      </w:r>
      <w:r w:rsidRPr="001D4494">
        <w:rPr>
          <w:i/>
        </w:rPr>
        <w:t>Dunmore</w:t>
      </w:r>
      <w:r w:rsidRPr="001D4494">
        <w:t xml:space="preserve">. </w:t>
      </w:r>
      <w:r>
        <w:t xml:space="preserve"> </w:t>
      </w:r>
      <w:r w:rsidRPr="001D4494">
        <w:t xml:space="preserve">They say because the Minister used the word “meaningful” </w:t>
      </w:r>
      <w:r>
        <w:t>s</w:t>
      </w:r>
      <w:r w:rsidRPr="001D4494">
        <w:t xml:space="preserve">he intended that the </w:t>
      </w:r>
      <w:r w:rsidRPr="00FF41EF">
        <w:rPr>
          <w:i/>
        </w:rPr>
        <w:t>AEPA</w:t>
      </w:r>
      <w:r w:rsidRPr="001D4494">
        <w:t xml:space="preserve"> would protect collective bargaining, as </w:t>
      </w:r>
      <w:r>
        <w:t xml:space="preserve">the majority of </w:t>
      </w:r>
      <w:r w:rsidRPr="001D4494">
        <w:t xml:space="preserve">this Court deemed necessary in </w:t>
      </w:r>
      <w:r w:rsidRPr="001D4494">
        <w:rPr>
          <w:rFonts w:cs="Times New Roman"/>
          <w:i/>
          <w:color w:val="000000"/>
          <w:szCs w:val="24"/>
        </w:rPr>
        <w:t>Health</w:t>
      </w:r>
      <w:r>
        <w:rPr>
          <w:rFonts w:cs="Times New Roman"/>
          <w:i/>
          <w:color w:val="000000"/>
          <w:szCs w:val="24"/>
        </w:rPr>
        <w:t xml:space="preserve"> Services</w:t>
      </w:r>
      <w:r w:rsidRPr="001D4494">
        <w:t xml:space="preserve">. </w:t>
      </w:r>
      <w:r>
        <w:t xml:space="preserve"> </w:t>
      </w:r>
      <w:r w:rsidRPr="001D4494">
        <w:t xml:space="preserve">They say this despite the fact that </w:t>
      </w:r>
      <w:r w:rsidRPr="001D4494">
        <w:rPr>
          <w:rFonts w:cs="Times New Roman"/>
          <w:i/>
          <w:color w:val="000000"/>
          <w:szCs w:val="24"/>
        </w:rPr>
        <w:t>Health</w:t>
      </w:r>
      <w:r>
        <w:rPr>
          <w:rFonts w:cs="Times New Roman"/>
          <w:i/>
          <w:color w:val="000000"/>
          <w:szCs w:val="24"/>
        </w:rPr>
        <w:t xml:space="preserve"> Services</w:t>
      </w:r>
      <w:r w:rsidRPr="001D4494">
        <w:rPr>
          <w:i/>
        </w:rPr>
        <w:t xml:space="preserve"> </w:t>
      </w:r>
      <w:r w:rsidRPr="001D4494">
        <w:t xml:space="preserve">had not yet been written or even argued before this Court. </w:t>
      </w:r>
      <w:r>
        <w:t xml:space="preserve"> </w:t>
      </w:r>
      <w:r w:rsidRPr="001D4494">
        <w:t xml:space="preserve">They say this </w:t>
      </w:r>
      <w:r w:rsidRPr="001D4494">
        <w:lastRenderedPageBreak/>
        <w:t>despite an explicit statement made by the Minister, which they quote</w:t>
      </w:r>
      <w:r w:rsidR="00EB049E">
        <w:t xml:space="preserve"> at para. 106</w:t>
      </w:r>
      <w:r w:rsidRPr="001D4494">
        <w:t xml:space="preserve">, that stated that the </w:t>
      </w:r>
      <w:r w:rsidRPr="00FF41EF">
        <w:rPr>
          <w:i/>
        </w:rPr>
        <w:t>AEPA</w:t>
      </w:r>
      <w:r w:rsidRPr="001D4494">
        <w:t xml:space="preserve"> </w:t>
      </w:r>
      <w:r>
        <w:t>was not intended to</w:t>
      </w:r>
      <w:r w:rsidRPr="001D4494">
        <w:t xml:space="preserve"> </w:t>
      </w:r>
      <w:r>
        <w:t>“</w:t>
      </w:r>
      <w:r w:rsidRPr="001D4494">
        <w:t xml:space="preserve">extend collective bargaining to agricultural workers”.  They suggest that the Minister was only disclaiming </w:t>
      </w:r>
      <w:r w:rsidRPr="00AB3C57">
        <w:rPr>
          <w:i/>
        </w:rPr>
        <w:t>Wagner Act</w:t>
      </w:r>
      <w:r w:rsidRPr="001D4494">
        <w:t xml:space="preserve"> collective bargaining, rather than collective bargaining as they frame the term</w:t>
      </w:r>
      <w:r>
        <w:t xml:space="preserve"> (</w:t>
      </w:r>
      <w:r w:rsidR="00EB049E" w:rsidRPr="00EB049E">
        <w:rPr>
          <w:i/>
        </w:rPr>
        <w:t>ibid.</w:t>
      </w:r>
      <w:r w:rsidRPr="001D4494">
        <w:t>).</w:t>
      </w:r>
    </w:p>
    <w:p w:rsidR="00A00D29" w:rsidRPr="001D4494" w:rsidRDefault="00A00D29" w:rsidP="00101BBB">
      <w:pPr>
        <w:pStyle w:val="ReasonsNumbering-AltN"/>
        <w:ind w:left="0" w:firstLine="0"/>
        <w:rPr>
          <w:rFonts w:cs="Times New Roman"/>
          <w:color w:val="000000"/>
          <w:szCs w:val="24"/>
        </w:rPr>
      </w:pPr>
      <w:r w:rsidRPr="001D4494">
        <w:t xml:space="preserve">As with the words of the </w:t>
      </w:r>
      <w:r w:rsidRPr="00AB3C57">
        <w:rPr>
          <w:i/>
        </w:rPr>
        <w:t>AEPA</w:t>
      </w:r>
      <w:r w:rsidRPr="001D4494">
        <w:t xml:space="preserve">, I read </w:t>
      </w:r>
      <w:r>
        <w:t xml:space="preserve">the </w:t>
      </w:r>
      <w:r w:rsidRPr="001D4494">
        <w:t xml:space="preserve">words of the Minister plainly as presented.  The comments quoted by the Chief Justice and LeBel J. indicate that </w:t>
      </w:r>
      <w:r>
        <w:t xml:space="preserve">the </w:t>
      </w:r>
      <w:r w:rsidRPr="00AB3C57">
        <w:rPr>
          <w:i/>
        </w:rPr>
        <w:t>AEPA</w:t>
      </w:r>
      <w:r w:rsidRPr="001D4494">
        <w:t xml:space="preserve"> was intended to meet the obligations in </w:t>
      </w:r>
      <w:r w:rsidRPr="001D4494">
        <w:rPr>
          <w:i/>
        </w:rPr>
        <w:t>Dunmore</w:t>
      </w:r>
      <w:r w:rsidRPr="001D4494">
        <w:t xml:space="preserve">, which </w:t>
      </w:r>
      <w:r w:rsidRPr="00101BBB">
        <w:rPr>
          <w:color w:val="000000"/>
        </w:rPr>
        <w:t>did</w:t>
      </w:r>
      <w:r w:rsidRPr="001D4494">
        <w:t xml:space="preserve"> not include an obligation on employers to engage in collective bargaining.  Given the absence of any requirement for collective bargaining in either </w:t>
      </w:r>
      <w:r w:rsidRPr="001D4494">
        <w:rPr>
          <w:i/>
        </w:rPr>
        <w:t>Dunmore</w:t>
      </w:r>
      <w:r w:rsidRPr="001D4494">
        <w:t xml:space="preserve"> or the </w:t>
      </w:r>
      <w:r w:rsidRPr="00AB3C57">
        <w:rPr>
          <w:i/>
        </w:rPr>
        <w:t>AEPA</w:t>
      </w:r>
      <w:r w:rsidRPr="001D4494">
        <w:t xml:space="preserve"> the Minister’s comments support a plain reading of s. 5 as imposing only a duty to “listen to” or “read” the representations and “give the association a written </w:t>
      </w:r>
      <w:r>
        <w:t>acknowledg</w:t>
      </w:r>
      <w:r w:rsidRPr="001D4494">
        <w:t>ment” if the representations are made in writing.</w:t>
      </w:r>
    </w:p>
    <w:p w:rsidR="00A00D29" w:rsidRPr="001D4494" w:rsidRDefault="00A00D29" w:rsidP="00101BBB">
      <w:pPr>
        <w:pStyle w:val="ReasonsNumbering-AltN"/>
        <w:ind w:left="0" w:firstLine="0"/>
        <w:rPr>
          <w:color w:val="000000"/>
          <w:u w:val="single"/>
        </w:rPr>
      </w:pPr>
      <w:r w:rsidRPr="001D4494">
        <w:rPr>
          <w:rFonts w:cs="Times New Roman"/>
          <w:color w:val="000000"/>
          <w:szCs w:val="24"/>
        </w:rPr>
        <w:t xml:space="preserve">As the Chief Justice and LeBel J. are of the view that agricultural employers in Ontario have a duty of collective bargaining, the appropriate remedy would have to be a declaration that the </w:t>
      </w:r>
      <w:r w:rsidRPr="00AB3C57">
        <w:rPr>
          <w:rFonts w:cs="Times New Roman"/>
          <w:i/>
          <w:color w:val="000000"/>
          <w:szCs w:val="24"/>
        </w:rPr>
        <w:t>AEPA</w:t>
      </w:r>
      <w:r w:rsidRPr="001D4494">
        <w:rPr>
          <w:rFonts w:cs="Times New Roman"/>
          <w:color w:val="000000"/>
          <w:szCs w:val="24"/>
        </w:rPr>
        <w:t xml:space="preserve"> is unconstitutional in its present form and expressly reading in words empowering the </w:t>
      </w:r>
      <w:r>
        <w:rPr>
          <w:rFonts w:cs="Times New Roman"/>
          <w:color w:val="000000"/>
          <w:szCs w:val="24"/>
        </w:rPr>
        <w:t xml:space="preserve">Agriculture, Food and Rural Affairs Appeal </w:t>
      </w:r>
      <w:r w:rsidRPr="001D4494">
        <w:rPr>
          <w:rFonts w:cs="Times New Roman"/>
          <w:color w:val="000000"/>
          <w:szCs w:val="24"/>
        </w:rPr>
        <w:t>Tribunal to order employers to engage in collective bargaining.  With respec</w:t>
      </w:r>
      <w:r>
        <w:rPr>
          <w:rFonts w:cs="Times New Roman"/>
          <w:color w:val="000000"/>
          <w:szCs w:val="24"/>
        </w:rPr>
        <w:t>t,</w:t>
      </w:r>
      <w:r w:rsidRPr="00937A7C">
        <w:rPr>
          <w:i/>
          <w:color w:val="000000"/>
        </w:rPr>
        <w:t xml:space="preserve"> </w:t>
      </w:r>
      <w:r w:rsidRPr="001D4494">
        <w:rPr>
          <w:rFonts w:cs="Times New Roman"/>
          <w:color w:val="000000"/>
          <w:szCs w:val="24"/>
        </w:rPr>
        <w:t xml:space="preserve">my colleagues’ approach goes beyond the normal constraints of statutory interpretation; it amounts to an implied reading into the </w:t>
      </w:r>
      <w:r w:rsidRPr="00AB3C57">
        <w:rPr>
          <w:rFonts w:cs="Times New Roman"/>
          <w:i/>
          <w:color w:val="000000"/>
          <w:szCs w:val="24"/>
        </w:rPr>
        <w:t>AEPA</w:t>
      </w:r>
      <w:r w:rsidRPr="001D4494">
        <w:rPr>
          <w:rFonts w:cs="Times New Roman"/>
          <w:color w:val="000000"/>
          <w:szCs w:val="24"/>
        </w:rPr>
        <w:t xml:space="preserve"> the duty of collective bargaining without declaring the Act unconstitutional.  The remedial approach of the </w:t>
      </w:r>
      <w:r w:rsidRPr="001D4494">
        <w:rPr>
          <w:rFonts w:cs="Times New Roman"/>
          <w:color w:val="000000"/>
          <w:szCs w:val="24"/>
        </w:rPr>
        <w:lastRenderedPageBreak/>
        <w:t>Chief Justice and LeBel J. is, in my respectful view, entirely novel and unprecedented.</w:t>
      </w:r>
    </w:p>
    <w:p w:rsidR="00A00D29" w:rsidRDefault="00A00D29" w:rsidP="00101BBB">
      <w:pPr>
        <w:pStyle w:val="ReasonsNumbering-AltN"/>
        <w:ind w:left="0" w:firstLine="0"/>
        <w:rPr>
          <w:color w:val="000000"/>
        </w:rPr>
      </w:pPr>
      <w:r w:rsidRPr="001D4494">
        <w:rPr>
          <w:rFonts w:cs="Times New Roman"/>
          <w:color w:val="000000"/>
          <w:szCs w:val="24"/>
        </w:rPr>
        <w:t>A</w:t>
      </w:r>
      <w:r w:rsidRPr="00937A7C">
        <w:rPr>
          <w:color w:val="000000"/>
        </w:rPr>
        <w:t xml:space="preserve">s I </w:t>
      </w:r>
      <w:r w:rsidRPr="001D4494">
        <w:rPr>
          <w:rFonts w:cs="Times New Roman"/>
          <w:color w:val="000000"/>
          <w:szCs w:val="24"/>
        </w:rPr>
        <w:t xml:space="preserve">have explained earlier, </w:t>
      </w:r>
      <w:r w:rsidRPr="00937A7C">
        <w:rPr>
          <w:color w:val="000000"/>
        </w:rPr>
        <w:t>the proper judicial approach in matters of labour relations law is deference to the legislature.  The imposition of a duty to bargain in good faith, like many other aspects of labour relations law, has the potential to reshape the economic landscape of entire industries by strengthening the position of organized labour.  Such an outcome may be desirable, but the</w:t>
      </w:r>
      <w:r w:rsidRPr="00937A7C">
        <w:rPr>
          <w:i/>
          <w:color w:val="000000"/>
        </w:rPr>
        <w:t xml:space="preserve"> </w:t>
      </w:r>
      <w:r w:rsidR="00DB4BD2">
        <w:rPr>
          <w:color w:val="000000"/>
        </w:rPr>
        <w:t xml:space="preserve">courts are not well </w:t>
      </w:r>
      <w:r>
        <w:rPr>
          <w:color w:val="000000"/>
        </w:rPr>
        <w:t>s</w:t>
      </w:r>
      <w:r w:rsidRPr="00937A7C">
        <w:rPr>
          <w:color w:val="000000"/>
        </w:rPr>
        <w:t xml:space="preserve">uited to determining whether or not it is.  Decisions of this kind require a balancing of interests rather than the application of legal principles, and they are best made after having consulted with and receiving representations from the various stakeholders whose livelihoods and economic interests are likely to be affected.  Courts do not have the expertise or the institutional capacity to undertake such a process and </w:t>
      </w:r>
      <w:r w:rsidRPr="00AB3C57">
        <w:rPr>
          <w:color w:val="000000"/>
        </w:rPr>
        <w:t>thus are</w:t>
      </w:r>
      <w:r>
        <w:t xml:space="preserve"> </w:t>
      </w:r>
      <w:r w:rsidRPr="00AB3C57">
        <w:rPr>
          <w:rFonts w:cs="Times New Roman"/>
          <w:szCs w:val="24"/>
        </w:rPr>
        <w:t>not we</w:t>
      </w:r>
      <w:r w:rsidRPr="001D4494">
        <w:rPr>
          <w:rFonts w:cs="Times New Roman"/>
          <w:szCs w:val="24"/>
        </w:rPr>
        <w:t xml:space="preserve">ll equipped to make an informed decision.  If a duty to bargain in good faith is to be imposed, it should be by the legislature and not the </w:t>
      </w:r>
      <w:r w:rsidRPr="005F4D95">
        <w:rPr>
          <w:rFonts w:cs="Times New Roman"/>
          <w:szCs w:val="24"/>
        </w:rPr>
        <w:t>court.</w:t>
      </w:r>
    </w:p>
    <w:p w:rsidR="00A00D29" w:rsidRPr="001D4494" w:rsidRDefault="00A00D29" w:rsidP="00101BBB">
      <w:pPr>
        <w:pStyle w:val="ReasonsNumbering-AltN"/>
        <w:ind w:left="0" w:firstLine="0"/>
        <w:rPr>
          <w:rFonts w:cs="Times New Roman"/>
          <w:szCs w:val="24"/>
        </w:rPr>
      </w:pPr>
      <w:r w:rsidRPr="001D4494">
        <w:rPr>
          <w:rFonts w:cs="Times New Roman"/>
          <w:szCs w:val="24"/>
        </w:rPr>
        <w:t>The</w:t>
      </w:r>
      <w:r w:rsidRPr="001D4494">
        <w:rPr>
          <w:rFonts w:cs="Times New Roman"/>
          <w:color w:val="000000"/>
          <w:szCs w:val="24"/>
        </w:rPr>
        <w:t xml:space="preserve"> Chief Justice and LeBel J. say that the freedom to engage in a coordinated attempt to negotiate with one’s employer is “meaningless” if it is not backed up by a reciprocal duty on the part of the employer.  I cannot agree.  The right to make representations in association is not meaningless.  It is meaningful because of the increased persuasive weight carried by collective representations rather than </w:t>
      </w:r>
      <w:r w:rsidRPr="001D4494">
        <w:rPr>
          <w:rFonts w:cs="Times New Roman"/>
          <w:color w:val="000000"/>
          <w:szCs w:val="24"/>
        </w:rPr>
        <w:lastRenderedPageBreak/>
        <w:t xml:space="preserve">individual representations.  Indeed political parties are formed on this precise premise.  As Le Dain J. noted in the </w:t>
      </w:r>
      <w:r w:rsidRPr="001D4494">
        <w:rPr>
          <w:rFonts w:cs="Times New Roman"/>
          <w:i/>
          <w:color w:val="000000"/>
          <w:szCs w:val="24"/>
        </w:rPr>
        <w:t>Alberta Reference</w:t>
      </w:r>
      <w:r>
        <w:rPr>
          <w:rFonts w:cs="Times New Roman"/>
          <w:color w:val="000000"/>
          <w:szCs w:val="24"/>
        </w:rPr>
        <w:t>,</w:t>
      </w:r>
      <w:r w:rsidRPr="001D4494">
        <w:rPr>
          <w:rFonts w:cs="Times New Roman"/>
          <w:color w:val="000000"/>
          <w:szCs w:val="24"/>
        </w:rPr>
        <w:t xml:space="preserve"> at</w:t>
      </w:r>
      <w:r>
        <w:rPr>
          <w:rFonts w:cs="Times New Roman"/>
          <w:color w:val="000000"/>
          <w:szCs w:val="24"/>
        </w:rPr>
        <w:t xml:space="preserve"> p. 391:</w:t>
      </w:r>
    </w:p>
    <w:p w:rsidR="00A00D29" w:rsidRPr="001D4494" w:rsidRDefault="00A00D29" w:rsidP="00A00D29">
      <w:pPr>
        <w:pStyle w:val="Citation-AltC"/>
      </w:pPr>
      <w:r>
        <w:t xml:space="preserve">. . . </w:t>
      </w:r>
      <w:proofErr w:type="gramStart"/>
      <w:r>
        <w:t>t</w:t>
      </w:r>
      <w:r w:rsidRPr="001D4494">
        <w:t>he</w:t>
      </w:r>
      <w:proofErr w:type="gramEnd"/>
      <w:r w:rsidRPr="001D4494">
        <w:t xml:space="preserve"> freedom to work for the establishment of an association, to belong to an association, to maintain it, and to participate in its lawful activity without penalty or reprisal i</w:t>
      </w:r>
      <w:r>
        <w:t>s not to be taken for granted. . . .</w:t>
      </w:r>
      <w:r w:rsidRPr="001D4494">
        <w:t xml:space="preserve"> It is a freedom that has been suppressed in varying degrees from time to time by totalitarian regimes.</w:t>
      </w:r>
    </w:p>
    <w:p w:rsidR="00A00D29" w:rsidRPr="001D4494" w:rsidRDefault="00A00D29" w:rsidP="00101BBB">
      <w:pPr>
        <w:pStyle w:val="ReasonsNumbering-AltN"/>
        <w:ind w:left="0" w:firstLine="0"/>
        <w:rPr>
          <w:color w:val="000000"/>
          <w:szCs w:val="24"/>
          <w:u w:val="single"/>
        </w:rPr>
      </w:pPr>
      <w:r w:rsidRPr="001D4494">
        <w:rPr>
          <w:rFonts w:cs="Times New Roman"/>
          <w:color w:val="000000"/>
          <w:szCs w:val="24"/>
        </w:rPr>
        <w:t>Canadians are accustomed to sound government and the respect for our personal liberties.  For this reason, basic freedoms that are</w:t>
      </w:r>
      <w:r w:rsidRPr="001D4494">
        <w:rPr>
          <w:rFonts w:cs="Times New Roman"/>
          <w:i/>
          <w:color w:val="000000"/>
          <w:szCs w:val="24"/>
        </w:rPr>
        <w:t xml:space="preserve"> </w:t>
      </w:r>
      <w:r w:rsidRPr="001D4494">
        <w:rPr>
          <w:rFonts w:cs="Times New Roman"/>
          <w:color w:val="000000"/>
          <w:szCs w:val="24"/>
        </w:rPr>
        <w:t>essential</w:t>
      </w:r>
      <w:r w:rsidRPr="001D4494">
        <w:rPr>
          <w:rFonts w:cs="Times New Roman"/>
          <w:i/>
          <w:color w:val="000000"/>
          <w:szCs w:val="24"/>
        </w:rPr>
        <w:t xml:space="preserve"> </w:t>
      </w:r>
      <w:r w:rsidRPr="001D4494">
        <w:rPr>
          <w:rFonts w:cs="Times New Roman"/>
          <w:color w:val="000000"/>
          <w:szCs w:val="24"/>
        </w:rPr>
        <w:t>to the preservation of an open and democratic society may come to be taken for granted and their constitutional protection thought of as meaningless. However, freedom, unconstrained by oppressive government, is, indeed, more than meaningful.  It is invaluable.</w:t>
      </w:r>
    </w:p>
    <w:p w:rsidR="00A00D29" w:rsidRPr="001D4494" w:rsidRDefault="00A00D29" w:rsidP="00101BBB">
      <w:pPr>
        <w:pStyle w:val="ReasonsNumbering-AltN"/>
        <w:ind w:left="0" w:firstLine="0"/>
        <w:rPr>
          <w:rFonts w:cs="Times New Roman"/>
          <w:szCs w:val="24"/>
        </w:rPr>
      </w:pPr>
      <w:r w:rsidRPr="00101BBB">
        <w:rPr>
          <w:color w:val="000000"/>
        </w:rPr>
        <w:t>Accordingly</w:t>
      </w:r>
      <w:r w:rsidRPr="001D4494">
        <w:rPr>
          <w:rFonts w:cs="Times New Roman"/>
          <w:szCs w:val="24"/>
        </w:rPr>
        <w:t xml:space="preserve">, on the </w:t>
      </w:r>
      <w:r w:rsidRPr="00937A7C">
        <w:t>matte</w:t>
      </w:r>
      <w:r w:rsidRPr="001D4494">
        <w:rPr>
          <w:rFonts w:cs="Times New Roman"/>
          <w:szCs w:val="24"/>
        </w:rPr>
        <w:t>r of s. 2(</w:t>
      </w:r>
      <w:r w:rsidRPr="005F4D95">
        <w:rPr>
          <w:rFonts w:cs="Times New Roman"/>
          <w:i/>
          <w:szCs w:val="24"/>
        </w:rPr>
        <w:t>d</w:t>
      </w:r>
      <w:r w:rsidRPr="001D4494">
        <w:rPr>
          <w:rFonts w:cs="Times New Roman"/>
          <w:szCs w:val="24"/>
        </w:rPr>
        <w:t xml:space="preserve">) of the </w:t>
      </w:r>
      <w:r w:rsidRPr="001D4494">
        <w:rPr>
          <w:rFonts w:cs="Times New Roman"/>
          <w:i/>
          <w:szCs w:val="24"/>
        </w:rPr>
        <w:t>Charter</w:t>
      </w:r>
      <w:r w:rsidRPr="001D4494">
        <w:rPr>
          <w:rFonts w:cs="Times New Roman"/>
          <w:szCs w:val="24"/>
        </w:rPr>
        <w:t xml:space="preserve">, I find that I cannot agree with </w:t>
      </w:r>
      <w:r>
        <w:rPr>
          <w:rFonts w:cs="Times New Roman"/>
          <w:szCs w:val="24"/>
        </w:rPr>
        <w:t>the Chief Justice and LeBel J.</w:t>
      </w:r>
    </w:p>
    <w:p w:rsidR="00A00D29" w:rsidRPr="001D4494" w:rsidRDefault="00A00D29" w:rsidP="00101BBB">
      <w:pPr>
        <w:pStyle w:val="ReasonsNumbering-AltN"/>
        <w:ind w:left="0" w:firstLine="0"/>
        <w:rPr>
          <w:rFonts w:cs="Times New Roman"/>
          <w:szCs w:val="24"/>
        </w:rPr>
      </w:pPr>
      <w:r w:rsidRPr="001D4494">
        <w:rPr>
          <w:rFonts w:cs="Times New Roman"/>
          <w:szCs w:val="24"/>
        </w:rPr>
        <w:t>I am in agreement with the Chief Justice and LeBel J. as to their disposition of the issues under s. 15.  On the record befo</w:t>
      </w:r>
      <w:r>
        <w:rPr>
          <w:rFonts w:cs="Times New Roman"/>
          <w:szCs w:val="24"/>
        </w:rPr>
        <w:t>re this Court, the category of “</w:t>
      </w:r>
      <w:r w:rsidRPr="001D4494">
        <w:rPr>
          <w:rFonts w:cs="Times New Roman"/>
          <w:szCs w:val="24"/>
        </w:rPr>
        <w:t>agricultural worker</w:t>
      </w:r>
      <w:r>
        <w:rPr>
          <w:rFonts w:cs="Times New Roman"/>
          <w:szCs w:val="24"/>
        </w:rPr>
        <w:t>”</w:t>
      </w:r>
      <w:r w:rsidRPr="001D4494">
        <w:rPr>
          <w:rFonts w:cs="Times New Roman"/>
          <w:szCs w:val="24"/>
        </w:rPr>
        <w:t xml:space="preserve"> does not rise to the level of an immutable (or constructively immutable) personal characteristic of the sort that would merit protection against discrimination under s. 15. </w:t>
      </w:r>
    </w:p>
    <w:p w:rsidR="00A00D29" w:rsidRDefault="00A00D29" w:rsidP="00101BBB">
      <w:pPr>
        <w:pStyle w:val="HeadingTitre-AltH"/>
        <w:spacing w:after="720"/>
      </w:pPr>
      <w:r w:rsidRPr="001D4494">
        <w:t>VIII</w:t>
      </w:r>
      <w:r>
        <w:t>.</w:t>
      </w:r>
      <w:r w:rsidRPr="001D4494">
        <w:tab/>
      </w:r>
      <w:r w:rsidRPr="00395C4A">
        <w:rPr>
          <w:u w:val="single"/>
        </w:rPr>
        <w:t>Conclusion</w:t>
      </w:r>
    </w:p>
    <w:p w:rsidR="00A00D29" w:rsidRDefault="00A00D29" w:rsidP="007018EC">
      <w:pPr>
        <w:pStyle w:val="ReasonsNumbering-AltN"/>
        <w:ind w:left="0" w:firstLine="0"/>
      </w:pPr>
      <w:r w:rsidRPr="007018EC">
        <w:rPr>
          <w:rFonts w:cs="Times New Roman"/>
          <w:szCs w:val="24"/>
        </w:rPr>
        <w:lastRenderedPageBreak/>
        <w:t xml:space="preserve">For </w:t>
      </w:r>
      <w:r w:rsidRPr="007018EC">
        <w:rPr>
          <w:color w:val="000000"/>
        </w:rPr>
        <w:t>these</w:t>
      </w:r>
      <w:r w:rsidRPr="007018EC">
        <w:rPr>
          <w:rFonts w:cs="Times New Roman"/>
          <w:szCs w:val="24"/>
        </w:rPr>
        <w:t xml:space="preserve"> reasons, I would dispose of the constitutional questions in the same way as the Chief Justice and LeBel J., allow the appeal and restore the judgment of Farley J.</w:t>
      </w:r>
    </w:p>
    <w:p w:rsidR="007018EC" w:rsidRPr="007018EC" w:rsidRDefault="007018EC" w:rsidP="00A00D29">
      <w:pPr>
        <w:tabs>
          <w:tab w:val="left" w:pos="-1440"/>
          <w:tab w:val="left" w:pos="-720"/>
          <w:tab w:val="left" w:pos="1170"/>
        </w:tabs>
        <w:spacing w:after="480" w:line="480" w:lineRule="auto"/>
        <w:jc w:val="both"/>
      </w:pPr>
      <w:r>
        <w:tab/>
        <w:t>The following are the reasons delivered by</w:t>
      </w:r>
    </w:p>
    <w:p w:rsidR="00A00D29" w:rsidRPr="00D62A07" w:rsidRDefault="00402449" w:rsidP="00101BBB">
      <w:pPr>
        <w:pStyle w:val="ReasonsNumbering-AltN"/>
        <w:ind w:left="0" w:firstLine="0"/>
        <w:rPr>
          <w:lang w:val="en-US"/>
        </w:rPr>
      </w:pPr>
      <w:r w:rsidRPr="00D62A07">
        <w:rPr>
          <w:smallCaps/>
        </w:rPr>
        <w:t>Deschamps J.</w:t>
      </w:r>
      <w:r w:rsidRPr="00D62A07">
        <w:t xml:space="preserve"> — </w:t>
      </w:r>
      <w:r w:rsidR="00A00D29" w:rsidRPr="00101BBB">
        <w:rPr>
          <w:rFonts w:cs="Times New Roman"/>
          <w:szCs w:val="24"/>
        </w:rPr>
        <w:t>Canadian</w:t>
      </w:r>
      <w:r w:rsidR="00A00D29" w:rsidRPr="00D62A07">
        <w:rPr>
          <w:lang w:val="en-US"/>
        </w:rPr>
        <w:t xml:space="preserve"> labour law is not static. Over the years, some of the changes in this field have been reflected in judicial decisions, such as those on freedom of association under s. 2(</w:t>
      </w:r>
      <w:r w:rsidR="00A00D29" w:rsidRPr="00D62A07">
        <w:rPr>
          <w:i/>
          <w:lang w:val="en-US"/>
        </w:rPr>
        <w:t>d</w:t>
      </w:r>
      <w:r w:rsidR="00A00D29" w:rsidRPr="00D62A07">
        <w:rPr>
          <w:lang w:val="en-US"/>
        </w:rPr>
        <w:t xml:space="preserve">) of the </w:t>
      </w:r>
      <w:r w:rsidR="00A00D29" w:rsidRPr="00D62A07">
        <w:rPr>
          <w:i/>
          <w:lang w:val="en-US"/>
        </w:rPr>
        <w:t>Canadian Charter of Rights and Freedoms</w:t>
      </w:r>
      <w:r w:rsidR="00A00D29" w:rsidRPr="00D62A07">
        <w:rPr>
          <w:lang w:val="en-US"/>
        </w:rPr>
        <w:t xml:space="preserve">. </w:t>
      </w:r>
      <w:r w:rsidR="00A00D29" w:rsidRPr="00D62A07">
        <w:rPr>
          <w:i/>
          <w:lang w:val="en-US"/>
        </w:rPr>
        <w:t xml:space="preserve">Health Services and Support </w:t>
      </w:r>
      <w:r>
        <w:rPr>
          <w:rFonts w:cs="Times New Roman"/>
          <w:i/>
          <w:lang w:val="en-US"/>
        </w:rPr>
        <w:t>—</w:t>
      </w:r>
      <w:r w:rsidR="00A00D29" w:rsidRPr="00D62A07">
        <w:rPr>
          <w:i/>
          <w:lang w:val="en-US"/>
        </w:rPr>
        <w:t xml:space="preserve"> Facilities Subsector Bargaining Assn. v. British Columbia</w:t>
      </w:r>
      <w:r w:rsidR="00A00D29" w:rsidRPr="00D62A07">
        <w:rPr>
          <w:lang w:val="en-US"/>
        </w:rPr>
        <w:t>, 2007 SCC 27, [2007] 2 S.C.R. 391, fed expectations, but it also caused some bewilderment. More importantly, it generated an unnecessary debate about whether a duty to bargain in good faith</w:t>
      </w:r>
      <w:r w:rsidR="00A00D29" w:rsidRPr="00D62A07">
        <w:rPr>
          <w:color w:val="000000"/>
          <w:lang w:val="en-US"/>
        </w:rPr>
        <w:t xml:space="preserve"> has been imposed on employers</w:t>
      </w:r>
      <w:r w:rsidR="00A00D29" w:rsidRPr="00D62A07">
        <w:rPr>
          <w:lang w:val="en-US"/>
        </w:rPr>
        <w:t>. I will begin by demonstrating why</w:t>
      </w:r>
      <w:r w:rsidR="00A00D29" w:rsidRPr="00D62A07">
        <w:rPr>
          <w:color w:val="000000"/>
          <w:lang w:val="en-US"/>
        </w:rPr>
        <w:t>, in my view,</w:t>
      </w:r>
      <w:r w:rsidR="00A00D29" w:rsidRPr="00D62A07">
        <w:rPr>
          <w:lang w:val="en-US"/>
        </w:rPr>
        <w:t xml:space="preserve"> the case at bar can and should be resolved on the basis of the answers this Court actually gave to the questions raised in </w:t>
      </w:r>
      <w:r w:rsidR="00A00D29" w:rsidRPr="00D62A07">
        <w:rPr>
          <w:i/>
          <w:lang w:val="en-US"/>
        </w:rPr>
        <w:t>Health</w:t>
      </w:r>
      <w:r w:rsidR="00A00D29" w:rsidRPr="00D62A07">
        <w:rPr>
          <w:lang w:val="en-US"/>
        </w:rPr>
        <w:t xml:space="preserve"> </w:t>
      </w:r>
      <w:r w:rsidR="00A00D29" w:rsidRPr="00D62A07">
        <w:rPr>
          <w:i/>
          <w:lang w:val="en-US"/>
        </w:rPr>
        <w:t>Services</w:t>
      </w:r>
      <w:r w:rsidR="00A00D29" w:rsidRPr="00D62A07">
        <w:rPr>
          <w:color w:val="000000"/>
          <w:lang w:val="en-US"/>
        </w:rPr>
        <w:t>, in which the issue of an employer’s duty to bargain in good faith was not even raised</w:t>
      </w:r>
      <w:r w:rsidR="00A00D29" w:rsidRPr="00D62A07">
        <w:rPr>
          <w:lang w:val="en-US"/>
        </w:rPr>
        <w:t xml:space="preserve">. I will then briefly explain why I am of the view that the analytical framework articulated by the Court in </w:t>
      </w:r>
      <w:r w:rsidR="00A00D29" w:rsidRPr="00D62A07">
        <w:rPr>
          <w:i/>
          <w:lang w:val="en-US"/>
        </w:rPr>
        <w:t>Dunmore v. Ontario (Attorney General)</w:t>
      </w:r>
      <w:r w:rsidR="00A00D29" w:rsidRPr="00D62A07">
        <w:rPr>
          <w:lang w:val="en-US"/>
        </w:rPr>
        <w:t xml:space="preserve">, 2001 SCC 94, [2001] 3 S.C.R. 1016, should be limited to the context of that case. </w:t>
      </w:r>
    </w:p>
    <w:p w:rsidR="00A00D29" w:rsidRPr="00D62A07" w:rsidRDefault="00A00D29" w:rsidP="00A00D29">
      <w:pPr>
        <w:tabs>
          <w:tab w:val="left" w:pos="1170"/>
        </w:tabs>
        <w:spacing w:after="480" w:line="480" w:lineRule="auto"/>
        <w:jc w:val="both"/>
        <w:rPr>
          <w:u w:val="single"/>
        </w:rPr>
      </w:pPr>
      <w:r w:rsidRPr="00D62A07">
        <w:t xml:space="preserve">I. </w:t>
      </w:r>
      <w:r w:rsidRPr="00D62A07">
        <w:rPr>
          <w:u w:val="single"/>
        </w:rPr>
        <w:t xml:space="preserve">Interpreting </w:t>
      </w:r>
      <w:r w:rsidRPr="00D62A07">
        <w:rPr>
          <w:i/>
          <w:u w:val="single"/>
        </w:rPr>
        <w:t>Health Services</w:t>
      </w:r>
    </w:p>
    <w:p w:rsidR="00A00D29" w:rsidRPr="00D62A07" w:rsidRDefault="00A00D29" w:rsidP="00101BBB">
      <w:pPr>
        <w:pStyle w:val="ReasonsNumbering-AltN"/>
        <w:ind w:left="0" w:firstLine="0"/>
      </w:pPr>
      <w:r w:rsidRPr="00D62A07">
        <w:t xml:space="preserve">When </w:t>
      </w:r>
      <w:r w:rsidRPr="00101BBB">
        <w:rPr>
          <w:rFonts w:cs="Times New Roman"/>
          <w:szCs w:val="24"/>
        </w:rPr>
        <w:t>the</w:t>
      </w:r>
      <w:r w:rsidRPr="00D62A07">
        <w:t xml:space="preserve"> case at bar was heard by the Ontario Superior Court of Justice</w:t>
      </w:r>
      <w:r w:rsidR="00402449">
        <w:t xml:space="preserve"> </w:t>
      </w:r>
      <w:r w:rsidR="00402449" w:rsidRPr="00D62A07">
        <w:t>((2006), 79 O.R. (3d) 219)</w:t>
      </w:r>
      <w:r w:rsidRPr="00D62A07">
        <w:t xml:space="preserve">, this Court’s judgment in </w:t>
      </w:r>
      <w:r w:rsidRPr="00D62A07">
        <w:rPr>
          <w:i/>
        </w:rPr>
        <w:t>Health Services</w:t>
      </w:r>
      <w:r w:rsidRPr="00D62A07">
        <w:t xml:space="preserve"> had not yet been </w:t>
      </w:r>
      <w:r w:rsidRPr="00D62A07">
        <w:lastRenderedPageBreak/>
        <w:t xml:space="preserve">released.  The issue put to Farley J. at that time was whether the </w:t>
      </w:r>
      <w:r w:rsidRPr="00D62A07">
        <w:rPr>
          <w:i/>
        </w:rPr>
        <w:t>Agricultural Employees Protection Act, 2002</w:t>
      </w:r>
      <w:r w:rsidRPr="00D62A07">
        <w:t>, S.O. 2002, c. 16 (“</w:t>
      </w:r>
      <w:r w:rsidRPr="00D62A07">
        <w:rPr>
          <w:i/>
        </w:rPr>
        <w:t>AEPA</w:t>
      </w:r>
      <w:r w:rsidRPr="00D62A07">
        <w:t xml:space="preserve">”), was consistent with this Court’s decision in </w:t>
      </w:r>
      <w:r w:rsidRPr="00D62A07">
        <w:rPr>
          <w:i/>
        </w:rPr>
        <w:t>Dunmore</w:t>
      </w:r>
      <w:r w:rsidRPr="00D62A07">
        <w:t xml:space="preserve">. </w:t>
      </w:r>
      <w:r w:rsidRPr="00D62A07">
        <w:rPr>
          <w:i/>
        </w:rPr>
        <w:t>Health</w:t>
      </w:r>
      <w:r w:rsidRPr="00D62A07">
        <w:t xml:space="preserve"> </w:t>
      </w:r>
      <w:r w:rsidRPr="00D62A07">
        <w:rPr>
          <w:i/>
        </w:rPr>
        <w:t>Services</w:t>
      </w:r>
      <w:r w:rsidRPr="00D62A07">
        <w:t xml:space="preserve"> was released after Farley J.’s judgment, but before the Court of Appeal heard the appeal in the case at bar (2008 ONCA 760, 92 O.R. (3d) 481). As a result of comments made by the majority in </w:t>
      </w:r>
      <w:r w:rsidRPr="00D62A07">
        <w:rPr>
          <w:i/>
        </w:rPr>
        <w:t>Health Services</w:t>
      </w:r>
      <w:r w:rsidRPr="00D62A07">
        <w:t>,</w:t>
      </w:r>
      <w:r w:rsidRPr="00D62A07">
        <w:rPr>
          <w:i/>
        </w:rPr>
        <w:t xml:space="preserve"> </w:t>
      </w:r>
      <w:r w:rsidRPr="00D62A07">
        <w:t xml:space="preserve">the case proceeded down a completely different path in the Court of Appeal, where the issue was whether union exclusivity, majoritarianism and mechanisms for resolving bargaining impasses and disputes — all parts of the “Wagner model” on which Canadian </w:t>
      </w:r>
      <w:r w:rsidRPr="00D62A07">
        <w:rPr>
          <w:color w:val="000000"/>
        </w:rPr>
        <w:t xml:space="preserve">labour law </w:t>
      </w:r>
      <w:r w:rsidRPr="00D62A07">
        <w:t xml:space="preserve">statutes are based — were required by the </w:t>
      </w:r>
      <w:r w:rsidRPr="00D62A07">
        <w:rPr>
          <w:i/>
        </w:rPr>
        <w:t>Charter</w:t>
      </w:r>
      <w:r w:rsidRPr="00D62A07">
        <w:t xml:space="preserve">.  </w:t>
      </w:r>
    </w:p>
    <w:p w:rsidR="00A00D29" w:rsidRPr="00D62A07" w:rsidRDefault="00A00D29" w:rsidP="00101BBB">
      <w:pPr>
        <w:pStyle w:val="ReasonsNumbering-AltN"/>
        <w:ind w:left="0" w:firstLine="0"/>
      </w:pPr>
      <w:r w:rsidRPr="00D62A07">
        <w:t xml:space="preserve">At first glance, the Ontario Court of Appeal’s affirmative response to this question </w:t>
      </w:r>
      <w:r w:rsidRPr="00D62A07">
        <w:rPr>
          <w:color w:val="000000"/>
        </w:rPr>
        <w:t>is</w:t>
      </w:r>
      <w:r w:rsidRPr="00D62A07">
        <w:t xml:space="preserve"> so far removed from any conclusion reached in </w:t>
      </w:r>
      <w:r w:rsidRPr="00D62A07">
        <w:rPr>
          <w:i/>
        </w:rPr>
        <w:t>Health Services</w:t>
      </w:r>
      <w:r w:rsidRPr="00D62A07">
        <w:t xml:space="preserve"> that it seems surprising. After all, the majority in </w:t>
      </w:r>
      <w:r w:rsidRPr="00D62A07">
        <w:rPr>
          <w:i/>
        </w:rPr>
        <w:t>Health Services</w:t>
      </w:r>
      <w:r w:rsidRPr="00D62A07">
        <w:t xml:space="preserve"> made it crystal clear that no specific model of labour relations is protected by s. 2(</w:t>
      </w:r>
      <w:r w:rsidRPr="00D62A07">
        <w:rPr>
          <w:i/>
        </w:rPr>
        <w:t>d</w:t>
      </w:r>
      <w:r w:rsidRPr="00D62A07">
        <w:t xml:space="preserve">) of the </w:t>
      </w:r>
      <w:r w:rsidRPr="00D62A07">
        <w:rPr>
          <w:i/>
        </w:rPr>
        <w:t>Charter</w:t>
      </w:r>
      <w:r w:rsidRPr="00D62A07">
        <w:t>, as they</w:t>
      </w:r>
      <w:r w:rsidRPr="00D62A07">
        <w:rPr>
          <w:i/>
        </w:rPr>
        <w:t xml:space="preserve"> </w:t>
      </w:r>
      <w:r w:rsidRPr="00D62A07">
        <w:t xml:space="preserve">said: </w:t>
      </w:r>
      <w:r w:rsidR="00402449">
        <w:t xml:space="preserve"> </w:t>
      </w:r>
      <w:r w:rsidRPr="00D62A07">
        <w:t>“. . . the right is to a general process of collective bargaining, not to a particular model of labour relations, nor to a specific bargaining method”</w:t>
      </w:r>
      <w:r w:rsidR="00402449" w:rsidRPr="00402449">
        <w:t xml:space="preserve"> </w:t>
      </w:r>
      <w:r w:rsidR="00402449">
        <w:t>(</w:t>
      </w:r>
      <w:r w:rsidR="00402449" w:rsidRPr="00D62A07">
        <w:t>para. 91)</w:t>
      </w:r>
      <w:r w:rsidRPr="00D62A07">
        <w:t>.</w:t>
      </w:r>
      <w:r w:rsidRPr="00D62A07">
        <w:rPr>
          <w:szCs w:val="24"/>
          <w:lang w:eastAsia="fr-CA"/>
        </w:rPr>
        <w:t xml:space="preserve"> </w:t>
      </w:r>
      <w:r w:rsidRPr="00D62A07">
        <w:t xml:space="preserve">By so stating, the majority of this Court </w:t>
      </w:r>
      <w:proofErr w:type="gramStart"/>
      <w:r w:rsidRPr="00D62A07">
        <w:t>were</w:t>
      </w:r>
      <w:proofErr w:type="gramEnd"/>
      <w:r w:rsidRPr="00D62A07">
        <w:t xml:space="preserve"> indicating that the Wagner model is not enshrined in the </w:t>
      </w:r>
      <w:r w:rsidRPr="00D62A07">
        <w:rPr>
          <w:i/>
        </w:rPr>
        <w:t>Charter</w:t>
      </w:r>
      <w:r w:rsidRPr="00D62A07">
        <w:t xml:space="preserve">. However, considering the predominance of the Wagner model in Canadian labour law, it is easy to see how Winkler C.J.O. reached the conclusion that the majority in </w:t>
      </w:r>
      <w:r w:rsidRPr="00D62A07">
        <w:rPr>
          <w:i/>
        </w:rPr>
        <w:t>Health</w:t>
      </w:r>
      <w:r w:rsidRPr="00D62A07">
        <w:t xml:space="preserve"> </w:t>
      </w:r>
      <w:r w:rsidRPr="00D62A07">
        <w:rPr>
          <w:i/>
        </w:rPr>
        <w:t>Services</w:t>
      </w:r>
      <w:r w:rsidRPr="00D62A07">
        <w:t xml:space="preserve"> must have been contemplating exclusivity, majoritarianism and mechanisms for resolving bargaining impasses and disputes </w:t>
      </w:r>
      <w:r w:rsidRPr="00D62A07">
        <w:rPr>
          <w:color w:val="000000"/>
        </w:rPr>
        <w:t>at the same time as they discussed the duty to bargain in good faith</w:t>
      </w:r>
      <w:r w:rsidRPr="00D62A07">
        <w:t xml:space="preserve">. In my </w:t>
      </w:r>
      <w:r w:rsidRPr="00D62A07">
        <w:lastRenderedPageBreak/>
        <w:t xml:space="preserve">view, the holding in </w:t>
      </w:r>
      <w:r w:rsidRPr="00D62A07">
        <w:rPr>
          <w:i/>
        </w:rPr>
        <w:t>Health Services</w:t>
      </w:r>
      <w:r w:rsidRPr="00D62A07">
        <w:t xml:space="preserve"> does not have the broad scope being attributed to it by the majority in the case at bar and, in particular, does not extend to imposing a duty on employers to bargain in good faith. I find that the </w:t>
      </w:r>
      <w:r w:rsidRPr="00D62A07">
        <w:rPr>
          <w:i/>
        </w:rPr>
        <w:t>AEPA</w:t>
      </w:r>
      <w:r w:rsidRPr="00D62A07">
        <w:t xml:space="preserve"> is consistent with this Court’s conclusion in </w:t>
      </w:r>
      <w:r w:rsidRPr="00D62A07">
        <w:rPr>
          <w:i/>
        </w:rPr>
        <w:t xml:space="preserve">Dunmore </w:t>
      </w:r>
      <w:r w:rsidRPr="00D62A07">
        <w:t>and would therefore allow the appeal, but for different reasons than the majority.</w:t>
      </w:r>
    </w:p>
    <w:p w:rsidR="00A00D29" w:rsidRPr="00D62A07" w:rsidRDefault="00A00D29" w:rsidP="00101BBB">
      <w:pPr>
        <w:pStyle w:val="ReasonsNumbering-AltN"/>
        <w:ind w:left="0" w:firstLine="0"/>
      </w:pPr>
      <w:r w:rsidRPr="00D62A07">
        <w:t xml:space="preserve">My </w:t>
      </w:r>
      <w:r w:rsidRPr="00101BBB">
        <w:rPr>
          <w:rFonts w:cs="Times New Roman"/>
          <w:szCs w:val="24"/>
        </w:rPr>
        <w:t>reading</w:t>
      </w:r>
      <w:r w:rsidRPr="00D62A07">
        <w:t xml:space="preserve"> of </w:t>
      </w:r>
      <w:r w:rsidRPr="00D62A07">
        <w:rPr>
          <w:i/>
        </w:rPr>
        <w:t>Health Services</w:t>
      </w:r>
      <w:r w:rsidRPr="00D62A07">
        <w:t xml:space="preserve"> is that it represents a step forward in the recognition of collective activities: joining individual voices through collective bargaining to achieve common goals is protected by the </w:t>
      </w:r>
      <w:r w:rsidRPr="00D62A07">
        <w:rPr>
          <w:i/>
        </w:rPr>
        <w:t>Charter</w:t>
      </w:r>
      <w:r w:rsidRPr="00D62A07">
        <w:t>. In that case, I endorsed the view, which I still hold, that:</w:t>
      </w:r>
    </w:p>
    <w:p w:rsidR="00A00D29" w:rsidRPr="00D62A07" w:rsidRDefault="00A00D29" w:rsidP="00402449">
      <w:pPr>
        <w:tabs>
          <w:tab w:val="left" w:pos="990"/>
        </w:tabs>
        <w:spacing w:after="480"/>
        <w:ind w:left="1980" w:hanging="810"/>
        <w:jc w:val="both"/>
      </w:pPr>
      <w:r w:rsidRPr="00D62A07">
        <w:t>(1)</w:t>
      </w:r>
      <w:r w:rsidRPr="00D62A07">
        <w:tab/>
        <w:t>the constitutional right to collective bargaining concerns the protection of the ability of workers to engage in associational activities, and their capacity to act in common to reach shared goals related to workplace issues and terms of employment;</w:t>
      </w:r>
    </w:p>
    <w:p w:rsidR="00A00D29" w:rsidRPr="00D62A07" w:rsidRDefault="00402449" w:rsidP="00402449">
      <w:pPr>
        <w:spacing w:after="480"/>
        <w:ind w:left="1980" w:hanging="810"/>
        <w:jc w:val="both"/>
      </w:pPr>
      <w:r>
        <w:t>(2)</w:t>
      </w:r>
      <w:r w:rsidR="00A00D29" w:rsidRPr="00D62A07">
        <w:tab/>
        <w:t xml:space="preserve">the right is to a process of collective bargaining — it does not guarantee a certain substantive or economic outcome or access to any particular statutory regime; and </w:t>
      </w:r>
    </w:p>
    <w:p w:rsidR="00A00D29" w:rsidRPr="00D62A07" w:rsidRDefault="00402449" w:rsidP="00402449">
      <w:pPr>
        <w:spacing w:after="480"/>
        <w:ind w:left="1980" w:hanging="810"/>
        <w:jc w:val="both"/>
      </w:pPr>
      <w:r>
        <w:t>(3)</w:t>
      </w:r>
      <w:r w:rsidR="00A00D29" w:rsidRPr="00D62A07">
        <w:tab/>
      </w:r>
      <w:proofErr w:type="gramStart"/>
      <w:r w:rsidR="00A00D29" w:rsidRPr="00D62A07">
        <w:t>the</w:t>
      </w:r>
      <w:proofErr w:type="gramEnd"/>
      <w:r w:rsidR="00A00D29" w:rsidRPr="00D62A07">
        <w:t xml:space="preserve"> right places constraints on the exercise of legislative powers in respect of the collective bargaining process. [para. 174]</w:t>
      </w:r>
    </w:p>
    <w:p w:rsidR="00A00D29" w:rsidRPr="00D62A07" w:rsidRDefault="00A00D29" w:rsidP="00101BBB">
      <w:pPr>
        <w:pStyle w:val="ReasonsNumbering-AltN"/>
        <w:ind w:left="0" w:firstLine="0"/>
      </w:pPr>
      <w:r w:rsidRPr="00101BBB">
        <w:rPr>
          <w:rFonts w:cs="Times New Roman"/>
          <w:szCs w:val="24"/>
        </w:rPr>
        <w:t>This</w:t>
      </w:r>
      <w:r w:rsidRPr="00D62A07">
        <w:t xml:space="preserve"> incremental interpretation of s. 2(</w:t>
      </w:r>
      <w:r w:rsidRPr="00D62A07">
        <w:rPr>
          <w:i/>
        </w:rPr>
        <w:t>d</w:t>
      </w:r>
      <w:r w:rsidRPr="00D62A07">
        <w:t xml:space="preserve">) of the </w:t>
      </w:r>
      <w:r w:rsidRPr="00D62A07">
        <w:rPr>
          <w:i/>
        </w:rPr>
        <w:t>Charter</w:t>
      </w:r>
      <w:r w:rsidRPr="00D62A07">
        <w:t xml:space="preserve"> was sufficient to dispose of the questions raised in </w:t>
      </w:r>
      <w:r w:rsidRPr="00D62A07">
        <w:rPr>
          <w:i/>
        </w:rPr>
        <w:t>Health Services</w:t>
      </w:r>
      <w:r w:rsidRPr="00D62A07">
        <w:t xml:space="preserve"> and is also sufficient to dispose of those raised in this appeal. It leaves it up to the legislatures to make the difficult policy choices that must be made in order to achieve economic balance in labour law. This interpretation is also consistent with the restraint courts show in resolving the </w:t>
      </w:r>
      <w:r w:rsidRPr="00D62A07">
        <w:lastRenderedPageBreak/>
        <w:t>issues raised by the parties before them. The approach should not differ in cases involving co</w:t>
      </w:r>
      <w:r w:rsidR="00402449">
        <w:t xml:space="preserve">nstitutional interpretation. </w:t>
      </w:r>
    </w:p>
    <w:p w:rsidR="00A00D29" w:rsidRPr="00D62A07" w:rsidRDefault="00A00D29" w:rsidP="00101BBB">
      <w:pPr>
        <w:pStyle w:val="ReasonsNumbering-AltN"/>
        <w:ind w:left="0" w:firstLine="0"/>
      </w:pPr>
      <w:r w:rsidRPr="00D62A07">
        <w:t xml:space="preserve">As the </w:t>
      </w:r>
      <w:r w:rsidRPr="00D62A07">
        <w:rPr>
          <w:color w:val="000000"/>
        </w:rPr>
        <w:t>majority in the instant case note (at para. 80)</w:t>
      </w:r>
      <w:r w:rsidRPr="00D62A07">
        <w:t xml:space="preserve">, in </w:t>
      </w:r>
      <w:r w:rsidRPr="00D62A07">
        <w:rPr>
          <w:i/>
        </w:rPr>
        <w:t>R. v. Advance Cutting &amp; Coring Ltd.</w:t>
      </w:r>
      <w:r w:rsidRPr="00D62A07">
        <w:t xml:space="preserve">, 2001 SCC 70, [2001] 3 S.C.R. 209, </w:t>
      </w:r>
      <w:r w:rsidRPr="00D62A07">
        <w:rPr>
          <w:szCs w:val="24"/>
          <w:lang w:val="en-US"/>
        </w:rPr>
        <w:t>LeBel J. acknowledged the existence of a judicial policy of non-intervention in labour relations. He made the following comment in that case</w:t>
      </w:r>
      <w:r w:rsidRPr="00D62A07">
        <w:t xml:space="preserve">: </w:t>
      </w:r>
    </w:p>
    <w:p w:rsidR="00A00D29" w:rsidRPr="00D62A07" w:rsidRDefault="00402449" w:rsidP="001F5D59">
      <w:pPr>
        <w:pStyle w:val="Citation-AltC"/>
        <w:contextualSpacing w:val="0"/>
      </w:pPr>
      <w:r>
        <w:tab/>
      </w:r>
      <w:r w:rsidR="00A00D29" w:rsidRPr="00D62A07">
        <w:t xml:space="preserve">Looking back over nearly 20 years of the application of the </w:t>
      </w:r>
      <w:r w:rsidR="00A00D29" w:rsidRPr="00D62A07">
        <w:rPr>
          <w:i/>
          <w:iCs/>
        </w:rPr>
        <w:t>Charter</w:t>
      </w:r>
      <w:r w:rsidR="00A00D29" w:rsidRPr="00D62A07">
        <w:t>, it is clear that this Court has been reluctant to accept that the whole field of labour relations should fall under the constitutional guarantee of s. 2(</w:t>
      </w:r>
      <w:r w:rsidR="00A00D29" w:rsidRPr="00D62A07">
        <w:rPr>
          <w:i/>
          <w:iCs/>
        </w:rPr>
        <w:t>d</w:t>
      </w:r>
      <w:r w:rsidR="00A00D29" w:rsidRPr="00D62A07">
        <w:t xml:space="preserve">). The law of collective bargaining, as it has developed in Canada since the Depression beginning in 1929 and the Second World War, as well as union and employer conflicts like strikes and lockouts, have been left largely to legislative control based on government policy. Laws restricting the choice of a bargaining agent or forbidding strikes and lockouts were deemed not to engage the guarantee of freedom of association as such. The social and economic balance between employers and their collective unionized employees was viewed as a question of policy making and management of sharply conflicting interests. Thus, it was thought more appropriate to leave the resolution of such conflicts and the policy choices they required to the political process. </w:t>
      </w:r>
      <w:r>
        <w:t>[para. 156]</w:t>
      </w:r>
    </w:p>
    <w:p w:rsidR="00A00D29" w:rsidRPr="00D62A07" w:rsidRDefault="00A00D29" w:rsidP="00101BBB">
      <w:pPr>
        <w:pStyle w:val="ContinueParaSuitedupar-AltP"/>
      </w:pPr>
      <w:r w:rsidRPr="00D62A07">
        <w:t xml:space="preserve">Where the economic balance is concerned, I share the view expressed by LeBel J. in </w:t>
      </w:r>
      <w:r w:rsidRPr="00D62A07">
        <w:rPr>
          <w:i/>
        </w:rPr>
        <w:t>Advance Cutting</w:t>
      </w:r>
      <w:r w:rsidRPr="00D62A07">
        <w:t>:</w:t>
      </w:r>
    </w:p>
    <w:p w:rsidR="00A00D29" w:rsidRPr="00D62A07" w:rsidRDefault="00402449" w:rsidP="001F5D59">
      <w:pPr>
        <w:pStyle w:val="Citation-AltC"/>
      </w:pPr>
      <w:r>
        <w:tab/>
      </w:r>
      <w:r w:rsidR="00A00D29" w:rsidRPr="00D62A07">
        <w:t>Legislatures are entitled to a substantial, though not absolute, degree of latitude and deference, to settle social and economic policy issues (</w:t>
      </w:r>
      <w:r w:rsidR="00A00D29" w:rsidRPr="00D62A07">
        <w:rPr>
          <w:i/>
          <w:iCs/>
        </w:rPr>
        <w:t>RJR-MacDonald</w:t>
      </w:r>
      <w:r w:rsidR="00A00D29" w:rsidRPr="00D62A07">
        <w:t xml:space="preserve">, at para. 134, </w:t>
      </w:r>
      <w:r w:rsidR="00A00D29" w:rsidRPr="00D62A07">
        <w:rPr>
          <w:i/>
          <w:iCs/>
        </w:rPr>
        <w:t>per</w:t>
      </w:r>
      <w:r w:rsidR="00A00D29" w:rsidRPr="00D62A07">
        <w:t xml:space="preserve"> McLachlin J.).  Courts should be mindful to avoid second-guessing legislatures on controversial and complex political choices (</w:t>
      </w:r>
      <w:r w:rsidR="00A00D29" w:rsidRPr="00D62A07">
        <w:rPr>
          <w:i/>
          <w:iCs/>
        </w:rPr>
        <w:t>M. v. H.</w:t>
      </w:r>
      <w:r w:rsidR="00A00D29" w:rsidRPr="00D62A07">
        <w:t xml:space="preserve">, [1999] 2 S.C.R. 3, at para. 79, </w:t>
      </w:r>
      <w:r w:rsidR="00A00D29" w:rsidRPr="00D62A07">
        <w:rPr>
          <w:i/>
          <w:iCs/>
        </w:rPr>
        <w:t>per</w:t>
      </w:r>
      <w:r w:rsidR="00A00D29" w:rsidRPr="00D62A07">
        <w:t xml:space="preserve"> Cory and Iacobucci JJ.).  As discussed above, the jurisprudence acknowledges that legislative policy-making in the domain of labour relations is better left to the political process, as a general rule.</w:t>
      </w:r>
      <w:r>
        <w:t xml:space="preserve"> [para. 257]</w:t>
      </w:r>
    </w:p>
    <w:p w:rsidR="00A00D29" w:rsidRPr="00D62A07" w:rsidRDefault="00A00D29" w:rsidP="00101BBB">
      <w:pPr>
        <w:pStyle w:val="ReasonsNumbering-AltN"/>
        <w:ind w:left="0" w:firstLine="0"/>
      </w:pPr>
      <w:r w:rsidRPr="00D62A07">
        <w:lastRenderedPageBreak/>
        <w:t xml:space="preserve">An approach to constitutional interpretation similar to the one I set out above would have ensured a </w:t>
      </w:r>
      <w:r w:rsidRPr="00D62A07">
        <w:rPr>
          <w:color w:val="000000"/>
        </w:rPr>
        <w:t>softer</w:t>
      </w:r>
      <w:r w:rsidRPr="00D62A07">
        <w:t xml:space="preserve"> landing </w:t>
      </w:r>
      <w:r w:rsidRPr="00D62A07">
        <w:rPr>
          <w:color w:val="000000"/>
        </w:rPr>
        <w:t>for</w:t>
      </w:r>
      <w:r w:rsidRPr="00D62A07">
        <w:t xml:space="preserve"> </w:t>
      </w:r>
      <w:r w:rsidRPr="00D62A07">
        <w:rPr>
          <w:i/>
        </w:rPr>
        <w:t>Health Services</w:t>
      </w:r>
      <w:r w:rsidRPr="00D62A07">
        <w:t>.  I readily acknowledge that the commentary on that decision was not unanimous. The Chief Justice and LeBel J. refer to the authors whose comments were mostly favourable, while Rothstein J. refers to those who were mostly unfavourable. I disagree with the expansive approach taken by the majority in th</w:t>
      </w:r>
      <w:r w:rsidRPr="00D62A07">
        <w:rPr>
          <w:color w:val="000000"/>
        </w:rPr>
        <w:t>e</w:t>
      </w:r>
      <w:r w:rsidRPr="00D62A07">
        <w:t xml:space="preserve"> case</w:t>
      </w:r>
      <w:r w:rsidRPr="00D62A07">
        <w:rPr>
          <w:color w:val="000000"/>
        </w:rPr>
        <w:t xml:space="preserve"> at bar and with the use they make of </w:t>
      </w:r>
      <w:r w:rsidRPr="00D62A07">
        <w:rPr>
          <w:i/>
          <w:color w:val="000000"/>
        </w:rPr>
        <w:t>Health</w:t>
      </w:r>
      <w:r w:rsidRPr="00D62A07">
        <w:rPr>
          <w:color w:val="000000"/>
        </w:rPr>
        <w:t xml:space="preserve"> </w:t>
      </w:r>
      <w:r w:rsidRPr="00D62A07">
        <w:rPr>
          <w:i/>
          <w:color w:val="000000"/>
        </w:rPr>
        <w:t>Services</w:t>
      </w:r>
      <w:r w:rsidRPr="00D62A07">
        <w:t>.  A more prudent approach, one that would be consistent with this Court’s jurisprudence on s. 2(</w:t>
      </w:r>
      <w:r w:rsidRPr="00D62A07">
        <w:rPr>
          <w:i/>
        </w:rPr>
        <w:t>d</w:t>
      </w:r>
      <w:r w:rsidRPr="00D62A07">
        <w:t xml:space="preserve">) and with the issues the Court actually considered in that case, would be to restrict the </w:t>
      </w:r>
      <w:r w:rsidRPr="00D62A07">
        <w:rPr>
          <w:i/>
        </w:rPr>
        <w:t>ratio</w:t>
      </w:r>
      <w:r w:rsidRPr="00D62A07">
        <w:t xml:space="preserve"> of</w:t>
      </w:r>
      <w:r w:rsidRPr="00D62A07">
        <w:rPr>
          <w:i/>
        </w:rPr>
        <w:t xml:space="preserve"> Health Services</w:t>
      </w:r>
      <w:r w:rsidRPr="00D62A07">
        <w:t xml:space="preserve"> to the questions actually raised and the answers actually given in that case.</w:t>
      </w:r>
      <w:r w:rsidRPr="00D62A07" w:rsidDel="00C26BF8">
        <w:t xml:space="preserve"> </w:t>
      </w:r>
    </w:p>
    <w:p w:rsidR="00A00D29" w:rsidRPr="00D62A07" w:rsidRDefault="00A00D29" w:rsidP="001F5D59">
      <w:pPr>
        <w:pStyle w:val="ReasonsNumbering-AltN"/>
        <w:ind w:left="0" w:firstLine="0"/>
      </w:pPr>
      <w:r w:rsidRPr="001F5D59">
        <w:t>In</w:t>
      </w:r>
      <w:r w:rsidRPr="00D62A07">
        <w:rPr>
          <w:color w:val="000000"/>
        </w:rPr>
        <w:t xml:space="preserve"> </w:t>
      </w:r>
      <w:r w:rsidRPr="00D62A07">
        <w:rPr>
          <w:i/>
          <w:color w:val="000000"/>
        </w:rPr>
        <w:t>Health Services</w:t>
      </w:r>
      <w:r w:rsidRPr="00D62A07">
        <w:rPr>
          <w:color w:val="000000"/>
        </w:rPr>
        <w:t>,</w:t>
      </w:r>
      <w:r w:rsidRPr="00D62A07">
        <w:t xml:space="preserve"> the claimants</w:t>
      </w:r>
      <w:r w:rsidRPr="00D62A07">
        <w:rPr>
          <w:color w:val="000000"/>
        </w:rPr>
        <w:t xml:space="preserve"> asked this Court to declare that the government had interfered with</w:t>
      </w:r>
      <w:r w:rsidRPr="00D62A07">
        <w:t xml:space="preserve"> </w:t>
      </w:r>
      <w:r w:rsidRPr="00D62A07">
        <w:rPr>
          <w:color w:val="000000"/>
        </w:rPr>
        <w:t xml:space="preserve">their right to unite to achieve common goals. While they recognized that under most Canadian labour law statutes, employers had an obligation to bargain in good faith, the claimants were not seeking a declaration characterizing this obligation as a constitutional one. Neither the British Columbia Supreme Court nor the Court of Appeal dealt with a duty on employers to bargain in good faith, because this subject was quite simply not raised. </w:t>
      </w:r>
      <w:r w:rsidRPr="00D62A07">
        <w:t>I</w:t>
      </w:r>
      <w:r w:rsidRPr="00D62A07">
        <w:rPr>
          <w:color w:val="000000"/>
        </w:rPr>
        <w:t xml:space="preserve">ndeed, it was in its legislative capacity </w:t>
      </w:r>
      <w:r w:rsidRPr="00D62A07">
        <w:t>— not as an employer — that the government had interfered with the employee’s rights.  Therefore</w:t>
      </w:r>
      <w:r w:rsidRPr="00D62A07">
        <w:rPr>
          <w:color w:val="000000"/>
        </w:rPr>
        <w:t>,</w:t>
      </w:r>
      <w:r w:rsidRPr="00D62A07">
        <w:t xml:space="preserve"> the majority in </w:t>
      </w:r>
      <w:r w:rsidRPr="00D62A07">
        <w:rPr>
          <w:i/>
          <w:color w:val="000000"/>
        </w:rPr>
        <w:t>Health Services</w:t>
      </w:r>
      <w:r w:rsidRPr="00D62A07">
        <w:t xml:space="preserve"> did not need to comment on or make findings in respect of whether the government, as an employer, had a duty to negotiate in good faith.  There was thus no need to </w:t>
      </w:r>
      <w:r w:rsidRPr="00D62A07">
        <w:rPr>
          <w:i/>
        </w:rPr>
        <w:t>impose</w:t>
      </w:r>
      <w:r w:rsidRPr="00D62A07">
        <w:t xml:space="preserve"> a </w:t>
      </w:r>
      <w:r w:rsidRPr="00D62A07">
        <w:rPr>
          <w:i/>
        </w:rPr>
        <w:t>Charter</w:t>
      </w:r>
      <w:r w:rsidRPr="00D62A07">
        <w:t xml:space="preserve">-based </w:t>
      </w:r>
      <w:r w:rsidRPr="00D62A07">
        <w:rPr>
          <w:i/>
        </w:rPr>
        <w:t>duty</w:t>
      </w:r>
      <w:r w:rsidRPr="00D62A07">
        <w:t xml:space="preserve"> to bargain on employers. </w:t>
      </w:r>
      <w:r w:rsidRPr="00D62A07">
        <w:rPr>
          <w:i/>
        </w:rPr>
        <w:t>A fortiori</w:t>
      </w:r>
      <w:r w:rsidRPr="00D62A07">
        <w:t xml:space="preserve">, there was no </w:t>
      </w:r>
      <w:r w:rsidRPr="00D62A07">
        <w:rPr>
          <w:color w:val="000000"/>
        </w:rPr>
        <w:t xml:space="preserve">need to </w:t>
      </w:r>
      <w:r w:rsidRPr="00D62A07">
        <w:t>import</w:t>
      </w:r>
      <w:r w:rsidRPr="00D62A07">
        <w:rPr>
          <w:color w:val="000000"/>
        </w:rPr>
        <w:t xml:space="preserve">, together </w:t>
      </w:r>
      <w:r w:rsidRPr="00D62A07">
        <w:rPr>
          <w:color w:val="000000"/>
        </w:rPr>
        <w:lastRenderedPageBreak/>
        <w:t>with this duty,</w:t>
      </w:r>
      <w:r w:rsidRPr="00D62A07">
        <w:t xml:space="preserve"> the </w:t>
      </w:r>
      <w:r w:rsidRPr="00D62A07">
        <w:rPr>
          <w:i/>
        </w:rPr>
        <w:t>good</w:t>
      </w:r>
      <w:r w:rsidRPr="00D62A07">
        <w:t xml:space="preserve"> </w:t>
      </w:r>
      <w:r w:rsidRPr="00D62A07">
        <w:rPr>
          <w:i/>
        </w:rPr>
        <w:t>faith</w:t>
      </w:r>
      <w:r w:rsidRPr="00D62A07">
        <w:t xml:space="preserve"> element </w:t>
      </w:r>
      <w:r w:rsidRPr="00D62A07">
        <w:rPr>
          <w:color w:val="000000"/>
        </w:rPr>
        <w:t>that</w:t>
      </w:r>
      <w:r w:rsidRPr="00D62A07">
        <w:t xml:space="preserve"> is one of the </w:t>
      </w:r>
      <w:r w:rsidRPr="00D62A07">
        <w:rPr>
          <w:color w:val="000000"/>
        </w:rPr>
        <w:t>hallmarks</w:t>
      </w:r>
      <w:r w:rsidRPr="00D62A07">
        <w:t xml:space="preserve"> </w:t>
      </w:r>
      <w:r w:rsidRPr="00D62A07">
        <w:rPr>
          <w:color w:val="000000"/>
        </w:rPr>
        <w:t xml:space="preserve">of </w:t>
      </w:r>
      <w:r w:rsidRPr="00D62A07">
        <w:t xml:space="preserve">the Wagner model and that inevitably entails a number of statutory components. I cannot therefore agree with the majority in the case at bar that </w:t>
      </w:r>
      <w:r w:rsidRPr="00D62A07">
        <w:rPr>
          <w:i/>
          <w:color w:val="000000"/>
        </w:rPr>
        <w:t xml:space="preserve">Health Services </w:t>
      </w:r>
      <w:r w:rsidRPr="00D62A07">
        <w:rPr>
          <w:color w:val="000000"/>
        </w:rPr>
        <w:t>imposes constitutional duties “on governments as employers” (para. 73).</w:t>
      </w:r>
    </w:p>
    <w:p w:rsidR="00A00D29" w:rsidRPr="00D62A07" w:rsidRDefault="00A00D29" w:rsidP="001F5D59">
      <w:pPr>
        <w:pStyle w:val="ReasonsNumbering-AltN"/>
        <w:ind w:left="0" w:firstLine="0"/>
      </w:pPr>
      <w:r w:rsidRPr="00D62A07">
        <w:t xml:space="preserve">All that was required by the questions raised in </w:t>
      </w:r>
      <w:r w:rsidRPr="00D62A07">
        <w:rPr>
          <w:i/>
        </w:rPr>
        <w:t>Health Services</w:t>
      </w:r>
      <w:r w:rsidRPr="00D62A07">
        <w:t xml:space="preserve"> was a finding that since the employees had a constitutional right to </w:t>
      </w:r>
      <w:r w:rsidRPr="00D62A07">
        <w:rPr>
          <w:color w:val="000000"/>
        </w:rPr>
        <w:t>engage in associational activities and act in common to reach common goals</w:t>
      </w:r>
      <w:r w:rsidRPr="00D62A07">
        <w:t xml:space="preserve">, the legislature could not interfere with their right (i) by prohibiting them from addressing certain issues in the collective bargaining process; and (ii) by cancelling negotiated provisions in the agreements and thereby rendering the process meaningless. </w:t>
      </w:r>
      <w:r w:rsidRPr="00D62A07">
        <w:rPr>
          <w:color w:val="000000"/>
        </w:rPr>
        <w:t xml:space="preserve">By enacting legislation that had prohibited the negotiation of certain issues in the course of </w:t>
      </w:r>
      <w:r w:rsidRPr="00D62A07">
        <w:rPr>
          <w:i/>
          <w:color w:val="000000"/>
        </w:rPr>
        <w:t>Charter</w:t>
      </w:r>
      <w:r w:rsidRPr="00D62A07">
        <w:rPr>
          <w:color w:val="000000"/>
        </w:rPr>
        <w:t>-protected associatio</w:t>
      </w:r>
      <w:r w:rsidRPr="00D62A07">
        <w:rPr>
          <w:iCs/>
          <w:color w:val="000000"/>
        </w:rPr>
        <w:t>n</w:t>
      </w:r>
      <w:r w:rsidRPr="00D62A07">
        <w:rPr>
          <w:color w:val="000000"/>
        </w:rPr>
        <w:t>al activities and rendering useless the efforts expended to achieve a negotiated agreement on certain subjects, the legislature had interfered with their right. This conclusion did not depend on the employer’s being under a duty to bargain in good faith.</w:t>
      </w:r>
    </w:p>
    <w:p w:rsidR="00A00D29" w:rsidRPr="00D62A07" w:rsidRDefault="00A00D29" w:rsidP="001F5D59">
      <w:pPr>
        <w:pStyle w:val="ReasonsNumbering-AltN"/>
        <w:ind w:left="0" w:firstLine="0"/>
      </w:pPr>
      <w:r w:rsidRPr="00D62A07">
        <w:rPr>
          <w:color w:val="000000"/>
        </w:rPr>
        <w:t xml:space="preserve">In the </w:t>
      </w:r>
      <w:r w:rsidRPr="001F5D59">
        <w:t>case</w:t>
      </w:r>
      <w:r w:rsidRPr="00D62A07">
        <w:rPr>
          <w:color w:val="000000"/>
        </w:rPr>
        <w:t xml:space="preserve"> at bar, the issue</w:t>
      </w:r>
      <w:r w:rsidRPr="00D62A07">
        <w:t xml:space="preserve"> </w:t>
      </w:r>
      <w:r w:rsidRPr="00D62A07">
        <w:rPr>
          <w:color w:val="000000"/>
        </w:rPr>
        <w:t xml:space="preserve">is similar to the one in </w:t>
      </w:r>
      <w:r w:rsidRPr="00D62A07">
        <w:rPr>
          <w:i/>
          <w:color w:val="000000"/>
        </w:rPr>
        <w:t>Health</w:t>
      </w:r>
      <w:r w:rsidRPr="00D62A07">
        <w:rPr>
          <w:color w:val="000000"/>
        </w:rPr>
        <w:t xml:space="preserve"> </w:t>
      </w:r>
      <w:r w:rsidRPr="00D62A07">
        <w:rPr>
          <w:i/>
          <w:color w:val="000000"/>
        </w:rPr>
        <w:t>Services</w:t>
      </w:r>
      <w:r w:rsidRPr="00D62A07">
        <w:rPr>
          <w:color w:val="000000"/>
        </w:rPr>
        <w:t xml:space="preserve"> in that it concerns legislative action, but it is not, as the Ch</w:t>
      </w:r>
      <w:r w:rsidR="006F3455">
        <w:rPr>
          <w:color w:val="000000"/>
        </w:rPr>
        <w:t>ief Justice and LeBel J. put it</w:t>
      </w:r>
      <w:r w:rsidRPr="00D62A07">
        <w:rPr>
          <w:color w:val="000000"/>
        </w:rPr>
        <w:t>, whether the “</w:t>
      </w:r>
      <w:r w:rsidRPr="00D62A07">
        <w:rPr>
          <w:i/>
          <w:color w:val="000000"/>
        </w:rPr>
        <w:t>AEPA</w:t>
      </w:r>
      <w:r w:rsidRPr="00D62A07">
        <w:rPr>
          <w:color w:val="000000"/>
        </w:rPr>
        <w:t xml:space="preserve"> provides a process that satisfies” “the right of an employees’ association to make representations to the employer and have its views considered in good faith”</w:t>
      </w:r>
      <w:r w:rsidR="006F3455">
        <w:rPr>
          <w:color w:val="000000"/>
        </w:rPr>
        <w:t xml:space="preserve"> (para. 99)</w:t>
      </w:r>
      <w:r w:rsidRPr="00D62A07">
        <w:rPr>
          <w:color w:val="000000"/>
        </w:rPr>
        <w:t>.  Although the right of employees to have their views considered in good faith</w:t>
      </w:r>
      <w:r w:rsidRPr="00D62A07">
        <w:t xml:space="preserve"> </w:t>
      </w:r>
      <w:r w:rsidRPr="00D62A07">
        <w:rPr>
          <w:color w:val="000000"/>
        </w:rPr>
        <w:t xml:space="preserve">may well flow from certain comments made in </w:t>
      </w:r>
      <w:r w:rsidRPr="00D62A07">
        <w:rPr>
          <w:i/>
          <w:color w:val="000000"/>
        </w:rPr>
        <w:t>Health</w:t>
      </w:r>
      <w:r w:rsidRPr="00D62A07">
        <w:rPr>
          <w:color w:val="000000"/>
        </w:rPr>
        <w:t xml:space="preserve"> </w:t>
      </w:r>
      <w:r w:rsidRPr="00D62A07">
        <w:rPr>
          <w:i/>
          <w:color w:val="000000"/>
        </w:rPr>
        <w:lastRenderedPageBreak/>
        <w:t>Services</w:t>
      </w:r>
      <w:r w:rsidRPr="00D62A07">
        <w:rPr>
          <w:color w:val="000000"/>
        </w:rPr>
        <w:t>, they do not flow from the issues raised in that case. The duty to act in good faith is part and parcel of a web of statutory components. It should not be found to be a constitutional requirement in the instant case.</w:t>
      </w:r>
    </w:p>
    <w:p w:rsidR="00A00D29" w:rsidRPr="00D62A07" w:rsidRDefault="00A00D29" w:rsidP="001F5D59">
      <w:pPr>
        <w:pStyle w:val="ReasonsNumbering-AltN"/>
        <w:ind w:left="0" w:firstLine="0"/>
        <w:rPr>
          <w:color w:val="000000"/>
        </w:rPr>
      </w:pPr>
      <w:r w:rsidRPr="00D62A07">
        <w:t xml:space="preserve">To frame the issue in this case, the </w:t>
      </w:r>
      <w:r w:rsidRPr="00D62A07">
        <w:rPr>
          <w:i/>
        </w:rPr>
        <w:t>AEPA</w:t>
      </w:r>
      <w:r w:rsidRPr="00D62A07">
        <w:t xml:space="preserve"> </w:t>
      </w:r>
      <w:r w:rsidRPr="00D62A07">
        <w:rPr>
          <w:color w:val="000000"/>
        </w:rPr>
        <w:t xml:space="preserve">must be situated </w:t>
      </w:r>
      <w:r w:rsidRPr="00D62A07">
        <w:t xml:space="preserve">in its context.  The </w:t>
      </w:r>
      <w:r w:rsidRPr="00D62A07">
        <w:rPr>
          <w:i/>
        </w:rPr>
        <w:t>AEPA</w:t>
      </w:r>
      <w:r w:rsidRPr="00D62A07">
        <w:t xml:space="preserve"> is the response of the Ontario legislature to this Court’s decision in </w:t>
      </w:r>
      <w:r w:rsidRPr="00D62A07">
        <w:rPr>
          <w:i/>
        </w:rPr>
        <w:t>Dunmore</w:t>
      </w:r>
      <w:r w:rsidRPr="00D62A07">
        <w:t>. In that case</w:t>
      </w:r>
      <w:r w:rsidRPr="00D62A07">
        <w:rPr>
          <w:color w:val="000000"/>
        </w:rPr>
        <w:t xml:space="preserve">, agricultural workers had been excluded from the general statutory regime and had suffered from the statute’s </w:t>
      </w:r>
      <w:proofErr w:type="spellStart"/>
      <w:r w:rsidRPr="00D62A07">
        <w:rPr>
          <w:color w:val="000000"/>
        </w:rPr>
        <w:t>underinclusiveness</w:t>
      </w:r>
      <w:proofErr w:type="spellEnd"/>
      <w:r w:rsidRPr="00D62A07">
        <w:rPr>
          <w:color w:val="000000"/>
        </w:rPr>
        <w:t>.</w:t>
      </w:r>
      <w:r w:rsidRPr="00D62A07">
        <w:t xml:space="preserve"> The expanded definition of “freedom of association” that resulted from </w:t>
      </w:r>
      <w:r w:rsidRPr="00D62A07">
        <w:rPr>
          <w:i/>
        </w:rPr>
        <w:t>Health Services</w:t>
      </w:r>
      <w:r w:rsidRPr="00D62A07">
        <w:t xml:space="preserve"> has no bearing on the protection the Ontario legislature must provide to agricultural workers.  The reason is that </w:t>
      </w:r>
      <w:r w:rsidRPr="00D62A07">
        <w:rPr>
          <w:i/>
        </w:rPr>
        <w:t>Dunmore</w:t>
      </w:r>
      <w:r w:rsidRPr="00D62A07">
        <w:t xml:space="preserve"> purported to impose on the Ontario legislature an obligation to provide </w:t>
      </w:r>
      <w:r w:rsidRPr="00D62A07">
        <w:rPr>
          <w:color w:val="000000"/>
        </w:rPr>
        <w:t xml:space="preserve">agricultural workers with </w:t>
      </w:r>
      <w:r w:rsidRPr="00D62A07">
        <w:t>more tha</w:t>
      </w:r>
      <w:r w:rsidRPr="00D62A07">
        <w:rPr>
          <w:iCs/>
        </w:rPr>
        <w:t>n</w:t>
      </w:r>
      <w:r w:rsidRPr="00D62A07">
        <w:t xml:space="preserve"> what had until then been considered to be included in the scope of the </w:t>
      </w:r>
      <w:r w:rsidRPr="00D62A07">
        <w:rPr>
          <w:color w:val="000000"/>
        </w:rPr>
        <w:t xml:space="preserve">constitutionally protected </w:t>
      </w:r>
      <w:r w:rsidRPr="00D62A07">
        <w:t xml:space="preserve">right to associate. </w:t>
      </w:r>
      <w:r w:rsidRPr="00D62A07">
        <w:rPr>
          <w:color w:val="000000"/>
        </w:rPr>
        <w:t xml:space="preserve">Indeed, the decision in </w:t>
      </w:r>
      <w:r w:rsidRPr="00D62A07">
        <w:rPr>
          <w:i/>
          <w:color w:val="000000"/>
        </w:rPr>
        <w:t>Dunmore</w:t>
      </w:r>
      <w:r w:rsidRPr="00D62A07">
        <w:rPr>
          <w:color w:val="000000"/>
        </w:rPr>
        <w:t xml:space="preserve">, which was consistent with </w:t>
      </w:r>
      <w:r w:rsidRPr="00D62A07">
        <w:rPr>
          <w:i/>
          <w:color w:val="000000"/>
        </w:rPr>
        <w:t>Delisle</w:t>
      </w:r>
      <w:r w:rsidRPr="00D62A07">
        <w:t xml:space="preserve"> </w:t>
      </w:r>
      <w:r w:rsidRPr="00D62A07">
        <w:rPr>
          <w:i/>
          <w:color w:val="000000"/>
        </w:rPr>
        <w:t>v. Canada (Deputy Attorney General)</w:t>
      </w:r>
      <w:r w:rsidRPr="00D62A07">
        <w:rPr>
          <w:color w:val="000000"/>
        </w:rPr>
        <w:t>, [1999] 2 S.C.R. 989, at para. 10, was based on the premise that s. 2(</w:t>
      </w:r>
      <w:r w:rsidRPr="00D62A07">
        <w:rPr>
          <w:i/>
          <w:color w:val="000000"/>
        </w:rPr>
        <w:t>d</w:t>
      </w:r>
      <w:r w:rsidRPr="00D62A07">
        <w:rPr>
          <w:color w:val="000000"/>
        </w:rPr>
        <w:t>) “exists independently of any legislative framework”.</w:t>
      </w:r>
      <w:r w:rsidRPr="00D62A07">
        <w:t xml:space="preserve"> </w:t>
      </w:r>
      <w:r w:rsidRPr="00D62A07">
        <w:rPr>
          <w:color w:val="000000"/>
        </w:rPr>
        <w:t xml:space="preserve">However, it was held that agricultural workers should be afforded greater protection because they were vulnerable and were substantially unable </w:t>
      </w:r>
      <w:r w:rsidRPr="00D62A07">
        <w:t>to</w:t>
      </w:r>
      <w:r w:rsidRPr="00D62A07">
        <w:rPr>
          <w:color w:val="000000"/>
        </w:rPr>
        <w:t xml:space="preserve"> </w:t>
      </w:r>
      <w:r w:rsidRPr="00D62A07">
        <w:t>exercise their constitutional right</w:t>
      </w:r>
      <w:r w:rsidRPr="00D62A07">
        <w:rPr>
          <w:color w:val="000000"/>
        </w:rPr>
        <w:t xml:space="preserve"> without the support of a legislative framework</w:t>
      </w:r>
      <w:r w:rsidRPr="00D62A07">
        <w:t xml:space="preserve">.  </w:t>
      </w:r>
    </w:p>
    <w:p w:rsidR="00A00D29" w:rsidRPr="00D62A07" w:rsidRDefault="00A00D29" w:rsidP="001F5D59">
      <w:pPr>
        <w:pStyle w:val="ReasonsNumbering-AltN"/>
        <w:ind w:left="0" w:firstLine="0"/>
        <w:rPr>
          <w:u w:val="single"/>
        </w:rPr>
      </w:pPr>
      <w:r w:rsidRPr="00D62A07">
        <w:t xml:space="preserve">As I explained above, in my view, the effect of </w:t>
      </w:r>
      <w:r w:rsidRPr="00D62A07">
        <w:rPr>
          <w:i/>
        </w:rPr>
        <w:t>Health Services</w:t>
      </w:r>
      <w:r w:rsidRPr="00D62A07">
        <w:t xml:space="preserve"> is that freedom of association includes the freedom to engage in associational activities and the ability of employees to act in common to reach shared goals related to workplace </w:t>
      </w:r>
      <w:r w:rsidRPr="00D62A07">
        <w:lastRenderedPageBreak/>
        <w:t xml:space="preserve">issues and terms of employment.  This delineation of the scope of freedom of association does not entail a more expansive protection than </w:t>
      </w:r>
      <w:r w:rsidRPr="00D62A07">
        <w:rPr>
          <w:color w:val="000000"/>
        </w:rPr>
        <w:t xml:space="preserve">the legislative framework </w:t>
      </w:r>
      <w:r w:rsidRPr="00D62A07">
        <w:t xml:space="preserve">mandated by </w:t>
      </w:r>
      <w:r w:rsidRPr="00D62A07">
        <w:rPr>
          <w:i/>
        </w:rPr>
        <w:t xml:space="preserve">Dunmore </w:t>
      </w:r>
      <w:r w:rsidRPr="00D62A07">
        <w:t xml:space="preserve">for the agricultural workers.  Therefore, if the </w:t>
      </w:r>
      <w:r w:rsidRPr="00D62A07">
        <w:rPr>
          <w:i/>
        </w:rPr>
        <w:t>AEPA</w:t>
      </w:r>
      <w:r w:rsidRPr="00D62A07">
        <w:t xml:space="preserve"> complies with </w:t>
      </w:r>
      <w:r w:rsidRPr="00D62A07">
        <w:rPr>
          <w:i/>
        </w:rPr>
        <w:t>Dunmore</w:t>
      </w:r>
      <w:r w:rsidRPr="00D62A07">
        <w:t xml:space="preserve">, it will necessarily comply with the </w:t>
      </w:r>
      <w:r w:rsidRPr="00D62A07">
        <w:rPr>
          <w:i/>
        </w:rPr>
        <w:t>Charter</w:t>
      </w:r>
      <w:r w:rsidRPr="00D62A07">
        <w:t>. To answer the question in the case at bar, there is</w:t>
      </w:r>
      <w:r w:rsidRPr="00D62A07">
        <w:rPr>
          <w:i/>
        </w:rPr>
        <w:t xml:space="preserve"> </w:t>
      </w:r>
      <w:r w:rsidRPr="00D62A07">
        <w:t>no need to</w:t>
      </w:r>
      <w:r w:rsidRPr="00D62A07">
        <w:rPr>
          <w:i/>
        </w:rPr>
        <w:t xml:space="preserve"> </w:t>
      </w:r>
      <w:r w:rsidRPr="00D62A07">
        <w:t>import a duty to bargain</w:t>
      </w:r>
      <w:r w:rsidRPr="00D62A07">
        <w:rPr>
          <w:i/>
        </w:rPr>
        <w:t xml:space="preserve"> </w:t>
      </w:r>
      <w:r w:rsidRPr="00D62A07">
        <w:t xml:space="preserve">in good faith.  </w:t>
      </w:r>
      <w:r w:rsidRPr="00D62A07">
        <w:rPr>
          <w:color w:val="000000"/>
        </w:rPr>
        <w:t>I cannot therefore agree with the statement of the majority in the case at bar that, “[s]</w:t>
      </w:r>
      <w:proofErr w:type="spellStart"/>
      <w:r w:rsidRPr="00D62A07">
        <w:rPr>
          <w:color w:val="000000"/>
        </w:rPr>
        <w:t>ince</w:t>
      </w:r>
      <w:proofErr w:type="spellEnd"/>
      <w:r w:rsidRPr="00D62A07">
        <w:rPr>
          <w:color w:val="000000"/>
        </w:rPr>
        <w:t xml:space="preserve"> </w:t>
      </w:r>
      <w:r w:rsidRPr="00D62A07">
        <w:rPr>
          <w:i/>
          <w:color w:val="000000"/>
        </w:rPr>
        <w:t>Health Services</w:t>
      </w:r>
      <w:r w:rsidRPr="00D62A07">
        <w:rPr>
          <w:color w:val="000000"/>
        </w:rPr>
        <w:t>, it has been clear that [a meaningful exercise of the right to associate] requires employers to consider employee representations in good faith”</w:t>
      </w:r>
      <w:r w:rsidR="006F3455">
        <w:rPr>
          <w:color w:val="000000"/>
        </w:rPr>
        <w:t xml:space="preserve"> (</w:t>
      </w:r>
      <w:r w:rsidR="006F3455" w:rsidRPr="00D62A07">
        <w:rPr>
          <w:color w:val="000000"/>
        </w:rPr>
        <w:t>para. 104)</w:t>
      </w:r>
      <w:r w:rsidR="006F3455">
        <w:rPr>
          <w:color w:val="000000"/>
        </w:rPr>
        <w:t>.</w:t>
      </w:r>
    </w:p>
    <w:p w:rsidR="00A00D29" w:rsidRPr="00D62A07" w:rsidRDefault="00A00D29" w:rsidP="001F5D59">
      <w:pPr>
        <w:pStyle w:val="ReasonsNumbering-AltN"/>
        <w:ind w:left="0" w:firstLine="0"/>
      </w:pPr>
      <w:r w:rsidRPr="00D62A07">
        <w:t xml:space="preserve">I would be remiss were I not to mention the </w:t>
      </w:r>
      <w:r w:rsidRPr="00D62A07">
        <w:rPr>
          <w:color w:val="000000"/>
        </w:rPr>
        <w:t xml:space="preserve">observation of the majority </w:t>
      </w:r>
      <w:r w:rsidRPr="00D62A07">
        <w:t xml:space="preserve">in </w:t>
      </w:r>
      <w:r w:rsidRPr="00D62A07">
        <w:rPr>
          <w:i/>
        </w:rPr>
        <w:t xml:space="preserve">Health Services </w:t>
      </w:r>
      <w:r w:rsidRPr="00D62A07">
        <w:t>(at para. 88) that</w:t>
      </w:r>
      <w:r w:rsidRPr="00D62A07">
        <w:rPr>
          <w:color w:val="000000"/>
        </w:rPr>
        <w:t xml:space="preserve">, owing to s. 32 of the </w:t>
      </w:r>
      <w:r w:rsidRPr="00D62A07">
        <w:rPr>
          <w:i/>
          <w:color w:val="000000"/>
        </w:rPr>
        <w:t>Charter</w:t>
      </w:r>
      <w:r w:rsidRPr="00D62A07">
        <w:rPr>
          <w:color w:val="000000"/>
        </w:rPr>
        <w:t>, “a</w:t>
      </w:r>
      <w:r w:rsidRPr="00D62A07">
        <w:t xml:space="preserve"> private employer</w:t>
      </w:r>
      <w:r w:rsidRPr="00D62A07">
        <w:rPr>
          <w:i/>
        </w:rPr>
        <w:t xml:space="preserve"> </w:t>
      </w:r>
      <w:r w:rsidRPr="00D62A07">
        <w:rPr>
          <w:color w:val="000000"/>
        </w:rPr>
        <w:t xml:space="preserve">is </w:t>
      </w:r>
      <w:r w:rsidRPr="00D62A07">
        <w:t>not bound</w:t>
      </w:r>
      <w:r w:rsidRPr="00D62A07">
        <w:rPr>
          <w:color w:val="000000"/>
        </w:rPr>
        <w:t>”</w:t>
      </w:r>
      <w:r w:rsidRPr="00D62A07">
        <w:t xml:space="preserve"> by </w:t>
      </w:r>
      <w:r w:rsidRPr="00D62A07">
        <w:rPr>
          <w:color w:val="000000"/>
        </w:rPr>
        <w:t>s. 2(</w:t>
      </w:r>
      <w:r w:rsidRPr="00D62A07">
        <w:rPr>
          <w:i/>
          <w:color w:val="000000"/>
        </w:rPr>
        <w:t>d</w:t>
      </w:r>
      <w:r w:rsidRPr="00D62A07">
        <w:rPr>
          <w:color w:val="000000"/>
        </w:rPr>
        <w:t>)</w:t>
      </w:r>
      <w:r w:rsidRPr="00D62A07">
        <w:t xml:space="preserve"> seems to have been lost in the case at bar. The requirement created by the </w:t>
      </w:r>
      <w:r w:rsidRPr="00D62A07">
        <w:rPr>
          <w:color w:val="000000"/>
        </w:rPr>
        <w:t xml:space="preserve">majority in the instant case </w:t>
      </w:r>
      <w:r w:rsidRPr="00D62A07">
        <w:t>(at para.</w:t>
      </w:r>
      <w:r w:rsidRPr="00D62A07">
        <w:rPr>
          <w:color w:val="000000"/>
        </w:rPr>
        <w:t xml:space="preserve"> 73</w:t>
      </w:r>
      <w:r w:rsidRPr="00D62A07">
        <w:t xml:space="preserve">) </w:t>
      </w:r>
      <w:r w:rsidRPr="00D62A07">
        <w:rPr>
          <w:color w:val="000000"/>
        </w:rPr>
        <w:t xml:space="preserve">that </w:t>
      </w:r>
      <w:r w:rsidRPr="00D62A07">
        <w:t xml:space="preserve">the legislature </w:t>
      </w:r>
      <w:r w:rsidRPr="00D62A07">
        <w:rPr>
          <w:color w:val="000000"/>
        </w:rPr>
        <w:t>“</w:t>
      </w:r>
      <w:r w:rsidRPr="00D62A07">
        <w:rPr>
          <w:color w:val="000000"/>
          <w:lang w:val="en-US"/>
        </w:rPr>
        <w:t>impose statutory obligations on employers”</w:t>
      </w:r>
      <w:r w:rsidRPr="00D62A07">
        <w:rPr>
          <w:color w:val="000000"/>
        </w:rPr>
        <w:t xml:space="preserve"> </w:t>
      </w:r>
      <w:r w:rsidRPr="00D62A07">
        <w:t xml:space="preserve">to conduct good faith negotiations cannot be found in </w:t>
      </w:r>
      <w:r w:rsidRPr="00D62A07">
        <w:rPr>
          <w:i/>
        </w:rPr>
        <w:t>Health Services</w:t>
      </w:r>
      <w:r w:rsidRPr="00D62A07">
        <w:t>.</w:t>
      </w:r>
      <w:r w:rsidRPr="00D62A07">
        <w:rPr>
          <w:i/>
        </w:rPr>
        <w:t xml:space="preserve"> </w:t>
      </w:r>
      <w:r w:rsidRPr="00D62A07">
        <w:t xml:space="preserve"> As a result of this</w:t>
      </w:r>
      <w:r w:rsidRPr="00D62A07">
        <w:rPr>
          <w:i/>
        </w:rPr>
        <w:t xml:space="preserve"> </w:t>
      </w:r>
      <w:r w:rsidRPr="00D62A07">
        <w:t xml:space="preserve">new requirement, Parliament and the legislatures will now, subject to justification under s. 1 of the </w:t>
      </w:r>
      <w:r w:rsidRPr="00D62A07">
        <w:rPr>
          <w:i/>
        </w:rPr>
        <w:t>Charter</w:t>
      </w:r>
      <w:r w:rsidRPr="00D62A07">
        <w:t xml:space="preserve">, have a constitutional obligation to ensure that their Wagner-based labour legislation includes </w:t>
      </w:r>
      <w:r w:rsidRPr="00D62A07">
        <w:rPr>
          <w:i/>
        </w:rPr>
        <w:t>all</w:t>
      </w:r>
      <w:r w:rsidRPr="00D62A07">
        <w:t xml:space="preserve"> </w:t>
      </w:r>
      <w:proofErr w:type="gramStart"/>
      <w:r w:rsidRPr="00D62A07">
        <w:t>employees.</w:t>
      </w:r>
      <w:proofErr w:type="gramEnd"/>
      <w:r w:rsidRPr="00D62A07">
        <w:t xml:space="preserve"> </w:t>
      </w:r>
      <w:r w:rsidRPr="00D62A07">
        <w:rPr>
          <w:color w:val="000000"/>
        </w:rPr>
        <w:t xml:space="preserve">The irony of this result is that no such obligation was sought by the claimants either in </w:t>
      </w:r>
      <w:r w:rsidRPr="00D62A07">
        <w:rPr>
          <w:i/>
          <w:color w:val="000000"/>
        </w:rPr>
        <w:t>Dunmore</w:t>
      </w:r>
      <w:r w:rsidRPr="00D62A07">
        <w:rPr>
          <w:color w:val="000000"/>
        </w:rPr>
        <w:t xml:space="preserve"> or in </w:t>
      </w:r>
      <w:r w:rsidRPr="00D62A07">
        <w:rPr>
          <w:i/>
          <w:color w:val="000000"/>
        </w:rPr>
        <w:t>Health</w:t>
      </w:r>
      <w:r w:rsidRPr="00D62A07">
        <w:rPr>
          <w:color w:val="000000"/>
        </w:rPr>
        <w:t xml:space="preserve"> </w:t>
      </w:r>
      <w:r w:rsidRPr="00D62A07">
        <w:rPr>
          <w:i/>
          <w:color w:val="000000"/>
        </w:rPr>
        <w:t>Services</w:t>
      </w:r>
      <w:r w:rsidRPr="00D62A07">
        <w:rPr>
          <w:color w:val="000000"/>
        </w:rPr>
        <w:t>, the very cases on which the majority now rely to support their statement in this appeal.</w:t>
      </w:r>
    </w:p>
    <w:p w:rsidR="00A00D29" w:rsidRPr="00D62A07" w:rsidRDefault="00A00D29" w:rsidP="001F5D59">
      <w:pPr>
        <w:pStyle w:val="ReasonsNumbering-AltN"/>
        <w:ind w:left="0" w:firstLine="0"/>
        <w:rPr>
          <w:u w:val="single"/>
        </w:rPr>
      </w:pPr>
      <w:r w:rsidRPr="00D62A07">
        <w:rPr>
          <w:lang w:val="en-US"/>
        </w:rPr>
        <w:lastRenderedPageBreak/>
        <w:t>If Parliament and the legislatures are required to impose, in their statutory scheme</w:t>
      </w:r>
      <w:r w:rsidRPr="00D62A07">
        <w:rPr>
          <w:color w:val="000000"/>
          <w:lang w:val="en-US"/>
        </w:rPr>
        <w:t>s,</w:t>
      </w:r>
      <w:r w:rsidRPr="00D62A07">
        <w:rPr>
          <w:lang w:val="en-US"/>
        </w:rPr>
        <w:t xml:space="preserve"> a duty </w:t>
      </w:r>
      <w:r w:rsidRPr="00D62A07">
        <w:rPr>
          <w:color w:val="000000"/>
          <w:lang w:val="en-US"/>
        </w:rPr>
        <w:t xml:space="preserve">on employers </w:t>
      </w:r>
      <w:r w:rsidRPr="00D62A07">
        <w:rPr>
          <w:lang w:val="en-US"/>
        </w:rPr>
        <w:t xml:space="preserve">to bargain in good faith, this duty will apply to all public and private sector employees. </w:t>
      </w:r>
      <w:r w:rsidRPr="00D62A07">
        <w:rPr>
          <w:i/>
        </w:rPr>
        <w:t>Dunmore</w:t>
      </w:r>
      <w:r w:rsidRPr="00D62A07">
        <w:rPr>
          <w:color w:val="000000"/>
        </w:rPr>
        <w:t>, which concerned the exclusion of a group of employees who required assistance to exercise their constitutional right to associate,</w:t>
      </w:r>
      <w:r w:rsidRPr="00D62A07">
        <w:t xml:space="preserve"> will now apply to all Canadian employees regardless of whether </w:t>
      </w:r>
      <w:r w:rsidRPr="00D62A07">
        <w:rPr>
          <w:color w:val="000000"/>
        </w:rPr>
        <w:t>they need such support to exercise their s. 2(</w:t>
      </w:r>
      <w:r w:rsidRPr="00D62A07">
        <w:rPr>
          <w:i/>
          <w:color w:val="000000"/>
        </w:rPr>
        <w:t>d</w:t>
      </w:r>
      <w:r w:rsidRPr="00D62A07">
        <w:rPr>
          <w:color w:val="000000"/>
        </w:rPr>
        <w:t xml:space="preserve">) right (see </w:t>
      </w:r>
      <w:r w:rsidRPr="00D62A07">
        <w:rPr>
          <w:i/>
          <w:color w:val="000000"/>
        </w:rPr>
        <w:t>Delisle</w:t>
      </w:r>
      <w:r w:rsidRPr="00D62A07">
        <w:rPr>
          <w:color w:val="000000"/>
        </w:rPr>
        <w:t>)</w:t>
      </w:r>
      <w:r w:rsidRPr="00D62A07">
        <w:t>. This being so, the</w:t>
      </w:r>
      <w:r w:rsidRPr="00D62A07">
        <w:rPr>
          <w:lang w:val="en-US"/>
        </w:rPr>
        <w:t xml:space="preserve"> Court will be making a policy decision in the place of Parliament and the legislatures.  I would prefer to exercise restraint in such a case.</w:t>
      </w:r>
    </w:p>
    <w:p w:rsidR="00A00D29" w:rsidRPr="00D62A07" w:rsidRDefault="00A00D29" w:rsidP="001F5D59">
      <w:pPr>
        <w:pStyle w:val="ReasonsNumbering-AltN"/>
        <w:ind w:left="0" w:firstLine="0"/>
        <w:rPr>
          <w:u w:val="single"/>
        </w:rPr>
      </w:pPr>
      <w:r w:rsidRPr="00D62A07">
        <w:t xml:space="preserve">Because my interpretation of </w:t>
      </w:r>
      <w:r w:rsidRPr="00D62A07">
        <w:rPr>
          <w:i/>
        </w:rPr>
        <w:t>Health Services</w:t>
      </w:r>
      <w:r w:rsidRPr="00D62A07">
        <w:t xml:space="preserve"> is based on the questions that were actually raised in that case and the answers the Court actually gave to those questions, I am of the view that in the instant case, the</w:t>
      </w:r>
      <w:r w:rsidRPr="00D62A07">
        <w:rPr>
          <w:i/>
        </w:rPr>
        <w:t xml:space="preserve"> AEPA</w:t>
      </w:r>
      <w:r w:rsidRPr="00D62A07">
        <w:t xml:space="preserve"> has not been proven to violate the employees’ right to associate.  Section 1 of the </w:t>
      </w:r>
      <w:r w:rsidRPr="00D62A07">
        <w:rPr>
          <w:i/>
        </w:rPr>
        <w:t>AEPA</w:t>
      </w:r>
      <w:r w:rsidRPr="00D62A07">
        <w:t xml:space="preserve"> lists the rights of agricultural employees as follows: (1) the right</w:t>
      </w:r>
      <w:r w:rsidRPr="00D62A07">
        <w:rPr>
          <w:i/>
        </w:rPr>
        <w:t xml:space="preserve"> </w:t>
      </w:r>
      <w:r w:rsidRPr="00D62A07">
        <w:t>to form or join an employees’ association; (2) the right to participate in the lawful activities of an employees’</w:t>
      </w:r>
      <w:r w:rsidRPr="00D62A07">
        <w:rPr>
          <w:i/>
        </w:rPr>
        <w:t xml:space="preserve"> </w:t>
      </w:r>
      <w:r w:rsidRPr="00D62A07">
        <w:t xml:space="preserve">association; (3) the right to assemble; (4) the right to make representations to their employers, through an employees’ association, respecting the terms and conditions of their employment; and (5) the right to protection against interference, coercion and discrimination in the exercise of their rights.  Farley J. pointed out that </w:t>
      </w:r>
      <w:r w:rsidRPr="00D62A07">
        <w:rPr>
          <w:i/>
        </w:rPr>
        <w:t>Dunmore</w:t>
      </w:r>
      <w:r w:rsidRPr="00D62A07">
        <w:t xml:space="preserve"> did not require the “legislation </w:t>
      </w:r>
      <w:r w:rsidR="00BA4146">
        <w:t xml:space="preserve">. . . </w:t>
      </w:r>
      <w:r w:rsidRPr="00D62A07">
        <w:t xml:space="preserve">to incorporate </w:t>
      </w:r>
      <w:proofErr w:type="gramStart"/>
      <w:r w:rsidRPr="00D62A07">
        <w:t>a complete</w:t>
      </w:r>
      <w:proofErr w:type="gramEnd"/>
      <w:r w:rsidRPr="00D62A07">
        <w:t xml:space="preserve"> panoply of collective bargaining rights” (para. 22) and found that the impugned legislation met the standards established in </w:t>
      </w:r>
      <w:r w:rsidRPr="00D62A07">
        <w:rPr>
          <w:i/>
        </w:rPr>
        <w:t>Dunmore</w:t>
      </w:r>
      <w:r w:rsidRPr="00D62A07">
        <w:t>. I agree with Farley J., and I respectfully disagree with the Court of Appeal’s interpretation.</w:t>
      </w:r>
    </w:p>
    <w:p w:rsidR="00A00D29" w:rsidRPr="00D62A07" w:rsidRDefault="00A00D29" w:rsidP="001F5D59">
      <w:pPr>
        <w:pStyle w:val="ReasonsNumbering-AltN"/>
        <w:ind w:left="0" w:firstLine="0"/>
        <w:rPr>
          <w:u w:val="single"/>
        </w:rPr>
      </w:pPr>
      <w:r w:rsidRPr="00D62A07">
        <w:lastRenderedPageBreak/>
        <w:t xml:space="preserve">Since </w:t>
      </w:r>
      <w:r w:rsidRPr="00D62A07">
        <w:rPr>
          <w:i/>
        </w:rPr>
        <w:t>Dunmore</w:t>
      </w:r>
      <w:r w:rsidRPr="00D62A07">
        <w:t xml:space="preserve"> remains central to this appeal, I must comment briefly on the approach taken in that case. </w:t>
      </w:r>
    </w:p>
    <w:p w:rsidR="00A00D29" w:rsidRPr="00D62A07" w:rsidRDefault="00A00D29" w:rsidP="00BA4146">
      <w:pPr>
        <w:tabs>
          <w:tab w:val="left" w:pos="360"/>
        </w:tabs>
        <w:spacing w:after="480" w:line="480" w:lineRule="auto"/>
        <w:jc w:val="both"/>
        <w:rPr>
          <w:i/>
          <w:u w:val="single"/>
        </w:rPr>
      </w:pPr>
      <w:r w:rsidRPr="00D62A07">
        <w:t>I</w:t>
      </w:r>
      <w:r w:rsidR="00BA4146">
        <w:t>I.</w:t>
      </w:r>
      <w:r w:rsidR="00BA4146">
        <w:tab/>
      </w:r>
      <w:r w:rsidRPr="00D62A07">
        <w:rPr>
          <w:u w:val="single"/>
        </w:rPr>
        <w:t xml:space="preserve">Approach </w:t>
      </w:r>
      <w:proofErr w:type="gramStart"/>
      <w:r w:rsidRPr="00D62A07">
        <w:rPr>
          <w:u w:val="single"/>
        </w:rPr>
        <w:t>From</w:t>
      </w:r>
      <w:proofErr w:type="gramEnd"/>
      <w:r w:rsidRPr="00D62A07">
        <w:rPr>
          <w:u w:val="single"/>
        </w:rPr>
        <w:t xml:space="preserve"> </w:t>
      </w:r>
      <w:r w:rsidRPr="00D62A07">
        <w:rPr>
          <w:i/>
          <w:u w:val="single"/>
        </w:rPr>
        <w:t>Dunmore</w:t>
      </w:r>
    </w:p>
    <w:p w:rsidR="00A00D29" w:rsidRPr="00D62A07" w:rsidRDefault="00A00D29" w:rsidP="001F5D59">
      <w:pPr>
        <w:pStyle w:val="ReasonsNumbering-AltN"/>
        <w:ind w:left="0" w:firstLine="0"/>
      </w:pPr>
      <w:r w:rsidRPr="00D62A07">
        <w:t xml:space="preserve">In </w:t>
      </w:r>
      <w:r w:rsidRPr="00D62A07">
        <w:rPr>
          <w:i/>
        </w:rPr>
        <w:t>Health Services</w:t>
      </w:r>
      <w:r w:rsidRPr="00D62A07">
        <w:t xml:space="preserve"> (at para. 176), I voiced concerns about </w:t>
      </w:r>
      <w:r w:rsidRPr="00D62A07">
        <w:rPr>
          <w:color w:val="000000"/>
        </w:rPr>
        <w:t xml:space="preserve">the majority’s adoption of </w:t>
      </w:r>
      <w:r w:rsidRPr="00D62A07">
        <w:t xml:space="preserve">a criterion </w:t>
      </w:r>
      <w:r w:rsidRPr="00D62A07">
        <w:rPr>
          <w:color w:val="000000"/>
        </w:rPr>
        <w:t>used</w:t>
      </w:r>
      <w:r w:rsidRPr="00D62A07">
        <w:t xml:space="preserve"> in </w:t>
      </w:r>
      <w:r w:rsidRPr="00D62A07">
        <w:rPr>
          <w:i/>
        </w:rPr>
        <w:t>Dunmore</w:t>
      </w:r>
      <w:r w:rsidRPr="00D62A07">
        <w:t xml:space="preserve"> to determine whether the government had infringed a </w:t>
      </w:r>
      <w:r w:rsidRPr="00D62A07">
        <w:rPr>
          <w:i/>
        </w:rPr>
        <w:t>Charter</w:t>
      </w:r>
      <w:r w:rsidRPr="00D62A07">
        <w:t xml:space="preserve"> right.  Even though both cases are based on compelling facts, principles should not be imported from one context into another that is not analogous to it. </w:t>
      </w:r>
      <w:r w:rsidRPr="00D62A07">
        <w:rPr>
          <w:color w:val="000000"/>
        </w:rPr>
        <w:t>As I explained above, a similar unwarranted importation of principles can be observed in the case at bar. But there is more.</w:t>
      </w:r>
    </w:p>
    <w:p w:rsidR="00A00D29" w:rsidRPr="00D62A07" w:rsidRDefault="00A00D29" w:rsidP="001F5D59">
      <w:pPr>
        <w:pStyle w:val="ReasonsNumbering-AltN"/>
        <w:ind w:left="0" w:firstLine="0"/>
      </w:pPr>
      <w:r w:rsidRPr="00D62A07">
        <w:t xml:space="preserve">It is helpful to recall that, as noted by Judy Fudge, “[a]t issue in </w:t>
      </w:r>
      <w:r w:rsidRPr="00D62A07">
        <w:rPr>
          <w:i/>
        </w:rPr>
        <w:t xml:space="preserve">Dunmore </w:t>
      </w:r>
      <w:r w:rsidRPr="00D62A07">
        <w:t xml:space="preserve">was the total exclusion of agricultural workers in Ontario from any form of labour legislation that protected them against employer retaliation from joining and participating in a trade union. The union did not ask for collective bargaining rights” (“The Supreme Court of Canada and the Right to Bargain Collectively: The Implications of the </w:t>
      </w:r>
      <w:r w:rsidRPr="00D62A07">
        <w:rPr>
          <w:i/>
        </w:rPr>
        <w:t>Health Services and Support</w:t>
      </w:r>
      <w:r w:rsidRPr="00D62A07">
        <w:t xml:space="preserve"> case in Canada and Beyond</w:t>
      </w:r>
      <w:r w:rsidRPr="00D62A07">
        <w:rPr>
          <w:color w:val="000000"/>
        </w:rPr>
        <w:t>”</w:t>
      </w:r>
      <w:r w:rsidRPr="00D62A07">
        <w:t xml:space="preserve"> (2008), 37 </w:t>
      </w:r>
      <w:r w:rsidRPr="00D62A07">
        <w:rPr>
          <w:i/>
        </w:rPr>
        <w:t>Indus. L.J.</w:t>
      </w:r>
      <w:r w:rsidRPr="00D62A07">
        <w:t xml:space="preserve">  25, at p. 30).</w:t>
      </w:r>
      <w:r w:rsidRPr="00D62A07">
        <w:rPr>
          <w:color w:val="000000"/>
        </w:rPr>
        <w:t xml:space="preserve"> </w:t>
      </w:r>
    </w:p>
    <w:p w:rsidR="00A00D29" w:rsidRPr="00D62A07" w:rsidRDefault="00A00D29" w:rsidP="001F5D59">
      <w:pPr>
        <w:pStyle w:val="ReasonsNumbering-AltN"/>
        <w:ind w:left="0" w:firstLine="0"/>
      </w:pPr>
      <w:r w:rsidRPr="00D62A07">
        <w:rPr>
          <w:i/>
        </w:rPr>
        <w:t>Dunmore</w:t>
      </w:r>
      <w:r w:rsidRPr="00D62A07">
        <w:t xml:space="preserve"> was obviously a difficult case. At its heart was the economic inequality being suffered by agricultural </w:t>
      </w:r>
      <w:proofErr w:type="gramStart"/>
      <w:r w:rsidRPr="00D62A07">
        <w:t>workers.</w:t>
      </w:r>
      <w:proofErr w:type="gramEnd"/>
      <w:r w:rsidRPr="00D62A07">
        <w:t xml:space="preserve"> While labour law is to some extent always about economic inequality, this issue does not occupy the forefront of every battle. </w:t>
      </w:r>
      <w:r w:rsidRPr="00D62A07">
        <w:rPr>
          <w:i/>
        </w:rPr>
        <w:t>Health Services</w:t>
      </w:r>
      <w:r w:rsidRPr="00D62A07">
        <w:t xml:space="preserve"> was not primarily about economic </w:t>
      </w:r>
      <w:r w:rsidRPr="00D62A07">
        <w:rPr>
          <w:color w:val="000000"/>
        </w:rPr>
        <w:t>in</w:t>
      </w:r>
      <w:r w:rsidRPr="00D62A07">
        <w:t xml:space="preserve">equality — it concerned </w:t>
      </w:r>
      <w:r w:rsidRPr="00D62A07">
        <w:rPr>
          <w:color w:val="000000"/>
        </w:rPr>
        <w:lastRenderedPageBreak/>
        <w:t>legislative</w:t>
      </w:r>
      <w:r w:rsidRPr="00D62A07">
        <w:t xml:space="preserve"> interference </w:t>
      </w:r>
      <w:r w:rsidRPr="00D62A07">
        <w:rPr>
          <w:color w:val="000000"/>
        </w:rPr>
        <w:t>with both existing and future</w:t>
      </w:r>
      <w:r w:rsidRPr="00D62A07">
        <w:t xml:space="preserve"> collective agreements. Although economic inequality has the potential to undermine the peaceful foundations of democratic societies, economic equality is not an “equality right” for the purposes of  s. 15 of the </w:t>
      </w:r>
      <w:r w:rsidRPr="00D62A07">
        <w:rPr>
          <w:i/>
        </w:rPr>
        <w:t>Charter</w:t>
      </w:r>
      <w:r w:rsidRPr="00D62A07">
        <w:t xml:space="preserve">. In addition, even though labour law provides tools that help reduce economic inequality, not all aspects of labour law are protected by the </w:t>
      </w:r>
      <w:r w:rsidRPr="00D62A07">
        <w:rPr>
          <w:i/>
        </w:rPr>
        <w:t>Charter</w:t>
      </w:r>
      <w:r w:rsidRPr="00D62A07">
        <w:t xml:space="preserve"> (see </w:t>
      </w:r>
      <w:r w:rsidRPr="00D62A07">
        <w:rPr>
          <w:i/>
        </w:rPr>
        <w:t>Health Services</w:t>
      </w:r>
      <w:r w:rsidRPr="00D62A07">
        <w:t xml:space="preserve">, at para. 19). Finally, employment status is not, at least not at this time, regarded as an analogous ground for the purposes of s. 15 of the </w:t>
      </w:r>
      <w:r w:rsidRPr="00D62A07">
        <w:rPr>
          <w:i/>
        </w:rPr>
        <w:t>Charter</w:t>
      </w:r>
      <w:r w:rsidRPr="00D62A07">
        <w:t>.</w:t>
      </w:r>
    </w:p>
    <w:p w:rsidR="00A00D29" w:rsidRPr="00D62A07" w:rsidRDefault="00A00D29" w:rsidP="001F5D59">
      <w:pPr>
        <w:pStyle w:val="ReasonsNumbering-AltN"/>
        <w:ind w:left="0" w:firstLine="0"/>
        <w:rPr>
          <w:lang w:val="en-US"/>
        </w:rPr>
      </w:pPr>
      <w:r w:rsidRPr="00D62A07">
        <w:rPr>
          <w:i/>
        </w:rPr>
        <w:t>Dunmore</w:t>
      </w:r>
      <w:r w:rsidRPr="00D62A07">
        <w:t xml:space="preserve"> was based on the distinction between positive and negative rights.  In my view, using this distinction as a basis for finding that s. 2(</w:t>
      </w:r>
      <w:r w:rsidRPr="00D62A07">
        <w:rPr>
          <w:i/>
        </w:rPr>
        <w:t>d</w:t>
      </w:r>
      <w:r w:rsidRPr="00D62A07">
        <w:t xml:space="preserve">) has been infringed involves some difficulty. Both the commentary and the case law provide sufficient justification for exercising caution before adopting an approach that relies on the positive-negative distinction, particularly when the claim concerns state action or inaction. Stephen Holmes and Cass R. Sunstein express this eloquently in </w:t>
      </w:r>
      <w:r w:rsidRPr="00D62A07">
        <w:rPr>
          <w:i/>
        </w:rPr>
        <w:t xml:space="preserve">The Cost of Rights: </w:t>
      </w:r>
      <w:r w:rsidR="00BA4146">
        <w:rPr>
          <w:i/>
        </w:rPr>
        <w:t xml:space="preserve"> </w:t>
      </w:r>
      <w:r w:rsidRPr="00D62A07">
        <w:rPr>
          <w:i/>
        </w:rPr>
        <w:t xml:space="preserve">Why Liberty Depends on Taxes </w:t>
      </w:r>
      <w:r w:rsidRPr="00D62A07">
        <w:t>(1999), at pp. 43-44:</w:t>
      </w:r>
    </w:p>
    <w:p w:rsidR="00A00D29" w:rsidRPr="00D62A07" w:rsidRDefault="00CD1E50" w:rsidP="00CD1E50">
      <w:pPr>
        <w:pStyle w:val="Citation1"/>
        <w:tabs>
          <w:tab w:val="left" w:pos="1170"/>
        </w:tabs>
        <w:spacing w:after="240"/>
        <w:ind w:hanging="1166"/>
        <w:contextualSpacing w:val="0"/>
        <w:rPr>
          <w:lang w:val="en-US"/>
        </w:rPr>
      </w:pPr>
      <w:r>
        <w:rPr>
          <w:lang w:val="en-US"/>
        </w:rPr>
        <w:tab/>
      </w:r>
      <w:r w:rsidR="00A00D29" w:rsidRPr="00D62A07">
        <w:rPr>
          <w:lang w:val="en-US"/>
        </w:rPr>
        <w:t xml:space="preserve">Individuals enjoy rights, in a legal as opposed to a moral sense, only if the wrongs they suffer are fairly and predictably redressed by their government.  This simple point goes a long way toward disclosing the inadequacy of the negative rights/positive rights distinction.  What it shows is that all legally enforced rights are necessarily positive rights. </w:t>
      </w:r>
    </w:p>
    <w:p w:rsidR="00A00D29" w:rsidRPr="00D62A07" w:rsidRDefault="00BA4146" w:rsidP="00CD1E50">
      <w:pPr>
        <w:pStyle w:val="Citation1"/>
        <w:tabs>
          <w:tab w:val="left" w:pos="1620"/>
        </w:tabs>
        <w:ind w:hanging="1166"/>
        <w:rPr>
          <w:lang w:val="en-US"/>
        </w:rPr>
      </w:pPr>
      <w:r>
        <w:rPr>
          <w:lang w:val="en-US"/>
        </w:rPr>
        <w:tab/>
      </w:r>
      <w:r w:rsidR="00CD1E50">
        <w:rPr>
          <w:lang w:val="en-US"/>
        </w:rPr>
        <w:tab/>
      </w:r>
      <w:r w:rsidR="00A00D29" w:rsidRPr="00D62A07">
        <w:rPr>
          <w:lang w:val="en-US"/>
        </w:rPr>
        <w:t xml:space="preserve">. . . That is to say, </w:t>
      </w:r>
      <w:r w:rsidR="00A00D29" w:rsidRPr="00D62A07">
        <w:t>personal liberty cannot be secured merely by limiting government interference with freedom of action and association. No right is simply a right to be left alone by public officials.</w:t>
      </w:r>
    </w:p>
    <w:p w:rsidR="00A00D29" w:rsidRPr="00D62A07" w:rsidRDefault="00A00D29" w:rsidP="001F5D59">
      <w:pPr>
        <w:pStyle w:val="ContinueReasonsNo-AltP"/>
        <w:rPr>
          <w:color w:val="3A3A3A"/>
          <w:lang w:eastAsia="fr-CA"/>
        </w:rPr>
      </w:pPr>
      <w:r w:rsidRPr="00D62A07">
        <w:rPr>
          <w:lang w:val="en-US"/>
        </w:rPr>
        <w:lastRenderedPageBreak/>
        <w:t xml:space="preserve">This brings to mind Cory and Iacobucci JJ.’s response in </w:t>
      </w:r>
      <w:r w:rsidRPr="00D62A07">
        <w:rPr>
          <w:i/>
          <w:lang w:eastAsia="fr-CA"/>
        </w:rPr>
        <w:t>Vriend</w:t>
      </w:r>
      <w:r w:rsidRPr="00D62A07">
        <w:rPr>
          <w:i/>
          <w:color w:val="000000"/>
          <w:lang w:eastAsia="fr-CA"/>
        </w:rPr>
        <w:t xml:space="preserve"> </w:t>
      </w:r>
      <w:r w:rsidRPr="00D62A07">
        <w:rPr>
          <w:i/>
          <w:lang w:eastAsia="fr-CA"/>
        </w:rPr>
        <w:t>v. Alberta</w:t>
      </w:r>
      <w:r w:rsidRPr="00D62A07">
        <w:rPr>
          <w:lang w:eastAsia="fr-CA"/>
        </w:rPr>
        <w:t>, [1998] 1 S.C.R. 493</w:t>
      </w:r>
      <w:r w:rsidRPr="00D62A07">
        <w:rPr>
          <w:color w:val="000000"/>
          <w:lang w:eastAsia="fr-CA"/>
        </w:rPr>
        <w:t>,</w:t>
      </w:r>
      <w:r w:rsidRPr="00D62A07">
        <w:rPr>
          <w:lang w:eastAsia="fr-CA"/>
        </w:rPr>
        <w:t xml:space="preserve"> </w:t>
      </w:r>
      <w:r w:rsidRPr="00D62A07">
        <w:rPr>
          <w:color w:val="000000"/>
          <w:lang w:eastAsia="fr-CA"/>
        </w:rPr>
        <w:t>at para. 56,</w:t>
      </w:r>
      <w:r w:rsidRPr="00D62A07">
        <w:rPr>
          <w:color w:val="3A3A3A"/>
          <w:lang w:eastAsia="fr-CA"/>
        </w:rPr>
        <w:t xml:space="preserve"> </w:t>
      </w:r>
      <w:r w:rsidRPr="00D62A07">
        <w:rPr>
          <w:lang w:val="en-US"/>
        </w:rPr>
        <w:t>to an argument that was analogous to the positive-negative rights dichotomy:</w:t>
      </w:r>
      <w:r w:rsidRPr="00D62A07">
        <w:rPr>
          <w:color w:val="3A3A3A"/>
          <w:lang w:eastAsia="fr-CA"/>
        </w:rPr>
        <w:t xml:space="preserve"> </w:t>
      </w:r>
    </w:p>
    <w:p w:rsidR="00A00D29" w:rsidRPr="00D62A07" w:rsidRDefault="00A00D29" w:rsidP="00A00D29">
      <w:pPr>
        <w:pStyle w:val="Citation1"/>
        <w:rPr>
          <w:lang w:eastAsia="fr-CA"/>
        </w:rPr>
      </w:pPr>
      <w:r w:rsidRPr="00D62A07">
        <w:rPr>
          <w:lang w:eastAsia="fr-CA"/>
        </w:rPr>
        <w:t xml:space="preserve">It is said, however, that this case is different because the challenge centres on the legislature’s failure to extend the protection of a law to a particular group of people.  This position assumes that it is only a positive act rather than an omission which may be scrutinized under the </w:t>
      </w:r>
      <w:r w:rsidRPr="00D62A07">
        <w:rPr>
          <w:i/>
          <w:iCs/>
          <w:lang w:eastAsia="fr-CA"/>
        </w:rPr>
        <w:t>Charter</w:t>
      </w:r>
      <w:r w:rsidRPr="00D62A07">
        <w:rPr>
          <w:lang w:eastAsia="fr-CA"/>
        </w:rPr>
        <w:t>.</w:t>
      </w:r>
      <w:r w:rsidR="00BA4146">
        <w:rPr>
          <w:lang w:eastAsia="fr-CA"/>
        </w:rPr>
        <w:t xml:space="preserve"> </w:t>
      </w:r>
      <w:r w:rsidRPr="00D62A07">
        <w:t>In my view, for the reasons that will follow, there is no legal basis for drawing such a distinction.</w:t>
      </w:r>
    </w:p>
    <w:p w:rsidR="00A00D29" w:rsidRPr="00D62A07" w:rsidRDefault="00A00D29" w:rsidP="001F5D59">
      <w:pPr>
        <w:pStyle w:val="ReasonsNumbering-AltN"/>
        <w:ind w:left="0" w:firstLine="0"/>
        <w:rPr>
          <w:lang w:val="en-US"/>
        </w:rPr>
      </w:pPr>
      <w:r w:rsidRPr="001F5D59">
        <w:t>Distinguishing</w:t>
      </w:r>
      <w:r w:rsidRPr="00D62A07">
        <w:t xml:space="preserve"> between the freedom to exercise a right without state interference and the right to exercise a freedom </w:t>
      </w:r>
      <w:r w:rsidRPr="00D62A07">
        <w:rPr>
          <w:color w:val="000000"/>
        </w:rPr>
        <w:t>unhampered by</w:t>
      </w:r>
      <w:r w:rsidRPr="00D62A07">
        <w:t xml:space="preserve"> state action or inaction diverts the discussion from the substance of the actual protection afforded by the </w:t>
      </w:r>
      <w:r w:rsidRPr="00D62A07">
        <w:rPr>
          <w:i/>
        </w:rPr>
        <w:t>Charter</w:t>
      </w:r>
      <w:r w:rsidRPr="00BA4146">
        <w:t>.</w:t>
      </w:r>
      <w:r w:rsidRPr="00D62A07">
        <w:t xml:space="preserve"> In our society, government activity</w:t>
      </w:r>
      <w:r w:rsidR="00BA4146">
        <w:t xml:space="preserve"> is pervasive and unavoidable: s</w:t>
      </w:r>
      <w:r w:rsidRPr="00D62A07">
        <w:t xml:space="preserve">ee </w:t>
      </w:r>
      <w:r w:rsidRPr="00D62A07">
        <w:rPr>
          <w:lang w:val="en-US"/>
        </w:rPr>
        <w:t xml:space="preserve">S. </w:t>
      </w:r>
      <w:proofErr w:type="spellStart"/>
      <w:r w:rsidRPr="00D62A07">
        <w:rPr>
          <w:lang w:val="en-US"/>
        </w:rPr>
        <w:t>Bandes</w:t>
      </w:r>
      <w:proofErr w:type="spellEnd"/>
      <w:r w:rsidRPr="00D62A07">
        <w:rPr>
          <w:lang w:val="en-US"/>
        </w:rPr>
        <w:t xml:space="preserve">, “The Negative Constitution: A Critique” (1990), 88 </w:t>
      </w:r>
      <w:r w:rsidRPr="00D62A07">
        <w:rPr>
          <w:i/>
          <w:lang w:val="en-US"/>
        </w:rPr>
        <w:t xml:space="preserve">Mich. L. Rev. </w:t>
      </w:r>
      <w:r w:rsidRPr="00D62A07">
        <w:rPr>
          <w:lang w:val="en-US"/>
        </w:rPr>
        <w:t>2271, at p. 2285,</w:t>
      </w:r>
      <w:r w:rsidRPr="00D62A07">
        <w:t xml:space="preserve"> and</w:t>
      </w:r>
      <w:r w:rsidRPr="00D62A07">
        <w:rPr>
          <w:i/>
        </w:rPr>
        <w:t xml:space="preserve"> Greater Vancouver Transportation Authority v. Canadian Federation of Students </w:t>
      </w:r>
      <w:r w:rsidR="00BA4146">
        <w:rPr>
          <w:rFonts w:cs="Times New Roman"/>
          <w:i/>
        </w:rPr>
        <w:t>—</w:t>
      </w:r>
      <w:r w:rsidRPr="00D62A07">
        <w:rPr>
          <w:i/>
        </w:rPr>
        <w:t xml:space="preserve"> British Columbia Component</w:t>
      </w:r>
      <w:r w:rsidRPr="00D62A07">
        <w:t xml:space="preserve">, 2009 SCC 31, [2009] 2 S.C.R. 295, at para. 34. </w:t>
      </w:r>
    </w:p>
    <w:p w:rsidR="00A00D29" w:rsidRPr="00D62A07" w:rsidRDefault="00A00D29" w:rsidP="001F5D59">
      <w:pPr>
        <w:pStyle w:val="ReasonsNumbering-AltN"/>
        <w:ind w:left="0" w:firstLine="0"/>
        <w:rPr>
          <w:lang w:val="en-US"/>
        </w:rPr>
      </w:pPr>
      <w:r w:rsidRPr="00D62A07">
        <w:rPr>
          <w:i/>
        </w:rPr>
        <w:t xml:space="preserve">Dunmore </w:t>
      </w:r>
      <w:r w:rsidRPr="00D62A07">
        <w:t xml:space="preserve">was concerned with economic inequality. It was </w:t>
      </w:r>
      <w:r w:rsidRPr="00D62A07">
        <w:rPr>
          <w:lang w:eastAsia="fr-CA"/>
        </w:rPr>
        <w:t xml:space="preserve">based on the notion that the </w:t>
      </w:r>
      <w:r w:rsidRPr="00D62A07">
        <w:rPr>
          <w:i/>
          <w:lang w:eastAsia="fr-CA"/>
        </w:rPr>
        <w:t>Charter</w:t>
      </w:r>
      <w:r w:rsidRPr="00D62A07">
        <w:rPr>
          <w:lang w:eastAsia="fr-CA"/>
        </w:rPr>
        <w:t xml:space="preserve"> does not ordinarily oblige the government to take action to facilitate the exercise of a fundamental freedom. Recognition was given to the dichotomy between positive and negative rights. To get around the general rule, a somewhat convoluted framework was established for cases in which the vulnerability of a group justified resorting to government support.  </w:t>
      </w:r>
      <w:r w:rsidRPr="00D62A07">
        <w:t xml:space="preserve">I agree with B. Langille, “The </w:t>
      </w:r>
      <w:r w:rsidRPr="00D62A07">
        <w:lastRenderedPageBreak/>
        <w:t xml:space="preserve">Freedom of Association Mess: How We Got into It and How We Can Get out of It” (2009), 54 </w:t>
      </w:r>
      <w:r w:rsidRPr="00D62A07">
        <w:rPr>
          <w:i/>
        </w:rPr>
        <w:t>McGill L.J.</w:t>
      </w:r>
      <w:r w:rsidRPr="00D62A07">
        <w:t xml:space="preserve"> 177, that this detour appears to have been an artifice designed to sidestep the limits placed on the recognition of analogous grounds for the purposes of s. 15.</w:t>
      </w:r>
    </w:p>
    <w:p w:rsidR="00A00D29" w:rsidRPr="00D62A07" w:rsidRDefault="00A00D29" w:rsidP="001F5D59">
      <w:pPr>
        <w:pStyle w:val="ReasonsNumbering-AltN"/>
        <w:ind w:left="0" w:firstLine="0"/>
        <w:rPr>
          <w:lang w:val="en-US"/>
        </w:rPr>
      </w:pPr>
      <w:r w:rsidRPr="00D62A07">
        <w:t>To redress economic inequality, it would be more faithful to the design of the</w:t>
      </w:r>
      <w:r w:rsidRPr="00D62A07">
        <w:rPr>
          <w:i/>
        </w:rPr>
        <w:t xml:space="preserve"> Charter</w:t>
      </w:r>
      <w:r w:rsidRPr="00D62A07">
        <w:t xml:space="preserve"> to open the door to the recognition of more analogous grounds under s. 15, as </w:t>
      </w:r>
      <w:proofErr w:type="spellStart"/>
      <w:r w:rsidRPr="00D62A07">
        <w:t>L’Heureux-Dubé</w:t>
      </w:r>
      <w:proofErr w:type="spellEnd"/>
      <w:r w:rsidRPr="00D62A07">
        <w:t xml:space="preserve"> J. proposed in</w:t>
      </w:r>
      <w:r w:rsidRPr="00D62A07">
        <w:rPr>
          <w:i/>
        </w:rPr>
        <w:t xml:space="preserve"> Dunmore</w:t>
      </w:r>
      <w:r w:rsidRPr="00D62A07">
        <w:t xml:space="preserve">. Such an approach is preferable </w:t>
      </w:r>
      <w:r w:rsidRPr="00D62A07">
        <w:rPr>
          <w:color w:val="000000"/>
        </w:rPr>
        <w:t>t</w:t>
      </w:r>
      <w:r w:rsidRPr="00D62A07">
        <w:t xml:space="preserve">o relying on a distinction that does not rest on a solid foundation. This, of course, would entail a sea change in the interpretation of s. 15 of the </w:t>
      </w:r>
      <w:r w:rsidRPr="00D62A07">
        <w:rPr>
          <w:i/>
        </w:rPr>
        <w:t>Charter</w:t>
      </w:r>
      <w:r w:rsidRPr="00D62A07">
        <w:t>. The majority</w:t>
      </w:r>
      <w:r w:rsidRPr="00D62A07">
        <w:rPr>
          <w:color w:val="000000"/>
        </w:rPr>
        <w:t xml:space="preserve"> in the instant case resist such a change, referring to “Canadian values” and to the need to take a “generous and purposive” approach when interpreting </w:t>
      </w:r>
      <w:r w:rsidRPr="00D62A07">
        <w:rPr>
          <w:i/>
          <w:color w:val="000000"/>
        </w:rPr>
        <w:t xml:space="preserve">Charter </w:t>
      </w:r>
      <w:r w:rsidRPr="00D62A07">
        <w:rPr>
          <w:color w:val="000000"/>
        </w:rPr>
        <w:t>rights (at paras. 32, 90, 92 and 97</w:t>
      </w:r>
      <w:r w:rsidRPr="00D62A07">
        <w:t>), but to ensure consistency with the approach of the majority in</w:t>
      </w:r>
      <w:r w:rsidRPr="00D62A07">
        <w:rPr>
          <w:i/>
        </w:rPr>
        <w:t xml:space="preserve"> Health Services</w:t>
      </w:r>
      <w:r w:rsidRPr="00D62A07">
        <w:t xml:space="preserve"> (at paras. 81-96), they refer to equality in the s. 2(</w:t>
      </w:r>
      <w:r w:rsidRPr="00D62A07">
        <w:rPr>
          <w:i/>
        </w:rPr>
        <w:t>d</w:t>
      </w:r>
      <w:r w:rsidRPr="00D62A07">
        <w:t xml:space="preserve">) context without mentioning s. 15. </w:t>
      </w:r>
      <w:r w:rsidRPr="00D62A07">
        <w:rPr>
          <w:color w:val="000000"/>
        </w:rPr>
        <w:t xml:space="preserve">My point here is not that each </w:t>
      </w:r>
      <w:r w:rsidRPr="00D62A07">
        <w:rPr>
          <w:i/>
          <w:color w:val="000000"/>
        </w:rPr>
        <w:t>Charter</w:t>
      </w:r>
      <w:r w:rsidRPr="00D62A07">
        <w:rPr>
          <w:color w:val="000000"/>
        </w:rPr>
        <w:t xml:space="preserve"> protection should be interpreted in a formalistic manner. Rather, it is that if the law needs to move away from </w:t>
      </w:r>
      <w:r w:rsidRPr="00D62A07">
        <w:rPr>
          <w:i/>
          <w:color w:val="000000"/>
        </w:rPr>
        <w:t>Dunmore</w:t>
      </w:r>
      <w:r w:rsidRPr="00D62A07">
        <w:rPr>
          <w:color w:val="000000"/>
        </w:rPr>
        <w:t xml:space="preserve">’s distinction between positive and negative rights, this should not be accomplished by conflating freedom of association with the right to equality or any other </w:t>
      </w:r>
      <w:r w:rsidRPr="00D62A07">
        <w:rPr>
          <w:i/>
          <w:color w:val="000000"/>
        </w:rPr>
        <w:t>Charter</w:t>
      </w:r>
      <w:r w:rsidRPr="00D62A07">
        <w:rPr>
          <w:color w:val="000000"/>
        </w:rPr>
        <w:t xml:space="preserve"> right that may be asserted by a litigant. An analysis based on principles grounding the protection of rights and freedoms offers a better prospect of judicial consistency than one based on the more amorphous notion of “Canadian values”.</w:t>
      </w:r>
    </w:p>
    <w:p w:rsidR="00A00D29" w:rsidRPr="00BA4146" w:rsidRDefault="00A00D29" w:rsidP="00BA4146">
      <w:pPr>
        <w:pStyle w:val="ReasonsNumbering-AltN"/>
        <w:ind w:left="0" w:firstLine="0"/>
        <w:rPr>
          <w:lang w:val="en-US"/>
        </w:rPr>
      </w:pPr>
      <w:r w:rsidRPr="00BA4146">
        <w:rPr>
          <w:lang w:val="en-US"/>
        </w:rPr>
        <w:lastRenderedPageBreak/>
        <w:t xml:space="preserve">For </w:t>
      </w:r>
      <w:r w:rsidRPr="001F5D59">
        <w:t>these</w:t>
      </w:r>
      <w:r w:rsidRPr="00BA4146">
        <w:rPr>
          <w:lang w:val="en-US"/>
        </w:rPr>
        <w:t xml:space="preserve"> reasons, I would allow the appeal and restore Farley J.’s judgment.</w:t>
      </w:r>
    </w:p>
    <w:p w:rsidR="00BA4146" w:rsidRDefault="00BA4146" w:rsidP="00A00D29">
      <w:pPr>
        <w:tabs>
          <w:tab w:val="left" w:pos="-1440"/>
          <w:tab w:val="left" w:pos="-720"/>
          <w:tab w:val="left" w:pos="1170"/>
        </w:tabs>
        <w:spacing w:after="480" w:line="480" w:lineRule="auto"/>
        <w:jc w:val="both"/>
      </w:pPr>
      <w:r>
        <w:tab/>
        <w:t>The following are the reasons delivered by</w:t>
      </w:r>
    </w:p>
    <w:p w:rsidR="00A00D29" w:rsidRPr="009D1DC9" w:rsidRDefault="00BA4146" w:rsidP="001F5D59">
      <w:pPr>
        <w:pStyle w:val="ReasonsNumbering-AltN"/>
        <w:ind w:left="0" w:firstLine="0"/>
        <w:rPr>
          <w:rStyle w:val="NoSpacingChar"/>
        </w:rPr>
      </w:pPr>
      <w:r w:rsidRPr="00BA4146">
        <w:rPr>
          <w:smallCaps/>
        </w:rPr>
        <w:t>Abella J.</w:t>
      </w:r>
      <w:r w:rsidRPr="009D1DC9">
        <w:rPr>
          <w:sz w:val="22"/>
        </w:rPr>
        <w:t xml:space="preserve"> </w:t>
      </w:r>
      <w:r>
        <w:rPr>
          <w:sz w:val="22"/>
        </w:rPr>
        <w:t xml:space="preserve">(dissenting) </w:t>
      </w:r>
      <w:r w:rsidRPr="009D1DC9">
        <w:t xml:space="preserve">— </w:t>
      </w:r>
      <w:r w:rsidR="00A00D29" w:rsidRPr="009D1DC9">
        <w:t xml:space="preserve">I fully endorse the Chief Justice and LeBel J.’s discussion of </w:t>
      </w:r>
      <w:r w:rsidR="00A00D29" w:rsidRPr="009D1DC9">
        <w:rPr>
          <w:i/>
        </w:rPr>
        <w:t>Health Services and Support — Facilities Subsector Bargaining Assn. v. British Columbia</w:t>
      </w:r>
      <w:r w:rsidR="00A00D29" w:rsidRPr="009D1DC9">
        <w:t>,</w:t>
      </w:r>
      <w:r w:rsidR="00A00D29" w:rsidRPr="009D1DC9">
        <w:rPr>
          <w:rStyle w:val="NoSpacingChar"/>
        </w:rPr>
        <w:t xml:space="preserve"> 2007 SCC 27, [2007] 2 S.C.R. 391.  I agree with them that by including protection for the process of collective bargaining, </w:t>
      </w:r>
      <w:r w:rsidR="00A00D29" w:rsidRPr="009D1DC9">
        <w:rPr>
          <w:rStyle w:val="NoSpacingChar"/>
          <w:i/>
        </w:rPr>
        <w:t>Health Services</w:t>
      </w:r>
      <w:r w:rsidR="00A00D29" w:rsidRPr="009D1DC9">
        <w:rPr>
          <w:rStyle w:val="NoSpacingChar"/>
        </w:rPr>
        <w:t xml:space="preserve"> enhanced the scope of </w:t>
      </w:r>
      <w:r w:rsidR="00DB4BD2">
        <w:rPr>
          <w:rStyle w:val="NoSpacingChar"/>
        </w:rPr>
        <w:t xml:space="preserve">s. </w:t>
      </w:r>
      <w:r w:rsidR="00A00D29" w:rsidRPr="009D1DC9">
        <w:rPr>
          <w:rStyle w:val="NoSpacingChar"/>
        </w:rPr>
        <w:t>2(</w:t>
      </w:r>
      <w:r w:rsidR="00A00D29" w:rsidRPr="009D1DC9">
        <w:rPr>
          <w:rStyle w:val="NoSpacingChar"/>
          <w:i/>
        </w:rPr>
        <w:t>d</w:t>
      </w:r>
      <w:r w:rsidR="00A00D29" w:rsidRPr="009D1DC9">
        <w:rPr>
          <w:rStyle w:val="NoSpacingChar"/>
        </w:rPr>
        <w:t xml:space="preserve">) of the </w:t>
      </w:r>
      <w:r w:rsidR="00A00D29" w:rsidRPr="009D1DC9">
        <w:rPr>
          <w:rStyle w:val="NoSpacingChar"/>
          <w:i/>
        </w:rPr>
        <w:t>Canadian Charter of Rights and Freedoms</w:t>
      </w:r>
      <w:r w:rsidR="00A00D29" w:rsidRPr="009D1DC9">
        <w:rPr>
          <w:rStyle w:val="NoSpacingChar"/>
        </w:rPr>
        <w:t xml:space="preserve"> beyond the formalism assig</w:t>
      </w:r>
      <w:r w:rsidR="00884A88">
        <w:rPr>
          <w:rStyle w:val="NoSpacingChar"/>
        </w:rPr>
        <w:t>ned to it by this Court’s 1987 l</w:t>
      </w:r>
      <w:r w:rsidR="00A00D29" w:rsidRPr="009D1DC9">
        <w:rPr>
          <w:rStyle w:val="NoSpacingChar"/>
        </w:rPr>
        <w:t xml:space="preserve">abour Trilogy </w:t>
      </w:r>
      <w:r w:rsidR="00A00D29" w:rsidRPr="009D1DC9">
        <w:t>(</w:t>
      </w:r>
      <w:r w:rsidR="00A00D29" w:rsidRPr="009D1DC9">
        <w:rPr>
          <w:i/>
        </w:rPr>
        <w:t>Reference re Public Service Employee Relations Act (Alta.)</w:t>
      </w:r>
      <w:r w:rsidR="00A00D29" w:rsidRPr="009D1DC9">
        <w:t xml:space="preserve">, [1987] 1 S.C.R. 313; </w:t>
      </w:r>
      <w:r w:rsidR="00A00D29" w:rsidRPr="009D1DC9">
        <w:rPr>
          <w:i/>
        </w:rPr>
        <w:t>PSAC v. Canada</w:t>
      </w:r>
      <w:r w:rsidR="00A00D29" w:rsidRPr="009D1DC9">
        <w:t xml:space="preserve">, [1987] 1 S.C.R. 424; and </w:t>
      </w:r>
      <w:r w:rsidR="00A00D29" w:rsidRPr="009D1DC9">
        <w:rPr>
          <w:i/>
        </w:rPr>
        <w:t>RWDSU</w:t>
      </w:r>
      <w:r w:rsidR="00A00D29" w:rsidRPr="009D1DC9">
        <w:t xml:space="preserve"> </w:t>
      </w:r>
      <w:r w:rsidR="00A00D29" w:rsidRPr="009D1DC9">
        <w:rPr>
          <w:i/>
        </w:rPr>
        <w:t>v. Saskatchewan</w:t>
      </w:r>
      <w:r w:rsidR="00A00D29" w:rsidRPr="009D1DC9">
        <w:t>,</w:t>
      </w:r>
      <w:r w:rsidR="00A00D29" w:rsidRPr="009D1DC9">
        <w:rPr>
          <w:i/>
        </w:rPr>
        <w:t xml:space="preserve"> </w:t>
      </w:r>
      <w:r w:rsidR="00A00D29" w:rsidRPr="009D1DC9">
        <w:t xml:space="preserve">[1987] 1 S.C.R. 460).  I am also in agreement with their criticisms of Rothstein J.’s decision to reconsider the correctness of </w:t>
      </w:r>
      <w:r w:rsidR="00A00D29" w:rsidRPr="009D1DC9">
        <w:rPr>
          <w:i/>
        </w:rPr>
        <w:t>Health Services</w:t>
      </w:r>
      <w:r w:rsidR="00A00D29" w:rsidRPr="009D1DC9">
        <w:t xml:space="preserve"> on his own motion, in the absence of a request from any of the parties that he </w:t>
      </w:r>
      <w:proofErr w:type="gramStart"/>
      <w:r w:rsidR="00A00D29" w:rsidRPr="009D1DC9">
        <w:t>do</w:t>
      </w:r>
      <w:proofErr w:type="gramEnd"/>
      <w:r w:rsidR="00A00D29" w:rsidRPr="009D1DC9">
        <w:t xml:space="preserve"> so, and without an opportunity for them to address the issue. </w:t>
      </w:r>
    </w:p>
    <w:p w:rsidR="00A00D29" w:rsidRDefault="00A00D29" w:rsidP="001F5D59">
      <w:pPr>
        <w:pStyle w:val="ReasonsNumbering-AltN"/>
        <w:ind w:left="0" w:firstLine="0"/>
      </w:pPr>
      <w:r w:rsidRPr="009D1DC9">
        <w:t>With the greatest respect, however, I do not agree that the</w:t>
      </w:r>
      <w:r w:rsidRPr="009D1DC9">
        <w:rPr>
          <w:i/>
        </w:rPr>
        <w:t xml:space="preserve"> Agricultural Employees Protection Act,</w:t>
      </w:r>
      <w:r w:rsidRPr="009D1DC9">
        <w:t xml:space="preserve"> </w:t>
      </w:r>
      <w:r w:rsidRPr="009D1DC9">
        <w:rPr>
          <w:i/>
        </w:rPr>
        <w:t>2002</w:t>
      </w:r>
      <w:r w:rsidRPr="00884A88">
        <w:t>,</w:t>
      </w:r>
      <w:r w:rsidRPr="009D1DC9">
        <w:t xml:space="preserve"> S.O. 2002, c. 16 (“</w:t>
      </w:r>
      <w:r w:rsidRPr="009D1DC9">
        <w:rPr>
          <w:i/>
        </w:rPr>
        <w:t>AEPA</w:t>
      </w:r>
      <w:r w:rsidRPr="009D1DC9">
        <w:t>”)</w:t>
      </w:r>
      <w:r w:rsidR="00884A88">
        <w:t>,</w:t>
      </w:r>
      <w:r w:rsidRPr="009D1DC9">
        <w:t xml:space="preserve"> meets the new </w:t>
      </w:r>
      <w:r w:rsidRPr="009D1DC9">
        <w:rPr>
          <w:i/>
        </w:rPr>
        <w:t>Health Services</w:t>
      </w:r>
      <w:r w:rsidRPr="009D1DC9">
        <w:t xml:space="preserve"> standard.  I have great difficulty with stretching the interpretive process in a way that converts clear statutory language and express legislative intention into a completely different scheme.  The </w:t>
      </w:r>
      <w:r w:rsidRPr="009D1DC9">
        <w:rPr>
          <w:i/>
        </w:rPr>
        <w:t>AEPA</w:t>
      </w:r>
      <w:r w:rsidRPr="009D1DC9">
        <w:t xml:space="preserve"> does not protect, and was never intended to protect, collective bargaining rights.  </w:t>
      </w:r>
    </w:p>
    <w:p w:rsidR="00A00D29" w:rsidRPr="001F5D59" w:rsidRDefault="00A00D29" w:rsidP="001F5D59">
      <w:pPr>
        <w:pStyle w:val="HeadingTitre-AltH"/>
        <w:spacing w:after="720"/>
        <w:rPr>
          <w:u w:val="single"/>
        </w:rPr>
      </w:pPr>
      <w:r w:rsidRPr="001F5D59">
        <w:rPr>
          <w:u w:val="single"/>
        </w:rPr>
        <w:lastRenderedPageBreak/>
        <w:t>Background</w:t>
      </w:r>
    </w:p>
    <w:p w:rsidR="00A00D29" w:rsidRPr="009D1DC9" w:rsidRDefault="00A00D29" w:rsidP="001F5D59">
      <w:pPr>
        <w:pStyle w:val="ReasonsNumbering-AltN"/>
        <w:ind w:left="0" w:firstLine="0"/>
      </w:pPr>
      <w:r w:rsidRPr="009D1DC9">
        <w:t xml:space="preserve">The </w:t>
      </w:r>
      <w:r w:rsidRPr="009D1DC9">
        <w:rPr>
          <w:i/>
        </w:rPr>
        <w:t>AEPA</w:t>
      </w:r>
      <w:r w:rsidRPr="009D1DC9">
        <w:t xml:space="preserve"> was enacted in 2002 to respond to this Court’s 2001 decision in </w:t>
      </w:r>
      <w:r w:rsidRPr="009D1DC9">
        <w:rPr>
          <w:i/>
          <w:szCs w:val="24"/>
          <w:lang w:val="en-US"/>
        </w:rPr>
        <w:t xml:space="preserve">Dunmore </w:t>
      </w:r>
      <w:r w:rsidRPr="009D1DC9">
        <w:rPr>
          <w:i/>
          <w:iCs/>
          <w:szCs w:val="24"/>
          <w:lang w:val="en-US"/>
        </w:rPr>
        <w:t>v</w:t>
      </w:r>
      <w:r w:rsidRPr="009D1DC9">
        <w:rPr>
          <w:i/>
          <w:szCs w:val="24"/>
          <w:lang w:val="en-US"/>
        </w:rPr>
        <w:t>. Ontario (Attorney General)</w:t>
      </w:r>
      <w:r w:rsidRPr="009D1DC9">
        <w:rPr>
          <w:szCs w:val="24"/>
          <w:lang w:val="en-US"/>
        </w:rPr>
        <w:t xml:space="preserve">, </w:t>
      </w:r>
      <w:r w:rsidRPr="009D1DC9">
        <w:t>2001 SCC 94,</w:t>
      </w:r>
      <w:r w:rsidRPr="009D1DC9">
        <w:rPr>
          <w:szCs w:val="24"/>
          <w:lang w:val="en-US"/>
        </w:rPr>
        <w:t xml:space="preserve"> [</w:t>
      </w:r>
      <w:r w:rsidRPr="009D1DC9">
        <w:t>2001] 3 S.C.R. 1016, which held that s. 2(</w:t>
      </w:r>
      <w:r w:rsidRPr="009D1DC9">
        <w:rPr>
          <w:i/>
        </w:rPr>
        <w:t>d</w:t>
      </w:r>
      <w:r w:rsidRPr="009D1DC9">
        <w:t xml:space="preserve">) protected the right to </w:t>
      </w:r>
      <w:r w:rsidRPr="009D1DC9">
        <w:rPr>
          <w:i/>
        </w:rPr>
        <w:t>organize</w:t>
      </w:r>
      <w:r w:rsidRPr="009D1DC9">
        <w:t>.</w:t>
      </w:r>
      <w:r w:rsidRPr="009D1DC9">
        <w:rPr>
          <w:i/>
        </w:rPr>
        <w:t xml:space="preserve">  Dunmore</w:t>
      </w:r>
      <w:r w:rsidRPr="009D1DC9">
        <w:t xml:space="preserve"> was </w:t>
      </w:r>
      <w:r w:rsidR="00884A88">
        <w:t>decided in accordance with the l</w:t>
      </w:r>
      <w:r w:rsidRPr="009D1DC9">
        <w:t>abour Trilogy, the then operative s. 2(</w:t>
      </w:r>
      <w:r w:rsidRPr="009D1DC9">
        <w:rPr>
          <w:i/>
        </w:rPr>
        <w:t>d</w:t>
      </w:r>
      <w:r w:rsidRPr="009D1DC9">
        <w:t>) paradigm.  The Trilogy was widely taken as standing for the proposition that s. 2(</w:t>
      </w:r>
      <w:r w:rsidRPr="009D1DC9">
        <w:rPr>
          <w:i/>
        </w:rPr>
        <w:t>d</w:t>
      </w:r>
      <w:r w:rsidRPr="009D1DC9">
        <w:t>) did not include protection for collective bargaining (</w:t>
      </w:r>
      <w:r w:rsidRPr="00884A88">
        <w:rPr>
          <w:rStyle w:val="bold1"/>
          <w:b w:val="0"/>
          <w:i/>
          <w:szCs w:val="28"/>
        </w:rPr>
        <w:t>Professional Institute of the Public Service of Canada v. Northwest Territories (Commissioner)</w:t>
      </w:r>
      <w:r w:rsidRPr="00884A88">
        <w:rPr>
          <w:rStyle w:val="bold1"/>
          <w:b w:val="0"/>
          <w:szCs w:val="28"/>
        </w:rPr>
        <w:t>,</w:t>
      </w:r>
      <w:r w:rsidRPr="009D1DC9">
        <w:rPr>
          <w:rStyle w:val="bold1"/>
          <w:szCs w:val="28"/>
        </w:rPr>
        <w:t xml:space="preserve"> </w:t>
      </w:r>
      <w:r w:rsidRPr="00884A88">
        <w:t>[1990] 2 S.C.R. 367</w:t>
      </w:r>
      <w:r w:rsidRPr="009D1DC9">
        <w:rPr>
          <w:rStyle w:val="ssl21"/>
        </w:rPr>
        <w:t>)</w:t>
      </w:r>
      <w:r w:rsidRPr="009D1DC9">
        <w:t xml:space="preserve">.  The Trilogy was not challenged in </w:t>
      </w:r>
      <w:r w:rsidRPr="009D1DC9">
        <w:rPr>
          <w:i/>
        </w:rPr>
        <w:t>Dunmore</w:t>
      </w:r>
      <w:r w:rsidRPr="009D1DC9">
        <w:t>, and Bastarache J., writing for</w:t>
      </w:r>
      <w:r w:rsidRPr="009D1DC9">
        <w:rPr>
          <w:b/>
        </w:rPr>
        <w:t xml:space="preserve"> </w:t>
      </w:r>
      <w:r w:rsidRPr="009D1DC9">
        <w:t>the majority, was explicit that he was not addressing whether collective bargaining was protected under s. 2(</w:t>
      </w:r>
      <w:r w:rsidRPr="009D1DC9">
        <w:rPr>
          <w:i/>
        </w:rPr>
        <w:t>d</w:t>
      </w:r>
      <w:r w:rsidRPr="009D1DC9">
        <w:t xml:space="preserve">).  What </w:t>
      </w:r>
      <w:r w:rsidRPr="009D1DC9">
        <w:rPr>
          <w:i/>
        </w:rPr>
        <w:t>was</w:t>
      </w:r>
      <w:r w:rsidRPr="009D1DC9">
        <w:t xml:space="preserve"> protected, i</w:t>
      </w:r>
      <w:r w:rsidR="00884A88">
        <w:t xml:space="preserve">n his view, was the following: </w:t>
      </w:r>
    </w:p>
    <w:p w:rsidR="00A00D29" w:rsidRPr="009D1DC9" w:rsidRDefault="00884A88" w:rsidP="001F5D59">
      <w:pPr>
        <w:pStyle w:val="Citation-AltC"/>
      </w:pPr>
      <w:r>
        <w:t xml:space="preserve">. . . </w:t>
      </w:r>
      <w:r w:rsidR="00A00D29" w:rsidRPr="009D1DC9">
        <w:t xml:space="preserve">I conclude that at minimum </w:t>
      </w:r>
      <w:r w:rsidR="00A00D29" w:rsidRPr="009D1DC9">
        <w:rPr>
          <w:u w:val="single"/>
        </w:rPr>
        <w:t>the statutory freedom to organize</w:t>
      </w:r>
      <w:r w:rsidR="00A00D29" w:rsidRPr="009D1DC9">
        <w:t xml:space="preserve"> in . . . the [</w:t>
      </w:r>
      <w:r w:rsidR="00A00D29" w:rsidRPr="00884A88">
        <w:rPr>
          <w:i/>
        </w:rPr>
        <w:t>Labour Relations Act, 1995</w:t>
      </w:r>
      <w:r w:rsidR="00A00D29" w:rsidRPr="009D1DC9">
        <w:t>, S.O. 1995, c. 1, Sch. A]</w:t>
      </w:r>
      <w:r>
        <w:t xml:space="preserve"> </w:t>
      </w:r>
      <w:proofErr w:type="gramStart"/>
      <w:r w:rsidR="00A00D29" w:rsidRPr="009D1DC9">
        <w:t>ought</w:t>
      </w:r>
      <w:proofErr w:type="gramEnd"/>
      <w:r w:rsidR="00A00D29" w:rsidRPr="009D1DC9">
        <w:t xml:space="preserve"> to be extended to agricultural workers, along with protections judged essential to its meaningful exercise, such as freedom to assemble, to participate in the lawful activities of the association </w:t>
      </w:r>
      <w:r w:rsidR="00A00D29" w:rsidRPr="009D1DC9">
        <w:rPr>
          <w:u w:val="single"/>
        </w:rPr>
        <w:t>and to make representations</w:t>
      </w:r>
      <w:r w:rsidR="00A00D29" w:rsidRPr="009D1DC9">
        <w:t>, and the right to be free from interference, coercion and discrimination in the exercise of these freedoms. [Emphasis added; para. 67.]</w:t>
      </w:r>
    </w:p>
    <w:p w:rsidR="00A00D29" w:rsidRPr="009D1DC9" w:rsidRDefault="00A00D29" w:rsidP="003C6F39">
      <w:pPr>
        <w:pStyle w:val="ReasonsNumbering-AltN"/>
        <w:ind w:left="0" w:firstLine="0"/>
      </w:pPr>
      <w:r w:rsidRPr="009D1DC9">
        <w:t xml:space="preserve">It is not surprising, therefore, that the 2002 </w:t>
      </w:r>
      <w:r w:rsidRPr="009D1DC9">
        <w:rPr>
          <w:i/>
        </w:rPr>
        <w:t>AEPA</w:t>
      </w:r>
      <w:r w:rsidRPr="009D1DC9">
        <w:t xml:space="preserve"> contains no reference to a protection which made no appearance on the constitutional stage until 2007.  Or that the trial judge’s decision in 2006 in the case before us, applied the </w:t>
      </w:r>
      <w:r w:rsidRPr="009D1DC9">
        <w:rPr>
          <w:i/>
        </w:rPr>
        <w:t>Dunmore</w:t>
      </w:r>
      <w:r w:rsidRPr="009D1DC9">
        <w:t xml:space="preserve"> “right to organize” template and found the legislation compliant with s. 2(</w:t>
      </w:r>
      <w:r w:rsidRPr="009D1DC9">
        <w:rPr>
          <w:i/>
        </w:rPr>
        <w:t>d</w:t>
      </w:r>
      <w:r w:rsidRPr="009D1DC9">
        <w:t>) (</w:t>
      </w:r>
      <w:r w:rsidR="00DB4BD2">
        <w:t xml:space="preserve">(2006), </w:t>
      </w:r>
      <w:r w:rsidRPr="009D1DC9">
        <w:t xml:space="preserve">79 O.R. (3d) 219).  </w:t>
      </w:r>
    </w:p>
    <w:p w:rsidR="00A00D29" w:rsidRPr="009D1DC9" w:rsidRDefault="00A00D29" w:rsidP="003C6F39">
      <w:pPr>
        <w:pStyle w:val="ReasonsNumbering-AltN"/>
        <w:ind w:left="0" w:firstLine="0"/>
      </w:pPr>
      <w:r w:rsidRPr="009D1DC9">
        <w:lastRenderedPageBreak/>
        <w:t xml:space="preserve">But by the time the Court of Appeal heard this case in 2008, </w:t>
      </w:r>
      <w:r w:rsidRPr="009D1DC9">
        <w:rPr>
          <w:i/>
        </w:rPr>
        <w:t>Health Services</w:t>
      </w:r>
      <w:r w:rsidRPr="009D1DC9">
        <w:t xml:space="preserve"> had been decided, creating a completely different jurisprudential universe.  That was the new s. 2(</w:t>
      </w:r>
      <w:r w:rsidRPr="009D1DC9">
        <w:rPr>
          <w:i/>
        </w:rPr>
        <w:t>d</w:t>
      </w:r>
      <w:r w:rsidRPr="009D1DC9">
        <w:t xml:space="preserve">) universe Winkler C.J.O. applied to the </w:t>
      </w:r>
      <w:r w:rsidRPr="009D1DC9">
        <w:rPr>
          <w:i/>
        </w:rPr>
        <w:t xml:space="preserve">AEPA </w:t>
      </w:r>
      <w:r w:rsidRPr="009D1DC9">
        <w:t>(2008 ONCA 760, 92 O.R. (3d) 481).  He found the legislation wanting.  I agree with him.</w:t>
      </w:r>
    </w:p>
    <w:p w:rsidR="00A00D29" w:rsidRPr="003C6F39" w:rsidRDefault="00A00D29" w:rsidP="003C6F39">
      <w:pPr>
        <w:pStyle w:val="HeadingTitre-AltH"/>
        <w:spacing w:after="720"/>
        <w:rPr>
          <w:u w:val="single"/>
        </w:rPr>
      </w:pPr>
      <w:r w:rsidRPr="003C6F39">
        <w:rPr>
          <w:u w:val="single"/>
        </w:rPr>
        <w:t>Analysis</w:t>
      </w:r>
    </w:p>
    <w:p w:rsidR="00A00D29" w:rsidRPr="009D1DC9" w:rsidRDefault="00A00D29" w:rsidP="003C6F39">
      <w:pPr>
        <w:pStyle w:val="ReasonsNumbering-AltN"/>
        <w:ind w:left="0" w:firstLine="0"/>
      </w:pPr>
      <w:r w:rsidRPr="009D1DC9">
        <w:t>In granting constitutional protection to the process of collective bargaining under s. 2(</w:t>
      </w:r>
      <w:r w:rsidRPr="009D1DC9">
        <w:rPr>
          <w:i/>
        </w:rPr>
        <w:t>d</w:t>
      </w:r>
      <w:r w:rsidRPr="009D1DC9">
        <w:t xml:space="preserve">), </w:t>
      </w:r>
      <w:r w:rsidRPr="009D1DC9">
        <w:rPr>
          <w:i/>
        </w:rPr>
        <w:t>Health Services</w:t>
      </w:r>
      <w:r w:rsidRPr="009D1DC9">
        <w:t xml:space="preserve"> found the duty to consult and negotiate in good faith to be a “fundamental precept” (para. 97).  This does not guarantee that a collective agreement will be achieved, but good faith bargaining does require that the parties meet, engage in a meaningful dialogue, and make reasonable efforts to arrive at a collective agreement (paras. 90 and 101).  </w:t>
      </w:r>
      <w:r w:rsidRPr="009D1DC9">
        <w:rPr>
          <w:i/>
        </w:rPr>
        <w:t>Health Services</w:t>
      </w:r>
      <w:r w:rsidRPr="009D1DC9">
        <w:t xml:space="preserve"> confirmed that this involves not only the employees’ collective right, as confirmed in </w:t>
      </w:r>
      <w:r w:rsidRPr="009D1DC9">
        <w:rPr>
          <w:i/>
        </w:rPr>
        <w:t>Dunmore</w:t>
      </w:r>
      <w:r w:rsidRPr="009D1DC9">
        <w:t>, to organize and make representations, but also a corollary duty on the part of employers to meaningfully discuss, consult, and consider these representations:</w:t>
      </w:r>
    </w:p>
    <w:p w:rsidR="00A00D29" w:rsidRPr="009D1DC9" w:rsidRDefault="00A00D29" w:rsidP="003C6F39">
      <w:pPr>
        <w:pStyle w:val="Citation-AltC"/>
      </w:pPr>
      <w:r w:rsidRPr="009D1DC9">
        <w:t xml:space="preserve">. . . </w:t>
      </w:r>
      <w:proofErr w:type="gramStart"/>
      <w:r w:rsidRPr="009D1DC9">
        <w:t>the</w:t>
      </w:r>
      <w:proofErr w:type="gramEnd"/>
      <w:r w:rsidRPr="009D1DC9">
        <w:t xml:space="preserve"> right to bargain collectively protects not just the act of making representations, but also the right of employees to have their views heard in the context of a meaningful process of consultation and discussion. . . . </w:t>
      </w:r>
      <w:r w:rsidRPr="00AF6608">
        <w:rPr>
          <w:u w:val="single"/>
        </w:rPr>
        <w:t>[T]</w:t>
      </w:r>
      <w:r w:rsidRPr="009D1DC9">
        <w:rPr>
          <w:u w:val="single"/>
        </w:rPr>
        <w:t>he right to collective bargaining cannot be reduced to a mere right to make representations.</w:t>
      </w:r>
      <w:r w:rsidRPr="009D1DC9">
        <w:t xml:space="preserve"> [Emphasis added; para. 114.]  </w:t>
      </w:r>
    </w:p>
    <w:p w:rsidR="00A00D29" w:rsidRPr="009D1DC9" w:rsidRDefault="00A00D29" w:rsidP="00AF6608">
      <w:pPr>
        <w:pStyle w:val="ContinueReasonsNo-AltP"/>
        <w:ind w:left="1170"/>
      </w:pPr>
      <w:r w:rsidRPr="009D1DC9">
        <w:t>(See also para. 101.)</w:t>
      </w:r>
    </w:p>
    <w:p w:rsidR="00A00D29" w:rsidRPr="009D1DC9" w:rsidRDefault="00A00D29" w:rsidP="003C6F39">
      <w:pPr>
        <w:pStyle w:val="ReasonsNumbering-AltN"/>
        <w:ind w:left="0" w:firstLine="0"/>
      </w:pPr>
      <w:r w:rsidRPr="009D1DC9">
        <w:lastRenderedPageBreak/>
        <w:t xml:space="preserve">This requirement of meaningful dialogic consultation has long been recognized in collective bargaining regimes: </w:t>
      </w:r>
      <w:r w:rsidRPr="009D1DC9">
        <w:rPr>
          <w:i/>
        </w:rPr>
        <w:t>Royal Oak Mines Inc. v. Canada (Labour Relations Board)</w:t>
      </w:r>
      <w:r w:rsidRPr="009D1DC9">
        <w:t xml:space="preserve">, [1996] 1 S.C.R. 369, at para. 41; </w:t>
      </w:r>
      <w:r w:rsidRPr="009D1DC9">
        <w:rPr>
          <w:i/>
        </w:rPr>
        <w:t>U.E.W. and DeVilbiss Ltd.</w:t>
      </w:r>
      <w:r w:rsidRPr="009D1DC9">
        <w:t xml:space="preserve">, [1976] 2 C.L.R.B.R. 101 (Ont.); George W. Adams, </w:t>
      </w:r>
      <w:r w:rsidRPr="009D1DC9">
        <w:rPr>
          <w:i/>
        </w:rPr>
        <w:t>Canadian Labour</w:t>
      </w:r>
      <w:r w:rsidR="00DB4BD2">
        <w:rPr>
          <w:i/>
        </w:rPr>
        <w:t xml:space="preserve"> Law</w:t>
      </w:r>
      <w:r w:rsidRPr="009D1DC9">
        <w:rPr>
          <w:i/>
        </w:rPr>
        <w:t xml:space="preserve"> </w:t>
      </w:r>
      <w:r w:rsidRPr="009D1DC9">
        <w:t>(2nd ed.</w:t>
      </w:r>
      <w:r w:rsidRPr="009D1DC9">
        <w:rPr>
          <w:i/>
        </w:rPr>
        <w:t xml:space="preserve"> </w:t>
      </w:r>
      <w:r w:rsidRPr="009D1DC9">
        <w:t xml:space="preserve">(loose-leaf)), </w:t>
      </w:r>
      <w:r w:rsidR="00AF6608">
        <w:t xml:space="preserve">vol. 2, at paras. 10.1710 </w:t>
      </w:r>
      <w:proofErr w:type="gramStart"/>
      <w:r w:rsidR="00AF6608">
        <w:t>and</w:t>
      </w:r>
      <w:proofErr w:type="gramEnd"/>
      <w:r w:rsidR="00AF6608">
        <w:t xml:space="preserve"> 10.1870</w:t>
      </w:r>
      <w:r w:rsidR="00404B8C">
        <w:t>-</w:t>
      </w:r>
      <w:r w:rsidR="00AF6608">
        <w:t>10.</w:t>
      </w:r>
      <w:r w:rsidRPr="009D1DC9">
        <w:t xml:space="preserve">1920; Donald D. Carter et al., </w:t>
      </w:r>
      <w:r w:rsidRPr="009D1DC9">
        <w:rPr>
          <w:i/>
        </w:rPr>
        <w:t>Labour Law in Canada</w:t>
      </w:r>
      <w:r w:rsidRPr="009D1DC9">
        <w:t xml:space="preserve"> (5th ed. 2002), at paras. 621-22; Wesley B. Rayner, </w:t>
      </w:r>
      <w:r w:rsidRPr="009D1DC9">
        <w:rPr>
          <w:i/>
        </w:rPr>
        <w:t>Canadian Collective Bargaining Law</w:t>
      </w:r>
      <w:r w:rsidRPr="009D1DC9">
        <w:t xml:space="preserve"> (2nd ed. 2007), at pp. 333-34; Elisheva (Elika) Barak-Ussoskin, “Collaboration in the Tripartite System: The Right to be Consulted and the Duty to Consult”</w:t>
      </w:r>
      <w:r w:rsidR="00AF6608">
        <w:t>,</w:t>
      </w:r>
      <w:r w:rsidRPr="009D1DC9">
        <w:t xml:space="preserve"> in A. Höland et al., eds., </w:t>
      </w:r>
      <w:r w:rsidRPr="009D1DC9">
        <w:rPr>
          <w:i/>
        </w:rPr>
        <w:t xml:space="preserve">Employee Involvement in a Globalising World: Liber Amicorum Manfred Weiss </w:t>
      </w:r>
      <w:r w:rsidRPr="009D1DC9">
        <w:t>(2005), 439, at p. 445.</w:t>
      </w:r>
    </w:p>
    <w:p w:rsidR="00A00D29" w:rsidRPr="009D1DC9" w:rsidRDefault="00A00D29" w:rsidP="003C6F39">
      <w:pPr>
        <w:pStyle w:val="ReasonsNumbering-AltN"/>
        <w:ind w:left="0" w:firstLine="0"/>
      </w:pPr>
      <w:r w:rsidRPr="009D1DC9">
        <w:t xml:space="preserve">If we then turn to the relevant language of the </w:t>
      </w:r>
      <w:r w:rsidRPr="009D1DC9">
        <w:rPr>
          <w:i/>
        </w:rPr>
        <w:t>AEPA</w:t>
      </w:r>
      <w:r w:rsidRPr="009D1DC9">
        <w:t xml:space="preserve"> and its description of what is required of an employer, we find the following:</w:t>
      </w:r>
    </w:p>
    <w:p w:rsidR="00A00D29" w:rsidRPr="009D1DC9" w:rsidRDefault="00A00D29" w:rsidP="00D77A94">
      <w:pPr>
        <w:pStyle w:val="Citation-AltC"/>
        <w:tabs>
          <w:tab w:val="left" w:pos="1440"/>
          <w:tab w:val="left" w:pos="1800"/>
        </w:tabs>
        <w:spacing w:after="240"/>
        <w:contextualSpacing w:val="0"/>
      </w:pPr>
      <w:r w:rsidRPr="009D1DC9">
        <w:rPr>
          <w:b/>
        </w:rPr>
        <w:tab/>
        <w:t>5.</w:t>
      </w:r>
      <w:r w:rsidRPr="009D1DC9">
        <w:tab/>
        <w:t xml:space="preserve">(1) The employer shall give an employees’ association a reasonable opportunity to make representations respecting the terms and conditions of employment of one or more of its members who are employed by that employer. </w:t>
      </w:r>
    </w:p>
    <w:p w:rsidR="00A00D29" w:rsidRPr="009D1DC9" w:rsidRDefault="00A00D29" w:rsidP="003C6F39">
      <w:pPr>
        <w:pStyle w:val="Citation-AltC"/>
        <w:spacing w:after="240"/>
        <w:contextualSpacing w:val="0"/>
        <w:jc w:val="center"/>
      </w:pPr>
      <w:r w:rsidRPr="009D1DC9">
        <w:t>. . .</w:t>
      </w:r>
    </w:p>
    <w:p w:rsidR="00A00D29" w:rsidRPr="009D1DC9" w:rsidRDefault="00D77A94" w:rsidP="00D77A94">
      <w:pPr>
        <w:pStyle w:val="Citation-AltC"/>
        <w:tabs>
          <w:tab w:val="left" w:pos="1440"/>
          <w:tab w:val="left" w:pos="1800"/>
        </w:tabs>
        <w:spacing w:after="240"/>
        <w:contextualSpacing w:val="0"/>
      </w:pPr>
      <w:r>
        <w:tab/>
      </w:r>
      <w:r w:rsidR="00A00D29" w:rsidRPr="009D1DC9">
        <w:t xml:space="preserve">(5)  The employees’ association may make the representations orally or in writing. </w:t>
      </w:r>
    </w:p>
    <w:p w:rsidR="00A00D29" w:rsidRPr="009D1DC9" w:rsidRDefault="00D77A94" w:rsidP="00D77A94">
      <w:pPr>
        <w:pStyle w:val="Citation-AltC"/>
        <w:tabs>
          <w:tab w:val="left" w:pos="1440"/>
          <w:tab w:val="left" w:pos="1800"/>
        </w:tabs>
        <w:spacing w:after="240"/>
        <w:contextualSpacing w:val="0"/>
      </w:pPr>
      <w:r>
        <w:tab/>
      </w:r>
      <w:r w:rsidR="00A00D29" w:rsidRPr="009D1DC9">
        <w:t xml:space="preserve">(6)  The employer shall listen to the representations if made orally, or read them if made in writing. </w:t>
      </w:r>
    </w:p>
    <w:p w:rsidR="00A00D29" w:rsidRPr="009D1DC9" w:rsidRDefault="00D77A94" w:rsidP="00D77A94">
      <w:pPr>
        <w:pStyle w:val="Citation-AltC"/>
        <w:tabs>
          <w:tab w:val="left" w:pos="1440"/>
          <w:tab w:val="left" w:pos="1800"/>
        </w:tabs>
        <w:spacing w:after="480"/>
        <w:contextualSpacing w:val="0"/>
      </w:pPr>
      <w:r>
        <w:tab/>
      </w:r>
      <w:r w:rsidR="00A00D29" w:rsidRPr="009D1DC9">
        <w:t>(7)  If the representations are made in writing, the employer shall give the association a written acknowledgment that the employer has read them.</w:t>
      </w:r>
    </w:p>
    <w:p w:rsidR="00A00D29" w:rsidRPr="009D1DC9" w:rsidRDefault="00A00D29" w:rsidP="003C6F39">
      <w:pPr>
        <w:pStyle w:val="ReasonsNumbering-AltN"/>
        <w:ind w:left="0" w:firstLine="0"/>
      </w:pPr>
      <w:r w:rsidRPr="009D1DC9">
        <w:lastRenderedPageBreak/>
        <w:t>The process created by these provisions is the following: an employees’ association is entitled to make representations, either orally or in writing, about the terms and conditions of employment.  If the representations are made orally, the employer is required to “listen” to them.  If they are made in writing, the employer must “read” them and give the “employees’ association” a written acknowledgment that the representations have been read.  That is the full extent of the employer’s duties — to listen, to read, and to acknowledge receipt.  No response is required.</w:t>
      </w:r>
    </w:p>
    <w:p w:rsidR="00A00D29" w:rsidRPr="009D1DC9" w:rsidRDefault="00A00D29" w:rsidP="00CB7EDE">
      <w:pPr>
        <w:pStyle w:val="ReasonsNumbering-AltN"/>
        <w:ind w:left="0" w:firstLine="0"/>
      </w:pPr>
      <w:r w:rsidRPr="009D1DC9">
        <w:t xml:space="preserve">If we compare these duties under the </w:t>
      </w:r>
      <w:r w:rsidRPr="009D1DC9">
        <w:rPr>
          <w:i/>
        </w:rPr>
        <w:t>AEPA</w:t>
      </w:r>
      <w:r w:rsidRPr="009D1DC9">
        <w:t xml:space="preserve"> to the linguistic markers set out in </w:t>
      </w:r>
      <w:r w:rsidRPr="009D1DC9">
        <w:rPr>
          <w:i/>
        </w:rPr>
        <w:t>Health Services</w:t>
      </w:r>
      <w:r w:rsidRPr="009D1DC9">
        <w:t xml:space="preserve">, we find that the following language is missing in action: “negotiate”, “meet”, “good faith”, “engage”, “exchange”, “dialogue”, “consultation”, “discussions”, “consideration”, “accommodation” and “union”.  Nor does the key word “bargaining” appear.  </w:t>
      </w:r>
    </w:p>
    <w:p w:rsidR="00A00D29" w:rsidRPr="009D1DC9" w:rsidRDefault="00A00D29" w:rsidP="00CB7EDE">
      <w:pPr>
        <w:pStyle w:val="ReasonsNumbering-AltN"/>
        <w:ind w:left="0" w:firstLine="0"/>
      </w:pPr>
      <w:r w:rsidRPr="009D1DC9">
        <w:t xml:space="preserve">Noting the absence in the </w:t>
      </w:r>
      <w:r w:rsidRPr="009D1DC9">
        <w:rPr>
          <w:i/>
        </w:rPr>
        <w:t>AEPA</w:t>
      </w:r>
      <w:r w:rsidRPr="009D1DC9">
        <w:t xml:space="preserve"> of </w:t>
      </w:r>
      <w:r w:rsidRPr="009D1DC9">
        <w:rPr>
          <w:i/>
        </w:rPr>
        <w:t>Health Services</w:t>
      </w:r>
      <w:r w:rsidRPr="009D1DC9">
        <w:t xml:space="preserve">’ collective bargaining vocabulary is not a criticism of the government’s motives.  The </w:t>
      </w:r>
      <w:r w:rsidRPr="009D1DC9">
        <w:rPr>
          <w:i/>
        </w:rPr>
        <w:t>AEPA</w:t>
      </w:r>
      <w:r w:rsidRPr="009D1DC9">
        <w:t xml:space="preserve"> was the government’s good faith — and, as the trial judge found, successful — implementation of how</w:t>
      </w:r>
      <w:r w:rsidRPr="009D1DC9">
        <w:rPr>
          <w:i/>
        </w:rPr>
        <w:t xml:space="preserve"> Dunmore</w:t>
      </w:r>
      <w:r w:rsidRPr="009D1DC9">
        <w:t xml:space="preserve"> had defined the scope of s. 2(</w:t>
      </w:r>
      <w:r w:rsidRPr="009D1DC9">
        <w:rPr>
          <w:i/>
        </w:rPr>
        <w:t>d</w:t>
      </w:r>
      <w:r w:rsidRPr="009D1DC9">
        <w:t>) in 2001. This does not, however, assist in determining whether it complies with the</w:t>
      </w:r>
      <w:r w:rsidRPr="009D1DC9">
        <w:rPr>
          <w:i/>
        </w:rPr>
        <w:t xml:space="preserve"> revised</w:t>
      </w:r>
      <w:r w:rsidRPr="009D1DC9">
        <w:t xml:space="preserve"> scope described in</w:t>
      </w:r>
      <w:r w:rsidRPr="009D1DC9">
        <w:rPr>
          <w:i/>
        </w:rPr>
        <w:t xml:space="preserve"> Health Services</w:t>
      </w:r>
      <w:r w:rsidRPr="009D1DC9">
        <w:t>.  The Ontario government obviously cannot be held responsible for the redefinition of s. 2(</w:t>
      </w:r>
      <w:r w:rsidRPr="009D1DC9">
        <w:rPr>
          <w:i/>
        </w:rPr>
        <w:t>d</w:t>
      </w:r>
      <w:r w:rsidRPr="009D1DC9">
        <w:t xml:space="preserve">) that intervened between the enactment and appellate review of the </w:t>
      </w:r>
      <w:r w:rsidRPr="009D1DC9">
        <w:rPr>
          <w:i/>
        </w:rPr>
        <w:t>AEPA</w:t>
      </w:r>
      <w:r w:rsidRPr="009D1DC9">
        <w:t>, but neither can courts disregard the applicable law because of its infelicitous timing.  Since the applicable law for s. 2(</w:t>
      </w:r>
      <w:r w:rsidRPr="009D1DC9">
        <w:rPr>
          <w:i/>
        </w:rPr>
        <w:t>d</w:t>
      </w:r>
      <w:r w:rsidRPr="009D1DC9">
        <w:t>) is now found in</w:t>
      </w:r>
      <w:r w:rsidRPr="009D1DC9">
        <w:rPr>
          <w:i/>
        </w:rPr>
        <w:t xml:space="preserve"> </w:t>
      </w:r>
      <w:r w:rsidRPr="009D1DC9">
        <w:rPr>
          <w:i/>
        </w:rPr>
        <w:lastRenderedPageBreak/>
        <w:t>Health Services</w:t>
      </w:r>
      <w:r w:rsidRPr="009D1DC9">
        <w:t>, the</w:t>
      </w:r>
      <w:r w:rsidRPr="009D1DC9">
        <w:rPr>
          <w:i/>
        </w:rPr>
        <w:t xml:space="preserve"> AEPA</w:t>
      </w:r>
      <w:r w:rsidRPr="009D1DC9">
        <w:t xml:space="preserve"> must be scrutinized for compliance with its principles.  And since, on its face,</w:t>
      </w:r>
      <w:r w:rsidRPr="009D1DC9">
        <w:rPr>
          <w:i/>
        </w:rPr>
        <w:t xml:space="preserve"> no</w:t>
      </w:r>
      <w:r w:rsidRPr="009D1DC9">
        <w:t xml:space="preserve"> bargaining or consultation is required by the</w:t>
      </w:r>
      <w:r w:rsidRPr="009D1DC9">
        <w:rPr>
          <w:i/>
        </w:rPr>
        <w:t xml:space="preserve"> AEPA</w:t>
      </w:r>
      <w:r w:rsidRPr="009D1DC9">
        <w:t xml:space="preserve">, let alone the good faith bargaining </w:t>
      </w:r>
      <w:r w:rsidRPr="009D1DC9">
        <w:rPr>
          <w:i/>
        </w:rPr>
        <w:t>Health Services</w:t>
      </w:r>
      <w:r w:rsidRPr="009D1DC9">
        <w:t xml:space="preserve"> set out as a minimal constitutional protection, the</w:t>
      </w:r>
      <w:r w:rsidRPr="009D1DC9">
        <w:rPr>
          <w:i/>
        </w:rPr>
        <w:t xml:space="preserve"> AEPA </w:t>
      </w:r>
      <w:r w:rsidRPr="009D1DC9">
        <w:t>violates s. 2(</w:t>
      </w:r>
      <w:r w:rsidRPr="009D1DC9">
        <w:rPr>
          <w:i/>
        </w:rPr>
        <w:t>d</w:t>
      </w:r>
      <w:r w:rsidRPr="009D1DC9">
        <w:t>) of the</w:t>
      </w:r>
      <w:r w:rsidRPr="009D1DC9">
        <w:rPr>
          <w:i/>
        </w:rPr>
        <w:t xml:space="preserve"> Charter</w:t>
      </w:r>
      <w:r w:rsidRPr="009D1DC9">
        <w:t>.</w:t>
      </w:r>
    </w:p>
    <w:p w:rsidR="00A00D29" w:rsidRPr="009D1DC9" w:rsidRDefault="00A00D29" w:rsidP="00CB7EDE">
      <w:pPr>
        <w:pStyle w:val="ReasonsNumbering-AltN"/>
        <w:ind w:left="0" w:firstLine="0"/>
      </w:pPr>
      <w:r w:rsidRPr="009D1DC9">
        <w:t xml:space="preserve">Not only is there clarity of language, there is also clarity of purpose.  The government’s intentions to exclude collective bargaining were forthright.  The then Minister of Agriculture and Food, the Honourable Helen Johns, was unequivocal when she introduced the legislation in confirming that the legislation included </w:t>
      </w:r>
      <w:r w:rsidRPr="009D1DC9">
        <w:rPr>
          <w:i/>
        </w:rPr>
        <w:t>no</w:t>
      </w:r>
      <w:r w:rsidRPr="009D1DC9">
        <w:t xml:space="preserve"> right to collective bargaining:</w:t>
      </w:r>
    </w:p>
    <w:p w:rsidR="00A00D29" w:rsidRPr="009D1DC9" w:rsidRDefault="00D77A94" w:rsidP="00CB7EDE">
      <w:pPr>
        <w:pStyle w:val="Citation-AltC"/>
        <w:spacing w:after="240"/>
        <w:contextualSpacing w:val="0"/>
      </w:pPr>
      <w:r>
        <w:tab/>
      </w:r>
      <w:r w:rsidR="00A00D29" w:rsidRPr="009D1DC9">
        <w:t xml:space="preserve">However, I need to make one thing very clear here. While an agricultural employee may join an association that is a union, the </w:t>
      </w:r>
      <w:r w:rsidR="00A00D29" w:rsidRPr="009D1DC9">
        <w:rPr>
          <w:u w:val="single"/>
        </w:rPr>
        <w:t>proposed legislation does not extend collective bargaining to agricultural workers</w:t>
      </w:r>
      <w:r w:rsidR="00A00D29" w:rsidRPr="009D1DC9">
        <w:t xml:space="preserve">. </w:t>
      </w:r>
    </w:p>
    <w:p w:rsidR="00A00D29" w:rsidRPr="009D1DC9" w:rsidRDefault="00A00D29" w:rsidP="00CB7EDE">
      <w:pPr>
        <w:pStyle w:val="Citation-AltC"/>
      </w:pPr>
      <w:r w:rsidRPr="009D1DC9">
        <w:t xml:space="preserve">(Legislative Assembly of Ontario, </w:t>
      </w:r>
      <w:r w:rsidRPr="00CB7EDE">
        <w:rPr>
          <w:i/>
        </w:rPr>
        <w:t>Official Report of Debates (Hansard)</w:t>
      </w:r>
      <w:r w:rsidRPr="009D1DC9">
        <w:t>, No. 46A, October 22, 2002, at p. 2339 (emphasis added))</w:t>
      </w:r>
    </w:p>
    <w:p w:rsidR="00A00D29" w:rsidRPr="009D1DC9" w:rsidRDefault="00A00D29" w:rsidP="00CB7EDE">
      <w:pPr>
        <w:pStyle w:val="ContinueReasonsNo-AltP"/>
      </w:pPr>
      <w:r w:rsidRPr="009D1DC9">
        <w:t xml:space="preserve">This was based on the legislative goal of complying only with the rights required by </w:t>
      </w:r>
      <w:r w:rsidRPr="009D1DC9">
        <w:rPr>
          <w:i/>
        </w:rPr>
        <w:t>Dunmore</w:t>
      </w:r>
      <w:r w:rsidRPr="009D1DC9">
        <w:t xml:space="preserve">, rights which, as the Minister correctly noted, addressed only the “right to associate”, not the “right to collectively bargain”:  </w:t>
      </w:r>
    </w:p>
    <w:p w:rsidR="00A00D29" w:rsidRPr="009D1DC9" w:rsidRDefault="00A00D29" w:rsidP="00CB7EDE">
      <w:pPr>
        <w:pStyle w:val="Citation-AltC"/>
        <w:spacing w:after="240"/>
        <w:contextualSpacing w:val="0"/>
        <w:rPr>
          <w:u w:val="single"/>
        </w:rPr>
      </w:pPr>
      <w:r w:rsidRPr="009D1DC9">
        <w:t xml:space="preserve">I’d like to say that the Supreme Court was very clear.  They said that agricultural workers across the province </w:t>
      </w:r>
      <w:r w:rsidRPr="009D1DC9">
        <w:rPr>
          <w:u w:val="single"/>
        </w:rPr>
        <w:t>had the right to associate.</w:t>
      </w:r>
      <w:r w:rsidRPr="00D77A94">
        <w:rPr>
          <w:u w:val="single"/>
        </w:rPr>
        <w:t xml:space="preserve"> </w:t>
      </w:r>
      <w:r w:rsidRPr="009D1DC9">
        <w:rPr>
          <w:u w:val="single"/>
        </w:rPr>
        <w:t>They did not say that they had the right to collectively bargain.</w:t>
      </w:r>
    </w:p>
    <w:p w:rsidR="00A00D29" w:rsidRPr="009D1DC9" w:rsidRDefault="00A00D29" w:rsidP="00CB7EDE">
      <w:pPr>
        <w:pStyle w:val="Citation-AltC"/>
      </w:pPr>
      <w:r w:rsidRPr="009D1DC9">
        <w:t xml:space="preserve">(Legislative Assembly of Ontario, </w:t>
      </w:r>
      <w:r w:rsidRPr="00CB7EDE">
        <w:rPr>
          <w:i/>
        </w:rPr>
        <w:t>Official Report of Debates</w:t>
      </w:r>
      <w:r w:rsidRPr="009D1DC9">
        <w:t xml:space="preserve"> </w:t>
      </w:r>
      <w:r w:rsidRPr="00CB7EDE">
        <w:rPr>
          <w:i/>
        </w:rPr>
        <w:t>(Hansard)</w:t>
      </w:r>
      <w:r w:rsidRPr="009D1DC9">
        <w:t>, No. 43A, October 16, 2002, at p. 2128 (emphasis added))</w:t>
      </w:r>
    </w:p>
    <w:p w:rsidR="00A00D29" w:rsidRPr="009D1DC9" w:rsidRDefault="00A00D29" w:rsidP="00CB7EDE">
      <w:pPr>
        <w:pStyle w:val="ReasonsNumbering-AltN"/>
        <w:ind w:left="0" w:firstLine="0"/>
      </w:pPr>
      <w:r w:rsidRPr="009D1DC9">
        <w:lastRenderedPageBreak/>
        <w:t xml:space="preserve">Judging from their conduct, the parties involved in this appeal seem to have accepted there were no protections for the process and enforcement of collective bargaining in the </w:t>
      </w:r>
      <w:r w:rsidRPr="009D1DC9">
        <w:rPr>
          <w:i/>
        </w:rPr>
        <w:t>AEPA</w:t>
      </w:r>
      <w:r w:rsidRPr="009D1DC9">
        <w:t xml:space="preserve">.  The United Food and Commercial Workers Union Canada represented workers at Rol-Land Farms Ltd.  After a vote in which an overwhelming majority voted in favour of certification, the union wrote to Rol-Land requesting a meeting to begin negotiations.  The owner of Rol-Land Farms did not respond to the letter and refused to recognize the union.  The same union also represented employees at Platinum Produce, where the employer gave the union the opportunity to make brief oral representations, but said it had no obligation to bargain towards a collective agreement.  The meeting lasted 15 minutes.   </w:t>
      </w:r>
    </w:p>
    <w:p w:rsidR="00A00D29" w:rsidRPr="009D1DC9" w:rsidRDefault="00A00D29" w:rsidP="00CB7EDE">
      <w:pPr>
        <w:pStyle w:val="ReasonsNumbering-AltN"/>
        <w:ind w:left="0" w:firstLine="0"/>
      </w:pPr>
      <w:r w:rsidRPr="009D1DC9">
        <w:t xml:space="preserve">In the years since the </w:t>
      </w:r>
      <w:r w:rsidRPr="009D1DC9">
        <w:rPr>
          <w:i/>
        </w:rPr>
        <w:t>AEPA</w:t>
      </w:r>
      <w:r w:rsidRPr="009D1DC9">
        <w:t xml:space="preserve"> was enacted in 2002, there is no evidence of a single successfully negotiated collective agreement or even of any negotiations.  I appreciate that statutory interpretation does not draw on the perceptions of the statute’s intended consumers, but where, as here, there is perfect harmony between statutory language, legislative intention, and public </w:t>
      </w:r>
      <w:proofErr w:type="gramStart"/>
      <w:r w:rsidRPr="009D1DC9">
        <w:t>perception,</w:t>
      </w:r>
      <w:proofErr w:type="gramEnd"/>
      <w:r w:rsidRPr="009D1DC9">
        <w:t xml:space="preserve"> the usual interpretative tools are vindicated.   </w:t>
      </w:r>
    </w:p>
    <w:p w:rsidR="00A00D29" w:rsidRPr="009D1DC9" w:rsidRDefault="00A00D29" w:rsidP="00CB7EDE">
      <w:pPr>
        <w:pStyle w:val="ReasonsNumbering-AltN"/>
        <w:ind w:left="0" w:firstLine="0"/>
        <w:rPr>
          <w:szCs w:val="24"/>
        </w:rPr>
      </w:pPr>
      <w:r w:rsidRPr="009D1DC9">
        <w:t>In addition to finding a violation of s. 2(</w:t>
      </w:r>
      <w:r w:rsidRPr="009D1DC9">
        <w:rPr>
          <w:i/>
        </w:rPr>
        <w:t>d</w:t>
      </w:r>
      <w:r w:rsidRPr="009D1DC9">
        <w:t xml:space="preserve">) based on the explicit failure, by text and by design, to include even a hint of a process of collective bargaining, let alone a duty to engage in meaningful and good faith efforts to arrive at a collective agreement, I also agree with Winkler C.J.O. that for agricultural workers, the absence </w:t>
      </w:r>
      <w:r w:rsidRPr="009D1DC9">
        <w:lastRenderedPageBreak/>
        <w:t>of a statutory enforcement mechanism and of majoritarian exclusivity is an infringement of s. 2(</w:t>
      </w:r>
      <w:r w:rsidRPr="009D1DC9">
        <w:rPr>
          <w:i/>
        </w:rPr>
        <w:t>d</w:t>
      </w:r>
      <w:r w:rsidRPr="009D1DC9">
        <w:t xml:space="preserve">). </w:t>
      </w:r>
    </w:p>
    <w:p w:rsidR="00A00D29" w:rsidRPr="009D1DC9" w:rsidRDefault="00A00D29" w:rsidP="00CB7EDE">
      <w:pPr>
        <w:pStyle w:val="ReasonsNumbering-AltN"/>
        <w:ind w:left="0" w:firstLine="0"/>
      </w:pPr>
      <w:r w:rsidRPr="009D1DC9">
        <w:rPr>
          <w:i/>
        </w:rPr>
        <w:t>Health Services</w:t>
      </w:r>
      <w:r w:rsidRPr="009D1DC9">
        <w:t xml:space="preserve"> recognized that s. 2(</w:t>
      </w:r>
      <w:r w:rsidRPr="009D1DC9">
        <w:rPr>
          <w:i/>
        </w:rPr>
        <w:t>d</w:t>
      </w:r>
      <w:r w:rsidRPr="009D1DC9">
        <w:t xml:space="preserve">) of the </w:t>
      </w:r>
      <w:r w:rsidRPr="009D1DC9">
        <w:rPr>
          <w:i/>
        </w:rPr>
        <w:t>Charter</w:t>
      </w:r>
      <w:r w:rsidRPr="009D1DC9">
        <w:t xml:space="preserve"> obliged the state, either as employer or as legislator, to protect the process of collective bargaining (para. 88).  The content of that protection will of course mean different things in different contexts.  The determinative question will inevitably be, as Bastarache J. said in </w:t>
      </w:r>
      <w:r w:rsidRPr="009D1DC9">
        <w:rPr>
          <w:i/>
        </w:rPr>
        <w:t>Dunmore</w:t>
      </w:r>
      <w:r w:rsidRPr="009D1DC9">
        <w:t xml:space="preserve">, what protections are “essential” to the “meaningful exercise” of the right.  </w:t>
      </w:r>
    </w:p>
    <w:p w:rsidR="00A00D29" w:rsidRPr="009D1DC9" w:rsidRDefault="00A00D29" w:rsidP="00CB7EDE">
      <w:pPr>
        <w:pStyle w:val="ReasonsNumbering-AltN"/>
        <w:ind w:left="0" w:firstLine="0"/>
      </w:pPr>
      <w:r w:rsidRPr="009D1DC9">
        <w:t xml:space="preserve">The right at issue in </w:t>
      </w:r>
      <w:r w:rsidRPr="009D1DC9">
        <w:rPr>
          <w:i/>
        </w:rPr>
        <w:t>Dunmore</w:t>
      </w:r>
      <w:r w:rsidRPr="009D1DC9">
        <w:t xml:space="preserve"> was the right to organize.  Bastarache J. concluded that this required ancillary protection for the freedom to assemble, to participate in the lawful activities of the “employees’ association” and to make representations, along with the right to be free from interference, coercion and discrimination in the exercise of those freedoms (para. 67).  All of these protections found their way into the </w:t>
      </w:r>
      <w:r w:rsidRPr="009D1DC9">
        <w:rPr>
          <w:i/>
        </w:rPr>
        <w:t>AEPA</w:t>
      </w:r>
      <w:r w:rsidRPr="009D1DC9">
        <w:t>, which is why the trial judge gave it his stamp of constitutional approval.</w:t>
      </w:r>
    </w:p>
    <w:p w:rsidR="00A00D29" w:rsidRPr="009D1DC9" w:rsidRDefault="00A00D29" w:rsidP="00CB7EDE">
      <w:pPr>
        <w:pStyle w:val="ReasonsNumbering-AltN"/>
        <w:ind w:left="0" w:firstLine="0"/>
      </w:pPr>
      <w:r w:rsidRPr="009D1DC9">
        <w:t xml:space="preserve">Now, as a result of </w:t>
      </w:r>
      <w:r w:rsidRPr="009D1DC9">
        <w:rPr>
          <w:i/>
        </w:rPr>
        <w:t>Health Services</w:t>
      </w:r>
      <w:r w:rsidRPr="009D1DC9">
        <w:t xml:space="preserve">, we are dealing with a right to a process of good faith collective bargaining and consultation.  What protections are essential for the meaningful exercise of this right for agriculture workers?  </w:t>
      </w:r>
    </w:p>
    <w:p w:rsidR="00A00D29" w:rsidRPr="009D1DC9" w:rsidRDefault="00A00D29" w:rsidP="00CB7EDE">
      <w:pPr>
        <w:pStyle w:val="ReasonsNumbering-AltN"/>
        <w:ind w:left="0" w:firstLine="0"/>
      </w:pPr>
      <w:r w:rsidRPr="009D1DC9">
        <w:t xml:space="preserve">For a start, there is no point to having a right only in theory.  Unless it is realizable, it is meaningless.  There must therefore be an enforcement mechanism not </w:t>
      </w:r>
      <w:r w:rsidRPr="009D1DC9">
        <w:lastRenderedPageBreak/>
        <w:t>only to resolve bargaining disputes, but to ensure compliance if and when a bargain is made.</w:t>
      </w:r>
    </w:p>
    <w:p w:rsidR="00A00D29" w:rsidRPr="009D1DC9" w:rsidRDefault="00A00D29" w:rsidP="00CB7EDE">
      <w:pPr>
        <w:pStyle w:val="ReasonsNumbering-AltN"/>
        <w:ind w:left="0" w:firstLine="0"/>
        <w:rPr>
          <w:szCs w:val="24"/>
        </w:rPr>
      </w:pPr>
      <w:r w:rsidRPr="009D1DC9">
        <w:t xml:space="preserve">At the moment, there is in fact a statutory mechanism in place for the enforcement of the </w:t>
      </w:r>
      <w:r w:rsidRPr="009D1DC9">
        <w:rPr>
          <w:i/>
        </w:rPr>
        <w:t xml:space="preserve">AEPA </w:t>
      </w:r>
      <w:r w:rsidRPr="009D1DC9">
        <w:t xml:space="preserve">— the Agriculture, Food and Rural Affairs Appeal Tribunal.  But the fact that this Tribunal exists is, by itself, of no consequence if it cannot address the rights constitutionally guaranteed by </w:t>
      </w:r>
      <w:r w:rsidRPr="009D1DC9">
        <w:rPr>
          <w:i/>
        </w:rPr>
        <w:t>Health Services</w:t>
      </w:r>
      <w:r w:rsidRPr="009D1DC9">
        <w:t>.</w:t>
      </w:r>
    </w:p>
    <w:p w:rsidR="00A00D29" w:rsidRPr="009D1DC9" w:rsidRDefault="00A00D29" w:rsidP="00CB7EDE">
      <w:pPr>
        <w:pStyle w:val="ReasonsNumbering-AltN"/>
        <w:ind w:left="0" w:firstLine="0"/>
        <w:rPr>
          <w:szCs w:val="24"/>
        </w:rPr>
      </w:pPr>
      <w:r w:rsidRPr="009D1DC9">
        <w:t xml:space="preserve">Section 11 of the </w:t>
      </w:r>
      <w:r w:rsidRPr="009D1DC9">
        <w:rPr>
          <w:i/>
        </w:rPr>
        <w:t xml:space="preserve">AEPA </w:t>
      </w:r>
      <w:r w:rsidRPr="009D1DC9">
        <w:t xml:space="preserve">gives the Tribunal authority to grant a remedy for a contravention of the </w:t>
      </w:r>
      <w:r w:rsidRPr="009D1DC9">
        <w:rPr>
          <w:i/>
        </w:rPr>
        <w:t>AEPA</w:t>
      </w:r>
      <w:r w:rsidRPr="009D1DC9">
        <w:t xml:space="preserve">.  But it is not a contravention of the </w:t>
      </w:r>
      <w:r w:rsidRPr="009D1DC9">
        <w:rPr>
          <w:i/>
        </w:rPr>
        <w:t>AEPA</w:t>
      </w:r>
      <w:r w:rsidRPr="009D1DC9">
        <w:t xml:space="preserve"> to refuse to engage in a good faith process to make reasonable efforts to arrive at a collective agreement.  It is therefore not part of the Tribunal’s mandate.  No mandate, no jurisdiction; no jurisdiction, no remedy.  </w:t>
      </w:r>
    </w:p>
    <w:p w:rsidR="00A00D29" w:rsidRPr="009D1DC9" w:rsidRDefault="00A00D29" w:rsidP="00CB7EDE">
      <w:pPr>
        <w:pStyle w:val="ReasonsNumbering-AltN"/>
        <w:ind w:left="0" w:firstLine="0"/>
      </w:pPr>
      <w:r w:rsidRPr="009D1DC9">
        <w:t>It strikes me as fundamentally contrary to our jurisprudence to invite the Tribunal to interpret its home statute in a way that contradicts the clear statutory language and legislative intent.</w:t>
      </w:r>
      <w:r w:rsidRPr="009D1DC9">
        <w:rPr>
          <w:szCs w:val="24"/>
        </w:rPr>
        <w:t xml:space="preserve">  </w:t>
      </w:r>
      <w:r w:rsidRPr="009D1DC9">
        <w:t xml:space="preserve">If, on the other hand, the </w:t>
      </w:r>
      <w:r w:rsidRPr="009D1DC9">
        <w:rPr>
          <w:i/>
        </w:rPr>
        <w:t>AEPA</w:t>
      </w:r>
      <w:r w:rsidRPr="009D1DC9">
        <w:t xml:space="preserve"> had included the protections set out in </w:t>
      </w:r>
      <w:r w:rsidRPr="009D1DC9">
        <w:rPr>
          <w:i/>
        </w:rPr>
        <w:t>Health Services</w:t>
      </w:r>
      <w:r w:rsidRPr="009D1DC9">
        <w:t>, the Tribunal would certainly have the authority to address and remedy any bargaining disputes and would therefore comply with what is required by s. 2(</w:t>
      </w:r>
      <w:r w:rsidRPr="009D1DC9">
        <w:rPr>
          <w:i/>
        </w:rPr>
        <w:t>d</w:t>
      </w:r>
      <w:r w:rsidRPr="009D1DC9">
        <w:t xml:space="preserve">). </w:t>
      </w:r>
    </w:p>
    <w:p w:rsidR="00A00D29" w:rsidRPr="009D1DC9" w:rsidRDefault="00A00D29" w:rsidP="00CB7EDE">
      <w:pPr>
        <w:pStyle w:val="ReasonsNumbering-AltN"/>
        <w:ind w:left="0" w:firstLine="0"/>
        <w:rPr>
          <w:lang w:val="en-US"/>
        </w:rPr>
      </w:pPr>
      <w:r w:rsidRPr="009D1DC9">
        <w:rPr>
          <w:lang w:val="en-US"/>
        </w:rPr>
        <w:t xml:space="preserve">This </w:t>
      </w:r>
      <w:r w:rsidRPr="00CB7EDE">
        <w:t>brings</w:t>
      </w:r>
      <w:r w:rsidRPr="009D1DC9">
        <w:rPr>
          <w:lang w:val="en-US"/>
        </w:rPr>
        <w:t xml:space="preserve"> us finally to whether the process of good faith bargaining for</w:t>
      </w:r>
      <w:r w:rsidRPr="009D1DC9">
        <w:rPr>
          <w:i/>
          <w:lang w:val="en-US"/>
        </w:rPr>
        <w:t xml:space="preserve"> </w:t>
      </w:r>
      <w:r w:rsidRPr="009D1DC9">
        <w:rPr>
          <w:lang w:val="en-US"/>
        </w:rPr>
        <w:t xml:space="preserve">agricultural workers requires that the employer bargain only with the union selected by a majority of the employees in the bargaining unit.  This is known as the principle </w:t>
      </w:r>
      <w:r w:rsidRPr="009D1DC9">
        <w:rPr>
          <w:lang w:val="en-US"/>
        </w:rPr>
        <w:lastRenderedPageBreak/>
        <w:t>of majoritarian exclusivity, a routine protection in Canada’s labour laws.  In the context of this case, and g</w:t>
      </w:r>
      <w:proofErr w:type="spellStart"/>
      <w:r w:rsidRPr="009D1DC9">
        <w:t>iven</w:t>
      </w:r>
      <w:proofErr w:type="spellEnd"/>
      <w:r w:rsidRPr="009D1DC9">
        <w:t xml:space="preserve"> the unique vulnerability of agriculture workers, I agree with Winkler C.J.O. that statutory recognition of such exclusivity is essential for them to exercise their bargaining rights meaningfully.  </w:t>
      </w:r>
    </w:p>
    <w:p w:rsidR="00A00D29" w:rsidRPr="009D1DC9" w:rsidRDefault="00A00D29" w:rsidP="00CB7EDE">
      <w:pPr>
        <w:pStyle w:val="ReasonsNumbering-AltN"/>
        <w:ind w:left="0" w:firstLine="0"/>
      </w:pPr>
      <w:r w:rsidRPr="009D1DC9">
        <w:t xml:space="preserve">As long ago as 1944, when </w:t>
      </w:r>
      <w:r w:rsidR="00404B8C">
        <w:t>l</w:t>
      </w:r>
      <w:r w:rsidRPr="009D1DC9">
        <w:t xml:space="preserve">abour </w:t>
      </w:r>
      <w:r w:rsidR="00404B8C">
        <w:t>m</w:t>
      </w:r>
      <w:r w:rsidRPr="009D1DC9">
        <w:t xml:space="preserve">inisters from across Canada agreed to the principles which found their way into the model </w:t>
      </w:r>
      <w:r w:rsidRPr="009D1DC9">
        <w:rPr>
          <w:i/>
        </w:rPr>
        <w:t>The</w:t>
      </w:r>
      <w:r w:rsidRPr="009D1DC9">
        <w:t xml:space="preserve"> </w:t>
      </w:r>
      <w:r w:rsidRPr="009D1DC9">
        <w:rPr>
          <w:i/>
        </w:rPr>
        <w:t>Industrial Relations and Disputes Investigation Act</w:t>
      </w:r>
      <w:r w:rsidRPr="009D1DC9">
        <w:t xml:space="preserve">, S.C. 1948, c. 54, majoritarian exclusivity was a central protection.  Most provinces quickly aligned their legislation with these principles (Adams, </w:t>
      </w:r>
      <w:r w:rsidR="00404B8C">
        <w:t xml:space="preserve">vol. 1, </w:t>
      </w:r>
      <w:r w:rsidRPr="009D1DC9">
        <w:t xml:space="preserve">at paras. 1.240-1.250).  </w:t>
      </w:r>
    </w:p>
    <w:p w:rsidR="00A00D29" w:rsidRPr="009D1DC9" w:rsidRDefault="00A00D29" w:rsidP="00CB7EDE">
      <w:pPr>
        <w:pStyle w:val="ReasonsNumbering-AltN"/>
        <w:ind w:left="0" w:firstLine="0"/>
      </w:pPr>
      <w:r w:rsidRPr="00CB7EDE">
        <w:rPr>
          <w:lang w:val="en-US"/>
        </w:rPr>
        <w:t>With</w:t>
      </w:r>
      <w:r w:rsidRPr="009D1DC9">
        <w:t xml:space="preserve"> the exception of specific public services and the construction industry in Quebec (</w:t>
      </w:r>
      <w:r w:rsidRPr="009D1DC9">
        <w:rPr>
          <w:i/>
        </w:rPr>
        <w:t>An Act respecting labour relations, vocational training and workforce management in the construction industry</w:t>
      </w:r>
      <w:r w:rsidRPr="009D1DC9">
        <w:t>, R.S.Q., c. R-20), majoritarian exclusivity has remained a defining principle of the Canadian labour relations model (Rayner, at p. 16; Carter et al., at para. 574).</w:t>
      </w:r>
    </w:p>
    <w:p w:rsidR="00A00D29" w:rsidRPr="009D1DC9" w:rsidRDefault="00A00D29" w:rsidP="00CB7EDE">
      <w:pPr>
        <w:pStyle w:val="ReasonsNumbering-AltN"/>
        <w:ind w:left="0" w:firstLine="0"/>
      </w:pPr>
      <w:r w:rsidRPr="009D1DC9">
        <w:t>The reason for the protection is grounded in common sense and the pre-1944 experience.  A lack of exclusivity allows an employer to promote rivalry and discord among multiple employee representatives in order to “divide and rule the work force”,</w:t>
      </w:r>
      <w:r w:rsidRPr="009D1DC9">
        <w:rPr>
          <w:szCs w:val="24"/>
        </w:rPr>
        <w:t xml:space="preserve"> </w:t>
      </w:r>
      <w:r w:rsidRPr="009D1DC9">
        <w:t>using tactics like engaging in direct negotiations with individual employees to undercut “the credibility of the union . . . at the bargaining table” (</w:t>
      </w:r>
      <w:r w:rsidRPr="009D1DC9">
        <w:rPr>
          <w:szCs w:val="24"/>
        </w:rPr>
        <w:t xml:space="preserve">Paul Weiler, </w:t>
      </w:r>
      <w:r w:rsidRPr="009D1DC9">
        <w:rPr>
          <w:i/>
          <w:szCs w:val="24"/>
        </w:rPr>
        <w:t xml:space="preserve">Reconcilable Differences: New Directions in Canadian Labour Law </w:t>
      </w:r>
      <w:r w:rsidRPr="009D1DC9">
        <w:rPr>
          <w:szCs w:val="24"/>
        </w:rPr>
        <w:t xml:space="preserve">(1980), at p. 126; see also Adams, </w:t>
      </w:r>
      <w:r w:rsidR="00404B8C">
        <w:rPr>
          <w:szCs w:val="24"/>
        </w:rPr>
        <w:t xml:space="preserve">vol. 1, </w:t>
      </w:r>
      <w:r w:rsidRPr="009D1DC9">
        <w:rPr>
          <w:szCs w:val="24"/>
        </w:rPr>
        <w:t>at para. 3.1750).</w:t>
      </w:r>
    </w:p>
    <w:p w:rsidR="00A00D29" w:rsidRPr="009D1DC9" w:rsidRDefault="00A00D29" w:rsidP="00CB7EDE">
      <w:pPr>
        <w:pStyle w:val="ReasonsNumbering-AltN"/>
        <w:ind w:left="0" w:firstLine="0"/>
        <w:rPr>
          <w:lang w:val="en-US"/>
        </w:rPr>
      </w:pPr>
      <w:r w:rsidRPr="009D1DC9">
        <w:lastRenderedPageBreak/>
        <w:t xml:space="preserve">Rol-Land Farms, for example, unrestrained by the legal requirement to bargain only with one bargaining agent, sponsored its own “employee association” in direct competition with the union that had the workers’ majority support.  That is precisely the kind of conduct that Bora Laskin identified in 1944 as the flaw in Canada’s then existing labour legislation, namely that “it neither compelled employers to bargain collectively with the duly chosen representatives of their employees nor did it prohibit them from fostering company-dominated unions” (“Recent Labour Legislation in Canada” (1944), 22 </w:t>
      </w:r>
      <w:r w:rsidRPr="009D1DC9">
        <w:rPr>
          <w:i/>
        </w:rPr>
        <w:t>Can. Bar Rev.</w:t>
      </w:r>
      <w:r w:rsidRPr="009D1DC9">
        <w:t xml:space="preserve"> 776, at p. 781).  It </w:t>
      </w:r>
      <w:r w:rsidR="00404B8C">
        <w:t>also led Canada’s l</w:t>
      </w:r>
      <w:r w:rsidRPr="009D1DC9">
        <w:t xml:space="preserve">abour </w:t>
      </w:r>
      <w:r w:rsidR="00404B8C">
        <w:t>m</w:t>
      </w:r>
      <w:r w:rsidRPr="009D1DC9">
        <w:t xml:space="preserve">inisters that same year to include exclusivity among what </w:t>
      </w:r>
      <w:r w:rsidR="00DB4BD2">
        <w:t>were considered to be indispensa</w:t>
      </w:r>
      <w:r w:rsidRPr="009D1DC9">
        <w:t xml:space="preserve">ble protections for collective bargaining rights.  </w:t>
      </w:r>
    </w:p>
    <w:p w:rsidR="00A00D29" w:rsidRPr="009D1DC9" w:rsidRDefault="00A00D29" w:rsidP="00CB7EDE">
      <w:pPr>
        <w:pStyle w:val="ReasonsNumbering-AltN"/>
        <w:ind w:left="0" w:firstLine="0"/>
        <w:rPr>
          <w:lang w:val="en-US"/>
        </w:rPr>
      </w:pPr>
      <w:r w:rsidRPr="009D1DC9">
        <w:t>The inevitable splintering of unified representation resulting from the absence of statutory protection for exclusivity is particularly undermining for particularly vulnerable employees.  Professor David M. Beatty vividly observed that agricultural workers are “among the most economically exploited and politically neutralized individuals in our society”:</w:t>
      </w:r>
    </w:p>
    <w:p w:rsidR="00A00D29" w:rsidRPr="009D1DC9" w:rsidRDefault="00A00D29" w:rsidP="00CB7EDE">
      <w:pPr>
        <w:pStyle w:val="Citation-AltC"/>
        <w:spacing w:after="240"/>
        <w:contextualSpacing w:val="0"/>
        <w:rPr>
          <w:lang w:val="en-US"/>
        </w:rPr>
      </w:pPr>
      <w:r w:rsidRPr="009D1DC9">
        <w:rPr>
          <w:lang w:val="en-US"/>
        </w:rPr>
        <w:t>Because they are heavily drawn from a migrant and immigrant population, these workers face even more serious obstacles to effective participation in the political process.</w:t>
      </w:r>
      <w:r w:rsidR="00404B8C">
        <w:rPr>
          <w:lang w:val="en-US"/>
        </w:rPr>
        <w:t xml:space="preserve"> . . .</w:t>
      </w:r>
      <w:r w:rsidRPr="009D1DC9">
        <w:rPr>
          <w:lang w:val="en-US"/>
        </w:rPr>
        <w:t xml:space="preserve"> </w:t>
      </w:r>
      <w:proofErr w:type="gramStart"/>
      <w:r w:rsidRPr="009D1DC9">
        <w:rPr>
          <w:lang w:val="en-US"/>
        </w:rPr>
        <w:t>Denying agricultural workers the benefits of [collective bargaining] means that the legal processes which enable much of the rest of our workforce to be involved in decision-making at the workplace in a realistic way are unavailable to the farm workers.</w:t>
      </w:r>
      <w:proofErr w:type="gramEnd"/>
      <w:r w:rsidRPr="009D1DC9">
        <w:rPr>
          <w:lang w:val="en-US"/>
        </w:rPr>
        <w:t xml:space="preserve">  Thus a group of workers who are already among the least powerful are given even less opportunity than the rest of us to participate in the formulation and application of the rules governing their working conditions.  </w:t>
      </w:r>
    </w:p>
    <w:p w:rsidR="00A00D29" w:rsidRPr="009D1DC9" w:rsidRDefault="00A00D29" w:rsidP="00CB7EDE">
      <w:pPr>
        <w:pStyle w:val="Citation-AltC"/>
        <w:rPr>
          <w:lang w:val="en-US"/>
        </w:rPr>
      </w:pPr>
      <w:r w:rsidRPr="009D1DC9">
        <w:rPr>
          <w:lang w:val="en-US"/>
        </w:rPr>
        <w:lastRenderedPageBreak/>
        <w:t>(</w:t>
      </w:r>
      <w:r w:rsidRPr="00CB7EDE">
        <w:rPr>
          <w:i/>
          <w:lang w:val="en-US"/>
        </w:rPr>
        <w:t>Putting the Charter to Work: Designing a Constitutional Labour Code</w:t>
      </w:r>
      <w:r w:rsidRPr="009D1DC9">
        <w:rPr>
          <w:lang w:val="en-US"/>
        </w:rPr>
        <w:t xml:space="preserve"> (1987), at p. 89)</w:t>
      </w:r>
    </w:p>
    <w:p w:rsidR="00A00D29" w:rsidRPr="009D1DC9" w:rsidRDefault="00A00D29" w:rsidP="00CB7EDE">
      <w:pPr>
        <w:pStyle w:val="ContinueReasonsNo-AltP"/>
        <w:rPr>
          <w:lang w:val="en-US"/>
        </w:rPr>
      </w:pPr>
      <w:r w:rsidRPr="009D1DC9">
        <w:rPr>
          <w:lang w:val="en-US"/>
        </w:rPr>
        <w:t xml:space="preserve">See also Task Force on Labour Relations, </w:t>
      </w:r>
      <w:r w:rsidRPr="009D1DC9">
        <w:rPr>
          <w:i/>
          <w:lang w:val="en-US"/>
        </w:rPr>
        <w:t>Canadian Industrial Relations</w:t>
      </w:r>
      <w:r w:rsidRPr="00DB4BD2">
        <w:rPr>
          <w:i/>
          <w:lang w:val="en-US"/>
        </w:rPr>
        <w:t xml:space="preserve">: </w:t>
      </w:r>
      <w:proofErr w:type="gramStart"/>
      <w:r w:rsidRPr="009D1DC9">
        <w:rPr>
          <w:i/>
          <w:lang w:val="en-US"/>
        </w:rPr>
        <w:t>The</w:t>
      </w:r>
      <w:proofErr w:type="gramEnd"/>
      <w:r w:rsidRPr="009D1DC9">
        <w:rPr>
          <w:i/>
          <w:lang w:val="en-US"/>
        </w:rPr>
        <w:t xml:space="preserve"> Report of Task Force on Labour Relations </w:t>
      </w:r>
      <w:r w:rsidRPr="009D1DC9">
        <w:rPr>
          <w:lang w:val="en-US"/>
        </w:rPr>
        <w:t>(1968) (the “Woods Report”), at p. 86.</w:t>
      </w:r>
    </w:p>
    <w:p w:rsidR="00A00D29" w:rsidRPr="009D1DC9" w:rsidRDefault="00A00D29" w:rsidP="00CB7EDE">
      <w:pPr>
        <w:pStyle w:val="ReasonsNumbering-AltN"/>
        <w:ind w:left="0" w:firstLine="0"/>
        <w:rPr>
          <w:lang w:val="en-US"/>
        </w:rPr>
      </w:pPr>
      <w:r w:rsidRPr="009D1DC9">
        <w:rPr>
          <w:lang w:val="en-US"/>
        </w:rPr>
        <w:t xml:space="preserve">These </w:t>
      </w:r>
      <w:r w:rsidRPr="00CB7EDE">
        <w:t>conclusions</w:t>
      </w:r>
      <w:r w:rsidRPr="009D1DC9">
        <w:rPr>
          <w:lang w:val="en-US"/>
        </w:rPr>
        <w:t xml:space="preserve"> were echoed by the trial judge in </w:t>
      </w:r>
      <w:r w:rsidRPr="009D1DC9">
        <w:rPr>
          <w:i/>
          <w:lang w:val="en-US"/>
        </w:rPr>
        <w:t>Dunmore</w:t>
      </w:r>
      <w:r w:rsidRPr="009D1DC9">
        <w:rPr>
          <w:lang w:val="en-US"/>
        </w:rPr>
        <w:t xml:space="preserve">, Sharpe J., whose observations were endorsed in this Court by Bastarache J.: </w:t>
      </w:r>
    </w:p>
    <w:p w:rsidR="00A00D29" w:rsidRPr="009D1DC9" w:rsidRDefault="00A00D29" w:rsidP="00CB7EDE">
      <w:pPr>
        <w:pStyle w:val="Citation-AltC"/>
        <w:rPr>
          <w:lang w:val="en-US"/>
        </w:rPr>
      </w:pPr>
      <w:r w:rsidRPr="009D1DC9">
        <w:rPr>
          <w:lang w:val="en-US"/>
        </w:rPr>
        <w:t>Distinguishing features of agricultural workers are their political impotence, their lack of resources to associate without state protection and their vulnerability to reprisal by their employers; as noted by Sharpe J., agricultural workers are “poorly paid, face difficult working conditions, have low levels of skill and education, low status and limited employment mobility” . . . . [para. 41]</w:t>
      </w:r>
    </w:p>
    <w:p w:rsidR="00A00D29" w:rsidRPr="009D1DC9" w:rsidRDefault="00A00D29" w:rsidP="00CB7EDE">
      <w:pPr>
        <w:pStyle w:val="ReasonsNumbering-AltN"/>
        <w:ind w:left="0" w:firstLine="0"/>
      </w:pPr>
      <w:r w:rsidRPr="009D1DC9">
        <w:t xml:space="preserve">The conditions of singular employment disadvantage for workers in the agricultural sector, as the trial judge in this case acknowledged, remain operative today.  </w:t>
      </w:r>
      <w:r w:rsidRPr="009D1DC9">
        <w:rPr>
          <w:lang w:val="en-US"/>
        </w:rPr>
        <w:t>Permitting multiple representatives of disparate individuals or groups in such a workplace effectively nullifies the ability of its workers to have a unified and therefore more cogent voice in attempting to mitigate and ameliorate their relentlessly arduous working conditions.</w:t>
      </w:r>
    </w:p>
    <w:p w:rsidR="00A00D29" w:rsidRPr="009D1DC9" w:rsidRDefault="00A00D29" w:rsidP="00CB7EDE">
      <w:pPr>
        <w:pStyle w:val="ReasonsNumbering-AltN"/>
        <w:ind w:left="0" w:firstLine="0"/>
      </w:pPr>
      <w:r w:rsidRPr="009D1DC9">
        <w:t xml:space="preserve">I acknowledge that different models of labour relations exist globally, some of which do not recognize the principle of majoritarian exclusivity (Clyde W. Summers, “Exclusive Representation: A Comparative Inquiry into a ‘Unique’ American Principle” (1998), 20 </w:t>
      </w:r>
      <w:r w:rsidRPr="009D1DC9">
        <w:rPr>
          <w:i/>
        </w:rPr>
        <w:t>Comp. Lab. L. &amp; Pol’y J.</w:t>
      </w:r>
      <w:r w:rsidRPr="009D1DC9">
        <w:t xml:space="preserve"> 47; Roy J. Adams, </w:t>
      </w:r>
      <w:r w:rsidRPr="009D1DC9">
        <w:lastRenderedPageBreak/>
        <w:t xml:space="preserve">“Prospects for Labour’s Right to Bargain Collectively After </w:t>
      </w:r>
      <w:r w:rsidRPr="009D1DC9">
        <w:rPr>
          <w:i/>
        </w:rPr>
        <w:t>B.C. Health Services</w:t>
      </w:r>
      <w:r w:rsidRPr="009D1DC9">
        <w:t>”</w:t>
      </w:r>
      <w:r w:rsidRPr="009D1DC9">
        <w:rPr>
          <w:i/>
        </w:rPr>
        <w:t xml:space="preserve"> </w:t>
      </w:r>
      <w:r w:rsidRPr="009D1DC9">
        <w:t>(2009), 59</w:t>
      </w:r>
      <w:r w:rsidRPr="009D1DC9">
        <w:rPr>
          <w:i/>
        </w:rPr>
        <w:t xml:space="preserve"> U.N.B.L.J.</w:t>
      </w:r>
      <w:r w:rsidRPr="009D1DC9">
        <w:t xml:space="preserve"> 85).  These models, however, have been developed in entirely different historical contexts and systems of collective bargaining and have yet to be seriously road-tested in the Canadian context outside of the construction industry in Quebec.  This is not to say that there is no room for innovation in the modalities of the Canadian labour relations model.  But to “innovate” by eliminating a fundamental protection for the most vulnerable of workers is nullification, not innovation. </w:t>
      </w:r>
    </w:p>
    <w:p w:rsidR="00A00D29" w:rsidRPr="009D1DC9" w:rsidRDefault="00A00D29" w:rsidP="00CB7EDE">
      <w:pPr>
        <w:pStyle w:val="ReasonsNumbering-AltN"/>
        <w:ind w:left="0" w:firstLine="0"/>
      </w:pPr>
      <w:r w:rsidRPr="009D1DC9">
        <w:t xml:space="preserve">Can the absence of these statutory protections be justified under s. 1 of the </w:t>
      </w:r>
      <w:r w:rsidRPr="009D1DC9">
        <w:rPr>
          <w:i/>
        </w:rPr>
        <w:t>Charter</w:t>
      </w:r>
      <w:r w:rsidRPr="009D1DC9">
        <w:t>?  In my view they cannot.</w:t>
      </w:r>
    </w:p>
    <w:p w:rsidR="00A00D29" w:rsidRPr="009D1DC9" w:rsidRDefault="00A00D29" w:rsidP="00CB7EDE">
      <w:pPr>
        <w:pStyle w:val="ReasonsNumbering-AltN"/>
        <w:ind w:left="0" w:firstLine="0"/>
      </w:pPr>
      <w:r w:rsidRPr="009D1DC9">
        <w:t>Chief Justice Winkler found that the relevant objectives of the rights limitation — the failure to provide agricultural workers with the necessary statutory protections to exercise the right to bargain collectively — were “to protect the family farm and farm production/viability” (para. 122).</w:t>
      </w:r>
    </w:p>
    <w:p w:rsidR="00A00D29" w:rsidRPr="009D1DC9" w:rsidRDefault="00A00D29" w:rsidP="00CB7EDE">
      <w:pPr>
        <w:pStyle w:val="ReasonsNumbering-AltN"/>
        <w:ind w:left="0" w:firstLine="0"/>
      </w:pPr>
      <w:r w:rsidRPr="009D1DC9">
        <w:t xml:space="preserve">These were found by this Court to be pressing and substantial objectives in </w:t>
      </w:r>
      <w:r w:rsidRPr="009D1DC9">
        <w:rPr>
          <w:i/>
        </w:rPr>
        <w:t>Dunmore</w:t>
      </w:r>
      <w:r w:rsidRPr="009D1DC9">
        <w:t xml:space="preserve"> and are conceded to reach the necessary threshold in our case.</w:t>
      </w:r>
    </w:p>
    <w:p w:rsidR="00A00D29" w:rsidRPr="009D1DC9" w:rsidRDefault="00A00D29" w:rsidP="00CB7EDE">
      <w:pPr>
        <w:pStyle w:val="ReasonsNumbering-AltN"/>
        <w:ind w:left="0" w:firstLine="0"/>
      </w:pPr>
      <w:r w:rsidRPr="009D1DC9">
        <w:t xml:space="preserve">Even assuming that there is a rational connection between at least the second objective and the limitation, I see the minimal impairment branch of the </w:t>
      </w:r>
      <w:r w:rsidRPr="009D1DC9">
        <w:rPr>
          <w:i/>
        </w:rPr>
        <w:t>Oakes</w:t>
      </w:r>
      <w:r w:rsidRPr="009D1DC9">
        <w:t xml:space="preserve"> test as being determinative.  Under this step we ask whether there are “less harmful means of achieving the legislative goal” (</w:t>
      </w:r>
      <w:r w:rsidRPr="009D1DC9">
        <w:rPr>
          <w:i/>
        </w:rPr>
        <w:t>Alberta v. Hutterian Brethren of Wilson Colony</w:t>
      </w:r>
      <w:r w:rsidRPr="009D1DC9">
        <w:t xml:space="preserve">, 2009 SCC 37, [2009] 2 S.C.R. 567, at para. 53).  The </w:t>
      </w:r>
      <w:r w:rsidRPr="009D1DC9">
        <w:rPr>
          <w:i/>
        </w:rPr>
        <w:t>AEPA</w:t>
      </w:r>
      <w:r w:rsidRPr="009D1DC9">
        <w:t xml:space="preserve"> has an </w:t>
      </w:r>
      <w:r w:rsidRPr="009D1DC9">
        <w:lastRenderedPageBreak/>
        <w:t>absolute exclusion of any protection for a process of collective bargaining: all agricultural workers, in all sectors of agriculture, no matter the size and nature of the agricultural enterprise, are precluded from exercising their s. 2(</w:t>
      </w:r>
      <w:r w:rsidRPr="009D1DC9">
        <w:rPr>
          <w:i/>
        </w:rPr>
        <w:t>d</w:t>
      </w:r>
      <w:r w:rsidRPr="009D1DC9">
        <w:t>) rights.  If the government has impeded those rights more than is reasonably necessary to achieve its stated objectives, then this absolute exclusion is not constitutionally justified.</w:t>
      </w:r>
    </w:p>
    <w:p w:rsidR="00A00D29" w:rsidRPr="009D1DC9" w:rsidRDefault="00A00D29" w:rsidP="00CB7EDE">
      <w:pPr>
        <w:pStyle w:val="ReasonsNumbering-AltN"/>
        <w:ind w:left="0" w:firstLine="0"/>
      </w:pPr>
      <w:r w:rsidRPr="009D1DC9">
        <w:t>The first governmental objective of the absolute exclusion is the protection of family farms.  Is a one-size-fits-all exclusion responsive to protecting family farms?  It seems to me clear that less harmful means than outright exclusion are readily available to achieve the objective.  Two provinces, for example, Quebec and New Brunswick, have specific exemptions for farms employing less than three (</w:t>
      </w:r>
      <w:r w:rsidRPr="009D1DC9">
        <w:rPr>
          <w:i/>
        </w:rPr>
        <w:t>Labour Code</w:t>
      </w:r>
      <w:r w:rsidRPr="009D1DC9">
        <w:t>, R.S.Q., c. C-27, s. 21) or five (</w:t>
      </w:r>
      <w:r w:rsidRPr="009D1DC9">
        <w:rPr>
          <w:i/>
        </w:rPr>
        <w:t>Industrial Relations Act</w:t>
      </w:r>
      <w:r w:rsidRPr="009D1DC9">
        <w:t>, R.S.N.B. 1973, c. I-4, s. 1(5)(</w:t>
      </w:r>
      <w:r w:rsidRPr="009D1DC9">
        <w:rPr>
          <w:i/>
        </w:rPr>
        <w:t>a</w:t>
      </w:r>
      <w:r w:rsidRPr="009D1DC9">
        <w:t>)) workers.</w:t>
      </w:r>
    </w:p>
    <w:p w:rsidR="00A00D29" w:rsidRPr="009D1DC9" w:rsidRDefault="00A00D29" w:rsidP="00CB7EDE">
      <w:pPr>
        <w:pStyle w:val="ReasonsNumbering-AltN"/>
        <w:ind w:left="0" w:firstLine="0"/>
      </w:pPr>
      <w:r w:rsidRPr="009D1DC9">
        <w:t>It is also worth remembering that we are dealing with a highly diversified sector, only some of which consists of family farms.  As Bastarache J. noted, there is an “increasing trend . . . towards corporate farming and complex agribusiness” (</w:t>
      </w:r>
      <w:r w:rsidRPr="009D1DC9">
        <w:rPr>
          <w:i/>
        </w:rPr>
        <w:t>Dunmore</w:t>
      </w:r>
      <w:r w:rsidRPr="009D1DC9">
        <w:t xml:space="preserve">, at para. 62).  Rol-Land Farms, for example, is a mushroom farm that employs between 270-300 workers.  The nature of this kind of farm, as described in </w:t>
      </w:r>
      <w:r w:rsidRPr="009D1DC9">
        <w:rPr>
          <w:i/>
        </w:rPr>
        <w:t>Wellington</w:t>
      </w:r>
      <w:r w:rsidRPr="009D1DC9">
        <w:t xml:space="preserve"> </w:t>
      </w:r>
      <w:r w:rsidRPr="009D1DC9">
        <w:rPr>
          <w:i/>
        </w:rPr>
        <w:t>Mushroom Farm</w:t>
      </w:r>
      <w:r w:rsidRPr="009D1DC9">
        <w:t>, [1980] O.L.R.B. Rep. 813, does “not differ in any material respect from a typical manufacturing plant” (para. 29).  The description in the reasons of Vice-Chairman R. O. MacDowell is telling:</w:t>
      </w:r>
    </w:p>
    <w:p w:rsidR="00A00D29" w:rsidRPr="009D1DC9" w:rsidRDefault="00A00D29" w:rsidP="00CB7EDE">
      <w:pPr>
        <w:pStyle w:val="Citation-AltC"/>
      </w:pPr>
      <w:r w:rsidRPr="009D1DC9">
        <w:lastRenderedPageBreak/>
        <w:t>There is no close involvement with the family farm.  The production process is not seasonal, but rather, resembles a production cycle.  The labour force is neither casual nor transitory.  The operation is of considerable size, employing close to 20</w:t>
      </w:r>
      <w:r w:rsidR="00DB4BD2">
        <w:t>0 employees in a single location wi</w:t>
      </w:r>
      <w:r w:rsidRPr="009D1DC9">
        <w:t xml:space="preserve">th a “factory atmosphere”; and the company is much less economically vulnerable than many other employers to which </w:t>
      </w:r>
      <w:r w:rsidRPr="009D1DC9">
        <w:rPr>
          <w:i/>
        </w:rPr>
        <w:t>The Labour Relations Act</w:t>
      </w:r>
      <w:r w:rsidRPr="009D1DC9">
        <w:t xml:space="preserve"> applies. [para. 25]</w:t>
      </w:r>
    </w:p>
    <w:p w:rsidR="00A00D29" w:rsidRPr="009D1DC9" w:rsidRDefault="00A00D29" w:rsidP="00CB7EDE">
      <w:pPr>
        <w:pStyle w:val="ReasonsNumbering-AltN"/>
        <w:ind w:left="0" w:firstLine="0"/>
      </w:pPr>
      <w:r w:rsidRPr="009D1DC9">
        <w:t xml:space="preserve">Preventing </w:t>
      </w:r>
      <w:r w:rsidRPr="009D1DC9">
        <w:rPr>
          <w:i/>
        </w:rPr>
        <w:t>all</w:t>
      </w:r>
      <w:r w:rsidRPr="009D1DC9">
        <w:t xml:space="preserve"> agricultural workers from access to a process of collective bargaining in order to protect family farms, no matter their size or character, is the antithesis of minimal impairment. Such a limitation harms the s. 2(</w:t>
      </w:r>
      <w:r w:rsidRPr="009D1DC9">
        <w:rPr>
          <w:i/>
        </w:rPr>
        <w:t>d</w:t>
      </w:r>
      <w:r w:rsidRPr="009D1DC9">
        <w:t>) right in its entirety, not minimally.</w:t>
      </w:r>
    </w:p>
    <w:p w:rsidR="00A00D29" w:rsidRPr="009D1DC9" w:rsidRDefault="00A00D29" w:rsidP="00CB7EDE">
      <w:pPr>
        <w:pStyle w:val="ReasonsNumbering-AltN"/>
        <w:ind w:left="0" w:firstLine="0"/>
      </w:pPr>
      <w:r w:rsidRPr="009D1DC9">
        <w:t>The other government objective is more general — the protection of the viability of farms and agricultural production.  It is instructive to consider the 1992 recommendations of the Ontario government’s consultative Task Force on Agricultural Labour Relations, composed of representatives from the agricultural community, organized labour, farm workers and government (</w:t>
      </w:r>
      <w:r w:rsidRPr="009D1DC9">
        <w:rPr>
          <w:i/>
        </w:rPr>
        <w:t>Report to the Minister of Labour</w:t>
      </w:r>
      <w:r w:rsidRPr="009D1DC9">
        <w:t xml:space="preserve"> (June 1992); </w:t>
      </w:r>
      <w:r w:rsidRPr="009D1DC9">
        <w:rPr>
          <w:i/>
        </w:rPr>
        <w:t xml:space="preserve">Second Report to the Minister of Labour </w:t>
      </w:r>
      <w:r w:rsidRPr="009D1DC9">
        <w:t>(November 1992)).  The Task Force’s recommendations in its two reports are germane not because they should be seen as binding, but because they demonstrate that there are “less harmful means” than an absolute exclusion to achieve the government’s objective of protecting agricultural production and viability.</w:t>
      </w:r>
    </w:p>
    <w:p w:rsidR="00A00D29" w:rsidRPr="009D1DC9" w:rsidRDefault="00A00D29" w:rsidP="00CB7EDE">
      <w:pPr>
        <w:pStyle w:val="ReasonsNumbering-AltN"/>
        <w:ind w:left="0" w:firstLine="0"/>
      </w:pPr>
      <w:r w:rsidRPr="009D1DC9">
        <w:t xml:space="preserve">The Task Force considered whether — and how — agricultural workers should be entitled to bargain collectively, given the unique characteristics of the agricultural sector.  It concluded that “all persons employed in agriculture and </w:t>
      </w:r>
      <w:r w:rsidRPr="009D1DC9">
        <w:lastRenderedPageBreak/>
        <w:t>horticulture” should be able to engage in collective bargaining, including those on family or smaller farms, but in accordance with a separate labour relations scheme that is “sufficiently modified” to reflect the “particular needs” of the agricultural sector (</w:t>
      </w:r>
      <w:r w:rsidR="00404B8C">
        <w:t xml:space="preserve">First Report, at </w:t>
      </w:r>
      <w:r w:rsidRPr="009D1DC9">
        <w:t xml:space="preserve">pp. 7-8). </w:t>
      </w:r>
    </w:p>
    <w:p w:rsidR="00A00D29" w:rsidRPr="009D1DC9" w:rsidRDefault="00A00D29" w:rsidP="00F64715">
      <w:pPr>
        <w:pStyle w:val="ReasonsNumbering-AltN"/>
        <w:ind w:left="0" w:firstLine="0"/>
      </w:pPr>
      <w:r w:rsidRPr="009D1DC9">
        <w:t>The “single most critical issue” raised by farm owners before the Task Force was the “threat of work stoppage” (</w:t>
      </w:r>
      <w:r w:rsidR="00404B8C">
        <w:t xml:space="preserve">First Report, at </w:t>
      </w:r>
      <w:r w:rsidRPr="009D1DC9">
        <w:t>p. 3).  In response to this and many other submissions, the Task Force recommended that all forms of work stoppage be prohibited and replaced by a dispute resolution process that:</w:t>
      </w:r>
    </w:p>
    <w:p w:rsidR="00A00D29" w:rsidRPr="009D1DC9" w:rsidRDefault="00621106" w:rsidP="00621106">
      <w:pPr>
        <w:pStyle w:val="Citation-AltC"/>
        <w:spacing w:after="240"/>
        <w:ind w:left="1440" w:hanging="274"/>
        <w:contextualSpacing w:val="0"/>
      </w:pPr>
      <w:r>
        <w:t>•</w:t>
      </w:r>
      <w:r>
        <w:tab/>
      </w:r>
      <w:r w:rsidR="00A00D29" w:rsidRPr="009D1DC9">
        <w:t>emphasizes the preference for negotiated settlements between the parties.</w:t>
      </w:r>
    </w:p>
    <w:p w:rsidR="00A00D29" w:rsidRPr="009D1DC9" w:rsidRDefault="00621106" w:rsidP="00621106">
      <w:pPr>
        <w:pStyle w:val="Citation-AltC"/>
        <w:spacing w:after="240"/>
        <w:ind w:left="1440" w:hanging="274"/>
        <w:contextualSpacing w:val="0"/>
      </w:pPr>
      <w:r>
        <w:t>•</w:t>
      </w:r>
      <w:r>
        <w:tab/>
      </w:r>
      <w:r w:rsidR="00A00D29" w:rsidRPr="009D1DC9">
        <w:t xml:space="preserve">provides </w:t>
      </w:r>
      <w:r w:rsidR="00404B8C">
        <w:t xml:space="preserve">a </w:t>
      </w:r>
      <w:r w:rsidR="00A00D29" w:rsidRPr="009D1DC9">
        <w:t>conciliation and mediation service to assist the parties in reaching a negotiated settlement.</w:t>
      </w:r>
    </w:p>
    <w:p w:rsidR="00A00D29" w:rsidRPr="009D1DC9" w:rsidRDefault="00621106" w:rsidP="00621106">
      <w:pPr>
        <w:pStyle w:val="Citation-AltC"/>
        <w:ind w:left="1440" w:hanging="274"/>
      </w:pPr>
      <w:r>
        <w:t>•</w:t>
      </w:r>
      <w:r>
        <w:tab/>
      </w:r>
      <w:r w:rsidR="00A00D29" w:rsidRPr="009D1DC9">
        <w:t>provides an arbitration process for the final and binding resolution of all outstanding matters between the parties following exhaustion of the negotiation process. [</w:t>
      </w:r>
      <w:r w:rsidR="00404B8C">
        <w:t xml:space="preserve">First Report, at </w:t>
      </w:r>
      <w:r w:rsidR="00A00D29" w:rsidRPr="009D1DC9">
        <w:t>p. 10]</w:t>
      </w:r>
    </w:p>
    <w:p w:rsidR="00A00D29" w:rsidRPr="009D1DC9" w:rsidRDefault="00A00D29" w:rsidP="00621106">
      <w:pPr>
        <w:pStyle w:val="ContinueReasonsNo-AltP"/>
      </w:pPr>
      <w:r w:rsidRPr="009D1DC9">
        <w:t>It also recommended that there be an Agricultural Labour Relations Act, to be administered by a separate Board (Second Report, at p. 17).</w:t>
      </w:r>
    </w:p>
    <w:p w:rsidR="00A00D29" w:rsidRPr="009D1DC9" w:rsidRDefault="00A00D29" w:rsidP="00F64715">
      <w:pPr>
        <w:pStyle w:val="ReasonsNumbering-AltN"/>
        <w:ind w:left="0" w:firstLine="0"/>
      </w:pPr>
      <w:r w:rsidRPr="009D1DC9">
        <w:t xml:space="preserve">The government adopted these recommendations in the </w:t>
      </w:r>
      <w:r w:rsidRPr="009D1DC9">
        <w:rPr>
          <w:i/>
        </w:rPr>
        <w:t>Agricultural Labour Relations Act, 1994</w:t>
      </w:r>
      <w:r w:rsidRPr="009D1DC9">
        <w:t>, S.O. 1994, c. 6 (“</w:t>
      </w:r>
      <w:r w:rsidRPr="009D1DC9">
        <w:rPr>
          <w:i/>
        </w:rPr>
        <w:t>ALRA</w:t>
      </w:r>
      <w:r w:rsidRPr="009D1DC9">
        <w:t xml:space="preserve">”).  The </w:t>
      </w:r>
      <w:r w:rsidRPr="009D1DC9">
        <w:rPr>
          <w:i/>
        </w:rPr>
        <w:t>ALRA</w:t>
      </w:r>
      <w:r w:rsidRPr="009D1DC9">
        <w:t xml:space="preserve"> included protection for collective bargaining, including exclusivity, but prohibited work stoppages (ss. 3, 10 and 11).  The inherent compromise in that legislation is reflected in its preamble:</w:t>
      </w:r>
    </w:p>
    <w:p w:rsidR="00A00D29" w:rsidRPr="009D1DC9" w:rsidRDefault="00A00D29" w:rsidP="00621106">
      <w:pPr>
        <w:pStyle w:val="Citation-AltC"/>
        <w:spacing w:after="240"/>
        <w:contextualSpacing w:val="0"/>
      </w:pPr>
      <w:r w:rsidRPr="009D1DC9">
        <w:lastRenderedPageBreak/>
        <w:t>It is in the public interest to extend collective bargaining rights to employees and employers in the agriculture and horticulture industries.</w:t>
      </w:r>
    </w:p>
    <w:p w:rsidR="00A00D29" w:rsidRPr="009D1DC9" w:rsidRDefault="00A00D29" w:rsidP="00621106">
      <w:pPr>
        <w:pStyle w:val="Citation-AltC"/>
      </w:pPr>
      <w:r w:rsidRPr="009D1DC9">
        <w:t>However, the agriculture and horticulture industries have certain unique characteristics that must be considered in extending those rights.  Those unique characteristics include seasonal production, climate sensitivity, time sensitivity, and perishable nature of agriculture and horticulture products, and the need for maintenance of continuous processes to ensure the care and survival of animal and plant life.</w:t>
      </w:r>
    </w:p>
    <w:p w:rsidR="00A00D29" w:rsidRPr="009D1DC9" w:rsidRDefault="00A00D29" w:rsidP="00621106">
      <w:pPr>
        <w:pStyle w:val="ReasonsNumbering-AltN"/>
        <w:ind w:left="0" w:firstLine="0"/>
      </w:pPr>
      <w:r w:rsidRPr="009D1DC9">
        <w:t xml:space="preserve">The </w:t>
      </w:r>
      <w:r w:rsidRPr="009D1DC9">
        <w:rPr>
          <w:i/>
        </w:rPr>
        <w:t>ALRA</w:t>
      </w:r>
      <w:r w:rsidRPr="009D1DC9">
        <w:t xml:space="preserve"> was repealed in 1995 (c. 1, s. 80).  Thereafter</w:t>
      </w:r>
      <w:r w:rsidR="009708A3">
        <w:t>,</w:t>
      </w:r>
      <w:r w:rsidRPr="009D1DC9">
        <w:t xml:space="preserve"> agricultural workers were left only with their pre-existing exclusion from the Ontario</w:t>
      </w:r>
      <w:r w:rsidRPr="009D1DC9">
        <w:rPr>
          <w:i/>
        </w:rPr>
        <w:t xml:space="preserve"> Labour Relations Act, 1995</w:t>
      </w:r>
      <w:r w:rsidRPr="009D1DC9">
        <w:t xml:space="preserve">, </w:t>
      </w:r>
      <w:r w:rsidR="009708A3">
        <w:t>S.O. 1995, c. 1</w:t>
      </w:r>
      <w:r w:rsidR="00404B8C">
        <w:t xml:space="preserve">, Sch. A, </w:t>
      </w:r>
      <w:r w:rsidRPr="009D1DC9">
        <w:t>creating the spark that ignited</w:t>
      </w:r>
      <w:r w:rsidRPr="009D1DC9">
        <w:rPr>
          <w:i/>
        </w:rPr>
        <w:t xml:space="preserve"> Dunmore</w:t>
      </w:r>
      <w:r w:rsidRPr="009D1DC9">
        <w:t xml:space="preserve">. </w:t>
      </w:r>
    </w:p>
    <w:p w:rsidR="00A00D29" w:rsidRPr="009D1DC9" w:rsidRDefault="00A00D29" w:rsidP="00621106">
      <w:pPr>
        <w:pStyle w:val="ReasonsNumbering-AltN"/>
        <w:ind w:left="0" w:firstLine="0"/>
      </w:pPr>
      <w:r w:rsidRPr="009D1DC9">
        <w:t xml:space="preserve">And since s. 1 of the </w:t>
      </w:r>
      <w:r w:rsidRPr="009D1DC9">
        <w:rPr>
          <w:i/>
        </w:rPr>
        <w:t>Charter</w:t>
      </w:r>
      <w:r w:rsidRPr="009D1DC9">
        <w:t xml:space="preserve"> directs us to compare how other democratic governments limit a particular right, it is also helpful to look at how other Canadian jurisdictions deal with agricultural workplaces.  Except in Alberta, agricultural workers in every province have the same collective bargaining rights as other employees, including exclusivity (</w:t>
      </w:r>
      <w:r w:rsidRPr="009D1DC9">
        <w:rPr>
          <w:i/>
        </w:rPr>
        <w:t>Labour Relations Code</w:t>
      </w:r>
      <w:r w:rsidRPr="009D1DC9">
        <w:t xml:space="preserve">, R.S.B.C. 1996, c. 244, s. 1; </w:t>
      </w:r>
      <w:r w:rsidRPr="009D1DC9">
        <w:rPr>
          <w:i/>
        </w:rPr>
        <w:t>The</w:t>
      </w:r>
      <w:r w:rsidRPr="009D1DC9">
        <w:t xml:space="preserve"> </w:t>
      </w:r>
      <w:r w:rsidRPr="009D1DC9">
        <w:rPr>
          <w:i/>
        </w:rPr>
        <w:t>Trade Union Act</w:t>
      </w:r>
      <w:r w:rsidRPr="009D1DC9">
        <w:t xml:space="preserve">, R.S.S. 1978, c. T-17, s. 2; </w:t>
      </w:r>
      <w:r w:rsidRPr="009D1DC9">
        <w:rPr>
          <w:i/>
        </w:rPr>
        <w:t>The</w:t>
      </w:r>
      <w:r w:rsidRPr="009D1DC9">
        <w:t xml:space="preserve"> </w:t>
      </w:r>
      <w:r w:rsidRPr="009D1DC9">
        <w:rPr>
          <w:i/>
        </w:rPr>
        <w:t>Labour Relations Act</w:t>
      </w:r>
      <w:r w:rsidRPr="009D1DC9">
        <w:t xml:space="preserve">, R.S.M. 1987, c. L10, s. 1; </w:t>
      </w:r>
      <w:r w:rsidRPr="009D1DC9">
        <w:rPr>
          <w:i/>
        </w:rPr>
        <w:t>Labour Code</w:t>
      </w:r>
      <w:r w:rsidRPr="009D1DC9">
        <w:t xml:space="preserve"> (Que.), s. 21; </w:t>
      </w:r>
      <w:r w:rsidRPr="009D1DC9">
        <w:rPr>
          <w:i/>
        </w:rPr>
        <w:t>Industrial Relations Act</w:t>
      </w:r>
      <w:r w:rsidRPr="009D1DC9">
        <w:t xml:space="preserve"> (N.B.), s. 1(5)(</w:t>
      </w:r>
      <w:r w:rsidRPr="009D1DC9">
        <w:rPr>
          <w:i/>
        </w:rPr>
        <w:t>a</w:t>
      </w:r>
      <w:r w:rsidRPr="009D1DC9">
        <w:t xml:space="preserve">); </w:t>
      </w:r>
      <w:r w:rsidRPr="009D1DC9">
        <w:rPr>
          <w:i/>
        </w:rPr>
        <w:t>Trade Union Act</w:t>
      </w:r>
      <w:r w:rsidRPr="009D1DC9">
        <w:t xml:space="preserve">, R.S.N.S. 1989, c. 475, s. 2(1); </w:t>
      </w:r>
      <w:r w:rsidRPr="009D1DC9">
        <w:rPr>
          <w:i/>
        </w:rPr>
        <w:t>Labour Act</w:t>
      </w:r>
      <w:r w:rsidRPr="009D1DC9">
        <w:t xml:space="preserve">, R.S.P.E.I. 1988, c. L-1, s. 7; </w:t>
      </w:r>
      <w:r w:rsidRPr="009D1DC9">
        <w:rPr>
          <w:i/>
        </w:rPr>
        <w:t>Labour Relations Act</w:t>
      </w:r>
      <w:r w:rsidRPr="009D1DC9">
        <w:t xml:space="preserve">, R.S.N.L. 1990, c. L-1, s. 2(1); </w:t>
      </w:r>
      <w:r w:rsidRPr="009D1DC9">
        <w:rPr>
          <w:i/>
        </w:rPr>
        <w:t>Labour Relations Code</w:t>
      </w:r>
      <w:r w:rsidRPr="009D1DC9">
        <w:t xml:space="preserve">, R.S.A. 2000, c. L-1, s. 4(2)(e)). </w:t>
      </w:r>
    </w:p>
    <w:p w:rsidR="00A00D29" w:rsidRPr="009D1DC9" w:rsidRDefault="00A00D29" w:rsidP="00621106">
      <w:pPr>
        <w:pStyle w:val="ReasonsNumbering-AltN"/>
        <w:ind w:left="0" w:firstLine="0"/>
      </w:pPr>
      <w:r w:rsidRPr="009D1DC9">
        <w:t xml:space="preserve">Reviewing the consequences of the near-universality of extending bargaining rights to Canadian agricultural workers, the 1992 Task Force concluded that the availability of the right to bargain collectively in these provinces has not “had </w:t>
      </w:r>
      <w:r w:rsidRPr="009D1DC9">
        <w:lastRenderedPageBreak/>
        <w:t>a significant negative impact on farm economics” (</w:t>
      </w:r>
      <w:r w:rsidR="00B75492">
        <w:t xml:space="preserve">First Report, at </w:t>
      </w:r>
      <w:r w:rsidRPr="009D1DC9">
        <w:t xml:space="preserve">p. 3).  This state of national affairs clearly does not preclude the government from offering a s. 1 justification unique to Ontario, but it has not, and perhaps realistically cannot, explain why Ontario’s farming interests are </w:t>
      </w:r>
      <w:r w:rsidRPr="009D1DC9">
        <w:rPr>
          <w:i/>
        </w:rPr>
        <w:t>so</w:t>
      </w:r>
      <w:r w:rsidRPr="009D1DC9">
        <w:t xml:space="preserve"> different as to warrant a complete exclusion rather than less intrusive means of achieving its objectives.   </w:t>
      </w:r>
    </w:p>
    <w:p w:rsidR="00A00D29" w:rsidRPr="009D1DC9" w:rsidRDefault="00A00D29" w:rsidP="00621106">
      <w:pPr>
        <w:pStyle w:val="ReasonsNumbering-AltN"/>
        <w:ind w:left="0" w:firstLine="0"/>
      </w:pPr>
      <w:r w:rsidRPr="009D1DC9">
        <w:t xml:space="preserve">The agricultural sector undoubtedly faces significant economic challenges, but so do many others, in none of which are employees deprived of access to a process of collective bargaining.  </w:t>
      </w:r>
    </w:p>
    <w:p w:rsidR="00A00D29" w:rsidRPr="009D1DC9" w:rsidRDefault="00A00D29" w:rsidP="00621106">
      <w:pPr>
        <w:pStyle w:val="ReasonsNumbering-AltN"/>
        <w:ind w:left="0" w:firstLine="0"/>
      </w:pPr>
      <w:r w:rsidRPr="009D1DC9">
        <w:t>The government has therefore not justified why achieving protection for agricultural viability and production requires so uniquely draconian a restriction on s. 2(</w:t>
      </w:r>
      <w:r w:rsidRPr="009D1DC9">
        <w:rPr>
          <w:i/>
        </w:rPr>
        <w:t>d</w:t>
      </w:r>
      <w:r w:rsidRPr="009D1DC9">
        <w:t xml:space="preserve">) rights.  The limitation is, in fact, like its relationship to protecting family farms, not even remotely tailored to meet the government’s objective in a less intrusive way.  It is, in fact, not tailored at all.  As Winkler C.J.O. concluded: </w:t>
      </w:r>
    </w:p>
    <w:p w:rsidR="00A00D29" w:rsidRPr="009D1DC9" w:rsidRDefault="00A00D29" w:rsidP="00621106">
      <w:pPr>
        <w:pStyle w:val="Citation-AltC"/>
      </w:pPr>
      <w:r w:rsidRPr="009D1DC9">
        <w:t xml:space="preserve">. . . </w:t>
      </w:r>
      <w:proofErr w:type="gramStart"/>
      <w:r w:rsidRPr="009D1DC9">
        <w:t>the</w:t>
      </w:r>
      <w:proofErr w:type="gramEnd"/>
      <w:r w:rsidRPr="009D1DC9">
        <w:t xml:space="preserve"> legislature made no attempt to engage in a line-drawing exercise . . . to tailor a collective bargaining system that recognizes the challenges facing the agricultural sector. [para. 135]</w:t>
      </w:r>
    </w:p>
    <w:p w:rsidR="00A00D29" w:rsidRPr="009D1DC9" w:rsidRDefault="00A00D29" w:rsidP="00621106">
      <w:pPr>
        <w:pStyle w:val="ReasonsNumbering-AltN"/>
        <w:ind w:left="0" w:firstLine="0"/>
      </w:pPr>
      <w:r w:rsidRPr="009D1DC9">
        <w:t xml:space="preserve">On the other hand, it bears repeating that the </w:t>
      </w:r>
      <w:r w:rsidRPr="009D1DC9">
        <w:rPr>
          <w:i/>
        </w:rPr>
        <w:t>AEPA</w:t>
      </w:r>
      <w:r w:rsidRPr="009D1DC9">
        <w:t xml:space="preserve"> was designed before </w:t>
      </w:r>
      <w:r w:rsidRPr="009D1DC9">
        <w:rPr>
          <w:i/>
        </w:rPr>
        <w:t>Health Services</w:t>
      </w:r>
      <w:r w:rsidRPr="009D1DC9">
        <w:t xml:space="preserve"> was decided.  The government could hardly be expected to tailor its legislation in accordance with a bargaining regime it had neither a duty nor an intention to implement at the time.  Nonetheless, the fact is that </w:t>
      </w:r>
      <w:r w:rsidRPr="009D1DC9">
        <w:rPr>
          <w:i/>
        </w:rPr>
        <w:t>Health Services</w:t>
      </w:r>
      <w:r w:rsidRPr="009D1DC9">
        <w:t xml:space="preserve"> intervened and changed the microscope under which the </w:t>
      </w:r>
      <w:r w:rsidRPr="009D1DC9">
        <w:rPr>
          <w:i/>
        </w:rPr>
        <w:t>AEPA</w:t>
      </w:r>
      <w:r w:rsidRPr="009D1DC9">
        <w:t xml:space="preserve"> was scrutinized.  And </w:t>
      </w:r>
      <w:r w:rsidRPr="009D1DC9">
        <w:lastRenderedPageBreak/>
        <w:t xml:space="preserve">under the new lens, the complete absence of any statutory protection for a process of collective bargaining in the </w:t>
      </w:r>
      <w:r w:rsidRPr="009D1DC9">
        <w:rPr>
          <w:i/>
        </w:rPr>
        <w:t>AEPA</w:t>
      </w:r>
      <w:r w:rsidRPr="009D1DC9">
        <w:t xml:space="preserve"> cannot be said to be minimally impairing of the s. 2(</w:t>
      </w:r>
      <w:r w:rsidRPr="009D1DC9">
        <w:rPr>
          <w:i/>
        </w:rPr>
        <w:t>d</w:t>
      </w:r>
      <w:r w:rsidRPr="009D1DC9">
        <w:t>) right.</w:t>
      </w:r>
    </w:p>
    <w:p w:rsidR="00A00D29" w:rsidRPr="009D1DC9" w:rsidRDefault="00A00D29" w:rsidP="00621106">
      <w:pPr>
        <w:pStyle w:val="ReasonsNumbering-AltN"/>
        <w:ind w:left="0" w:firstLine="0"/>
      </w:pPr>
      <w:r w:rsidRPr="009D1DC9">
        <w:t xml:space="preserve">I would therefore dismiss the appeal without costs. </w:t>
      </w:r>
    </w:p>
    <w:p w:rsidR="006A4DC6" w:rsidRPr="00B73BD3" w:rsidRDefault="006A4DC6" w:rsidP="006A4DC6">
      <w:pPr>
        <w:spacing w:after="480" w:line="480" w:lineRule="auto"/>
        <w:ind w:right="-14"/>
        <w:jc w:val="center"/>
        <w:rPr>
          <w:b/>
          <w:lang w:val="en-GB"/>
        </w:rPr>
      </w:pPr>
      <w:r w:rsidRPr="00B73BD3">
        <w:rPr>
          <w:b/>
          <w:lang w:val="en-GB"/>
        </w:rPr>
        <w:t>APPENDIX</w:t>
      </w:r>
    </w:p>
    <w:p w:rsidR="006A4DC6" w:rsidRPr="00B73BD3" w:rsidRDefault="006A4DC6" w:rsidP="006A4DC6">
      <w:pPr>
        <w:spacing w:after="480" w:line="480" w:lineRule="auto"/>
        <w:rPr>
          <w:lang w:val="en-GB"/>
        </w:rPr>
      </w:pPr>
      <w:proofErr w:type="gramStart"/>
      <w:r w:rsidRPr="00B73BD3">
        <w:rPr>
          <w:i/>
          <w:lang w:val="en-GB"/>
        </w:rPr>
        <w:t>Labour Relations Act,</w:t>
      </w:r>
      <w:r w:rsidRPr="00B73BD3">
        <w:rPr>
          <w:lang w:val="en-GB"/>
        </w:rPr>
        <w:t xml:space="preserve"> </w:t>
      </w:r>
      <w:r w:rsidRPr="00B73BD3">
        <w:rPr>
          <w:i/>
          <w:lang w:val="en-GB"/>
        </w:rPr>
        <w:t>1995</w:t>
      </w:r>
      <w:r w:rsidRPr="00B73BD3">
        <w:rPr>
          <w:lang w:val="en-GB"/>
        </w:rPr>
        <w:t>, S.O. 1995, c. 1, Sch.</w:t>
      </w:r>
      <w:proofErr w:type="gramEnd"/>
      <w:r w:rsidRPr="00B73BD3">
        <w:rPr>
          <w:lang w:val="en-GB"/>
        </w:rPr>
        <w:t xml:space="preserve"> A</w:t>
      </w:r>
    </w:p>
    <w:p w:rsidR="006A4DC6" w:rsidRPr="00B73BD3" w:rsidRDefault="006A4DC6" w:rsidP="006A4DC6">
      <w:pPr>
        <w:tabs>
          <w:tab w:val="left" w:pos="1170"/>
          <w:tab w:val="left" w:pos="1800"/>
          <w:tab w:val="left" w:pos="1980"/>
        </w:tabs>
        <w:spacing w:after="240"/>
        <w:ind w:left="1170" w:hanging="1170"/>
        <w:jc w:val="both"/>
        <w:rPr>
          <w:lang w:val="en-GB"/>
        </w:rPr>
      </w:pPr>
      <w:r>
        <w:rPr>
          <w:b/>
          <w:lang w:val="en-GB"/>
        </w:rPr>
        <w:tab/>
      </w:r>
      <w:r>
        <w:rPr>
          <w:b/>
          <w:lang w:val="en-GB"/>
        </w:rPr>
        <w:tab/>
      </w:r>
      <w:r w:rsidRPr="00B73BD3">
        <w:rPr>
          <w:b/>
          <w:lang w:val="en-GB"/>
        </w:rPr>
        <w:t>3.</w:t>
      </w:r>
      <w:r>
        <w:rPr>
          <w:lang w:val="en-GB"/>
        </w:rPr>
        <w:tab/>
      </w:r>
      <w:r w:rsidRPr="00B73BD3">
        <w:rPr>
          <w:lang w:val="en-GB"/>
        </w:rPr>
        <w:t>This Act does not apply,</w:t>
      </w:r>
    </w:p>
    <w:p w:rsidR="006A4DC6" w:rsidRPr="00B73BD3" w:rsidRDefault="006A4DC6" w:rsidP="006A4DC6">
      <w:pPr>
        <w:spacing w:after="240"/>
        <w:ind w:firstLine="720"/>
        <w:jc w:val="center"/>
        <w:rPr>
          <w:lang w:val="en-GB"/>
        </w:rPr>
      </w:pPr>
      <w:r w:rsidRPr="00B73BD3">
        <w:rPr>
          <w:lang w:val="en-GB"/>
        </w:rPr>
        <w:t>.</w:t>
      </w:r>
      <w:r>
        <w:rPr>
          <w:lang w:val="en-GB"/>
        </w:rPr>
        <w:t xml:space="preserve"> </w:t>
      </w:r>
      <w:r w:rsidRPr="00B73BD3">
        <w:rPr>
          <w:lang w:val="en-GB"/>
        </w:rPr>
        <w:t>.</w:t>
      </w:r>
      <w:r>
        <w:rPr>
          <w:lang w:val="en-GB"/>
        </w:rPr>
        <w:t xml:space="preserve"> </w:t>
      </w:r>
      <w:r w:rsidRPr="00B73BD3">
        <w:rPr>
          <w:lang w:val="en-GB"/>
        </w:rPr>
        <w:t>.</w:t>
      </w:r>
    </w:p>
    <w:p w:rsidR="006A4DC6" w:rsidRPr="00B73BD3" w:rsidRDefault="006A4DC6" w:rsidP="009708A3">
      <w:pPr>
        <w:tabs>
          <w:tab w:val="left" w:pos="2250"/>
          <w:tab w:val="left" w:pos="2970"/>
        </w:tabs>
        <w:spacing w:after="720"/>
        <w:ind w:left="2970" w:hanging="2880"/>
        <w:rPr>
          <w:lang w:val="en-GB"/>
        </w:rPr>
      </w:pPr>
      <w:r>
        <w:rPr>
          <w:lang w:val="en-GB"/>
        </w:rPr>
        <w:tab/>
      </w:r>
      <w:r w:rsidRPr="00B73BD3">
        <w:rPr>
          <w:lang w:val="en-GB"/>
        </w:rPr>
        <w:t>(b</w:t>
      </w:r>
      <w:r>
        <w:rPr>
          <w:lang w:val="en-GB"/>
        </w:rPr>
        <w:t>.1)</w:t>
      </w:r>
      <w:r>
        <w:rPr>
          <w:lang w:val="en-GB"/>
        </w:rPr>
        <w:tab/>
      </w:r>
      <w:r w:rsidRPr="00B73BD3">
        <w:rPr>
          <w:lang w:val="en-GB"/>
        </w:rPr>
        <w:t xml:space="preserve">to an employee within the meaning of the </w:t>
      </w:r>
      <w:r w:rsidRPr="00B73BD3">
        <w:rPr>
          <w:i/>
          <w:lang w:val="en-GB"/>
        </w:rPr>
        <w:t>Agricultural Employees Protection Act, 2002</w:t>
      </w:r>
      <w:r w:rsidRPr="00B73BD3">
        <w:rPr>
          <w:lang w:val="en-GB"/>
        </w:rPr>
        <w:t>;</w:t>
      </w:r>
    </w:p>
    <w:p w:rsidR="006A4DC6" w:rsidRPr="00B73BD3" w:rsidRDefault="006A4DC6" w:rsidP="006A4DC6">
      <w:pPr>
        <w:spacing w:after="480" w:line="480" w:lineRule="auto"/>
        <w:rPr>
          <w:lang w:val="en-GB"/>
        </w:rPr>
      </w:pPr>
      <w:r w:rsidRPr="00B73BD3">
        <w:rPr>
          <w:i/>
          <w:lang w:val="en-GB"/>
        </w:rPr>
        <w:t>Agricultural Employees Protection Act, 2002</w:t>
      </w:r>
      <w:r w:rsidRPr="00B73BD3">
        <w:rPr>
          <w:lang w:val="en-GB"/>
        </w:rPr>
        <w:t>, S.O. 2002, c. 16</w:t>
      </w:r>
    </w:p>
    <w:p w:rsidR="006A4DC6" w:rsidRPr="00B73BD3" w:rsidRDefault="006A4DC6" w:rsidP="006A4DC6">
      <w:pPr>
        <w:tabs>
          <w:tab w:val="left" w:pos="1170"/>
          <w:tab w:val="left" w:pos="1800"/>
          <w:tab w:val="left" w:pos="1980"/>
        </w:tabs>
        <w:spacing w:after="240"/>
        <w:ind w:left="1170" w:hanging="1170"/>
        <w:jc w:val="both"/>
        <w:rPr>
          <w:lang w:val="en-GB"/>
        </w:rPr>
      </w:pPr>
      <w:r w:rsidRPr="00B73BD3">
        <w:rPr>
          <w:lang w:val="en-GB"/>
        </w:rPr>
        <w:tab/>
      </w:r>
      <w:r>
        <w:rPr>
          <w:lang w:val="en-GB"/>
        </w:rPr>
        <w:tab/>
      </w:r>
      <w:r w:rsidRPr="00B73BD3">
        <w:rPr>
          <w:b/>
          <w:lang w:val="en-GB"/>
        </w:rPr>
        <w:t>1.</w:t>
      </w:r>
      <w:r>
        <w:rPr>
          <w:b/>
          <w:lang w:val="en-GB"/>
        </w:rPr>
        <w:t xml:space="preserve"> </w:t>
      </w:r>
      <w:r w:rsidRPr="00B73BD3">
        <w:rPr>
          <w:lang w:val="en-GB"/>
        </w:rPr>
        <w:t>(1)</w:t>
      </w:r>
      <w:r>
        <w:rPr>
          <w:lang w:val="en-GB"/>
        </w:rPr>
        <w:t xml:space="preserve"> </w:t>
      </w:r>
      <w:r w:rsidRPr="00B73BD3">
        <w:rPr>
          <w:lang w:val="en-GB"/>
        </w:rPr>
        <w:t xml:space="preserve">The purpose of this Act is to protect the rights of agricultural employees while having regard to the unique characteristics of agriculture, including, but not limited to, its seasonal nature, its sensitivity to time and climate, the </w:t>
      </w:r>
      <w:proofErr w:type="spellStart"/>
      <w:r w:rsidRPr="00B73BD3">
        <w:rPr>
          <w:lang w:val="en-GB"/>
        </w:rPr>
        <w:t>perishability</w:t>
      </w:r>
      <w:proofErr w:type="spellEnd"/>
      <w:r w:rsidRPr="00B73BD3">
        <w:rPr>
          <w:lang w:val="en-GB"/>
        </w:rPr>
        <w:t xml:space="preserve"> of agricultural products and the need to protect animal and plant life.</w:t>
      </w:r>
    </w:p>
    <w:p w:rsidR="006A4DC6" w:rsidRPr="00B73BD3" w:rsidRDefault="006A4DC6" w:rsidP="006A4DC6">
      <w:pPr>
        <w:tabs>
          <w:tab w:val="left" w:pos="1170"/>
          <w:tab w:val="left" w:pos="1800"/>
          <w:tab w:val="left" w:pos="2250"/>
        </w:tabs>
        <w:spacing w:after="240"/>
        <w:ind w:left="1170" w:hanging="1170"/>
        <w:jc w:val="both"/>
        <w:rPr>
          <w:lang w:val="en-GB"/>
        </w:rPr>
      </w:pPr>
      <w:r>
        <w:rPr>
          <w:lang w:val="en-GB"/>
        </w:rPr>
        <w:tab/>
      </w:r>
      <w:r w:rsidRPr="00B73BD3">
        <w:rPr>
          <w:lang w:val="en-GB"/>
        </w:rPr>
        <w:tab/>
        <w:t>(2)</w:t>
      </w:r>
      <w:r>
        <w:rPr>
          <w:lang w:val="en-GB"/>
        </w:rPr>
        <w:tab/>
      </w:r>
      <w:r w:rsidRPr="00B73BD3">
        <w:rPr>
          <w:lang w:val="en-GB"/>
        </w:rPr>
        <w:t>The following are the rights of agricultural employees referred to in subsection (1):</w:t>
      </w:r>
    </w:p>
    <w:p w:rsidR="006A4DC6" w:rsidRPr="00B73BD3" w:rsidRDefault="006A4DC6" w:rsidP="006A4DC6">
      <w:pPr>
        <w:tabs>
          <w:tab w:val="left" w:pos="1800"/>
          <w:tab w:val="left" w:pos="2250"/>
        </w:tabs>
        <w:spacing w:after="240"/>
        <w:ind w:left="2250" w:hanging="2070"/>
        <w:rPr>
          <w:lang w:val="en-GB"/>
        </w:rPr>
      </w:pPr>
      <w:r>
        <w:rPr>
          <w:lang w:val="en-GB"/>
        </w:rPr>
        <w:tab/>
      </w:r>
      <w:r w:rsidRPr="00B73BD3">
        <w:rPr>
          <w:lang w:val="en-GB"/>
        </w:rPr>
        <w:t>1.</w:t>
      </w:r>
      <w:r w:rsidRPr="00B73BD3">
        <w:rPr>
          <w:lang w:val="en-GB"/>
        </w:rPr>
        <w:tab/>
        <w:t>The right to form or join an employees’ association.</w:t>
      </w:r>
    </w:p>
    <w:p w:rsidR="006A4DC6" w:rsidRPr="00B73BD3" w:rsidRDefault="006A4DC6" w:rsidP="006A4DC6">
      <w:pPr>
        <w:tabs>
          <w:tab w:val="left" w:pos="1800"/>
          <w:tab w:val="left" w:pos="2250"/>
        </w:tabs>
        <w:spacing w:after="240"/>
        <w:ind w:left="2250" w:hanging="2070"/>
        <w:rPr>
          <w:lang w:val="en-GB"/>
        </w:rPr>
      </w:pPr>
      <w:r>
        <w:rPr>
          <w:lang w:val="en-GB"/>
        </w:rPr>
        <w:tab/>
      </w:r>
      <w:r w:rsidRPr="00B73BD3">
        <w:rPr>
          <w:lang w:val="en-GB"/>
        </w:rPr>
        <w:t>2.</w:t>
      </w:r>
      <w:r w:rsidRPr="00B73BD3">
        <w:rPr>
          <w:lang w:val="en-GB"/>
        </w:rPr>
        <w:tab/>
        <w:t>The right to participate in the lawful activities of an employees’ association.</w:t>
      </w:r>
    </w:p>
    <w:p w:rsidR="006A4DC6" w:rsidRPr="00B73BD3" w:rsidRDefault="006A4DC6" w:rsidP="006A4DC6">
      <w:pPr>
        <w:tabs>
          <w:tab w:val="left" w:pos="1800"/>
          <w:tab w:val="left" w:pos="2250"/>
        </w:tabs>
        <w:spacing w:after="240"/>
        <w:ind w:left="2250" w:hanging="2070"/>
        <w:rPr>
          <w:lang w:val="en-GB"/>
        </w:rPr>
      </w:pPr>
      <w:r>
        <w:rPr>
          <w:lang w:val="en-GB"/>
        </w:rPr>
        <w:tab/>
      </w:r>
      <w:r w:rsidRPr="00B73BD3">
        <w:rPr>
          <w:lang w:val="en-GB"/>
        </w:rPr>
        <w:t>3.</w:t>
      </w:r>
      <w:r w:rsidRPr="00B73BD3">
        <w:rPr>
          <w:lang w:val="en-GB"/>
        </w:rPr>
        <w:tab/>
        <w:t>The right to assemble.</w:t>
      </w:r>
    </w:p>
    <w:p w:rsidR="006A4DC6" w:rsidRPr="00B73BD3" w:rsidRDefault="006A4DC6" w:rsidP="006A4DC6">
      <w:pPr>
        <w:tabs>
          <w:tab w:val="left" w:pos="1800"/>
          <w:tab w:val="left" w:pos="2250"/>
        </w:tabs>
        <w:spacing w:after="240"/>
        <w:ind w:left="2250" w:hanging="2070"/>
        <w:rPr>
          <w:lang w:val="en-GB"/>
        </w:rPr>
      </w:pPr>
      <w:r>
        <w:rPr>
          <w:lang w:val="en-GB"/>
        </w:rPr>
        <w:lastRenderedPageBreak/>
        <w:tab/>
      </w:r>
      <w:r w:rsidRPr="00B73BD3">
        <w:rPr>
          <w:lang w:val="en-GB"/>
        </w:rPr>
        <w:t>4.</w:t>
      </w:r>
      <w:r w:rsidRPr="00B73BD3">
        <w:rPr>
          <w:lang w:val="en-GB"/>
        </w:rPr>
        <w:tab/>
        <w:t>The right to make representations to their employers, through an employees’ association, respecting the terms and conditions of their employment.</w:t>
      </w:r>
    </w:p>
    <w:p w:rsidR="006A4DC6" w:rsidRPr="00B73BD3" w:rsidRDefault="006A4DC6" w:rsidP="006A4DC6">
      <w:pPr>
        <w:tabs>
          <w:tab w:val="left" w:pos="1800"/>
          <w:tab w:val="left" w:pos="2250"/>
        </w:tabs>
        <w:spacing w:after="240"/>
        <w:ind w:left="2250" w:hanging="2070"/>
        <w:rPr>
          <w:lang w:val="en-GB"/>
        </w:rPr>
      </w:pPr>
      <w:r>
        <w:rPr>
          <w:lang w:val="en-GB"/>
        </w:rPr>
        <w:tab/>
      </w:r>
      <w:r w:rsidRPr="00B73BD3">
        <w:rPr>
          <w:lang w:val="en-GB"/>
        </w:rPr>
        <w:t>5.</w:t>
      </w:r>
      <w:r w:rsidRPr="00B73BD3">
        <w:rPr>
          <w:lang w:val="en-GB"/>
        </w:rPr>
        <w:tab/>
        <w:t>The right to protection against interference, coercion and discrimination in the exercise of their rights.</w:t>
      </w:r>
    </w:p>
    <w:p w:rsidR="006A4DC6" w:rsidRPr="00B73BD3" w:rsidRDefault="006A4DC6" w:rsidP="006A4DC6">
      <w:pPr>
        <w:tabs>
          <w:tab w:val="left" w:pos="1170"/>
          <w:tab w:val="left" w:pos="1800"/>
          <w:tab w:val="left" w:pos="1980"/>
        </w:tabs>
        <w:spacing w:after="240"/>
        <w:ind w:left="1170" w:hanging="1170"/>
        <w:jc w:val="both"/>
        <w:rPr>
          <w:lang w:val="en-GB"/>
        </w:rPr>
      </w:pPr>
      <w:r w:rsidRPr="00B73BD3">
        <w:rPr>
          <w:lang w:val="en-GB"/>
        </w:rPr>
        <w:tab/>
      </w:r>
      <w:r>
        <w:rPr>
          <w:lang w:val="en-GB"/>
        </w:rPr>
        <w:tab/>
      </w:r>
      <w:r w:rsidRPr="00B73BD3">
        <w:rPr>
          <w:b/>
          <w:lang w:val="en-GB"/>
        </w:rPr>
        <w:t>2.</w:t>
      </w:r>
      <w:r>
        <w:rPr>
          <w:b/>
          <w:lang w:val="en-GB"/>
        </w:rPr>
        <w:t xml:space="preserve"> </w:t>
      </w:r>
      <w:r w:rsidRPr="00B73BD3">
        <w:rPr>
          <w:lang w:val="en-GB"/>
        </w:rPr>
        <w:t>(1)</w:t>
      </w:r>
      <w:r>
        <w:rPr>
          <w:lang w:val="en-GB"/>
        </w:rPr>
        <w:t xml:space="preserve"> </w:t>
      </w:r>
      <w:r w:rsidRPr="00B73BD3">
        <w:rPr>
          <w:lang w:val="en-GB"/>
        </w:rPr>
        <w:t>In this Act,</w:t>
      </w:r>
    </w:p>
    <w:p w:rsidR="006A4DC6" w:rsidRPr="00B73BD3" w:rsidRDefault="006A4DC6" w:rsidP="006A4DC6">
      <w:pPr>
        <w:tabs>
          <w:tab w:val="left" w:pos="720"/>
        </w:tabs>
        <w:spacing w:after="240"/>
        <w:jc w:val="center"/>
        <w:rPr>
          <w:lang w:val="en-GB"/>
        </w:rPr>
      </w:pPr>
      <w:r w:rsidRPr="00B73BD3">
        <w:rPr>
          <w:lang w:val="en-GB"/>
        </w:rPr>
        <w:t>.</w:t>
      </w:r>
      <w:r>
        <w:rPr>
          <w:lang w:val="en-GB"/>
        </w:rPr>
        <w:t xml:space="preserve"> </w:t>
      </w:r>
      <w:r w:rsidRPr="00B73BD3">
        <w:rPr>
          <w:lang w:val="en-GB"/>
        </w:rPr>
        <w:t>.</w:t>
      </w:r>
      <w:r>
        <w:rPr>
          <w:lang w:val="en-GB"/>
        </w:rPr>
        <w:t xml:space="preserve"> </w:t>
      </w:r>
      <w:r w:rsidRPr="00B73BD3">
        <w:rPr>
          <w:lang w:val="en-GB"/>
        </w:rPr>
        <w:t>.</w:t>
      </w:r>
    </w:p>
    <w:p w:rsidR="006A4DC6" w:rsidRPr="00B73BD3" w:rsidRDefault="006A4DC6" w:rsidP="006A4DC6">
      <w:pPr>
        <w:tabs>
          <w:tab w:val="left" w:pos="1170"/>
        </w:tabs>
        <w:spacing w:after="240"/>
        <w:ind w:left="1710" w:hanging="1710"/>
        <w:jc w:val="both"/>
        <w:rPr>
          <w:lang w:val="en-GB"/>
        </w:rPr>
      </w:pPr>
      <w:r>
        <w:rPr>
          <w:lang w:val="en-GB"/>
        </w:rPr>
        <w:tab/>
      </w:r>
      <w:r w:rsidRPr="00B73BD3">
        <w:rPr>
          <w:lang w:val="en-GB"/>
        </w:rPr>
        <w:t>“</w:t>
      </w:r>
      <w:proofErr w:type="gramStart"/>
      <w:r w:rsidRPr="00B73BD3">
        <w:rPr>
          <w:lang w:val="en-GB"/>
        </w:rPr>
        <w:t>employees</w:t>
      </w:r>
      <w:proofErr w:type="gramEnd"/>
      <w:r w:rsidRPr="00B73BD3">
        <w:rPr>
          <w:lang w:val="en-GB"/>
        </w:rPr>
        <w:t>’ association” means an association of employees formed for the purpose of acting in concert;</w:t>
      </w:r>
    </w:p>
    <w:p w:rsidR="006A4DC6" w:rsidRPr="00B73BD3" w:rsidRDefault="006A4DC6" w:rsidP="006A4DC6">
      <w:pPr>
        <w:tabs>
          <w:tab w:val="left" w:pos="720"/>
        </w:tabs>
        <w:spacing w:after="240"/>
        <w:jc w:val="center"/>
        <w:rPr>
          <w:lang w:val="en-GB"/>
        </w:rPr>
      </w:pPr>
      <w:r w:rsidRPr="00B73BD3">
        <w:rPr>
          <w:lang w:val="en-GB"/>
        </w:rPr>
        <w:t>.</w:t>
      </w:r>
      <w:r>
        <w:rPr>
          <w:lang w:val="en-GB"/>
        </w:rPr>
        <w:t xml:space="preserve"> </w:t>
      </w:r>
      <w:r w:rsidRPr="00B73BD3">
        <w:rPr>
          <w:lang w:val="en-GB"/>
        </w:rPr>
        <w:t>.</w:t>
      </w:r>
      <w:r>
        <w:rPr>
          <w:lang w:val="en-GB"/>
        </w:rPr>
        <w:t xml:space="preserve"> </w:t>
      </w:r>
      <w:r w:rsidRPr="00B73BD3">
        <w:rPr>
          <w:lang w:val="en-GB"/>
        </w:rPr>
        <w:t>.</w:t>
      </w:r>
    </w:p>
    <w:p w:rsidR="006A4DC6" w:rsidRPr="00B73BD3" w:rsidRDefault="006A4DC6" w:rsidP="006A4DC6">
      <w:pPr>
        <w:tabs>
          <w:tab w:val="left" w:pos="1170"/>
          <w:tab w:val="left" w:pos="1800"/>
          <w:tab w:val="left" w:pos="1980"/>
        </w:tabs>
        <w:spacing w:after="240"/>
        <w:ind w:left="1170" w:hanging="1170"/>
        <w:jc w:val="both"/>
        <w:rPr>
          <w:lang w:val="en-GB"/>
        </w:rPr>
      </w:pPr>
      <w:r w:rsidRPr="00B73BD3">
        <w:rPr>
          <w:lang w:val="en-GB"/>
        </w:rPr>
        <w:tab/>
      </w:r>
      <w:r>
        <w:rPr>
          <w:lang w:val="en-GB"/>
        </w:rPr>
        <w:tab/>
      </w:r>
      <w:r w:rsidRPr="00B73BD3">
        <w:rPr>
          <w:b/>
          <w:lang w:val="en-GB"/>
        </w:rPr>
        <w:t>5.</w:t>
      </w:r>
      <w:r>
        <w:rPr>
          <w:b/>
          <w:lang w:val="en-GB"/>
        </w:rPr>
        <w:t xml:space="preserve"> </w:t>
      </w:r>
      <w:r>
        <w:rPr>
          <w:lang w:val="en-GB"/>
        </w:rPr>
        <w:t xml:space="preserve">(1) </w:t>
      </w:r>
      <w:r w:rsidRPr="00B73BD3">
        <w:rPr>
          <w:lang w:val="en-GB"/>
        </w:rPr>
        <w:t>The employer shall give an employees’ association a reasonable opportunity to make representations respecting the terms and conditions of employment of one or more of its members who are employed by that employer.</w:t>
      </w:r>
    </w:p>
    <w:p w:rsidR="006A4DC6" w:rsidRPr="00B73BD3" w:rsidRDefault="006A4DC6" w:rsidP="006A4DC6">
      <w:pPr>
        <w:tabs>
          <w:tab w:val="left" w:pos="1170"/>
          <w:tab w:val="left" w:pos="1800"/>
          <w:tab w:val="left" w:pos="2250"/>
        </w:tabs>
        <w:spacing w:after="240"/>
        <w:ind w:left="1170" w:hanging="1170"/>
        <w:jc w:val="both"/>
        <w:rPr>
          <w:lang w:val="en-GB"/>
        </w:rPr>
      </w:pPr>
      <w:r w:rsidRPr="00B73BD3">
        <w:rPr>
          <w:lang w:val="en-GB"/>
        </w:rPr>
        <w:tab/>
      </w:r>
      <w:r>
        <w:rPr>
          <w:lang w:val="en-GB"/>
        </w:rPr>
        <w:tab/>
      </w:r>
      <w:r w:rsidRPr="00B73BD3">
        <w:rPr>
          <w:lang w:val="en-GB"/>
        </w:rPr>
        <w:t>(2)</w:t>
      </w:r>
      <w:r>
        <w:rPr>
          <w:lang w:val="en-GB"/>
        </w:rPr>
        <w:tab/>
      </w:r>
      <w:r w:rsidRPr="00B73BD3">
        <w:rPr>
          <w:lang w:val="en-GB"/>
        </w:rPr>
        <w:t>For greater certainty, an employees’ association may make its representations through a person who is not a member of the association.</w:t>
      </w:r>
    </w:p>
    <w:p w:rsidR="006A4DC6" w:rsidRPr="00B73BD3" w:rsidRDefault="006A4DC6" w:rsidP="006A4DC6">
      <w:pPr>
        <w:tabs>
          <w:tab w:val="left" w:pos="1170"/>
          <w:tab w:val="left" w:pos="1800"/>
          <w:tab w:val="left" w:pos="2250"/>
        </w:tabs>
        <w:spacing w:after="240"/>
        <w:ind w:left="1170" w:hanging="1170"/>
        <w:jc w:val="both"/>
        <w:rPr>
          <w:lang w:val="en-GB"/>
        </w:rPr>
      </w:pPr>
      <w:r>
        <w:rPr>
          <w:lang w:val="en-GB"/>
        </w:rPr>
        <w:tab/>
      </w:r>
      <w:r w:rsidRPr="00B73BD3">
        <w:rPr>
          <w:lang w:val="en-GB"/>
        </w:rPr>
        <w:tab/>
        <w:t>(3)</w:t>
      </w:r>
      <w:r>
        <w:rPr>
          <w:lang w:val="en-GB"/>
        </w:rPr>
        <w:tab/>
      </w:r>
      <w:r w:rsidRPr="00B73BD3">
        <w:rPr>
          <w:lang w:val="en-GB"/>
        </w:rPr>
        <w:t>For the purposes of subsection (1), the following considerations are relevant to the determination of whether a reasonable opportunity has been given:</w:t>
      </w:r>
    </w:p>
    <w:p w:rsidR="006A4DC6" w:rsidRPr="00B73BD3" w:rsidRDefault="006A4DC6" w:rsidP="006A4DC6">
      <w:pPr>
        <w:tabs>
          <w:tab w:val="left" w:pos="1800"/>
          <w:tab w:val="left" w:pos="2250"/>
        </w:tabs>
        <w:spacing w:after="240"/>
        <w:ind w:left="2250" w:hanging="2070"/>
        <w:rPr>
          <w:lang w:val="en-GB"/>
        </w:rPr>
      </w:pPr>
      <w:r>
        <w:rPr>
          <w:lang w:val="en-GB"/>
        </w:rPr>
        <w:tab/>
      </w:r>
      <w:r w:rsidRPr="00B73BD3">
        <w:rPr>
          <w:lang w:val="en-GB"/>
        </w:rPr>
        <w:t>1.</w:t>
      </w:r>
      <w:r w:rsidRPr="00B73BD3">
        <w:rPr>
          <w:lang w:val="en-GB"/>
        </w:rPr>
        <w:tab/>
        <w:t>The timing of the representations relative to planting and harvesting times.</w:t>
      </w:r>
    </w:p>
    <w:p w:rsidR="006A4DC6" w:rsidRPr="00B73BD3" w:rsidRDefault="006A4DC6" w:rsidP="006A4DC6">
      <w:pPr>
        <w:tabs>
          <w:tab w:val="left" w:pos="1800"/>
          <w:tab w:val="left" w:pos="2250"/>
        </w:tabs>
        <w:spacing w:after="240"/>
        <w:ind w:left="2250" w:hanging="2070"/>
        <w:rPr>
          <w:lang w:val="en-GB"/>
        </w:rPr>
      </w:pPr>
      <w:r>
        <w:rPr>
          <w:lang w:val="en-GB"/>
        </w:rPr>
        <w:tab/>
      </w:r>
      <w:r w:rsidRPr="00B73BD3">
        <w:rPr>
          <w:lang w:val="en-GB"/>
        </w:rPr>
        <w:t>2.</w:t>
      </w:r>
      <w:r w:rsidRPr="00B73BD3">
        <w:rPr>
          <w:lang w:val="en-GB"/>
        </w:rPr>
        <w:tab/>
        <w:t>The timing of the representations relative to concerns that may arise in running an agricultural operation, including, but not limited to, weather, animal health and safety and plant health.</w:t>
      </w:r>
    </w:p>
    <w:p w:rsidR="006A4DC6" w:rsidRPr="00B73BD3" w:rsidRDefault="006A4DC6" w:rsidP="006A4DC6">
      <w:pPr>
        <w:tabs>
          <w:tab w:val="left" w:pos="1800"/>
          <w:tab w:val="left" w:pos="2250"/>
        </w:tabs>
        <w:spacing w:after="240"/>
        <w:ind w:left="2250" w:hanging="2070"/>
        <w:rPr>
          <w:lang w:val="en-GB"/>
        </w:rPr>
      </w:pPr>
      <w:r>
        <w:rPr>
          <w:lang w:val="en-GB"/>
        </w:rPr>
        <w:tab/>
      </w:r>
      <w:r w:rsidRPr="00B73BD3">
        <w:rPr>
          <w:lang w:val="en-GB"/>
        </w:rPr>
        <w:t>3.</w:t>
      </w:r>
      <w:r w:rsidRPr="00B73BD3">
        <w:rPr>
          <w:lang w:val="en-GB"/>
        </w:rPr>
        <w:tab/>
        <w:t>Frequency and repetitiveness of the representations.</w:t>
      </w:r>
    </w:p>
    <w:p w:rsidR="006A4DC6" w:rsidRPr="00B73BD3" w:rsidRDefault="006A4DC6" w:rsidP="006A4DC6">
      <w:pPr>
        <w:tabs>
          <w:tab w:val="left" w:pos="1170"/>
          <w:tab w:val="left" w:pos="1800"/>
          <w:tab w:val="left" w:pos="2250"/>
        </w:tabs>
        <w:spacing w:after="240"/>
        <w:ind w:left="1170" w:hanging="1170"/>
        <w:jc w:val="both"/>
        <w:rPr>
          <w:lang w:val="en-GB"/>
        </w:rPr>
      </w:pPr>
      <w:r w:rsidRPr="00B73BD3">
        <w:rPr>
          <w:lang w:val="en-GB"/>
        </w:rPr>
        <w:tab/>
      </w:r>
      <w:r>
        <w:rPr>
          <w:lang w:val="en-GB"/>
        </w:rPr>
        <w:tab/>
        <w:t>(4)</w:t>
      </w:r>
      <w:r>
        <w:rPr>
          <w:lang w:val="en-GB"/>
        </w:rPr>
        <w:tab/>
      </w:r>
      <w:r w:rsidRPr="00B73BD3">
        <w:rPr>
          <w:lang w:val="en-GB"/>
        </w:rPr>
        <w:t>Subsection (3) shall not be interpreted as setting out a complete list of relevant considerations.</w:t>
      </w:r>
    </w:p>
    <w:p w:rsidR="006A4DC6" w:rsidRPr="00B73BD3" w:rsidRDefault="006A4DC6" w:rsidP="006A4DC6">
      <w:pPr>
        <w:tabs>
          <w:tab w:val="left" w:pos="1170"/>
          <w:tab w:val="left" w:pos="1800"/>
          <w:tab w:val="left" w:pos="2250"/>
        </w:tabs>
        <w:spacing w:after="240"/>
        <w:ind w:left="1170" w:hanging="1170"/>
        <w:jc w:val="both"/>
        <w:rPr>
          <w:lang w:val="en-GB"/>
        </w:rPr>
      </w:pPr>
      <w:r>
        <w:rPr>
          <w:lang w:val="en-GB"/>
        </w:rPr>
        <w:tab/>
      </w:r>
      <w:r>
        <w:rPr>
          <w:lang w:val="en-GB"/>
        </w:rPr>
        <w:tab/>
        <w:t>(5)</w:t>
      </w:r>
      <w:r>
        <w:rPr>
          <w:lang w:val="en-GB"/>
        </w:rPr>
        <w:tab/>
      </w:r>
      <w:r w:rsidRPr="00B73BD3">
        <w:rPr>
          <w:lang w:val="en-GB"/>
        </w:rPr>
        <w:t>The employees’ association may make the representations orally or in writing.</w:t>
      </w:r>
    </w:p>
    <w:p w:rsidR="006A4DC6" w:rsidRPr="00B73BD3" w:rsidRDefault="006A4DC6" w:rsidP="006A4DC6">
      <w:pPr>
        <w:tabs>
          <w:tab w:val="left" w:pos="1170"/>
          <w:tab w:val="left" w:pos="1800"/>
          <w:tab w:val="left" w:pos="2250"/>
        </w:tabs>
        <w:spacing w:after="240"/>
        <w:ind w:left="1170" w:hanging="1170"/>
        <w:jc w:val="both"/>
        <w:rPr>
          <w:lang w:val="en-GB"/>
        </w:rPr>
      </w:pPr>
      <w:r>
        <w:rPr>
          <w:lang w:val="en-GB"/>
        </w:rPr>
        <w:tab/>
      </w:r>
      <w:r>
        <w:rPr>
          <w:lang w:val="en-GB"/>
        </w:rPr>
        <w:tab/>
        <w:t>(6)</w:t>
      </w:r>
      <w:r>
        <w:rPr>
          <w:lang w:val="en-GB"/>
        </w:rPr>
        <w:tab/>
      </w:r>
      <w:r w:rsidRPr="00B73BD3">
        <w:rPr>
          <w:lang w:val="en-GB"/>
        </w:rPr>
        <w:t>The employer shall listen to the representations if made orally, or read them if made in writing.</w:t>
      </w:r>
    </w:p>
    <w:p w:rsidR="006A4DC6" w:rsidRPr="00B73BD3" w:rsidRDefault="006A4DC6" w:rsidP="006A4DC6">
      <w:pPr>
        <w:tabs>
          <w:tab w:val="left" w:pos="1170"/>
          <w:tab w:val="left" w:pos="1800"/>
          <w:tab w:val="left" w:pos="2250"/>
        </w:tabs>
        <w:spacing w:after="240"/>
        <w:ind w:left="1170" w:hanging="1170"/>
        <w:jc w:val="both"/>
        <w:rPr>
          <w:lang w:val="en-GB"/>
        </w:rPr>
      </w:pPr>
      <w:r>
        <w:rPr>
          <w:lang w:val="en-GB"/>
        </w:rPr>
        <w:lastRenderedPageBreak/>
        <w:tab/>
      </w:r>
      <w:r w:rsidRPr="00B73BD3">
        <w:rPr>
          <w:lang w:val="en-GB"/>
        </w:rPr>
        <w:tab/>
        <w:t>(7) If the representations are made in writing, the employer shall give the association a written acknowledgment that the employer has read them.</w:t>
      </w:r>
    </w:p>
    <w:p w:rsidR="006A4DC6" w:rsidRPr="00B73BD3" w:rsidRDefault="006A4DC6" w:rsidP="006A4DC6">
      <w:pPr>
        <w:tabs>
          <w:tab w:val="left" w:pos="360"/>
        </w:tabs>
        <w:spacing w:after="480"/>
        <w:jc w:val="center"/>
        <w:rPr>
          <w:lang w:val="en-GB"/>
        </w:rPr>
      </w:pPr>
      <w:r>
        <w:rPr>
          <w:lang w:val="en-GB"/>
        </w:rPr>
        <w:t>. . .</w:t>
      </w:r>
    </w:p>
    <w:p w:rsidR="006A4DC6" w:rsidRPr="00B73BD3" w:rsidRDefault="006A4DC6" w:rsidP="006A4DC6">
      <w:pPr>
        <w:tabs>
          <w:tab w:val="left" w:pos="1170"/>
          <w:tab w:val="left" w:pos="1800"/>
          <w:tab w:val="left" w:pos="2250"/>
        </w:tabs>
        <w:spacing w:after="240"/>
        <w:ind w:left="1170" w:hanging="1170"/>
        <w:jc w:val="both"/>
        <w:rPr>
          <w:lang w:val="en-GB"/>
        </w:rPr>
      </w:pPr>
      <w:r>
        <w:rPr>
          <w:b/>
          <w:lang w:val="en-GB"/>
        </w:rPr>
        <w:tab/>
      </w:r>
      <w:r>
        <w:rPr>
          <w:b/>
          <w:lang w:val="en-GB"/>
        </w:rPr>
        <w:tab/>
      </w:r>
      <w:r w:rsidRPr="00B73BD3">
        <w:rPr>
          <w:b/>
          <w:lang w:val="en-GB"/>
        </w:rPr>
        <w:t>8.</w:t>
      </w:r>
      <w:r>
        <w:rPr>
          <w:b/>
          <w:lang w:val="en-GB"/>
        </w:rPr>
        <w:tab/>
      </w:r>
      <w:r w:rsidRPr="00B73BD3">
        <w:rPr>
          <w:lang w:val="en-GB"/>
        </w:rPr>
        <w:t>No employer, employers’ organization or person acting on behalf of an employer or an employers’ organization shall interfere with the formation, selection or administration of an employees’ association, the representation of employees by an employees’ association or the lawful activities of an employees’ association, but nothing in this section shall be deemed to deprive an employer of the employer’s freedom to express views so long as the employer does not use coercion, intimidation, threats, promises or undue influence.</w:t>
      </w:r>
    </w:p>
    <w:p w:rsidR="006A4DC6" w:rsidRPr="00B73BD3" w:rsidRDefault="006A4DC6" w:rsidP="006A4DC6">
      <w:pPr>
        <w:tabs>
          <w:tab w:val="left" w:pos="1170"/>
          <w:tab w:val="left" w:pos="1800"/>
          <w:tab w:val="left" w:pos="2250"/>
        </w:tabs>
        <w:spacing w:after="240"/>
        <w:ind w:left="1170" w:hanging="1170"/>
        <w:jc w:val="both"/>
        <w:rPr>
          <w:lang w:val="en-GB"/>
        </w:rPr>
      </w:pPr>
      <w:r>
        <w:rPr>
          <w:b/>
          <w:lang w:val="en-GB"/>
        </w:rPr>
        <w:tab/>
      </w:r>
      <w:r>
        <w:rPr>
          <w:b/>
          <w:lang w:val="en-GB"/>
        </w:rPr>
        <w:tab/>
      </w:r>
      <w:r w:rsidRPr="00B73BD3">
        <w:rPr>
          <w:b/>
          <w:lang w:val="en-GB"/>
        </w:rPr>
        <w:t>9.</w:t>
      </w:r>
      <w:r>
        <w:rPr>
          <w:lang w:val="en-GB"/>
        </w:rPr>
        <w:tab/>
      </w:r>
      <w:r w:rsidRPr="00B73BD3">
        <w:rPr>
          <w:lang w:val="en-GB"/>
        </w:rPr>
        <w:t>No employer, employers’ organization or person acting on behalf of an employer or an employers’ organization,</w:t>
      </w:r>
    </w:p>
    <w:p w:rsidR="006A4DC6" w:rsidRPr="00B73BD3" w:rsidRDefault="006A4DC6" w:rsidP="006A4DC6">
      <w:pPr>
        <w:tabs>
          <w:tab w:val="left" w:pos="1800"/>
          <w:tab w:val="left" w:pos="2250"/>
        </w:tabs>
        <w:spacing w:after="240"/>
        <w:ind w:left="2250" w:hanging="2250"/>
        <w:jc w:val="both"/>
        <w:rPr>
          <w:lang w:val="en-GB"/>
        </w:rPr>
      </w:pPr>
      <w:r>
        <w:rPr>
          <w:lang w:val="en-GB"/>
        </w:rPr>
        <w:tab/>
      </w:r>
      <w:r w:rsidRPr="00B73BD3">
        <w:rPr>
          <w:lang w:val="en-GB"/>
        </w:rPr>
        <w:t>(a)</w:t>
      </w:r>
      <w:r>
        <w:rPr>
          <w:lang w:val="en-GB"/>
        </w:rPr>
        <w:tab/>
      </w:r>
      <w:proofErr w:type="gramStart"/>
      <w:r w:rsidRPr="00B73BD3">
        <w:rPr>
          <w:lang w:val="en-GB"/>
        </w:rPr>
        <w:t>shall</w:t>
      </w:r>
      <w:proofErr w:type="gramEnd"/>
      <w:r w:rsidRPr="00B73BD3">
        <w:rPr>
          <w:lang w:val="en-GB"/>
        </w:rPr>
        <w:t xml:space="preserve"> refuse to employ or to continue to employ a person, or discriminate against a person in regard to employment or any term or condition of employment because the person was or is a member of an employees’ association or was or is exercising any other right under this Act;</w:t>
      </w:r>
    </w:p>
    <w:p w:rsidR="006A4DC6" w:rsidRPr="00B73BD3" w:rsidRDefault="006A4DC6" w:rsidP="006A4DC6">
      <w:pPr>
        <w:tabs>
          <w:tab w:val="left" w:pos="1800"/>
          <w:tab w:val="left" w:pos="2250"/>
        </w:tabs>
        <w:spacing w:after="240"/>
        <w:ind w:left="2250" w:hanging="2250"/>
        <w:jc w:val="both"/>
        <w:rPr>
          <w:lang w:val="en-GB"/>
        </w:rPr>
      </w:pPr>
      <w:r>
        <w:rPr>
          <w:lang w:val="en-GB"/>
        </w:rPr>
        <w:tab/>
      </w:r>
      <w:r w:rsidRPr="00B73BD3">
        <w:rPr>
          <w:lang w:val="en-GB"/>
        </w:rPr>
        <w:t>(b)</w:t>
      </w:r>
      <w:r>
        <w:rPr>
          <w:lang w:val="en-GB"/>
        </w:rPr>
        <w:tab/>
      </w:r>
      <w:r w:rsidRPr="00B73BD3">
        <w:rPr>
          <w:lang w:val="en-GB"/>
        </w:rPr>
        <w:t>shall impose any condition in a contract of employment or propose the imposition of any condition in a contract of employment that seeks to restrain an employee or a person seeking employment from becoming a member of an employees’ association or exercising any other right under this Act; or</w:t>
      </w:r>
    </w:p>
    <w:p w:rsidR="006A4DC6" w:rsidRPr="00B73BD3" w:rsidRDefault="006A4DC6" w:rsidP="006A4DC6">
      <w:pPr>
        <w:tabs>
          <w:tab w:val="left" w:pos="1800"/>
          <w:tab w:val="left" w:pos="2250"/>
        </w:tabs>
        <w:spacing w:after="240"/>
        <w:ind w:left="2250" w:hanging="2250"/>
        <w:jc w:val="both"/>
        <w:rPr>
          <w:lang w:val="en-GB"/>
        </w:rPr>
      </w:pPr>
      <w:r>
        <w:rPr>
          <w:lang w:val="en-GB"/>
        </w:rPr>
        <w:tab/>
      </w:r>
      <w:r w:rsidRPr="00B73BD3">
        <w:rPr>
          <w:lang w:val="en-GB"/>
        </w:rPr>
        <w:t>(c)</w:t>
      </w:r>
      <w:r>
        <w:rPr>
          <w:lang w:val="en-GB"/>
        </w:rPr>
        <w:tab/>
      </w:r>
      <w:r w:rsidRPr="00B73BD3">
        <w:rPr>
          <w:lang w:val="en-GB"/>
        </w:rPr>
        <w:t>shall seek by threat of dismissal, or by any other kind of threat, or by the imposition of a pecuniary or other penalty, or by any other means to compel an employee to become or refrain from becoming or to continue to be or to cease to be a member or officer or representative of an employees’ association or to cease to exercise any other right under this Act.</w:t>
      </w:r>
    </w:p>
    <w:p w:rsidR="006A4DC6" w:rsidRPr="00B73BD3" w:rsidRDefault="006A4DC6" w:rsidP="006A4DC6">
      <w:pPr>
        <w:tabs>
          <w:tab w:val="left" w:pos="1170"/>
          <w:tab w:val="left" w:pos="1800"/>
          <w:tab w:val="left" w:pos="2250"/>
        </w:tabs>
        <w:spacing w:after="240"/>
        <w:ind w:left="1170" w:hanging="1170"/>
        <w:jc w:val="both"/>
        <w:rPr>
          <w:lang w:val="en-GB"/>
        </w:rPr>
      </w:pPr>
      <w:r>
        <w:rPr>
          <w:b/>
          <w:lang w:val="en-GB"/>
        </w:rPr>
        <w:tab/>
      </w:r>
      <w:r>
        <w:rPr>
          <w:b/>
          <w:lang w:val="en-GB"/>
        </w:rPr>
        <w:tab/>
      </w:r>
      <w:r w:rsidRPr="00B73BD3">
        <w:rPr>
          <w:b/>
          <w:lang w:val="en-GB"/>
        </w:rPr>
        <w:t>10.</w:t>
      </w:r>
      <w:r>
        <w:rPr>
          <w:b/>
          <w:lang w:val="en-GB"/>
        </w:rPr>
        <w:tab/>
      </w:r>
      <w:r w:rsidRPr="00B73BD3">
        <w:rPr>
          <w:lang w:val="en-GB"/>
        </w:rPr>
        <w:t>No person, employees’ association, employers’ organization or other entity shall seek by intimidation or coercion to compel any person to become or refrain from becoming or to continue to be or to cease to be a member of an employees’ association or of an employers’ organization or to refrain from exercising any right under this Act or from performing any obligations under this Act.</w:t>
      </w:r>
    </w:p>
    <w:p w:rsidR="006A4DC6" w:rsidRPr="00B73BD3" w:rsidRDefault="006A4DC6" w:rsidP="006A4DC6">
      <w:pPr>
        <w:spacing w:after="240"/>
        <w:ind w:firstLine="360"/>
        <w:jc w:val="center"/>
        <w:rPr>
          <w:lang w:val="en-GB"/>
        </w:rPr>
      </w:pPr>
      <w:r>
        <w:rPr>
          <w:lang w:val="en-GB"/>
        </w:rPr>
        <w:lastRenderedPageBreak/>
        <w:t>. . .</w:t>
      </w:r>
    </w:p>
    <w:p w:rsidR="006A4DC6" w:rsidRPr="00B73BD3" w:rsidRDefault="006A4DC6" w:rsidP="00866006">
      <w:pPr>
        <w:tabs>
          <w:tab w:val="left" w:pos="1170"/>
          <w:tab w:val="left" w:pos="1800"/>
          <w:tab w:val="left" w:pos="2250"/>
        </w:tabs>
        <w:spacing w:after="720"/>
        <w:ind w:left="1166" w:hanging="1166"/>
        <w:jc w:val="both"/>
        <w:rPr>
          <w:lang w:val="en-GB"/>
        </w:rPr>
      </w:pPr>
      <w:r>
        <w:rPr>
          <w:b/>
          <w:lang w:val="en-GB"/>
        </w:rPr>
        <w:tab/>
      </w:r>
      <w:r>
        <w:rPr>
          <w:b/>
          <w:lang w:val="en-GB"/>
        </w:rPr>
        <w:tab/>
      </w:r>
      <w:r w:rsidR="00866006">
        <w:rPr>
          <w:b/>
          <w:lang w:val="en-GB"/>
        </w:rPr>
        <w:tab/>
      </w:r>
      <w:r w:rsidRPr="00B73BD3">
        <w:rPr>
          <w:b/>
          <w:lang w:val="en-GB"/>
        </w:rPr>
        <w:t>18.</w:t>
      </w:r>
      <w:r>
        <w:rPr>
          <w:b/>
          <w:lang w:val="en-GB"/>
        </w:rPr>
        <w:tab/>
      </w:r>
      <w:r w:rsidRPr="00B73BD3">
        <w:rPr>
          <w:lang w:val="en-GB"/>
        </w:rPr>
        <w:t xml:space="preserve">The </w:t>
      </w:r>
      <w:r w:rsidRPr="00B73BD3">
        <w:rPr>
          <w:i/>
          <w:lang w:val="en-GB"/>
        </w:rPr>
        <w:t>Labour Relations Act, 1995</w:t>
      </w:r>
      <w:r w:rsidRPr="00B73BD3">
        <w:rPr>
          <w:lang w:val="en-GB"/>
        </w:rPr>
        <w:t xml:space="preserve"> does not apply to employees or employers in agriculture.</w:t>
      </w:r>
    </w:p>
    <w:p w:rsidR="009B57B3" w:rsidRDefault="00750558" w:rsidP="00F5300A">
      <w:pPr>
        <w:pStyle w:val="SCCNormalDoubleSpacing"/>
        <w:tabs>
          <w:tab w:val="left" w:pos="1170"/>
        </w:tabs>
        <w:spacing w:after="480"/>
      </w:pPr>
      <w:r>
        <w:tab/>
      </w:r>
      <w:r w:rsidR="00656313" w:rsidRPr="00583EDE">
        <w:rPr>
          <w:i/>
        </w:rPr>
        <w:t>Appeal</w:t>
      </w:r>
      <w:r>
        <w:rPr>
          <w:i/>
        </w:rPr>
        <w:t xml:space="preserve"> allowed</w:t>
      </w:r>
      <w:r w:rsidR="00016514">
        <w:rPr>
          <w:i/>
        </w:rPr>
        <w:t xml:space="preserve"> and action dismissed</w:t>
      </w:r>
      <w:r w:rsidR="00060952">
        <w:rPr>
          <w:i/>
        </w:rPr>
        <w:t xml:space="preserve">, </w:t>
      </w:r>
      <w:r w:rsidR="00060952" w:rsidRPr="00060952">
        <w:rPr>
          <w:smallCaps/>
        </w:rPr>
        <w:t>Abella J.</w:t>
      </w:r>
      <w:r w:rsidR="00060952">
        <w:rPr>
          <w:i/>
        </w:rPr>
        <w:t xml:space="preserve"> dissenting</w:t>
      </w:r>
      <w:r>
        <w:rPr>
          <w:i/>
        </w:rPr>
        <w:t>.</w:t>
      </w:r>
    </w:p>
    <w:p w:rsidR="00112D80" w:rsidRDefault="00112D80" w:rsidP="00C27449">
      <w:pPr>
        <w:pStyle w:val="SCCNormalDoubleSpacing"/>
        <w:tabs>
          <w:tab w:val="left" w:pos="1170"/>
        </w:tabs>
        <w:spacing w:after="480"/>
      </w:pPr>
      <w:r>
        <w:tab/>
      </w:r>
      <w:r>
        <w:rPr>
          <w:i/>
          <w:iCs/>
        </w:rPr>
        <w:t xml:space="preserve">Solicitor </w:t>
      </w:r>
      <w:r w:rsidRPr="00C27449">
        <w:rPr>
          <w:i/>
        </w:rPr>
        <w:t>for</w:t>
      </w:r>
      <w:r>
        <w:rPr>
          <w:i/>
          <w:iCs/>
        </w:rPr>
        <w:t xml:space="preserve"> the appellant:  Attorney General of Ontario, Toronto.</w:t>
      </w:r>
    </w:p>
    <w:p w:rsidR="00112D80" w:rsidRDefault="00112D80" w:rsidP="00C27449">
      <w:pPr>
        <w:pStyle w:val="SCCNormalDoubleSpacing"/>
        <w:tabs>
          <w:tab w:val="left" w:pos="1170"/>
        </w:tabs>
        <w:spacing w:after="480"/>
        <w:rPr>
          <w:i/>
          <w:iCs/>
        </w:rPr>
      </w:pPr>
      <w:r>
        <w:tab/>
      </w:r>
      <w:r w:rsidRPr="00C27449">
        <w:rPr>
          <w:i/>
        </w:rPr>
        <w:t>Solicitors</w:t>
      </w:r>
      <w:r>
        <w:rPr>
          <w:i/>
          <w:iCs/>
        </w:rPr>
        <w:t xml:space="preserve"> for the respondents:  </w:t>
      </w:r>
      <w:proofErr w:type="spellStart"/>
      <w:r>
        <w:rPr>
          <w:i/>
          <w:iCs/>
        </w:rPr>
        <w:t>Cavalluzzo</w:t>
      </w:r>
      <w:proofErr w:type="spellEnd"/>
      <w:r>
        <w:rPr>
          <w:i/>
          <w:iCs/>
        </w:rPr>
        <w:t xml:space="preserve"> Hayes </w:t>
      </w:r>
      <w:proofErr w:type="spellStart"/>
      <w:r>
        <w:rPr>
          <w:i/>
          <w:iCs/>
        </w:rPr>
        <w:t>Shilton</w:t>
      </w:r>
      <w:proofErr w:type="spellEnd"/>
      <w:r>
        <w:rPr>
          <w:i/>
          <w:iCs/>
        </w:rPr>
        <w:t xml:space="preserve"> McIntyre &amp; Cornish, Toronto.</w:t>
      </w:r>
    </w:p>
    <w:p w:rsidR="00112D80" w:rsidRDefault="00112D80" w:rsidP="00C27449">
      <w:pPr>
        <w:pStyle w:val="SCCNormalDoubleSpacing"/>
        <w:tabs>
          <w:tab w:val="left" w:pos="1170"/>
        </w:tabs>
        <w:spacing w:after="480"/>
      </w:pPr>
      <w:r>
        <w:rPr>
          <w:i/>
          <w:iCs/>
        </w:rPr>
        <w:tab/>
      </w:r>
      <w:r w:rsidRPr="00C27449">
        <w:rPr>
          <w:i/>
        </w:rPr>
        <w:t>Solicitor</w:t>
      </w:r>
      <w:r>
        <w:rPr>
          <w:i/>
          <w:iCs/>
        </w:rPr>
        <w:t xml:space="preserve"> for the intervener the Attorney General of Canada:  Attorney General of Canada, Ottawa.</w:t>
      </w:r>
    </w:p>
    <w:p w:rsidR="00112D80" w:rsidRDefault="00112D80" w:rsidP="00C27449">
      <w:pPr>
        <w:pStyle w:val="SCCNormalDoubleSpacing"/>
        <w:tabs>
          <w:tab w:val="left" w:pos="1170"/>
        </w:tabs>
        <w:spacing w:after="480"/>
      </w:pPr>
      <w:r>
        <w:rPr>
          <w:i/>
          <w:iCs/>
        </w:rPr>
        <w:tab/>
      </w:r>
      <w:r w:rsidRPr="00C27449">
        <w:rPr>
          <w:i/>
        </w:rPr>
        <w:t>Solicitor</w:t>
      </w:r>
      <w:r>
        <w:rPr>
          <w:i/>
          <w:iCs/>
        </w:rPr>
        <w:t xml:space="preserve"> for the intervener the Attorney General of Quebec:  Attorney General of Quebec, Québec.</w:t>
      </w:r>
    </w:p>
    <w:p w:rsidR="00112D80" w:rsidRDefault="00112D80" w:rsidP="00C27449">
      <w:pPr>
        <w:pStyle w:val="SCCNormalDoubleSpacing"/>
        <w:tabs>
          <w:tab w:val="left" w:pos="1170"/>
        </w:tabs>
        <w:spacing w:after="480"/>
      </w:pPr>
      <w:r>
        <w:rPr>
          <w:i/>
          <w:iCs/>
        </w:rPr>
        <w:tab/>
      </w:r>
      <w:r w:rsidRPr="00C27449">
        <w:rPr>
          <w:i/>
        </w:rPr>
        <w:t>Solicitor</w:t>
      </w:r>
      <w:r>
        <w:rPr>
          <w:i/>
          <w:iCs/>
        </w:rPr>
        <w:t xml:space="preserve"> for the intervener the Attorney General of New Brunswick:  Attorney General of New Brunswick, Fredericton.</w:t>
      </w:r>
    </w:p>
    <w:p w:rsidR="00112D80" w:rsidRDefault="00112D80" w:rsidP="00C27449">
      <w:pPr>
        <w:pStyle w:val="SCCNormalDoubleSpacing"/>
        <w:tabs>
          <w:tab w:val="left" w:pos="1170"/>
        </w:tabs>
        <w:spacing w:after="480"/>
      </w:pPr>
      <w:r>
        <w:rPr>
          <w:i/>
          <w:iCs/>
        </w:rPr>
        <w:tab/>
      </w:r>
      <w:r w:rsidRPr="00C27449">
        <w:rPr>
          <w:i/>
        </w:rPr>
        <w:t>Solicitor</w:t>
      </w:r>
      <w:r>
        <w:rPr>
          <w:i/>
          <w:iCs/>
        </w:rPr>
        <w:t xml:space="preserve"> for the intervener the Attorney General of British Columbia:  Attorney General of British Columbia, Vancouver.</w:t>
      </w:r>
    </w:p>
    <w:p w:rsidR="00112D80" w:rsidRDefault="00112D80" w:rsidP="00C27449">
      <w:pPr>
        <w:pStyle w:val="SCCNormalDoubleSpacing"/>
        <w:tabs>
          <w:tab w:val="left" w:pos="1170"/>
        </w:tabs>
        <w:spacing w:after="480"/>
        <w:rPr>
          <w:i/>
          <w:iCs/>
        </w:rPr>
      </w:pPr>
      <w:r>
        <w:rPr>
          <w:i/>
          <w:iCs/>
        </w:rPr>
        <w:tab/>
      </w:r>
      <w:r w:rsidRPr="00C27449">
        <w:rPr>
          <w:i/>
        </w:rPr>
        <w:t>Solicitor</w:t>
      </w:r>
      <w:r>
        <w:rPr>
          <w:i/>
          <w:iCs/>
        </w:rPr>
        <w:t xml:space="preserve"> for the intervener the Attorney General of Alberta:  Attorney General of Alberta, Edmonton.</w:t>
      </w:r>
    </w:p>
    <w:p w:rsidR="00112D80" w:rsidRDefault="00112D80" w:rsidP="00C27449">
      <w:pPr>
        <w:pStyle w:val="SCCNormalDoubleSpacing"/>
        <w:tabs>
          <w:tab w:val="left" w:pos="1170"/>
        </w:tabs>
        <w:spacing w:after="480"/>
        <w:rPr>
          <w:i/>
          <w:iCs/>
        </w:rPr>
      </w:pPr>
      <w:r>
        <w:lastRenderedPageBreak/>
        <w:tab/>
      </w:r>
      <w:r w:rsidRPr="00C27449">
        <w:rPr>
          <w:i/>
        </w:rPr>
        <w:t>Solicitors</w:t>
      </w:r>
      <w:r>
        <w:rPr>
          <w:i/>
          <w:iCs/>
        </w:rPr>
        <w:t xml:space="preserve"> for the intervener the Ontario Federation of Agriculture:  Heenan Blaikie, Toronto.</w:t>
      </w:r>
    </w:p>
    <w:p w:rsidR="00112D80" w:rsidRDefault="00112D80" w:rsidP="00C27449">
      <w:pPr>
        <w:pStyle w:val="SCCNormalDoubleSpacing"/>
        <w:tabs>
          <w:tab w:val="left" w:pos="1170"/>
        </w:tabs>
        <w:spacing w:after="480"/>
        <w:rPr>
          <w:i/>
          <w:iCs/>
        </w:rPr>
      </w:pPr>
      <w:r>
        <w:rPr>
          <w:i/>
          <w:iCs/>
        </w:rPr>
        <w:tab/>
      </w:r>
      <w:r w:rsidRPr="00C27449">
        <w:rPr>
          <w:i/>
        </w:rPr>
        <w:t>Solicitors</w:t>
      </w:r>
      <w:r>
        <w:rPr>
          <w:i/>
          <w:iCs/>
        </w:rPr>
        <w:t xml:space="preserve"> for the intervener the Federally Regulated Employers — Transportation and Communications:  Heenan Blaikie, Montréal.</w:t>
      </w:r>
    </w:p>
    <w:p w:rsidR="00112D80" w:rsidRPr="00327E6D" w:rsidRDefault="00112D80" w:rsidP="00C27449">
      <w:pPr>
        <w:pStyle w:val="SCCNormalDoubleSpacing"/>
        <w:tabs>
          <w:tab w:val="left" w:pos="1170"/>
        </w:tabs>
        <w:spacing w:after="480"/>
        <w:rPr>
          <w:i/>
          <w:iCs/>
          <w:lang w:val="fr-CA"/>
        </w:rPr>
      </w:pPr>
      <w:r>
        <w:rPr>
          <w:i/>
          <w:iCs/>
        </w:rPr>
        <w:tab/>
      </w:r>
      <w:r w:rsidRPr="00A00D29">
        <w:rPr>
          <w:i/>
          <w:lang w:val="fr-CA"/>
        </w:rPr>
        <w:t>Solicitors</w:t>
      </w:r>
      <w:r w:rsidRPr="00327E6D">
        <w:rPr>
          <w:i/>
          <w:iCs/>
          <w:lang w:val="fr-CA"/>
        </w:rPr>
        <w:t xml:space="preserve"> for the intervener Conseil du patronat du Québec Inc.:</w:t>
      </w:r>
      <w:proofErr w:type="gramStart"/>
      <w:r>
        <w:rPr>
          <w:i/>
          <w:iCs/>
          <w:lang w:val="fr-CA"/>
        </w:rPr>
        <w:t>  </w:t>
      </w:r>
      <w:r w:rsidRPr="00327E6D">
        <w:rPr>
          <w:i/>
          <w:iCs/>
          <w:lang w:val="fr-CA"/>
        </w:rPr>
        <w:t>Heenan</w:t>
      </w:r>
      <w:proofErr w:type="gramEnd"/>
      <w:r w:rsidRPr="00327E6D">
        <w:rPr>
          <w:i/>
          <w:iCs/>
          <w:lang w:val="fr-CA"/>
        </w:rPr>
        <w:t xml:space="preserve"> Blaikie, Montréal.</w:t>
      </w:r>
    </w:p>
    <w:p w:rsidR="00112D80" w:rsidRDefault="00112D80" w:rsidP="00C27449">
      <w:pPr>
        <w:pStyle w:val="SCCNormalDoubleSpacing"/>
        <w:tabs>
          <w:tab w:val="left" w:pos="1170"/>
        </w:tabs>
        <w:spacing w:after="480"/>
        <w:rPr>
          <w:i/>
          <w:iCs/>
        </w:rPr>
      </w:pPr>
      <w:r>
        <w:rPr>
          <w:i/>
          <w:iCs/>
          <w:lang w:val="fr-CA"/>
        </w:rPr>
        <w:tab/>
      </w:r>
      <w:r w:rsidRPr="00C27449">
        <w:rPr>
          <w:i/>
        </w:rPr>
        <w:t>Solicitors</w:t>
      </w:r>
      <w:r>
        <w:rPr>
          <w:i/>
          <w:iCs/>
        </w:rPr>
        <w:t xml:space="preserve"> for the intervener the Mounted Police Members’ Legal Fund:  Heenan Blaikie, Toronto.</w:t>
      </w:r>
    </w:p>
    <w:p w:rsidR="00112D80" w:rsidRDefault="00112D80" w:rsidP="00C27449">
      <w:pPr>
        <w:pStyle w:val="SCCNormalDoubleSpacing"/>
        <w:tabs>
          <w:tab w:val="left" w:pos="1170"/>
        </w:tabs>
        <w:spacing w:after="480"/>
        <w:rPr>
          <w:i/>
          <w:iCs/>
        </w:rPr>
      </w:pPr>
      <w:r>
        <w:rPr>
          <w:i/>
          <w:iCs/>
        </w:rPr>
        <w:tab/>
      </w:r>
      <w:r w:rsidRPr="00C27449">
        <w:rPr>
          <w:i/>
        </w:rPr>
        <w:t>Solicitors</w:t>
      </w:r>
      <w:r>
        <w:rPr>
          <w:i/>
          <w:iCs/>
        </w:rPr>
        <w:t xml:space="preserve"> for the intervener the Canadian Employers Council:  Stewart </w:t>
      </w:r>
      <w:proofErr w:type="spellStart"/>
      <w:r>
        <w:rPr>
          <w:i/>
          <w:iCs/>
        </w:rPr>
        <w:t>McKelvey</w:t>
      </w:r>
      <w:proofErr w:type="spellEnd"/>
      <w:r>
        <w:rPr>
          <w:i/>
          <w:iCs/>
        </w:rPr>
        <w:t>, St. John’s.</w:t>
      </w:r>
    </w:p>
    <w:p w:rsidR="00112D80" w:rsidRDefault="00112D80" w:rsidP="00C27449">
      <w:pPr>
        <w:pStyle w:val="SCCNormalDoubleSpacing"/>
        <w:tabs>
          <w:tab w:val="left" w:pos="1170"/>
        </w:tabs>
        <w:spacing w:after="480"/>
        <w:rPr>
          <w:i/>
          <w:iCs/>
        </w:rPr>
      </w:pPr>
      <w:r>
        <w:rPr>
          <w:i/>
          <w:iCs/>
        </w:rPr>
        <w:tab/>
      </w:r>
      <w:r w:rsidRPr="00C27449">
        <w:rPr>
          <w:i/>
        </w:rPr>
        <w:t>Solicitors</w:t>
      </w:r>
      <w:r>
        <w:rPr>
          <w:i/>
          <w:iCs/>
        </w:rPr>
        <w:t xml:space="preserve"> for the interveners the Coalition of BC Businesses and the British Columbia Agriculture Council:  Heenan Blaikie, Vancouver.</w:t>
      </w:r>
    </w:p>
    <w:p w:rsidR="00112D80" w:rsidRDefault="00112D80" w:rsidP="00C27449">
      <w:pPr>
        <w:pStyle w:val="SCCNormalDoubleSpacing"/>
        <w:tabs>
          <w:tab w:val="left" w:pos="1170"/>
        </w:tabs>
        <w:spacing w:after="480"/>
        <w:rPr>
          <w:i/>
          <w:iCs/>
        </w:rPr>
      </w:pPr>
      <w:r>
        <w:rPr>
          <w:i/>
          <w:iCs/>
        </w:rPr>
        <w:tab/>
      </w:r>
      <w:r w:rsidRPr="00C27449">
        <w:rPr>
          <w:i/>
        </w:rPr>
        <w:t>Solicitors</w:t>
      </w:r>
      <w:r>
        <w:rPr>
          <w:i/>
          <w:iCs/>
        </w:rPr>
        <w:t xml:space="preserve"> for the interveners Justicia for Migrant Workers and the Industrial Accident Victims Group of Ontario:  Pieters Law Office, Toronto.</w:t>
      </w:r>
    </w:p>
    <w:p w:rsidR="00112D80" w:rsidRDefault="003762FF" w:rsidP="00C27449">
      <w:pPr>
        <w:pStyle w:val="SCCNormalDoubleSpacing"/>
        <w:tabs>
          <w:tab w:val="left" w:pos="1170"/>
        </w:tabs>
        <w:spacing w:after="480"/>
        <w:rPr>
          <w:i/>
          <w:iCs/>
        </w:rPr>
      </w:pPr>
      <w:r>
        <w:rPr>
          <w:i/>
          <w:iCs/>
        </w:rPr>
        <w:tab/>
      </w:r>
      <w:r w:rsidR="00112D80" w:rsidRPr="00C27449">
        <w:rPr>
          <w:i/>
        </w:rPr>
        <w:t>Solicitors</w:t>
      </w:r>
      <w:r w:rsidR="00112D80">
        <w:rPr>
          <w:i/>
          <w:iCs/>
        </w:rPr>
        <w:t xml:space="preserve"> for the intervener the Canadian Labour Congress:  Sack </w:t>
      </w:r>
      <w:proofErr w:type="spellStart"/>
      <w:r w:rsidR="00112D80">
        <w:rPr>
          <w:i/>
          <w:iCs/>
        </w:rPr>
        <w:t>Goldblatt</w:t>
      </w:r>
      <w:proofErr w:type="spellEnd"/>
      <w:r w:rsidR="00112D80">
        <w:rPr>
          <w:i/>
          <w:iCs/>
        </w:rPr>
        <w:t xml:space="preserve"> Mitchell, Toronto.</w:t>
      </w:r>
    </w:p>
    <w:p w:rsidR="00112D80" w:rsidRDefault="003762FF" w:rsidP="00C27449">
      <w:pPr>
        <w:pStyle w:val="SCCNormalDoubleSpacing"/>
        <w:tabs>
          <w:tab w:val="left" w:pos="1170"/>
        </w:tabs>
        <w:spacing w:after="480"/>
        <w:rPr>
          <w:i/>
          <w:iCs/>
        </w:rPr>
      </w:pPr>
      <w:r>
        <w:rPr>
          <w:i/>
          <w:iCs/>
        </w:rPr>
        <w:lastRenderedPageBreak/>
        <w:tab/>
      </w:r>
      <w:r w:rsidR="00112D80" w:rsidRPr="00C27449">
        <w:rPr>
          <w:i/>
        </w:rPr>
        <w:t>Solicitors</w:t>
      </w:r>
      <w:r w:rsidR="00112D80">
        <w:rPr>
          <w:i/>
          <w:iCs/>
        </w:rPr>
        <w:t xml:space="preserve"> for the intervener the Canadian Police Association:  </w:t>
      </w:r>
      <w:proofErr w:type="spellStart"/>
      <w:r w:rsidR="00112D80">
        <w:rPr>
          <w:i/>
          <w:iCs/>
        </w:rPr>
        <w:t>Paliare</w:t>
      </w:r>
      <w:proofErr w:type="spellEnd"/>
      <w:r w:rsidR="00112D80">
        <w:rPr>
          <w:i/>
          <w:iCs/>
        </w:rPr>
        <w:t>, Roland, Rosenberg, Rothstein, Toronto.</w:t>
      </w:r>
    </w:p>
    <w:p w:rsidR="009B57B3" w:rsidRPr="00A00D29" w:rsidRDefault="003762FF" w:rsidP="00A00D29">
      <w:pPr>
        <w:pStyle w:val="SCCNormalDoubleSpacing"/>
        <w:tabs>
          <w:tab w:val="left" w:pos="1170"/>
        </w:tabs>
        <w:spacing w:after="480"/>
        <w:rPr>
          <w:lang w:val="en-US"/>
        </w:rPr>
      </w:pPr>
      <w:r>
        <w:rPr>
          <w:i/>
          <w:iCs/>
        </w:rPr>
        <w:tab/>
      </w:r>
      <w:r w:rsidR="00112D80">
        <w:rPr>
          <w:i/>
          <w:iCs/>
        </w:rPr>
        <w:t xml:space="preserve">Solicitors for the intervener the Canadian Civil Liberties Association:  Green &amp; </w:t>
      </w:r>
      <w:proofErr w:type="spellStart"/>
      <w:r w:rsidR="00112D80">
        <w:rPr>
          <w:i/>
          <w:iCs/>
        </w:rPr>
        <w:t>Chercover</w:t>
      </w:r>
      <w:proofErr w:type="spellEnd"/>
      <w:r w:rsidR="00112D80">
        <w:rPr>
          <w:i/>
          <w:iCs/>
        </w:rPr>
        <w:t>, Toronto.</w:t>
      </w:r>
      <w:r w:rsidR="00A00D29" w:rsidRPr="00A00D29">
        <w:rPr>
          <w:lang w:val="en-US"/>
        </w:rPr>
        <w:t xml:space="preserve"> </w:t>
      </w:r>
    </w:p>
    <w:sectPr w:rsidR="009B57B3" w:rsidRPr="00A00D29" w:rsidSect="00FA2D51">
      <w:headerReference w:type="default" r:id="rId11"/>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829" w:rsidRDefault="00D15829">
      <w:r>
        <w:separator/>
      </w:r>
    </w:p>
  </w:endnote>
  <w:endnote w:type="continuationSeparator" w:id="0">
    <w:p w:rsidR="00D15829" w:rsidRDefault="00D15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KBMEI+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829" w:rsidRDefault="00D15829">
      <w:r>
        <w:separator/>
      </w:r>
    </w:p>
  </w:footnote>
  <w:footnote w:type="continuationSeparator" w:id="0">
    <w:p w:rsidR="00D15829" w:rsidRDefault="00D15829">
      <w:r>
        <w:continuationSeparator/>
      </w:r>
    </w:p>
  </w:footnote>
  <w:footnote w:id="1">
    <w:p w:rsidR="004F4999" w:rsidRPr="00772480" w:rsidRDefault="004F4999">
      <w:pPr>
        <w:pStyle w:val="FootnoteText"/>
        <w:rPr>
          <w:lang w:val="en-US"/>
        </w:rPr>
      </w:pPr>
      <w:r>
        <w:rPr>
          <w:rStyle w:val="FootnoteReference"/>
        </w:rPr>
        <w:t>*</w:t>
      </w:r>
      <w:r>
        <w:t xml:space="preserve"> </w:t>
      </w:r>
      <w:r w:rsidR="0036463B" w:rsidRPr="00772480">
        <w:rPr>
          <w:lang w:val="en-US"/>
        </w:rPr>
        <w:t>See Erratum [2012] 1 S.C.R.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80" w:rsidRDefault="0077248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3595"/>
      <w:docPartObj>
        <w:docPartGallery w:val="Page Numbers (Top of Page)"/>
        <w:docPartUnique/>
      </w:docPartObj>
    </w:sdtPr>
    <w:sdtContent>
      <w:p w:rsidR="00653681" w:rsidRDefault="00653681">
        <w:pPr>
          <w:pStyle w:val="Header"/>
          <w:jc w:val="center"/>
        </w:pPr>
        <w:r>
          <w:t xml:space="preserve">- </w:t>
        </w:r>
        <w:fldSimple w:instr=" PAGE   \* MERGEFORMAT ">
          <w:r w:rsidR="00772480">
            <w:rPr>
              <w:noProof/>
            </w:rPr>
            <w:t>3</w:t>
          </w:r>
        </w:fldSimple>
        <w:r>
          <w:t xml:space="preserve"> -</w:t>
        </w:r>
      </w:p>
    </w:sdtContent>
  </w:sdt>
  <w:p w:rsidR="00653681" w:rsidRPr="00450352" w:rsidRDefault="0065368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3A71"/>
    <w:multiLevelType w:val="hybridMultilevel"/>
    <w:tmpl w:val="330A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162036"/>
    <w:multiLevelType w:val="hybridMultilevel"/>
    <w:tmpl w:val="C1EAC7B8"/>
    <w:lvl w:ilvl="0" w:tplc="A482B2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A03C58"/>
    <w:multiLevelType w:val="hybridMultilevel"/>
    <w:tmpl w:val="11F2E10E"/>
    <w:lvl w:ilvl="0" w:tplc="04090001">
      <w:start w:val="1"/>
      <w:numFmt w:val="bullet"/>
      <w:pStyle w:val="JudgmentTex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BA6791"/>
    <w:multiLevelType w:val="hybridMultilevel"/>
    <w:tmpl w:val="F8FEBAE8"/>
    <w:lvl w:ilvl="0" w:tplc="DE3C20F2">
      <w:start w:val="1"/>
      <w:numFmt w:val="decimal"/>
      <w:pStyle w:val="Heading3"/>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FA4624"/>
    <w:multiLevelType w:val="hybridMultilevel"/>
    <w:tmpl w:val="0EF4E9CE"/>
    <w:lvl w:ilvl="0" w:tplc="AEF8EEB6">
      <w:start w:val="1"/>
      <w:numFmt w:val="bullet"/>
      <w:pStyle w:val="BulletedLis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C64FE2"/>
    <w:multiLevelType w:val="hybridMultilevel"/>
    <w:tmpl w:val="B1CC69FA"/>
    <w:lvl w:ilvl="0" w:tplc="F73C433A">
      <w:start w:val="1"/>
      <w:numFmt w:val="decimal"/>
      <w:pStyle w:val="ReasonsNumbering-AltN"/>
      <w:lvlText w:val="[%1]"/>
      <w:lvlJc w:val="left"/>
      <w:pPr>
        <w:ind w:left="36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pStyle w:val="Paranumb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CD10933"/>
    <w:multiLevelType w:val="hybridMultilevel"/>
    <w:tmpl w:val="6998694A"/>
    <w:lvl w:ilvl="0" w:tplc="9E26AD3E">
      <w:start w:val="1"/>
      <w:numFmt w:val="lowerLetter"/>
      <w:pStyle w:val="Heading4"/>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69C457C"/>
    <w:multiLevelType w:val="hybridMultilevel"/>
    <w:tmpl w:val="978A393A"/>
    <w:lvl w:ilvl="0" w:tplc="F77CF716">
      <w:start w:val="1"/>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9"/>
  </w:num>
  <w:num w:numId="4">
    <w:abstractNumId w:val="6"/>
  </w:num>
  <w:num w:numId="5">
    <w:abstractNumId w:val="0"/>
  </w:num>
  <w:num w:numId="6">
    <w:abstractNumId w:val="5"/>
  </w:num>
  <w:num w:numId="7">
    <w:abstractNumId w:val="11"/>
  </w:num>
  <w:num w:numId="8">
    <w:abstractNumId w:val="10"/>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3"/>
  </w:num>
  <w:num w:numId="19">
    <w:abstractNumId w:val="3"/>
  </w:num>
  <w:num w:numId="20">
    <w:abstractNumId w:val="12"/>
  </w:num>
  <w:num w:numId="21">
    <w:abstractNumId w:val="2"/>
  </w:num>
  <w:num w:numId="22">
    <w:abstractNumId w:val="1"/>
  </w:num>
  <w:num w:numId="2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1729"/>
  </w:hdrShapeDefaults>
  <w:footnotePr>
    <w:footnote w:id="-1"/>
    <w:footnote w:id="0"/>
  </w:footnotePr>
  <w:endnotePr>
    <w:endnote w:id="-1"/>
    <w:endnote w:id="0"/>
  </w:endnotePr>
  <w:compat/>
  <w:rsids>
    <w:rsidRoot w:val="0031414C"/>
    <w:rsid w:val="00000ED4"/>
    <w:rsid w:val="000034B7"/>
    <w:rsid w:val="000137B4"/>
    <w:rsid w:val="00016514"/>
    <w:rsid w:val="00025198"/>
    <w:rsid w:val="00027B9E"/>
    <w:rsid w:val="00032B2F"/>
    <w:rsid w:val="00034F88"/>
    <w:rsid w:val="00040BA4"/>
    <w:rsid w:val="00043902"/>
    <w:rsid w:val="000442BE"/>
    <w:rsid w:val="000550C7"/>
    <w:rsid w:val="000578A3"/>
    <w:rsid w:val="00060952"/>
    <w:rsid w:val="000648CC"/>
    <w:rsid w:val="00081A57"/>
    <w:rsid w:val="0008408B"/>
    <w:rsid w:val="000915C2"/>
    <w:rsid w:val="000A08F4"/>
    <w:rsid w:val="000A532C"/>
    <w:rsid w:val="000A63F1"/>
    <w:rsid w:val="000C250E"/>
    <w:rsid w:val="000C4760"/>
    <w:rsid w:val="000C59B8"/>
    <w:rsid w:val="000C6F4D"/>
    <w:rsid w:val="000D5FB3"/>
    <w:rsid w:val="000F1C81"/>
    <w:rsid w:val="000F38AA"/>
    <w:rsid w:val="000F55E5"/>
    <w:rsid w:val="00101BBB"/>
    <w:rsid w:val="0011108D"/>
    <w:rsid w:val="00111DE2"/>
    <w:rsid w:val="00112D80"/>
    <w:rsid w:val="00115E35"/>
    <w:rsid w:val="00116B38"/>
    <w:rsid w:val="00123979"/>
    <w:rsid w:val="00125E4D"/>
    <w:rsid w:val="00127B45"/>
    <w:rsid w:val="0013454C"/>
    <w:rsid w:val="00134D22"/>
    <w:rsid w:val="00135406"/>
    <w:rsid w:val="00135972"/>
    <w:rsid w:val="00137728"/>
    <w:rsid w:val="001426A9"/>
    <w:rsid w:val="00146D3D"/>
    <w:rsid w:val="0015030A"/>
    <w:rsid w:val="00154D7C"/>
    <w:rsid w:val="001550F7"/>
    <w:rsid w:val="0015657E"/>
    <w:rsid w:val="001570B0"/>
    <w:rsid w:val="0015752C"/>
    <w:rsid w:val="00157737"/>
    <w:rsid w:val="00157DAC"/>
    <w:rsid w:val="00165277"/>
    <w:rsid w:val="00170592"/>
    <w:rsid w:val="0018785B"/>
    <w:rsid w:val="00197122"/>
    <w:rsid w:val="00197EFB"/>
    <w:rsid w:val="001A0B52"/>
    <w:rsid w:val="001A0DDA"/>
    <w:rsid w:val="001A4B25"/>
    <w:rsid w:val="001B195E"/>
    <w:rsid w:val="001B33E0"/>
    <w:rsid w:val="001B4573"/>
    <w:rsid w:val="001B4D1A"/>
    <w:rsid w:val="001C2E1B"/>
    <w:rsid w:val="001C779F"/>
    <w:rsid w:val="001D2AC1"/>
    <w:rsid w:val="001D3E92"/>
    <w:rsid w:val="001D4E88"/>
    <w:rsid w:val="001E1F7E"/>
    <w:rsid w:val="001F4C89"/>
    <w:rsid w:val="001F5D59"/>
    <w:rsid w:val="00203139"/>
    <w:rsid w:val="00204B1F"/>
    <w:rsid w:val="00205364"/>
    <w:rsid w:val="002063D3"/>
    <w:rsid w:val="002174EA"/>
    <w:rsid w:val="00220FC2"/>
    <w:rsid w:val="00224FC0"/>
    <w:rsid w:val="00225EA4"/>
    <w:rsid w:val="00226EAF"/>
    <w:rsid w:val="002278B0"/>
    <w:rsid w:val="00231F3A"/>
    <w:rsid w:val="002406EE"/>
    <w:rsid w:val="00243EC8"/>
    <w:rsid w:val="00244A14"/>
    <w:rsid w:val="00252B57"/>
    <w:rsid w:val="00253B43"/>
    <w:rsid w:val="00256D83"/>
    <w:rsid w:val="002643BC"/>
    <w:rsid w:val="002721F5"/>
    <w:rsid w:val="002733FA"/>
    <w:rsid w:val="002745CC"/>
    <w:rsid w:val="0028219D"/>
    <w:rsid w:val="00292A0D"/>
    <w:rsid w:val="00294ED9"/>
    <w:rsid w:val="002A07BD"/>
    <w:rsid w:val="002A257F"/>
    <w:rsid w:val="002A30BA"/>
    <w:rsid w:val="002A427F"/>
    <w:rsid w:val="002B605F"/>
    <w:rsid w:val="002B7924"/>
    <w:rsid w:val="002B7F18"/>
    <w:rsid w:val="002C5E89"/>
    <w:rsid w:val="002D1B8E"/>
    <w:rsid w:val="002D1FD3"/>
    <w:rsid w:val="002D23F1"/>
    <w:rsid w:val="002D39A4"/>
    <w:rsid w:val="002D4C51"/>
    <w:rsid w:val="002D5DEC"/>
    <w:rsid w:val="002E60AB"/>
    <w:rsid w:val="002E6705"/>
    <w:rsid w:val="002F0BFC"/>
    <w:rsid w:val="00302575"/>
    <w:rsid w:val="0030329A"/>
    <w:rsid w:val="0031086F"/>
    <w:rsid w:val="0031414C"/>
    <w:rsid w:val="00314188"/>
    <w:rsid w:val="00314E01"/>
    <w:rsid w:val="00316000"/>
    <w:rsid w:val="003162CC"/>
    <w:rsid w:val="003201FB"/>
    <w:rsid w:val="0032081E"/>
    <w:rsid w:val="0032089D"/>
    <w:rsid w:val="00321D22"/>
    <w:rsid w:val="00322113"/>
    <w:rsid w:val="003226FF"/>
    <w:rsid w:val="00323A10"/>
    <w:rsid w:val="00327531"/>
    <w:rsid w:val="00327E6D"/>
    <w:rsid w:val="003310DE"/>
    <w:rsid w:val="003331C9"/>
    <w:rsid w:val="0033461B"/>
    <w:rsid w:val="00335E51"/>
    <w:rsid w:val="00337873"/>
    <w:rsid w:val="0035169A"/>
    <w:rsid w:val="0035259D"/>
    <w:rsid w:val="00353FE0"/>
    <w:rsid w:val="00356533"/>
    <w:rsid w:val="00360548"/>
    <w:rsid w:val="0036463B"/>
    <w:rsid w:val="00364B18"/>
    <w:rsid w:val="00367D79"/>
    <w:rsid w:val="003762FF"/>
    <w:rsid w:val="00391007"/>
    <w:rsid w:val="00391ABC"/>
    <w:rsid w:val="003A4C70"/>
    <w:rsid w:val="003A50F0"/>
    <w:rsid w:val="003B215F"/>
    <w:rsid w:val="003B4F89"/>
    <w:rsid w:val="003B54F9"/>
    <w:rsid w:val="003C2CC6"/>
    <w:rsid w:val="003C56EF"/>
    <w:rsid w:val="003C6F39"/>
    <w:rsid w:val="003C799C"/>
    <w:rsid w:val="003D0399"/>
    <w:rsid w:val="003D2A25"/>
    <w:rsid w:val="003D3F1A"/>
    <w:rsid w:val="003D7420"/>
    <w:rsid w:val="003E1C71"/>
    <w:rsid w:val="003E6C19"/>
    <w:rsid w:val="003F05DD"/>
    <w:rsid w:val="003F19F2"/>
    <w:rsid w:val="003F2F86"/>
    <w:rsid w:val="003F327B"/>
    <w:rsid w:val="00402449"/>
    <w:rsid w:val="00404B8C"/>
    <w:rsid w:val="00406166"/>
    <w:rsid w:val="00406DF4"/>
    <w:rsid w:val="0040704B"/>
    <w:rsid w:val="00410A55"/>
    <w:rsid w:val="00411073"/>
    <w:rsid w:val="00411300"/>
    <w:rsid w:val="00411353"/>
    <w:rsid w:val="0041225A"/>
    <w:rsid w:val="00413117"/>
    <w:rsid w:val="00415319"/>
    <w:rsid w:val="00415417"/>
    <w:rsid w:val="004208CC"/>
    <w:rsid w:val="00426659"/>
    <w:rsid w:val="00436492"/>
    <w:rsid w:val="00437BE2"/>
    <w:rsid w:val="00437E4C"/>
    <w:rsid w:val="00450352"/>
    <w:rsid w:val="00454BDB"/>
    <w:rsid w:val="004624AF"/>
    <w:rsid w:val="00465132"/>
    <w:rsid w:val="00465D48"/>
    <w:rsid w:val="00473214"/>
    <w:rsid w:val="00475A0D"/>
    <w:rsid w:val="00480C90"/>
    <w:rsid w:val="0048396F"/>
    <w:rsid w:val="00486717"/>
    <w:rsid w:val="00493C18"/>
    <w:rsid w:val="00496073"/>
    <w:rsid w:val="004A1BCD"/>
    <w:rsid w:val="004A2F28"/>
    <w:rsid w:val="004A4A35"/>
    <w:rsid w:val="004A600C"/>
    <w:rsid w:val="004A6118"/>
    <w:rsid w:val="004B5899"/>
    <w:rsid w:val="004C0CBA"/>
    <w:rsid w:val="004C478D"/>
    <w:rsid w:val="004E2C26"/>
    <w:rsid w:val="004F1528"/>
    <w:rsid w:val="004F4999"/>
    <w:rsid w:val="005102D1"/>
    <w:rsid w:val="005125A8"/>
    <w:rsid w:val="00513F54"/>
    <w:rsid w:val="005169EC"/>
    <w:rsid w:val="0052170F"/>
    <w:rsid w:val="00521AE8"/>
    <w:rsid w:val="00522609"/>
    <w:rsid w:val="00527064"/>
    <w:rsid w:val="00527180"/>
    <w:rsid w:val="00541071"/>
    <w:rsid w:val="00543A0A"/>
    <w:rsid w:val="005524FA"/>
    <w:rsid w:val="00555291"/>
    <w:rsid w:val="005566BA"/>
    <w:rsid w:val="00557628"/>
    <w:rsid w:val="00560131"/>
    <w:rsid w:val="005672CD"/>
    <w:rsid w:val="00574E08"/>
    <w:rsid w:val="00583EDE"/>
    <w:rsid w:val="00592F7B"/>
    <w:rsid w:val="00593206"/>
    <w:rsid w:val="005A6C9D"/>
    <w:rsid w:val="005B1227"/>
    <w:rsid w:val="005C0F2C"/>
    <w:rsid w:val="005C2295"/>
    <w:rsid w:val="005C72D5"/>
    <w:rsid w:val="005D5FBD"/>
    <w:rsid w:val="005D6111"/>
    <w:rsid w:val="005E4698"/>
    <w:rsid w:val="005E5FBD"/>
    <w:rsid w:val="005F411C"/>
    <w:rsid w:val="00604C8E"/>
    <w:rsid w:val="00610539"/>
    <w:rsid w:val="00611B13"/>
    <w:rsid w:val="00613969"/>
    <w:rsid w:val="00613CC7"/>
    <w:rsid w:val="0061410D"/>
    <w:rsid w:val="00616780"/>
    <w:rsid w:val="006172FF"/>
    <w:rsid w:val="00621106"/>
    <w:rsid w:val="00622AA0"/>
    <w:rsid w:val="006238CA"/>
    <w:rsid w:val="00625C35"/>
    <w:rsid w:val="0064000E"/>
    <w:rsid w:val="00651013"/>
    <w:rsid w:val="00652929"/>
    <w:rsid w:val="00653395"/>
    <w:rsid w:val="00653681"/>
    <w:rsid w:val="00656313"/>
    <w:rsid w:val="006565F4"/>
    <w:rsid w:val="00660678"/>
    <w:rsid w:val="00665626"/>
    <w:rsid w:val="0066794F"/>
    <w:rsid w:val="00667FDA"/>
    <w:rsid w:val="00674C47"/>
    <w:rsid w:val="00676551"/>
    <w:rsid w:val="00682B9E"/>
    <w:rsid w:val="00684EEA"/>
    <w:rsid w:val="006859BF"/>
    <w:rsid w:val="0069307E"/>
    <w:rsid w:val="006A49B9"/>
    <w:rsid w:val="006A4DC6"/>
    <w:rsid w:val="006A503D"/>
    <w:rsid w:val="006B4941"/>
    <w:rsid w:val="006B5FF5"/>
    <w:rsid w:val="006C0EBA"/>
    <w:rsid w:val="006C0F59"/>
    <w:rsid w:val="006C3245"/>
    <w:rsid w:val="006C5A22"/>
    <w:rsid w:val="006C7281"/>
    <w:rsid w:val="006C7447"/>
    <w:rsid w:val="006D09D9"/>
    <w:rsid w:val="006F3455"/>
    <w:rsid w:val="006F6779"/>
    <w:rsid w:val="00700AF1"/>
    <w:rsid w:val="00701759"/>
    <w:rsid w:val="007018EC"/>
    <w:rsid w:val="00703B65"/>
    <w:rsid w:val="00710908"/>
    <w:rsid w:val="0071587E"/>
    <w:rsid w:val="00723E86"/>
    <w:rsid w:val="00747288"/>
    <w:rsid w:val="00747DD3"/>
    <w:rsid w:val="00750372"/>
    <w:rsid w:val="00750558"/>
    <w:rsid w:val="007549C8"/>
    <w:rsid w:val="0075507B"/>
    <w:rsid w:val="007633B0"/>
    <w:rsid w:val="00764ED1"/>
    <w:rsid w:val="007664A3"/>
    <w:rsid w:val="00766D14"/>
    <w:rsid w:val="00767A0F"/>
    <w:rsid w:val="0077165A"/>
    <w:rsid w:val="00772480"/>
    <w:rsid w:val="0077778D"/>
    <w:rsid w:val="00777D65"/>
    <w:rsid w:val="00777DAD"/>
    <w:rsid w:val="00777F5E"/>
    <w:rsid w:val="007812C7"/>
    <w:rsid w:val="007A0128"/>
    <w:rsid w:val="007A05F6"/>
    <w:rsid w:val="007A40BF"/>
    <w:rsid w:val="007A60AA"/>
    <w:rsid w:val="007A6BB5"/>
    <w:rsid w:val="007A727E"/>
    <w:rsid w:val="007B1E3E"/>
    <w:rsid w:val="007B37E2"/>
    <w:rsid w:val="007B6F4A"/>
    <w:rsid w:val="007C30D0"/>
    <w:rsid w:val="007C6069"/>
    <w:rsid w:val="007E1C47"/>
    <w:rsid w:val="007E337A"/>
    <w:rsid w:val="007E352E"/>
    <w:rsid w:val="007E571D"/>
    <w:rsid w:val="007E5C70"/>
    <w:rsid w:val="007E6D6F"/>
    <w:rsid w:val="007E790D"/>
    <w:rsid w:val="007F2FF5"/>
    <w:rsid w:val="007F314D"/>
    <w:rsid w:val="007F3B87"/>
    <w:rsid w:val="007F3F08"/>
    <w:rsid w:val="00800157"/>
    <w:rsid w:val="00800FD3"/>
    <w:rsid w:val="00801DBF"/>
    <w:rsid w:val="00802934"/>
    <w:rsid w:val="00804CC6"/>
    <w:rsid w:val="00817190"/>
    <w:rsid w:val="00820B74"/>
    <w:rsid w:val="00820D48"/>
    <w:rsid w:val="008260E2"/>
    <w:rsid w:val="00830519"/>
    <w:rsid w:val="008322BD"/>
    <w:rsid w:val="00834F73"/>
    <w:rsid w:val="0084230A"/>
    <w:rsid w:val="0086311F"/>
    <w:rsid w:val="00864CF8"/>
    <w:rsid w:val="00866006"/>
    <w:rsid w:val="008666CD"/>
    <w:rsid w:val="00870D56"/>
    <w:rsid w:val="00873BE9"/>
    <w:rsid w:val="00874914"/>
    <w:rsid w:val="00884A88"/>
    <w:rsid w:val="00891134"/>
    <w:rsid w:val="00891157"/>
    <w:rsid w:val="00891422"/>
    <w:rsid w:val="00891FBA"/>
    <w:rsid w:val="00892E1A"/>
    <w:rsid w:val="008971EA"/>
    <w:rsid w:val="00897559"/>
    <w:rsid w:val="008A00B7"/>
    <w:rsid w:val="008A092D"/>
    <w:rsid w:val="008A1CDF"/>
    <w:rsid w:val="008A7820"/>
    <w:rsid w:val="008C01DA"/>
    <w:rsid w:val="008C168F"/>
    <w:rsid w:val="008C261C"/>
    <w:rsid w:val="008C2842"/>
    <w:rsid w:val="008D0D94"/>
    <w:rsid w:val="008D2013"/>
    <w:rsid w:val="008D22C6"/>
    <w:rsid w:val="008D58F3"/>
    <w:rsid w:val="008D689A"/>
    <w:rsid w:val="008E0210"/>
    <w:rsid w:val="008E262D"/>
    <w:rsid w:val="008E7B59"/>
    <w:rsid w:val="008F78E9"/>
    <w:rsid w:val="009003BD"/>
    <w:rsid w:val="00911B34"/>
    <w:rsid w:val="009143E3"/>
    <w:rsid w:val="00915E47"/>
    <w:rsid w:val="009179F9"/>
    <w:rsid w:val="0093397A"/>
    <w:rsid w:val="00933E5E"/>
    <w:rsid w:val="00935218"/>
    <w:rsid w:val="009375E7"/>
    <w:rsid w:val="009403F3"/>
    <w:rsid w:val="009555B7"/>
    <w:rsid w:val="009567AA"/>
    <w:rsid w:val="009572CA"/>
    <w:rsid w:val="00962A50"/>
    <w:rsid w:val="00962B37"/>
    <w:rsid w:val="00967374"/>
    <w:rsid w:val="009708A3"/>
    <w:rsid w:val="00991B20"/>
    <w:rsid w:val="009A0E4A"/>
    <w:rsid w:val="009A1094"/>
    <w:rsid w:val="009A19CF"/>
    <w:rsid w:val="009B0715"/>
    <w:rsid w:val="009B2F23"/>
    <w:rsid w:val="009B57B3"/>
    <w:rsid w:val="009C4F6B"/>
    <w:rsid w:val="009D282C"/>
    <w:rsid w:val="009D2920"/>
    <w:rsid w:val="009D4175"/>
    <w:rsid w:val="009D5AEB"/>
    <w:rsid w:val="009D72F0"/>
    <w:rsid w:val="009F0E33"/>
    <w:rsid w:val="00A00D29"/>
    <w:rsid w:val="00A149DF"/>
    <w:rsid w:val="00A21B90"/>
    <w:rsid w:val="00A27E49"/>
    <w:rsid w:val="00A27FCF"/>
    <w:rsid w:val="00A36487"/>
    <w:rsid w:val="00A37841"/>
    <w:rsid w:val="00A37BCD"/>
    <w:rsid w:val="00A41805"/>
    <w:rsid w:val="00A418C3"/>
    <w:rsid w:val="00A47404"/>
    <w:rsid w:val="00A522A7"/>
    <w:rsid w:val="00A548CB"/>
    <w:rsid w:val="00A5521C"/>
    <w:rsid w:val="00A60A19"/>
    <w:rsid w:val="00A62EC2"/>
    <w:rsid w:val="00A637C6"/>
    <w:rsid w:val="00A643E7"/>
    <w:rsid w:val="00A7312D"/>
    <w:rsid w:val="00A73C38"/>
    <w:rsid w:val="00A84F7A"/>
    <w:rsid w:val="00A93D4A"/>
    <w:rsid w:val="00A94076"/>
    <w:rsid w:val="00A9461C"/>
    <w:rsid w:val="00AA19FE"/>
    <w:rsid w:val="00AA1C85"/>
    <w:rsid w:val="00AA64BF"/>
    <w:rsid w:val="00AA6530"/>
    <w:rsid w:val="00AB0377"/>
    <w:rsid w:val="00AD4253"/>
    <w:rsid w:val="00AD7799"/>
    <w:rsid w:val="00AE5CEC"/>
    <w:rsid w:val="00AE756E"/>
    <w:rsid w:val="00AF03C5"/>
    <w:rsid w:val="00AF3301"/>
    <w:rsid w:val="00AF50AC"/>
    <w:rsid w:val="00AF6608"/>
    <w:rsid w:val="00AF6B79"/>
    <w:rsid w:val="00AF7055"/>
    <w:rsid w:val="00B000D8"/>
    <w:rsid w:val="00B00F75"/>
    <w:rsid w:val="00B025F5"/>
    <w:rsid w:val="00B145B6"/>
    <w:rsid w:val="00B20773"/>
    <w:rsid w:val="00B20E67"/>
    <w:rsid w:val="00B22AFB"/>
    <w:rsid w:val="00B243A8"/>
    <w:rsid w:val="00B26196"/>
    <w:rsid w:val="00B30D50"/>
    <w:rsid w:val="00B350EA"/>
    <w:rsid w:val="00B35F82"/>
    <w:rsid w:val="00B50C81"/>
    <w:rsid w:val="00B53FD3"/>
    <w:rsid w:val="00B557F8"/>
    <w:rsid w:val="00B57023"/>
    <w:rsid w:val="00B6195F"/>
    <w:rsid w:val="00B65D98"/>
    <w:rsid w:val="00B67792"/>
    <w:rsid w:val="00B75492"/>
    <w:rsid w:val="00B815FC"/>
    <w:rsid w:val="00B84F61"/>
    <w:rsid w:val="00B87BF3"/>
    <w:rsid w:val="00B924BB"/>
    <w:rsid w:val="00B93FBC"/>
    <w:rsid w:val="00B95020"/>
    <w:rsid w:val="00BA0D5E"/>
    <w:rsid w:val="00BA4146"/>
    <w:rsid w:val="00BA681C"/>
    <w:rsid w:val="00BB28F2"/>
    <w:rsid w:val="00BB2EE4"/>
    <w:rsid w:val="00BB7D97"/>
    <w:rsid w:val="00BC0581"/>
    <w:rsid w:val="00BC2108"/>
    <w:rsid w:val="00BC4F87"/>
    <w:rsid w:val="00BC7445"/>
    <w:rsid w:val="00BD0E9E"/>
    <w:rsid w:val="00BD1BEC"/>
    <w:rsid w:val="00BD32FF"/>
    <w:rsid w:val="00BD739D"/>
    <w:rsid w:val="00BE21B1"/>
    <w:rsid w:val="00BE6EE6"/>
    <w:rsid w:val="00BE6F1B"/>
    <w:rsid w:val="00BF584C"/>
    <w:rsid w:val="00C00C85"/>
    <w:rsid w:val="00C02092"/>
    <w:rsid w:val="00C03F0A"/>
    <w:rsid w:val="00C11153"/>
    <w:rsid w:val="00C24D91"/>
    <w:rsid w:val="00C264BD"/>
    <w:rsid w:val="00C265BA"/>
    <w:rsid w:val="00C2678C"/>
    <w:rsid w:val="00C27449"/>
    <w:rsid w:val="00C46684"/>
    <w:rsid w:val="00C51E4C"/>
    <w:rsid w:val="00C53F14"/>
    <w:rsid w:val="00C544AD"/>
    <w:rsid w:val="00C558A8"/>
    <w:rsid w:val="00C572D7"/>
    <w:rsid w:val="00C600CF"/>
    <w:rsid w:val="00C6084F"/>
    <w:rsid w:val="00C62A66"/>
    <w:rsid w:val="00C67742"/>
    <w:rsid w:val="00C71458"/>
    <w:rsid w:val="00C770EA"/>
    <w:rsid w:val="00C77613"/>
    <w:rsid w:val="00C828E7"/>
    <w:rsid w:val="00C837D1"/>
    <w:rsid w:val="00C86719"/>
    <w:rsid w:val="00C921DD"/>
    <w:rsid w:val="00CA39C5"/>
    <w:rsid w:val="00CA6391"/>
    <w:rsid w:val="00CA683B"/>
    <w:rsid w:val="00CA6B1C"/>
    <w:rsid w:val="00CB1545"/>
    <w:rsid w:val="00CB4B62"/>
    <w:rsid w:val="00CB7EDE"/>
    <w:rsid w:val="00CC012B"/>
    <w:rsid w:val="00CD1E50"/>
    <w:rsid w:val="00CD5397"/>
    <w:rsid w:val="00CD7169"/>
    <w:rsid w:val="00CE0070"/>
    <w:rsid w:val="00CE3027"/>
    <w:rsid w:val="00CE3171"/>
    <w:rsid w:val="00CE5DCC"/>
    <w:rsid w:val="00CF1601"/>
    <w:rsid w:val="00CF56C2"/>
    <w:rsid w:val="00D006FA"/>
    <w:rsid w:val="00D0172F"/>
    <w:rsid w:val="00D01D89"/>
    <w:rsid w:val="00D04798"/>
    <w:rsid w:val="00D068A7"/>
    <w:rsid w:val="00D1250F"/>
    <w:rsid w:val="00D15829"/>
    <w:rsid w:val="00D25149"/>
    <w:rsid w:val="00D32086"/>
    <w:rsid w:val="00D3324C"/>
    <w:rsid w:val="00D34DFF"/>
    <w:rsid w:val="00D37A3F"/>
    <w:rsid w:val="00D442F0"/>
    <w:rsid w:val="00D4431D"/>
    <w:rsid w:val="00D44CEF"/>
    <w:rsid w:val="00D4667A"/>
    <w:rsid w:val="00D56262"/>
    <w:rsid w:val="00D63281"/>
    <w:rsid w:val="00D70AC9"/>
    <w:rsid w:val="00D7516F"/>
    <w:rsid w:val="00D77A94"/>
    <w:rsid w:val="00D85CCA"/>
    <w:rsid w:val="00D95F8E"/>
    <w:rsid w:val="00DA0590"/>
    <w:rsid w:val="00DA3393"/>
    <w:rsid w:val="00DB0FFC"/>
    <w:rsid w:val="00DB4BD2"/>
    <w:rsid w:val="00DC1788"/>
    <w:rsid w:val="00DD2ED1"/>
    <w:rsid w:val="00DD3F43"/>
    <w:rsid w:val="00DE14F2"/>
    <w:rsid w:val="00DE319C"/>
    <w:rsid w:val="00DF0CA8"/>
    <w:rsid w:val="00DF22A6"/>
    <w:rsid w:val="00DF2B48"/>
    <w:rsid w:val="00DF3533"/>
    <w:rsid w:val="00DF49A7"/>
    <w:rsid w:val="00E00207"/>
    <w:rsid w:val="00E0718D"/>
    <w:rsid w:val="00E07EE2"/>
    <w:rsid w:val="00E07FD1"/>
    <w:rsid w:val="00E17675"/>
    <w:rsid w:val="00E24573"/>
    <w:rsid w:val="00E25E1E"/>
    <w:rsid w:val="00E274F7"/>
    <w:rsid w:val="00E27EE7"/>
    <w:rsid w:val="00E27EEC"/>
    <w:rsid w:val="00E33811"/>
    <w:rsid w:val="00E35404"/>
    <w:rsid w:val="00E37E0F"/>
    <w:rsid w:val="00E45109"/>
    <w:rsid w:val="00E4676B"/>
    <w:rsid w:val="00E47B7A"/>
    <w:rsid w:val="00E52729"/>
    <w:rsid w:val="00E534BC"/>
    <w:rsid w:val="00E6262A"/>
    <w:rsid w:val="00E64913"/>
    <w:rsid w:val="00E66E24"/>
    <w:rsid w:val="00E66EF9"/>
    <w:rsid w:val="00E70547"/>
    <w:rsid w:val="00E71C0C"/>
    <w:rsid w:val="00E725BF"/>
    <w:rsid w:val="00E8047D"/>
    <w:rsid w:val="00E874EA"/>
    <w:rsid w:val="00E929D0"/>
    <w:rsid w:val="00E9349A"/>
    <w:rsid w:val="00E97830"/>
    <w:rsid w:val="00EA2E95"/>
    <w:rsid w:val="00EB049E"/>
    <w:rsid w:val="00EB1BD7"/>
    <w:rsid w:val="00EC7FF2"/>
    <w:rsid w:val="00ED64DF"/>
    <w:rsid w:val="00EE5AA7"/>
    <w:rsid w:val="00EF0683"/>
    <w:rsid w:val="00F0070C"/>
    <w:rsid w:val="00F00EB7"/>
    <w:rsid w:val="00F026B4"/>
    <w:rsid w:val="00F02F88"/>
    <w:rsid w:val="00F05F5B"/>
    <w:rsid w:val="00F258CD"/>
    <w:rsid w:val="00F25FD6"/>
    <w:rsid w:val="00F27F0E"/>
    <w:rsid w:val="00F3441C"/>
    <w:rsid w:val="00F36AB6"/>
    <w:rsid w:val="00F3711D"/>
    <w:rsid w:val="00F37A09"/>
    <w:rsid w:val="00F409CE"/>
    <w:rsid w:val="00F417EC"/>
    <w:rsid w:val="00F4379D"/>
    <w:rsid w:val="00F5300A"/>
    <w:rsid w:val="00F60638"/>
    <w:rsid w:val="00F64715"/>
    <w:rsid w:val="00F66299"/>
    <w:rsid w:val="00F71190"/>
    <w:rsid w:val="00F76B1C"/>
    <w:rsid w:val="00F77EB4"/>
    <w:rsid w:val="00F84DF4"/>
    <w:rsid w:val="00F85C97"/>
    <w:rsid w:val="00F869F2"/>
    <w:rsid w:val="00F920F8"/>
    <w:rsid w:val="00F938D9"/>
    <w:rsid w:val="00FA28B0"/>
    <w:rsid w:val="00FA2D51"/>
    <w:rsid w:val="00FA6B99"/>
    <w:rsid w:val="00FA7EA3"/>
    <w:rsid w:val="00FB2FD5"/>
    <w:rsid w:val="00FB37D2"/>
    <w:rsid w:val="00FC4EFB"/>
    <w:rsid w:val="00FC60A9"/>
    <w:rsid w:val="00FD068D"/>
    <w:rsid w:val="00FD4F28"/>
    <w:rsid w:val="00FE59AF"/>
    <w:rsid w:val="00FE65A8"/>
    <w:rsid w:val="00FE6784"/>
    <w:rsid w:val="00FF1A7A"/>
    <w:rsid w:val="00FF2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653681"/>
    <w:rPr>
      <w:sz w:val="24"/>
      <w:szCs w:val="24"/>
    </w:rPr>
  </w:style>
  <w:style w:type="paragraph" w:styleId="Heading1">
    <w:name w:val="heading 1"/>
    <w:basedOn w:val="Normal"/>
    <w:next w:val="Normal"/>
    <w:link w:val="Heading1Char"/>
    <w:uiPriority w:val="9"/>
    <w:rsid w:val="006536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6536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A00D29"/>
    <w:pPr>
      <w:numPr>
        <w:numId w:val="6"/>
      </w:numPr>
      <w:spacing w:after="200" w:line="276" w:lineRule="auto"/>
      <w:outlineLvl w:val="2"/>
    </w:pPr>
    <w:rPr>
      <w:bCs w:val="0"/>
      <w:u w:val="single"/>
      <w:lang w:val="en-US" w:eastAsia="en-US"/>
    </w:rPr>
  </w:style>
  <w:style w:type="paragraph" w:styleId="Heading4">
    <w:name w:val="heading 4"/>
    <w:next w:val="Normal"/>
    <w:link w:val="Heading4Char"/>
    <w:uiPriority w:val="9"/>
    <w:unhideWhenUsed/>
    <w:rsid w:val="00A00D29"/>
    <w:pPr>
      <w:keepNext/>
      <w:keepLines/>
      <w:numPr>
        <w:numId w:val="7"/>
      </w:numPr>
      <w:spacing w:before="200" w:after="120"/>
      <w:outlineLvl w:val="3"/>
    </w:pPr>
    <w:rPr>
      <w:rFonts w:eastAsiaTheme="majorEastAsia" w:cstheme="majorBidi"/>
      <w:bCs/>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681"/>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653681"/>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653681"/>
    <w:rPr>
      <w:color w:val="808080"/>
    </w:rPr>
  </w:style>
  <w:style w:type="paragraph" w:styleId="BalloonText">
    <w:name w:val="Balloon Text"/>
    <w:basedOn w:val="Normal"/>
    <w:link w:val="BalloonTextChar"/>
    <w:uiPriority w:val="99"/>
    <w:semiHidden/>
    <w:unhideWhenUsed/>
    <w:rsid w:val="00653681"/>
    <w:rPr>
      <w:rFonts w:ascii="Tahoma" w:hAnsi="Tahoma" w:cs="Tahoma"/>
      <w:sz w:val="16"/>
      <w:szCs w:val="16"/>
    </w:rPr>
  </w:style>
  <w:style w:type="character" w:customStyle="1" w:styleId="BalloonTextChar">
    <w:name w:val="Balloon Text Char"/>
    <w:basedOn w:val="DefaultParagraphFont"/>
    <w:link w:val="BalloonText"/>
    <w:uiPriority w:val="99"/>
    <w:semiHidden/>
    <w:rsid w:val="00653681"/>
    <w:rPr>
      <w:rFonts w:ascii="Tahoma" w:hAnsi="Tahoma" w:cs="Tahoma"/>
      <w:sz w:val="16"/>
      <w:szCs w:val="16"/>
    </w:rPr>
  </w:style>
  <w:style w:type="paragraph" w:styleId="Header">
    <w:name w:val="header"/>
    <w:basedOn w:val="Normal"/>
    <w:link w:val="HeaderChar"/>
    <w:uiPriority w:val="99"/>
    <w:unhideWhenUsed/>
    <w:rsid w:val="00653681"/>
    <w:pPr>
      <w:tabs>
        <w:tab w:val="center" w:pos="4680"/>
        <w:tab w:val="right" w:pos="9360"/>
      </w:tabs>
    </w:pPr>
  </w:style>
  <w:style w:type="character" w:customStyle="1" w:styleId="HeaderChar">
    <w:name w:val="Header Char"/>
    <w:basedOn w:val="DefaultParagraphFont"/>
    <w:link w:val="Header"/>
    <w:uiPriority w:val="99"/>
    <w:rsid w:val="00653681"/>
    <w:rPr>
      <w:sz w:val="24"/>
      <w:szCs w:val="24"/>
    </w:rPr>
  </w:style>
  <w:style w:type="paragraph" w:styleId="Footer">
    <w:name w:val="footer"/>
    <w:basedOn w:val="Normal"/>
    <w:link w:val="FooterChar"/>
    <w:uiPriority w:val="99"/>
    <w:semiHidden/>
    <w:unhideWhenUsed/>
    <w:rsid w:val="00653681"/>
    <w:pPr>
      <w:tabs>
        <w:tab w:val="center" w:pos="4680"/>
        <w:tab w:val="right" w:pos="9360"/>
      </w:tabs>
    </w:pPr>
  </w:style>
  <w:style w:type="character" w:customStyle="1" w:styleId="FooterChar">
    <w:name w:val="Footer Char"/>
    <w:basedOn w:val="DefaultParagraphFont"/>
    <w:link w:val="Footer"/>
    <w:uiPriority w:val="99"/>
    <w:semiHidden/>
    <w:rsid w:val="00653681"/>
    <w:rPr>
      <w:sz w:val="24"/>
      <w:szCs w:val="24"/>
    </w:rPr>
  </w:style>
  <w:style w:type="paragraph" w:customStyle="1" w:styleId="SCCLsocParty">
    <w:name w:val="SCC.Lsoc.Party"/>
    <w:basedOn w:val="Normal"/>
    <w:next w:val="Normal"/>
    <w:link w:val="SCCLsocPartyChar"/>
    <w:rsid w:val="00653681"/>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653681"/>
    <w:rPr>
      <w:rFonts w:eastAsiaTheme="minorHAnsi" w:cstheme="minorBidi"/>
      <w:sz w:val="24"/>
      <w:szCs w:val="22"/>
      <w:lang w:eastAsia="en-US"/>
    </w:rPr>
  </w:style>
  <w:style w:type="paragraph" w:customStyle="1" w:styleId="SCCLsocVersus">
    <w:name w:val="SCC.Lsoc.Versus"/>
    <w:basedOn w:val="Normal"/>
    <w:next w:val="Normal"/>
    <w:link w:val="SCCLsocVersusChar"/>
    <w:rsid w:val="00E534BC"/>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653681"/>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E534BC"/>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653681"/>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653681"/>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653681"/>
    <w:rPr>
      <w:rFonts w:eastAsiaTheme="minorHAnsi" w:cstheme="minorBidi"/>
      <w:sz w:val="24"/>
      <w:szCs w:val="22"/>
      <w:lang w:eastAsia="en-US"/>
    </w:rPr>
  </w:style>
  <w:style w:type="character" w:customStyle="1" w:styleId="Heading1Char">
    <w:name w:val="Heading 1 Char"/>
    <w:basedOn w:val="DefaultParagraphFont"/>
    <w:link w:val="Heading1"/>
    <w:uiPriority w:val="9"/>
    <w:rsid w:val="00653681"/>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653681"/>
    <w:pPr>
      <w:jc w:val="right"/>
    </w:pPr>
    <w:rPr>
      <w:rFonts w:eastAsiaTheme="minorEastAsia"/>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styleId="Hyperlink">
    <w:name w:val="Hyperlink"/>
    <w:basedOn w:val="DefaultParagraphFont"/>
    <w:uiPriority w:val="99"/>
    <w:unhideWhenUsed/>
    <w:rsid w:val="00653681"/>
    <w:rPr>
      <w:color w:val="0000FF" w:themeColor="hyperlink"/>
      <w:u w:val="single"/>
    </w:rPr>
  </w:style>
  <w:style w:type="paragraph" w:styleId="NoSpacing">
    <w:name w:val="No Spacing"/>
    <w:link w:val="NoSpacingChar"/>
    <w:uiPriority w:val="1"/>
    <w:qFormat/>
    <w:rsid w:val="005F411C"/>
    <w:rPr>
      <w:sz w:val="24"/>
    </w:rPr>
  </w:style>
  <w:style w:type="character" w:customStyle="1" w:styleId="NoSpacingChar">
    <w:name w:val="No Spacing Char"/>
    <w:basedOn w:val="DefaultParagraphFont"/>
    <w:link w:val="NoSpacing"/>
    <w:uiPriority w:val="1"/>
    <w:rsid w:val="005F411C"/>
    <w:rPr>
      <w:sz w:val="24"/>
    </w:rPr>
  </w:style>
  <w:style w:type="paragraph" w:styleId="ListParagraph">
    <w:name w:val="List Paragraph"/>
    <w:aliases w:val="Judgment Paragraph - numbered"/>
    <w:basedOn w:val="Normal"/>
    <w:link w:val="ListParagraphChar"/>
    <w:uiPriority w:val="34"/>
    <w:qFormat/>
    <w:rsid w:val="00653681"/>
    <w:pPr>
      <w:ind w:left="720"/>
    </w:pPr>
  </w:style>
  <w:style w:type="character" w:customStyle="1" w:styleId="ListParagraphChar">
    <w:name w:val="List Paragraph Char"/>
    <w:aliases w:val="Judgment Paragraph - numbered Char"/>
    <w:basedOn w:val="DefaultParagraphFont"/>
    <w:link w:val="ListParagraph"/>
    <w:uiPriority w:val="34"/>
    <w:rsid w:val="003A50F0"/>
    <w:rPr>
      <w:sz w:val="24"/>
      <w:szCs w:val="24"/>
    </w:rPr>
  </w:style>
  <w:style w:type="paragraph" w:customStyle="1" w:styleId="JudgmentText">
    <w:name w:val="Judgment Text"/>
    <w:basedOn w:val="ListParagraph"/>
    <w:link w:val="JudgmentTextChar1"/>
    <w:qFormat/>
    <w:rsid w:val="003A50F0"/>
    <w:pPr>
      <w:numPr>
        <w:numId w:val="1"/>
      </w:numPr>
      <w:tabs>
        <w:tab w:val="left" w:pos="1170"/>
      </w:tabs>
      <w:spacing w:after="480" w:line="480" w:lineRule="auto"/>
      <w:jc w:val="both"/>
    </w:pPr>
  </w:style>
  <w:style w:type="character" w:customStyle="1" w:styleId="JudgmentTextChar1">
    <w:name w:val="Judgment Text Char1"/>
    <w:basedOn w:val="ListParagraphChar"/>
    <w:link w:val="JudgmentText"/>
    <w:rsid w:val="003A50F0"/>
  </w:style>
  <w:style w:type="paragraph" w:customStyle="1" w:styleId="ReasonsNumbering-AltN">
    <w:name w:val="Reasons Numbering - Alt N"/>
    <w:qFormat/>
    <w:rsid w:val="00CA6B1C"/>
    <w:pPr>
      <w:numPr>
        <w:numId w:val="2"/>
      </w:numPr>
      <w:tabs>
        <w:tab w:val="left" w:pos="1152"/>
      </w:tabs>
      <w:spacing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653681"/>
    <w:pPr>
      <w:spacing w:after="720"/>
      <w:ind w:left="1166"/>
      <w:contextualSpacing/>
      <w:jc w:val="both"/>
    </w:pPr>
    <w:rPr>
      <w:sz w:val="24"/>
      <w:szCs w:val="24"/>
    </w:rPr>
  </w:style>
  <w:style w:type="paragraph" w:customStyle="1" w:styleId="HeadingTitre-AltH">
    <w:name w:val="Heading / Titre - Alt H"/>
    <w:next w:val="Normal"/>
    <w:uiPriority w:val="3"/>
    <w:qFormat/>
    <w:rsid w:val="00CA6B1C"/>
    <w:pPr>
      <w:tabs>
        <w:tab w:val="left" w:pos="360"/>
      </w:tabs>
      <w:spacing w:before="480" w:after="480"/>
      <w:ind w:left="360" w:hanging="360"/>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534BC"/>
    <w:pPr>
      <w:spacing w:after="480"/>
    </w:pPr>
    <w:rPr>
      <w:rFonts w:eastAsiaTheme="minorHAnsi" w:cstheme="minorBidi"/>
      <w:szCs w:val="22"/>
      <w:lang w:eastAsia="en-US"/>
    </w:rPr>
  </w:style>
  <w:style w:type="paragraph" w:customStyle="1" w:styleId="SCCCoram">
    <w:name w:val="SCC.Coram"/>
    <w:basedOn w:val="Normal"/>
    <w:next w:val="Normal"/>
    <w:link w:val="SCCCoramChar"/>
    <w:rsid w:val="0065368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5368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53681"/>
    <w:rPr>
      <w:rFonts w:eastAsiaTheme="minorHAnsi" w:cstheme="minorBidi"/>
      <w:sz w:val="24"/>
      <w:szCs w:val="22"/>
      <w:lang w:eastAsia="en-US"/>
    </w:rPr>
  </w:style>
  <w:style w:type="character" w:customStyle="1" w:styleId="SCCBanSummaryChar">
    <w:name w:val="SCC.BanSummary Char"/>
    <w:basedOn w:val="DefaultParagraphFont"/>
    <w:link w:val="SCCBanSummary"/>
    <w:rsid w:val="00653681"/>
    <w:rPr>
      <w:rFonts w:eastAsiaTheme="minorEastAsia"/>
      <w:b/>
      <w:sz w:val="24"/>
      <w:szCs w:val="24"/>
    </w:rPr>
  </w:style>
  <w:style w:type="table" w:styleId="TableGrid">
    <w:name w:val="Table Grid"/>
    <w:basedOn w:val="TableNormal"/>
    <w:uiPriority w:val="59"/>
    <w:rsid w:val="00653681"/>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A00D29"/>
    <w:pPr>
      <w:spacing w:after="720"/>
      <w:ind w:left="1166"/>
      <w:contextualSpacing/>
      <w:jc w:val="both"/>
    </w:pPr>
  </w:style>
  <w:style w:type="paragraph" w:customStyle="1" w:styleId="Level1">
    <w:name w:val="Level 1"/>
    <w:basedOn w:val="Normal"/>
    <w:rsid w:val="00A00D29"/>
    <w:pPr>
      <w:widowControl w:val="0"/>
    </w:pPr>
    <w:rPr>
      <w:lang w:val="en-US"/>
    </w:rPr>
  </w:style>
  <w:style w:type="character" w:styleId="CommentReference">
    <w:name w:val="annotation reference"/>
    <w:basedOn w:val="DefaultParagraphFont"/>
    <w:uiPriority w:val="99"/>
    <w:semiHidden/>
    <w:unhideWhenUsed/>
    <w:rsid w:val="00653681"/>
    <w:rPr>
      <w:sz w:val="16"/>
      <w:szCs w:val="16"/>
    </w:rPr>
  </w:style>
  <w:style w:type="paragraph" w:styleId="CommentText">
    <w:name w:val="annotation text"/>
    <w:basedOn w:val="Normal"/>
    <w:link w:val="CommentTextChar"/>
    <w:uiPriority w:val="99"/>
    <w:semiHidden/>
    <w:unhideWhenUsed/>
    <w:rsid w:val="00653681"/>
    <w:rPr>
      <w:sz w:val="20"/>
    </w:rPr>
  </w:style>
  <w:style w:type="character" w:customStyle="1" w:styleId="CommentTextChar">
    <w:name w:val="Comment Text Char"/>
    <w:basedOn w:val="DefaultParagraphFont"/>
    <w:link w:val="CommentText"/>
    <w:uiPriority w:val="99"/>
    <w:semiHidden/>
    <w:rsid w:val="00653681"/>
    <w:rPr>
      <w:szCs w:val="24"/>
    </w:rPr>
  </w:style>
  <w:style w:type="paragraph" w:styleId="CommentSubject">
    <w:name w:val="annotation subject"/>
    <w:basedOn w:val="CommentText"/>
    <w:next w:val="CommentText"/>
    <w:link w:val="CommentSubjectChar"/>
    <w:uiPriority w:val="99"/>
    <w:semiHidden/>
    <w:unhideWhenUsed/>
    <w:rsid w:val="00653681"/>
    <w:rPr>
      <w:b/>
      <w:bCs/>
    </w:rPr>
  </w:style>
  <w:style w:type="character" w:customStyle="1" w:styleId="CommentSubjectChar">
    <w:name w:val="Comment Subject Char"/>
    <w:basedOn w:val="CommentTextChar"/>
    <w:link w:val="CommentSubject"/>
    <w:uiPriority w:val="99"/>
    <w:semiHidden/>
    <w:rsid w:val="00653681"/>
    <w:rPr>
      <w:b/>
      <w:bCs/>
    </w:rPr>
  </w:style>
  <w:style w:type="paragraph" w:styleId="Revision">
    <w:name w:val="Revision"/>
    <w:hidden/>
    <w:uiPriority w:val="99"/>
    <w:semiHidden/>
    <w:rsid w:val="00A00D29"/>
    <w:rPr>
      <w:sz w:val="24"/>
    </w:rPr>
  </w:style>
  <w:style w:type="paragraph" w:customStyle="1" w:styleId="InQuote">
    <w:name w:val="In Quote"/>
    <w:basedOn w:val="Normal"/>
    <w:link w:val="InQuoteChar"/>
    <w:qFormat/>
    <w:rsid w:val="00A00D29"/>
    <w:pPr>
      <w:spacing w:before="100" w:beforeAutospacing="1" w:after="100" w:afterAutospacing="1"/>
      <w:ind w:left="360" w:right="360"/>
      <w:jc w:val="both"/>
    </w:pPr>
    <w:rPr>
      <w:lang w:val="en-US" w:eastAsia="en-US"/>
    </w:rPr>
  </w:style>
  <w:style w:type="character" w:customStyle="1" w:styleId="InQuoteChar">
    <w:name w:val="In Quote Char"/>
    <w:basedOn w:val="DefaultParagraphFont"/>
    <w:link w:val="InQuote"/>
    <w:rsid w:val="00A00D29"/>
    <w:rPr>
      <w:sz w:val="24"/>
      <w:szCs w:val="24"/>
      <w:lang w:val="en-US" w:eastAsia="en-US"/>
    </w:rPr>
  </w:style>
  <w:style w:type="character" w:customStyle="1" w:styleId="documentbody">
    <w:name w:val="documentbody"/>
    <w:basedOn w:val="DefaultParagraphFont"/>
    <w:rsid w:val="00A00D29"/>
  </w:style>
  <w:style w:type="character" w:customStyle="1" w:styleId="searchterm">
    <w:name w:val="searchterm"/>
    <w:basedOn w:val="DefaultParagraphFont"/>
    <w:rsid w:val="00A00D29"/>
  </w:style>
  <w:style w:type="paragraph" w:customStyle="1" w:styleId="Paranumber">
    <w:name w:val="Para number"/>
    <w:basedOn w:val="ListParagraph"/>
    <w:link w:val="ParanumberChar"/>
    <w:qFormat/>
    <w:rsid w:val="00A00D29"/>
    <w:pPr>
      <w:numPr>
        <w:numId w:val="3"/>
      </w:numPr>
      <w:shd w:val="clear" w:color="000000" w:fill="auto"/>
      <w:tabs>
        <w:tab w:val="left" w:pos="1170"/>
      </w:tabs>
      <w:spacing w:after="480" w:line="480" w:lineRule="auto"/>
      <w:ind w:left="0" w:firstLine="0"/>
      <w:jc w:val="both"/>
    </w:pPr>
    <w:rPr>
      <w:color w:val="000000"/>
    </w:rPr>
  </w:style>
  <w:style w:type="paragraph" w:customStyle="1" w:styleId="para">
    <w:name w:val="para"/>
    <w:basedOn w:val="Normal"/>
    <w:link w:val="paraChar"/>
    <w:qFormat/>
    <w:rsid w:val="00A00D29"/>
    <w:pPr>
      <w:widowControl w:val="0"/>
      <w:spacing w:before="120" w:after="120" w:line="0" w:lineRule="atLeast"/>
      <w:ind w:firstLine="720"/>
      <w:jc w:val="both"/>
    </w:pPr>
    <w:rPr>
      <w:lang w:val="en-US"/>
    </w:rPr>
  </w:style>
  <w:style w:type="character" w:customStyle="1" w:styleId="ParanumberChar">
    <w:name w:val="Para number Char"/>
    <w:basedOn w:val="ListParagraphChar"/>
    <w:link w:val="Paranumber"/>
    <w:rsid w:val="00A00D29"/>
    <w:rPr>
      <w:color w:val="000000"/>
      <w:shd w:val="clear" w:color="000000" w:fill="auto"/>
    </w:rPr>
  </w:style>
  <w:style w:type="character" w:customStyle="1" w:styleId="paraChar">
    <w:name w:val="para Char"/>
    <w:basedOn w:val="DefaultParagraphFont"/>
    <w:link w:val="para"/>
    <w:rsid w:val="00A00D29"/>
    <w:rPr>
      <w:sz w:val="24"/>
      <w:lang w:val="en-US"/>
    </w:rPr>
  </w:style>
  <w:style w:type="paragraph" w:customStyle="1" w:styleId="BulletedList">
    <w:name w:val="Bulleted List"/>
    <w:next w:val="Normal"/>
    <w:qFormat/>
    <w:rsid w:val="00A00D29"/>
    <w:pPr>
      <w:numPr>
        <w:numId w:val="4"/>
      </w:numPr>
      <w:shd w:val="clear" w:color="000000" w:fill="auto"/>
      <w:tabs>
        <w:tab w:val="left" w:pos="1170"/>
      </w:tabs>
      <w:spacing w:after="480" w:line="480" w:lineRule="auto"/>
      <w:jc w:val="both"/>
    </w:pPr>
    <w:rPr>
      <w:color w:val="000000"/>
      <w:sz w:val="24"/>
    </w:rPr>
  </w:style>
  <w:style w:type="character" w:customStyle="1" w:styleId="Heading3Char">
    <w:name w:val="Heading 3 Char"/>
    <w:basedOn w:val="DefaultParagraphFont"/>
    <w:link w:val="Heading3"/>
    <w:uiPriority w:val="9"/>
    <w:rsid w:val="00A00D29"/>
    <w:rPr>
      <w:rFonts w:asciiTheme="majorHAnsi" w:eastAsiaTheme="majorEastAsia" w:hAnsiTheme="majorHAnsi" w:cstheme="majorBidi"/>
      <w:b/>
      <w:color w:val="4F81BD" w:themeColor="accent1"/>
      <w:sz w:val="26"/>
      <w:szCs w:val="26"/>
      <w:u w:val="single"/>
      <w:lang w:val="en-US" w:eastAsia="en-US"/>
    </w:rPr>
  </w:style>
  <w:style w:type="character" w:customStyle="1" w:styleId="Heading4Char">
    <w:name w:val="Heading 4 Char"/>
    <w:basedOn w:val="DefaultParagraphFont"/>
    <w:link w:val="Heading4"/>
    <w:uiPriority w:val="9"/>
    <w:rsid w:val="00A00D29"/>
    <w:rPr>
      <w:rFonts w:eastAsiaTheme="majorEastAsia" w:cstheme="majorBidi"/>
      <w:bCs/>
      <w:i/>
      <w:iCs/>
      <w:sz w:val="24"/>
      <w:lang w:val="en-US"/>
    </w:rPr>
  </w:style>
  <w:style w:type="paragraph" w:customStyle="1" w:styleId="ContinueReasonsNo-AltP">
    <w:name w:val="Continue Reasons No # - Alt P"/>
    <w:next w:val="ReasonsNumbering-AltN"/>
    <w:uiPriority w:val="1"/>
    <w:qFormat/>
    <w:rsid w:val="00A00D2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653681"/>
    <w:pPr>
      <w:tabs>
        <w:tab w:val="left" w:pos="1166"/>
      </w:tabs>
      <w:spacing w:after="480" w:line="480" w:lineRule="auto"/>
    </w:pPr>
    <w:rPr>
      <w:smallCaps/>
      <w:sz w:val="24"/>
      <w:szCs w:val="24"/>
    </w:rPr>
  </w:style>
  <w:style w:type="paragraph" w:customStyle="1" w:styleId="ContinueParaSuitedupar-AltP">
    <w:name w:val="Continue Para. / Suite du par. - Alt P"/>
    <w:next w:val="ParaNoNdepar-AltN"/>
    <w:uiPriority w:val="1"/>
    <w:qFormat/>
    <w:rsid w:val="00653681"/>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653681"/>
    <w:pPr>
      <w:numPr>
        <w:numId w:val="8"/>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E534BC"/>
    <w:rPr>
      <w:smallCaps/>
      <w:sz w:val="24"/>
      <w:szCs w:val="24"/>
    </w:rPr>
  </w:style>
  <w:style w:type="paragraph" w:customStyle="1" w:styleId="Citation1">
    <w:name w:val="Citation1"/>
    <w:basedOn w:val="Normal"/>
    <w:qFormat/>
    <w:rsid w:val="00A00D29"/>
    <w:pPr>
      <w:spacing w:after="720"/>
      <w:ind w:left="1166"/>
      <w:contextualSpacing/>
      <w:jc w:val="both"/>
    </w:pPr>
  </w:style>
  <w:style w:type="paragraph" w:customStyle="1" w:styleId="11">
    <w:name w:val="11"/>
    <w:basedOn w:val="Normal"/>
    <w:rsid w:val="00A00D29"/>
    <w:pPr>
      <w:autoSpaceDE w:val="0"/>
      <w:autoSpaceDN w:val="0"/>
      <w:ind w:hanging="720"/>
    </w:pPr>
    <w:rPr>
      <w:lang w:val="en-US" w:eastAsia="en-US"/>
    </w:rPr>
  </w:style>
  <w:style w:type="paragraph" w:styleId="FootnoteText">
    <w:name w:val="footnote text"/>
    <w:basedOn w:val="Normal"/>
    <w:link w:val="FootnoteTextChar"/>
    <w:uiPriority w:val="99"/>
    <w:semiHidden/>
    <w:unhideWhenUsed/>
    <w:rsid w:val="00653681"/>
    <w:rPr>
      <w:sz w:val="20"/>
      <w:szCs w:val="20"/>
    </w:rPr>
  </w:style>
  <w:style w:type="character" w:customStyle="1" w:styleId="FootnoteTextChar">
    <w:name w:val="Footnote Text Char"/>
    <w:basedOn w:val="DefaultParagraphFont"/>
    <w:link w:val="FootnoteText"/>
    <w:uiPriority w:val="99"/>
    <w:semiHidden/>
    <w:rsid w:val="00653681"/>
  </w:style>
  <w:style w:type="character" w:styleId="FootnoteReference">
    <w:name w:val="footnote reference"/>
    <w:basedOn w:val="DefaultParagraphFont"/>
    <w:uiPriority w:val="99"/>
    <w:semiHidden/>
    <w:unhideWhenUsed/>
    <w:rsid w:val="00653681"/>
    <w:rPr>
      <w:vertAlign w:val="superscript"/>
    </w:rPr>
  </w:style>
  <w:style w:type="character" w:customStyle="1" w:styleId="title1">
    <w:name w:val="title1"/>
    <w:basedOn w:val="DefaultParagraphFont"/>
    <w:rsid w:val="00A00D29"/>
    <w:rPr>
      <w:i w:val="0"/>
      <w:iCs w:val="0"/>
    </w:rPr>
  </w:style>
  <w:style w:type="character" w:customStyle="1" w:styleId="reportcite">
    <w:name w:val="reportcite"/>
    <w:basedOn w:val="DefaultParagraphFont"/>
    <w:rsid w:val="00A00D29"/>
  </w:style>
  <w:style w:type="character" w:customStyle="1" w:styleId="JudgmentTextChar">
    <w:name w:val="Judgment Text Char"/>
    <w:basedOn w:val="ListParagraphChar"/>
    <w:rsid w:val="00A00D29"/>
  </w:style>
  <w:style w:type="paragraph" w:customStyle="1" w:styleId="JudgmentText-nonumbering">
    <w:name w:val="Judgment Text - no numbering"/>
    <w:basedOn w:val="JudgmentText"/>
    <w:link w:val="JudgmentText-nonumberingChar"/>
    <w:qFormat/>
    <w:rsid w:val="00A00D29"/>
    <w:pPr>
      <w:numPr>
        <w:numId w:val="0"/>
      </w:numPr>
    </w:pPr>
  </w:style>
  <w:style w:type="character" w:customStyle="1" w:styleId="JudgmentText-nonumberingChar">
    <w:name w:val="Judgment Text - no numbering Char"/>
    <w:basedOn w:val="JudgmentTextChar1"/>
    <w:link w:val="JudgmentText-nonumbering"/>
    <w:rsid w:val="00A00D29"/>
  </w:style>
  <w:style w:type="paragraph" w:customStyle="1" w:styleId="Default">
    <w:name w:val="Default"/>
    <w:rsid w:val="00A00D29"/>
    <w:pPr>
      <w:autoSpaceDE w:val="0"/>
      <w:autoSpaceDN w:val="0"/>
      <w:adjustRightInd w:val="0"/>
    </w:pPr>
    <w:rPr>
      <w:rFonts w:eastAsiaTheme="minorEastAsia"/>
      <w:color w:val="000000"/>
      <w:sz w:val="24"/>
      <w:szCs w:val="24"/>
      <w:lang w:val="en-US" w:eastAsia="en-US"/>
    </w:rPr>
  </w:style>
  <w:style w:type="paragraph" w:customStyle="1" w:styleId="FactumText">
    <w:name w:val="Factum Text"/>
    <w:basedOn w:val="Default"/>
    <w:next w:val="Default"/>
    <w:uiPriority w:val="99"/>
    <w:rsid w:val="00A00D29"/>
    <w:rPr>
      <w:color w:val="auto"/>
    </w:rPr>
  </w:style>
  <w:style w:type="character" w:customStyle="1" w:styleId="bold1">
    <w:name w:val="bold1"/>
    <w:basedOn w:val="DefaultParagraphFont"/>
    <w:rsid w:val="00A00D29"/>
    <w:rPr>
      <w:b/>
      <w:bCs/>
    </w:rPr>
  </w:style>
  <w:style w:type="character" w:customStyle="1" w:styleId="ssl21">
    <w:name w:val="ss_l21"/>
    <w:basedOn w:val="DefaultParagraphFont"/>
    <w:rsid w:val="00A00D29"/>
    <w:rPr>
      <w:color w:val="000000"/>
      <w:sz w:val="24"/>
      <w:szCs w:val="24"/>
    </w:rPr>
  </w:style>
  <w:style w:type="character" w:customStyle="1" w:styleId="hit1">
    <w:name w:val="hit1"/>
    <w:basedOn w:val="DefaultParagraphFont"/>
    <w:rsid w:val="00A00D29"/>
    <w:rPr>
      <w:b/>
      <w:bCs/>
      <w:color w:val="CC0033"/>
    </w:rPr>
  </w:style>
  <w:style w:type="paragraph" w:customStyle="1" w:styleId="TitleTitre-AltT">
    <w:name w:val="Title / Titre - Alt T"/>
    <w:next w:val="ParaNoNdepar-AltN"/>
    <w:uiPriority w:val="3"/>
    <w:qFormat/>
    <w:rsid w:val="00653681"/>
    <w:pPr>
      <w:tabs>
        <w:tab w:val="left" w:pos="360"/>
      </w:tabs>
      <w:spacing w:before="480" w:after="720"/>
      <w:ind w:left="360" w:hanging="360"/>
      <w:jc w:val="both"/>
    </w:pPr>
    <w:rPr>
      <w:rFonts w:eastAsiaTheme="minorHAnsi" w:cstheme="minorBidi"/>
      <w:sz w:val="24"/>
      <w:szCs w:val="22"/>
      <w:lang w:eastAsia="en-US"/>
    </w:rPr>
  </w:style>
  <w:style w:type="paragraph" w:customStyle="1" w:styleId="SCCNormal">
    <w:name w:val="SCC.Normal"/>
    <w:autoRedefine/>
    <w:rsid w:val="00653681"/>
    <w:rPr>
      <w:rFonts w:eastAsiaTheme="minorEastAsia"/>
      <w:sz w:val="24"/>
      <w:szCs w:val="24"/>
    </w:rPr>
  </w:style>
  <w:style w:type="paragraph" w:customStyle="1" w:styleId="SCCCirculationDate">
    <w:name w:val="SCC.CirculationDate"/>
    <w:basedOn w:val="SCCNormal"/>
    <w:next w:val="SCCNormal"/>
    <w:autoRedefine/>
    <w:rsid w:val="00653681"/>
    <w:pPr>
      <w:jc w:val="right"/>
    </w:pPr>
  </w:style>
  <w:style w:type="paragraph" w:customStyle="1" w:styleId="SCCCitationTitle">
    <w:name w:val="SCC.CitationTitle"/>
    <w:basedOn w:val="SCCNormal"/>
    <w:next w:val="SCCNormal"/>
    <w:autoRedefine/>
    <w:rsid w:val="00653681"/>
    <w:pPr>
      <w:jc w:val="center"/>
    </w:pPr>
    <w:rPr>
      <w:b/>
      <w:sz w:val="28"/>
    </w:rPr>
  </w:style>
  <w:style w:type="paragraph" w:customStyle="1" w:styleId="SCCConcurringJudge">
    <w:name w:val="SCC.ConcurringJudge"/>
    <w:basedOn w:val="SCCNormal"/>
    <w:next w:val="SCCNormal"/>
    <w:autoRedefine/>
    <w:rsid w:val="00653681"/>
    <w:rPr>
      <w:u w:val="single"/>
    </w:rPr>
  </w:style>
  <w:style w:type="paragraph" w:customStyle="1" w:styleId="SCCFileNumber">
    <w:name w:val="SCC.FileNumber"/>
    <w:basedOn w:val="SCCNormal"/>
    <w:next w:val="SCCNormal"/>
    <w:autoRedefine/>
    <w:rsid w:val="00653681"/>
    <w:pPr>
      <w:jc w:val="right"/>
    </w:pPr>
  </w:style>
  <w:style w:type="character" w:customStyle="1" w:styleId="SCCLowerCourtNameLowerCase0">
    <w:name w:val="SCC.LowerCourtNameLowerCase"/>
    <w:rsid w:val="00653681"/>
    <w:rPr>
      <w:smallCaps/>
    </w:rPr>
  </w:style>
  <w:style w:type="paragraph" w:customStyle="1" w:styleId="SCCProtected">
    <w:name w:val="SCC.Protected"/>
    <w:basedOn w:val="SCCNormal"/>
    <w:next w:val="SCCNormal"/>
    <w:autoRedefine/>
    <w:rsid w:val="00653681"/>
    <w:pPr>
      <w:jc w:val="right"/>
    </w:pPr>
    <w:rPr>
      <w:b/>
    </w:rPr>
  </w:style>
  <w:style w:type="paragraph" w:customStyle="1" w:styleId="SCCPublicationBanSummary">
    <w:name w:val="SCC.PublicationBanSummary"/>
    <w:basedOn w:val="SCCNormal"/>
    <w:next w:val="SCCNormal"/>
    <w:autoRedefine/>
    <w:rsid w:val="00653681"/>
    <w:pPr>
      <w:jc w:val="right"/>
    </w:pPr>
    <w:rPr>
      <w:b/>
    </w:rPr>
  </w:style>
  <w:style w:type="character" w:customStyle="1" w:styleId="SCCReasonsAuthor">
    <w:name w:val="SCC.ReasonsAuthor"/>
    <w:basedOn w:val="DefaultParagraphFont"/>
    <w:uiPriority w:val="1"/>
    <w:rsid w:val="00653681"/>
    <w:rPr>
      <w:rFonts w:ascii="Times New Roman" w:eastAsiaTheme="minorEastAsia" w:hAnsi="Times New Roman" w:cs="Times New Roman"/>
      <w:sz w:val="24"/>
      <w:szCs w:val="24"/>
      <w:lang w:val="en-CA" w:eastAsia="en-CA"/>
    </w:rPr>
  </w:style>
  <w:style w:type="character" w:customStyle="1" w:styleId="SCCRunningHead">
    <w:name w:val="SCC.RunningHead"/>
    <w:rsid w:val="00653681"/>
    <w:rPr>
      <w:smallCaps/>
    </w:rPr>
  </w:style>
  <w:style w:type="paragraph" w:customStyle="1" w:styleId="SCCSubTitle">
    <w:name w:val="SCC.SubTitle"/>
    <w:basedOn w:val="SCCNormal"/>
    <w:next w:val="SCCNormal"/>
    <w:rsid w:val="00653681"/>
    <w:rPr>
      <w:b/>
      <w:sz w:val="28"/>
    </w:rPr>
  </w:style>
  <w:style w:type="paragraph" w:customStyle="1" w:styleId="SCCTitleStyle">
    <w:name w:val="SCC.TitleStyle"/>
    <w:basedOn w:val="SCCNormal"/>
    <w:next w:val="SCCNormal"/>
    <w:autoRedefine/>
    <w:rsid w:val="00653681"/>
    <w:rPr>
      <w:b/>
      <w:sz w:val="32"/>
    </w:rPr>
  </w:style>
  <w:style w:type="character" w:customStyle="1" w:styleId="SCCVersusStyle">
    <w:name w:val="SCC.VersusStyle"/>
    <w:basedOn w:val="DefaultParagraphFont"/>
    <w:rsid w:val="00653681"/>
    <w:rPr>
      <w:b/>
      <w:i/>
      <w:iCs/>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CCMACROS\Manual%20Track%20Changes%20Remove%20Markin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507C-9D5C-4E49-8D79-7DE98C61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 Track Changes Remove Markings.dotm</Template>
  <TotalTime>0</TotalTime>
  <Pages>207</Pages>
  <Words>51333</Words>
  <Characters>272446</Characters>
  <Application>Microsoft Office Word</Application>
  <DocSecurity>0</DocSecurity>
  <Lines>2270</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2011-05-18T13:32:00Z</dcterms:created>
  <dcterms:modified xsi:type="dcterms:W3CDTF">2012-09-26T14:36:00Z</dcterms:modified>
</cp:coreProperties>
</file>