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88" w:rsidRDefault="00E41888" w:rsidP="00E4188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391237094" r:id="rId8"/>
        </w:object>
      </w:r>
      <w:r>
        <w:t xml:space="preserve"> </w:t>
      </w:r>
      <w:r>
        <w:ptab w:relativeTo="margin" w:alignment="right" w:leader="none"/>
      </w:r>
    </w:p>
    <w:p w:rsidR="00E41888" w:rsidRDefault="00E41888" w:rsidP="00E41888">
      <w:pPr>
        <w:pStyle w:val="Header"/>
      </w:pPr>
    </w:p>
    <w:p w:rsidR="00E41888" w:rsidRPr="006B210C" w:rsidRDefault="00E41888" w:rsidP="00E41888">
      <w:pPr>
        <w:jc w:val="center"/>
        <w:rPr>
          <w:b/>
        </w:rPr>
      </w:pPr>
      <w:r w:rsidRPr="006B210C">
        <w:rPr>
          <w:b/>
        </w:rPr>
        <w:t>SUPREME COURT OF CANADA</w:t>
      </w:r>
    </w:p>
    <w:p w:rsidR="00E41888" w:rsidRDefault="00E41888" w:rsidP="00E41888">
      <w:pPr>
        <w:pStyle w:val="Heade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41888" w:rsidRPr="006B210C" w:rsidTr="00342FDD">
        <w:trPr>
          <w:cantSplit/>
        </w:trPr>
        <w:tc>
          <w:tcPr>
            <w:tcW w:w="6768" w:type="dxa"/>
          </w:tcPr>
          <w:p w:rsidR="00E41888" w:rsidRPr="00391779" w:rsidRDefault="00E41888" w:rsidP="00342FDD">
            <w:pPr>
              <w:rPr>
                <w:lang w:val="fr-CA"/>
              </w:rPr>
            </w:pPr>
            <w:r w:rsidRPr="00391779">
              <w:rPr>
                <w:b/>
                <w:smallCaps/>
                <w:lang w:val="fr-CA"/>
              </w:rPr>
              <w:t xml:space="preserve">Citation </w:t>
            </w:r>
            <w:r w:rsidRPr="00391779">
              <w:rPr>
                <w:lang w:val="fr-CA"/>
              </w:rPr>
              <w:t xml:space="preserve">: </w:t>
            </w:r>
            <w:r w:rsidRPr="00E41888">
              <w:rPr>
                <w:lang w:val="fr-CA"/>
              </w:rPr>
              <w:t xml:space="preserve">R. </w:t>
            </w:r>
            <w:r w:rsidRPr="00E41888">
              <w:rPr>
                <w:i/>
                <w:lang w:val="fr-CA"/>
              </w:rPr>
              <w:t>v.</w:t>
            </w:r>
            <w:r w:rsidRPr="00E41888">
              <w:rPr>
                <w:lang w:val="fr-CA"/>
              </w:rPr>
              <w:t xml:space="preserve"> </w:t>
            </w:r>
            <w:proofErr w:type="spellStart"/>
            <w:r w:rsidRPr="00E41888">
              <w:rPr>
                <w:lang w:val="fr-CA"/>
              </w:rPr>
              <w:t>Dorfer</w:t>
            </w:r>
            <w:proofErr w:type="spellEnd"/>
            <w:r w:rsidRPr="00E41888">
              <w:rPr>
                <w:rStyle w:val="SCCRespondentForIndexChar"/>
                <w:rFonts w:eastAsiaTheme="minorHAnsi"/>
                <w:lang w:val="fr-CA"/>
              </w:rPr>
              <w:t xml:space="preserve">, </w:t>
            </w:r>
            <w:r w:rsidRPr="00E41888">
              <w:rPr>
                <w:rStyle w:val="SCCRespondentForIndexChar"/>
                <w:rFonts w:eastAsiaTheme="minorHAnsi"/>
                <w:b w:val="0"/>
                <w:lang w:val="fr-CA"/>
              </w:rPr>
              <w:t>2011 SCC 50, [2011] 3 S.C.R. 366</w:t>
            </w:r>
          </w:p>
        </w:tc>
        <w:tc>
          <w:tcPr>
            <w:tcW w:w="2808" w:type="dxa"/>
          </w:tcPr>
          <w:p w:rsidR="00E41888" w:rsidRPr="006B210C" w:rsidRDefault="00E41888" w:rsidP="00342FDD">
            <w:r w:rsidRPr="006B210C">
              <w:rPr>
                <w:b/>
                <w:smallCaps/>
              </w:rPr>
              <w:t xml:space="preserve">Date </w:t>
            </w:r>
            <w:r w:rsidRPr="006B210C">
              <w:t xml:space="preserve">: </w:t>
            </w:r>
            <w:r>
              <w:t>20111021</w:t>
            </w:r>
          </w:p>
          <w:p w:rsidR="00E41888" w:rsidRPr="006B210C" w:rsidRDefault="00E41888" w:rsidP="00342FDD">
            <w:r w:rsidRPr="006B210C">
              <w:rPr>
                <w:b/>
                <w:smallCaps/>
              </w:rPr>
              <w:t xml:space="preserve">Docket </w:t>
            </w:r>
            <w:r w:rsidRPr="006B210C">
              <w:t xml:space="preserve">: </w:t>
            </w:r>
            <w:r>
              <w:t>33952</w:t>
            </w:r>
          </w:p>
        </w:tc>
      </w:tr>
    </w:tbl>
    <w:p w:rsidR="00E41888" w:rsidRPr="006B210C" w:rsidRDefault="00E41888" w:rsidP="00E41888"/>
    <w:p w:rsidR="00E41888" w:rsidRDefault="00E41888" w:rsidP="00E41888">
      <w:pPr>
        <w:pStyle w:val="SCCLsocPrefix"/>
      </w:pPr>
      <w:r>
        <w:t>Between:</w:t>
      </w:r>
    </w:p>
    <w:p w:rsidR="00E41888" w:rsidRDefault="00E41888" w:rsidP="00E41888">
      <w:pPr>
        <w:pStyle w:val="SCCLsocParty"/>
      </w:pPr>
      <w:r>
        <w:t xml:space="preserve">Franklin Shane </w:t>
      </w:r>
      <w:proofErr w:type="spellStart"/>
      <w:r>
        <w:t>Dorfer</w:t>
      </w:r>
      <w:proofErr w:type="spellEnd"/>
    </w:p>
    <w:p w:rsidR="00E41888" w:rsidRDefault="00E41888" w:rsidP="00E41888">
      <w:pPr>
        <w:pStyle w:val="SCCLsocPartyRole"/>
      </w:pPr>
      <w:r>
        <w:t>Appellant</w:t>
      </w:r>
    </w:p>
    <w:p w:rsidR="00E41888" w:rsidRDefault="00E41888" w:rsidP="00E41888">
      <w:pPr>
        <w:pStyle w:val="SCCLsocVersus"/>
      </w:pPr>
      <w:proofErr w:type="gramStart"/>
      <w:r>
        <w:t>and</w:t>
      </w:r>
      <w:proofErr w:type="gramEnd"/>
    </w:p>
    <w:p w:rsidR="00E41888" w:rsidRDefault="00E41888" w:rsidP="00E41888">
      <w:pPr>
        <w:pStyle w:val="SCCLsocParty"/>
      </w:pPr>
      <w:r>
        <w:t xml:space="preserve">Her Majesty </w:t>
      </w:r>
      <w:proofErr w:type="gramStart"/>
      <w:r>
        <w:t>The</w:t>
      </w:r>
      <w:proofErr w:type="gramEnd"/>
      <w:r>
        <w:t xml:space="preserve"> Queen</w:t>
      </w:r>
    </w:p>
    <w:p w:rsidR="00E41888" w:rsidRDefault="00E41888" w:rsidP="00E41888">
      <w:pPr>
        <w:pStyle w:val="SCCLsocPartyRole"/>
      </w:pPr>
      <w:r>
        <w:t>Respondent</w:t>
      </w:r>
    </w:p>
    <w:p w:rsidR="00E41888" w:rsidRDefault="00E41888" w:rsidP="00E41888"/>
    <w:p w:rsidR="00E41888" w:rsidRPr="006B210C" w:rsidRDefault="00E41888" w:rsidP="00E41888"/>
    <w:p w:rsidR="00E41888" w:rsidRPr="006B210C" w:rsidRDefault="00E41888" w:rsidP="00E41888">
      <w:proofErr w:type="gramStart"/>
      <w:r w:rsidRPr="006B210C">
        <w:rPr>
          <w:b/>
          <w:smallCaps/>
        </w:rPr>
        <w:t xml:space="preserve">Coram </w:t>
      </w:r>
      <w:r w:rsidRPr="0030615B">
        <w:rPr>
          <w:b/>
        </w:rPr>
        <w:t>:</w:t>
      </w:r>
      <w:proofErr w:type="gramEnd"/>
      <w:r>
        <w:t xml:space="preserve"> </w:t>
      </w:r>
      <w:proofErr w:type="spellStart"/>
      <w:r>
        <w:t>McLachlin</w:t>
      </w:r>
      <w:proofErr w:type="spellEnd"/>
      <w:r>
        <w:t xml:space="preserve"> C.J. and </w:t>
      </w:r>
      <w:proofErr w:type="spellStart"/>
      <w:r>
        <w:t>LeBel</w:t>
      </w:r>
      <w:proofErr w:type="spellEnd"/>
      <w:r>
        <w:t>, Fish, Rothstein and Cromwell JJ.</w:t>
      </w:r>
    </w:p>
    <w:p w:rsidR="00E41888" w:rsidRPr="006B210C" w:rsidRDefault="00E41888" w:rsidP="00E418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41888" w:rsidRPr="006B210C" w:rsidTr="00342FDD">
        <w:trPr>
          <w:cantSplit/>
        </w:trPr>
        <w:tc>
          <w:tcPr>
            <w:tcW w:w="3618" w:type="dxa"/>
          </w:tcPr>
          <w:p w:rsidR="00E41888" w:rsidRDefault="00E41888" w:rsidP="00342FDD">
            <w:r w:rsidRPr="006B210C">
              <w:rPr>
                <w:b/>
                <w:smallCaps/>
              </w:rPr>
              <w:t>Reasons for Judgment</w:t>
            </w:r>
            <w:r w:rsidRPr="006B210C">
              <w:t xml:space="preserve"> :</w:t>
            </w:r>
          </w:p>
          <w:p w:rsidR="00E41888" w:rsidRDefault="00E41888" w:rsidP="00342FDD">
            <w:r>
              <w:t>(</w:t>
            </w:r>
            <w:proofErr w:type="spellStart"/>
            <w:r>
              <w:t>para</w:t>
            </w:r>
            <w:proofErr w:type="spellEnd"/>
            <w:r>
              <w:t>. 1)</w:t>
            </w:r>
          </w:p>
          <w:p w:rsidR="00E41888" w:rsidRDefault="00E41888" w:rsidP="00342FDD"/>
          <w:p w:rsidR="00E41888" w:rsidRDefault="00E41888" w:rsidP="00342FDD">
            <w:pPr>
              <w:rPr>
                <w:b/>
                <w:smallCaps/>
              </w:rPr>
            </w:pPr>
            <w:r w:rsidRPr="00391779">
              <w:rPr>
                <w:b/>
                <w:smallCaps/>
              </w:rPr>
              <w:t>Dissenting Reasons:</w:t>
            </w:r>
          </w:p>
          <w:p w:rsidR="00E41888" w:rsidRPr="00391779" w:rsidRDefault="00E41888" w:rsidP="00342FDD">
            <w:r w:rsidRPr="00391779">
              <w:t>(</w:t>
            </w:r>
            <w:proofErr w:type="spellStart"/>
            <w:r w:rsidRPr="00391779">
              <w:t>para</w:t>
            </w:r>
            <w:proofErr w:type="spellEnd"/>
            <w:r w:rsidRPr="00391779">
              <w:t>. 2)</w:t>
            </w:r>
          </w:p>
        </w:tc>
        <w:tc>
          <w:tcPr>
            <w:tcW w:w="5958" w:type="dxa"/>
          </w:tcPr>
          <w:p w:rsidR="00E41888" w:rsidRDefault="00E41888" w:rsidP="00342FDD">
            <w:proofErr w:type="spellStart"/>
            <w:r>
              <w:t>McLachlin</w:t>
            </w:r>
            <w:proofErr w:type="spellEnd"/>
            <w:r>
              <w:t xml:space="preserve"> C.J. (Rothstein and Cromwell JJ. concurring)</w:t>
            </w:r>
          </w:p>
          <w:p w:rsidR="00E41888" w:rsidRDefault="00E41888" w:rsidP="00342FDD"/>
          <w:p w:rsidR="00E41888" w:rsidRDefault="00E41888" w:rsidP="00342FDD"/>
          <w:p w:rsidR="00E41888" w:rsidRPr="006B210C" w:rsidRDefault="00E41888" w:rsidP="00342FDD">
            <w:proofErr w:type="spellStart"/>
            <w:r>
              <w:t>LeBel</w:t>
            </w:r>
            <w:proofErr w:type="spellEnd"/>
            <w:r>
              <w:t xml:space="preserve"> J. (Fish J. concurring) </w:t>
            </w:r>
          </w:p>
        </w:tc>
      </w:tr>
    </w:tbl>
    <w:p w:rsidR="00E41888" w:rsidRPr="006B210C" w:rsidRDefault="00E41888" w:rsidP="00E41888">
      <w:r w:rsidRPr="003572E6">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E41888" w:rsidRPr="00E41888" w:rsidRDefault="00E41888">
      <w:r w:rsidRPr="00E41888">
        <w:br w:type="page"/>
      </w:r>
    </w:p>
    <w:p w:rsidR="00941DE8" w:rsidRPr="00EA012F" w:rsidRDefault="00EA012F" w:rsidP="00941DE8">
      <w:pPr>
        <w:spacing w:line="480" w:lineRule="auto"/>
        <w:jc w:val="both"/>
        <w:rPr>
          <w:smallCaps/>
          <w:lang w:val="fr-CA"/>
        </w:rPr>
      </w:pPr>
      <w:r w:rsidRPr="00EA012F">
        <w:rPr>
          <w:lang w:val="fr-CA"/>
        </w:rPr>
        <w:lastRenderedPageBreak/>
        <w:t xml:space="preserve">R. </w:t>
      </w:r>
      <w:r w:rsidRPr="00EA012F">
        <w:rPr>
          <w:i/>
          <w:lang w:val="fr-CA"/>
        </w:rPr>
        <w:t>v.</w:t>
      </w:r>
      <w:r w:rsidRPr="00EA012F">
        <w:rPr>
          <w:lang w:val="fr-CA"/>
        </w:rPr>
        <w:t xml:space="preserve"> </w:t>
      </w:r>
      <w:proofErr w:type="spellStart"/>
      <w:r w:rsidRPr="00EA012F">
        <w:rPr>
          <w:lang w:val="fr-CA"/>
        </w:rPr>
        <w:t>Dorfer</w:t>
      </w:r>
      <w:proofErr w:type="spellEnd"/>
      <w:r w:rsidRPr="00EA012F">
        <w:rPr>
          <w:smallCaps/>
          <w:lang w:val="fr-CA"/>
        </w:rPr>
        <w:t xml:space="preserve">, 2011 SCC </w:t>
      </w:r>
      <w:r>
        <w:rPr>
          <w:smallCaps/>
          <w:lang w:val="fr-CA"/>
        </w:rPr>
        <w:t>50</w:t>
      </w:r>
      <w:r w:rsidRPr="00EA012F">
        <w:rPr>
          <w:smallCaps/>
          <w:lang w:val="fr-CA"/>
        </w:rPr>
        <w:t xml:space="preserve">, [2011] 3 S.C.R. </w:t>
      </w:r>
      <w:r>
        <w:rPr>
          <w:smallCaps/>
          <w:lang w:val="fr-CA"/>
        </w:rPr>
        <w:t>366</w:t>
      </w:r>
    </w:p>
    <w:p w:rsidR="00941DE8" w:rsidRPr="00EA012F" w:rsidRDefault="00941DE8" w:rsidP="00941DE8">
      <w:pPr>
        <w:spacing w:line="480" w:lineRule="auto"/>
        <w:jc w:val="both"/>
        <w:rPr>
          <w:smallCaps/>
          <w:lang w:val="fr-CA"/>
        </w:rPr>
      </w:pPr>
    </w:p>
    <w:p w:rsidR="00941DE8" w:rsidRPr="00EA012F" w:rsidRDefault="00941DE8" w:rsidP="00941DE8">
      <w:pPr>
        <w:pStyle w:val="SCCLsocParty"/>
        <w:tabs>
          <w:tab w:val="right" w:pos="8280"/>
        </w:tabs>
        <w:spacing w:line="480" w:lineRule="auto"/>
        <w:rPr>
          <w:lang w:val="en-US"/>
        </w:rPr>
      </w:pPr>
      <w:r w:rsidRPr="00EA012F">
        <w:rPr>
          <w:lang w:val="en-US"/>
        </w:rPr>
        <w:t xml:space="preserve">Franklin Shane </w:t>
      </w:r>
      <w:proofErr w:type="spellStart"/>
      <w:r w:rsidRPr="00EA012F">
        <w:rPr>
          <w:lang w:val="en-US"/>
        </w:rPr>
        <w:t>Dorfer</w:t>
      </w:r>
      <w:proofErr w:type="spellEnd"/>
      <w:r w:rsidRPr="00EA012F">
        <w:rPr>
          <w:lang w:val="en-US"/>
        </w:rPr>
        <w:tab/>
      </w:r>
      <w:r w:rsidRPr="00EA012F">
        <w:rPr>
          <w:b w:val="0"/>
          <w:i/>
          <w:lang w:val="en-US"/>
        </w:rPr>
        <w:t>Appellant</w:t>
      </w:r>
    </w:p>
    <w:p w:rsidR="00941DE8" w:rsidRPr="00EA012F" w:rsidRDefault="00941DE8" w:rsidP="00941DE8">
      <w:pPr>
        <w:pStyle w:val="SCCLsocParty"/>
        <w:tabs>
          <w:tab w:val="right" w:pos="8280"/>
        </w:tabs>
        <w:spacing w:line="480" w:lineRule="auto"/>
        <w:rPr>
          <w:lang w:val="en-US"/>
        </w:rPr>
      </w:pPr>
    </w:p>
    <w:p w:rsidR="00941DE8" w:rsidRDefault="00941DE8" w:rsidP="00941DE8">
      <w:pPr>
        <w:pStyle w:val="SCCLsocVersus"/>
        <w:spacing w:line="480" w:lineRule="auto"/>
      </w:pPr>
      <w:proofErr w:type="gramStart"/>
      <w:r>
        <w:t>v</w:t>
      </w:r>
      <w:proofErr w:type="gramEnd"/>
      <w:r>
        <w:t>.</w:t>
      </w:r>
    </w:p>
    <w:p w:rsidR="00941DE8" w:rsidRDefault="00941DE8" w:rsidP="00941DE8">
      <w:pPr>
        <w:pStyle w:val="SCCLsocVersus"/>
        <w:spacing w:line="480" w:lineRule="auto"/>
      </w:pPr>
    </w:p>
    <w:p w:rsidR="00941DE8" w:rsidRDefault="00B12EC6" w:rsidP="00941DE8">
      <w:pPr>
        <w:pStyle w:val="SCCLsocParty"/>
        <w:tabs>
          <w:tab w:val="right" w:pos="8280"/>
        </w:tabs>
        <w:spacing w:line="480" w:lineRule="auto"/>
      </w:pPr>
      <w:r>
        <w:t xml:space="preserve">Her Majesty </w:t>
      </w:r>
      <w:proofErr w:type="gramStart"/>
      <w:r>
        <w:t>T</w:t>
      </w:r>
      <w:r w:rsidR="00941DE8">
        <w:t>he</w:t>
      </w:r>
      <w:proofErr w:type="gramEnd"/>
      <w:r w:rsidR="00941DE8">
        <w:t xml:space="preserve"> Queen</w:t>
      </w:r>
      <w:r w:rsidR="00941DE8">
        <w:rPr>
          <w:i/>
        </w:rPr>
        <w:tab/>
      </w:r>
      <w:r w:rsidR="00941DE8" w:rsidRPr="00E56727">
        <w:rPr>
          <w:b w:val="0"/>
          <w:i/>
        </w:rPr>
        <w:t>Respondent</w:t>
      </w:r>
    </w:p>
    <w:p w:rsidR="00941DE8" w:rsidRDefault="00941DE8" w:rsidP="00941DE8">
      <w:pPr>
        <w:spacing w:line="480" w:lineRule="auto"/>
        <w:jc w:val="both"/>
      </w:pPr>
    </w:p>
    <w:p w:rsidR="00941DE8" w:rsidRPr="00716FC3" w:rsidRDefault="00941DE8" w:rsidP="00941DE8">
      <w:pPr>
        <w:spacing w:line="480" w:lineRule="auto"/>
        <w:jc w:val="both"/>
        <w:rPr>
          <w:b/>
        </w:rPr>
      </w:pPr>
      <w:r w:rsidRPr="00716FC3">
        <w:rPr>
          <w:b/>
        </w:rPr>
        <w:t>Indexed as:</w:t>
      </w:r>
      <w:r w:rsidR="00CF68F5" w:rsidRPr="00716FC3">
        <w:rPr>
          <w:b/>
        </w:rPr>
        <w:t>  </w:t>
      </w:r>
      <w:r w:rsidRPr="00716FC3">
        <w:rPr>
          <w:b/>
        </w:rPr>
        <w:t xml:space="preserve">R. </w:t>
      </w:r>
      <w:r w:rsidR="00EF40F8" w:rsidRPr="00716FC3">
        <w:rPr>
          <w:b/>
          <w:i/>
        </w:rPr>
        <w:t>v.</w:t>
      </w:r>
      <w:r w:rsidR="00CF68F5" w:rsidRPr="00716FC3">
        <w:rPr>
          <w:b/>
        </w:rPr>
        <w:t xml:space="preserve"> Dorfer</w:t>
      </w:r>
    </w:p>
    <w:p w:rsidR="00941DE8" w:rsidRDefault="00941DE8" w:rsidP="00941DE8">
      <w:pPr>
        <w:spacing w:line="480" w:lineRule="auto"/>
        <w:jc w:val="both"/>
      </w:pPr>
    </w:p>
    <w:p w:rsidR="00941DE8" w:rsidRPr="00C02092" w:rsidRDefault="00941DE8" w:rsidP="00941DE8">
      <w:pPr>
        <w:pStyle w:val="SCCSystemYear"/>
        <w:spacing w:line="480" w:lineRule="auto"/>
        <w:jc w:val="both"/>
      </w:pPr>
      <w:r>
        <w:t xml:space="preserve">2011 </w:t>
      </w:r>
      <w:r w:rsidRPr="00C02092">
        <w:t>SCC </w:t>
      </w:r>
      <w:r w:rsidR="00CF68F5">
        <w:t>50</w:t>
      </w:r>
    </w:p>
    <w:p w:rsidR="00941DE8" w:rsidRDefault="00941DE8" w:rsidP="00941DE8">
      <w:pPr>
        <w:spacing w:line="480" w:lineRule="auto"/>
        <w:jc w:val="both"/>
      </w:pPr>
    </w:p>
    <w:p w:rsidR="00941DE8" w:rsidRDefault="00941DE8" w:rsidP="00941DE8">
      <w:pPr>
        <w:spacing w:line="480" w:lineRule="auto"/>
        <w:jc w:val="both"/>
      </w:pPr>
      <w:r>
        <w:t>File No.:  33952</w:t>
      </w:r>
      <w:r w:rsidRPr="001426A9">
        <w:t>.</w:t>
      </w:r>
    </w:p>
    <w:p w:rsidR="00941DE8" w:rsidRDefault="00941DE8" w:rsidP="00941DE8">
      <w:pPr>
        <w:spacing w:line="480" w:lineRule="auto"/>
        <w:jc w:val="both"/>
      </w:pPr>
    </w:p>
    <w:p w:rsidR="00941DE8" w:rsidRDefault="00941DE8" w:rsidP="00941DE8">
      <w:pPr>
        <w:spacing w:line="480" w:lineRule="auto"/>
        <w:jc w:val="both"/>
      </w:pPr>
      <w:r>
        <w:t>2011:  October 21</w:t>
      </w:r>
      <w:r w:rsidRPr="001426A9">
        <w:t>.</w:t>
      </w:r>
    </w:p>
    <w:p w:rsidR="00941DE8" w:rsidRDefault="00941DE8" w:rsidP="00941DE8">
      <w:pPr>
        <w:spacing w:line="480" w:lineRule="auto"/>
        <w:jc w:val="both"/>
      </w:pPr>
    </w:p>
    <w:p w:rsidR="00941DE8" w:rsidRDefault="00941DE8" w:rsidP="00941DE8">
      <w:pPr>
        <w:spacing w:line="480" w:lineRule="auto"/>
        <w:jc w:val="both"/>
      </w:pPr>
      <w:r>
        <w:t xml:space="preserve">Present:  McLachlin C.J. and LeBel, Fish, Rothstein and Cromwell </w:t>
      </w:r>
      <w:r w:rsidRPr="001426A9">
        <w:t>JJ.</w:t>
      </w:r>
    </w:p>
    <w:p w:rsidR="00941DE8" w:rsidRPr="002C3C3B" w:rsidRDefault="00941DE8" w:rsidP="00941DE8">
      <w:pPr>
        <w:spacing w:line="480" w:lineRule="auto"/>
        <w:jc w:val="both"/>
        <w:rPr>
          <w:szCs w:val="24"/>
        </w:rPr>
      </w:pPr>
    </w:p>
    <w:p w:rsidR="00941DE8" w:rsidRPr="002C3C3B" w:rsidRDefault="00941DE8" w:rsidP="00941DE8">
      <w:pPr>
        <w:spacing w:line="480" w:lineRule="auto"/>
        <w:jc w:val="both"/>
        <w:rPr>
          <w:smallCaps/>
          <w:szCs w:val="24"/>
        </w:rPr>
      </w:pPr>
      <w:r>
        <w:rPr>
          <w:smallCaps/>
          <w:szCs w:val="24"/>
        </w:rPr>
        <w:t>on appeal from the court</w:t>
      </w:r>
      <w:r w:rsidR="00CF68F5">
        <w:rPr>
          <w:smallCaps/>
          <w:szCs w:val="24"/>
        </w:rPr>
        <w:t xml:space="preserve"> of appeal for </w:t>
      </w:r>
      <w:proofErr w:type="gramStart"/>
      <w:r w:rsidR="00CF68F5">
        <w:rPr>
          <w:smallCaps/>
          <w:szCs w:val="24"/>
        </w:rPr>
        <w:t>british columbia</w:t>
      </w:r>
      <w:proofErr w:type="gramEnd"/>
    </w:p>
    <w:p w:rsidR="00941DE8" w:rsidRPr="002C3C3B" w:rsidRDefault="00941DE8" w:rsidP="00941DE8">
      <w:pPr>
        <w:pStyle w:val="SCCNormalDoubleSpacing"/>
        <w:rPr>
          <w:szCs w:val="24"/>
        </w:rPr>
      </w:pPr>
    </w:p>
    <w:p w:rsidR="00941DE8" w:rsidRPr="008B0492" w:rsidRDefault="00941DE8" w:rsidP="00CF68F5">
      <w:pPr>
        <w:pStyle w:val="SCCNormalDoubleSpacing"/>
        <w:tabs>
          <w:tab w:val="left" w:pos="1170"/>
        </w:tabs>
        <w:spacing w:after="480"/>
        <w:rPr>
          <w:i/>
          <w:lang w:val="en-US"/>
        </w:rPr>
      </w:pPr>
      <w:r w:rsidRPr="00583EDE">
        <w:tab/>
      </w:r>
      <w:r w:rsidR="00EF40F8">
        <w:rPr>
          <w:i/>
        </w:rPr>
        <w:t xml:space="preserve">Criminal law </w:t>
      </w:r>
      <w:r w:rsidR="00716FC3">
        <w:rPr>
          <w:i/>
        </w:rPr>
        <w:t>—</w:t>
      </w:r>
      <w:r w:rsidR="00EF40F8">
        <w:rPr>
          <w:i/>
        </w:rPr>
        <w:t xml:space="preserve"> Charge to jury </w:t>
      </w:r>
      <w:r w:rsidR="00716FC3">
        <w:rPr>
          <w:i/>
        </w:rPr>
        <w:t xml:space="preserve">— </w:t>
      </w:r>
      <w:r w:rsidR="00EF40F8">
        <w:rPr>
          <w:i/>
        </w:rPr>
        <w:t xml:space="preserve">Use of criminal record of third party suspect </w:t>
      </w:r>
      <w:r w:rsidR="00716FC3">
        <w:rPr>
          <w:i/>
        </w:rPr>
        <w:t xml:space="preserve">— </w:t>
      </w:r>
      <w:r w:rsidR="00EF40F8">
        <w:rPr>
          <w:i/>
        </w:rPr>
        <w:t xml:space="preserve">Trial judge erring in his instruction about the limited use of third party </w:t>
      </w:r>
      <w:r w:rsidR="00EF40F8">
        <w:rPr>
          <w:i/>
        </w:rPr>
        <w:lastRenderedPageBreak/>
        <w:t xml:space="preserve">suspect’s criminal record but error did not occasion substantial </w:t>
      </w:r>
      <w:r w:rsidR="008B0492">
        <w:rPr>
          <w:i/>
        </w:rPr>
        <w:t xml:space="preserve">wrong or miscarriage of justice </w:t>
      </w:r>
      <w:r w:rsidR="00716FC3">
        <w:rPr>
          <w:i/>
        </w:rPr>
        <w:t xml:space="preserve">— </w:t>
      </w:r>
      <w:r w:rsidR="008B0492" w:rsidRPr="008B0492">
        <w:rPr>
          <w:i/>
          <w:lang w:val="en-US"/>
        </w:rPr>
        <w:t>Criminal Code, R.S.C. 1985, c. C</w:t>
      </w:r>
      <w:r w:rsidR="00716FC3">
        <w:rPr>
          <w:i/>
          <w:lang w:val="en-US"/>
        </w:rPr>
        <w:t>-</w:t>
      </w:r>
      <w:r w:rsidR="008B0492" w:rsidRPr="008B0492">
        <w:rPr>
          <w:i/>
          <w:lang w:val="en-US"/>
        </w:rPr>
        <w:t>46, s. 686(1)(b)(iii).</w:t>
      </w:r>
      <w:r w:rsidR="008B0492">
        <w:rPr>
          <w:lang w:val="en-US"/>
        </w:rPr>
        <w:t xml:space="preserve"> </w:t>
      </w:r>
    </w:p>
    <w:p w:rsidR="00941DE8" w:rsidRDefault="00941DE8" w:rsidP="00716FC3">
      <w:pPr>
        <w:spacing w:after="480" w:line="480" w:lineRule="auto"/>
        <w:jc w:val="both"/>
        <w:rPr>
          <w:b/>
        </w:rPr>
      </w:pPr>
      <w:r>
        <w:rPr>
          <w:b/>
        </w:rPr>
        <w:t>Statutes and Regulations Cited</w:t>
      </w:r>
    </w:p>
    <w:p w:rsidR="00941DE8" w:rsidRPr="00E41888" w:rsidRDefault="00C1701D" w:rsidP="00E44B27">
      <w:pPr>
        <w:tabs>
          <w:tab w:val="left" w:pos="1170"/>
        </w:tabs>
        <w:spacing w:after="480" w:line="480" w:lineRule="auto"/>
        <w:jc w:val="both"/>
        <w:rPr>
          <w:lang w:val="fr-CA"/>
        </w:rPr>
      </w:pPr>
      <w:r>
        <w:tab/>
      </w:r>
      <w:proofErr w:type="spellStart"/>
      <w:r w:rsidRPr="00E41888">
        <w:rPr>
          <w:i/>
          <w:lang w:val="fr-CA"/>
        </w:rPr>
        <w:t>Criminal</w:t>
      </w:r>
      <w:proofErr w:type="spellEnd"/>
      <w:r w:rsidRPr="00E41888">
        <w:rPr>
          <w:i/>
          <w:lang w:val="fr-CA"/>
        </w:rPr>
        <w:t xml:space="preserve"> Code</w:t>
      </w:r>
      <w:r w:rsidRPr="00E41888">
        <w:rPr>
          <w:lang w:val="fr-CA"/>
        </w:rPr>
        <w:t>, R.S.C. 1985, c. C</w:t>
      </w:r>
      <w:r w:rsidR="00716FC3" w:rsidRPr="00E41888">
        <w:rPr>
          <w:lang w:val="fr-CA"/>
        </w:rPr>
        <w:t>-</w:t>
      </w:r>
      <w:r w:rsidRPr="00E41888">
        <w:rPr>
          <w:lang w:val="fr-CA"/>
        </w:rPr>
        <w:t>46, s. 686(1</w:t>
      </w:r>
      <w:proofErr w:type="gramStart"/>
      <w:r w:rsidRPr="00E41888">
        <w:rPr>
          <w:lang w:val="fr-CA"/>
        </w:rPr>
        <w:t>)(</w:t>
      </w:r>
      <w:proofErr w:type="gramEnd"/>
      <w:r w:rsidRPr="00E41888">
        <w:rPr>
          <w:i/>
          <w:lang w:val="fr-CA"/>
        </w:rPr>
        <w:t>b</w:t>
      </w:r>
      <w:r w:rsidRPr="00E41888">
        <w:rPr>
          <w:lang w:val="fr-CA"/>
        </w:rPr>
        <w:t>)(iii)</w:t>
      </w:r>
      <w:r w:rsidR="00B12EC6" w:rsidRPr="00E41888">
        <w:rPr>
          <w:lang w:val="fr-CA"/>
        </w:rPr>
        <w:t>.</w:t>
      </w:r>
    </w:p>
    <w:p w:rsidR="00941DE8" w:rsidRDefault="00941DE8" w:rsidP="00E44B27">
      <w:pPr>
        <w:pStyle w:val="SCCNormalDoubleSpacing"/>
        <w:tabs>
          <w:tab w:val="left" w:pos="1170"/>
        </w:tabs>
      </w:pPr>
      <w:r w:rsidRPr="00E41888">
        <w:rPr>
          <w:lang w:val="fr-CA"/>
        </w:rPr>
        <w:tab/>
      </w:r>
      <w:r>
        <w:t>APPEAL</w:t>
      </w:r>
      <w:r w:rsidRPr="008A40CD">
        <w:t xml:space="preserve"> </w:t>
      </w:r>
      <w:r w:rsidRPr="00865241">
        <w:t xml:space="preserve">from </w:t>
      </w:r>
      <w:r>
        <w:t>a</w:t>
      </w:r>
      <w:r w:rsidRPr="00865241">
        <w:t xml:space="preserve"> judgment of the </w:t>
      </w:r>
      <w:r w:rsidR="00BA54F1">
        <w:t>British Columbia Court of Appeal</w:t>
      </w:r>
      <w:r>
        <w:t xml:space="preserve"> (</w:t>
      </w:r>
      <w:r w:rsidR="00BA54F1">
        <w:t>Prowse, Lowry and Frankel</w:t>
      </w:r>
      <w:r>
        <w:t xml:space="preserve"> JJ.A.)</w:t>
      </w:r>
      <w:r w:rsidR="00BA54F1">
        <w:t>, 2010</w:t>
      </w:r>
      <w:r>
        <w:t xml:space="preserve"> </w:t>
      </w:r>
      <w:r w:rsidR="00BA54F1">
        <w:t>BCCA 4</w:t>
      </w:r>
      <w:r>
        <w:t>4</w:t>
      </w:r>
      <w:r w:rsidR="00BA54F1">
        <w:t>0</w:t>
      </w:r>
      <w:r>
        <w:t xml:space="preserve">, </w:t>
      </w:r>
      <w:r w:rsidR="00BA54F1">
        <w:t>293 B.C.A.C. 300</w:t>
      </w:r>
      <w:r>
        <w:t>,</w:t>
      </w:r>
      <w:r w:rsidR="00BA54F1">
        <w:t xml:space="preserve"> 496 W.A.C. 300,</w:t>
      </w:r>
      <w:r w:rsidR="00B20C6D">
        <w:t xml:space="preserve"> 2</w:t>
      </w:r>
      <w:r>
        <w:t>6</w:t>
      </w:r>
      <w:r w:rsidR="00B20C6D">
        <w:t>2 C.C.C. (3d) 59</w:t>
      </w:r>
      <w:r>
        <w:t xml:space="preserve">, </w:t>
      </w:r>
      <w:r w:rsidR="00B20C6D">
        <w:t>80 C.R. (6th</w:t>
      </w:r>
      <w:r>
        <w:t xml:space="preserve">) </w:t>
      </w:r>
      <w:r w:rsidR="00B20C6D">
        <w:t>169, [2010] B</w:t>
      </w:r>
      <w:r>
        <w:t>.</w:t>
      </w:r>
      <w:r w:rsidR="00B20C6D">
        <w:t>C.</w:t>
      </w:r>
      <w:r>
        <w:t xml:space="preserve">J. No. </w:t>
      </w:r>
      <w:r w:rsidR="00B20C6D">
        <w:t>1984</w:t>
      </w:r>
      <w:r>
        <w:t xml:space="preserve"> (QL</w:t>
      </w:r>
      <w:r w:rsidR="00B20C6D">
        <w:t>), 2010</w:t>
      </w:r>
      <w:r>
        <w:t xml:space="preserve"> Carswell</w:t>
      </w:r>
      <w:r w:rsidR="00B20C6D">
        <w:t>BC</w:t>
      </w:r>
      <w:r>
        <w:t xml:space="preserve"> </w:t>
      </w:r>
      <w:r w:rsidR="00B20C6D">
        <w:t>2730</w:t>
      </w:r>
      <w:r>
        <w:t xml:space="preserve">, </w:t>
      </w:r>
      <w:r w:rsidR="00B20C6D">
        <w:t xml:space="preserve">affirming </w:t>
      </w:r>
      <w:r w:rsidR="00EF40F8">
        <w:t>the accused’s conviction</w:t>
      </w:r>
      <w:r w:rsidR="008B0492">
        <w:t>s</w:t>
      </w:r>
      <w:r w:rsidR="00EF40F8">
        <w:t xml:space="preserve"> for breaking and entering and sexual assault</w:t>
      </w:r>
      <w:r>
        <w:t>. Appeal dismissed</w:t>
      </w:r>
      <w:r w:rsidR="006C7CBF">
        <w:t xml:space="preserve">, LeBel and Fish JJ. </w:t>
      </w:r>
      <w:proofErr w:type="gramStart"/>
      <w:r w:rsidR="006C7CBF">
        <w:t>dissenting</w:t>
      </w:r>
      <w:proofErr w:type="gramEnd"/>
      <w:r w:rsidR="006C7CBF">
        <w:t>.</w:t>
      </w:r>
    </w:p>
    <w:p w:rsidR="00941DE8" w:rsidRDefault="00941DE8" w:rsidP="00941DE8">
      <w:pPr>
        <w:pStyle w:val="SCCNormalDoubleSpacing"/>
      </w:pPr>
    </w:p>
    <w:p w:rsidR="00941DE8" w:rsidRPr="00857828" w:rsidRDefault="00941DE8" w:rsidP="00E44B27">
      <w:pPr>
        <w:pStyle w:val="SCCNormalDoubleSpacing"/>
        <w:tabs>
          <w:tab w:val="left" w:pos="1170"/>
        </w:tabs>
      </w:pPr>
      <w:r w:rsidRPr="00B4559D">
        <w:rPr>
          <w:i/>
        </w:rPr>
        <w:tab/>
      </w:r>
      <w:proofErr w:type="gramStart"/>
      <w:r w:rsidR="00B20C6D" w:rsidRPr="00B4559D">
        <w:rPr>
          <w:i/>
        </w:rPr>
        <w:t>Timothy J. Russell</w:t>
      </w:r>
      <w:r w:rsidRPr="00857828">
        <w:t xml:space="preserve">, for the </w:t>
      </w:r>
      <w:r>
        <w:t>appellant</w:t>
      </w:r>
      <w:r w:rsidRPr="00857828">
        <w:t>.</w:t>
      </w:r>
      <w:proofErr w:type="gramEnd"/>
    </w:p>
    <w:p w:rsidR="00941DE8" w:rsidRPr="00857828" w:rsidRDefault="00941DE8" w:rsidP="00941DE8">
      <w:pPr>
        <w:pStyle w:val="SCCNormalDoubleSpacing"/>
      </w:pPr>
    </w:p>
    <w:p w:rsidR="00941DE8" w:rsidRDefault="00941DE8" w:rsidP="00E44B27">
      <w:pPr>
        <w:pStyle w:val="SCCNormalDoubleSpacing"/>
        <w:tabs>
          <w:tab w:val="left" w:pos="1170"/>
        </w:tabs>
      </w:pPr>
      <w:r w:rsidRPr="00B4559D">
        <w:rPr>
          <w:i/>
        </w:rPr>
        <w:tab/>
      </w:r>
      <w:proofErr w:type="gramStart"/>
      <w:r w:rsidR="00716FC3" w:rsidRPr="00B4559D">
        <w:rPr>
          <w:i/>
        </w:rPr>
        <w:t xml:space="preserve">M. </w:t>
      </w:r>
      <w:r w:rsidR="00F15C33" w:rsidRPr="00B4559D">
        <w:rPr>
          <w:i/>
        </w:rPr>
        <w:t>Joyce DeWitt-Van Oosten</w:t>
      </w:r>
      <w:r w:rsidRPr="00857828">
        <w:t>,</w:t>
      </w:r>
      <w:r w:rsidR="00F15C33">
        <w:t xml:space="preserve"> </w:t>
      </w:r>
      <w:r w:rsidR="00F15C33" w:rsidRPr="00440ECA">
        <w:rPr>
          <w:i/>
        </w:rPr>
        <w:t>Q.C.</w:t>
      </w:r>
      <w:r w:rsidR="00F15C33">
        <w:t>,</w:t>
      </w:r>
      <w:r w:rsidRPr="00857828">
        <w:t xml:space="preserve"> for the respondent.</w:t>
      </w:r>
      <w:proofErr w:type="gramEnd"/>
    </w:p>
    <w:p w:rsidR="00F75F9D" w:rsidRDefault="00F75F9D" w:rsidP="00941DE8">
      <w:pPr>
        <w:pStyle w:val="SCCNormalDoubleSpacing"/>
        <w:tabs>
          <w:tab w:val="left" w:pos="1170"/>
        </w:tabs>
        <w:spacing w:after="480"/>
        <w:rPr>
          <w:szCs w:val="24"/>
        </w:rPr>
      </w:pPr>
    </w:p>
    <w:p w:rsidR="00941DE8" w:rsidRDefault="00941DE8" w:rsidP="00941DE8">
      <w:pPr>
        <w:pStyle w:val="SCCNormalDoubleSpacing"/>
        <w:tabs>
          <w:tab w:val="left" w:pos="1170"/>
        </w:tabs>
        <w:spacing w:after="480"/>
        <w:rPr>
          <w:szCs w:val="24"/>
        </w:rPr>
      </w:pPr>
      <w:r>
        <w:rPr>
          <w:szCs w:val="24"/>
        </w:rPr>
        <w:tab/>
      </w:r>
      <w:proofErr w:type="gramStart"/>
      <w:r>
        <w:rPr>
          <w:szCs w:val="24"/>
        </w:rPr>
        <w:t xml:space="preserve">The judgment of </w:t>
      </w:r>
      <w:r w:rsidR="00651EAF">
        <w:rPr>
          <w:szCs w:val="24"/>
        </w:rPr>
        <w:t>McLachlin C.J. and</w:t>
      </w:r>
      <w:r w:rsidR="00CF68F5">
        <w:rPr>
          <w:szCs w:val="24"/>
        </w:rPr>
        <w:t xml:space="preserve"> Rothstein and Cromwell JJ.</w:t>
      </w:r>
      <w:proofErr w:type="gramEnd"/>
      <w:r>
        <w:rPr>
          <w:szCs w:val="24"/>
        </w:rPr>
        <w:t xml:space="preserve"> </w:t>
      </w:r>
      <w:proofErr w:type="gramStart"/>
      <w:r>
        <w:rPr>
          <w:szCs w:val="24"/>
        </w:rPr>
        <w:t>was</w:t>
      </w:r>
      <w:proofErr w:type="gramEnd"/>
      <w:r>
        <w:rPr>
          <w:szCs w:val="24"/>
        </w:rPr>
        <w:t xml:space="preserve"> delivered orally by</w:t>
      </w:r>
    </w:p>
    <w:p w:rsidR="00F15C33" w:rsidRDefault="008D5C68" w:rsidP="00847A73">
      <w:pPr>
        <w:pStyle w:val="ParaNoNdepar-AltN"/>
        <w:tabs>
          <w:tab w:val="clear" w:pos="1152"/>
          <w:tab w:val="left" w:pos="1166"/>
        </w:tabs>
      </w:pPr>
      <w:r>
        <w:rPr>
          <w:smallCaps/>
        </w:rPr>
        <w:t>The Chief Justice</w:t>
      </w:r>
      <w:r>
        <w:t xml:space="preserve"> </w:t>
      </w:r>
      <w:r w:rsidR="00F15C33">
        <w:t xml:space="preserve">— </w:t>
      </w:r>
      <w:proofErr w:type="gramStart"/>
      <w:r w:rsidR="00F15C33">
        <w:t>The</w:t>
      </w:r>
      <w:proofErr w:type="gramEnd"/>
      <w:r w:rsidR="00F15C33">
        <w:t xml:space="preserve"> majority of the Court would dismiss the appeal, LeBel and Fish JJ. dissenting.  While we are persuaded that the presiding judge erred in law in his instruction about the limited use of Mr. Babcock’s criminal </w:t>
      </w:r>
      <w:r w:rsidR="00F15C33">
        <w:lastRenderedPageBreak/>
        <w:t xml:space="preserve">record, we are of the view that this error did not occasion any substantial wrong or miscarriage of justice, given the fact that propensity reasoning relative to Mr. Babcock’s record was never placed before the jury either implicitly through the examination of witnesses or explicitly through the submissions to the jury, and given the absence of any evidentiary foundation to support a propensity instruction with respect to Mr. Babcock’s record.  </w:t>
      </w:r>
    </w:p>
    <w:p w:rsidR="00F15C33" w:rsidRDefault="00CF68F5" w:rsidP="00E44B27">
      <w:pPr>
        <w:pStyle w:val="SCCNormalDoubleSpacing"/>
        <w:tabs>
          <w:tab w:val="left" w:pos="1170"/>
        </w:tabs>
      </w:pPr>
      <w:r>
        <w:tab/>
      </w:r>
      <w:proofErr w:type="gramStart"/>
      <w:r>
        <w:t>The reasons of LeBel and Fish JJ.</w:t>
      </w:r>
      <w:proofErr w:type="gramEnd"/>
      <w:r>
        <w:t xml:space="preserve"> </w:t>
      </w:r>
      <w:proofErr w:type="gramStart"/>
      <w:r>
        <w:t>were</w:t>
      </w:r>
      <w:proofErr w:type="gramEnd"/>
      <w:r>
        <w:t xml:space="preserve"> delivered orally by</w:t>
      </w:r>
    </w:p>
    <w:p w:rsidR="00941DE8" w:rsidRDefault="008D5C68" w:rsidP="00847A73">
      <w:pPr>
        <w:pStyle w:val="ParaNoNdepar-AltN"/>
        <w:tabs>
          <w:tab w:val="clear" w:pos="1152"/>
          <w:tab w:val="left" w:pos="1166"/>
        </w:tabs>
      </w:pPr>
      <w:r>
        <w:rPr>
          <w:smallCaps/>
        </w:rPr>
        <w:t>LeBel J</w:t>
      </w:r>
      <w:r>
        <w:t>.</w:t>
      </w:r>
      <w:r w:rsidR="00F15C33">
        <w:t xml:space="preserve"> (dissenting) — With respect, I agree with Prowse J.A., dissenting, that the trial judge erred in law in instructing the jury on the use of the criminal record of a third party suspect.  More particularly, the judge misdirected the jury in saying that such evidence could be used only to test the credibility of the third party.  In my opinion, this error of law cannot be cured by the application of s. 686(1</w:t>
      </w:r>
      <w:proofErr w:type="gramStart"/>
      <w:r w:rsidR="00F15C33">
        <w:t>)(</w:t>
      </w:r>
      <w:proofErr w:type="gramEnd"/>
      <w:r w:rsidR="00F15C33" w:rsidRPr="0093477F">
        <w:rPr>
          <w:i/>
        </w:rPr>
        <w:t>b</w:t>
      </w:r>
      <w:r w:rsidR="00F15C33">
        <w:t xml:space="preserve">)(iii) of the </w:t>
      </w:r>
      <w:r w:rsidR="00F15C33" w:rsidRPr="0093477F">
        <w:rPr>
          <w:i/>
        </w:rPr>
        <w:t>Criminal Code</w:t>
      </w:r>
      <w:r w:rsidR="00F15C33">
        <w:t>, R.S.C. 1985, c. C-46.  The evidence against the accused was not overwhelming.  The error of law was clear and significant.  In the context of this trial, it could not be considered to be harmless.  For these reasons, I would allow the appeal, quash the conviction and order a new trial on the same charges.</w:t>
      </w:r>
    </w:p>
    <w:p w:rsidR="001409F3" w:rsidRDefault="001409F3" w:rsidP="004345AF">
      <w:pPr>
        <w:pStyle w:val="SCCNormalDoubleSpacing"/>
        <w:ind w:firstLine="720"/>
      </w:pPr>
    </w:p>
    <w:p w:rsidR="00941DE8" w:rsidRDefault="00E44B27" w:rsidP="00E44B27">
      <w:pPr>
        <w:pStyle w:val="SCCNormalDoubleSpacing"/>
        <w:tabs>
          <w:tab w:val="left" w:pos="1170"/>
        </w:tabs>
        <w:rPr>
          <w:i/>
        </w:rPr>
      </w:pPr>
      <w:r>
        <w:rPr>
          <w:i/>
        </w:rPr>
        <w:tab/>
      </w:r>
      <w:proofErr w:type="gramStart"/>
      <w:r w:rsidR="00CF68F5">
        <w:rPr>
          <w:i/>
        </w:rPr>
        <w:t>Judgment accordingly</w:t>
      </w:r>
      <w:r w:rsidR="00941DE8">
        <w:rPr>
          <w:i/>
        </w:rPr>
        <w:t>.</w:t>
      </w:r>
      <w:proofErr w:type="gramEnd"/>
    </w:p>
    <w:p w:rsidR="00941DE8" w:rsidRDefault="00941DE8" w:rsidP="00941DE8">
      <w:pPr>
        <w:pStyle w:val="SCCNormalDoubleSpacing"/>
      </w:pPr>
    </w:p>
    <w:p w:rsidR="00941DE8" w:rsidRDefault="00E44B27" w:rsidP="00E44B27">
      <w:pPr>
        <w:pStyle w:val="SCCLawFirm"/>
        <w:tabs>
          <w:tab w:val="left" w:pos="1170"/>
        </w:tabs>
      </w:pPr>
      <w:r>
        <w:lastRenderedPageBreak/>
        <w:tab/>
      </w:r>
      <w:r w:rsidR="00941DE8" w:rsidRPr="00857828">
        <w:t>Solicitors for the app</w:t>
      </w:r>
      <w:r w:rsidR="00941DE8">
        <w:t>ellant</w:t>
      </w:r>
      <w:r w:rsidR="00941DE8" w:rsidRPr="00857828">
        <w:t>:  </w:t>
      </w:r>
      <w:r w:rsidR="009F0290">
        <w:t xml:space="preserve">McCullough </w:t>
      </w:r>
      <w:proofErr w:type="spellStart"/>
      <w:r w:rsidR="009F0290">
        <w:t>Blazina</w:t>
      </w:r>
      <w:proofErr w:type="spellEnd"/>
      <w:r w:rsidR="009F0290">
        <w:t xml:space="preserve"> </w:t>
      </w:r>
      <w:proofErr w:type="spellStart"/>
      <w:r w:rsidR="009F0290">
        <w:t>Di</w:t>
      </w:r>
      <w:r w:rsidR="008D5C68">
        <w:t>e</w:t>
      </w:r>
      <w:r w:rsidR="009F0290">
        <w:t>n</w:t>
      </w:r>
      <w:r w:rsidR="008D5C68">
        <w:t>o</w:t>
      </w:r>
      <w:proofErr w:type="spellEnd"/>
      <w:r w:rsidR="008D5C68">
        <w:t xml:space="preserve"> &amp; Gustafson</w:t>
      </w:r>
      <w:r w:rsidR="00941DE8">
        <w:t xml:space="preserve">, </w:t>
      </w:r>
      <w:r w:rsidR="008D5C68">
        <w:t>Victoria</w:t>
      </w:r>
      <w:r w:rsidR="00941DE8">
        <w:t>.</w:t>
      </w:r>
    </w:p>
    <w:p w:rsidR="00E44B27" w:rsidRPr="00E44B27" w:rsidRDefault="00E44B27" w:rsidP="00E44B27">
      <w:pPr>
        <w:pStyle w:val="SCCNormalDoubleSpacing"/>
      </w:pPr>
    </w:p>
    <w:p w:rsidR="00941DE8" w:rsidRPr="00F8278E" w:rsidRDefault="00E44B27" w:rsidP="00E44B27">
      <w:pPr>
        <w:pStyle w:val="SCCLawFirm"/>
        <w:tabs>
          <w:tab w:val="left" w:pos="1170"/>
        </w:tabs>
        <w:rPr>
          <w:lang w:val="en-US"/>
        </w:rPr>
      </w:pPr>
      <w:r>
        <w:tab/>
      </w:r>
      <w:r w:rsidR="00941DE8" w:rsidRPr="00857828">
        <w:t>Solicitor for the respondent:  </w:t>
      </w:r>
      <w:r w:rsidR="00941DE8">
        <w:t xml:space="preserve">Attorney General of </w:t>
      </w:r>
      <w:r w:rsidR="009F0290">
        <w:t>British Columbia</w:t>
      </w:r>
      <w:r w:rsidR="00941DE8">
        <w:t xml:space="preserve">, </w:t>
      </w:r>
      <w:r w:rsidR="009F0290">
        <w:t>Victoria</w:t>
      </w:r>
      <w:r w:rsidR="00941DE8" w:rsidRPr="00F8278E">
        <w:t>.</w:t>
      </w:r>
    </w:p>
    <w:sectPr w:rsidR="00941DE8" w:rsidRPr="00F8278E" w:rsidSect="00122C0F">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2AC" w:rsidRDefault="001F12AC" w:rsidP="001F12AC">
      <w:r>
        <w:separator/>
      </w:r>
    </w:p>
  </w:endnote>
  <w:endnote w:type="continuationSeparator" w:id="0">
    <w:p w:rsidR="001F12AC" w:rsidRDefault="001F12AC" w:rsidP="001F1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2AC" w:rsidRDefault="001F12AC" w:rsidP="001F12AC">
      <w:r>
        <w:separator/>
      </w:r>
    </w:p>
  </w:footnote>
  <w:footnote w:type="continuationSeparator" w:id="0">
    <w:p w:rsidR="001F12AC" w:rsidRDefault="001F12AC" w:rsidP="001F1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3657"/>
      <w:docPartObj>
        <w:docPartGallery w:val="Page Numbers (Top of Page)"/>
        <w:docPartUnique/>
      </w:docPartObj>
    </w:sdtPr>
    <w:sdtContent>
      <w:p w:rsidR="00122C0F" w:rsidRDefault="00122C0F">
        <w:pPr>
          <w:pStyle w:val="Header"/>
          <w:jc w:val="center"/>
        </w:pPr>
        <w:r>
          <w:t xml:space="preserve">- </w:t>
        </w:r>
        <w:fldSimple w:instr=" PAGE   \* MERGEFORMAT ">
          <w:r w:rsidR="00E41888">
            <w:rPr>
              <w:noProof/>
            </w:rPr>
            <w:t>5</w:t>
          </w:r>
        </w:fldSimple>
        <w:r>
          <w:t xml:space="preserve"> -</w:t>
        </w:r>
      </w:p>
    </w:sdtContent>
  </w:sdt>
  <w:p w:rsidR="008D5C68" w:rsidRPr="00450352" w:rsidRDefault="008D5C68" w:rsidP="00BA54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F5240B38"/>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01"/>
  <w:stylePaneSortMethod w:val="0004"/>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941DE8"/>
    <w:rsid w:val="00075DF8"/>
    <w:rsid w:val="00100F78"/>
    <w:rsid w:val="00122C0F"/>
    <w:rsid w:val="001409F3"/>
    <w:rsid w:val="001F12AC"/>
    <w:rsid w:val="002A1C62"/>
    <w:rsid w:val="002C32BF"/>
    <w:rsid w:val="00424DBB"/>
    <w:rsid w:val="004345AF"/>
    <w:rsid w:val="00440ECA"/>
    <w:rsid w:val="004C5579"/>
    <w:rsid w:val="00651EAF"/>
    <w:rsid w:val="006C7CBF"/>
    <w:rsid w:val="00716FC3"/>
    <w:rsid w:val="00751A41"/>
    <w:rsid w:val="007717F7"/>
    <w:rsid w:val="00784661"/>
    <w:rsid w:val="00847A73"/>
    <w:rsid w:val="00862015"/>
    <w:rsid w:val="0087316A"/>
    <w:rsid w:val="008B0492"/>
    <w:rsid w:val="008D5C68"/>
    <w:rsid w:val="008E1E17"/>
    <w:rsid w:val="0093477F"/>
    <w:rsid w:val="00941DE8"/>
    <w:rsid w:val="009A2184"/>
    <w:rsid w:val="009F0290"/>
    <w:rsid w:val="00A60AD4"/>
    <w:rsid w:val="00B02EE2"/>
    <w:rsid w:val="00B12EC6"/>
    <w:rsid w:val="00B20C6D"/>
    <w:rsid w:val="00B25DA6"/>
    <w:rsid w:val="00B36EBD"/>
    <w:rsid w:val="00B4559D"/>
    <w:rsid w:val="00BA54F1"/>
    <w:rsid w:val="00BC2A54"/>
    <w:rsid w:val="00BE2E2E"/>
    <w:rsid w:val="00C1701D"/>
    <w:rsid w:val="00C61DA8"/>
    <w:rsid w:val="00C654B0"/>
    <w:rsid w:val="00CF4DB6"/>
    <w:rsid w:val="00CF68F5"/>
    <w:rsid w:val="00DD01F0"/>
    <w:rsid w:val="00E41888"/>
    <w:rsid w:val="00E44B27"/>
    <w:rsid w:val="00EA012F"/>
    <w:rsid w:val="00EF40F8"/>
    <w:rsid w:val="00F101A7"/>
    <w:rsid w:val="00F15C33"/>
    <w:rsid w:val="00F75F9D"/>
    <w:rsid w:val="00FB3F1C"/>
    <w:rsid w:val="00FF2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9D"/>
    <w:rPr>
      <w:rFonts w:eastAsia="Times New Roman" w:cs="Times New Roman"/>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941DE8"/>
    <w:pPr>
      <w:spacing w:line="480" w:lineRule="auto"/>
      <w:jc w:val="both"/>
    </w:pPr>
  </w:style>
  <w:style w:type="character" w:customStyle="1" w:styleId="SCCNormalDoubleSpacingChar">
    <w:name w:val="SCC.Normal.DoubleSpacing Char"/>
    <w:basedOn w:val="DefaultParagraphFont"/>
    <w:link w:val="SCCNormalDoubleSpacing"/>
    <w:rsid w:val="00941DE8"/>
    <w:rPr>
      <w:rFonts w:eastAsia="Times New Roman" w:cs="Times New Roman"/>
      <w:szCs w:val="20"/>
      <w:lang w:val="en-CA" w:eastAsia="en-CA"/>
    </w:rPr>
  </w:style>
  <w:style w:type="paragraph" w:styleId="Header">
    <w:name w:val="header"/>
    <w:basedOn w:val="Normal"/>
    <w:link w:val="HeaderChar"/>
    <w:uiPriority w:val="99"/>
    <w:unhideWhenUsed/>
    <w:rsid w:val="00941DE8"/>
    <w:pPr>
      <w:tabs>
        <w:tab w:val="center" w:pos="4680"/>
        <w:tab w:val="right" w:pos="9360"/>
      </w:tabs>
    </w:pPr>
  </w:style>
  <w:style w:type="character" w:customStyle="1" w:styleId="HeaderChar">
    <w:name w:val="Header Char"/>
    <w:basedOn w:val="DefaultParagraphFont"/>
    <w:link w:val="Header"/>
    <w:uiPriority w:val="99"/>
    <w:rsid w:val="00941DE8"/>
    <w:rPr>
      <w:rFonts w:eastAsia="Times New Roman" w:cs="Times New Roman"/>
      <w:szCs w:val="20"/>
      <w:lang w:val="en-CA" w:eastAsia="en-CA"/>
    </w:rPr>
  </w:style>
  <w:style w:type="paragraph" w:customStyle="1" w:styleId="SCCLsocParty">
    <w:name w:val="SCC.Lsoc.Party"/>
    <w:basedOn w:val="Normal"/>
    <w:next w:val="Normal"/>
    <w:link w:val="SCCLsocPartyChar"/>
    <w:rsid w:val="00941DE8"/>
    <w:pPr>
      <w:jc w:val="both"/>
    </w:pPr>
    <w:rPr>
      <w:b/>
    </w:rPr>
  </w:style>
  <w:style w:type="character" w:customStyle="1" w:styleId="SCCLsocPartyChar">
    <w:name w:val="SCC.Lsoc.Party Char"/>
    <w:basedOn w:val="DefaultParagraphFont"/>
    <w:link w:val="SCCLsocParty"/>
    <w:rsid w:val="00941DE8"/>
    <w:rPr>
      <w:rFonts w:eastAsia="Times New Roman" w:cs="Times New Roman"/>
      <w:b/>
      <w:szCs w:val="20"/>
      <w:lang w:val="en-CA" w:eastAsia="en-CA"/>
    </w:rPr>
  </w:style>
  <w:style w:type="paragraph" w:customStyle="1" w:styleId="SCCLsocVersus">
    <w:name w:val="SCC.Lsoc.Versus"/>
    <w:basedOn w:val="Normal"/>
    <w:next w:val="Normal"/>
    <w:link w:val="SCCLsocVersusChar"/>
    <w:rsid w:val="00941DE8"/>
    <w:rPr>
      <w:i/>
    </w:rPr>
  </w:style>
  <w:style w:type="character" w:customStyle="1" w:styleId="SCCLsocVersusChar">
    <w:name w:val="SCC.Lsoc.Versus Char"/>
    <w:basedOn w:val="DefaultParagraphFont"/>
    <w:link w:val="SCCLsocVersus"/>
    <w:rsid w:val="00941DE8"/>
    <w:rPr>
      <w:rFonts w:eastAsia="Times New Roman" w:cs="Times New Roman"/>
      <w:i/>
      <w:szCs w:val="20"/>
      <w:lang w:val="en-CA" w:eastAsia="en-CA"/>
    </w:rPr>
  </w:style>
  <w:style w:type="paragraph" w:styleId="Footer">
    <w:name w:val="footer"/>
    <w:basedOn w:val="Normal"/>
    <w:link w:val="FooterChar"/>
    <w:uiPriority w:val="99"/>
    <w:semiHidden/>
    <w:unhideWhenUsed/>
    <w:rsid w:val="00122C0F"/>
    <w:pPr>
      <w:tabs>
        <w:tab w:val="center" w:pos="4680"/>
        <w:tab w:val="right" w:pos="9360"/>
      </w:tabs>
    </w:pPr>
  </w:style>
  <w:style w:type="character" w:customStyle="1" w:styleId="FooterChar">
    <w:name w:val="Footer Char"/>
    <w:basedOn w:val="DefaultParagraphFont"/>
    <w:link w:val="Footer"/>
    <w:uiPriority w:val="99"/>
    <w:semiHidden/>
    <w:rsid w:val="00122C0F"/>
    <w:rPr>
      <w:rFonts w:eastAsia="Times New Roman" w:cs="Times New Roman"/>
      <w:szCs w:val="20"/>
      <w:lang w:val="en-CA" w:eastAsia="en-CA"/>
    </w:rPr>
  </w:style>
  <w:style w:type="paragraph" w:customStyle="1" w:styleId="SCCSystemYear">
    <w:name w:val="SCC.SystemYear"/>
    <w:basedOn w:val="Normal"/>
    <w:next w:val="Normal"/>
    <w:link w:val="SCCSystemYearChar"/>
    <w:rsid w:val="00941DE8"/>
    <w:rPr>
      <w:b/>
    </w:rPr>
  </w:style>
  <w:style w:type="character" w:customStyle="1" w:styleId="SCCSystemYearChar">
    <w:name w:val="SCC.SystemYear Char"/>
    <w:basedOn w:val="DefaultParagraphFont"/>
    <w:link w:val="SCCSystemYear"/>
    <w:rsid w:val="00941DE8"/>
    <w:rPr>
      <w:rFonts w:eastAsia="Times New Roman" w:cs="Times New Roman"/>
      <w:b/>
      <w:szCs w:val="20"/>
      <w:lang w:val="en-CA" w:eastAsia="en-CA"/>
    </w:rPr>
  </w:style>
  <w:style w:type="paragraph" w:customStyle="1" w:styleId="SCCLawFirm">
    <w:name w:val="SCC.LawFirm"/>
    <w:basedOn w:val="SCCNormalDoubleSpacing"/>
    <w:next w:val="SCCNormalDoubleSpacing"/>
    <w:link w:val="SCCLawFirmChar"/>
    <w:rsid w:val="00941DE8"/>
    <w:rPr>
      <w:i/>
    </w:rPr>
  </w:style>
  <w:style w:type="character" w:customStyle="1" w:styleId="SCCLawFirmChar">
    <w:name w:val="SCC.LawFirm Char"/>
    <w:basedOn w:val="SCCNormalDoubleSpacingChar"/>
    <w:link w:val="SCCLawFirm"/>
    <w:rsid w:val="00941DE8"/>
    <w:rPr>
      <w:i/>
    </w:rPr>
  </w:style>
  <w:style w:type="paragraph" w:customStyle="1" w:styleId="ParaNoNdepar-AltN">
    <w:name w:val="Para. No. / Nº de par. - Alt N"/>
    <w:qFormat/>
    <w:rsid w:val="00847A73"/>
    <w:pPr>
      <w:numPr>
        <w:numId w:val="1"/>
      </w:numPr>
      <w:spacing w:before="480" w:after="480" w:line="480" w:lineRule="auto"/>
      <w:jc w:val="both"/>
    </w:pPr>
    <w:rPr>
      <w:rFonts w:eastAsiaTheme="minorEastAsia"/>
      <w:szCs w:val="22"/>
      <w:lang w:val="en-CA"/>
    </w:rPr>
  </w:style>
  <w:style w:type="table" w:styleId="TableGrid">
    <w:name w:val="Table Grid"/>
    <w:basedOn w:val="TableNormal"/>
    <w:uiPriority w:val="59"/>
    <w:rsid w:val="00E418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artyRole">
    <w:name w:val="SCC.Lsoc.PartyRole"/>
    <w:basedOn w:val="Normal"/>
    <w:next w:val="Normal"/>
    <w:link w:val="SCCLsocPartyRoleChar"/>
    <w:rsid w:val="00E41888"/>
    <w:pPr>
      <w:jc w:val="center"/>
    </w:pPr>
    <w:rPr>
      <w:rFonts w:eastAsiaTheme="minorHAnsi" w:cstheme="minorBidi"/>
      <w:szCs w:val="24"/>
      <w:lang w:eastAsia="en-US"/>
    </w:rPr>
  </w:style>
  <w:style w:type="character" w:customStyle="1" w:styleId="SCCLsocPartyRoleChar">
    <w:name w:val="SCC.Lsoc.PartyRole Char"/>
    <w:basedOn w:val="DefaultParagraphFont"/>
    <w:link w:val="SCCLsocPartyRole"/>
    <w:rsid w:val="00E41888"/>
    <w:rPr>
      <w:lang w:val="en-CA"/>
    </w:rPr>
  </w:style>
  <w:style w:type="paragraph" w:customStyle="1" w:styleId="SCCLsocPrefix">
    <w:name w:val="SCC.Lsoc.Prefix"/>
    <w:basedOn w:val="Normal"/>
    <w:next w:val="Normal"/>
    <w:link w:val="SCCLsocPrefixChar"/>
    <w:rsid w:val="00E41888"/>
    <w:rPr>
      <w:rFonts w:eastAsiaTheme="minorHAnsi" w:cstheme="minorBidi"/>
      <w:b/>
      <w:smallCaps/>
      <w:szCs w:val="24"/>
      <w:lang w:eastAsia="en-US"/>
    </w:rPr>
  </w:style>
  <w:style w:type="character" w:customStyle="1" w:styleId="SCCLsocPrefixChar">
    <w:name w:val="SCC.Lsoc.Prefix Char"/>
    <w:basedOn w:val="DefaultParagraphFont"/>
    <w:link w:val="SCCLsocPrefix"/>
    <w:rsid w:val="00E41888"/>
    <w:rPr>
      <w:b/>
      <w:smallCaps/>
      <w:lang w:val="en-CA"/>
    </w:rPr>
  </w:style>
  <w:style w:type="paragraph" w:customStyle="1" w:styleId="SCCRespondentForIndex">
    <w:name w:val="SCC.RespondentForIndex"/>
    <w:basedOn w:val="Normal"/>
    <w:next w:val="Normal"/>
    <w:link w:val="SCCRespondentForIndexChar"/>
    <w:rsid w:val="00E41888"/>
    <w:rPr>
      <w:b/>
    </w:rPr>
  </w:style>
  <w:style w:type="character" w:customStyle="1" w:styleId="SCCRespondentForIndexChar">
    <w:name w:val="SCC.RespondentForIndex Char"/>
    <w:basedOn w:val="DefaultParagraphFont"/>
    <w:link w:val="SCCRespondentForIndex"/>
    <w:rsid w:val="00E41888"/>
    <w:rPr>
      <w:rFonts w:eastAsia="Times New Roman" w:cs="Times New Roman"/>
      <w:b/>
      <w:szCs w:val="20"/>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2899</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2011-11-29T14:00:00Z</dcterms:created>
  <dcterms:modified xsi:type="dcterms:W3CDTF">2012-02-20T14:58:00Z</dcterms:modified>
</cp:coreProperties>
</file>