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3E7" w:rsidRPr="00C80698" w:rsidRDefault="00DF13E7" w:rsidP="00DF13E7">
      <w:pPr>
        <w:tabs>
          <w:tab w:val="center" w:pos="4680"/>
          <w:tab w:val="right" w:pos="9360"/>
        </w:tabs>
        <w:jc w:val="center"/>
        <w:rPr>
          <w:rFonts w:eastAsiaTheme="minorHAnsi" w:cstheme="minorBidi"/>
          <w:szCs w:val="24"/>
          <w:lang w:eastAsia="en-US"/>
        </w:rPr>
      </w:pPr>
      <w:r w:rsidRPr="00C80698">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3" ShapeID="_x0000_i1025" DrawAspect="Content" ObjectID="_1409050724" r:id="rId9"/>
        </w:object>
      </w:r>
    </w:p>
    <w:p w:rsidR="00DF13E7" w:rsidRPr="00C80698" w:rsidRDefault="00DF13E7" w:rsidP="00DF13E7">
      <w:pPr>
        <w:tabs>
          <w:tab w:val="center" w:pos="4680"/>
          <w:tab w:val="right" w:pos="9360"/>
        </w:tabs>
        <w:rPr>
          <w:rFonts w:eastAsiaTheme="minorHAnsi" w:cstheme="minorBidi"/>
          <w:szCs w:val="24"/>
          <w:lang w:eastAsia="en-US"/>
        </w:rPr>
      </w:pPr>
    </w:p>
    <w:p w:rsidR="00DF13E7" w:rsidRPr="00C80698" w:rsidRDefault="00DF13E7" w:rsidP="00DF13E7">
      <w:pPr>
        <w:jc w:val="center"/>
        <w:rPr>
          <w:rFonts w:eastAsiaTheme="minorHAnsi" w:cstheme="minorBidi"/>
          <w:b/>
          <w:szCs w:val="24"/>
          <w:lang w:eastAsia="en-US"/>
        </w:rPr>
      </w:pPr>
      <w:r w:rsidRPr="00C80698">
        <w:rPr>
          <w:rFonts w:eastAsiaTheme="minorHAnsi" w:cstheme="minorBidi"/>
          <w:b/>
          <w:szCs w:val="24"/>
          <w:lang w:eastAsia="en-US"/>
        </w:rPr>
        <w:t>SUPREME COURT OF CANADA</w:t>
      </w:r>
    </w:p>
    <w:p w:rsidR="00DF13E7" w:rsidRPr="00C80698" w:rsidRDefault="00DF13E7" w:rsidP="00DF13E7">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DF13E7" w:rsidRPr="00C80698" w:rsidTr="00BD1516">
        <w:trPr>
          <w:cantSplit/>
        </w:trPr>
        <w:tc>
          <w:tcPr>
            <w:tcW w:w="6768" w:type="dxa"/>
          </w:tcPr>
          <w:p w:rsidR="00DF13E7" w:rsidRPr="00C80698" w:rsidRDefault="00DF13E7" w:rsidP="00BD1516">
            <w:r w:rsidRPr="00C80698">
              <w:rPr>
                <w:b/>
                <w:smallCaps/>
              </w:rPr>
              <w:t>Citation:</w:t>
            </w:r>
            <w:r w:rsidRPr="00C80698">
              <w:t xml:space="preserve"> Fundy Settlement </w:t>
            </w:r>
            <w:r w:rsidRPr="00C80698">
              <w:rPr>
                <w:i/>
              </w:rPr>
              <w:t>v</w:t>
            </w:r>
            <w:r w:rsidRPr="00C80698">
              <w:t xml:space="preserve">. Canada, </w:t>
            </w:r>
            <w:r>
              <w:rPr>
                <w:szCs w:val="24"/>
              </w:rPr>
              <w:t>2012 SCC 14, [2012] 1 S.C.R. 520</w:t>
            </w:r>
          </w:p>
        </w:tc>
        <w:tc>
          <w:tcPr>
            <w:tcW w:w="2808" w:type="dxa"/>
          </w:tcPr>
          <w:p w:rsidR="00DF13E7" w:rsidRPr="00C80698" w:rsidRDefault="00DF13E7" w:rsidP="00BD1516">
            <w:r w:rsidRPr="00C80698">
              <w:rPr>
                <w:b/>
                <w:smallCaps/>
              </w:rPr>
              <w:t>Date:</w:t>
            </w:r>
            <w:r w:rsidRPr="00C80698">
              <w:t xml:space="preserve"> 20120412</w:t>
            </w:r>
          </w:p>
          <w:p w:rsidR="00DF13E7" w:rsidRPr="00C80698" w:rsidRDefault="00DF13E7" w:rsidP="00BD1516">
            <w:r w:rsidRPr="00C80698">
              <w:rPr>
                <w:b/>
                <w:smallCaps/>
              </w:rPr>
              <w:t>Docket:</w:t>
            </w:r>
            <w:r w:rsidRPr="00C80698">
              <w:t xml:space="preserve"> 34056, 34057</w:t>
            </w:r>
          </w:p>
        </w:tc>
      </w:tr>
      <w:tr w:rsidR="00DF13E7" w:rsidRPr="00C80698" w:rsidTr="00BD1516">
        <w:trPr>
          <w:cantSplit/>
        </w:trPr>
        <w:tc>
          <w:tcPr>
            <w:tcW w:w="6768" w:type="dxa"/>
          </w:tcPr>
          <w:p w:rsidR="00DF13E7" w:rsidRPr="00C80698" w:rsidRDefault="00DF13E7" w:rsidP="00BD1516">
            <w:pPr>
              <w:rPr>
                <w:b/>
                <w:smallCaps/>
              </w:rPr>
            </w:pPr>
          </w:p>
        </w:tc>
        <w:tc>
          <w:tcPr>
            <w:tcW w:w="2808" w:type="dxa"/>
          </w:tcPr>
          <w:p w:rsidR="00DF13E7" w:rsidRPr="00C80698" w:rsidRDefault="00DF13E7" w:rsidP="00BD1516">
            <w:pPr>
              <w:rPr>
                <w:b/>
                <w:smallCaps/>
              </w:rPr>
            </w:pPr>
          </w:p>
        </w:tc>
      </w:tr>
    </w:tbl>
    <w:p w:rsidR="00DF13E7" w:rsidRPr="00C80698" w:rsidRDefault="00DF13E7" w:rsidP="00DF13E7">
      <w:pPr>
        <w:rPr>
          <w:rFonts w:eastAsiaTheme="minorHAnsi" w:cstheme="minorBidi"/>
          <w:b/>
          <w:smallCaps/>
          <w:szCs w:val="24"/>
          <w:lang w:eastAsia="en-US"/>
        </w:rPr>
      </w:pPr>
      <w:r w:rsidRPr="00C80698">
        <w:rPr>
          <w:rFonts w:eastAsiaTheme="minorHAnsi" w:cstheme="minorBidi"/>
          <w:b/>
          <w:smallCaps/>
          <w:szCs w:val="24"/>
          <w:lang w:eastAsia="en-US"/>
        </w:rPr>
        <w:t>Between:</w:t>
      </w:r>
    </w:p>
    <w:p w:rsidR="00DF13E7" w:rsidRPr="00C80698" w:rsidRDefault="00DF13E7" w:rsidP="00DF13E7">
      <w:pPr>
        <w:jc w:val="center"/>
        <w:rPr>
          <w:rFonts w:eastAsiaTheme="minorHAnsi" w:cstheme="minorBidi"/>
          <w:b/>
          <w:szCs w:val="24"/>
          <w:lang w:eastAsia="en-US"/>
        </w:rPr>
      </w:pPr>
      <w:r w:rsidRPr="00C80698">
        <w:rPr>
          <w:rFonts w:eastAsiaTheme="minorHAnsi" w:cstheme="minorBidi"/>
          <w:b/>
          <w:szCs w:val="24"/>
          <w:lang w:eastAsia="en-US"/>
        </w:rPr>
        <w:t>St. Michael Trust Corp., as Trustee of the Fundy Settlement</w:t>
      </w:r>
    </w:p>
    <w:p w:rsidR="00DF13E7" w:rsidRPr="00C80698" w:rsidRDefault="00DF13E7" w:rsidP="00DF13E7">
      <w:pPr>
        <w:jc w:val="center"/>
        <w:rPr>
          <w:rFonts w:eastAsiaTheme="minorHAnsi" w:cstheme="minorBidi"/>
          <w:szCs w:val="24"/>
          <w:lang w:eastAsia="en-US"/>
        </w:rPr>
      </w:pPr>
      <w:r w:rsidRPr="00C80698">
        <w:rPr>
          <w:rFonts w:eastAsiaTheme="minorHAnsi" w:cstheme="minorBidi"/>
          <w:szCs w:val="24"/>
          <w:lang w:eastAsia="en-US"/>
        </w:rPr>
        <w:t>Appellant</w:t>
      </w:r>
    </w:p>
    <w:p w:rsidR="00DF13E7" w:rsidRPr="00C80698" w:rsidRDefault="00DF13E7" w:rsidP="00DF13E7">
      <w:pPr>
        <w:jc w:val="center"/>
        <w:rPr>
          <w:rFonts w:eastAsiaTheme="minorHAnsi" w:cstheme="minorBidi"/>
          <w:szCs w:val="24"/>
          <w:lang w:eastAsia="en-US"/>
        </w:rPr>
      </w:pPr>
      <w:proofErr w:type="gramStart"/>
      <w:r w:rsidRPr="00C80698">
        <w:rPr>
          <w:rFonts w:eastAsiaTheme="minorHAnsi" w:cstheme="minorBidi"/>
          <w:szCs w:val="24"/>
          <w:lang w:eastAsia="en-US"/>
        </w:rPr>
        <w:t>and</w:t>
      </w:r>
      <w:proofErr w:type="gramEnd"/>
    </w:p>
    <w:p w:rsidR="00DF13E7" w:rsidRPr="00C80698" w:rsidRDefault="00DF13E7" w:rsidP="00DF13E7">
      <w:pPr>
        <w:jc w:val="center"/>
        <w:rPr>
          <w:rFonts w:eastAsiaTheme="minorHAnsi" w:cstheme="minorBidi"/>
          <w:b/>
          <w:szCs w:val="24"/>
          <w:lang w:eastAsia="en-US"/>
        </w:rPr>
      </w:pPr>
      <w:r w:rsidRPr="00C80698">
        <w:rPr>
          <w:rFonts w:eastAsiaTheme="minorHAnsi" w:cstheme="minorBidi"/>
          <w:b/>
          <w:szCs w:val="24"/>
          <w:lang w:eastAsia="en-US"/>
        </w:rPr>
        <w:t xml:space="preserve">Her Majesty </w:t>
      </w:r>
      <w:proofErr w:type="gramStart"/>
      <w:r w:rsidRPr="00C80698">
        <w:rPr>
          <w:rFonts w:eastAsiaTheme="minorHAnsi" w:cstheme="minorBidi"/>
          <w:b/>
          <w:szCs w:val="24"/>
          <w:lang w:eastAsia="en-US"/>
        </w:rPr>
        <w:t>The</w:t>
      </w:r>
      <w:proofErr w:type="gramEnd"/>
      <w:r w:rsidRPr="00C80698">
        <w:rPr>
          <w:rFonts w:eastAsiaTheme="minorHAnsi" w:cstheme="minorBidi"/>
          <w:b/>
          <w:szCs w:val="24"/>
          <w:lang w:eastAsia="en-US"/>
        </w:rPr>
        <w:t xml:space="preserve"> Queen</w:t>
      </w:r>
    </w:p>
    <w:p w:rsidR="00DF13E7" w:rsidRPr="00C80698" w:rsidRDefault="00DF13E7" w:rsidP="00DF13E7">
      <w:pPr>
        <w:jc w:val="center"/>
        <w:rPr>
          <w:rFonts w:eastAsiaTheme="minorHAnsi" w:cstheme="minorBidi"/>
          <w:szCs w:val="24"/>
          <w:lang w:eastAsia="en-US"/>
        </w:rPr>
      </w:pPr>
      <w:r w:rsidRPr="00C80698">
        <w:rPr>
          <w:rFonts w:eastAsiaTheme="minorHAnsi" w:cstheme="minorBidi"/>
          <w:szCs w:val="24"/>
          <w:lang w:eastAsia="en-US"/>
        </w:rPr>
        <w:t>Respondent</w:t>
      </w:r>
      <w:r w:rsidRPr="00C80698">
        <w:rPr>
          <w:rFonts w:eastAsiaTheme="minorHAnsi" w:cstheme="minorBidi"/>
          <w:szCs w:val="24"/>
          <w:lang w:eastAsia="en-US"/>
        </w:rPr>
        <w:br/>
      </w:r>
    </w:p>
    <w:p w:rsidR="00DF13E7" w:rsidRPr="00C80698" w:rsidRDefault="00DF13E7" w:rsidP="00DF13E7">
      <w:pPr>
        <w:rPr>
          <w:rFonts w:eastAsiaTheme="minorHAnsi" w:cstheme="minorBidi"/>
          <w:b/>
          <w:smallCaps/>
          <w:szCs w:val="24"/>
          <w:lang w:eastAsia="en-US"/>
        </w:rPr>
      </w:pPr>
      <w:r w:rsidRPr="00C80698">
        <w:rPr>
          <w:rFonts w:eastAsiaTheme="minorHAnsi" w:cstheme="minorBidi"/>
          <w:b/>
          <w:smallCaps/>
          <w:szCs w:val="24"/>
          <w:lang w:eastAsia="en-US"/>
        </w:rPr>
        <w:t>And Between:</w:t>
      </w:r>
    </w:p>
    <w:p w:rsidR="00DF13E7" w:rsidRPr="00C80698" w:rsidRDefault="00DF13E7" w:rsidP="00DF13E7">
      <w:pPr>
        <w:jc w:val="center"/>
        <w:rPr>
          <w:rFonts w:eastAsiaTheme="minorHAnsi" w:cstheme="minorBidi"/>
          <w:b/>
          <w:szCs w:val="24"/>
          <w:lang w:eastAsia="en-US"/>
        </w:rPr>
      </w:pPr>
      <w:r w:rsidRPr="00C80698">
        <w:rPr>
          <w:rFonts w:eastAsiaTheme="minorHAnsi" w:cstheme="minorBidi"/>
          <w:b/>
          <w:szCs w:val="24"/>
          <w:lang w:eastAsia="en-US"/>
        </w:rPr>
        <w:t xml:space="preserve">St. Michael Trust Corp., as Trustee of the </w:t>
      </w:r>
      <w:proofErr w:type="spellStart"/>
      <w:r w:rsidRPr="00C80698">
        <w:rPr>
          <w:rFonts w:eastAsiaTheme="minorHAnsi" w:cstheme="minorBidi"/>
          <w:b/>
          <w:szCs w:val="24"/>
          <w:lang w:eastAsia="en-US"/>
        </w:rPr>
        <w:t>Summersby</w:t>
      </w:r>
      <w:proofErr w:type="spellEnd"/>
      <w:r w:rsidRPr="00C80698">
        <w:rPr>
          <w:rFonts w:eastAsiaTheme="minorHAnsi" w:cstheme="minorBidi"/>
          <w:b/>
          <w:szCs w:val="24"/>
          <w:lang w:eastAsia="en-US"/>
        </w:rPr>
        <w:t xml:space="preserve"> Settlement</w:t>
      </w:r>
    </w:p>
    <w:p w:rsidR="00DF13E7" w:rsidRPr="00C80698" w:rsidRDefault="00DF13E7" w:rsidP="00DF13E7">
      <w:pPr>
        <w:jc w:val="center"/>
        <w:rPr>
          <w:rFonts w:eastAsiaTheme="minorHAnsi" w:cstheme="minorBidi"/>
          <w:szCs w:val="24"/>
          <w:lang w:eastAsia="en-US"/>
        </w:rPr>
      </w:pPr>
      <w:r w:rsidRPr="00C80698">
        <w:rPr>
          <w:rFonts w:eastAsiaTheme="minorHAnsi" w:cstheme="minorBidi"/>
          <w:szCs w:val="24"/>
          <w:lang w:eastAsia="en-US"/>
        </w:rPr>
        <w:t>Appellant</w:t>
      </w:r>
    </w:p>
    <w:p w:rsidR="00DF13E7" w:rsidRPr="00C80698" w:rsidRDefault="00DF13E7" w:rsidP="00DF13E7">
      <w:pPr>
        <w:jc w:val="center"/>
        <w:rPr>
          <w:rFonts w:eastAsiaTheme="minorHAnsi" w:cstheme="minorBidi"/>
          <w:szCs w:val="24"/>
          <w:lang w:eastAsia="en-US"/>
        </w:rPr>
      </w:pPr>
      <w:proofErr w:type="gramStart"/>
      <w:r w:rsidRPr="00C80698">
        <w:rPr>
          <w:rFonts w:eastAsiaTheme="minorHAnsi" w:cstheme="minorBidi"/>
          <w:szCs w:val="24"/>
          <w:lang w:eastAsia="en-US"/>
        </w:rPr>
        <w:t>and</w:t>
      </w:r>
      <w:proofErr w:type="gramEnd"/>
    </w:p>
    <w:p w:rsidR="00DF13E7" w:rsidRPr="00C80698" w:rsidRDefault="00DF13E7" w:rsidP="00DF13E7">
      <w:pPr>
        <w:jc w:val="center"/>
        <w:rPr>
          <w:rFonts w:eastAsiaTheme="minorHAnsi" w:cstheme="minorBidi"/>
          <w:b/>
          <w:szCs w:val="24"/>
          <w:lang w:eastAsia="en-US"/>
        </w:rPr>
      </w:pPr>
      <w:r w:rsidRPr="00C80698">
        <w:rPr>
          <w:rFonts w:eastAsiaTheme="minorHAnsi" w:cstheme="minorBidi"/>
          <w:b/>
          <w:szCs w:val="24"/>
          <w:lang w:eastAsia="en-US"/>
        </w:rPr>
        <w:t xml:space="preserve">Her Majesty </w:t>
      </w:r>
      <w:proofErr w:type="gramStart"/>
      <w:r w:rsidRPr="00C80698">
        <w:rPr>
          <w:rFonts w:eastAsiaTheme="minorHAnsi" w:cstheme="minorBidi"/>
          <w:b/>
          <w:szCs w:val="24"/>
          <w:lang w:eastAsia="en-US"/>
        </w:rPr>
        <w:t>The</w:t>
      </w:r>
      <w:proofErr w:type="gramEnd"/>
      <w:r w:rsidRPr="00C80698">
        <w:rPr>
          <w:rFonts w:eastAsiaTheme="minorHAnsi" w:cstheme="minorBidi"/>
          <w:b/>
          <w:szCs w:val="24"/>
          <w:lang w:eastAsia="en-US"/>
        </w:rPr>
        <w:t xml:space="preserve"> Queen</w:t>
      </w:r>
    </w:p>
    <w:p w:rsidR="00DF13E7" w:rsidRPr="00C80698" w:rsidRDefault="00DF13E7" w:rsidP="00DF13E7">
      <w:pPr>
        <w:jc w:val="center"/>
        <w:rPr>
          <w:rFonts w:eastAsiaTheme="minorHAnsi" w:cstheme="minorBidi"/>
          <w:szCs w:val="24"/>
          <w:lang w:eastAsia="en-US"/>
        </w:rPr>
      </w:pPr>
      <w:r w:rsidRPr="00C80698">
        <w:rPr>
          <w:rFonts w:eastAsiaTheme="minorHAnsi" w:cstheme="minorBidi"/>
          <w:szCs w:val="24"/>
          <w:lang w:eastAsia="en-US"/>
        </w:rPr>
        <w:t>Respondent</w:t>
      </w:r>
    </w:p>
    <w:p w:rsidR="00DF13E7" w:rsidRPr="00C80698" w:rsidRDefault="00DF13E7" w:rsidP="00DF13E7">
      <w:pPr>
        <w:rPr>
          <w:rFonts w:eastAsiaTheme="minorHAnsi" w:cstheme="minorBidi"/>
          <w:szCs w:val="24"/>
          <w:lang w:eastAsia="en-US"/>
        </w:rPr>
      </w:pPr>
    </w:p>
    <w:p w:rsidR="00DF13E7" w:rsidRPr="00C80698" w:rsidRDefault="00DF13E7" w:rsidP="00DF13E7">
      <w:pPr>
        <w:rPr>
          <w:rFonts w:eastAsiaTheme="minorHAnsi" w:cstheme="minorBidi"/>
          <w:szCs w:val="24"/>
          <w:lang w:eastAsia="en-US"/>
        </w:rPr>
      </w:pPr>
    </w:p>
    <w:p w:rsidR="00DF13E7" w:rsidRPr="00C80698" w:rsidRDefault="00DF13E7" w:rsidP="00DF13E7">
      <w:pPr>
        <w:rPr>
          <w:rFonts w:eastAsiaTheme="minorHAnsi" w:cstheme="minorBidi"/>
          <w:szCs w:val="24"/>
          <w:lang w:eastAsia="en-US"/>
        </w:rPr>
      </w:pPr>
      <w:r w:rsidRPr="00C80698">
        <w:rPr>
          <w:rFonts w:eastAsiaTheme="minorHAnsi" w:cstheme="minorBidi"/>
          <w:b/>
          <w:smallCaps/>
          <w:szCs w:val="24"/>
          <w:lang w:eastAsia="en-US"/>
        </w:rPr>
        <w:t>Coram:</w:t>
      </w:r>
      <w:r w:rsidRPr="00C80698">
        <w:rPr>
          <w:rFonts w:eastAsiaTheme="minorHAnsi" w:cstheme="minorBidi"/>
          <w:szCs w:val="24"/>
          <w:lang w:eastAsia="en-US"/>
        </w:rPr>
        <w:t xml:space="preserve"> </w:t>
      </w:r>
      <w:proofErr w:type="spellStart"/>
      <w:r w:rsidRPr="00C80698">
        <w:rPr>
          <w:rFonts w:eastAsiaTheme="minorHAnsi" w:cstheme="minorBidi"/>
          <w:szCs w:val="24"/>
          <w:lang w:eastAsia="en-US"/>
        </w:rPr>
        <w:t>LeBel</w:t>
      </w:r>
      <w:proofErr w:type="spellEnd"/>
      <w:r w:rsidRPr="00C80698">
        <w:rPr>
          <w:rFonts w:eastAsiaTheme="minorHAnsi" w:cstheme="minorBidi"/>
          <w:szCs w:val="24"/>
          <w:lang w:eastAsia="en-US"/>
        </w:rPr>
        <w:t xml:space="preserve">, </w:t>
      </w:r>
      <w:proofErr w:type="spellStart"/>
      <w:r w:rsidRPr="00C80698">
        <w:rPr>
          <w:rFonts w:eastAsiaTheme="minorHAnsi" w:cstheme="minorBidi"/>
          <w:szCs w:val="24"/>
          <w:lang w:eastAsia="en-US"/>
        </w:rPr>
        <w:t>Deschamps</w:t>
      </w:r>
      <w:proofErr w:type="spellEnd"/>
      <w:r w:rsidRPr="00C80698">
        <w:rPr>
          <w:rFonts w:eastAsiaTheme="minorHAnsi" w:cstheme="minorBidi"/>
          <w:szCs w:val="24"/>
          <w:lang w:eastAsia="en-US"/>
        </w:rPr>
        <w:t xml:space="preserve">, Fish, </w:t>
      </w:r>
      <w:proofErr w:type="spellStart"/>
      <w:r w:rsidRPr="00C80698">
        <w:rPr>
          <w:rFonts w:eastAsiaTheme="minorHAnsi" w:cstheme="minorBidi"/>
          <w:szCs w:val="24"/>
          <w:lang w:eastAsia="en-US"/>
        </w:rPr>
        <w:t>Abella</w:t>
      </w:r>
      <w:proofErr w:type="spellEnd"/>
      <w:r w:rsidRPr="00C80698">
        <w:rPr>
          <w:rFonts w:eastAsiaTheme="minorHAnsi" w:cstheme="minorBidi"/>
          <w:szCs w:val="24"/>
          <w:lang w:eastAsia="en-US"/>
        </w:rPr>
        <w:t xml:space="preserve">, Rothstein, </w:t>
      </w:r>
      <w:proofErr w:type="spellStart"/>
      <w:r w:rsidRPr="00C80698">
        <w:rPr>
          <w:rFonts w:eastAsiaTheme="minorHAnsi" w:cstheme="minorBidi"/>
          <w:szCs w:val="24"/>
          <w:lang w:eastAsia="en-US"/>
        </w:rPr>
        <w:t>Moldaver</w:t>
      </w:r>
      <w:proofErr w:type="spellEnd"/>
      <w:r w:rsidRPr="00C80698">
        <w:rPr>
          <w:rFonts w:eastAsiaTheme="minorHAnsi" w:cstheme="minorBidi"/>
          <w:szCs w:val="24"/>
          <w:lang w:eastAsia="en-US"/>
        </w:rPr>
        <w:t xml:space="preserve"> and </w:t>
      </w:r>
      <w:proofErr w:type="spellStart"/>
      <w:r w:rsidRPr="00C80698">
        <w:rPr>
          <w:rFonts w:eastAsiaTheme="minorHAnsi" w:cstheme="minorBidi"/>
          <w:szCs w:val="24"/>
          <w:lang w:eastAsia="en-US"/>
        </w:rPr>
        <w:t>Karakatsanis</w:t>
      </w:r>
      <w:proofErr w:type="spellEnd"/>
      <w:r w:rsidRPr="00C80698">
        <w:rPr>
          <w:rFonts w:eastAsiaTheme="minorHAnsi" w:cstheme="minorBidi"/>
          <w:szCs w:val="24"/>
          <w:lang w:eastAsia="en-US"/>
        </w:rPr>
        <w:t> JJ.</w:t>
      </w:r>
    </w:p>
    <w:p w:rsidR="00DF13E7" w:rsidRPr="00C80698" w:rsidRDefault="00DF13E7" w:rsidP="00DF13E7">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DF13E7" w:rsidRPr="00C80698" w:rsidTr="00BD1516">
        <w:trPr>
          <w:cantSplit/>
        </w:trPr>
        <w:tc>
          <w:tcPr>
            <w:tcW w:w="3618" w:type="dxa"/>
          </w:tcPr>
          <w:p w:rsidR="00DF13E7" w:rsidRPr="00C80698" w:rsidRDefault="00DF13E7" w:rsidP="00BD1516">
            <w:pPr>
              <w:rPr>
                <w:b/>
                <w:smallCaps/>
              </w:rPr>
            </w:pPr>
            <w:r w:rsidRPr="00C80698">
              <w:rPr>
                <w:b/>
                <w:smallCaps/>
              </w:rPr>
              <w:t>Reasons for Judgment:</w:t>
            </w:r>
          </w:p>
          <w:p w:rsidR="00DF13E7" w:rsidRPr="00C80698" w:rsidRDefault="00DF13E7" w:rsidP="00BD1516">
            <w:r w:rsidRPr="00C80698">
              <w:t>(</w:t>
            </w:r>
            <w:proofErr w:type="spellStart"/>
            <w:r w:rsidRPr="00C80698">
              <w:t>paras</w:t>
            </w:r>
            <w:proofErr w:type="spellEnd"/>
            <w:r w:rsidRPr="00C80698">
              <w:t>. 1 to 19)</w:t>
            </w:r>
          </w:p>
        </w:tc>
        <w:tc>
          <w:tcPr>
            <w:tcW w:w="5958" w:type="dxa"/>
          </w:tcPr>
          <w:p w:rsidR="00DF13E7" w:rsidRPr="00C80698" w:rsidRDefault="00DF13E7" w:rsidP="00BD1516">
            <w:r w:rsidRPr="00C80698">
              <w:t>The Court</w:t>
            </w:r>
          </w:p>
        </w:tc>
      </w:tr>
    </w:tbl>
    <w:p w:rsidR="00DF13E7" w:rsidRPr="00C80698" w:rsidRDefault="00DF13E7" w:rsidP="00DF13E7">
      <w:pPr>
        <w:rPr>
          <w:rFonts w:eastAsiaTheme="minorHAnsi" w:cstheme="minorBidi"/>
          <w:szCs w:val="24"/>
          <w:lang w:eastAsia="en-US"/>
        </w:rPr>
      </w:pPr>
    </w:p>
    <w:p w:rsidR="00DF13E7" w:rsidRPr="00C80698" w:rsidRDefault="00DF13E7" w:rsidP="00DF13E7">
      <w:pPr>
        <w:rPr>
          <w:rFonts w:eastAsiaTheme="minorHAnsi" w:cstheme="minorBidi"/>
          <w:szCs w:val="24"/>
          <w:lang w:eastAsia="en-US"/>
        </w:rPr>
      </w:pPr>
    </w:p>
    <w:p w:rsidR="00DF13E7" w:rsidRPr="00C80698" w:rsidRDefault="00DF13E7" w:rsidP="00DF13E7">
      <w:pPr>
        <w:rPr>
          <w:rFonts w:eastAsiaTheme="minorHAnsi" w:cstheme="minorBidi"/>
          <w:szCs w:val="24"/>
          <w:lang w:eastAsia="en-US"/>
        </w:rPr>
      </w:pPr>
      <w:r w:rsidRPr="00423B25">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DF13E7" w:rsidRPr="00C80698" w:rsidRDefault="00DF13E7" w:rsidP="00DF13E7">
      <w:pPr>
        <w:rPr>
          <w:rStyle w:val="SCCAppellantForRunningHeadChar"/>
          <w:szCs w:val="24"/>
        </w:rPr>
      </w:pPr>
      <w:r w:rsidRPr="00C80698">
        <w:rPr>
          <w:rStyle w:val="SCCAppellantForRunningHeadChar"/>
          <w:szCs w:val="24"/>
        </w:rPr>
        <w:br w:type="page"/>
      </w:r>
    </w:p>
    <w:p w:rsidR="002B39AE" w:rsidRPr="002B39AE" w:rsidRDefault="002B39AE" w:rsidP="002E3D07">
      <w:pPr>
        <w:spacing w:after="720"/>
        <w:jc w:val="both"/>
        <w:rPr>
          <w:rStyle w:val="SCCRespondentForRunningHeadChar"/>
          <w:szCs w:val="24"/>
        </w:rPr>
      </w:pPr>
      <w:r w:rsidRPr="002B39AE">
        <w:rPr>
          <w:szCs w:val="24"/>
        </w:rPr>
        <w:lastRenderedPageBreak/>
        <w:t>Fundy</w:t>
      </w:r>
      <w:r w:rsidRPr="002B39AE">
        <w:rPr>
          <w:rStyle w:val="SCCAppellantForIndexChar"/>
          <w:b w:val="0"/>
          <w:szCs w:val="24"/>
        </w:rPr>
        <w:t xml:space="preserve"> Settlement</w:t>
      </w:r>
      <w:r w:rsidRPr="002B39AE">
        <w:rPr>
          <w:rStyle w:val="SCCAppellantForIndexChar"/>
          <w:szCs w:val="24"/>
        </w:rPr>
        <w:t xml:space="preserve"> </w:t>
      </w:r>
      <w:r w:rsidRPr="002B39AE">
        <w:rPr>
          <w:i/>
          <w:szCs w:val="24"/>
        </w:rPr>
        <w:t>v.</w:t>
      </w:r>
      <w:r w:rsidRPr="002B39AE">
        <w:rPr>
          <w:szCs w:val="24"/>
        </w:rPr>
        <w:t xml:space="preserve"> Canada</w:t>
      </w:r>
      <w:r>
        <w:rPr>
          <w:szCs w:val="24"/>
        </w:rPr>
        <w:t>, 2012 SCC 14, [2012] 1 S.C.R. 52</w:t>
      </w:r>
      <w:r w:rsidR="007D6AF8">
        <w:rPr>
          <w:szCs w:val="24"/>
        </w:rPr>
        <w:t>0</w:t>
      </w:r>
    </w:p>
    <w:p w:rsidR="00095800" w:rsidRPr="00474D07" w:rsidRDefault="00453F89" w:rsidP="00095800">
      <w:pPr>
        <w:pStyle w:val="SCCLsocParty"/>
        <w:tabs>
          <w:tab w:val="right" w:pos="8280"/>
        </w:tabs>
        <w:rPr>
          <w:szCs w:val="24"/>
        </w:rPr>
      </w:pPr>
      <w:r w:rsidRPr="00474D07">
        <w:rPr>
          <w:szCs w:val="24"/>
        </w:rPr>
        <w:t>St.</w:t>
      </w:r>
      <w:r w:rsidR="00E75482" w:rsidRPr="00474D07">
        <w:rPr>
          <w:szCs w:val="24"/>
        </w:rPr>
        <w:t xml:space="preserve"> </w:t>
      </w:r>
      <w:r w:rsidRPr="00474D07">
        <w:rPr>
          <w:szCs w:val="24"/>
        </w:rPr>
        <w:t xml:space="preserve">Michael Trust Corp., as Trustee of </w:t>
      </w:r>
    </w:p>
    <w:p w:rsidR="002E3D07" w:rsidRPr="00474D07" w:rsidRDefault="00453F89" w:rsidP="002E3D07">
      <w:pPr>
        <w:pStyle w:val="SCCLsocParty"/>
        <w:tabs>
          <w:tab w:val="right" w:pos="8280"/>
        </w:tabs>
        <w:spacing w:after="720"/>
        <w:rPr>
          <w:b w:val="0"/>
          <w:i/>
          <w:szCs w:val="24"/>
        </w:rPr>
      </w:pPr>
      <w:proofErr w:type="gramStart"/>
      <w:r w:rsidRPr="00474D07">
        <w:rPr>
          <w:szCs w:val="24"/>
        </w:rPr>
        <w:t>the</w:t>
      </w:r>
      <w:proofErr w:type="gramEnd"/>
      <w:r w:rsidRPr="00474D07">
        <w:rPr>
          <w:szCs w:val="24"/>
        </w:rPr>
        <w:t xml:space="preserve"> </w:t>
      </w:r>
      <w:r w:rsidR="0009257B">
        <w:rPr>
          <w:szCs w:val="24"/>
        </w:rPr>
        <w:t>Fundy</w:t>
      </w:r>
      <w:r w:rsidRPr="00474D07">
        <w:rPr>
          <w:szCs w:val="24"/>
        </w:rPr>
        <w:t xml:space="preserve"> Settlement</w:t>
      </w:r>
      <w:r w:rsidR="00E75482" w:rsidRPr="00474D07">
        <w:rPr>
          <w:szCs w:val="24"/>
        </w:rPr>
        <w:tab/>
      </w:r>
      <w:r w:rsidRPr="00474D07">
        <w:rPr>
          <w:b w:val="0"/>
          <w:i/>
          <w:szCs w:val="24"/>
        </w:rPr>
        <w:t>Appellant</w:t>
      </w:r>
    </w:p>
    <w:p w:rsidR="002E3D07" w:rsidRPr="00474D07" w:rsidRDefault="00453F89" w:rsidP="002E3D07">
      <w:pPr>
        <w:pStyle w:val="SCCLsocVersus"/>
        <w:spacing w:after="720"/>
        <w:jc w:val="both"/>
        <w:rPr>
          <w:szCs w:val="24"/>
        </w:rPr>
      </w:pPr>
      <w:proofErr w:type="gramStart"/>
      <w:r w:rsidRPr="00474D07">
        <w:rPr>
          <w:szCs w:val="24"/>
        </w:rPr>
        <w:t>v</w:t>
      </w:r>
      <w:proofErr w:type="gramEnd"/>
      <w:r w:rsidRPr="00474D07">
        <w:rPr>
          <w:szCs w:val="24"/>
        </w:rPr>
        <w:t>.</w:t>
      </w:r>
    </w:p>
    <w:p w:rsidR="00E75482" w:rsidRPr="00474D07" w:rsidRDefault="00453F89" w:rsidP="002E3D07">
      <w:pPr>
        <w:pStyle w:val="SCCLsocParty"/>
        <w:tabs>
          <w:tab w:val="right" w:pos="8280"/>
        </w:tabs>
        <w:spacing w:after="720"/>
        <w:rPr>
          <w:b w:val="0"/>
          <w:i/>
          <w:szCs w:val="24"/>
        </w:rPr>
      </w:pPr>
      <w:r w:rsidRPr="00474D07">
        <w:rPr>
          <w:szCs w:val="24"/>
        </w:rPr>
        <w:t xml:space="preserve">Her Majesty </w:t>
      </w:r>
      <w:proofErr w:type="gramStart"/>
      <w:r w:rsidR="00C64A2C" w:rsidRPr="00474D07">
        <w:rPr>
          <w:szCs w:val="24"/>
        </w:rPr>
        <w:t>T</w:t>
      </w:r>
      <w:r w:rsidRPr="00474D07">
        <w:rPr>
          <w:szCs w:val="24"/>
        </w:rPr>
        <w:t>he</w:t>
      </w:r>
      <w:proofErr w:type="gramEnd"/>
      <w:r w:rsidRPr="00474D07">
        <w:rPr>
          <w:szCs w:val="24"/>
        </w:rPr>
        <w:t xml:space="preserve"> Queen</w:t>
      </w:r>
      <w:r w:rsidR="00E75482" w:rsidRPr="00474D07">
        <w:rPr>
          <w:szCs w:val="24"/>
        </w:rPr>
        <w:tab/>
      </w:r>
      <w:r w:rsidRPr="00474D07">
        <w:rPr>
          <w:b w:val="0"/>
          <w:i/>
          <w:szCs w:val="24"/>
        </w:rPr>
        <w:t>Respondent</w:t>
      </w:r>
    </w:p>
    <w:p w:rsidR="00E75482" w:rsidRPr="00474D07" w:rsidRDefault="002E3D07" w:rsidP="002E3D07">
      <w:pPr>
        <w:spacing w:after="720"/>
        <w:rPr>
          <w:szCs w:val="24"/>
        </w:rPr>
      </w:pPr>
      <w:r w:rsidRPr="00474D07">
        <w:rPr>
          <w:szCs w:val="24"/>
        </w:rPr>
        <w:noBreakHyphen/>
      </w:r>
      <w:r w:rsidR="00E75482" w:rsidRPr="00474D07">
        <w:rPr>
          <w:szCs w:val="24"/>
        </w:rPr>
        <w:t xml:space="preserve"> </w:t>
      </w:r>
      <w:proofErr w:type="gramStart"/>
      <w:r w:rsidR="00E75482" w:rsidRPr="00474D07">
        <w:rPr>
          <w:szCs w:val="24"/>
        </w:rPr>
        <w:t>and</w:t>
      </w:r>
      <w:proofErr w:type="gramEnd"/>
      <w:r w:rsidR="00E75482" w:rsidRPr="00474D07">
        <w:rPr>
          <w:szCs w:val="24"/>
        </w:rPr>
        <w:t xml:space="preserve"> </w:t>
      </w:r>
      <w:r w:rsidRPr="00474D07">
        <w:rPr>
          <w:szCs w:val="24"/>
        </w:rPr>
        <w:noBreakHyphen/>
      </w:r>
    </w:p>
    <w:p w:rsidR="00095800" w:rsidRPr="00474D07" w:rsidRDefault="00E75482" w:rsidP="00095800">
      <w:pPr>
        <w:pStyle w:val="SCCLsocParty"/>
        <w:tabs>
          <w:tab w:val="right" w:pos="8280"/>
        </w:tabs>
        <w:rPr>
          <w:szCs w:val="24"/>
        </w:rPr>
      </w:pPr>
      <w:r w:rsidRPr="00474D07">
        <w:rPr>
          <w:szCs w:val="24"/>
        </w:rPr>
        <w:t xml:space="preserve">St. Michael Trust Corp., as Trustee of </w:t>
      </w:r>
    </w:p>
    <w:p w:rsidR="002E3D07" w:rsidRPr="00474D07" w:rsidRDefault="00E75482" w:rsidP="002E3D07">
      <w:pPr>
        <w:pStyle w:val="SCCLsocParty"/>
        <w:tabs>
          <w:tab w:val="right" w:pos="8280"/>
        </w:tabs>
        <w:spacing w:after="720"/>
        <w:rPr>
          <w:b w:val="0"/>
          <w:i/>
          <w:szCs w:val="24"/>
        </w:rPr>
      </w:pPr>
      <w:proofErr w:type="gramStart"/>
      <w:r w:rsidRPr="00474D07">
        <w:rPr>
          <w:szCs w:val="24"/>
        </w:rPr>
        <w:t>the</w:t>
      </w:r>
      <w:proofErr w:type="gramEnd"/>
      <w:r w:rsidRPr="00474D07">
        <w:rPr>
          <w:szCs w:val="24"/>
        </w:rPr>
        <w:t xml:space="preserve"> Summersby Settlement</w:t>
      </w:r>
      <w:r w:rsidRPr="00474D07">
        <w:rPr>
          <w:szCs w:val="24"/>
        </w:rPr>
        <w:tab/>
      </w:r>
      <w:r w:rsidRPr="00474D07">
        <w:rPr>
          <w:b w:val="0"/>
          <w:i/>
          <w:szCs w:val="24"/>
        </w:rPr>
        <w:t>Appellant</w:t>
      </w:r>
    </w:p>
    <w:p w:rsidR="002E3D07" w:rsidRPr="00474D07" w:rsidRDefault="00E75482" w:rsidP="002E3D07">
      <w:pPr>
        <w:pStyle w:val="SCCLsocVersus"/>
        <w:spacing w:after="720"/>
        <w:rPr>
          <w:szCs w:val="24"/>
        </w:rPr>
      </w:pPr>
      <w:proofErr w:type="gramStart"/>
      <w:r w:rsidRPr="00474D07">
        <w:rPr>
          <w:szCs w:val="24"/>
        </w:rPr>
        <w:t>v</w:t>
      </w:r>
      <w:proofErr w:type="gramEnd"/>
      <w:r w:rsidRPr="00474D07">
        <w:rPr>
          <w:szCs w:val="24"/>
        </w:rPr>
        <w:t>.</w:t>
      </w:r>
    </w:p>
    <w:p w:rsidR="00E75482" w:rsidRPr="00474D07" w:rsidRDefault="00C64A2C" w:rsidP="002E3D07">
      <w:pPr>
        <w:pStyle w:val="SCCLsocParty"/>
        <w:tabs>
          <w:tab w:val="right" w:pos="8280"/>
        </w:tabs>
        <w:spacing w:after="720"/>
        <w:rPr>
          <w:szCs w:val="24"/>
        </w:rPr>
      </w:pPr>
      <w:r w:rsidRPr="00474D07">
        <w:rPr>
          <w:szCs w:val="24"/>
        </w:rPr>
        <w:t xml:space="preserve">Her Majesty </w:t>
      </w:r>
      <w:proofErr w:type="gramStart"/>
      <w:r w:rsidRPr="00474D07">
        <w:rPr>
          <w:szCs w:val="24"/>
        </w:rPr>
        <w:t>T</w:t>
      </w:r>
      <w:r w:rsidR="00E75482" w:rsidRPr="00474D07">
        <w:rPr>
          <w:szCs w:val="24"/>
        </w:rPr>
        <w:t>he</w:t>
      </w:r>
      <w:proofErr w:type="gramEnd"/>
      <w:r w:rsidR="00E75482" w:rsidRPr="00474D07">
        <w:rPr>
          <w:szCs w:val="24"/>
        </w:rPr>
        <w:t xml:space="preserve"> Queen</w:t>
      </w:r>
      <w:r w:rsidR="00E75482" w:rsidRPr="00474D07">
        <w:rPr>
          <w:szCs w:val="24"/>
        </w:rPr>
        <w:tab/>
      </w:r>
      <w:r w:rsidR="00E75482" w:rsidRPr="00474D07">
        <w:rPr>
          <w:b w:val="0"/>
          <w:i/>
          <w:szCs w:val="24"/>
        </w:rPr>
        <w:t>Respondent</w:t>
      </w:r>
    </w:p>
    <w:p w:rsidR="00426659" w:rsidRPr="00474D07" w:rsidRDefault="00426659" w:rsidP="002E3D07">
      <w:pPr>
        <w:spacing w:after="720"/>
        <w:jc w:val="both"/>
        <w:rPr>
          <w:b/>
          <w:szCs w:val="24"/>
        </w:rPr>
      </w:pPr>
      <w:r w:rsidRPr="00474D07">
        <w:rPr>
          <w:b/>
          <w:szCs w:val="24"/>
        </w:rPr>
        <w:t xml:space="preserve">Indexed as:  </w:t>
      </w:r>
      <w:r w:rsidR="0009257B">
        <w:rPr>
          <w:b/>
          <w:szCs w:val="24"/>
        </w:rPr>
        <w:t>Fundy</w:t>
      </w:r>
      <w:r w:rsidRPr="00474D07">
        <w:rPr>
          <w:rStyle w:val="SCCAppellantForIndexChar"/>
          <w:szCs w:val="24"/>
        </w:rPr>
        <w:t xml:space="preserve"> Set</w:t>
      </w:r>
      <w:r w:rsidR="00E75482" w:rsidRPr="00474D07">
        <w:rPr>
          <w:rStyle w:val="SCCAppellantForIndexChar"/>
          <w:szCs w:val="24"/>
        </w:rPr>
        <w:t xml:space="preserve">tlement </w:t>
      </w:r>
      <w:r w:rsidRPr="00474D07">
        <w:rPr>
          <w:b/>
          <w:i/>
          <w:szCs w:val="24"/>
        </w:rPr>
        <w:t>v.</w:t>
      </w:r>
      <w:r w:rsidRPr="00474D07">
        <w:rPr>
          <w:b/>
          <w:szCs w:val="24"/>
        </w:rPr>
        <w:t xml:space="preserve"> </w:t>
      </w:r>
      <w:r w:rsidR="00C4716F" w:rsidRPr="00474D07">
        <w:rPr>
          <w:b/>
          <w:szCs w:val="24"/>
        </w:rPr>
        <w:t>Canada</w:t>
      </w:r>
    </w:p>
    <w:p w:rsidR="00426659" w:rsidRPr="00474D07" w:rsidRDefault="00566AD1" w:rsidP="002E3D07">
      <w:pPr>
        <w:pStyle w:val="SCCSystemYear"/>
        <w:spacing w:after="720"/>
        <w:jc w:val="both"/>
        <w:rPr>
          <w:szCs w:val="24"/>
        </w:rPr>
      </w:pPr>
      <w:r w:rsidRPr="00474D07">
        <w:rPr>
          <w:szCs w:val="24"/>
        </w:rPr>
        <w:t>2012</w:t>
      </w:r>
      <w:r w:rsidR="003D0399" w:rsidRPr="00474D07">
        <w:rPr>
          <w:szCs w:val="24"/>
        </w:rPr>
        <w:t xml:space="preserve"> </w:t>
      </w:r>
      <w:r w:rsidR="00426659" w:rsidRPr="00474D07">
        <w:rPr>
          <w:szCs w:val="24"/>
        </w:rPr>
        <w:t>SCC </w:t>
      </w:r>
      <w:r w:rsidR="00784FE1" w:rsidRPr="00474D07">
        <w:rPr>
          <w:szCs w:val="24"/>
        </w:rPr>
        <w:t>14</w:t>
      </w:r>
    </w:p>
    <w:p w:rsidR="008322BD" w:rsidRPr="00474D07" w:rsidRDefault="009B57B3" w:rsidP="002E3D07">
      <w:pPr>
        <w:spacing w:after="720"/>
        <w:jc w:val="both"/>
        <w:rPr>
          <w:szCs w:val="24"/>
        </w:rPr>
      </w:pPr>
      <w:r w:rsidRPr="00474D07">
        <w:rPr>
          <w:szCs w:val="24"/>
        </w:rPr>
        <w:t>File No</w:t>
      </w:r>
      <w:r w:rsidR="00444739" w:rsidRPr="00474D07">
        <w:rPr>
          <w:szCs w:val="24"/>
        </w:rPr>
        <w:t>s</w:t>
      </w:r>
      <w:r w:rsidRPr="00474D07">
        <w:rPr>
          <w:szCs w:val="24"/>
        </w:rPr>
        <w:t>.:  34056</w:t>
      </w:r>
      <w:r w:rsidR="00444739" w:rsidRPr="00474D07">
        <w:rPr>
          <w:szCs w:val="24"/>
        </w:rPr>
        <w:t>, 34057</w:t>
      </w:r>
      <w:r w:rsidRPr="00474D07">
        <w:rPr>
          <w:szCs w:val="24"/>
        </w:rPr>
        <w:t>.</w:t>
      </w:r>
    </w:p>
    <w:p w:rsidR="008322BD" w:rsidRPr="00474D07" w:rsidRDefault="00DA4410" w:rsidP="002E3D07">
      <w:pPr>
        <w:spacing w:after="720"/>
        <w:jc w:val="both"/>
        <w:rPr>
          <w:szCs w:val="24"/>
        </w:rPr>
      </w:pPr>
      <w:r w:rsidRPr="00474D07">
        <w:rPr>
          <w:szCs w:val="24"/>
        </w:rPr>
        <w:t>2012:  March </w:t>
      </w:r>
      <w:r w:rsidR="00566AD1" w:rsidRPr="00474D07">
        <w:rPr>
          <w:szCs w:val="24"/>
        </w:rPr>
        <w:t>13</w:t>
      </w:r>
      <w:r w:rsidR="009B57B3" w:rsidRPr="00474D07">
        <w:rPr>
          <w:szCs w:val="24"/>
        </w:rPr>
        <w:t xml:space="preserve">; </w:t>
      </w:r>
      <w:r w:rsidR="005B2A61" w:rsidRPr="00474D07">
        <w:rPr>
          <w:szCs w:val="24"/>
        </w:rPr>
        <w:t>2012:  April </w:t>
      </w:r>
      <w:r w:rsidR="009A507D" w:rsidRPr="00474D07">
        <w:rPr>
          <w:szCs w:val="24"/>
        </w:rPr>
        <w:t>12</w:t>
      </w:r>
      <w:r w:rsidR="009B57B3" w:rsidRPr="00474D07">
        <w:rPr>
          <w:szCs w:val="24"/>
        </w:rPr>
        <w:t>.</w:t>
      </w:r>
    </w:p>
    <w:p w:rsidR="008322BD" w:rsidRPr="00474D07" w:rsidRDefault="009B57B3" w:rsidP="002E3D07">
      <w:pPr>
        <w:spacing w:after="720"/>
        <w:jc w:val="both"/>
        <w:rPr>
          <w:szCs w:val="24"/>
        </w:rPr>
      </w:pPr>
      <w:r w:rsidRPr="00474D07">
        <w:rPr>
          <w:szCs w:val="24"/>
        </w:rPr>
        <w:lastRenderedPageBreak/>
        <w:t>Present:  LeBel, Deschamps, Fish, Abella, Rothstein, Moldaver and Karakatsanis JJ.</w:t>
      </w:r>
    </w:p>
    <w:p w:rsidR="008322BD" w:rsidRPr="00474D07" w:rsidRDefault="00656313" w:rsidP="002E3D07">
      <w:pPr>
        <w:pStyle w:val="SCCLowerCourtNameLowercase"/>
        <w:spacing w:after="720" w:line="240" w:lineRule="auto"/>
        <w:rPr>
          <w:szCs w:val="24"/>
        </w:rPr>
      </w:pPr>
      <w:r w:rsidRPr="00474D07">
        <w:rPr>
          <w:szCs w:val="24"/>
        </w:rPr>
        <w:t>o</w:t>
      </w:r>
      <w:r w:rsidR="00170592" w:rsidRPr="00474D07">
        <w:rPr>
          <w:szCs w:val="24"/>
        </w:rPr>
        <w:t>n</w:t>
      </w:r>
      <w:r w:rsidR="00224FC0" w:rsidRPr="00474D07">
        <w:rPr>
          <w:szCs w:val="24"/>
        </w:rPr>
        <w:t xml:space="preserve"> </w:t>
      </w:r>
      <w:r w:rsidRPr="00474D07">
        <w:rPr>
          <w:szCs w:val="24"/>
        </w:rPr>
        <w:t>a</w:t>
      </w:r>
      <w:r w:rsidR="00170592" w:rsidRPr="00474D07">
        <w:rPr>
          <w:szCs w:val="24"/>
        </w:rPr>
        <w:t>ppeal</w:t>
      </w:r>
      <w:r w:rsidR="00224FC0" w:rsidRPr="00474D07">
        <w:rPr>
          <w:szCs w:val="24"/>
        </w:rPr>
        <w:t xml:space="preserve"> </w:t>
      </w:r>
      <w:r w:rsidR="00170592" w:rsidRPr="00474D07">
        <w:rPr>
          <w:szCs w:val="24"/>
        </w:rPr>
        <w:t>from</w:t>
      </w:r>
      <w:r w:rsidR="009567AA" w:rsidRPr="00474D07">
        <w:rPr>
          <w:szCs w:val="24"/>
        </w:rPr>
        <w:t xml:space="preserve"> the</w:t>
      </w:r>
      <w:r w:rsidR="00224FC0" w:rsidRPr="00474D07">
        <w:rPr>
          <w:szCs w:val="24"/>
        </w:rPr>
        <w:t xml:space="preserve"> </w:t>
      </w:r>
      <w:r w:rsidR="009B57B3" w:rsidRPr="00474D07">
        <w:rPr>
          <w:szCs w:val="24"/>
        </w:rPr>
        <w:t>federal court of appeal</w:t>
      </w:r>
    </w:p>
    <w:p w:rsidR="00CD2847" w:rsidRPr="00474D07" w:rsidRDefault="00CD2847" w:rsidP="00B50193">
      <w:pPr>
        <w:pStyle w:val="SCCNormalDoubleSpacing"/>
        <w:spacing w:after="240"/>
        <w:rPr>
          <w:i/>
          <w:szCs w:val="24"/>
        </w:rPr>
      </w:pPr>
      <w:r w:rsidRPr="00474D07">
        <w:rPr>
          <w:szCs w:val="24"/>
        </w:rPr>
        <w:tab/>
      </w:r>
      <w:r w:rsidRPr="00474D07">
        <w:rPr>
          <w:i/>
          <w:szCs w:val="24"/>
        </w:rPr>
        <w:t xml:space="preserve">Taxation </w:t>
      </w:r>
      <w:r w:rsidR="00AF4D77" w:rsidRPr="00474D07">
        <w:rPr>
          <w:i/>
          <w:szCs w:val="24"/>
        </w:rPr>
        <w:t>—</w:t>
      </w:r>
      <w:r w:rsidRPr="00474D07">
        <w:rPr>
          <w:i/>
          <w:szCs w:val="24"/>
        </w:rPr>
        <w:t xml:space="preserve"> Income tax </w:t>
      </w:r>
      <w:r w:rsidR="00AF4D77" w:rsidRPr="00474D07">
        <w:rPr>
          <w:i/>
          <w:szCs w:val="24"/>
        </w:rPr>
        <w:t>—</w:t>
      </w:r>
      <w:r w:rsidRPr="00474D07">
        <w:rPr>
          <w:i/>
          <w:szCs w:val="24"/>
        </w:rPr>
        <w:t xml:space="preserve"> Trusts </w:t>
      </w:r>
      <w:r w:rsidR="00AF4D77" w:rsidRPr="00474D07">
        <w:rPr>
          <w:i/>
          <w:szCs w:val="24"/>
        </w:rPr>
        <w:t>—</w:t>
      </w:r>
      <w:r w:rsidRPr="00474D07">
        <w:rPr>
          <w:i/>
          <w:szCs w:val="24"/>
        </w:rPr>
        <w:t xml:space="preserve"> Residence </w:t>
      </w:r>
      <w:r w:rsidR="00AF4D77" w:rsidRPr="00474D07">
        <w:rPr>
          <w:i/>
          <w:szCs w:val="24"/>
        </w:rPr>
        <w:t>—</w:t>
      </w:r>
      <w:r w:rsidRPr="00474D07">
        <w:rPr>
          <w:i/>
          <w:szCs w:val="24"/>
        </w:rPr>
        <w:t xml:space="preserve"> Trusts held by corporation resident in Barbados </w:t>
      </w:r>
      <w:r w:rsidR="00AF4D77" w:rsidRPr="00474D07">
        <w:rPr>
          <w:i/>
          <w:szCs w:val="24"/>
        </w:rPr>
        <w:t>—</w:t>
      </w:r>
      <w:r w:rsidRPr="00474D07">
        <w:rPr>
          <w:i/>
          <w:szCs w:val="24"/>
        </w:rPr>
        <w:t xml:space="preserve"> Beneficiaries of trusts resident in Canada </w:t>
      </w:r>
      <w:r w:rsidR="00AF4D77" w:rsidRPr="00474D07">
        <w:rPr>
          <w:i/>
          <w:szCs w:val="24"/>
        </w:rPr>
        <w:t>—</w:t>
      </w:r>
      <w:r w:rsidRPr="00474D07">
        <w:rPr>
          <w:i/>
          <w:szCs w:val="24"/>
        </w:rPr>
        <w:t xml:space="preserve"> Central management and control of trusts carried out by main trust beneficiaries in Canada </w:t>
      </w:r>
      <w:r w:rsidR="00AF4D77" w:rsidRPr="00474D07">
        <w:rPr>
          <w:i/>
          <w:szCs w:val="24"/>
        </w:rPr>
        <w:t>—</w:t>
      </w:r>
      <w:r w:rsidRPr="00474D07">
        <w:rPr>
          <w:i/>
          <w:szCs w:val="24"/>
        </w:rPr>
        <w:t xml:space="preserve"> Trustee seeking return of amounts withheld on account of Canadian tax from capital gains realized by trusts on sale of shares in Canada </w:t>
      </w:r>
      <w:r w:rsidR="00AF4D77" w:rsidRPr="00474D07">
        <w:rPr>
          <w:i/>
          <w:szCs w:val="24"/>
        </w:rPr>
        <w:t>—</w:t>
      </w:r>
      <w:r w:rsidRPr="00474D07">
        <w:rPr>
          <w:i/>
          <w:szCs w:val="24"/>
        </w:rPr>
        <w:t xml:space="preserve"> Whether trusts are resident in Canada for taxation purposes. </w:t>
      </w:r>
    </w:p>
    <w:p w:rsidR="00CD2847" w:rsidRPr="00474D07" w:rsidRDefault="00CD2847" w:rsidP="00B50193">
      <w:pPr>
        <w:pStyle w:val="SCCNormalDoubleSpacing"/>
        <w:spacing w:after="240"/>
        <w:rPr>
          <w:szCs w:val="24"/>
        </w:rPr>
      </w:pPr>
      <w:r w:rsidRPr="00474D07">
        <w:rPr>
          <w:i/>
          <w:szCs w:val="24"/>
        </w:rPr>
        <w:tab/>
      </w:r>
      <w:r w:rsidRPr="00474D07">
        <w:rPr>
          <w:rStyle w:val="QuoteChar"/>
          <w:color w:val="auto"/>
          <w:szCs w:val="24"/>
          <w:lang w:val="en-CA"/>
        </w:rPr>
        <w:t>Held</w:t>
      </w:r>
      <w:r w:rsidRPr="00474D07">
        <w:rPr>
          <w:rStyle w:val="QuoteChar"/>
          <w:i w:val="0"/>
          <w:color w:val="auto"/>
          <w:szCs w:val="24"/>
          <w:lang w:val="en-CA"/>
        </w:rPr>
        <w:t>:</w:t>
      </w:r>
      <w:r w:rsidRPr="00474D07">
        <w:rPr>
          <w:szCs w:val="24"/>
        </w:rPr>
        <w:t xml:space="preserve">  The appeal</w:t>
      </w:r>
      <w:r w:rsidR="009042D9" w:rsidRPr="00474D07">
        <w:rPr>
          <w:szCs w:val="24"/>
        </w:rPr>
        <w:t>s</w:t>
      </w:r>
      <w:r w:rsidRPr="00474D07">
        <w:rPr>
          <w:szCs w:val="24"/>
        </w:rPr>
        <w:t xml:space="preserve"> should be dismissed</w:t>
      </w:r>
      <w:r w:rsidR="00B57E01">
        <w:rPr>
          <w:szCs w:val="24"/>
        </w:rPr>
        <w:t>.</w:t>
      </w:r>
    </w:p>
    <w:p w:rsidR="00CD2847" w:rsidRPr="00474D07" w:rsidRDefault="00CD2847" w:rsidP="00B50193">
      <w:pPr>
        <w:pStyle w:val="SCCNormalDoubleSpacing"/>
        <w:spacing w:after="480"/>
        <w:rPr>
          <w:szCs w:val="24"/>
        </w:rPr>
      </w:pPr>
      <w:r w:rsidRPr="00474D07">
        <w:rPr>
          <w:szCs w:val="24"/>
        </w:rPr>
        <w:tab/>
        <w:t>The principal basis for imposing income t</w:t>
      </w:r>
      <w:r w:rsidR="00D37A2B" w:rsidRPr="00474D07">
        <w:rPr>
          <w:szCs w:val="24"/>
        </w:rPr>
        <w:t xml:space="preserve">ax in Canada is residency.  </w:t>
      </w:r>
      <w:r w:rsidRPr="00474D07">
        <w:rPr>
          <w:szCs w:val="24"/>
        </w:rPr>
        <w:t xml:space="preserve">As with corporations, the residence of a trust should be determined by the principle that a trust resides for the purposes of the </w:t>
      </w:r>
      <w:r w:rsidRPr="00474D07">
        <w:rPr>
          <w:i/>
          <w:szCs w:val="24"/>
        </w:rPr>
        <w:t>Income Tax Act</w:t>
      </w:r>
      <w:r w:rsidRPr="00474D07">
        <w:rPr>
          <w:szCs w:val="24"/>
        </w:rPr>
        <w:t xml:space="preserve"> where its real business is carried on, which is where the central management and control of the trust actually takes place</w:t>
      </w:r>
      <w:r w:rsidR="00D37A2B" w:rsidRPr="00474D07">
        <w:rPr>
          <w:szCs w:val="24"/>
        </w:rPr>
        <w:t xml:space="preserve">. </w:t>
      </w:r>
      <w:r w:rsidRPr="00474D07">
        <w:rPr>
          <w:szCs w:val="24"/>
        </w:rPr>
        <w:t xml:space="preserve"> The residence of the trust is not always that of th</w:t>
      </w:r>
      <w:r w:rsidR="00D37A2B" w:rsidRPr="00474D07">
        <w:rPr>
          <w:szCs w:val="24"/>
        </w:rPr>
        <w:t>e trustee.  It will be so</w:t>
      </w:r>
      <w:r w:rsidRPr="00474D07">
        <w:rPr>
          <w:szCs w:val="24"/>
        </w:rPr>
        <w:t xml:space="preserve"> where the trustee carries out the central management and control of the trust where the trustee is resident. </w:t>
      </w:r>
      <w:r w:rsidR="003C1381" w:rsidRPr="00474D07">
        <w:rPr>
          <w:szCs w:val="24"/>
        </w:rPr>
        <w:t xml:space="preserve"> </w:t>
      </w:r>
      <w:r w:rsidRPr="00474D07">
        <w:rPr>
          <w:szCs w:val="24"/>
        </w:rPr>
        <w:t>Here, however, the trusts are resident in Canada, since the central management and control of the trusts was exercised by the main beneficiaries in Canada and the trustee</w:t>
      </w:r>
      <w:r w:rsidR="00474D07" w:rsidRPr="00474D07">
        <w:rPr>
          <w:szCs w:val="24"/>
        </w:rPr>
        <w:t>’</w:t>
      </w:r>
      <w:r w:rsidRPr="00474D07">
        <w:rPr>
          <w:szCs w:val="24"/>
        </w:rPr>
        <w:t>s limited role was to provide administrative services and it had little or no responsibility beyond that.</w:t>
      </w:r>
    </w:p>
    <w:p w:rsidR="007E1C47" w:rsidRPr="00474D07" w:rsidRDefault="002E6705" w:rsidP="002E3D07">
      <w:pPr>
        <w:pStyle w:val="SCCNormalDoubleSpacing"/>
        <w:keepNext/>
        <w:spacing w:after="720" w:line="240" w:lineRule="auto"/>
        <w:rPr>
          <w:b/>
          <w:szCs w:val="24"/>
        </w:rPr>
      </w:pPr>
      <w:r w:rsidRPr="00474D07">
        <w:rPr>
          <w:b/>
          <w:szCs w:val="24"/>
        </w:rPr>
        <w:lastRenderedPageBreak/>
        <w:t>Cases Cited</w:t>
      </w:r>
    </w:p>
    <w:p w:rsidR="004E2C26" w:rsidRPr="00474D07" w:rsidRDefault="002E6705" w:rsidP="002E3D07">
      <w:pPr>
        <w:pStyle w:val="SCCNormalDoubleSpacing"/>
        <w:widowControl w:val="0"/>
        <w:spacing w:after="480"/>
        <w:rPr>
          <w:szCs w:val="24"/>
        </w:rPr>
      </w:pPr>
      <w:r w:rsidRPr="00474D07">
        <w:rPr>
          <w:szCs w:val="24"/>
        </w:rPr>
        <w:tab/>
      </w:r>
      <w:r w:rsidRPr="00474D07">
        <w:rPr>
          <w:b/>
          <w:szCs w:val="24"/>
        </w:rPr>
        <w:t>Referred to:</w:t>
      </w:r>
      <w:r w:rsidR="00BD0E9E" w:rsidRPr="00474D07">
        <w:rPr>
          <w:szCs w:val="24"/>
        </w:rPr>
        <w:t xml:space="preserve"> </w:t>
      </w:r>
      <w:r w:rsidR="00DA3C41" w:rsidRPr="00474D07">
        <w:rPr>
          <w:szCs w:val="24"/>
        </w:rPr>
        <w:t xml:space="preserve"> </w:t>
      </w:r>
      <w:r w:rsidR="00DA3C41" w:rsidRPr="00474D07">
        <w:rPr>
          <w:i/>
          <w:szCs w:val="24"/>
        </w:rPr>
        <w:t>De Beers Consolidated Mines, Ltd. v. Howe</w:t>
      </w:r>
      <w:r w:rsidR="00DA3C41" w:rsidRPr="00474D07">
        <w:rPr>
          <w:szCs w:val="24"/>
        </w:rPr>
        <w:t>, [1906] A.C. 455</w:t>
      </w:r>
      <w:r w:rsidR="001308C1" w:rsidRPr="00474D07">
        <w:rPr>
          <w:szCs w:val="24"/>
        </w:rPr>
        <w:t xml:space="preserve">; </w:t>
      </w:r>
      <w:r w:rsidR="001308C1" w:rsidRPr="00474D07">
        <w:rPr>
          <w:i/>
          <w:iCs/>
          <w:szCs w:val="24"/>
        </w:rPr>
        <w:t>The King v. British Columbia Electric Railway Co.</w:t>
      </w:r>
      <w:r w:rsidR="001308C1" w:rsidRPr="00474D07">
        <w:rPr>
          <w:iCs/>
          <w:szCs w:val="24"/>
        </w:rPr>
        <w:t>,</w:t>
      </w:r>
      <w:r w:rsidR="001308C1" w:rsidRPr="00474D07">
        <w:rPr>
          <w:i/>
          <w:iCs/>
          <w:szCs w:val="24"/>
        </w:rPr>
        <w:t xml:space="preserve"> </w:t>
      </w:r>
      <w:r w:rsidR="001308C1" w:rsidRPr="00474D07">
        <w:rPr>
          <w:szCs w:val="24"/>
        </w:rPr>
        <w:t xml:space="preserve">[1945] C.T.C. 162; </w:t>
      </w:r>
      <w:r w:rsidR="001308C1" w:rsidRPr="00474D07">
        <w:rPr>
          <w:i/>
          <w:szCs w:val="24"/>
        </w:rPr>
        <w:t xml:space="preserve">Crossley Carpets (Canada) Ltd. v. M.N.R. </w:t>
      </w:r>
      <w:r w:rsidR="001308C1" w:rsidRPr="00474D07">
        <w:rPr>
          <w:szCs w:val="24"/>
        </w:rPr>
        <w:t>(196</w:t>
      </w:r>
      <w:r w:rsidR="00B57E01">
        <w:rPr>
          <w:szCs w:val="24"/>
        </w:rPr>
        <w:t>7</w:t>
      </w:r>
      <w:r w:rsidR="001308C1" w:rsidRPr="00474D07">
        <w:rPr>
          <w:szCs w:val="24"/>
        </w:rPr>
        <w:t xml:space="preserve">), </w:t>
      </w:r>
      <w:proofErr w:type="gramStart"/>
      <w:r w:rsidR="001308C1" w:rsidRPr="00474D07">
        <w:rPr>
          <w:szCs w:val="24"/>
        </w:rPr>
        <w:t>67 D.T.C. 522</w:t>
      </w:r>
      <w:proofErr w:type="gramEnd"/>
      <w:r w:rsidR="002043BB" w:rsidRPr="00474D07">
        <w:rPr>
          <w:szCs w:val="24"/>
        </w:rPr>
        <w:t xml:space="preserve">; </w:t>
      </w:r>
      <w:r w:rsidR="002043BB" w:rsidRPr="00474D07">
        <w:rPr>
          <w:i/>
          <w:szCs w:val="24"/>
        </w:rPr>
        <w:t>Unit Construction Co. v. Bullock</w:t>
      </w:r>
      <w:r w:rsidR="002043BB" w:rsidRPr="00474D07">
        <w:rPr>
          <w:szCs w:val="24"/>
        </w:rPr>
        <w:t>, [1960] A.C. 351</w:t>
      </w:r>
      <w:r w:rsidR="00DA3C41" w:rsidRPr="00474D07">
        <w:rPr>
          <w:szCs w:val="24"/>
        </w:rPr>
        <w:t>.</w:t>
      </w:r>
    </w:p>
    <w:p w:rsidR="0010774F" w:rsidRPr="00474D07" w:rsidRDefault="0010774F" w:rsidP="002E3D07">
      <w:pPr>
        <w:pStyle w:val="SCCNormalDoubleSpacing"/>
        <w:keepNext/>
        <w:spacing w:after="720" w:line="240" w:lineRule="auto"/>
        <w:rPr>
          <w:szCs w:val="24"/>
        </w:rPr>
      </w:pPr>
      <w:r w:rsidRPr="00474D07">
        <w:rPr>
          <w:b/>
          <w:szCs w:val="24"/>
        </w:rPr>
        <w:t>Statutes and Regulations Cited</w:t>
      </w:r>
    </w:p>
    <w:p w:rsidR="00935218" w:rsidRPr="00474D07" w:rsidRDefault="00F7652F" w:rsidP="005B2A61">
      <w:pPr>
        <w:pStyle w:val="SCCNormalDoubleSpacing"/>
        <w:widowControl w:val="0"/>
        <w:spacing w:after="240" w:line="240" w:lineRule="auto"/>
        <w:ind w:left="446" w:hanging="446"/>
        <w:rPr>
          <w:szCs w:val="24"/>
        </w:rPr>
      </w:pPr>
      <w:r w:rsidRPr="00474D07">
        <w:rPr>
          <w:i/>
          <w:szCs w:val="24"/>
        </w:rPr>
        <w:t>Canada-</w:t>
      </w:r>
      <w:r w:rsidR="002219CD" w:rsidRPr="00474D07">
        <w:rPr>
          <w:i/>
          <w:szCs w:val="24"/>
        </w:rPr>
        <w:t>Barbados Income Tax Agreement Act, 1980</w:t>
      </w:r>
      <w:r w:rsidR="00752160" w:rsidRPr="00474D07">
        <w:rPr>
          <w:szCs w:val="24"/>
        </w:rPr>
        <w:t>, S.C. 1980</w:t>
      </w:r>
      <w:r w:rsidR="002E3D07" w:rsidRPr="00474D07">
        <w:rPr>
          <w:szCs w:val="24"/>
        </w:rPr>
        <w:noBreakHyphen/>
      </w:r>
      <w:r w:rsidR="00752160" w:rsidRPr="00474D07">
        <w:rPr>
          <w:szCs w:val="24"/>
        </w:rPr>
        <w:t>81</w:t>
      </w:r>
      <w:r w:rsidR="002E3D07" w:rsidRPr="00474D07">
        <w:rPr>
          <w:szCs w:val="24"/>
        </w:rPr>
        <w:noBreakHyphen/>
      </w:r>
      <w:r w:rsidR="00B57E01">
        <w:rPr>
          <w:szCs w:val="24"/>
        </w:rPr>
        <w:t>82-</w:t>
      </w:r>
      <w:r w:rsidR="00752160" w:rsidRPr="00474D07">
        <w:rPr>
          <w:szCs w:val="24"/>
        </w:rPr>
        <w:t>83, c.</w:t>
      </w:r>
      <w:r w:rsidR="002E3D07" w:rsidRPr="00474D07">
        <w:rPr>
          <w:szCs w:val="24"/>
        </w:rPr>
        <w:t> 44, s. </w:t>
      </w:r>
      <w:r w:rsidR="00752160" w:rsidRPr="00474D07">
        <w:rPr>
          <w:szCs w:val="24"/>
        </w:rPr>
        <w:t>25</w:t>
      </w:r>
      <w:r w:rsidR="002219CD" w:rsidRPr="00474D07">
        <w:rPr>
          <w:szCs w:val="24"/>
        </w:rPr>
        <w:t>.</w:t>
      </w:r>
    </w:p>
    <w:p w:rsidR="00752160" w:rsidRPr="00474D07" w:rsidRDefault="00105271" w:rsidP="005B2A61">
      <w:pPr>
        <w:pStyle w:val="SCCNormalDoubleSpacing"/>
        <w:widowControl w:val="0"/>
        <w:spacing w:after="720" w:line="240" w:lineRule="auto"/>
        <w:ind w:left="446" w:hanging="446"/>
        <w:rPr>
          <w:szCs w:val="24"/>
        </w:rPr>
      </w:pPr>
      <w:proofErr w:type="gramStart"/>
      <w:r w:rsidRPr="00474D07">
        <w:rPr>
          <w:i/>
          <w:szCs w:val="24"/>
        </w:rPr>
        <w:t>Income Tax Act</w:t>
      </w:r>
      <w:r w:rsidR="002E3D07" w:rsidRPr="00474D07">
        <w:rPr>
          <w:szCs w:val="24"/>
        </w:rPr>
        <w:t>, R.S.C. 1985, c. </w:t>
      </w:r>
      <w:r w:rsidRPr="00474D07">
        <w:rPr>
          <w:szCs w:val="24"/>
        </w:rPr>
        <w:t>1 (5th Supp.)</w:t>
      </w:r>
      <w:r w:rsidR="00E678BB" w:rsidRPr="00474D07">
        <w:rPr>
          <w:szCs w:val="24"/>
        </w:rPr>
        <w:t xml:space="preserve">, </w:t>
      </w:r>
      <w:r w:rsidR="002E3D07" w:rsidRPr="00474D07">
        <w:rPr>
          <w:szCs w:val="24"/>
        </w:rPr>
        <w:t>ss. </w:t>
      </w:r>
      <w:r w:rsidR="005D4EA3" w:rsidRPr="00474D07">
        <w:rPr>
          <w:szCs w:val="24"/>
        </w:rPr>
        <w:t xml:space="preserve">2(1), </w:t>
      </w:r>
      <w:r w:rsidR="00537D59" w:rsidRPr="00474D07">
        <w:rPr>
          <w:szCs w:val="24"/>
        </w:rPr>
        <w:t xml:space="preserve">94, </w:t>
      </w:r>
      <w:r w:rsidR="00E678BB" w:rsidRPr="00474D07">
        <w:rPr>
          <w:szCs w:val="24"/>
        </w:rPr>
        <w:t>104</w:t>
      </w:r>
      <w:r w:rsidR="00E20B23" w:rsidRPr="00474D07">
        <w:rPr>
          <w:szCs w:val="24"/>
        </w:rPr>
        <w:t xml:space="preserve">(1), </w:t>
      </w:r>
      <w:r w:rsidR="00E678BB" w:rsidRPr="00474D07">
        <w:rPr>
          <w:szCs w:val="24"/>
        </w:rPr>
        <w:t>(2)</w:t>
      </w:r>
      <w:r w:rsidR="00B90107" w:rsidRPr="00474D07">
        <w:rPr>
          <w:szCs w:val="24"/>
        </w:rPr>
        <w:t>, 245</w:t>
      </w:r>
      <w:r w:rsidRPr="00474D07">
        <w:rPr>
          <w:szCs w:val="24"/>
        </w:rPr>
        <w:t>.</w:t>
      </w:r>
      <w:proofErr w:type="gramEnd"/>
    </w:p>
    <w:p w:rsidR="0010774F" w:rsidRPr="00474D07" w:rsidRDefault="0010774F" w:rsidP="002E3D07">
      <w:pPr>
        <w:pStyle w:val="SCCNormalDoubleSpacing"/>
        <w:keepNext/>
        <w:spacing w:after="720" w:line="240" w:lineRule="auto"/>
        <w:rPr>
          <w:b/>
          <w:szCs w:val="24"/>
        </w:rPr>
      </w:pPr>
      <w:r w:rsidRPr="00474D07">
        <w:rPr>
          <w:b/>
          <w:szCs w:val="24"/>
        </w:rPr>
        <w:t>Treaties and Other International Instruments</w:t>
      </w:r>
    </w:p>
    <w:p w:rsidR="0010774F" w:rsidRPr="00474D07" w:rsidRDefault="0010774F" w:rsidP="005B2A61">
      <w:pPr>
        <w:pStyle w:val="SCCNormalDoubleSpacing"/>
        <w:widowControl w:val="0"/>
        <w:spacing w:after="720" w:line="240" w:lineRule="auto"/>
        <w:ind w:left="446" w:hanging="446"/>
        <w:rPr>
          <w:iCs/>
          <w:szCs w:val="24"/>
        </w:rPr>
      </w:pPr>
      <w:r w:rsidRPr="00474D07">
        <w:rPr>
          <w:i/>
          <w:szCs w:val="24"/>
        </w:rPr>
        <w:t>Agre</w:t>
      </w:r>
      <w:r w:rsidRPr="00474D07">
        <w:rPr>
          <w:i/>
          <w:iCs/>
          <w:szCs w:val="24"/>
        </w:rPr>
        <w:t xml:space="preserve">ement </w:t>
      </w:r>
      <w:r w:rsidRPr="00474D07">
        <w:rPr>
          <w:i/>
          <w:szCs w:val="24"/>
        </w:rPr>
        <w:t>Between</w:t>
      </w:r>
      <w:r w:rsidRPr="00474D07">
        <w:rPr>
          <w:i/>
          <w:iCs/>
          <w:szCs w:val="24"/>
        </w:rPr>
        <w:t xml:space="preserve"> Canada and Barbados for the Avoidance of Double Taxation and the Prevention of Fiscal Evasion with Respect to Taxes on Income and on Capital</w:t>
      </w:r>
      <w:r w:rsidR="002E3D07" w:rsidRPr="00474D07">
        <w:rPr>
          <w:iCs/>
          <w:szCs w:val="24"/>
        </w:rPr>
        <w:t>, Can. T.S. 1980 No. </w:t>
      </w:r>
      <w:r w:rsidRPr="00474D07">
        <w:rPr>
          <w:iCs/>
          <w:szCs w:val="24"/>
        </w:rPr>
        <w:t>29.</w:t>
      </w:r>
    </w:p>
    <w:p w:rsidR="002E6705" w:rsidRPr="00474D07" w:rsidRDefault="002E6705" w:rsidP="002E3D07">
      <w:pPr>
        <w:pStyle w:val="SCCNormalDoubleSpacing"/>
        <w:keepNext/>
        <w:spacing w:after="720" w:line="240" w:lineRule="auto"/>
        <w:rPr>
          <w:b/>
          <w:szCs w:val="24"/>
        </w:rPr>
      </w:pPr>
      <w:r w:rsidRPr="00474D07">
        <w:rPr>
          <w:b/>
          <w:szCs w:val="24"/>
        </w:rPr>
        <w:t>Authors Cited</w:t>
      </w:r>
    </w:p>
    <w:p w:rsidR="00A149DF" w:rsidRPr="00474D07" w:rsidRDefault="009422F7" w:rsidP="002E3D07">
      <w:pPr>
        <w:pStyle w:val="SCCNormalDoubleSpacing"/>
        <w:spacing w:after="720" w:line="240" w:lineRule="auto"/>
        <w:ind w:left="540" w:hanging="540"/>
        <w:rPr>
          <w:szCs w:val="24"/>
        </w:rPr>
      </w:pPr>
      <w:r w:rsidRPr="00474D07">
        <w:rPr>
          <w:szCs w:val="24"/>
        </w:rPr>
        <w:t xml:space="preserve">Krishna, Vern.  </w:t>
      </w:r>
      <w:proofErr w:type="gramStart"/>
      <w:r w:rsidRPr="00474D07">
        <w:rPr>
          <w:i/>
          <w:iCs/>
          <w:szCs w:val="24"/>
        </w:rPr>
        <w:t>The Fundamentals of Income Tax Law</w:t>
      </w:r>
      <w:r w:rsidRPr="00474D07">
        <w:rPr>
          <w:iCs/>
          <w:szCs w:val="24"/>
        </w:rPr>
        <w:t>.</w:t>
      </w:r>
      <w:proofErr w:type="gramEnd"/>
      <w:r w:rsidRPr="00474D07">
        <w:rPr>
          <w:iCs/>
          <w:szCs w:val="24"/>
        </w:rPr>
        <w:t xml:space="preserve">  </w:t>
      </w:r>
      <w:r w:rsidRPr="00474D07">
        <w:rPr>
          <w:szCs w:val="24"/>
        </w:rPr>
        <w:t>Toronto:  Carswell, 2009.</w:t>
      </w:r>
    </w:p>
    <w:p w:rsidR="00656313" w:rsidRPr="00474D07" w:rsidRDefault="009B57B3" w:rsidP="002E3D07">
      <w:pPr>
        <w:pStyle w:val="SCCNormalDoubleSpacing"/>
        <w:spacing w:after="480"/>
        <w:rPr>
          <w:szCs w:val="24"/>
        </w:rPr>
      </w:pPr>
      <w:r w:rsidRPr="00474D07">
        <w:rPr>
          <w:szCs w:val="24"/>
        </w:rPr>
        <w:tab/>
      </w:r>
      <w:proofErr w:type="gramStart"/>
      <w:r w:rsidRPr="00474D07">
        <w:rPr>
          <w:szCs w:val="24"/>
        </w:rPr>
        <w:t>APPEAL</w:t>
      </w:r>
      <w:r w:rsidR="00057399" w:rsidRPr="00474D07">
        <w:rPr>
          <w:szCs w:val="24"/>
        </w:rPr>
        <w:t>S</w:t>
      </w:r>
      <w:r w:rsidRPr="00474D07">
        <w:rPr>
          <w:szCs w:val="24"/>
        </w:rPr>
        <w:t xml:space="preserve"> from a judgment of the Federal Court of Appeal</w:t>
      </w:r>
      <w:r w:rsidR="00FA3DBB" w:rsidRPr="00474D07">
        <w:rPr>
          <w:szCs w:val="24"/>
        </w:rPr>
        <w:t xml:space="preserve"> (</w:t>
      </w:r>
      <w:r w:rsidR="005B2A61" w:rsidRPr="00474D07">
        <w:rPr>
          <w:szCs w:val="24"/>
        </w:rPr>
        <w:t>Nadon, Sharlow and Stratas </w:t>
      </w:r>
      <w:r w:rsidR="006C73BF" w:rsidRPr="00474D07">
        <w:rPr>
          <w:szCs w:val="24"/>
        </w:rPr>
        <w:t>JJ.A.)</w:t>
      </w:r>
      <w:r w:rsidR="00FA3DBB" w:rsidRPr="00474D07">
        <w:rPr>
          <w:szCs w:val="24"/>
        </w:rPr>
        <w:t xml:space="preserve">, 2010 FCA 309, </w:t>
      </w:r>
      <w:r w:rsidR="006C73BF" w:rsidRPr="00474D07">
        <w:rPr>
          <w:szCs w:val="24"/>
        </w:rPr>
        <w:t xml:space="preserve">411 N.R. 125, [2011] 2 C.T.C. 7, 2010 D.T.C. 5189, 61 E.T.R. (3d) 168, [2010] F.C.J. </w:t>
      </w:r>
      <w:r w:rsidR="002E3D07" w:rsidRPr="00474D07">
        <w:rPr>
          <w:szCs w:val="24"/>
        </w:rPr>
        <w:t>No. </w:t>
      </w:r>
      <w:r w:rsidR="006C73BF" w:rsidRPr="00474D07">
        <w:rPr>
          <w:szCs w:val="24"/>
        </w:rPr>
        <w:t xml:space="preserve">1457 (QL), 2010 CarswellNat </w:t>
      </w:r>
      <w:r w:rsidR="006C73BF" w:rsidRPr="00474D07">
        <w:rPr>
          <w:szCs w:val="24"/>
        </w:rPr>
        <w:lastRenderedPageBreak/>
        <w:t>4259</w:t>
      </w:r>
      <w:r w:rsidR="00374F04" w:rsidRPr="00474D07">
        <w:rPr>
          <w:szCs w:val="24"/>
        </w:rPr>
        <w:t xml:space="preserve"> (</w:t>
      </w:r>
      <w:r w:rsidR="00374F04" w:rsidRPr="00474D07">
        <w:rPr>
          <w:i/>
          <w:szCs w:val="24"/>
        </w:rPr>
        <w:t>sub nom. St. Michael Trust Corp. v. Minister of National Revenue</w:t>
      </w:r>
      <w:r w:rsidR="00374F04" w:rsidRPr="00474D07">
        <w:rPr>
          <w:szCs w:val="24"/>
        </w:rPr>
        <w:t xml:space="preserve">; </w:t>
      </w:r>
      <w:proofErr w:type="spellStart"/>
      <w:r w:rsidR="00374F04" w:rsidRPr="00474D07">
        <w:rPr>
          <w:i/>
          <w:szCs w:val="24"/>
        </w:rPr>
        <w:t>Ga</w:t>
      </w:r>
      <w:r w:rsidR="00F7652F" w:rsidRPr="00474D07">
        <w:rPr>
          <w:i/>
          <w:szCs w:val="24"/>
        </w:rPr>
        <w:t>r</w:t>
      </w:r>
      <w:r w:rsidR="00374F04" w:rsidRPr="00474D07">
        <w:rPr>
          <w:i/>
          <w:szCs w:val="24"/>
        </w:rPr>
        <w:t>ron</w:t>
      </w:r>
      <w:proofErr w:type="spellEnd"/>
      <w:r w:rsidR="00374F04" w:rsidRPr="00474D07">
        <w:rPr>
          <w:i/>
          <w:szCs w:val="24"/>
        </w:rPr>
        <w:t xml:space="preserve"> Family Trust v.</w:t>
      </w:r>
      <w:proofErr w:type="gramEnd"/>
      <w:r w:rsidR="00374F04" w:rsidRPr="00474D07">
        <w:rPr>
          <w:i/>
          <w:szCs w:val="24"/>
        </w:rPr>
        <w:t xml:space="preserve"> </w:t>
      </w:r>
      <w:r w:rsidR="00566F1D" w:rsidRPr="00474D07">
        <w:rPr>
          <w:i/>
          <w:szCs w:val="24"/>
        </w:rPr>
        <w:t>The Queen</w:t>
      </w:r>
      <w:r w:rsidR="00374F04" w:rsidRPr="00474D07">
        <w:rPr>
          <w:szCs w:val="24"/>
        </w:rPr>
        <w:t>)</w:t>
      </w:r>
      <w:r w:rsidR="006C73BF" w:rsidRPr="00474D07">
        <w:rPr>
          <w:szCs w:val="24"/>
        </w:rPr>
        <w:t xml:space="preserve">, </w:t>
      </w:r>
      <w:r w:rsidR="00FA3DBB" w:rsidRPr="00474D07">
        <w:rPr>
          <w:szCs w:val="24"/>
        </w:rPr>
        <w:t>affirming</w:t>
      </w:r>
      <w:r w:rsidR="002E3D07" w:rsidRPr="00474D07">
        <w:rPr>
          <w:szCs w:val="24"/>
        </w:rPr>
        <w:t xml:space="preserve"> a decision of Woods </w:t>
      </w:r>
      <w:r w:rsidR="00FA3DBB" w:rsidRPr="00474D07">
        <w:rPr>
          <w:szCs w:val="24"/>
        </w:rPr>
        <w:t>J., 2009 TCC 450</w:t>
      </w:r>
      <w:r w:rsidR="00F7652F" w:rsidRPr="00474D07">
        <w:rPr>
          <w:szCs w:val="24"/>
        </w:rPr>
        <w:t>, [2010] 2 C.T.C. 2346, 2009 D.T.C. 1287,</w:t>
      </w:r>
      <w:r w:rsidR="00D05162" w:rsidRPr="00474D07">
        <w:rPr>
          <w:szCs w:val="24"/>
        </w:rPr>
        <w:t xml:space="preserve"> 50 E.T.R. (3d) 241, [2009] T.C.J. </w:t>
      </w:r>
      <w:r w:rsidR="002E3D07" w:rsidRPr="00474D07">
        <w:rPr>
          <w:szCs w:val="24"/>
        </w:rPr>
        <w:t>No. </w:t>
      </w:r>
      <w:r w:rsidR="00D05162" w:rsidRPr="00474D07">
        <w:rPr>
          <w:szCs w:val="24"/>
        </w:rPr>
        <w:t>345 (QL), 2009 CarswellNat 2600</w:t>
      </w:r>
      <w:r w:rsidR="00DE44DB" w:rsidRPr="00474D07">
        <w:rPr>
          <w:szCs w:val="24"/>
        </w:rPr>
        <w:t xml:space="preserve"> (</w:t>
      </w:r>
      <w:r w:rsidR="00DE44DB" w:rsidRPr="00474D07">
        <w:rPr>
          <w:i/>
          <w:szCs w:val="24"/>
        </w:rPr>
        <w:t xml:space="preserve">sub nom. </w:t>
      </w:r>
      <w:proofErr w:type="spellStart"/>
      <w:r w:rsidR="00DE44DB" w:rsidRPr="00474D07">
        <w:rPr>
          <w:i/>
          <w:szCs w:val="24"/>
        </w:rPr>
        <w:t>Ga</w:t>
      </w:r>
      <w:r w:rsidR="00F7652F" w:rsidRPr="00474D07">
        <w:rPr>
          <w:i/>
          <w:szCs w:val="24"/>
        </w:rPr>
        <w:t>r</w:t>
      </w:r>
      <w:r w:rsidR="00DE44DB" w:rsidRPr="00474D07">
        <w:rPr>
          <w:i/>
          <w:szCs w:val="24"/>
        </w:rPr>
        <w:t>ron</w:t>
      </w:r>
      <w:proofErr w:type="spellEnd"/>
      <w:r w:rsidR="00DE44DB" w:rsidRPr="00474D07">
        <w:rPr>
          <w:i/>
          <w:szCs w:val="24"/>
        </w:rPr>
        <w:t xml:space="preserve"> Family Trust v. </w:t>
      </w:r>
      <w:proofErr w:type="gramStart"/>
      <w:r w:rsidR="00DE44DB" w:rsidRPr="00474D07">
        <w:rPr>
          <w:i/>
          <w:szCs w:val="24"/>
        </w:rPr>
        <w:t>The Queen</w:t>
      </w:r>
      <w:r w:rsidR="00DE44DB" w:rsidRPr="00474D07">
        <w:rPr>
          <w:szCs w:val="24"/>
        </w:rPr>
        <w:t>)</w:t>
      </w:r>
      <w:r w:rsidR="00FA3DBB" w:rsidRPr="00474D07">
        <w:rPr>
          <w:szCs w:val="24"/>
        </w:rPr>
        <w:t>.</w:t>
      </w:r>
      <w:proofErr w:type="gramEnd"/>
      <w:r w:rsidR="00FA3DBB" w:rsidRPr="00474D07">
        <w:rPr>
          <w:szCs w:val="24"/>
        </w:rPr>
        <w:t xml:space="preserve">  Appeal</w:t>
      </w:r>
      <w:r w:rsidR="00057399" w:rsidRPr="00474D07">
        <w:rPr>
          <w:szCs w:val="24"/>
        </w:rPr>
        <w:t>s</w:t>
      </w:r>
      <w:r w:rsidR="00FA3DBB" w:rsidRPr="00474D07">
        <w:rPr>
          <w:szCs w:val="24"/>
        </w:rPr>
        <w:t xml:space="preserve"> </w:t>
      </w:r>
      <w:r w:rsidR="00D05162" w:rsidRPr="00474D07">
        <w:rPr>
          <w:szCs w:val="24"/>
        </w:rPr>
        <w:t>dismissed.</w:t>
      </w:r>
    </w:p>
    <w:p w:rsidR="00890E5E" w:rsidRPr="00474D07" w:rsidRDefault="002E3D07" w:rsidP="002E3D07">
      <w:pPr>
        <w:pStyle w:val="SCCNormalDoubleSpacing"/>
        <w:spacing w:after="480"/>
        <w:rPr>
          <w:szCs w:val="24"/>
        </w:rPr>
      </w:pPr>
      <w:r w:rsidRPr="00474D07">
        <w:rPr>
          <w:rStyle w:val="SCCCounselNameChar"/>
          <w:szCs w:val="24"/>
        </w:rPr>
        <w:tab/>
      </w:r>
      <w:proofErr w:type="gramStart"/>
      <w:r w:rsidRPr="00474D07">
        <w:rPr>
          <w:rStyle w:val="SCCCounselNameChar"/>
          <w:szCs w:val="24"/>
        </w:rPr>
        <w:t>Douglas </w:t>
      </w:r>
      <w:r w:rsidR="00453F89" w:rsidRPr="00474D07">
        <w:rPr>
          <w:rStyle w:val="SCCCounselNameChar"/>
          <w:szCs w:val="24"/>
        </w:rPr>
        <w:t>H. Mathew</w:t>
      </w:r>
      <w:r w:rsidR="00453F89" w:rsidRPr="00474D07">
        <w:rPr>
          <w:rStyle w:val="SCCCounselSeparatorChar"/>
          <w:szCs w:val="24"/>
        </w:rPr>
        <w:t xml:space="preserve">, </w:t>
      </w:r>
      <w:r w:rsidRPr="00474D07">
        <w:rPr>
          <w:rStyle w:val="SCCCounselNameChar"/>
          <w:szCs w:val="24"/>
        </w:rPr>
        <w:t>Matthew </w:t>
      </w:r>
      <w:r w:rsidR="00453F89" w:rsidRPr="00474D07">
        <w:rPr>
          <w:rStyle w:val="SCCCounselNameChar"/>
          <w:szCs w:val="24"/>
        </w:rPr>
        <w:t>G. Williams</w:t>
      </w:r>
      <w:r w:rsidR="00453F89" w:rsidRPr="00474D07">
        <w:rPr>
          <w:rStyle w:val="SCCCounselSeparatorChar"/>
          <w:szCs w:val="24"/>
        </w:rPr>
        <w:t xml:space="preserve"> and </w:t>
      </w:r>
      <w:r w:rsidRPr="00474D07">
        <w:rPr>
          <w:rStyle w:val="SCCCounselNameChar"/>
          <w:szCs w:val="24"/>
        </w:rPr>
        <w:t>Mark </w:t>
      </w:r>
      <w:r w:rsidR="00453F89" w:rsidRPr="00474D07">
        <w:rPr>
          <w:rStyle w:val="SCCCounselNameChar"/>
          <w:szCs w:val="24"/>
        </w:rPr>
        <w:t>A. Barbour</w:t>
      </w:r>
      <w:r w:rsidR="00453F89" w:rsidRPr="00474D07">
        <w:rPr>
          <w:rStyle w:val="SCCCounselPartyRoleChar"/>
          <w:szCs w:val="24"/>
        </w:rPr>
        <w:t>, for the appellant</w:t>
      </w:r>
      <w:r w:rsidR="00B67FCB" w:rsidRPr="00474D07">
        <w:rPr>
          <w:rStyle w:val="SCCCounselPartyRoleChar"/>
          <w:szCs w:val="24"/>
        </w:rPr>
        <w:t>s</w:t>
      </w:r>
      <w:r w:rsidR="00453F89" w:rsidRPr="00474D07">
        <w:rPr>
          <w:rStyle w:val="SCCCounselPartyRoleChar"/>
          <w:szCs w:val="24"/>
        </w:rPr>
        <w:t>.</w:t>
      </w:r>
      <w:proofErr w:type="gramEnd"/>
    </w:p>
    <w:p w:rsidR="00890E5E" w:rsidRPr="00474D07" w:rsidRDefault="00453F89" w:rsidP="002E3D07">
      <w:pPr>
        <w:pStyle w:val="SCCNormalDoubleSpacing"/>
        <w:spacing w:after="480"/>
        <w:rPr>
          <w:szCs w:val="24"/>
        </w:rPr>
      </w:pPr>
      <w:r w:rsidRPr="00474D07">
        <w:rPr>
          <w:rStyle w:val="SCCCounselNameChar"/>
          <w:szCs w:val="24"/>
        </w:rPr>
        <w:tab/>
      </w:r>
      <w:proofErr w:type="gramStart"/>
      <w:r w:rsidRPr="00474D07">
        <w:rPr>
          <w:rStyle w:val="SCCCounselNameChar"/>
          <w:szCs w:val="24"/>
        </w:rPr>
        <w:t>Anne</w:t>
      </w:r>
      <w:r w:rsidR="002E3D07" w:rsidRPr="00474D07">
        <w:rPr>
          <w:rStyle w:val="SCCCounselNameChar"/>
          <w:szCs w:val="24"/>
        </w:rPr>
        <w:t> </w:t>
      </w:r>
      <w:r w:rsidR="00B67FCB" w:rsidRPr="00474D07">
        <w:rPr>
          <w:rStyle w:val="SCCCounselNameChar"/>
          <w:szCs w:val="24"/>
        </w:rPr>
        <w:t>M.</w:t>
      </w:r>
      <w:r w:rsidRPr="00474D07">
        <w:rPr>
          <w:rStyle w:val="SCCCounselNameChar"/>
          <w:szCs w:val="24"/>
        </w:rPr>
        <w:t xml:space="preserve"> Turley</w:t>
      </w:r>
      <w:r w:rsidR="00B67FCB" w:rsidRPr="00474D07">
        <w:rPr>
          <w:rStyle w:val="SCCCounselNameChar"/>
          <w:i w:val="0"/>
          <w:szCs w:val="24"/>
        </w:rPr>
        <w:t xml:space="preserve"> and</w:t>
      </w:r>
      <w:r w:rsidRPr="00474D07">
        <w:rPr>
          <w:rStyle w:val="SCCCounselSeparatorChar"/>
          <w:i/>
          <w:szCs w:val="24"/>
        </w:rPr>
        <w:t xml:space="preserve"> </w:t>
      </w:r>
      <w:r w:rsidRPr="00474D07">
        <w:rPr>
          <w:rStyle w:val="SCCCounselNameChar"/>
          <w:szCs w:val="24"/>
        </w:rPr>
        <w:t>Daniel Bourgeois</w:t>
      </w:r>
      <w:r w:rsidRPr="00474D07">
        <w:rPr>
          <w:rStyle w:val="SCCCounselPartyRoleChar"/>
          <w:szCs w:val="24"/>
        </w:rPr>
        <w:t>, for the respondent.</w:t>
      </w:r>
      <w:proofErr w:type="gramEnd"/>
    </w:p>
    <w:p w:rsidR="00102EAE" w:rsidRPr="00474D07" w:rsidRDefault="00F7652F" w:rsidP="00102EAE">
      <w:pPr>
        <w:pStyle w:val="JudgeJuge"/>
        <w:rPr>
          <w:smallCaps w:val="0"/>
        </w:rPr>
      </w:pPr>
      <w:r w:rsidRPr="00474D07">
        <w:tab/>
      </w:r>
      <w:r w:rsidRPr="00474D07">
        <w:rPr>
          <w:smallCaps w:val="0"/>
        </w:rPr>
        <w:t>The following is the judgment delivered by</w:t>
      </w:r>
    </w:p>
    <w:p w:rsidR="00102EAE" w:rsidRPr="00474D07" w:rsidRDefault="00F7652F" w:rsidP="00F7652F">
      <w:pPr>
        <w:pStyle w:val="ParaNoNdepar-AltN"/>
        <w:tabs>
          <w:tab w:val="clear" w:pos="1152"/>
          <w:tab w:val="left" w:pos="1166"/>
        </w:tabs>
        <w:autoSpaceDE w:val="0"/>
        <w:autoSpaceDN w:val="0"/>
        <w:adjustRightInd w:val="0"/>
      </w:pPr>
      <w:r w:rsidRPr="00474D07">
        <w:rPr>
          <w:smallCaps/>
        </w:rPr>
        <w:t>The Court</w:t>
      </w:r>
      <w:r w:rsidRPr="00474D07">
        <w:t xml:space="preserve"> — </w:t>
      </w:r>
      <w:r w:rsidR="00102EAE" w:rsidRPr="00474D07">
        <w:t xml:space="preserve">St. Michael Trust Corp. (“St. Michael”) is the trustee of two trusts, the </w:t>
      </w:r>
      <w:r w:rsidR="0009257B">
        <w:t>Fundy</w:t>
      </w:r>
      <w:r w:rsidR="00102EAE" w:rsidRPr="00474D07">
        <w:t xml:space="preserve"> Settlement and the </w:t>
      </w:r>
      <w:proofErr w:type="spellStart"/>
      <w:r w:rsidR="00102EAE" w:rsidRPr="00474D07">
        <w:t>Summersby</w:t>
      </w:r>
      <w:proofErr w:type="spellEnd"/>
      <w:r w:rsidR="00102EAE" w:rsidRPr="00474D07">
        <w:t xml:space="preserve"> Settlement.  The trusts were settled by an individual resident in St. Vincent in the Caribbean.  The beneficiaries are residents of Canada.  </w:t>
      </w:r>
      <w:r w:rsidR="00102EAE" w:rsidRPr="00474D07" w:rsidDel="00E77F87">
        <w:t>St. Michael is a corporation resident in Barbados.</w:t>
      </w:r>
    </w:p>
    <w:p w:rsidR="00102EAE" w:rsidRPr="00474D07" w:rsidRDefault="00102EAE" w:rsidP="00F7652F">
      <w:pPr>
        <w:pStyle w:val="ParaNoNdepar-AltN"/>
        <w:tabs>
          <w:tab w:val="clear" w:pos="1152"/>
          <w:tab w:val="left" w:pos="1166"/>
        </w:tabs>
        <w:autoSpaceDE w:val="0"/>
        <w:autoSpaceDN w:val="0"/>
        <w:adjustRightInd w:val="0"/>
      </w:pPr>
      <w:r w:rsidRPr="00474D07">
        <w:t>When the trusts disposed of shares they owned in two Ontario corporations, the purchaser remitted some $152 million to the Minister of National Revenue as withholding tax on account of Canadian tax from capital gains realized by the trusts on the sale of the shares.</w:t>
      </w:r>
    </w:p>
    <w:p w:rsidR="00102EAE" w:rsidRPr="00474D07" w:rsidRDefault="00102EAE" w:rsidP="00102EAE">
      <w:pPr>
        <w:pStyle w:val="ParaNoNdepar-AltN"/>
        <w:autoSpaceDE w:val="0"/>
        <w:autoSpaceDN w:val="0"/>
        <w:adjustRightInd w:val="0"/>
      </w:pPr>
      <w:r w:rsidRPr="00474D07">
        <w:lastRenderedPageBreak/>
        <w:t xml:space="preserve">St. Michael sought return of the withheld amount based on an exemption from Canadian capital gains tax under the </w:t>
      </w:r>
      <w:r w:rsidRPr="00474D07">
        <w:rPr>
          <w:i/>
          <w:szCs w:val="24"/>
        </w:rPr>
        <w:t>Agre</w:t>
      </w:r>
      <w:r w:rsidRPr="00474D07">
        <w:rPr>
          <w:i/>
          <w:iCs/>
          <w:szCs w:val="24"/>
        </w:rPr>
        <w:t>ement Between Canada and Barbados for the Avoidance of Double Taxation and the Prevention of Fiscal Evasion with Respect to Taxes on Income and on Capital</w:t>
      </w:r>
      <w:r w:rsidRPr="00474D07">
        <w:rPr>
          <w:iCs/>
          <w:szCs w:val="24"/>
        </w:rPr>
        <w:t xml:space="preserve">, Can. T.S. 1980 No. 29 (incorporated into Canadian law by the </w:t>
      </w:r>
      <w:r w:rsidRPr="00474D07">
        <w:rPr>
          <w:i/>
          <w:iCs/>
          <w:szCs w:val="24"/>
        </w:rPr>
        <w:t>Canada-Barbados Income Tax Agreement Act, 1980</w:t>
      </w:r>
      <w:r w:rsidRPr="00474D07">
        <w:rPr>
          <w:iCs/>
          <w:szCs w:val="24"/>
        </w:rPr>
        <w:t>, S.C. 1980-81-82-83, c. 44, s. 25).</w:t>
      </w:r>
      <w:r w:rsidRPr="00474D07">
        <w:t xml:space="preserve">  Under the treaty, tax would only be payable in the country in which the seller was resident.  St. Michael claimed that because it was resident in Barbados, the trusts were resident in Barbados.  As a result, there would be no basis for withholding tax in Canada.</w:t>
      </w:r>
    </w:p>
    <w:p w:rsidR="00102EAE" w:rsidRPr="00474D07" w:rsidRDefault="00102EAE" w:rsidP="00102EAE">
      <w:pPr>
        <w:pStyle w:val="ParaNoNdepar-AltN"/>
      </w:pPr>
      <w:r w:rsidRPr="00474D07">
        <w:t>The Minister of National Revenue was of the opinion that the trusts were resident in Canada and that the withheld tax was properly payable.</w:t>
      </w:r>
    </w:p>
    <w:p w:rsidR="00102EAE" w:rsidRPr="00474D07" w:rsidRDefault="00102EAE" w:rsidP="00102EAE">
      <w:pPr>
        <w:pStyle w:val="ParaNoNdepar-AltN"/>
      </w:pPr>
      <w:r w:rsidRPr="00474D07">
        <w:t>St. Michael</w:t>
      </w:r>
      <w:r w:rsidR="00474D07" w:rsidRPr="00474D07">
        <w:t>’</w:t>
      </w:r>
      <w:r w:rsidRPr="00474D07">
        <w:t>s appeal from the Minister</w:t>
      </w:r>
      <w:r w:rsidR="00474D07" w:rsidRPr="00474D07">
        <w:t>’</w:t>
      </w:r>
      <w:r w:rsidRPr="00474D07">
        <w:t>s reassessment to the Tax Court of Canada was unsuccessful (2009 TCC 450, [2010] 2 C.T.C. 2346), as was its further appeal to the Federal Court of Appeal (2010 FCA 309, 411 N.R. 125).  It was granted leave to appeal to this Court.</w:t>
      </w:r>
    </w:p>
    <w:p w:rsidR="00102EAE" w:rsidRPr="00474D07" w:rsidRDefault="00102EAE" w:rsidP="00102EAE">
      <w:pPr>
        <w:pStyle w:val="ParaNoNdepar-AltN"/>
      </w:pPr>
      <w:r w:rsidRPr="00474D07">
        <w:t xml:space="preserve">The issue in this case is the residence of the </w:t>
      </w:r>
      <w:r w:rsidR="00B57E01">
        <w:t>Fundy</w:t>
      </w:r>
      <w:r w:rsidRPr="00474D07">
        <w:t xml:space="preserve"> and </w:t>
      </w:r>
      <w:proofErr w:type="spellStart"/>
      <w:r w:rsidRPr="00474D07">
        <w:t>Summersby</w:t>
      </w:r>
      <w:proofErr w:type="spellEnd"/>
      <w:r w:rsidRPr="00474D07">
        <w:t xml:space="preserve"> trusts.  St. Michael says the residence of the trusts is the residence of the trustee, which is Barbados.  The Minister says the trusts are resident in Canada because the central management and control of the trusts was carried out by the main beneficiaries, who were resident in Canada.  On the facts as determined by Woods J., the Tax Court </w:t>
      </w:r>
      <w:r w:rsidRPr="00474D07">
        <w:lastRenderedPageBreak/>
        <w:t>judge, St. Michael is resident in Barbados while the central management and control of the trusts was carried out in Canada by the main beneficiaries of the trusts.</w:t>
      </w:r>
    </w:p>
    <w:p w:rsidR="00102EAE" w:rsidRPr="00474D07" w:rsidRDefault="00102EAE" w:rsidP="00102EAE">
      <w:pPr>
        <w:pStyle w:val="ParaNoNdepar-AltN"/>
      </w:pPr>
      <w:r w:rsidRPr="00474D07">
        <w:t xml:space="preserve">As Sharlow J.A. in the Federal Court of Appeal explained, the principal basis for imposing income tax in Canada is residency (para. 52).  </w:t>
      </w:r>
      <w:r w:rsidRPr="00474D07">
        <w:rPr>
          <w:szCs w:val="24"/>
        </w:rPr>
        <w:t xml:space="preserve">Professor V. Krishna in </w:t>
      </w:r>
      <w:r w:rsidRPr="00474D07">
        <w:rPr>
          <w:i/>
          <w:iCs/>
          <w:szCs w:val="24"/>
        </w:rPr>
        <w:t>The Fundamentals of Income Tax Law</w:t>
      </w:r>
      <w:r w:rsidRPr="00474D07">
        <w:rPr>
          <w:iCs/>
          <w:szCs w:val="24"/>
        </w:rPr>
        <w:t xml:space="preserve"> (</w:t>
      </w:r>
      <w:r w:rsidRPr="00474D07">
        <w:rPr>
          <w:szCs w:val="24"/>
        </w:rPr>
        <w:t>2009), noted, at p. 85, that the policy reason for this is to ensure that a person who enjoys the legal, political and economic benefits of associating with Canada will pay their appropriate share for the costs of this association.</w:t>
      </w:r>
      <w:r w:rsidRPr="00474D07">
        <w:t xml:space="preserve">  For an individual, factors such as nationality, physical presence, location of family home and social connections, among others, will be considered in determining residence.  While the </w:t>
      </w:r>
      <w:r w:rsidRPr="00474D07">
        <w:rPr>
          <w:i/>
        </w:rPr>
        <w:t>Income Tax Act</w:t>
      </w:r>
      <w:r w:rsidRPr="00474D07">
        <w:t xml:space="preserve">, R.S.C. 1985, </w:t>
      </w:r>
      <w:proofErr w:type="gramStart"/>
      <w:r w:rsidRPr="00474D07">
        <w:t>c</w:t>
      </w:r>
      <w:proofErr w:type="gramEnd"/>
      <w:r w:rsidRPr="00474D07">
        <w:t>. 1 (5th Supp.) (</w:t>
      </w:r>
      <w:proofErr w:type="gramStart"/>
      <w:r w:rsidRPr="00474D07">
        <w:t>the</w:t>
      </w:r>
      <w:proofErr w:type="gramEnd"/>
      <w:r w:rsidRPr="00474D07">
        <w:t xml:space="preserve"> </w:t>
      </w:r>
      <w:r w:rsidR="004A2E61" w:rsidRPr="00474D07">
        <w:t>“</w:t>
      </w:r>
      <w:r w:rsidRPr="00474D07">
        <w:t>Act</w:t>
      </w:r>
      <w:r w:rsidR="004A2E61" w:rsidRPr="00474D07">
        <w:t>”</w:t>
      </w:r>
      <w:r w:rsidRPr="00474D07">
        <w:t>), contains certain deeming rules with respect to residency, generally residence is a question of fact.</w:t>
      </w:r>
    </w:p>
    <w:p w:rsidR="00102EAE" w:rsidRPr="00474D07" w:rsidRDefault="00102EAE" w:rsidP="00102EAE">
      <w:pPr>
        <w:pStyle w:val="ParaNoNdepar-AltN"/>
      </w:pPr>
      <w:r w:rsidRPr="00474D07">
        <w:t xml:space="preserve">While there is a dearth of judicial authority on the question of the residency of a trust, the residency of a corporation has been determined to be where its central management and control actually abides.  In </w:t>
      </w:r>
      <w:r w:rsidRPr="00474D07">
        <w:rPr>
          <w:i/>
        </w:rPr>
        <w:t>De Beers Consolidated Mines, Ltd. v. Howe</w:t>
      </w:r>
      <w:r w:rsidRPr="00474D07">
        <w:t>, [1906] A.C. 455 (H.L.), Lord Loreburn stated, at p. 458:</w:t>
      </w:r>
    </w:p>
    <w:p w:rsidR="00102EAE" w:rsidRPr="00474D07" w:rsidRDefault="00012004" w:rsidP="00012004">
      <w:pPr>
        <w:pStyle w:val="Citation-AltC"/>
        <w:tabs>
          <w:tab w:val="left" w:pos="1170"/>
        </w:tabs>
        <w:ind w:hanging="1166"/>
      </w:pPr>
      <w:r w:rsidRPr="00474D07">
        <w:tab/>
      </w:r>
      <w:r w:rsidR="00102EAE" w:rsidRPr="00474D07">
        <w:t>In applying the conception of residence to a company, we ought, I think, to proceed as nearly as we can upon the analogy of an individual.  A company cannot eat or sleep, but it can keep house and do business.  We ought, therefore, to see where it really k</w:t>
      </w:r>
      <w:r w:rsidR="004A2E61" w:rsidRPr="00474D07">
        <w:t>eeps house and does business. </w:t>
      </w:r>
      <w:r w:rsidR="00102EAE" w:rsidRPr="00474D07">
        <w:t>.</w:t>
      </w:r>
      <w:r w:rsidR="004A2E61" w:rsidRPr="00474D07">
        <w:t> . .</w:t>
      </w:r>
      <w:r w:rsidR="00025424" w:rsidRPr="00474D07">
        <w:t xml:space="preserve"> </w:t>
      </w:r>
      <w:r w:rsidR="00102EAE" w:rsidRPr="00474D07">
        <w:t xml:space="preserve">[A] </w:t>
      </w:r>
      <w:proofErr w:type="gramStart"/>
      <w:r w:rsidR="00102EAE" w:rsidRPr="00474D07">
        <w:t>company</w:t>
      </w:r>
      <w:proofErr w:type="gramEnd"/>
      <w:r w:rsidR="00102EAE" w:rsidRPr="00474D07">
        <w:t xml:space="preserve"> resides for purposes of income tax where its real business is carried on.</w:t>
      </w:r>
      <w:r w:rsidR="004A2E61" w:rsidRPr="00474D07">
        <w:t> </w:t>
      </w:r>
      <w:r w:rsidR="00102EAE" w:rsidRPr="00474D07">
        <w:t>.</w:t>
      </w:r>
      <w:r w:rsidR="004A2E61" w:rsidRPr="00474D07">
        <w:t> </w:t>
      </w:r>
      <w:r w:rsidR="00102EAE" w:rsidRPr="00474D07">
        <w:t>.</w:t>
      </w:r>
      <w:r w:rsidR="004A2E61" w:rsidRPr="00474D07">
        <w:t> </w:t>
      </w:r>
      <w:r w:rsidR="00102EAE" w:rsidRPr="00474D07">
        <w:t xml:space="preserve">. </w:t>
      </w:r>
      <w:r w:rsidR="004A2E61" w:rsidRPr="00474D07">
        <w:t xml:space="preserve"> </w:t>
      </w:r>
      <w:r w:rsidR="00102EAE" w:rsidRPr="00474D07">
        <w:t>I regard that as the true rule, and the real business is carried on where the central management and control actually abides.</w:t>
      </w:r>
    </w:p>
    <w:p w:rsidR="00102EAE" w:rsidRPr="00474D07" w:rsidRDefault="00102EAE" w:rsidP="00102EAE">
      <w:pPr>
        <w:pStyle w:val="ContinueParaSuitedupar-AltP"/>
      </w:pPr>
      <w:r w:rsidRPr="00474D07">
        <w:lastRenderedPageBreak/>
        <w:t xml:space="preserve">The central management and control test for residency of a corporation has been adopted in Canada in a number of cases and is well established (see </w:t>
      </w:r>
      <w:r w:rsidRPr="00474D07">
        <w:rPr>
          <w:i/>
          <w:iCs/>
        </w:rPr>
        <w:t>The King v. British Columbia Electric Railway Co.</w:t>
      </w:r>
      <w:r w:rsidRPr="00474D07">
        <w:rPr>
          <w:iCs/>
        </w:rPr>
        <w:t>,</w:t>
      </w:r>
      <w:r w:rsidRPr="00474D07">
        <w:rPr>
          <w:i/>
          <w:iCs/>
        </w:rPr>
        <w:t xml:space="preserve"> </w:t>
      </w:r>
      <w:r w:rsidRPr="00474D07">
        <w:t xml:space="preserve">[1945] C.T.C. 162 (Ex. Ct.); </w:t>
      </w:r>
      <w:r w:rsidRPr="00474D07">
        <w:rPr>
          <w:i/>
        </w:rPr>
        <w:t xml:space="preserve">Crossley Carpets (Canada) Ltd. v. M.N.R. </w:t>
      </w:r>
      <w:r w:rsidR="004A2E61" w:rsidRPr="00474D07">
        <w:t>(196</w:t>
      </w:r>
      <w:r w:rsidR="00B57E01">
        <w:t>7</w:t>
      </w:r>
      <w:r w:rsidR="004A2E61" w:rsidRPr="00474D07">
        <w:t>), 67 D.T.C. 522 (</w:t>
      </w:r>
      <w:r w:rsidR="00B57E01">
        <w:t>T.A.B.</w:t>
      </w:r>
      <w:r w:rsidRPr="00474D07">
        <w:t>)).</w:t>
      </w:r>
    </w:p>
    <w:p w:rsidR="00102EAE" w:rsidRPr="00474D07" w:rsidRDefault="00102EAE" w:rsidP="00102EAE">
      <w:pPr>
        <w:pStyle w:val="ParaNoNdepar-AltN"/>
      </w:pPr>
      <w:r w:rsidRPr="00474D07">
        <w:t xml:space="preserve">In general, the central management and control of a corporation will be exercised where its board of directors exercises its responsibilities.  However, as Sharlow J.A. pointed out (at para. 56), where the facts are that the central management and control is exercised by a shareholder who is resident and making decisions in another country, the corporation will be found to be resident where the shareholder resides.  (See </w:t>
      </w:r>
      <w:r w:rsidRPr="00474D07">
        <w:rPr>
          <w:i/>
        </w:rPr>
        <w:t>Unit Construction Co. v. Bullock</w:t>
      </w:r>
      <w:r w:rsidRPr="00474D07">
        <w:t>, [1960] A.C. 351 (H.L.).)</w:t>
      </w:r>
    </w:p>
    <w:p w:rsidR="00102EAE" w:rsidRPr="00474D07" w:rsidRDefault="00102EAE" w:rsidP="00102EAE">
      <w:pPr>
        <w:pStyle w:val="ParaNoNdepar-AltN"/>
      </w:pPr>
      <w:r w:rsidRPr="00474D07">
        <w:t>St. Michael says that the residence of the trust must be the residence of the trustee based on two fundamental propositions.  First, the trust is not a person like a corporation, so the central management and control test is inapplicable to trusts.  Sharlow J.A. disposed of St. Michael</w:t>
      </w:r>
      <w:r w:rsidR="00474D07" w:rsidRPr="00474D07">
        <w:t>’</w:t>
      </w:r>
      <w:r w:rsidRPr="00474D07">
        <w:t>s first argument summarily, as do we.  While a trust is not a person at common law, it is deemed to be an individual under the Act</w:t>
      </w:r>
      <w:r w:rsidRPr="00474D07">
        <w:rPr>
          <w:i/>
        </w:rPr>
        <w:t>.</w:t>
      </w:r>
      <w:r w:rsidRPr="00474D07">
        <w:t xml:space="preserve">  Section 104(2) provides:</w:t>
      </w:r>
    </w:p>
    <w:p w:rsidR="00102EAE" w:rsidRPr="00474D07" w:rsidRDefault="004A2E61" w:rsidP="004A2E61">
      <w:pPr>
        <w:pStyle w:val="Citation-AltC"/>
        <w:tabs>
          <w:tab w:val="left" w:pos="1170"/>
          <w:tab w:val="left" w:pos="1620"/>
        </w:tabs>
        <w:ind w:left="1170" w:hanging="1440"/>
      </w:pPr>
      <w:r w:rsidRPr="00474D07">
        <w:tab/>
      </w:r>
      <w:r w:rsidRPr="00474D07">
        <w:tab/>
      </w:r>
      <w:r w:rsidR="00102EAE" w:rsidRPr="00474D07">
        <w:t>A trust shall, for the purposes of this Act, and without affecting the liability of the trustee or legal representative for that person</w:t>
      </w:r>
      <w:r w:rsidR="00474D07" w:rsidRPr="00474D07">
        <w:t>’</w:t>
      </w:r>
      <w:r w:rsidR="00102EAE" w:rsidRPr="00474D07">
        <w:t xml:space="preserve">s own income tax, be </w:t>
      </w:r>
      <w:r w:rsidR="00102EAE" w:rsidRPr="00474D07">
        <w:rPr>
          <w:u w:val="single"/>
        </w:rPr>
        <w:t>deemed to be in respect of the trust property an individual</w:t>
      </w:r>
      <w:r w:rsidRPr="00474D07">
        <w:t> . . .</w:t>
      </w:r>
      <w:r w:rsidR="00B57E01">
        <w:t> .</w:t>
      </w:r>
    </w:p>
    <w:p w:rsidR="00102EAE" w:rsidRPr="00474D07" w:rsidRDefault="00102EAE" w:rsidP="00102EAE">
      <w:pPr>
        <w:pStyle w:val="ContinueParaSuitedupar-AltP"/>
      </w:pPr>
      <w:r w:rsidRPr="00474D07">
        <w:lastRenderedPageBreak/>
        <w:t>We agree with the Minister that the fact that at common law a trust does not have an independent legal existence is irrelevant for the purposes of the Act.</w:t>
      </w:r>
    </w:p>
    <w:p w:rsidR="00102EAE" w:rsidRPr="00474D07" w:rsidRDefault="00102EAE" w:rsidP="00102EAE">
      <w:pPr>
        <w:pStyle w:val="ParaNoNdepar-AltN"/>
      </w:pPr>
      <w:r w:rsidRPr="00474D07">
        <w:t>St. Michael</w:t>
      </w:r>
      <w:r w:rsidR="00474D07" w:rsidRPr="00474D07">
        <w:t>’</w:t>
      </w:r>
      <w:r w:rsidRPr="00474D07">
        <w:t>s second argument is that the Act links a trust to the trustee and therefore the residence of the trust must be the residence of the trustee.  It bases this argument on s. 104(1), which provides:</w:t>
      </w:r>
    </w:p>
    <w:p w:rsidR="00102EAE" w:rsidRPr="00474D07" w:rsidRDefault="004A2E61" w:rsidP="004A2E61">
      <w:pPr>
        <w:pStyle w:val="Citation-AltC"/>
        <w:tabs>
          <w:tab w:val="left" w:pos="1170"/>
          <w:tab w:val="left" w:pos="1620"/>
        </w:tabs>
        <w:ind w:left="1170" w:hanging="1440"/>
      </w:pPr>
      <w:r w:rsidRPr="00474D07">
        <w:tab/>
      </w:r>
      <w:r w:rsidRPr="00474D07">
        <w:tab/>
      </w:r>
      <w:r w:rsidR="00102EAE" w:rsidRPr="00474D07">
        <w:t>In this Act, a reference to a trust or estate .</w:t>
      </w:r>
      <w:r w:rsidRPr="00474D07">
        <w:t xml:space="preserve"> </w:t>
      </w:r>
      <w:r w:rsidR="00102EAE" w:rsidRPr="00474D07">
        <w:t>.</w:t>
      </w:r>
      <w:r w:rsidRPr="00474D07">
        <w:t xml:space="preserve"> </w:t>
      </w:r>
      <w:r w:rsidR="00102EAE" w:rsidRPr="00474D07">
        <w:t>. shall, unless the context otherwise requires, be read to include a reference to the trustee, executor, administrator, liquidator of a succession, heir or other legal representative having ownership or control of the trust property .</w:t>
      </w:r>
      <w:r w:rsidRPr="00474D07">
        <w:t> </w:t>
      </w:r>
      <w:r w:rsidR="00102EAE" w:rsidRPr="00474D07">
        <w:t>.</w:t>
      </w:r>
      <w:r w:rsidRPr="00474D07">
        <w:t> . </w:t>
      </w:r>
      <w:r w:rsidR="00102EAE" w:rsidRPr="00474D07">
        <w:t>.</w:t>
      </w:r>
    </w:p>
    <w:p w:rsidR="00102EAE" w:rsidRPr="00474D07" w:rsidRDefault="00102EAE" w:rsidP="00102EAE">
      <w:pPr>
        <w:pStyle w:val="ContinueParaSuitedupar-AltP"/>
      </w:pPr>
      <w:r w:rsidRPr="00474D07">
        <w:t>The Federal Court of Appeal found that the linkage in s. 104(1) was for the purposes of solving “the practical problems of tax administration that would necessarily arise when it was determined that trusts were to be taxed despite the absence of legal personality” (para. 64).  However, this did not mean that in all cases, the residence of the trust must be the residence of the trustee.</w:t>
      </w:r>
    </w:p>
    <w:p w:rsidR="00102EAE" w:rsidRPr="00474D07" w:rsidRDefault="00102EAE" w:rsidP="00102EAE">
      <w:pPr>
        <w:pStyle w:val="ParaNoNdepar-AltN"/>
      </w:pPr>
      <w:r w:rsidRPr="00474D07">
        <w:t>St. Michael argues that s. 104(1) links the trustee to the trust for all attributes of a trust, including residency.  However, although the subsection provides that a reference to a trust in the Act shall be read to include a reference to a trustee, St. Michael points to no provision that would link the trust and the trustee for purposes of determining the residency of the trust.  T</w:t>
      </w:r>
      <w:r w:rsidRPr="00474D07" w:rsidDel="00DF7149">
        <w:t xml:space="preserve">he link </w:t>
      </w:r>
      <w:r w:rsidRPr="00474D07">
        <w:t xml:space="preserve">that St. Michael </w:t>
      </w:r>
      <w:r w:rsidRPr="00474D07" w:rsidDel="00DF7149">
        <w:t>asserts is not a principle of general application to trusts for all purposes</w:t>
      </w:r>
      <w:r w:rsidRPr="00474D07">
        <w:t>,</w:t>
      </w:r>
      <w:r w:rsidRPr="00474D07" w:rsidDel="00DF7149">
        <w:t xml:space="preserve"> and</w:t>
      </w:r>
      <w:r w:rsidRPr="00474D07">
        <w:t xml:space="preserve"> there is nothing in </w:t>
      </w:r>
      <w:r w:rsidRPr="00474D07">
        <w:lastRenderedPageBreak/>
        <w:t>the context of s. 104(1) that would suggest that there be a legal rule requiring that the residence of a trust must be the residence of the trustee.</w:t>
      </w:r>
    </w:p>
    <w:p w:rsidR="00102EAE" w:rsidRPr="00474D07" w:rsidRDefault="00102EAE" w:rsidP="00102EAE">
      <w:pPr>
        <w:pStyle w:val="ParaNoNdepar-AltN"/>
      </w:pPr>
      <w:bookmarkStart w:id="0" w:name="OLE_LINK1"/>
      <w:bookmarkStart w:id="1" w:name="OLE_LINK2"/>
      <w:r w:rsidRPr="00474D07">
        <w:t xml:space="preserve">On the contrary, s. 2(1) is the basic charging provision of the Act, and its reference to a “person” must be read as a reference to the taxpayer whose taxable income is being subjected to income tax.  This is the trust, </w:t>
      </w:r>
      <w:r w:rsidRPr="00474D07">
        <w:rPr>
          <w:i/>
        </w:rPr>
        <w:t>not</w:t>
      </w:r>
      <w:r w:rsidRPr="00474D07">
        <w:t xml:space="preserve"> the trustee.  This follows from s. 104(2), which separates the trust from the trustee in respect of trust property.</w:t>
      </w:r>
      <w:bookmarkEnd w:id="0"/>
      <w:bookmarkEnd w:id="1"/>
    </w:p>
    <w:p w:rsidR="00102EAE" w:rsidRPr="00474D07" w:rsidRDefault="00102EAE" w:rsidP="004A2E61">
      <w:pPr>
        <w:pStyle w:val="ParaNoNdepar-AltN"/>
      </w:pPr>
      <w:r w:rsidRPr="00474D07">
        <w:t>On the other hand, there are many similarities between a trust and corporation that would, in our view, justify application of the central management and control test in determining the residence of a trust, just as it is used in determining the residence of a corporation.  Some of these similarities include:</w:t>
      </w:r>
    </w:p>
    <w:p w:rsidR="00102EAE" w:rsidRPr="00474D07" w:rsidRDefault="004A2E61" w:rsidP="004A2E61">
      <w:pPr>
        <w:pStyle w:val="Citation-AltC"/>
        <w:tabs>
          <w:tab w:val="left" w:pos="720"/>
        </w:tabs>
        <w:spacing w:after="480" w:line="480" w:lineRule="auto"/>
        <w:ind w:left="720" w:hanging="720"/>
        <w:contextualSpacing w:val="0"/>
      </w:pPr>
      <w:r w:rsidRPr="00474D07">
        <w:t>(1)</w:t>
      </w:r>
      <w:r w:rsidRPr="00474D07">
        <w:tab/>
      </w:r>
      <w:r w:rsidR="00102EAE" w:rsidRPr="00474D07">
        <w:t>Both hold assets that are required to be managed;</w:t>
      </w:r>
    </w:p>
    <w:p w:rsidR="00102EAE" w:rsidRPr="00474D07" w:rsidRDefault="004A2E61" w:rsidP="004A2E61">
      <w:pPr>
        <w:pStyle w:val="Citation-AltC"/>
        <w:tabs>
          <w:tab w:val="left" w:pos="720"/>
        </w:tabs>
        <w:spacing w:after="480" w:line="480" w:lineRule="auto"/>
        <w:ind w:left="720" w:hanging="720"/>
        <w:contextualSpacing w:val="0"/>
      </w:pPr>
      <w:r w:rsidRPr="00474D07">
        <w:t>(2)</w:t>
      </w:r>
      <w:r w:rsidRPr="00474D07">
        <w:tab/>
      </w:r>
      <w:r w:rsidR="00102EAE" w:rsidRPr="00474D07">
        <w:t>Both involve the acquisition and disposition of assets;</w:t>
      </w:r>
    </w:p>
    <w:p w:rsidR="00102EAE" w:rsidRPr="00474D07" w:rsidRDefault="004A2E61" w:rsidP="004A2E61">
      <w:pPr>
        <w:pStyle w:val="Citation-AltC"/>
        <w:tabs>
          <w:tab w:val="left" w:pos="720"/>
        </w:tabs>
        <w:spacing w:after="480" w:line="480" w:lineRule="auto"/>
        <w:ind w:left="720" w:hanging="720"/>
        <w:contextualSpacing w:val="0"/>
      </w:pPr>
      <w:r w:rsidRPr="00474D07">
        <w:t>(3)</w:t>
      </w:r>
      <w:r w:rsidRPr="00474D07">
        <w:tab/>
      </w:r>
      <w:r w:rsidR="00102EAE" w:rsidRPr="00474D07">
        <w:t>Both may require the management of a business;</w:t>
      </w:r>
    </w:p>
    <w:p w:rsidR="00102EAE" w:rsidRPr="00474D07" w:rsidRDefault="004A2E61" w:rsidP="004A2E61">
      <w:pPr>
        <w:pStyle w:val="Citation-AltC"/>
        <w:tabs>
          <w:tab w:val="left" w:pos="720"/>
        </w:tabs>
        <w:spacing w:after="480" w:line="480" w:lineRule="auto"/>
        <w:ind w:left="720" w:hanging="720"/>
        <w:contextualSpacing w:val="0"/>
      </w:pPr>
      <w:r w:rsidRPr="00474D07">
        <w:t>(4)</w:t>
      </w:r>
      <w:r w:rsidRPr="00474D07">
        <w:tab/>
      </w:r>
      <w:r w:rsidR="00102EAE" w:rsidRPr="00474D07">
        <w:t>Both require banking and financial arrangements;</w:t>
      </w:r>
    </w:p>
    <w:p w:rsidR="00102EAE" w:rsidRPr="00474D07" w:rsidRDefault="004A2E61" w:rsidP="004A2E61">
      <w:pPr>
        <w:pStyle w:val="Citation-AltC"/>
        <w:tabs>
          <w:tab w:val="left" w:pos="720"/>
        </w:tabs>
        <w:spacing w:after="480" w:line="480" w:lineRule="auto"/>
        <w:ind w:left="720" w:hanging="720"/>
        <w:contextualSpacing w:val="0"/>
      </w:pPr>
      <w:r w:rsidRPr="00474D07">
        <w:t>(5)</w:t>
      </w:r>
      <w:r w:rsidRPr="00474D07">
        <w:tab/>
      </w:r>
      <w:r w:rsidR="00102EAE" w:rsidRPr="00474D07">
        <w:t>Both may require the instruction or advice of lawyers, accountants and other advisors; and</w:t>
      </w:r>
    </w:p>
    <w:p w:rsidR="00102EAE" w:rsidRPr="00474D07" w:rsidRDefault="004A2E61" w:rsidP="004A2E61">
      <w:pPr>
        <w:pStyle w:val="Citation-AltC"/>
        <w:tabs>
          <w:tab w:val="left" w:pos="720"/>
        </w:tabs>
        <w:spacing w:after="480" w:line="480" w:lineRule="auto"/>
        <w:ind w:left="720" w:hanging="720"/>
        <w:contextualSpacing w:val="0"/>
      </w:pPr>
      <w:r w:rsidRPr="00474D07">
        <w:lastRenderedPageBreak/>
        <w:t>(6)</w:t>
      </w:r>
      <w:r w:rsidRPr="00474D07">
        <w:tab/>
      </w:r>
      <w:r w:rsidR="00102EAE" w:rsidRPr="00474D07">
        <w:t>Both may distribute income, corporations by way of dividends and trusts by distributions.</w:t>
      </w:r>
    </w:p>
    <w:p w:rsidR="00102EAE" w:rsidRPr="00474D07" w:rsidRDefault="00102EAE" w:rsidP="00102EAE">
      <w:pPr>
        <w:pStyle w:val="ContinueParaSuitedupar-AltP"/>
        <w:rPr>
          <w:szCs w:val="24"/>
        </w:rPr>
      </w:pPr>
      <w:proofErr w:type="gramStart"/>
      <w:r w:rsidRPr="00474D07">
        <w:rPr>
          <w:szCs w:val="24"/>
        </w:rPr>
        <w:t>As Woods J. noted:  “The function of each is, at a basic level, the management of property” (para. 159).</w:t>
      </w:r>
      <w:proofErr w:type="gramEnd"/>
    </w:p>
    <w:p w:rsidR="00102EAE" w:rsidRPr="00474D07" w:rsidRDefault="00102EAE" w:rsidP="00102EAE">
      <w:pPr>
        <w:pStyle w:val="ParaNoNdepar-AltN"/>
      </w:pPr>
      <w:r w:rsidRPr="00474D07">
        <w:t>As with corporations, residence of a trust should be determined by the principle that a trust resides for the purposes of the Act where “its real business is carried on” (</w:t>
      </w:r>
      <w:r w:rsidRPr="00474D07">
        <w:rPr>
          <w:i/>
        </w:rPr>
        <w:t>De Beers</w:t>
      </w:r>
      <w:r w:rsidRPr="00474D07">
        <w:t xml:space="preserve">, at p. 458), which is where the central management and control of the trust actually takes place.  As indicated, the Tax Court judge found as a fact that the main beneficiaries exercised the central management and control of the trusts in Canada.  She found that St. Michael had only a limited role </w:t>
      </w:r>
      <w:r w:rsidRPr="00474D07">
        <w:rPr>
          <w:rFonts w:cs="Times New Roman"/>
        </w:rPr>
        <w:t>―</w:t>
      </w:r>
      <w:r w:rsidRPr="00474D07">
        <w:t xml:space="preserve"> to provide administrative services </w:t>
      </w:r>
      <w:r w:rsidRPr="00474D07">
        <w:rPr>
          <w:rFonts w:cs="Times New Roman"/>
        </w:rPr>
        <w:t>―</w:t>
      </w:r>
      <w:r w:rsidRPr="00474D07">
        <w:t xml:space="preserve"> and little or no responsibility beyond that (paras. 189-90).  Therefore, on this test, the trusts must be found to be resident in Canada.  This is not to say that the residence of a trust can never be the residence of the trustee.  The residence of the trustee will also be the residence of the trust where the trustee carries out the central management and control of the trust, and these duties are performed where the trustee is resident.  These, however, were not the facts in this case.</w:t>
      </w:r>
    </w:p>
    <w:p w:rsidR="00102EAE" w:rsidRPr="00474D07" w:rsidRDefault="00102EAE" w:rsidP="00102EAE">
      <w:pPr>
        <w:pStyle w:val="ParaNoNdepar-AltN"/>
      </w:pPr>
      <w:r w:rsidRPr="00474D07">
        <w:t>We agree with Woods J. that adopting a similar test for trusts and corporations promotes “the important principles of consistency, predictability and fairness in the application of tax law” (para. 160).  As she noted, if there were to be a totally different test for trusts than for corporations, there should be good reasons for it.  No such reasons were offered here.</w:t>
      </w:r>
    </w:p>
    <w:p w:rsidR="00102EAE" w:rsidRPr="00474D07" w:rsidRDefault="00102EAE" w:rsidP="00102EAE">
      <w:pPr>
        <w:pStyle w:val="ParaNoNdepar-AltN"/>
      </w:pPr>
      <w:r w:rsidRPr="00474D07">
        <w:lastRenderedPageBreak/>
        <w:t>For these reasons, we would dismiss the appeals with costs.</w:t>
      </w:r>
    </w:p>
    <w:p w:rsidR="00102EAE" w:rsidRPr="00474D07" w:rsidRDefault="00102EAE" w:rsidP="00102EAE">
      <w:pPr>
        <w:pStyle w:val="ParaNoNdepar-AltN"/>
      </w:pPr>
      <w:r w:rsidRPr="00474D07">
        <w:t>In the alternative, the Minister argued that the trusts are deemed residents of Canada under s. 94, which provides a scheme for taxing non-resident trusts.  Even if the trusts were found not to be resident in Canada under common law principles, the Minister submitted that their assessments were justified under s. 94 because the trusts were deemed to be Canadian residents for the purposes of the Act, and therefore Canadian residents for the purposes of the treaty exemption.  In the case that this alternative argument failed, the Minister further argued that the tax benefit should be denied according to the general anti-avoidance rule under s. 245 of the Act because it would frustrate the purpose of relevant parts of the treaty.</w:t>
      </w:r>
    </w:p>
    <w:p w:rsidR="00102EAE" w:rsidRPr="00474D07" w:rsidRDefault="00102EAE" w:rsidP="00102EAE">
      <w:pPr>
        <w:pStyle w:val="ParaNoNdepar-AltN"/>
      </w:pPr>
      <w:r w:rsidRPr="00474D07">
        <w:t>Given our conclusion that the trusts are resident in Canada under common law principles, it is not necessary to consider the arguments made about s. 94 or s. 245 of the Act. We should not be understood as endorsing the reasons of the Federal Court of Appeal on those matters.</w:t>
      </w:r>
    </w:p>
    <w:p w:rsidR="009B57B3" w:rsidRPr="00474D07" w:rsidRDefault="009B57B3" w:rsidP="002E3D07">
      <w:pPr>
        <w:pStyle w:val="SCCNormalDoubleSpacing"/>
        <w:spacing w:after="480"/>
        <w:rPr>
          <w:szCs w:val="24"/>
        </w:rPr>
      </w:pPr>
      <w:r w:rsidRPr="00474D07">
        <w:rPr>
          <w:szCs w:val="24"/>
        </w:rPr>
        <w:tab/>
      </w:r>
      <w:r w:rsidR="00656313" w:rsidRPr="00474D07">
        <w:rPr>
          <w:i/>
          <w:szCs w:val="24"/>
        </w:rPr>
        <w:t>Appeal</w:t>
      </w:r>
      <w:r w:rsidR="00057399" w:rsidRPr="00474D07">
        <w:rPr>
          <w:i/>
          <w:szCs w:val="24"/>
        </w:rPr>
        <w:t>s</w:t>
      </w:r>
      <w:r w:rsidR="001310DC" w:rsidRPr="00474D07">
        <w:rPr>
          <w:i/>
          <w:szCs w:val="24"/>
        </w:rPr>
        <w:t xml:space="preserve"> dismissed with costs.</w:t>
      </w:r>
    </w:p>
    <w:p w:rsidR="001310DC" w:rsidRPr="00474D07" w:rsidRDefault="001310DC" w:rsidP="002E3D07">
      <w:pPr>
        <w:pStyle w:val="SCCLawFirm"/>
        <w:spacing w:after="480"/>
        <w:rPr>
          <w:szCs w:val="24"/>
        </w:rPr>
      </w:pPr>
      <w:r w:rsidRPr="00474D07">
        <w:rPr>
          <w:szCs w:val="24"/>
        </w:rPr>
        <w:tab/>
      </w:r>
      <w:r w:rsidR="002E3D07" w:rsidRPr="00474D07">
        <w:rPr>
          <w:szCs w:val="24"/>
        </w:rPr>
        <w:t>Solicitors for the appellants:  </w:t>
      </w:r>
      <w:proofErr w:type="spellStart"/>
      <w:r w:rsidRPr="00474D07">
        <w:rPr>
          <w:szCs w:val="24"/>
        </w:rPr>
        <w:t>Thorsteinssons</w:t>
      </w:r>
      <w:proofErr w:type="spellEnd"/>
      <w:r w:rsidRPr="00474D07">
        <w:rPr>
          <w:szCs w:val="24"/>
        </w:rPr>
        <w:t>, Toronto.</w:t>
      </w:r>
    </w:p>
    <w:p w:rsidR="001310DC" w:rsidRPr="00474D07" w:rsidRDefault="002E3D07" w:rsidP="001310DC">
      <w:pPr>
        <w:pStyle w:val="SCCLawFirm"/>
        <w:rPr>
          <w:szCs w:val="24"/>
        </w:rPr>
      </w:pPr>
      <w:r w:rsidRPr="00474D07">
        <w:rPr>
          <w:szCs w:val="24"/>
        </w:rPr>
        <w:tab/>
        <w:t>Solicitor for the respondent:  </w:t>
      </w:r>
      <w:r w:rsidR="001310DC" w:rsidRPr="00474D07">
        <w:rPr>
          <w:szCs w:val="24"/>
        </w:rPr>
        <w:t>Attorney General of Canada, Ottawa.</w:t>
      </w:r>
    </w:p>
    <w:p w:rsidR="009B57B3" w:rsidRPr="00474D07" w:rsidRDefault="009B57B3" w:rsidP="00DA4410">
      <w:pPr>
        <w:rPr>
          <w:szCs w:val="24"/>
          <w:lang w:val="en-US"/>
        </w:rPr>
      </w:pPr>
    </w:p>
    <w:sectPr w:rsidR="009B57B3" w:rsidRPr="00474D07" w:rsidSect="009424D7">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E01" w:rsidRDefault="00B57E01">
      <w:r>
        <w:separator/>
      </w:r>
    </w:p>
  </w:endnote>
  <w:endnote w:type="continuationSeparator" w:id="0">
    <w:p w:rsidR="00B57E01" w:rsidRDefault="00B57E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E01" w:rsidRDefault="00B57E01">
      <w:r>
        <w:separator/>
      </w:r>
    </w:p>
  </w:footnote>
  <w:footnote w:type="continuationSeparator" w:id="0">
    <w:p w:rsidR="00B57E01" w:rsidRDefault="00B57E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21719"/>
      <w:docPartObj>
        <w:docPartGallery w:val="Page Numbers (Top of Page)"/>
        <w:docPartUnique/>
      </w:docPartObj>
    </w:sdtPr>
    <w:sdtContent>
      <w:p w:rsidR="00B57E01" w:rsidRDefault="00B57E01">
        <w:pPr>
          <w:pStyle w:val="Header"/>
          <w:jc w:val="center"/>
        </w:pPr>
        <w:r>
          <w:t xml:space="preserve">- </w:t>
        </w:r>
        <w:fldSimple w:instr=" PAGE   \* MERGEFORMAT ">
          <w:r w:rsidR="00DF13E7">
            <w:rPr>
              <w:noProof/>
            </w:rPr>
            <w:t>2</w:t>
          </w:r>
        </w:fldSimple>
        <w:r>
          <w:t xml:space="preserve"> -</w:t>
        </w:r>
      </w:p>
    </w:sdtContent>
  </w:sdt>
  <w:p w:rsidR="00B57E01" w:rsidRPr="00450352" w:rsidRDefault="00B57E01"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D02EE"/>
    <w:multiLevelType w:val="hybridMultilevel"/>
    <w:tmpl w:val="C18CADAA"/>
    <w:lvl w:ilvl="0" w:tplc="52DA0C28">
      <w:start w:val="1"/>
      <w:numFmt w:val="decimal"/>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
    <w:nsid w:val="37C67266"/>
    <w:multiLevelType w:val="hybridMultilevel"/>
    <w:tmpl w:val="40546164"/>
    <w:lvl w:ilvl="0" w:tplc="95E029E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3D09CE"/>
    <w:multiLevelType w:val="hybridMultilevel"/>
    <w:tmpl w:val="C1824D60"/>
    <w:lvl w:ilvl="0" w:tplc="BACE0F7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371C83"/>
    <w:multiLevelType w:val="hybridMultilevel"/>
    <w:tmpl w:val="E0AE386E"/>
    <w:lvl w:ilvl="0" w:tplc="F8C2D7C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2"/>
  </w:num>
  <w:num w:numId="3">
    <w:abstractNumId w:val="1"/>
  </w:num>
  <w:num w:numId="4">
    <w:abstractNumId w:val="4"/>
  </w:num>
  <w:num w:numId="5">
    <w:abstractNumId w:val="0"/>
  </w:num>
  <w:num w:numId="6">
    <w:abstractNumId w:val="4"/>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77825"/>
  </w:hdrShapeDefaults>
  <w:footnotePr>
    <w:footnote w:id="-1"/>
    <w:footnote w:id="0"/>
  </w:footnotePr>
  <w:endnotePr>
    <w:endnote w:id="-1"/>
    <w:endnote w:id="0"/>
  </w:endnotePr>
  <w:compat/>
  <w:rsids>
    <w:rsidRoot w:val="0031414C"/>
    <w:rsid w:val="00000ED4"/>
    <w:rsid w:val="00012004"/>
    <w:rsid w:val="00025198"/>
    <w:rsid w:val="00025424"/>
    <w:rsid w:val="00057399"/>
    <w:rsid w:val="000578A3"/>
    <w:rsid w:val="000648CC"/>
    <w:rsid w:val="0007563E"/>
    <w:rsid w:val="0009257B"/>
    <w:rsid w:val="00095800"/>
    <w:rsid w:val="000C59B8"/>
    <w:rsid w:val="00102EAE"/>
    <w:rsid w:val="00104F33"/>
    <w:rsid w:val="00105271"/>
    <w:rsid w:val="0010774F"/>
    <w:rsid w:val="00111DE2"/>
    <w:rsid w:val="00116B38"/>
    <w:rsid w:val="001308C1"/>
    <w:rsid w:val="001310DC"/>
    <w:rsid w:val="00135406"/>
    <w:rsid w:val="00135972"/>
    <w:rsid w:val="001426A9"/>
    <w:rsid w:val="00154D7C"/>
    <w:rsid w:val="001570B0"/>
    <w:rsid w:val="0015752C"/>
    <w:rsid w:val="00157737"/>
    <w:rsid w:val="00165277"/>
    <w:rsid w:val="00170592"/>
    <w:rsid w:val="001B33E0"/>
    <w:rsid w:val="001B4573"/>
    <w:rsid w:val="001C779F"/>
    <w:rsid w:val="001D2AC1"/>
    <w:rsid w:val="001D4E88"/>
    <w:rsid w:val="002043BB"/>
    <w:rsid w:val="00220FC2"/>
    <w:rsid w:val="002219CD"/>
    <w:rsid w:val="00224FC0"/>
    <w:rsid w:val="00225EA4"/>
    <w:rsid w:val="00226EAF"/>
    <w:rsid w:val="00231F3A"/>
    <w:rsid w:val="002406EE"/>
    <w:rsid w:val="00240BD5"/>
    <w:rsid w:val="00243EC8"/>
    <w:rsid w:val="002745CC"/>
    <w:rsid w:val="00275288"/>
    <w:rsid w:val="002B39AE"/>
    <w:rsid w:val="002B7924"/>
    <w:rsid w:val="002D2111"/>
    <w:rsid w:val="002D39A4"/>
    <w:rsid w:val="002E3D07"/>
    <w:rsid w:val="002E6705"/>
    <w:rsid w:val="0030329A"/>
    <w:rsid w:val="0031086F"/>
    <w:rsid w:val="0031414C"/>
    <w:rsid w:val="00314E01"/>
    <w:rsid w:val="00315C39"/>
    <w:rsid w:val="0032089D"/>
    <w:rsid w:val="003310DE"/>
    <w:rsid w:val="0035169A"/>
    <w:rsid w:val="0035259D"/>
    <w:rsid w:val="00364B18"/>
    <w:rsid w:val="00374F04"/>
    <w:rsid w:val="003A4C70"/>
    <w:rsid w:val="003A5699"/>
    <w:rsid w:val="003B215F"/>
    <w:rsid w:val="003C1381"/>
    <w:rsid w:val="003C799C"/>
    <w:rsid w:val="003D0399"/>
    <w:rsid w:val="003E015B"/>
    <w:rsid w:val="003E1C71"/>
    <w:rsid w:val="003F327B"/>
    <w:rsid w:val="00406166"/>
    <w:rsid w:val="0040704B"/>
    <w:rsid w:val="00410A55"/>
    <w:rsid w:val="00411300"/>
    <w:rsid w:val="00415417"/>
    <w:rsid w:val="00426659"/>
    <w:rsid w:val="00430181"/>
    <w:rsid w:val="00444739"/>
    <w:rsid w:val="00450352"/>
    <w:rsid w:val="00453F89"/>
    <w:rsid w:val="00454BDB"/>
    <w:rsid w:val="00465132"/>
    <w:rsid w:val="00474D07"/>
    <w:rsid w:val="00480C90"/>
    <w:rsid w:val="0048307C"/>
    <w:rsid w:val="0048396F"/>
    <w:rsid w:val="00493C18"/>
    <w:rsid w:val="004A2E61"/>
    <w:rsid w:val="004A600C"/>
    <w:rsid w:val="004A6118"/>
    <w:rsid w:val="004C3759"/>
    <w:rsid w:val="004C478D"/>
    <w:rsid w:val="004E2C26"/>
    <w:rsid w:val="005125A8"/>
    <w:rsid w:val="00521AE8"/>
    <w:rsid w:val="00527180"/>
    <w:rsid w:val="00537D59"/>
    <w:rsid w:val="00555291"/>
    <w:rsid w:val="00566AD1"/>
    <w:rsid w:val="00566F1D"/>
    <w:rsid w:val="00583EDE"/>
    <w:rsid w:val="005B2A61"/>
    <w:rsid w:val="005D4EA3"/>
    <w:rsid w:val="005E4698"/>
    <w:rsid w:val="00610539"/>
    <w:rsid w:val="00613969"/>
    <w:rsid w:val="00625C35"/>
    <w:rsid w:val="00633164"/>
    <w:rsid w:val="00656313"/>
    <w:rsid w:val="006565F4"/>
    <w:rsid w:val="00684EEA"/>
    <w:rsid w:val="0069689B"/>
    <w:rsid w:val="006B5FF5"/>
    <w:rsid w:val="006C73BF"/>
    <w:rsid w:val="006F07B9"/>
    <w:rsid w:val="00701759"/>
    <w:rsid w:val="00705C15"/>
    <w:rsid w:val="007154AB"/>
    <w:rsid w:val="0072554C"/>
    <w:rsid w:val="00747288"/>
    <w:rsid w:val="00747DD3"/>
    <w:rsid w:val="00752160"/>
    <w:rsid w:val="007549C8"/>
    <w:rsid w:val="00766D14"/>
    <w:rsid w:val="00767A0F"/>
    <w:rsid w:val="00784FE1"/>
    <w:rsid w:val="007A05F6"/>
    <w:rsid w:val="007B6F4A"/>
    <w:rsid w:val="007D6AF8"/>
    <w:rsid w:val="007E1C47"/>
    <w:rsid w:val="007E2D9D"/>
    <w:rsid w:val="007E337A"/>
    <w:rsid w:val="007E5C70"/>
    <w:rsid w:val="007F2FF5"/>
    <w:rsid w:val="007F3F08"/>
    <w:rsid w:val="00804561"/>
    <w:rsid w:val="00804CC6"/>
    <w:rsid w:val="008163AD"/>
    <w:rsid w:val="00817190"/>
    <w:rsid w:val="008260E2"/>
    <w:rsid w:val="008322BD"/>
    <w:rsid w:val="00834F73"/>
    <w:rsid w:val="00864CF8"/>
    <w:rsid w:val="00874914"/>
    <w:rsid w:val="00890E5E"/>
    <w:rsid w:val="00891422"/>
    <w:rsid w:val="00892E1A"/>
    <w:rsid w:val="008C01DA"/>
    <w:rsid w:val="008F78E9"/>
    <w:rsid w:val="009042D9"/>
    <w:rsid w:val="009179F9"/>
    <w:rsid w:val="00933E5E"/>
    <w:rsid w:val="00935218"/>
    <w:rsid w:val="009403F3"/>
    <w:rsid w:val="009422F7"/>
    <w:rsid w:val="009424D7"/>
    <w:rsid w:val="009555B7"/>
    <w:rsid w:val="009567AA"/>
    <w:rsid w:val="0095798B"/>
    <w:rsid w:val="00967374"/>
    <w:rsid w:val="009726E3"/>
    <w:rsid w:val="009A507D"/>
    <w:rsid w:val="009B2F23"/>
    <w:rsid w:val="009B57B3"/>
    <w:rsid w:val="009C228A"/>
    <w:rsid w:val="009D2920"/>
    <w:rsid w:val="009D5AEB"/>
    <w:rsid w:val="009F0E33"/>
    <w:rsid w:val="00A149DF"/>
    <w:rsid w:val="00A21B90"/>
    <w:rsid w:val="00A41805"/>
    <w:rsid w:val="00A43BCE"/>
    <w:rsid w:val="00A548CB"/>
    <w:rsid w:val="00A5521C"/>
    <w:rsid w:val="00A643E7"/>
    <w:rsid w:val="00A73C38"/>
    <w:rsid w:val="00A969E8"/>
    <w:rsid w:val="00AB670D"/>
    <w:rsid w:val="00AF03C5"/>
    <w:rsid w:val="00AF4D77"/>
    <w:rsid w:val="00B000D8"/>
    <w:rsid w:val="00B00F75"/>
    <w:rsid w:val="00B145B6"/>
    <w:rsid w:val="00B50193"/>
    <w:rsid w:val="00B50C81"/>
    <w:rsid w:val="00B557F8"/>
    <w:rsid w:val="00B57E01"/>
    <w:rsid w:val="00B67FCB"/>
    <w:rsid w:val="00B815FC"/>
    <w:rsid w:val="00B90107"/>
    <w:rsid w:val="00B93FBC"/>
    <w:rsid w:val="00BB2EE4"/>
    <w:rsid w:val="00BC2108"/>
    <w:rsid w:val="00BC2FF2"/>
    <w:rsid w:val="00BD0E9E"/>
    <w:rsid w:val="00BD1BEC"/>
    <w:rsid w:val="00BD32FF"/>
    <w:rsid w:val="00C02092"/>
    <w:rsid w:val="00C24D91"/>
    <w:rsid w:val="00C4716F"/>
    <w:rsid w:val="00C52071"/>
    <w:rsid w:val="00C53F14"/>
    <w:rsid w:val="00C5735F"/>
    <w:rsid w:val="00C600CF"/>
    <w:rsid w:val="00C6084F"/>
    <w:rsid w:val="00C62A66"/>
    <w:rsid w:val="00C64A2C"/>
    <w:rsid w:val="00C71458"/>
    <w:rsid w:val="00C77613"/>
    <w:rsid w:val="00C828E7"/>
    <w:rsid w:val="00C86719"/>
    <w:rsid w:val="00C921DD"/>
    <w:rsid w:val="00CA6391"/>
    <w:rsid w:val="00CC2316"/>
    <w:rsid w:val="00CD2847"/>
    <w:rsid w:val="00CE3171"/>
    <w:rsid w:val="00CF1601"/>
    <w:rsid w:val="00D010BE"/>
    <w:rsid w:val="00D0172F"/>
    <w:rsid w:val="00D05162"/>
    <w:rsid w:val="00D068A7"/>
    <w:rsid w:val="00D1269D"/>
    <w:rsid w:val="00D32086"/>
    <w:rsid w:val="00D37A2B"/>
    <w:rsid w:val="00D37A3F"/>
    <w:rsid w:val="00D4431D"/>
    <w:rsid w:val="00D4667A"/>
    <w:rsid w:val="00D53DD5"/>
    <w:rsid w:val="00D7516F"/>
    <w:rsid w:val="00D95F8E"/>
    <w:rsid w:val="00DA0590"/>
    <w:rsid w:val="00DA3C41"/>
    <w:rsid w:val="00DA4410"/>
    <w:rsid w:val="00DC1788"/>
    <w:rsid w:val="00DD57DD"/>
    <w:rsid w:val="00DE319C"/>
    <w:rsid w:val="00DE44DB"/>
    <w:rsid w:val="00DF0CA8"/>
    <w:rsid w:val="00DF13E7"/>
    <w:rsid w:val="00DF2B48"/>
    <w:rsid w:val="00DF49A7"/>
    <w:rsid w:val="00E07EE2"/>
    <w:rsid w:val="00E07FD1"/>
    <w:rsid w:val="00E17867"/>
    <w:rsid w:val="00E20B23"/>
    <w:rsid w:val="00E24573"/>
    <w:rsid w:val="00E25E1E"/>
    <w:rsid w:val="00E27EE7"/>
    <w:rsid w:val="00E35404"/>
    <w:rsid w:val="00E45109"/>
    <w:rsid w:val="00E47B7A"/>
    <w:rsid w:val="00E60269"/>
    <w:rsid w:val="00E678BB"/>
    <w:rsid w:val="00E75482"/>
    <w:rsid w:val="00E97830"/>
    <w:rsid w:val="00EB396A"/>
    <w:rsid w:val="00EF0683"/>
    <w:rsid w:val="00F0070C"/>
    <w:rsid w:val="00F00EB7"/>
    <w:rsid w:val="00F3193C"/>
    <w:rsid w:val="00F36AB6"/>
    <w:rsid w:val="00F37A09"/>
    <w:rsid w:val="00F409CE"/>
    <w:rsid w:val="00F4379D"/>
    <w:rsid w:val="00F52F54"/>
    <w:rsid w:val="00F7652F"/>
    <w:rsid w:val="00F84DF4"/>
    <w:rsid w:val="00F85C97"/>
    <w:rsid w:val="00FA3DBB"/>
    <w:rsid w:val="00FB37D2"/>
    <w:rsid w:val="00FC4EFB"/>
    <w:rsid w:val="00FD068D"/>
    <w:rsid w:val="00FD4A1B"/>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styleId="ListParagraph">
    <w:name w:val="List Paragraph"/>
    <w:basedOn w:val="Normal"/>
    <w:uiPriority w:val="34"/>
    <w:qFormat/>
    <w:rsid w:val="00E75482"/>
    <w:pPr>
      <w:ind w:left="720"/>
      <w:contextualSpacing/>
    </w:pPr>
  </w:style>
  <w:style w:type="paragraph" w:customStyle="1" w:styleId="SCCCoram">
    <w:name w:val="SCC.Coram"/>
    <w:basedOn w:val="Normal"/>
    <w:next w:val="Normal"/>
    <w:link w:val="SCCCoramChar"/>
    <w:rsid w:val="00102EAE"/>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102EAE"/>
    <w:rPr>
      <w:rFonts w:eastAsiaTheme="minorHAnsi" w:cstheme="minorBidi"/>
      <w:sz w:val="24"/>
      <w:szCs w:val="22"/>
      <w:lang w:eastAsia="en-US"/>
    </w:rPr>
  </w:style>
  <w:style w:type="table" w:styleId="TableGrid">
    <w:name w:val="Table Grid"/>
    <w:basedOn w:val="TableNormal"/>
    <w:uiPriority w:val="59"/>
    <w:rsid w:val="00102E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102EAE"/>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102EAE"/>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102EAE"/>
    <w:pPr>
      <w:tabs>
        <w:tab w:val="left" w:pos="1166"/>
      </w:tabs>
      <w:spacing w:after="480" w:line="480" w:lineRule="auto"/>
    </w:pPr>
    <w:rPr>
      <w:smallCaps/>
      <w:sz w:val="24"/>
    </w:rPr>
  </w:style>
  <w:style w:type="paragraph" w:customStyle="1" w:styleId="ParaNoNdepar-AltN">
    <w:name w:val="Para. No. / Nº de par. - Alt N"/>
    <w:qFormat/>
    <w:rsid w:val="00102EAE"/>
    <w:pPr>
      <w:numPr>
        <w:numId w:val="4"/>
      </w:numPr>
      <w:spacing w:before="480" w:after="480" w:line="480" w:lineRule="auto"/>
      <w:jc w:val="both"/>
    </w:pPr>
    <w:rPr>
      <w:rFonts w:eastAsiaTheme="minorEastAsia" w:cstheme="minorBidi"/>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A5AAB-84DE-4CC3-9226-984DB1EA6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2469</Words>
  <Characters>12193</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2012-05-07T14:38:00Z</dcterms:created>
  <dcterms:modified xsi:type="dcterms:W3CDTF">2012-09-13T18:11:00Z</dcterms:modified>
</cp:coreProperties>
</file>