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97" w:rsidRPr="00620C9F" w:rsidRDefault="002D5C97" w:rsidP="002D5C97">
      <w:pPr>
        <w:tabs>
          <w:tab w:val="center" w:pos="4680"/>
          <w:tab w:val="right" w:pos="9360"/>
        </w:tabs>
        <w:jc w:val="center"/>
        <w:rPr>
          <w:rFonts w:eastAsiaTheme="minorHAnsi" w:cstheme="minorBidi"/>
          <w:szCs w:val="24"/>
          <w:lang w:eastAsia="en-US"/>
        </w:rPr>
      </w:pPr>
      <w:r w:rsidRPr="00620C9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13960950" r:id="rId9"/>
        </w:object>
      </w:r>
    </w:p>
    <w:p w:rsidR="002D5C97" w:rsidRPr="00620C9F" w:rsidRDefault="002D5C97" w:rsidP="002D5C97">
      <w:pPr>
        <w:tabs>
          <w:tab w:val="center" w:pos="4680"/>
          <w:tab w:val="right" w:pos="9360"/>
        </w:tabs>
        <w:rPr>
          <w:rFonts w:eastAsiaTheme="minorHAnsi" w:cstheme="minorBidi"/>
          <w:szCs w:val="24"/>
          <w:lang w:eastAsia="en-US"/>
        </w:rPr>
      </w:pPr>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SUPREME COURT OF CANADA</w:t>
      </w:r>
    </w:p>
    <w:p w:rsidR="002D5C97" w:rsidRPr="00620C9F" w:rsidRDefault="002D5C97" w:rsidP="002D5C97">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D5C97" w:rsidRPr="00620C9F" w:rsidTr="00BD5F54">
        <w:trPr>
          <w:cantSplit/>
        </w:trPr>
        <w:tc>
          <w:tcPr>
            <w:tcW w:w="6768" w:type="dxa"/>
          </w:tcPr>
          <w:p w:rsidR="002D5C97" w:rsidRPr="00620C9F" w:rsidRDefault="002D5C97" w:rsidP="00BD5F54">
            <w:pPr>
              <w:spacing w:after="720"/>
              <w:jc w:val="both"/>
              <w:rPr>
                <w:b/>
              </w:rPr>
            </w:pPr>
            <w:r w:rsidRPr="00620C9F">
              <w:rPr>
                <w:b/>
                <w:smallCaps/>
              </w:rPr>
              <w:t>Citation:</w:t>
            </w:r>
            <w:r w:rsidRPr="00620C9F">
              <w:t xml:space="preserve"> Breeden </w:t>
            </w:r>
            <w:r w:rsidRPr="00620C9F">
              <w:rPr>
                <w:i/>
              </w:rPr>
              <w:t>v.</w:t>
            </w:r>
            <w:r w:rsidRPr="00620C9F">
              <w:rPr>
                <w:b/>
              </w:rPr>
              <w:t xml:space="preserve"> </w:t>
            </w:r>
            <w:r w:rsidRPr="00620C9F">
              <w:t xml:space="preserve">Black, </w:t>
            </w:r>
            <w:r>
              <w:t>2012 SCC 19, [2012] 1 S.C.R. 666</w:t>
            </w:r>
          </w:p>
        </w:tc>
        <w:tc>
          <w:tcPr>
            <w:tcW w:w="2808" w:type="dxa"/>
          </w:tcPr>
          <w:p w:rsidR="002D5C97" w:rsidRPr="00620C9F" w:rsidRDefault="002D5C97" w:rsidP="00BD5F54">
            <w:r w:rsidRPr="00620C9F">
              <w:rPr>
                <w:b/>
                <w:smallCaps/>
              </w:rPr>
              <w:t>Date:</w:t>
            </w:r>
            <w:r w:rsidRPr="00620C9F">
              <w:t xml:space="preserve"> 20120418</w:t>
            </w:r>
          </w:p>
          <w:p w:rsidR="002D5C97" w:rsidRPr="00620C9F" w:rsidRDefault="002D5C97" w:rsidP="00BD5F54">
            <w:r w:rsidRPr="00620C9F">
              <w:rPr>
                <w:b/>
                <w:smallCaps/>
              </w:rPr>
              <w:t>Docket:</w:t>
            </w:r>
            <w:r w:rsidRPr="00620C9F">
              <w:t xml:space="preserve"> 33900</w:t>
            </w:r>
          </w:p>
        </w:tc>
      </w:tr>
    </w:tbl>
    <w:p w:rsidR="002D5C97" w:rsidRPr="00620C9F" w:rsidRDefault="002D5C97" w:rsidP="002D5C97">
      <w:pPr>
        <w:rPr>
          <w:rFonts w:eastAsiaTheme="minorHAnsi" w:cstheme="minorBidi"/>
          <w:b/>
          <w:smallCaps/>
          <w:szCs w:val="24"/>
          <w:lang w:eastAsia="en-US"/>
        </w:rPr>
      </w:pPr>
      <w:r w:rsidRPr="00620C9F">
        <w:rPr>
          <w:rFonts w:eastAsiaTheme="minorHAnsi" w:cstheme="minorBidi"/>
          <w:b/>
          <w:smallCaps/>
          <w:szCs w:val="24"/>
          <w:lang w:eastAsia="en-US"/>
        </w:rPr>
        <w:t>Between:</w:t>
      </w:r>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Richard C. Breeden, Richard C. Breeden &amp; Co., Gordon A. Paris, James R. Thompson, Richard D. Burt, Graham W. Savage and Raymond G.H. Seitz</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Appellants</w:t>
      </w:r>
    </w:p>
    <w:p w:rsidR="002D5C97" w:rsidRPr="00620C9F" w:rsidRDefault="002D5C97" w:rsidP="002D5C97">
      <w:pPr>
        <w:jc w:val="center"/>
        <w:rPr>
          <w:rFonts w:eastAsiaTheme="minorHAnsi" w:cstheme="minorBidi"/>
          <w:szCs w:val="24"/>
          <w:lang w:eastAsia="en-US"/>
        </w:rPr>
      </w:pPr>
      <w:proofErr w:type="gramStart"/>
      <w:r w:rsidRPr="00620C9F">
        <w:rPr>
          <w:rFonts w:eastAsiaTheme="minorHAnsi" w:cstheme="minorBidi"/>
          <w:szCs w:val="24"/>
          <w:lang w:eastAsia="en-US"/>
        </w:rPr>
        <w:t>and</w:t>
      </w:r>
      <w:proofErr w:type="gramEnd"/>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Conrad Black</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Respondent</w:t>
      </w:r>
    </w:p>
    <w:p w:rsidR="002D5C97" w:rsidRPr="00620C9F" w:rsidRDefault="002D5C97" w:rsidP="002D5C97">
      <w:pPr>
        <w:rPr>
          <w:rFonts w:eastAsiaTheme="minorHAnsi" w:cstheme="minorBidi"/>
          <w:b/>
          <w:smallCaps/>
          <w:szCs w:val="24"/>
          <w:lang w:eastAsia="en-US"/>
        </w:rPr>
      </w:pPr>
      <w:r w:rsidRPr="00620C9F">
        <w:rPr>
          <w:rFonts w:eastAsiaTheme="minorHAnsi" w:cstheme="minorBidi"/>
          <w:b/>
          <w:smallCaps/>
          <w:szCs w:val="24"/>
          <w:lang w:eastAsia="en-US"/>
        </w:rPr>
        <w:t>And Between:</w:t>
      </w:r>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Richard C. Breeden, Richard C. Breeden &amp; Co., Gordon A. Paris, James R. Thompson, Richard D. Burt, Graham W. Savage and Raymond G.H. Seitz</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Appellants</w:t>
      </w:r>
    </w:p>
    <w:p w:rsidR="002D5C97" w:rsidRPr="00620C9F" w:rsidRDefault="002D5C97" w:rsidP="002D5C97">
      <w:pPr>
        <w:jc w:val="center"/>
        <w:rPr>
          <w:rFonts w:eastAsiaTheme="minorHAnsi" w:cstheme="minorBidi"/>
          <w:szCs w:val="24"/>
          <w:lang w:eastAsia="en-US"/>
        </w:rPr>
      </w:pPr>
      <w:proofErr w:type="gramStart"/>
      <w:r w:rsidRPr="00620C9F">
        <w:rPr>
          <w:rFonts w:eastAsiaTheme="minorHAnsi" w:cstheme="minorBidi"/>
          <w:szCs w:val="24"/>
          <w:lang w:eastAsia="en-US"/>
        </w:rPr>
        <w:t>and</w:t>
      </w:r>
      <w:proofErr w:type="gramEnd"/>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Conrad Black</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Respondent</w:t>
      </w:r>
    </w:p>
    <w:p w:rsidR="002D5C97" w:rsidRPr="00620C9F" w:rsidRDefault="002D5C97" w:rsidP="002D5C97">
      <w:pPr>
        <w:rPr>
          <w:rFonts w:eastAsiaTheme="minorHAnsi" w:cstheme="minorBidi"/>
          <w:b/>
          <w:smallCaps/>
          <w:szCs w:val="24"/>
          <w:lang w:eastAsia="en-US"/>
        </w:rPr>
      </w:pPr>
      <w:r w:rsidRPr="00620C9F">
        <w:rPr>
          <w:rFonts w:eastAsiaTheme="minorHAnsi" w:cstheme="minorBidi"/>
          <w:b/>
          <w:smallCaps/>
          <w:szCs w:val="24"/>
          <w:lang w:eastAsia="en-US"/>
        </w:rPr>
        <w:t>And Between:</w:t>
      </w:r>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Richard C. Breeden, Richard C. Breeden &amp; Co., Gordon A. Paris, James R. Thompson, Richard D. Burt, Graham W. Savage and Raymond G.H. Seitz</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Appellants</w:t>
      </w:r>
    </w:p>
    <w:p w:rsidR="002D5C97" w:rsidRPr="00620C9F" w:rsidRDefault="002D5C97" w:rsidP="002D5C97">
      <w:pPr>
        <w:jc w:val="center"/>
        <w:rPr>
          <w:rFonts w:eastAsiaTheme="minorHAnsi" w:cstheme="minorBidi"/>
          <w:szCs w:val="24"/>
          <w:lang w:eastAsia="en-US"/>
        </w:rPr>
      </w:pPr>
      <w:proofErr w:type="gramStart"/>
      <w:r w:rsidRPr="00620C9F">
        <w:rPr>
          <w:rFonts w:eastAsiaTheme="minorHAnsi" w:cstheme="minorBidi"/>
          <w:szCs w:val="24"/>
          <w:lang w:eastAsia="en-US"/>
        </w:rPr>
        <w:t>and</w:t>
      </w:r>
      <w:proofErr w:type="gramEnd"/>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Conrad Black</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Respondent</w:t>
      </w:r>
    </w:p>
    <w:p w:rsidR="002D5C97" w:rsidRPr="00620C9F" w:rsidRDefault="002D5C97" w:rsidP="002D5C97">
      <w:pPr>
        <w:rPr>
          <w:rFonts w:eastAsiaTheme="minorHAnsi" w:cstheme="minorBidi"/>
          <w:b/>
          <w:smallCaps/>
          <w:szCs w:val="24"/>
          <w:lang w:eastAsia="en-US"/>
        </w:rPr>
      </w:pPr>
      <w:r w:rsidRPr="00620C9F">
        <w:rPr>
          <w:rFonts w:eastAsiaTheme="minorHAnsi" w:cstheme="minorBidi"/>
          <w:b/>
          <w:smallCaps/>
          <w:szCs w:val="24"/>
          <w:lang w:eastAsia="en-US"/>
        </w:rPr>
        <w:t>And Between:</w:t>
      </w:r>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Richard C. Breeden, Richard C. Breeden &amp; Co., Gordon A. Paris, James R. Thompson, Richard D. Burt, Graham W. Savage and Raymond G.H. Seitz</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Appellants</w:t>
      </w:r>
    </w:p>
    <w:p w:rsidR="002D5C97" w:rsidRPr="00620C9F" w:rsidRDefault="002D5C97" w:rsidP="002D5C97">
      <w:pPr>
        <w:jc w:val="center"/>
        <w:rPr>
          <w:rFonts w:eastAsiaTheme="minorHAnsi" w:cstheme="minorBidi"/>
          <w:szCs w:val="24"/>
          <w:lang w:eastAsia="en-US"/>
        </w:rPr>
      </w:pPr>
      <w:proofErr w:type="gramStart"/>
      <w:r w:rsidRPr="00620C9F">
        <w:rPr>
          <w:rFonts w:eastAsiaTheme="minorHAnsi" w:cstheme="minorBidi"/>
          <w:szCs w:val="24"/>
          <w:lang w:eastAsia="en-US"/>
        </w:rPr>
        <w:t>and</w:t>
      </w:r>
      <w:proofErr w:type="gramEnd"/>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Conrad Black</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Respondent</w:t>
      </w:r>
    </w:p>
    <w:p w:rsidR="002D5C97" w:rsidRPr="00620C9F" w:rsidRDefault="002D5C97" w:rsidP="002D5C97">
      <w:pPr>
        <w:rPr>
          <w:rFonts w:eastAsiaTheme="minorHAnsi" w:cstheme="minorBidi"/>
          <w:b/>
          <w:smallCaps/>
          <w:szCs w:val="24"/>
          <w:lang w:eastAsia="en-US"/>
        </w:rPr>
      </w:pPr>
      <w:r w:rsidRPr="00620C9F">
        <w:rPr>
          <w:rFonts w:eastAsiaTheme="minorHAnsi" w:cstheme="minorBidi"/>
          <w:b/>
          <w:smallCaps/>
          <w:szCs w:val="24"/>
          <w:lang w:eastAsia="en-US"/>
        </w:rPr>
        <w:t>And Between:</w:t>
      </w:r>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Richard C. Breeden, Richard C. Breeden &amp; Co., Gordon A. Paris, Graham W. Savage, Raymond G.H. Seitz and Paul B. Healy</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Appellants</w:t>
      </w:r>
    </w:p>
    <w:p w:rsidR="002D5C97" w:rsidRPr="00620C9F" w:rsidRDefault="002D5C97" w:rsidP="002D5C97">
      <w:pPr>
        <w:jc w:val="center"/>
        <w:rPr>
          <w:rFonts w:eastAsiaTheme="minorHAnsi" w:cstheme="minorBidi"/>
          <w:szCs w:val="24"/>
          <w:lang w:eastAsia="en-US"/>
        </w:rPr>
      </w:pPr>
      <w:proofErr w:type="gramStart"/>
      <w:r w:rsidRPr="00620C9F">
        <w:rPr>
          <w:rFonts w:eastAsiaTheme="minorHAnsi" w:cstheme="minorBidi"/>
          <w:szCs w:val="24"/>
          <w:lang w:eastAsia="en-US"/>
        </w:rPr>
        <w:t>and</w:t>
      </w:r>
      <w:proofErr w:type="gramEnd"/>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Conrad Black</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Respondent</w:t>
      </w:r>
    </w:p>
    <w:p w:rsidR="002D5C97" w:rsidRPr="00620C9F" w:rsidRDefault="002D5C97" w:rsidP="002D5C97">
      <w:pPr>
        <w:rPr>
          <w:rFonts w:eastAsiaTheme="minorHAnsi" w:cstheme="minorBidi"/>
          <w:b/>
          <w:smallCaps/>
          <w:szCs w:val="24"/>
          <w:lang w:eastAsia="en-US"/>
        </w:rPr>
      </w:pPr>
      <w:r w:rsidRPr="00620C9F">
        <w:rPr>
          <w:rFonts w:eastAsiaTheme="minorHAnsi" w:cstheme="minorBidi"/>
          <w:b/>
          <w:smallCaps/>
          <w:szCs w:val="24"/>
          <w:lang w:eastAsia="en-US"/>
        </w:rPr>
        <w:t>And Between:</w:t>
      </w:r>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lastRenderedPageBreak/>
        <w:t xml:space="preserve">Richard C. Breeden, Richard C. Breeden &amp; Co., Gordon A. Paris, James R. Thompson, Richard D. Burt, Graham W. Savage, Raymond G.H. Seitz, </w:t>
      </w:r>
      <w:proofErr w:type="spellStart"/>
      <w:r w:rsidRPr="00620C9F">
        <w:rPr>
          <w:rFonts w:eastAsiaTheme="minorHAnsi" w:cstheme="minorBidi"/>
          <w:b/>
          <w:szCs w:val="24"/>
          <w:lang w:eastAsia="en-US"/>
        </w:rPr>
        <w:t>Shmuel</w:t>
      </w:r>
      <w:proofErr w:type="spellEnd"/>
      <w:r w:rsidRPr="00620C9F">
        <w:rPr>
          <w:rFonts w:eastAsiaTheme="minorHAnsi" w:cstheme="minorBidi"/>
          <w:b/>
          <w:szCs w:val="24"/>
          <w:lang w:eastAsia="en-US"/>
        </w:rPr>
        <w:t xml:space="preserve"> </w:t>
      </w:r>
      <w:proofErr w:type="spellStart"/>
      <w:r w:rsidRPr="00620C9F">
        <w:rPr>
          <w:rFonts w:eastAsiaTheme="minorHAnsi" w:cstheme="minorBidi"/>
          <w:b/>
          <w:szCs w:val="24"/>
          <w:lang w:eastAsia="en-US"/>
        </w:rPr>
        <w:t>Meitar</w:t>
      </w:r>
      <w:proofErr w:type="spellEnd"/>
      <w:r w:rsidRPr="00620C9F">
        <w:rPr>
          <w:rFonts w:eastAsiaTheme="minorHAnsi" w:cstheme="minorBidi"/>
          <w:b/>
          <w:szCs w:val="24"/>
          <w:lang w:eastAsia="en-US"/>
        </w:rPr>
        <w:t xml:space="preserve"> and Henry A. Kissinger</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Appellants</w:t>
      </w:r>
    </w:p>
    <w:p w:rsidR="002D5C97" w:rsidRPr="00620C9F" w:rsidRDefault="002D5C97" w:rsidP="002D5C97">
      <w:pPr>
        <w:jc w:val="center"/>
        <w:rPr>
          <w:rFonts w:eastAsiaTheme="minorHAnsi" w:cstheme="minorBidi"/>
          <w:szCs w:val="24"/>
          <w:lang w:eastAsia="en-US"/>
        </w:rPr>
      </w:pPr>
      <w:proofErr w:type="gramStart"/>
      <w:r w:rsidRPr="00620C9F">
        <w:rPr>
          <w:rFonts w:eastAsiaTheme="minorHAnsi" w:cstheme="minorBidi"/>
          <w:szCs w:val="24"/>
          <w:lang w:eastAsia="en-US"/>
        </w:rPr>
        <w:t>and</w:t>
      </w:r>
      <w:proofErr w:type="gramEnd"/>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Conrad Black</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Respondent</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 xml:space="preserve">- </w:t>
      </w:r>
      <w:proofErr w:type="gramStart"/>
      <w:r w:rsidRPr="00620C9F">
        <w:rPr>
          <w:rFonts w:eastAsiaTheme="minorHAnsi" w:cstheme="minorBidi"/>
          <w:szCs w:val="24"/>
          <w:lang w:eastAsia="en-US"/>
        </w:rPr>
        <w:t>and</w:t>
      </w:r>
      <w:proofErr w:type="gramEnd"/>
      <w:r w:rsidRPr="00620C9F">
        <w:rPr>
          <w:rFonts w:eastAsiaTheme="minorHAnsi" w:cstheme="minorBidi"/>
          <w:szCs w:val="24"/>
          <w:lang w:eastAsia="en-US"/>
        </w:rPr>
        <w:t xml:space="preserve"> -</w:t>
      </w:r>
    </w:p>
    <w:p w:rsidR="002D5C97" w:rsidRPr="00620C9F" w:rsidRDefault="002D5C97" w:rsidP="002D5C97">
      <w:pPr>
        <w:jc w:val="center"/>
        <w:rPr>
          <w:rFonts w:eastAsiaTheme="minorHAnsi" w:cstheme="minorBidi"/>
          <w:b/>
          <w:szCs w:val="24"/>
          <w:lang w:eastAsia="en-US"/>
        </w:rPr>
      </w:pPr>
      <w:r w:rsidRPr="00620C9F">
        <w:rPr>
          <w:rFonts w:eastAsiaTheme="minorHAnsi" w:cstheme="minorBidi"/>
          <w:b/>
          <w:szCs w:val="24"/>
          <w:lang w:eastAsia="en-US"/>
        </w:rPr>
        <w:t>British Columbia Civil Liberties Association</w:t>
      </w:r>
    </w:p>
    <w:p w:rsidR="002D5C97" w:rsidRPr="00620C9F" w:rsidRDefault="002D5C97" w:rsidP="002D5C97">
      <w:pPr>
        <w:jc w:val="center"/>
        <w:rPr>
          <w:rFonts w:eastAsiaTheme="minorHAnsi" w:cstheme="minorBidi"/>
          <w:szCs w:val="24"/>
          <w:lang w:eastAsia="en-US"/>
        </w:rPr>
      </w:pPr>
      <w:r w:rsidRPr="00620C9F">
        <w:rPr>
          <w:rFonts w:eastAsiaTheme="minorHAnsi" w:cstheme="minorBidi"/>
          <w:szCs w:val="24"/>
          <w:lang w:eastAsia="en-US"/>
        </w:rPr>
        <w:t>Intervener</w:t>
      </w:r>
    </w:p>
    <w:p w:rsidR="002D5C97" w:rsidRPr="00620C9F" w:rsidRDefault="002D5C97" w:rsidP="002D5C97">
      <w:pPr>
        <w:rPr>
          <w:rFonts w:eastAsiaTheme="minorHAnsi" w:cstheme="minorBidi"/>
          <w:szCs w:val="24"/>
          <w:lang w:eastAsia="en-US"/>
        </w:rPr>
      </w:pPr>
    </w:p>
    <w:p w:rsidR="002D5C97" w:rsidRPr="00620C9F" w:rsidRDefault="002D5C97" w:rsidP="002D5C97">
      <w:pPr>
        <w:rPr>
          <w:rFonts w:eastAsiaTheme="minorHAnsi" w:cstheme="minorBidi"/>
          <w:szCs w:val="24"/>
          <w:lang w:eastAsia="en-US"/>
        </w:rPr>
      </w:pPr>
    </w:p>
    <w:p w:rsidR="002D5C97" w:rsidRPr="00620C9F" w:rsidRDefault="002D5C97" w:rsidP="002D5C97">
      <w:pPr>
        <w:rPr>
          <w:rFonts w:eastAsiaTheme="minorHAnsi" w:cstheme="minorBidi"/>
          <w:szCs w:val="24"/>
          <w:lang w:eastAsia="en-US"/>
        </w:rPr>
      </w:pPr>
      <w:r w:rsidRPr="00620C9F">
        <w:rPr>
          <w:rFonts w:eastAsiaTheme="minorHAnsi" w:cstheme="minorBidi"/>
          <w:b/>
          <w:smallCaps/>
          <w:szCs w:val="24"/>
          <w:lang w:eastAsia="en-US"/>
        </w:rPr>
        <w:t>Coram:</w:t>
      </w:r>
      <w:r w:rsidRPr="00620C9F">
        <w:rPr>
          <w:rFonts w:eastAsiaTheme="minorHAnsi" w:cstheme="minorBidi"/>
          <w:szCs w:val="24"/>
          <w:lang w:eastAsia="en-US"/>
        </w:rPr>
        <w:t xml:space="preserve"> </w:t>
      </w:r>
      <w:proofErr w:type="spellStart"/>
      <w:r w:rsidRPr="00620C9F">
        <w:rPr>
          <w:rFonts w:eastAsiaTheme="minorHAnsi" w:cstheme="minorBidi"/>
          <w:szCs w:val="24"/>
          <w:lang w:eastAsia="en-US"/>
        </w:rPr>
        <w:t>McLachlin</w:t>
      </w:r>
      <w:proofErr w:type="spellEnd"/>
      <w:r w:rsidRPr="00620C9F">
        <w:rPr>
          <w:rFonts w:eastAsiaTheme="minorHAnsi" w:cstheme="minorBidi"/>
          <w:szCs w:val="24"/>
          <w:lang w:eastAsia="en-US"/>
        </w:rPr>
        <w:t xml:space="preserve"> C.J. and </w:t>
      </w:r>
      <w:proofErr w:type="spellStart"/>
      <w:r w:rsidRPr="00620C9F">
        <w:rPr>
          <w:rFonts w:eastAsiaTheme="minorHAnsi" w:cstheme="minorBidi"/>
          <w:szCs w:val="24"/>
          <w:lang w:eastAsia="en-US"/>
        </w:rPr>
        <w:t>Binnie</w:t>
      </w:r>
      <w:proofErr w:type="spellEnd"/>
      <w:r w:rsidRPr="00620C9F">
        <w:rPr>
          <w:rFonts w:eastAsiaTheme="minorHAnsi" w:cstheme="minorBidi"/>
          <w:szCs w:val="24"/>
          <w:lang w:eastAsia="en-US"/>
        </w:rPr>
        <w:t xml:space="preserve">,* </w:t>
      </w:r>
      <w:proofErr w:type="spellStart"/>
      <w:r w:rsidRPr="00620C9F">
        <w:rPr>
          <w:rFonts w:eastAsiaTheme="minorHAnsi" w:cstheme="minorBidi"/>
          <w:szCs w:val="24"/>
          <w:lang w:eastAsia="en-US"/>
        </w:rPr>
        <w:t>LeBel</w:t>
      </w:r>
      <w:proofErr w:type="spellEnd"/>
      <w:r w:rsidRPr="00620C9F">
        <w:rPr>
          <w:rFonts w:eastAsiaTheme="minorHAnsi" w:cstheme="minorBidi"/>
          <w:szCs w:val="24"/>
          <w:lang w:eastAsia="en-US"/>
        </w:rPr>
        <w:t xml:space="preserve">, </w:t>
      </w:r>
      <w:proofErr w:type="spellStart"/>
      <w:r w:rsidRPr="00620C9F">
        <w:rPr>
          <w:rFonts w:eastAsiaTheme="minorHAnsi" w:cstheme="minorBidi"/>
          <w:szCs w:val="24"/>
          <w:lang w:eastAsia="en-US"/>
        </w:rPr>
        <w:t>Deschamps</w:t>
      </w:r>
      <w:proofErr w:type="spellEnd"/>
      <w:r w:rsidRPr="00620C9F">
        <w:rPr>
          <w:rFonts w:eastAsiaTheme="minorHAnsi" w:cstheme="minorBidi"/>
          <w:szCs w:val="24"/>
          <w:lang w:eastAsia="en-US"/>
        </w:rPr>
        <w:t xml:space="preserve">, Fish, </w:t>
      </w:r>
      <w:proofErr w:type="spellStart"/>
      <w:r w:rsidRPr="00620C9F">
        <w:rPr>
          <w:rFonts w:eastAsiaTheme="minorHAnsi" w:cstheme="minorBidi"/>
          <w:szCs w:val="24"/>
          <w:lang w:eastAsia="en-US"/>
        </w:rPr>
        <w:t>Abella</w:t>
      </w:r>
      <w:proofErr w:type="spellEnd"/>
      <w:r w:rsidRPr="00620C9F">
        <w:rPr>
          <w:rFonts w:eastAsiaTheme="minorHAnsi" w:cstheme="minorBidi"/>
          <w:szCs w:val="24"/>
          <w:lang w:eastAsia="en-US"/>
        </w:rPr>
        <w:t xml:space="preserve">, </w:t>
      </w:r>
      <w:proofErr w:type="spellStart"/>
      <w:r w:rsidRPr="00620C9F">
        <w:rPr>
          <w:rFonts w:eastAsiaTheme="minorHAnsi" w:cstheme="minorBidi"/>
          <w:szCs w:val="24"/>
          <w:lang w:eastAsia="en-US"/>
        </w:rPr>
        <w:t>Charron</w:t>
      </w:r>
      <w:proofErr w:type="spellEnd"/>
      <w:r w:rsidRPr="00620C9F">
        <w:rPr>
          <w:rFonts w:eastAsiaTheme="minorHAnsi" w:cstheme="minorBidi"/>
          <w:szCs w:val="24"/>
          <w:lang w:eastAsia="en-US"/>
        </w:rPr>
        <w:t>,* Rothstein and Cromwell JJ.</w:t>
      </w:r>
    </w:p>
    <w:p w:rsidR="002D5C97" w:rsidRPr="00620C9F" w:rsidRDefault="002D5C97" w:rsidP="002D5C97">
      <w:pPr>
        <w:rPr>
          <w:rFonts w:eastAsiaTheme="minorHAnsi" w:cstheme="minorBidi"/>
          <w:szCs w:val="24"/>
          <w:lang w:eastAsia="en-US"/>
        </w:rPr>
      </w:pPr>
    </w:p>
    <w:p w:rsidR="002D5C97" w:rsidRPr="00620C9F" w:rsidRDefault="002D5C97" w:rsidP="002D5C97">
      <w:pPr>
        <w:rPr>
          <w:rFonts w:eastAsiaTheme="minorHAnsi" w:cstheme="minorBidi"/>
          <w:szCs w:val="24"/>
          <w:lang w:val="en-US" w:eastAsia="en-US"/>
        </w:rPr>
      </w:pPr>
      <w:r w:rsidRPr="00620C9F">
        <w:rPr>
          <w:rFonts w:eastAsiaTheme="minorHAnsi" w:cstheme="minorBidi"/>
          <w:szCs w:val="24"/>
          <w:lang w:val="en-US" w:eastAsia="en-US"/>
        </w:rPr>
        <w:t xml:space="preserve">(* </w:t>
      </w:r>
      <w:proofErr w:type="spellStart"/>
      <w:r w:rsidRPr="00620C9F">
        <w:rPr>
          <w:rFonts w:eastAsiaTheme="minorHAnsi" w:cstheme="minorBidi"/>
          <w:szCs w:val="24"/>
          <w:lang w:val="en-US" w:eastAsia="en-US"/>
        </w:rPr>
        <w:t>Binnie</w:t>
      </w:r>
      <w:proofErr w:type="spellEnd"/>
      <w:r w:rsidRPr="00620C9F">
        <w:rPr>
          <w:rFonts w:eastAsiaTheme="minorHAnsi" w:cstheme="minorBidi"/>
          <w:szCs w:val="24"/>
          <w:lang w:val="en-US" w:eastAsia="en-US"/>
        </w:rPr>
        <w:t xml:space="preserve"> and </w:t>
      </w:r>
      <w:proofErr w:type="spellStart"/>
      <w:r w:rsidRPr="00620C9F">
        <w:rPr>
          <w:rFonts w:eastAsiaTheme="minorHAnsi" w:cstheme="minorBidi"/>
          <w:szCs w:val="24"/>
          <w:lang w:val="en-US" w:eastAsia="en-US"/>
        </w:rPr>
        <w:t>Charron</w:t>
      </w:r>
      <w:proofErr w:type="spellEnd"/>
      <w:r w:rsidRPr="00620C9F">
        <w:rPr>
          <w:rFonts w:eastAsiaTheme="minorHAnsi" w:cstheme="minorBidi"/>
          <w:szCs w:val="24"/>
          <w:lang w:val="en-US" w:eastAsia="en-US"/>
        </w:rPr>
        <w:t xml:space="preserve"> JJ. took no part in the judgment.)</w:t>
      </w:r>
    </w:p>
    <w:p w:rsidR="002D5C97" w:rsidRPr="00620C9F" w:rsidRDefault="002D5C97" w:rsidP="002D5C97">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D5C97" w:rsidRPr="00620C9F" w:rsidTr="00BD5F54">
        <w:trPr>
          <w:cantSplit/>
        </w:trPr>
        <w:tc>
          <w:tcPr>
            <w:tcW w:w="3618" w:type="dxa"/>
          </w:tcPr>
          <w:p w:rsidR="002D5C97" w:rsidRPr="00620C9F" w:rsidRDefault="002D5C97" w:rsidP="00BD5F54">
            <w:pPr>
              <w:rPr>
                <w:b/>
                <w:smallCaps/>
              </w:rPr>
            </w:pPr>
            <w:r w:rsidRPr="00620C9F">
              <w:rPr>
                <w:b/>
                <w:smallCaps/>
              </w:rPr>
              <w:t>Reasons for Judgment:</w:t>
            </w:r>
          </w:p>
          <w:p w:rsidR="002D5C97" w:rsidRPr="00620C9F" w:rsidRDefault="002D5C97" w:rsidP="00BD5F54">
            <w:r w:rsidRPr="00620C9F">
              <w:t>(</w:t>
            </w:r>
            <w:proofErr w:type="spellStart"/>
            <w:r w:rsidRPr="00620C9F">
              <w:t>paras</w:t>
            </w:r>
            <w:proofErr w:type="spellEnd"/>
            <w:r w:rsidRPr="00620C9F">
              <w:t>. 1 to 38)</w:t>
            </w:r>
          </w:p>
        </w:tc>
        <w:tc>
          <w:tcPr>
            <w:tcW w:w="5958" w:type="dxa"/>
          </w:tcPr>
          <w:p w:rsidR="002D5C97" w:rsidRPr="00620C9F" w:rsidRDefault="002D5C97" w:rsidP="00BD5F54">
            <w:proofErr w:type="spellStart"/>
            <w:r w:rsidRPr="00620C9F">
              <w:t>LeBel</w:t>
            </w:r>
            <w:proofErr w:type="spellEnd"/>
            <w:r w:rsidRPr="00620C9F">
              <w:t xml:space="preserve"> J. (</w:t>
            </w:r>
            <w:proofErr w:type="spellStart"/>
            <w:r w:rsidRPr="00620C9F">
              <w:t>McLachlin</w:t>
            </w:r>
            <w:proofErr w:type="spellEnd"/>
            <w:r w:rsidRPr="00620C9F">
              <w:t xml:space="preserve"> C.J. and </w:t>
            </w:r>
            <w:proofErr w:type="spellStart"/>
            <w:r w:rsidRPr="00620C9F">
              <w:t>Deschamps</w:t>
            </w:r>
            <w:proofErr w:type="spellEnd"/>
            <w:r w:rsidRPr="00620C9F">
              <w:t xml:space="preserve">, Fish, </w:t>
            </w:r>
            <w:proofErr w:type="spellStart"/>
            <w:r w:rsidRPr="00620C9F">
              <w:t>Abella</w:t>
            </w:r>
            <w:proofErr w:type="spellEnd"/>
            <w:r w:rsidRPr="00620C9F">
              <w:t>, Rothstein and Cromwell JJ. concurring)</w:t>
            </w:r>
          </w:p>
        </w:tc>
      </w:tr>
    </w:tbl>
    <w:p w:rsidR="002D5C97" w:rsidRPr="00620C9F" w:rsidRDefault="002D5C97" w:rsidP="002D5C97">
      <w:pPr>
        <w:rPr>
          <w:rFonts w:eastAsiaTheme="minorHAnsi" w:cstheme="minorBidi"/>
          <w:szCs w:val="24"/>
          <w:lang w:eastAsia="en-US"/>
        </w:rPr>
      </w:pPr>
    </w:p>
    <w:p w:rsidR="002D5C97" w:rsidRPr="00620C9F" w:rsidRDefault="002D5C97" w:rsidP="002D5C97">
      <w:pPr>
        <w:rPr>
          <w:rFonts w:eastAsiaTheme="minorHAnsi" w:cstheme="minorBidi"/>
          <w:szCs w:val="24"/>
          <w:lang w:eastAsia="en-US"/>
        </w:rPr>
      </w:pPr>
    </w:p>
    <w:p w:rsidR="002D5C97" w:rsidRPr="00620C9F" w:rsidRDefault="002D5C97" w:rsidP="002D5C97">
      <w:pPr>
        <w:rPr>
          <w:rFonts w:eastAsiaTheme="minorHAnsi" w:cstheme="minorBidi"/>
          <w:szCs w:val="24"/>
          <w:lang w:eastAsia="en-US"/>
        </w:rPr>
      </w:pPr>
      <w:r w:rsidRPr="00D377E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2D5C97" w:rsidRPr="00620C9F" w:rsidRDefault="002D5C97" w:rsidP="002D5C97">
      <w:pPr>
        <w:rPr>
          <w:rFonts w:eastAsiaTheme="minorHAnsi" w:cstheme="minorBidi"/>
          <w:szCs w:val="24"/>
          <w:lang w:eastAsia="en-US"/>
        </w:rPr>
      </w:pPr>
    </w:p>
    <w:p w:rsidR="002D5C97" w:rsidRPr="00620C9F" w:rsidRDefault="002D5C97" w:rsidP="002D5C97">
      <w:pPr>
        <w:rPr>
          <w:smallCaps/>
        </w:rPr>
      </w:pPr>
      <w:r w:rsidRPr="00620C9F">
        <w:rPr>
          <w:smallCaps/>
        </w:rPr>
        <w:br w:type="page"/>
      </w:r>
    </w:p>
    <w:p w:rsidR="00AA7BAD" w:rsidRPr="00AA7BAD" w:rsidRDefault="00AA7BAD" w:rsidP="00AA7BAD">
      <w:pPr>
        <w:pStyle w:val="SCCLsocParty"/>
        <w:spacing w:line="480" w:lineRule="auto"/>
        <w:rPr>
          <w:b w:val="0"/>
        </w:rPr>
      </w:pPr>
      <w:r w:rsidRPr="00AA7BAD">
        <w:rPr>
          <w:b w:val="0"/>
        </w:rPr>
        <w:lastRenderedPageBreak/>
        <w:t xml:space="preserve">Breeden </w:t>
      </w:r>
      <w:r w:rsidRPr="00AA7BAD">
        <w:rPr>
          <w:b w:val="0"/>
          <w:i/>
        </w:rPr>
        <w:t>v.</w:t>
      </w:r>
      <w:r w:rsidRPr="00AA7BAD">
        <w:rPr>
          <w:b w:val="0"/>
        </w:rPr>
        <w:t xml:space="preserve"> Black</w:t>
      </w:r>
      <w:r>
        <w:rPr>
          <w:b w:val="0"/>
        </w:rPr>
        <w:t xml:space="preserve">, 2012 SCC 19, [2012] 1 S.C.R. 666 </w:t>
      </w:r>
    </w:p>
    <w:p w:rsidR="00AA7BAD" w:rsidRPr="00AA7BAD" w:rsidRDefault="00AA7BAD" w:rsidP="00AA7BAD">
      <w:pPr>
        <w:spacing w:line="480" w:lineRule="auto"/>
      </w:pPr>
    </w:p>
    <w:p w:rsidR="00261FDF" w:rsidRPr="00217CB7" w:rsidRDefault="0028165E" w:rsidP="001F7F50">
      <w:pPr>
        <w:pStyle w:val="SCCLsocParty"/>
      </w:pPr>
      <w:r w:rsidRPr="00217CB7">
        <w:t>Richard</w:t>
      </w:r>
      <w:r w:rsidR="0089026E" w:rsidRPr="00217CB7">
        <w:t xml:space="preserve"> </w:t>
      </w:r>
      <w:r w:rsidRPr="00217CB7">
        <w:t>C. Breeden, Richard</w:t>
      </w:r>
      <w:r w:rsidR="0089026E" w:rsidRPr="00217CB7">
        <w:t xml:space="preserve"> </w:t>
      </w:r>
      <w:r w:rsidR="00EA7226" w:rsidRPr="00217CB7">
        <w:t xml:space="preserve">C. Breeden &amp; Co., </w:t>
      </w:r>
    </w:p>
    <w:p w:rsidR="005C3326" w:rsidRPr="00217CB7" w:rsidRDefault="0028165E" w:rsidP="001F7F50">
      <w:pPr>
        <w:pStyle w:val="SCCLsocParty"/>
      </w:pPr>
      <w:r w:rsidRPr="00217CB7">
        <w:t>Gordon</w:t>
      </w:r>
      <w:r w:rsidR="0089026E" w:rsidRPr="00217CB7">
        <w:t xml:space="preserve"> </w:t>
      </w:r>
      <w:r w:rsidRPr="00217CB7">
        <w:t>A. Paris, James</w:t>
      </w:r>
      <w:r w:rsidR="0089026E" w:rsidRPr="00217CB7">
        <w:t xml:space="preserve"> </w:t>
      </w:r>
      <w:r w:rsidRPr="00217CB7">
        <w:t>R. Thompson, Richard</w:t>
      </w:r>
      <w:r w:rsidR="0089026E" w:rsidRPr="00217CB7">
        <w:t xml:space="preserve"> </w:t>
      </w:r>
      <w:r w:rsidR="00EA7226" w:rsidRPr="00217CB7">
        <w:t xml:space="preserve">D. Burt, </w:t>
      </w:r>
    </w:p>
    <w:p w:rsidR="001F7F50" w:rsidRPr="00217CB7" w:rsidRDefault="0028165E" w:rsidP="001F7F50">
      <w:pPr>
        <w:pStyle w:val="SCCLsocParty"/>
        <w:tabs>
          <w:tab w:val="right" w:pos="8280"/>
        </w:tabs>
        <w:spacing w:after="720"/>
        <w:rPr>
          <w:b w:val="0"/>
          <w:i/>
        </w:rPr>
      </w:pPr>
      <w:r w:rsidRPr="00217CB7">
        <w:t>Graham</w:t>
      </w:r>
      <w:r w:rsidR="0089026E" w:rsidRPr="00217CB7">
        <w:t xml:space="preserve"> </w:t>
      </w:r>
      <w:r w:rsidR="00EA7226" w:rsidRPr="00217CB7">
        <w:t>W. Savage</w:t>
      </w:r>
      <w:r w:rsidR="005C3326" w:rsidRPr="00217CB7">
        <w:t xml:space="preserve"> and</w:t>
      </w:r>
      <w:r w:rsidRPr="00217CB7">
        <w:t xml:space="preserve"> Raymond</w:t>
      </w:r>
      <w:r w:rsidR="0089026E" w:rsidRPr="00217CB7">
        <w:t xml:space="preserve"> </w:t>
      </w:r>
      <w:r w:rsidR="00EA7226" w:rsidRPr="00217CB7">
        <w:t>G.</w:t>
      </w:r>
      <w:r w:rsidR="001845A9" w:rsidRPr="00217CB7">
        <w:t> </w:t>
      </w:r>
      <w:r w:rsidR="00EA7226" w:rsidRPr="00217CB7">
        <w:t>H. Seitz</w:t>
      </w:r>
      <w:r w:rsidR="00286AC9">
        <w:rPr>
          <w:b w:val="0"/>
        </w:rPr>
        <w:tab/>
      </w:r>
      <w:r w:rsidR="0089026E" w:rsidRPr="00217CB7">
        <w:rPr>
          <w:b w:val="0"/>
          <w:i/>
        </w:rPr>
        <w:t>Appellants</w:t>
      </w:r>
    </w:p>
    <w:p w:rsidR="001F7F50" w:rsidRPr="00217CB7" w:rsidRDefault="00EA7226" w:rsidP="001F7F50">
      <w:pPr>
        <w:pStyle w:val="SCCLsocVersus"/>
        <w:spacing w:after="720"/>
      </w:pPr>
      <w:proofErr w:type="gramStart"/>
      <w:r w:rsidRPr="00217CB7">
        <w:t>v</w:t>
      </w:r>
      <w:proofErr w:type="gramEnd"/>
      <w:r w:rsidRPr="00217CB7">
        <w:t>.</w:t>
      </w:r>
      <w:r w:rsidR="0089026E" w:rsidRPr="00217CB7">
        <w:rPr>
          <w:i w:val="0"/>
        </w:rPr>
        <w:t xml:space="preserve"> </w:t>
      </w:r>
    </w:p>
    <w:p w:rsidR="001F7F50" w:rsidRPr="00217CB7" w:rsidRDefault="00EA7226" w:rsidP="001F7F50">
      <w:pPr>
        <w:pStyle w:val="SCCLsocParty"/>
        <w:tabs>
          <w:tab w:val="right" w:pos="8280"/>
        </w:tabs>
        <w:spacing w:after="720"/>
        <w:rPr>
          <w:b w:val="0"/>
          <w:i/>
        </w:rPr>
      </w:pPr>
      <w:r w:rsidRPr="00217CB7">
        <w:t>Conrad Black</w:t>
      </w:r>
      <w:r w:rsidR="00286AC9">
        <w:tab/>
      </w:r>
      <w:r w:rsidR="0089026E" w:rsidRPr="00217CB7">
        <w:rPr>
          <w:b w:val="0"/>
          <w:i/>
        </w:rPr>
        <w:t>Respondent</w:t>
      </w:r>
    </w:p>
    <w:p w:rsidR="0089005D" w:rsidRPr="00217CB7" w:rsidRDefault="0089026E" w:rsidP="00153EF5">
      <w:pPr>
        <w:spacing w:after="720"/>
        <w:jc w:val="both"/>
      </w:pPr>
      <w:r w:rsidRPr="00217CB7">
        <w:t>-</w:t>
      </w:r>
      <w:r w:rsidR="00153EF5" w:rsidRPr="00217CB7">
        <w:t xml:space="preserve"> </w:t>
      </w:r>
      <w:proofErr w:type="gramStart"/>
      <w:r w:rsidR="00EA7226" w:rsidRPr="00217CB7">
        <w:t>and</w:t>
      </w:r>
      <w:proofErr w:type="gramEnd"/>
      <w:r w:rsidR="00153EF5" w:rsidRPr="00217CB7">
        <w:t xml:space="preserve"> </w:t>
      </w:r>
      <w:r w:rsidRPr="00217CB7">
        <w:t>-</w:t>
      </w:r>
    </w:p>
    <w:p w:rsidR="0089005D" w:rsidRPr="00217CB7" w:rsidRDefault="0028165E" w:rsidP="001F7F50">
      <w:pPr>
        <w:pStyle w:val="SCCLsocParty"/>
      </w:pPr>
      <w:r w:rsidRPr="00217CB7">
        <w:t>Richard</w:t>
      </w:r>
      <w:r w:rsidR="0089026E" w:rsidRPr="00217CB7">
        <w:t xml:space="preserve"> </w:t>
      </w:r>
      <w:r w:rsidRPr="00217CB7">
        <w:t>C. Breeden, Richard</w:t>
      </w:r>
      <w:r w:rsidR="0089026E" w:rsidRPr="00217CB7">
        <w:t xml:space="preserve"> </w:t>
      </w:r>
      <w:r w:rsidR="0089005D" w:rsidRPr="00217CB7">
        <w:t xml:space="preserve">C. Breeden &amp; Co., </w:t>
      </w:r>
    </w:p>
    <w:p w:rsidR="0089005D" w:rsidRPr="00217CB7" w:rsidRDefault="0028165E" w:rsidP="001F7F50">
      <w:pPr>
        <w:pStyle w:val="SCCLsocParty"/>
      </w:pPr>
      <w:r w:rsidRPr="00217CB7">
        <w:t>Gordon</w:t>
      </w:r>
      <w:r w:rsidR="0089026E" w:rsidRPr="00217CB7">
        <w:t xml:space="preserve"> </w:t>
      </w:r>
      <w:r w:rsidRPr="00217CB7">
        <w:t>A. Paris, James</w:t>
      </w:r>
      <w:r w:rsidR="0089026E" w:rsidRPr="00217CB7">
        <w:t xml:space="preserve"> </w:t>
      </w:r>
      <w:r w:rsidR="0089005D" w:rsidRPr="00217CB7">
        <w:t>R. Thompson, Richard</w:t>
      </w:r>
      <w:r w:rsidR="0089026E" w:rsidRPr="00217CB7">
        <w:t xml:space="preserve"> </w:t>
      </w:r>
      <w:r w:rsidR="0089005D" w:rsidRPr="00217CB7">
        <w:t xml:space="preserve">D. Burt, </w:t>
      </w:r>
    </w:p>
    <w:p w:rsidR="001F7F50" w:rsidRPr="00217CB7" w:rsidRDefault="0028165E" w:rsidP="001F7F50">
      <w:pPr>
        <w:pStyle w:val="SCCLsocParty"/>
        <w:tabs>
          <w:tab w:val="right" w:pos="8280"/>
        </w:tabs>
        <w:spacing w:after="720"/>
        <w:rPr>
          <w:b w:val="0"/>
          <w:i/>
        </w:rPr>
      </w:pPr>
      <w:r w:rsidRPr="00217CB7">
        <w:t>Graham</w:t>
      </w:r>
      <w:r w:rsidR="0089026E" w:rsidRPr="00217CB7">
        <w:t xml:space="preserve"> </w:t>
      </w:r>
      <w:r w:rsidRPr="00217CB7">
        <w:t>W. Savage and Raymond</w:t>
      </w:r>
      <w:r w:rsidR="0089026E" w:rsidRPr="00217CB7">
        <w:t xml:space="preserve"> </w:t>
      </w:r>
      <w:r w:rsidR="0089005D" w:rsidRPr="00217CB7">
        <w:t>G.</w:t>
      </w:r>
      <w:r w:rsidR="001845A9" w:rsidRPr="00217CB7">
        <w:t> </w:t>
      </w:r>
      <w:r w:rsidR="0089005D" w:rsidRPr="00217CB7">
        <w:t>H. Seitz</w:t>
      </w:r>
      <w:r w:rsidR="00286AC9">
        <w:rPr>
          <w:b w:val="0"/>
        </w:rPr>
        <w:tab/>
      </w:r>
      <w:r w:rsidR="0089026E" w:rsidRPr="00217CB7">
        <w:rPr>
          <w:b w:val="0"/>
          <w:i/>
        </w:rPr>
        <w:t>Appellants</w:t>
      </w:r>
    </w:p>
    <w:p w:rsidR="001F7F50" w:rsidRPr="00217CB7" w:rsidRDefault="0089005D" w:rsidP="001F7F50">
      <w:pPr>
        <w:pStyle w:val="SCCLsocVersus"/>
        <w:spacing w:after="720"/>
      </w:pPr>
      <w:proofErr w:type="gramStart"/>
      <w:r w:rsidRPr="00217CB7">
        <w:t>v</w:t>
      </w:r>
      <w:proofErr w:type="gramEnd"/>
      <w:r w:rsidRPr="00217CB7">
        <w:t>.</w:t>
      </w:r>
      <w:r w:rsidR="0089026E" w:rsidRPr="00217CB7">
        <w:rPr>
          <w:i w:val="0"/>
        </w:rPr>
        <w:t xml:space="preserve"> </w:t>
      </w:r>
    </w:p>
    <w:p w:rsidR="001F7F50" w:rsidRPr="00217CB7" w:rsidRDefault="0089005D" w:rsidP="00153EF5">
      <w:pPr>
        <w:pStyle w:val="SCCLsocVersus"/>
        <w:tabs>
          <w:tab w:val="left" w:pos="7110"/>
        </w:tabs>
        <w:spacing w:after="720"/>
        <w:rPr>
          <w:b/>
          <w:i w:val="0"/>
        </w:rPr>
      </w:pPr>
      <w:r w:rsidRPr="00217CB7">
        <w:rPr>
          <w:b/>
          <w:i w:val="0"/>
        </w:rPr>
        <w:t>Conrad Blac</w:t>
      </w:r>
      <w:r w:rsidR="00153EF5" w:rsidRPr="00217CB7">
        <w:rPr>
          <w:b/>
          <w:i w:val="0"/>
        </w:rPr>
        <w:t>k</w:t>
      </w:r>
      <w:r w:rsidR="00286AC9">
        <w:rPr>
          <w:b/>
          <w:i w:val="0"/>
        </w:rPr>
        <w:tab/>
      </w:r>
      <w:r w:rsidR="0089026E" w:rsidRPr="00217CB7">
        <w:t>Respondent</w:t>
      </w:r>
    </w:p>
    <w:p w:rsidR="0089005D" w:rsidRPr="00217CB7" w:rsidRDefault="0089026E" w:rsidP="00A95C8F">
      <w:pPr>
        <w:spacing w:after="720"/>
        <w:jc w:val="both"/>
      </w:pPr>
      <w:r w:rsidRPr="00217CB7">
        <w:t>-</w:t>
      </w:r>
      <w:r w:rsidR="00A95C8F" w:rsidRPr="00217CB7">
        <w:t xml:space="preserve"> </w:t>
      </w:r>
      <w:proofErr w:type="gramStart"/>
      <w:r w:rsidR="00A95C8F" w:rsidRPr="00217CB7">
        <w:t>and</w:t>
      </w:r>
      <w:proofErr w:type="gramEnd"/>
      <w:r w:rsidR="00A95C8F" w:rsidRPr="00217CB7">
        <w:t xml:space="preserve"> </w:t>
      </w:r>
      <w:r w:rsidRPr="00217CB7">
        <w:t>-</w:t>
      </w:r>
    </w:p>
    <w:p w:rsidR="0089005D" w:rsidRPr="00217CB7" w:rsidRDefault="0028165E" w:rsidP="001F7F50">
      <w:pPr>
        <w:pStyle w:val="SCCLsocParty"/>
      </w:pPr>
      <w:r w:rsidRPr="00217CB7">
        <w:t>Richard</w:t>
      </w:r>
      <w:r w:rsidR="0089026E" w:rsidRPr="00217CB7">
        <w:t xml:space="preserve"> </w:t>
      </w:r>
      <w:r w:rsidRPr="00217CB7">
        <w:t>C. Breeden, Richard</w:t>
      </w:r>
      <w:r w:rsidR="0089026E" w:rsidRPr="00217CB7">
        <w:t xml:space="preserve"> </w:t>
      </w:r>
      <w:r w:rsidR="0089005D" w:rsidRPr="00217CB7">
        <w:t xml:space="preserve">C. Breeden &amp; Co., </w:t>
      </w:r>
    </w:p>
    <w:p w:rsidR="0089005D" w:rsidRPr="00217CB7" w:rsidRDefault="0028165E" w:rsidP="001F7F50">
      <w:pPr>
        <w:pStyle w:val="SCCLsocParty"/>
      </w:pPr>
      <w:r w:rsidRPr="00217CB7">
        <w:t>Gordon</w:t>
      </w:r>
      <w:r w:rsidR="0089026E" w:rsidRPr="00217CB7">
        <w:t xml:space="preserve"> </w:t>
      </w:r>
      <w:r w:rsidRPr="00217CB7">
        <w:t>A. Paris, James</w:t>
      </w:r>
      <w:r w:rsidR="0089026E" w:rsidRPr="00217CB7">
        <w:t xml:space="preserve"> </w:t>
      </w:r>
      <w:r w:rsidRPr="00217CB7">
        <w:t>R. Thompson, Richard</w:t>
      </w:r>
      <w:r w:rsidR="0089026E" w:rsidRPr="00217CB7">
        <w:t xml:space="preserve"> </w:t>
      </w:r>
      <w:r w:rsidR="0089005D" w:rsidRPr="00217CB7">
        <w:t xml:space="preserve">D. Burt, </w:t>
      </w:r>
    </w:p>
    <w:p w:rsidR="001F7F50" w:rsidRPr="00217CB7" w:rsidRDefault="0028165E" w:rsidP="001F7F50">
      <w:pPr>
        <w:pStyle w:val="SCCLsocParty"/>
        <w:tabs>
          <w:tab w:val="right" w:pos="8280"/>
        </w:tabs>
        <w:spacing w:after="720"/>
        <w:rPr>
          <w:b w:val="0"/>
          <w:i/>
        </w:rPr>
      </w:pPr>
      <w:r w:rsidRPr="00217CB7">
        <w:t>Graham</w:t>
      </w:r>
      <w:r w:rsidR="0089026E" w:rsidRPr="00217CB7">
        <w:t xml:space="preserve"> </w:t>
      </w:r>
      <w:r w:rsidRPr="00217CB7">
        <w:t>W. Savage and Raymond</w:t>
      </w:r>
      <w:r w:rsidR="0089026E" w:rsidRPr="00217CB7">
        <w:t xml:space="preserve"> </w:t>
      </w:r>
      <w:r w:rsidR="0089005D" w:rsidRPr="00217CB7">
        <w:t>G.</w:t>
      </w:r>
      <w:r w:rsidR="001845A9" w:rsidRPr="00217CB7">
        <w:t> </w:t>
      </w:r>
      <w:r w:rsidR="0089005D" w:rsidRPr="00217CB7">
        <w:t>H. Seitz</w:t>
      </w:r>
      <w:r w:rsidR="00286AC9">
        <w:rPr>
          <w:b w:val="0"/>
        </w:rPr>
        <w:tab/>
      </w:r>
      <w:r w:rsidR="0089026E" w:rsidRPr="00217CB7">
        <w:rPr>
          <w:b w:val="0"/>
          <w:i/>
        </w:rPr>
        <w:t>Appellants</w:t>
      </w:r>
    </w:p>
    <w:p w:rsidR="001F7F50" w:rsidRPr="00217CB7" w:rsidRDefault="0089005D" w:rsidP="001F7F50">
      <w:pPr>
        <w:pStyle w:val="SCCLsocVersus"/>
        <w:spacing w:after="720"/>
      </w:pPr>
      <w:proofErr w:type="gramStart"/>
      <w:r w:rsidRPr="00217CB7">
        <w:t>v</w:t>
      </w:r>
      <w:proofErr w:type="gramEnd"/>
      <w:r w:rsidRPr="00217CB7">
        <w:t>.</w:t>
      </w:r>
      <w:r w:rsidR="0089026E" w:rsidRPr="00217CB7">
        <w:rPr>
          <w:i w:val="0"/>
        </w:rPr>
        <w:t xml:space="preserve"> </w:t>
      </w:r>
    </w:p>
    <w:p w:rsidR="001F7F50" w:rsidRPr="00217CB7" w:rsidRDefault="0089005D" w:rsidP="001F7F50">
      <w:pPr>
        <w:pStyle w:val="SCCLsocParty"/>
        <w:tabs>
          <w:tab w:val="right" w:pos="8280"/>
        </w:tabs>
        <w:spacing w:after="720"/>
        <w:rPr>
          <w:b w:val="0"/>
          <w:i/>
        </w:rPr>
      </w:pPr>
      <w:r w:rsidRPr="00217CB7">
        <w:lastRenderedPageBreak/>
        <w:t>Conrad Black</w:t>
      </w:r>
      <w:r w:rsidR="001C099A">
        <w:tab/>
      </w:r>
      <w:r w:rsidR="0089026E" w:rsidRPr="00217CB7">
        <w:rPr>
          <w:b w:val="0"/>
          <w:i/>
        </w:rPr>
        <w:t>Respondent</w:t>
      </w:r>
    </w:p>
    <w:p w:rsidR="0089005D" w:rsidRPr="00217CB7" w:rsidRDefault="0089026E" w:rsidP="00A95C8F">
      <w:pPr>
        <w:spacing w:after="720"/>
        <w:jc w:val="both"/>
      </w:pPr>
      <w:r w:rsidRPr="00217CB7">
        <w:t>-</w:t>
      </w:r>
      <w:r w:rsidR="00A95C8F" w:rsidRPr="00217CB7">
        <w:t xml:space="preserve"> </w:t>
      </w:r>
      <w:proofErr w:type="gramStart"/>
      <w:r w:rsidR="00A95C8F" w:rsidRPr="00217CB7">
        <w:t>and</w:t>
      </w:r>
      <w:proofErr w:type="gramEnd"/>
      <w:r w:rsidR="00A95C8F" w:rsidRPr="00217CB7">
        <w:t xml:space="preserve"> </w:t>
      </w:r>
      <w:r w:rsidRPr="00217CB7">
        <w:t>-</w:t>
      </w:r>
    </w:p>
    <w:p w:rsidR="0089005D" w:rsidRPr="00217CB7" w:rsidRDefault="0028165E" w:rsidP="001F7F50">
      <w:pPr>
        <w:pStyle w:val="SCCLsocParty"/>
      </w:pPr>
      <w:r w:rsidRPr="00217CB7">
        <w:t>Richard</w:t>
      </w:r>
      <w:r w:rsidR="0089026E" w:rsidRPr="00217CB7">
        <w:t xml:space="preserve"> </w:t>
      </w:r>
      <w:r w:rsidRPr="00217CB7">
        <w:t>C. Breeden, Richard</w:t>
      </w:r>
      <w:r w:rsidR="0089026E" w:rsidRPr="00217CB7">
        <w:t xml:space="preserve"> </w:t>
      </w:r>
      <w:r w:rsidR="0089005D" w:rsidRPr="00217CB7">
        <w:t xml:space="preserve">C. Breeden &amp; Co., </w:t>
      </w:r>
    </w:p>
    <w:p w:rsidR="0089005D" w:rsidRPr="00217CB7" w:rsidRDefault="0028165E" w:rsidP="001F7F50">
      <w:pPr>
        <w:pStyle w:val="SCCLsocParty"/>
      </w:pPr>
      <w:r w:rsidRPr="00217CB7">
        <w:t>Gordon</w:t>
      </w:r>
      <w:r w:rsidR="0089026E" w:rsidRPr="00217CB7">
        <w:t xml:space="preserve"> </w:t>
      </w:r>
      <w:r w:rsidRPr="00217CB7">
        <w:t>A. Paris, James</w:t>
      </w:r>
      <w:r w:rsidR="0089026E" w:rsidRPr="00217CB7">
        <w:t xml:space="preserve"> </w:t>
      </w:r>
      <w:r w:rsidRPr="00217CB7">
        <w:t>R. Thompson, Richard</w:t>
      </w:r>
      <w:r w:rsidR="0089026E" w:rsidRPr="00217CB7">
        <w:t xml:space="preserve"> </w:t>
      </w:r>
      <w:r w:rsidR="0089005D" w:rsidRPr="00217CB7">
        <w:t xml:space="preserve">D. Burt, </w:t>
      </w:r>
    </w:p>
    <w:p w:rsidR="001F7F50" w:rsidRPr="00217CB7" w:rsidRDefault="0028165E" w:rsidP="001F7F50">
      <w:pPr>
        <w:pStyle w:val="SCCLsocParty"/>
        <w:tabs>
          <w:tab w:val="right" w:pos="8280"/>
        </w:tabs>
        <w:spacing w:after="720"/>
        <w:rPr>
          <w:b w:val="0"/>
          <w:i/>
        </w:rPr>
      </w:pPr>
      <w:r w:rsidRPr="00217CB7">
        <w:t>Graham</w:t>
      </w:r>
      <w:r w:rsidR="0089026E" w:rsidRPr="00217CB7">
        <w:t xml:space="preserve"> </w:t>
      </w:r>
      <w:r w:rsidRPr="00217CB7">
        <w:t>W. Savage and Raymond</w:t>
      </w:r>
      <w:r w:rsidR="0089026E" w:rsidRPr="00217CB7">
        <w:t xml:space="preserve"> </w:t>
      </w:r>
      <w:r w:rsidR="0089005D" w:rsidRPr="00217CB7">
        <w:t>G.</w:t>
      </w:r>
      <w:r w:rsidR="001845A9" w:rsidRPr="00217CB7">
        <w:t> </w:t>
      </w:r>
      <w:r w:rsidR="0089005D" w:rsidRPr="00217CB7">
        <w:t>H. Seitz</w:t>
      </w:r>
      <w:r w:rsidR="00286AC9">
        <w:tab/>
      </w:r>
      <w:r w:rsidR="0089026E" w:rsidRPr="00217CB7">
        <w:rPr>
          <w:b w:val="0"/>
          <w:i/>
        </w:rPr>
        <w:t>Appellants</w:t>
      </w:r>
    </w:p>
    <w:p w:rsidR="0089005D" w:rsidRPr="00217CB7" w:rsidRDefault="0089005D" w:rsidP="001F7F50">
      <w:pPr>
        <w:pStyle w:val="SCCLsocVersus"/>
        <w:spacing w:after="720"/>
      </w:pPr>
      <w:proofErr w:type="gramStart"/>
      <w:r w:rsidRPr="00217CB7">
        <w:t>v</w:t>
      </w:r>
      <w:proofErr w:type="gramEnd"/>
      <w:r w:rsidRPr="00217CB7">
        <w:t>.</w:t>
      </w:r>
      <w:r w:rsidR="0089026E" w:rsidRPr="00217CB7">
        <w:t xml:space="preserve"> </w:t>
      </w:r>
    </w:p>
    <w:p w:rsidR="001F7F50" w:rsidRPr="00217CB7" w:rsidRDefault="0089005D" w:rsidP="001F7F50">
      <w:pPr>
        <w:pStyle w:val="SCCLsocParty"/>
        <w:tabs>
          <w:tab w:val="right" w:pos="8280"/>
        </w:tabs>
        <w:spacing w:after="720"/>
        <w:rPr>
          <w:b w:val="0"/>
          <w:i/>
        </w:rPr>
      </w:pPr>
      <w:r w:rsidRPr="00217CB7">
        <w:t>Conrad Black</w:t>
      </w:r>
      <w:r w:rsidR="001C099A">
        <w:t xml:space="preserve"> </w:t>
      </w:r>
      <w:r w:rsidR="00D2366D">
        <w:tab/>
      </w:r>
      <w:r w:rsidR="0089026E" w:rsidRPr="00217CB7">
        <w:rPr>
          <w:b w:val="0"/>
          <w:i/>
        </w:rPr>
        <w:t>Respondent</w:t>
      </w:r>
    </w:p>
    <w:p w:rsidR="0089005D" w:rsidRPr="00217CB7" w:rsidRDefault="0089026E" w:rsidP="00A95C8F">
      <w:pPr>
        <w:spacing w:after="720"/>
        <w:jc w:val="both"/>
      </w:pPr>
      <w:r w:rsidRPr="00217CB7">
        <w:t>-</w:t>
      </w:r>
      <w:r w:rsidR="00A95C8F" w:rsidRPr="00217CB7">
        <w:t xml:space="preserve"> </w:t>
      </w:r>
      <w:proofErr w:type="gramStart"/>
      <w:r w:rsidR="00A95C8F" w:rsidRPr="00217CB7">
        <w:t>and</w:t>
      </w:r>
      <w:proofErr w:type="gramEnd"/>
      <w:r w:rsidR="00A95C8F" w:rsidRPr="00217CB7">
        <w:t xml:space="preserve"> </w:t>
      </w:r>
      <w:r w:rsidRPr="00217CB7">
        <w:t>-</w:t>
      </w:r>
    </w:p>
    <w:p w:rsidR="0089005D" w:rsidRPr="00217CB7" w:rsidRDefault="0028165E" w:rsidP="001F7F50">
      <w:pPr>
        <w:pStyle w:val="SCCLsocParty"/>
      </w:pPr>
      <w:r w:rsidRPr="00217CB7">
        <w:t>Richard</w:t>
      </w:r>
      <w:r w:rsidR="0089026E" w:rsidRPr="00217CB7">
        <w:t xml:space="preserve"> </w:t>
      </w:r>
      <w:r w:rsidRPr="00217CB7">
        <w:t>C. Breeden, Richard</w:t>
      </w:r>
      <w:r w:rsidR="0089026E" w:rsidRPr="00217CB7">
        <w:t xml:space="preserve"> </w:t>
      </w:r>
      <w:r w:rsidR="0089005D" w:rsidRPr="00217CB7">
        <w:t xml:space="preserve">C. Breeden &amp; Co., </w:t>
      </w:r>
    </w:p>
    <w:p w:rsidR="0089005D" w:rsidRPr="00217CB7" w:rsidRDefault="0028165E" w:rsidP="001F7F50">
      <w:pPr>
        <w:pStyle w:val="SCCLsocParty"/>
        <w:rPr>
          <w:lang w:val="en-US"/>
        </w:rPr>
      </w:pPr>
      <w:r w:rsidRPr="00217CB7">
        <w:rPr>
          <w:lang w:val="en-US"/>
        </w:rPr>
        <w:t>Gordon</w:t>
      </w:r>
      <w:r w:rsidR="0089026E" w:rsidRPr="00217CB7">
        <w:rPr>
          <w:lang w:val="en-US"/>
        </w:rPr>
        <w:t xml:space="preserve"> </w:t>
      </w:r>
      <w:r w:rsidRPr="00217CB7">
        <w:rPr>
          <w:lang w:val="en-US"/>
        </w:rPr>
        <w:t>A. Paris, Graham</w:t>
      </w:r>
      <w:r w:rsidR="0089026E" w:rsidRPr="00217CB7">
        <w:rPr>
          <w:lang w:val="en-US"/>
        </w:rPr>
        <w:t xml:space="preserve"> </w:t>
      </w:r>
      <w:r w:rsidR="0089005D" w:rsidRPr="00217CB7">
        <w:rPr>
          <w:lang w:val="en-US"/>
        </w:rPr>
        <w:t xml:space="preserve">W. Savage, Raymond </w:t>
      </w:r>
    </w:p>
    <w:p w:rsidR="001F7F50" w:rsidRPr="00217CB7" w:rsidRDefault="0089005D" w:rsidP="001F7F50">
      <w:pPr>
        <w:pStyle w:val="SCCLsocParty"/>
        <w:tabs>
          <w:tab w:val="right" w:pos="8280"/>
        </w:tabs>
        <w:spacing w:after="720"/>
        <w:rPr>
          <w:b w:val="0"/>
          <w:i/>
        </w:rPr>
      </w:pPr>
      <w:r w:rsidRPr="00217CB7">
        <w:t>G.</w:t>
      </w:r>
      <w:r w:rsidR="001845A9" w:rsidRPr="00217CB7">
        <w:t> </w:t>
      </w:r>
      <w:r w:rsidRPr="00217CB7">
        <w:t>H. Seitz and Paul B. Healy</w:t>
      </w:r>
      <w:r w:rsidR="00286AC9">
        <w:tab/>
      </w:r>
      <w:r w:rsidR="0089026E" w:rsidRPr="00217CB7">
        <w:rPr>
          <w:b w:val="0"/>
          <w:i/>
        </w:rPr>
        <w:t>Appellants</w:t>
      </w:r>
    </w:p>
    <w:p w:rsidR="001F7F50" w:rsidRPr="00217CB7" w:rsidRDefault="0089005D" w:rsidP="001F7F50">
      <w:pPr>
        <w:pStyle w:val="SCCLsocVersus"/>
        <w:spacing w:after="720"/>
      </w:pPr>
      <w:proofErr w:type="gramStart"/>
      <w:r w:rsidRPr="00217CB7">
        <w:t>v</w:t>
      </w:r>
      <w:proofErr w:type="gramEnd"/>
      <w:r w:rsidRPr="00217CB7">
        <w:t>.</w:t>
      </w:r>
    </w:p>
    <w:p w:rsidR="001F7F50" w:rsidRPr="00217CB7" w:rsidRDefault="0089005D" w:rsidP="001F7F50">
      <w:pPr>
        <w:pStyle w:val="SCCLsocParty"/>
        <w:tabs>
          <w:tab w:val="right" w:pos="8280"/>
        </w:tabs>
        <w:spacing w:after="720"/>
        <w:rPr>
          <w:b w:val="0"/>
          <w:i/>
        </w:rPr>
      </w:pPr>
      <w:r w:rsidRPr="00217CB7">
        <w:t>Conrad Black</w:t>
      </w:r>
      <w:r w:rsidR="00286AC9">
        <w:tab/>
      </w:r>
      <w:r w:rsidR="0089026E" w:rsidRPr="00217CB7">
        <w:rPr>
          <w:b w:val="0"/>
          <w:i/>
        </w:rPr>
        <w:t>Respondent</w:t>
      </w:r>
    </w:p>
    <w:p w:rsidR="0089005D" w:rsidRPr="00217CB7" w:rsidRDefault="0089026E" w:rsidP="00A95C8F">
      <w:pPr>
        <w:spacing w:after="720"/>
        <w:jc w:val="both"/>
      </w:pPr>
      <w:r w:rsidRPr="00217CB7">
        <w:t>-</w:t>
      </w:r>
      <w:r w:rsidR="00A95C8F" w:rsidRPr="00217CB7">
        <w:t xml:space="preserve"> </w:t>
      </w:r>
      <w:proofErr w:type="gramStart"/>
      <w:r w:rsidR="00A95C8F" w:rsidRPr="00217CB7">
        <w:t>and</w:t>
      </w:r>
      <w:proofErr w:type="gramEnd"/>
      <w:r w:rsidR="00A95C8F" w:rsidRPr="00217CB7">
        <w:t xml:space="preserve"> </w:t>
      </w:r>
      <w:r w:rsidRPr="00217CB7">
        <w:t>-</w:t>
      </w:r>
    </w:p>
    <w:p w:rsidR="0089005D" w:rsidRPr="00217CB7" w:rsidRDefault="0028165E" w:rsidP="001F7F50">
      <w:pPr>
        <w:pStyle w:val="SCCLsocParty"/>
      </w:pPr>
      <w:proofErr w:type="gramStart"/>
      <w:r w:rsidRPr="00217CB7">
        <w:t>Richard</w:t>
      </w:r>
      <w:r w:rsidR="0089026E" w:rsidRPr="00217CB7">
        <w:t xml:space="preserve"> </w:t>
      </w:r>
      <w:r w:rsidR="0089005D" w:rsidRPr="00217CB7">
        <w:t>C. Breeden, R</w:t>
      </w:r>
      <w:r w:rsidRPr="00217CB7">
        <w:t>ichard C. Breeden &amp; Co., Gordon</w:t>
      </w:r>
      <w:r w:rsidR="0089026E" w:rsidRPr="00217CB7">
        <w:t xml:space="preserve"> </w:t>
      </w:r>
      <w:r w:rsidR="0089005D" w:rsidRPr="00217CB7">
        <w:t>A.</w:t>
      </w:r>
      <w:proofErr w:type="gramEnd"/>
      <w:r w:rsidR="005F2B7C" w:rsidRPr="00217CB7">
        <w:t xml:space="preserve"> </w:t>
      </w:r>
    </w:p>
    <w:p w:rsidR="0089005D" w:rsidRPr="00217CB7" w:rsidRDefault="005F2B7C" w:rsidP="001F7F50">
      <w:pPr>
        <w:pStyle w:val="SCCLsocParty"/>
      </w:pPr>
      <w:r w:rsidRPr="00217CB7">
        <w:t xml:space="preserve">Paris, </w:t>
      </w:r>
      <w:r w:rsidR="0028165E" w:rsidRPr="00217CB7">
        <w:t>James</w:t>
      </w:r>
      <w:r w:rsidR="0089026E" w:rsidRPr="00217CB7">
        <w:t xml:space="preserve"> </w:t>
      </w:r>
      <w:r w:rsidR="0089005D" w:rsidRPr="00217CB7">
        <w:t>R. Th</w:t>
      </w:r>
      <w:r w:rsidR="0028165E" w:rsidRPr="00217CB7">
        <w:t>ompson, Richard D. Burt, Graham</w:t>
      </w:r>
      <w:r w:rsidR="0089026E" w:rsidRPr="00217CB7">
        <w:t xml:space="preserve"> </w:t>
      </w:r>
      <w:r w:rsidR="0089005D" w:rsidRPr="00217CB7">
        <w:t xml:space="preserve">W. </w:t>
      </w:r>
      <w:r w:rsidRPr="00217CB7">
        <w:t xml:space="preserve">Savage, </w:t>
      </w:r>
    </w:p>
    <w:p w:rsidR="001F7F50" w:rsidRPr="00217CB7" w:rsidRDefault="0028165E" w:rsidP="001F7F50">
      <w:pPr>
        <w:pStyle w:val="SCCLsocParty"/>
        <w:tabs>
          <w:tab w:val="right" w:pos="8280"/>
        </w:tabs>
        <w:spacing w:after="720"/>
        <w:rPr>
          <w:b w:val="0"/>
          <w:i/>
          <w:lang w:val="en-US"/>
        </w:rPr>
      </w:pPr>
      <w:r w:rsidRPr="00217CB7">
        <w:rPr>
          <w:lang w:val="en-US"/>
        </w:rPr>
        <w:t>Raymond</w:t>
      </w:r>
      <w:r w:rsidR="0089026E" w:rsidRPr="00217CB7">
        <w:rPr>
          <w:lang w:val="en-US"/>
        </w:rPr>
        <w:t xml:space="preserve"> </w:t>
      </w:r>
      <w:r w:rsidR="0089005D" w:rsidRPr="00217CB7">
        <w:rPr>
          <w:lang w:val="en-US"/>
        </w:rPr>
        <w:t>G.</w:t>
      </w:r>
      <w:r w:rsidR="001845A9" w:rsidRPr="00217CB7">
        <w:rPr>
          <w:lang w:val="en-US"/>
        </w:rPr>
        <w:t> </w:t>
      </w:r>
      <w:r w:rsidR="0089005D" w:rsidRPr="00217CB7">
        <w:rPr>
          <w:lang w:val="en-US"/>
        </w:rPr>
        <w:t xml:space="preserve">H. Seitz, </w:t>
      </w:r>
      <w:proofErr w:type="spellStart"/>
      <w:r w:rsidR="0089005D" w:rsidRPr="00217CB7">
        <w:rPr>
          <w:lang w:val="en-US"/>
        </w:rPr>
        <w:t>Shmuel</w:t>
      </w:r>
      <w:proofErr w:type="spellEnd"/>
      <w:r w:rsidR="0089005D" w:rsidRPr="00217CB7">
        <w:rPr>
          <w:lang w:val="en-US"/>
        </w:rPr>
        <w:t xml:space="preserve"> </w:t>
      </w:r>
      <w:proofErr w:type="spellStart"/>
      <w:r w:rsidR="005F2B7C" w:rsidRPr="00217CB7">
        <w:rPr>
          <w:lang w:val="en-US"/>
        </w:rPr>
        <w:t>Meitar</w:t>
      </w:r>
      <w:proofErr w:type="spellEnd"/>
      <w:r w:rsidR="005F2B7C" w:rsidRPr="00217CB7">
        <w:rPr>
          <w:lang w:val="en-US"/>
        </w:rPr>
        <w:t xml:space="preserve"> </w:t>
      </w:r>
      <w:r w:rsidR="0089005D" w:rsidRPr="00217CB7">
        <w:rPr>
          <w:lang w:val="en-US"/>
        </w:rPr>
        <w:t>and H</w:t>
      </w:r>
      <w:r w:rsidRPr="00217CB7">
        <w:rPr>
          <w:lang w:val="en-US"/>
        </w:rPr>
        <w:t>enry</w:t>
      </w:r>
      <w:r w:rsidR="0089026E" w:rsidRPr="00217CB7">
        <w:rPr>
          <w:lang w:val="en-US"/>
        </w:rPr>
        <w:t xml:space="preserve"> </w:t>
      </w:r>
      <w:r w:rsidR="0089005D" w:rsidRPr="00217CB7">
        <w:rPr>
          <w:lang w:val="en-US"/>
        </w:rPr>
        <w:t>A. Kissinger</w:t>
      </w:r>
      <w:r w:rsidR="00286AC9">
        <w:rPr>
          <w:lang w:val="en-US"/>
        </w:rPr>
        <w:tab/>
      </w:r>
      <w:r w:rsidR="0089026E" w:rsidRPr="00217CB7">
        <w:rPr>
          <w:b w:val="0"/>
          <w:i/>
          <w:lang w:val="en-US"/>
        </w:rPr>
        <w:t>Appellants</w:t>
      </w:r>
    </w:p>
    <w:p w:rsidR="001F7F50" w:rsidRPr="00217CB7" w:rsidRDefault="0089005D" w:rsidP="001F7F50">
      <w:pPr>
        <w:pStyle w:val="SCCLsocVersus"/>
        <w:spacing w:after="720"/>
      </w:pPr>
      <w:proofErr w:type="gramStart"/>
      <w:r w:rsidRPr="00217CB7">
        <w:lastRenderedPageBreak/>
        <w:t>v</w:t>
      </w:r>
      <w:proofErr w:type="gramEnd"/>
      <w:r w:rsidRPr="00217CB7">
        <w:t>.</w:t>
      </w:r>
      <w:r w:rsidR="0089026E" w:rsidRPr="00217CB7">
        <w:rPr>
          <w:i w:val="0"/>
        </w:rPr>
        <w:t xml:space="preserve"> </w:t>
      </w:r>
    </w:p>
    <w:p w:rsidR="001F7F50" w:rsidRPr="00217CB7" w:rsidRDefault="0089005D" w:rsidP="001F7F50">
      <w:pPr>
        <w:pStyle w:val="SCCLsocParty"/>
        <w:tabs>
          <w:tab w:val="right" w:pos="8280"/>
        </w:tabs>
        <w:spacing w:after="720"/>
        <w:rPr>
          <w:b w:val="0"/>
          <w:i/>
        </w:rPr>
      </w:pPr>
      <w:r w:rsidRPr="00217CB7">
        <w:t>Conrad Black</w:t>
      </w:r>
      <w:r w:rsidR="00286AC9">
        <w:tab/>
      </w:r>
      <w:r w:rsidR="0089026E" w:rsidRPr="00217CB7">
        <w:rPr>
          <w:b w:val="0"/>
          <w:i/>
        </w:rPr>
        <w:t>Respondent</w:t>
      </w:r>
    </w:p>
    <w:p w:rsidR="0089005D" w:rsidRPr="00217CB7" w:rsidRDefault="0089005D" w:rsidP="001F7F50">
      <w:pPr>
        <w:spacing w:after="720"/>
        <w:jc w:val="both"/>
      </w:pPr>
      <w:proofErr w:type="gramStart"/>
      <w:r w:rsidRPr="00217CB7">
        <w:t>and</w:t>
      </w:r>
      <w:proofErr w:type="gramEnd"/>
    </w:p>
    <w:p w:rsidR="00261FDF" w:rsidRPr="00217CB7" w:rsidRDefault="00EA7226" w:rsidP="001F7F50">
      <w:pPr>
        <w:pStyle w:val="SCCLsocParty"/>
        <w:tabs>
          <w:tab w:val="right" w:pos="8280"/>
        </w:tabs>
        <w:spacing w:after="720"/>
      </w:pPr>
      <w:r w:rsidRPr="00217CB7">
        <w:t>British Columbia Civil Liberties Association</w:t>
      </w:r>
      <w:r w:rsidR="00286AC9">
        <w:tab/>
      </w:r>
      <w:r w:rsidR="0089026E" w:rsidRPr="00217CB7">
        <w:rPr>
          <w:b w:val="0"/>
          <w:i/>
        </w:rPr>
        <w:t>Intervener</w:t>
      </w:r>
    </w:p>
    <w:p w:rsidR="00426659" w:rsidRPr="00217CB7" w:rsidRDefault="00426659" w:rsidP="001F7F50">
      <w:pPr>
        <w:spacing w:after="720"/>
        <w:jc w:val="both"/>
        <w:rPr>
          <w:b/>
        </w:rPr>
      </w:pPr>
      <w:r w:rsidRPr="00217CB7">
        <w:rPr>
          <w:b/>
        </w:rPr>
        <w:t>Indexed as:</w:t>
      </w:r>
      <w:r w:rsidR="0089026E" w:rsidRPr="00217CB7">
        <w:rPr>
          <w:b/>
        </w:rPr>
        <w:t xml:space="preserve"> </w:t>
      </w:r>
      <w:r w:rsidRPr="00217CB7">
        <w:rPr>
          <w:b/>
        </w:rPr>
        <w:t xml:space="preserve">Breeden </w:t>
      </w:r>
      <w:r w:rsidRPr="00217CB7">
        <w:rPr>
          <w:b/>
          <w:i/>
        </w:rPr>
        <w:t>v.</w:t>
      </w:r>
      <w:r w:rsidRPr="00217CB7">
        <w:rPr>
          <w:b/>
        </w:rPr>
        <w:t xml:space="preserve"> Black</w:t>
      </w:r>
    </w:p>
    <w:p w:rsidR="00426659" w:rsidRPr="00217CB7" w:rsidRDefault="00547554" w:rsidP="001F7F50">
      <w:pPr>
        <w:pStyle w:val="SCCSystemYear"/>
        <w:spacing w:after="720"/>
        <w:jc w:val="both"/>
      </w:pPr>
      <w:r w:rsidRPr="00217CB7">
        <w:t>2012</w:t>
      </w:r>
      <w:r w:rsidR="003D0399" w:rsidRPr="00217CB7">
        <w:t xml:space="preserve"> </w:t>
      </w:r>
      <w:r w:rsidR="00A95C8F" w:rsidRPr="00217CB7">
        <w:t>SCC</w:t>
      </w:r>
      <w:r w:rsidR="0089026E" w:rsidRPr="00217CB7">
        <w:t xml:space="preserve"> </w:t>
      </w:r>
      <w:r w:rsidR="00A95C8F" w:rsidRPr="00217CB7">
        <w:t>19</w:t>
      </w:r>
    </w:p>
    <w:p w:rsidR="008322BD" w:rsidRPr="00217CB7" w:rsidRDefault="009B57B3" w:rsidP="001F7F50">
      <w:pPr>
        <w:spacing w:after="720"/>
        <w:jc w:val="both"/>
      </w:pPr>
      <w:r w:rsidRPr="00217CB7">
        <w:t>File No.:</w:t>
      </w:r>
      <w:r w:rsidR="0089026E" w:rsidRPr="00217CB7">
        <w:t xml:space="preserve"> </w:t>
      </w:r>
      <w:r w:rsidRPr="00217CB7">
        <w:t>33900.</w:t>
      </w:r>
    </w:p>
    <w:p w:rsidR="008322BD" w:rsidRPr="00217CB7" w:rsidRDefault="00DE2B5F" w:rsidP="001F7F50">
      <w:pPr>
        <w:spacing w:after="720"/>
        <w:jc w:val="both"/>
      </w:pPr>
      <w:r w:rsidRPr="00217CB7">
        <w:t>2011:</w:t>
      </w:r>
      <w:r w:rsidR="0089026E" w:rsidRPr="00217CB7">
        <w:t xml:space="preserve"> </w:t>
      </w:r>
      <w:r w:rsidRPr="00217CB7">
        <w:t>March</w:t>
      </w:r>
      <w:r w:rsidR="0089026E" w:rsidRPr="00217CB7">
        <w:t xml:space="preserve"> </w:t>
      </w:r>
      <w:r w:rsidR="00566AD1" w:rsidRPr="00217CB7">
        <w:t>22</w:t>
      </w:r>
      <w:r w:rsidR="009B57B3" w:rsidRPr="00217CB7">
        <w:t xml:space="preserve">; </w:t>
      </w:r>
      <w:r w:rsidRPr="00217CB7">
        <w:t>2012:</w:t>
      </w:r>
      <w:r w:rsidR="0089026E" w:rsidRPr="00217CB7">
        <w:t xml:space="preserve"> </w:t>
      </w:r>
      <w:r w:rsidRPr="00217CB7">
        <w:t>April</w:t>
      </w:r>
      <w:r w:rsidR="0089026E" w:rsidRPr="00217CB7">
        <w:t xml:space="preserve"> </w:t>
      </w:r>
      <w:r w:rsidR="0024575F" w:rsidRPr="00217CB7">
        <w:t>18</w:t>
      </w:r>
      <w:r w:rsidR="009B57B3" w:rsidRPr="00217CB7">
        <w:t>.</w:t>
      </w:r>
    </w:p>
    <w:p w:rsidR="008322BD" w:rsidRPr="00217CB7" w:rsidRDefault="009B57B3" w:rsidP="001F7F50">
      <w:pPr>
        <w:spacing w:after="720"/>
        <w:jc w:val="both"/>
      </w:pPr>
      <w:r w:rsidRPr="00217CB7">
        <w:t>Present:</w:t>
      </w:r>
      <w:r w:rsidR="0089026E" w:rsidRPr="00217CB7">
        <w:t xml:space="preserve"> </w:t>
      </w:r>
      <w:proofErr w:type="spellStart"/>
      <w:r w:rsidRPr="00217CB7">
        <w:t>McLachlin</w:t>
      </w:r>
      <w:proofErr w:type="spellEnd"/>
      <w:r w:rsidR="0089026E" w:rsidRPr="00217CB7">
        <w:t xml:space="preserve"> </w:t>
      </w:r>
      <w:r w:rsidRPr="00217CB7">
        <w:t xml:space="preserve">C.J. and </w:t>
      </w:r>
      <w:proofErr w:type="spellStart"/>
      <w:r w:rsidRPr="00217CB7">
        <w:t>Binnie</w:t>
      </w:r>
      <w:proofErr w:type="spellEnd"/>
      <w:r w:rsidR="004748A4" w:rsidRPr="00217CB7">
        <w:t>,</w:t>
      </w:r>
      <w:r w:rsidR="00E75029" w:rsidRPr="00217CB7">
        <w:rPr>
          <w:rStyle w:val="FootnoteReference"/>
        </w:rPr>
        <w:footnoteReference w:id="1"/>
      </w:r>
      <w:r w:rsidRPr="00217CB7">
        <w:t xml:space="preserve"> LeBel, Deschamps, Fish, Abella, Charron</w:t>
      </w:r>
      <w:r w:rsidR="004748A4" w:rsidRPr="00217CB7">
        <w:t>,</w:t>
      </w:r>
      <w:r w:rsidR="00794F3C" w:rsidRPr="00217CB7">
        <w:rPr>
          <w:vertAlign w:val="superscript"/>
        </w:rPr>
        <w:t>*</w:t>
      </w:r>
      <w:r w:rsidRPr="00217CB7">
        <w:t xml:space="preserve"> Rothstein and Cromwell</w:t>
      </w:r>
      <w:r w:rsidR="0089026E" w:rsidRPr="00217CB7">
        <w:t> </w:t>
      </w:r>
      <w:r w:rsidRPr="00217CB7">
        <w:t>JJ.</w:t>
      </w:r>
    </w:p>
    <w:p w:rsidR="008322BD" w:rsidRPr="00217CB7" w:rsidRDefault="00656313" w:rsidP="00F028ED">
      <w:pPr>
        <w:pStyle w:val="SCCLowerCourtNameLowercase"/>
        <w:spacing w:after="480"/>
        <w:rPr>
          <w:smallCaps w:val="0"/>
        </w:rPr>
      </w:pPr>
      <w:r w:rsidRPr="00217CB7">
        <w:t>o</w:t>
      </w:r>
      <w:r w:rsidR="00170592" w:rsidRPr="00217CB7">
        <w:t>n</w:t>
      </w:r>
      <w:r w:rsidR="00224FC0" w:rsidRPr="00217CB7">
        <w:t xml:space="preserve"> </w:t>
      </w:r>
      <w:r w:rsidRPr="00217CB7">
        <w:t>a</w:t>
      </w:r>
      <w:r w:rsidR="00170592" w:rsidRPr="00217CB7">
        <w:t>ppeal</w:t>
      </w:r>
      <w:r w:rsidR="00224FC0" w:rsidRPr="00217CB7">
        <w:t xml:space="preserve"> </w:t>
      </w:r>
      <w:r w:rsidR="00170592" w:rsidRPr="00217CB7">
        <w:t>from</w:t>
      </w:r>
      <w:r w:rsidR="009567AA" w:rsidRPr="00217CB7">
        <w:t xml:space="preserve"> the</w:t>
      </w:r>
      <w:r w:rsidR="00224FC0" w:rsidRPr="00217CB7">
        <w:t xml:space="preserve"> </w:t>
      </w:r>
      <w:r w:rsidR="009B57B3" w:rsidRPr="00217CB7">
        <w:t xml:space="preserve">court of appeal for </w:t>
      </w:r>
      <w:proofErr w:type="spellStart"/>
      <w:r w:rsidR="009B57B3" w:rsidRPr="00217CB7">
        <w:t>ontario</w:t>
      </w:r>
      <w:proofErr w:type="spellEnd"/>
    </w:p>
    <w:p w:rsidR="00E61132" w:rsidRPr="00217CB7" w:rsidRDefault="009B57B3" w:rsidP="00E61132">
      <w:pPr>
        <w:pStyle w:val="SCCNormalDoubleSpacing"/>
        <w:spacing w:after="480"/>
        <w:rPr>
          <w:i/>
        </w:rPr>
      </w:pPr>
      <w:r w:rsidRPr="00217CB7">
        <w:tab/>
      </w:r>
      <w:r w:rsidR="00E61132" w:rsidRPr="00217CB7">
        <w:rPr>
          <w:i/>
        </w:rPr>
        <w:t xml:space="preserve">Private international law </w:t>
      </w:r>
      <w:r w:rsidR="00D422C2" w:rsidRPr="00217CB7">
        <w:rPr>
          <w:i/>
        </w:rPr>
        <w:t>—</w:t>
      </w:r>
      <w:r w:rsidR="00E61132" w:rsidRPr="00217CB7">
        <w:rPr>
          <w:i/>
        </w:rPr>
        <w:t xml:space="preserve"> Choice of forum </w:t>
      </w:r>
      <w:r w:rsidR="00D422C2" w:rsidRPr="00217CB7">
        <w:rPr>
          <w:i/>
        </w:rPr>
        <w:t>—</w:t>
      </w:r>
      <w:r w:rsidR="00E61132" w:rsidRPr="00217CB7">
        <w:rPr>
          <w:i/>
        </w:rPr>
        <w:t xml:space="preserve"> Court having jurisdiction </w:t>
      </w:r>
      <w:r w:rsidR="00D422C2" w:rsidRPr="00217CB7">
        <w:rPr>
          <w:i/>
        </w:rPr>
        <w:t>—</w:t>
      </w:r>
      <w:r w:rsidR="00E61132" w:rsidRPr="00217CB7">
        <w:rPr>
          <w:i/>
        </w:rPr>
        <w:t xml:space="preserve"> Forum non </w:t>
      </w:r>
      <w:proofErr w:type="spellStart"/>
      <w:r w:rsidR="00E61132" w:rsidRPr="00217CB7">
        <w:rPr>
          <w:i/>
        </w:rPr>
        <w:t>conveniens</w:t>
      </w:r>
      <w:proofErr w:type="spellEnd"/>
      <w:r w:rsidR="00E61132" w:rsidRPr="00217CB7">
        <w:rPr>
          <w:i/>
        </w:rPr>
        <w:t xml:space="preserve"> </w:t>
      </w:r>
      <w:r w:rsidR="00D422C2" w:rsidRPr="00217CB7">
        <w:rPr>
          <w:i/>
        </w:rPr>
        <w:t>—</w:t>
      </w:r>
      <w:r w:rsidR="00E61132" w:rsidRPr="00217CB7">
        <w:rPr>
          <w:i/>
        </w:rPr>
        <w:t xml:space="preserve"> Libel actions commenced in Ontario in respect of statements posted on U.S. company</w:t>
      </w:r>
      <w:r w:rsidR="00621B7F" w:rsidRPr="00217CB7">
        <w:rPr>
          <w:i/>
        </w:rPr>
        <w:t>’</w:t>
      </w:r>
      <w:r w:rsidR="00E61132" w:rsidRPr="00217CB7">
        <w:rPr>
          <w:i/>
        </w:rPr>
        <w:t xml:space="preserve">s website and in its annual report and republished by three Canadian newspapers </w:t>
      </w:r>
      <w:r w:rsidR="00D422C2" w:rsidRPr="00217CB7">
        <w:rPr>
          <w:i/>
        </w:rPr>
        <w:t>—</w:t>
      </w:r>
      <w:r w:rsidR="00E61132" w:rsidRPr="00217CB7">
        <w:rPr>
          <w:i/>
        </w:rPr>
        <w:t xml:space="preserve"> Defendants bringing motion to stay </w:t>
      </w:r>
      <w:r w:rsidR="00E61132" w:rsidRPr="00217CB7">
        <w:rPr>
          <w:i/>
        </w:rPr>
        <w:lastRenderedPageBreak/>
        <w:t xml:space="preserve">actions on grounds that Ontario court lacks jurisdiction or, alternatively, should decline to exercise its jurisdiction on basis of forum non </w:t>
      </w:r>
      <w:proofErr w:type="spellStart"/>
      <w:r w:rsidR="00E61132" w:rsidRPr="00217CB7">
        <w:rPr>
          <w:i/>
        </w:rPr>
        <w:t>conveniens</w:t>
      </w:r>
      <w:proofErr w:type="spellEnd"/>
      <w:r w:rsidR="00E61132" w:rsidRPr="00217CB7">
        <w:t xml:space="preserve"> </w:t>
      </w:r>
      <w:r w:rsidR="00D422C2" w:rsidRPr="00217CB7">
        <w:rPr>
          <w:i/>
        </w:rPr>
        <w:t>—</w:t>
      </w:r>
      <w:r w:rsidR="00E61132" w:rsidRPr="00217CB7">
        <w:rPr>
          <w:i/>
        </w:rPr>
        <w:t xml:space="preserve"> Whether Ontario court can assume jurisdiction over actions </w:t>
      </w:r>
      <w:r w:rsidR="00D422C2" w:rsidRPr="00217CB7">
        <w:rPr>
          <w:i/>
        </w:rPr>
        <w:t>—</w:t>
      </w:r>
      <w:r w:rsidR="00E61132" w:rsidRPr="00217CB7">
        <w:rPr>
          <w:i/>
        </w:rPr>
        <w:t xml:space="preserve"> If so, whether Ontario court should decline to exercise its jurisdiction on ground that court of another jurisdiction is clearly a more appropriate forum for hearing of actions.</w:t>
      </w:r>
    </w:p>
    <w:p w:rsidR="00E61132" w:rsidRPr="00217CB7" w:rsidRDefault="003E1FE7" w:rsidP="00E61132">
      <w:pPr>
        <w:pStyle w:val="SCCNormalDoubleSpacing"/>
        <w:spacing w:after="480"/>
      </w:pPr>
      <w:r w:rsidRPr="00217CB7">
        <w:tab/>
      </w:r>
      <w:r w:rsidR="00E61132" w:rsidRPr="00217CB7">
        <w:t>B is a well</w:t>
      </w:r>
      <w:r w:rsidR="0089026E" w:rsidRPr="00217CB7">
        <w:t>-</w:t>
      </w:r>
      <w:r w:rsidR="00E61132" w:rsidRPr="00217CB7">
        <w:t>known business figure who established a reputation as a newspaper owner and publisher in Canada and internatio</w:t>
      </w:r>
      <w:r w:rsidRPr="00217CB7">
        <w:t>nally.</w:t>
      </w:r>
      <w:r w:rsidR="0089026E" w:rsidRPr="00217CB7">
        <w:t xml:space="preserve"> </w:t>
      </w:r>
      <w:r w:rsidRPr="00217CB7">
        <w:t xml:space="preserve">While </w:t>
      </w:r>
      <w:r w:rsidR="00E61132" w:rsidRPr="00217CB7">
        <w:t>B served as the c</w:t>
      </w:r>
      <w:r w:rsidRPr="00217CB7">
        <w:t xml:space="preserve">hairman of a publicly traded U.S. company, </w:t>
      </w:r>
      <w:r w:rsidR="00E61132" w:rsidRPr="00217CB7">
        <w:t>the legitimacy of certain payments that had been</w:t>
      </w:r>
      <w:r w:rsidRPr="00217CB7">
        <w:t xml:space="preserve"> made to B were questioned.</w:t>
      </w:r>
      <w:r w:rsidR="0089026E" w:rsidRPr="00217CB7">
        <w:t xml:space="preserve"> </w:t>
      </w:r>
      <w:r w:rsidR="00E61132" w:rsidRPr="00217CB7">
        <w:t>A special committee formed to conduct an investigation concluded that the company had made</w:t>
      </w:r>
      <w:r w:rsidRPr="00217CB7">
        <w:t xml:space="preserve"> unauthorized payments to B.</w:t>
      </w:r>
      <w:r w:rsidR="0089026E" w:rsidRPr="00217CB7">
        <w:t xml:space="preserve"> </w:t>
      </w:r>
      <w:r w:rsidR="00E61132" w:rsidRPr="00217CB7">
        <w:t>The committee</w:t>
      </w:r>
      <w:r w:rsidR="00621B7F" w:rsidRPr="00217CB7">
        <w:t>’</w:t>
      </w:r>
      <w:r w:rsidR="00E61132" w:rsidRPr="00217CB7">
        <w:t>s report was post</w:t>
      </w:r>
      <w:r w:rsidRPr="00217CB7">
        <w:t>ed on the company</w:t>
      </w:r>
      <w:r w:rsidR="00621B7F" w:rsidRPr="00217CB7">
        <w:t>’</w:t>
      </w:r>
      <w:r w:rsidRPr="00217CB7">
        <w:t xml:space="preserve">s website, which was accessible worldwide, along with </w:t>
      </w:r>
      <w:r w:rsidR="00E61132" w:rsidRPr="00217CB7">
        <w:t xml:space="preserve">press releases containing contact information </w:t>
      </w:r>
      <w:r w:rsidRPr="00217CB7">
        <w:t>directed at Canadian media.</w:t>
      </w:r>
      <w:r w:rsidR="0089026E" w:rsidRPr="00217CB7">
        <w:t xml:space="preserve"> </w:t>
      </w:r>
      <w:r w:rsidRPr="00217CB7">
        <w:t xml:space="preserve">Statements </w:t>
      </w:r>
      <w:r w:rsidR="00E61132" w:rsidRPr="00217CB7">
        <w:t>were also</w:t>
      </w:r>
      <w:r w:rsidRPr="00217CB7">
        <w:t xml:space="preserve"> </w:t>
      </w:r>
      <w:r w:rsidR="00E61132" w:rsidRPr="00217CB7">
        <w:t>published in the company</w:t>
      </w:r>
      <w:r w:rsidR="00621B7F" w:rsidRPr="00217CB7">
        <w:t>’</w:t>
      </w:r>
      <w:r w:rsidR="00E61132" w:rsidRPr="00217CB7">
        <w:t>s annual report summarizing the committee</w:t>
      </w:r>
      <w:r w:rsidR="00621B7F" w:rsidRPr="00217CB7">
        <w:t>’</w:t>
      </w:r>
      <w:r w:rsidR="00E61132" w:rsidRPr="00217CB7">
        <w:t>s findings.</w:t>
      </w:r>
    </w:p>
    <w:p w:rsidR="00E61132" w:rsidRPr="00217CB7" w:rsidRDefault="003E1FE7" w:rsidP="00E61132">
      <w:pPr>
        <w:pStyle w:val="SCCNormalDoubleSpacing"/>
        <w:spacing w:after="480"/>
      </w:pPr>
      <w:r w:rsidRPr="00217CB7">
        <w:tab/>
        <w:t xml:space="preserve">B commenced </w:t>
      </w:r>
      <w:r w:rsidR="00E61132" w:rsidRPr="00217CB7">
        <w:t xml:space="preserve">six libel actions in the Ontario Superior Court </w:t>
      </w:r>
      <w:r w:rsidR="00185AA0" w:rsidRPr="00217CB7">
        <w:t xml:space="preserve">of Justice </w:t>
      </w:r>
      <w:r w:rsidR="00E61132" w:rsidRPr="00217CB7">
        <w:t xml:space="preserve">against the </w:t>
      </w:r>
      <w:r w:rsidR="002E475D">
        <w:t>10</w:t>
      </w:r>
      <w:r w:rsidR="00E61132" w:rsidRPr="00217CB7">
        <w:t xml:space="preserve"> appellants, who are directors, advisors and a vic</w:t>
      </w:r>
      <w:r w:rsidRPr="00217CB7">
        <w:t>e</w:t>
      </w:r>
      <w:r w:rsidR="00F92896" w:rsidRPr="00217CB7">
        <w:t>-</w:t>
      </w:r>
      <w:r w:rsidRPr="00217CB7">
        <w:t>president of the company.</w:t>
      </w:r>
      <w:r w:rsidR="0089026E" w:rsidRPr="00217CB7">
        <w:t xml:space="preserve"> </w:t>
      </w:r>
      <w:r w:rsidR="00E61132" w:rsidRPr="00217CB7">
        <w:t>B alleges that the press releases and reports issued by the appellants and posted on the company</w:t>
      </w:r>
      <w:r w:rsidR="00621B7F" w:rsidRPr="00217CB7">
        <w:t>’</w:t>
      </w:r>
      <w:r w:rsidR="00E61132" w:rsidRPr="00217CB7">
        <w:t>s website contained defamatory statements that were downloaded, read and republished in O</w:t>
      </w:r>
      <w:r w:rsidRPr="00217CB7">
        <w:t>ntario by three newspapers.</w:t>
      </w:r>
      <w:r w:rsidR="0089026E" w:rsidRPr="00217CB7">
        <w:t xml:space="preserve"> </w:t>
      </w:r>
      <w:r w:rsidR="00E61132" w:rsidRPr="00217CB7">
        <w:t>He claims damages for injury to his reputation in Ontario.</w:t>
      </w:r>
    </w:p>
    <w:p w:rsidR="00E61132" w:rsidRPr="00217CB7" w:rsidRDefault="003E1FE7" w:rsidP="00E61132">
      <w:pPr>
        <w:pStyle w:val="SCCNormalDoubleSpacing"/>
        <w:spacing w:after="480"/>
      </w:pPr>
      <w:r w:rsidRPr="00217CB7">
        <w:lastRenderedPageBreak/>
        <w:tab/>
      </w:r>
      <w:r w:rsidR="00E61132" w:rsidRPr="00217CB7">
        <w:t>The appellants brought a motion to have the actions stayed on the grounds that there was no real and substantial connection between the actions and Ontario, or, alternatively, that a New York or Illinois court was the more appropriat</w:t>
      </w:r>
      <w:r w:rsidRPr="00217CB7">
        <w:t>e forum.</w:t>
      </w:r>
      <w:r w:rsidR="0089026E" w:rsidRPr="00217CB7">
        <w:t xml:space="preserve"> </w:t>
      </w:r>
      <w:r w:rsidRPr="00217CB7">
        <w:t xml:space="preserve">The motion judge dismissed the motion, finding </w:t>
      </w:r>
      <w:r w:rsidR="00E61132" w:rsidRPr="00217CB7">
        <w:t xml:space="preserve">that a real and substantial connection to </w:t>
      </w:r>
      <w:r w:rsidRPr="00217CB7">
        <w:t xml:space="preserve">Ontario had been established and </w:t>
      </w:r>
      <w:r w:rsidR="00E61132" w:rsidRPr="00217CB7">
        <w:t xml:space="preserve">that Ontario was a convenient </w:t>
      </w:r>
      <w:r w:rsidRPr="00217CB7">
        <w:t>forum to hear the actions.</w:t>
      </w:r>
      <w:r w:rsidR="0089026E" w:rsidRPr="00217CB7">
        <w:t xml:space="preserve"> </w:t>
      </w:r>
      <w:r w:rsidR="00E61132" w:rsidRPr="00217CB7">
        <w:t xml:space="preserve">The </w:t>
      </w:r>
      <w:r w:rsidR="00342D97" w:rsidRPr="00217CB7">
        <w:t xml:space="preserve">Ontario </w:t>
      </w:r>
      <w:r w:rsidR="00E61132" w:rsidRPr="00217CB7">
        <w:t>Court of Appeal unanimously dismiss</w:t>
      </w:r>
      <w:r w:rsidRPr="00217CB7">
        <w:t>ed the appe</w:t>
      </w:r>
      <w:r w:rsidR="004474E4" w:rsidRPr="00217CB7">
        <w:t>al.</w:t>
      </w:r>
      <w:r w:rsidR="0089026E" w:rsidRPr="00217CB7">
        <w:t xml:space="preserve"> </w:t>
      </w:r>
      <w:r w:rsidRPr="00217CB7">
        <w:t xml:space="preserve">It </w:t>
      </w:r>
      <w:r w:rsidR="00E61132" w:rsidRPr="00217CB7">
        <w:t>found that a real and substantial connection was presumed to exist on the basis that a tort was committed in Ontario, and that the appellants had faile</w:t>
      </w:r>
      <w:r w:rsidRPr="00217CB7">
        <w:t>d to rebut this presumption.</w:t>
      </w:r>
      <w:r w:rsidR="0089026E" w:rsidRPr="00217CB7">
        <w:t xml:space="preserve"> </w:t>
      </w:r>
      <w:r w:rsidRPr="00217CB7">
        <w:t xml:space="preserve">It also </w:t>
      </w:r>
      <w:r w:rsidR="00E61132" w:rsidRPr="00217CB7">
        <w:t>found that there was no basis on which to interfere with the motion judge</w:t>
      </w:r>
      <w:r w:rsidR="00621B7F" w:rsidRPr="00217CB7">
        <w:t>’</w:t>
      </w:r>
      <w:r w:rsidR="00E61132" w:rsidRPr="00217CB7">
        <w:t xml:space="preserve">s exercise of discretion with regard to </w:t>
      </w:r>
      <w:r w:rsidR="00E61132" w:rsidRPr="00217CB7">
        <w:rPr>
          <w:i/>
        </w:rPr>
        <w:t xml:space="preserve">forum non </w:t>
      </w:r>
      <w:proofErr w:type="spellStart"/>
      <w:r w:rsidR="00E61132" w:rsidRPr="00217CB7">
        <w:rPr>
          <w:i/>
        </w:rPr>
        <w:t>conveniens</w:t>
      </w:r>
      <w:proofErr w:type="spellEnd"/>
      <w:r w:rsidR="00E61132" w:rsidRPr="00217CB7">
        <w:t xml:space="preserve">. </w:t>
      </w:r>
    </w:p>
    <w:p w:rsidR="00E61132" w:rsidRPr="00217CB7" w:rsidRDefault="00E61132" w:rsidP="00E61132">
      <w:pPr>
        <w:pStyle w:val="SCCNormalDoubleSpacing"/>
        <w:spacing w:after="480"/>
      </w:pPr>
      <w:r w:rsidRPr="00217CB7">
        <w:tab/>
      </w:r>
      <w:r w:rsidRPr="00217CB7">
        <w:rPr>
          <w:i/>
        </w:rPr>
        <w:t>Held</w:t>
      </w:r>
      <w:r w:rsidRPr="00217CB7">
        <w:t>:</w:t>
      </w:r>
      <w:r w:rsidR="0089026E" w:rsidRPr="00217CB7">
        <w:t xml:space="preserve"> </w:t>
      </w:r>
      <w:r w:rsidRPr="00217CB7">
        <w:t>The appeal should be dismissed.</w:t>
      </w:r>
    </w:p>
    <w:p w:rsidR="00E61132" w:rsidRPr="00217CB7" w:rsidRDefault="003E1FE7" w:rsidP="00E61132">
      <w:pPr>
        <w:pStyle w:val="SCCNormalDoubleSpacing"/>
        <w:spacing w:after="480"/>
      </w:pPr>
      <w:r w:rsidRPr="00217CB7">
        <w:tab/>
        <w:t xml:space="preserve">In the case at bar, </w:t>
      </w:r>
      <w:r w:rsidR="00E61132" w:rsidRPr="00217CB7">
        <w:t>it is necessary to engage in the real and substantial connection analysis to determine whether the Ontario court may properly assume juri</w:t>
      </w:r>
      <w:r w:rsidRPr="00217CB7">
        <w:t>sdiction over the actions.</w:t>
      </w:r>
      <w:r w:rsidR="0089026E" w:rsidRPr="00217CB7">
        <w:t xml:space="preserve"> </w:t>
      </w:r>
      <w:r w:rsidR="00E61132" w:rsidRPr="00217CB7">
        <w:t xml:space="preserve">The framework for the assumption of jurisdiction was recently set out by this Court in </w:t>
      </w:r>
      <w:r w:rsidR="00E61132" w:rsidRPr="00217CB7">
        <w:rPr>
          <w:i/>
        </w:rPr>
        <w:t>Club Resorts Ltd. v. Van Breda</w:t>
      </w:r>
      <w:r w:rsidRPr="00217CB7">
        <w:t>, 2012 SCC 17</w:t>
      </w:r>
      <w:r w:rsidR="00F92896" w:rsidRPr="00217CB7">
        <w:t xml:space="preserve">, [2012] 1 S.C.R. </w:t>
      </w:r>
      <w:r w:rsidR="001C4075">
        <w:t>572</w:t>
      </w:r>
      <w:r w:rsidR="00F92896" w:rsidRPr="00217CB7">
        <w:t>.</w:t>
      </w:r>
      <w:r w:rsidR="0089026E" w:rsidRPr="00217CB7">
        <w:t xml:space="preserve"> </w:t>
      </w:r>
      <w:r w:rsidR="00E61132" w:rsidRPr="00217CB7">
        <w:t xml:space="preserve">The issue of assumption of jurisdiction is easily resolved in this case based on a presumptive connecting factor </w:t>
      </w:r>
      <w:r w:rsidR="0089026E" w:rsidRPr="00217CB7">
        <w:t>—</w:t>
      </w:r>
      <w:r w:rsidR="00E61132" w:rsidRPr="00217CB7">
        <w:t xml:space="preserve"> the alleged commission of the tort</w:t>
      </w:r>
      <w:r w:rsidRPr="00217CB7">
        <w:t xml:space="preserve"> of defamation in Ontario.</w:t>
      </w:r>
      <w:r w:rsidR="0089026E" w:rsidRPr="00217CB7">
        <w:t xml:space="preserve"> </w:t>
      </w:r>
      <w:r w:rsidR="00E61132" w:rsidRPr="00217CB7">
        <w:t>It is well established in Canadian law that the tort of defamation occurs upon publication of a defamatory st</w:t>
      </w:r>
      <w:r w:rsidRPr="00217CB7">
        <w:t xml:space="preserve">atement to a third party, which, in this case, </w:t>
      </w:r>
      <w:r w:rsidR="00E61132" w:rsidRPr="00217CB7">
        <w:t>occurred when the impugned statements were read, downloaded and republished in On</w:t>
      </w:r>
      <w:r w:rsidRPr="00217CB7">
        <w:t>tario by three newspapers.</w:t>
      </w:r>
      <w:r w:rsidR="0089026E" w:rsidRPr="00217CB7">
        <w:t xml:space="preserve"> </w:t>
      </w:r>
      <w:r w:rsidR="00E61132" w:rsidRPr="00217CB7">
        <w:t xml:space="preserve">It is also well established that every </w:t>
      </w:r>
      <w:r w:rsidR="00E61132" w:rsidRPr="00217CB7">
        <w:lastRenderedPageBreak/>
        <w:t>repetition or republication of a defamatory statement co</w:t>
      </w:r>
      <w:r w:rsidRPr="00217CB7">
        <w:t xml:space="preserve">nstitutes a new publication, and that </w:t>
      </w:r>
      <w:r w:rsidR="00E61132" w:rsidRPr="00217CB7">
        <w:t>the original author of the statement may be held liable for the republication where it was authorized by the author or where the republication is the natural and probable result of the original publicati</w:t>
      </w:r>
      <w:r w:rsidRPr="00217CB7">
        <w:t>on.</w:t>
      </w:r>
      <w:r w:rsidR="0089026E" w:rsidRPr="00217CB7">
        <w:t xml:space="preserve"> </w:t>
      </w:r>
      <w:r w:rsidR="00E61132" w:rsidRPr="00217CB7">
        <w:t>The republication in the three newspapers of statements contained in press releases issued by the appellants clearly falls with</w:t>
      </w:r>
      <w:r w:rsidRPr="00217CB7">
        <w:t>in the scope of this rule.</w:t>
      </w:r>
      <w:r w:rsidR="0089026E" w:rsidRPr="00217CB7">
        <w:t xml:space="preserve"> </w:t>
      </w:r>
      <w:r w:rsidR="00E61132" w:rsidRPr="00217CB7">
        <w:t>In the circumstances, the appellants have not displaced the presumption of jurisdiction that results from this connecting factor.</w:t>
      </w:r>
    </w:p>
    <w:p w:rsidR="00E61132" w:rsidRPr="00217CB7" w:rsidRDefault="003E1FE7" w:rsidP="00E61132">
      <w:pPr>
        <w:pStyle w:val="SCCNormalDoubleSpacing"/>
        <w:spacing w:after="480"/>
      </w:pPr>
      <w:r w:rsidRPr="00217CB7">
        <w:tab/>
      </w:r>
      <w:r w:rsidR="00E61132" w:rsidRPr="00217CB7">
        <w:t>Having found that a real and substantial connection exists bet</w:t>
      </w:r>
      <w:r w:rsidRPr="00217CB7">
        <w:t xml:space="preserve">ween the action and Ontario, it must be determined </w:t>
      </w:r>
      <w:r w:rsidR="00E61132" w:rsidRPr="00217CB7">
        <w:t>whether the Ontario court should decline to exercise its jurisdiction on the ground that the court of another jurisdiction is clearly a more appropriate forum for t</w:t>
      </w:r>
      <w:r w:rsidRPr="00217CB7">
        <w:t>he hearing of the actions.</w:t>
      </w:r>
      <w:r w:rsidR="0089026E" w:rsidRPr="00217CB7">
        <w:t xml:space="preserve"> </w:t>
      </w:r>
      <w:r w:rsidR="00E61132" w:rsidRPr="00217CB7">
        <w:t xml:space="preserve">Under the </w:t>
      </w:r>
      <w:r w:rsidR="00E61132" w:rsidRPr="00217CB7">
        <w:rPr>
          <w:i/>
        </w:rPr>
        <w:t xml:space="preserve">forum non </w:t>
      </w:r>
      <w:proofErr w:type="spellStart"/>
      <w:r w:rsidR="00E61132" w:rsidRPr="00217CB7">
        <w:rPr>
          <w:i/>
        </w:rPr>
        <w:t>conveniens</w:t>
      </w:r>
      <w:proofErr w:type="spellEnd"/>
      <w:r w:rsidR="00E61132" w:rsidRPr="00217CB7">
        <w:t xml:space="preserve"> analysis, the burden is on the party raising the issue to demonstrate that the court of the alternative jurisdiction is a clea</w:t>
      </w:r>
      <w:r w:rsidRPr="00217CB7">
        <w:t>rly more appropriate forum.</w:t>
      </w:r>
      <w:r w:rsidR="0089026E" w:rsidRPr="00217CB7">
        <w:t xml:space="preserve"> </w:t>
      </w:r>
      <w:r w:rsidR="00E61132" w:rsidRPr="00217CB7">
        <w:t>The factors to be considered by a court in determining whether an alternative forum is clearly m</w:t>
      </w:r>
      <w:r w:rsidRPr="00217CB7">
        <w:t xml:space="preserve">ore appropriate are numerous and </w:t>
      </w:r>
      <w:r w:rsidR="00E61132" w:rsidRPr="00217CB7">
        <w:t>will vary depending on</w:t>
      </w:r>
      <w:r w:rsidRPr="00217CB7">
        <w:t xml:space="preserve"> the context of each case.</w:t>
      </w:r>
      <w:r w:rsidR="0089026E" w:rsidRPr="00217CB7">
        <w:t xml:space="preserve"> </w:t>
      </w:r>
      <w:r w:rsidR="00E61132" w:rsidRPr="00217CB7">
        <w:t xml:space="preserve">The </w:t>
      </w:r>
      <w:r w:rsidR="00E61132" w:rsidRPr="00217CB7">
        <w:rPr>
          <w:i/>
        </w:rPr>
        <w:t xml:space="preserve">forum non </w:t>
      </w:r>
      <w:proofErr w:type="spellStart"/>
      <w:r w:rsidR="00E61132" w:rsidRPr="00217CB7">
        <w:rPr>
          <w:i/>
        </w:rPr>
        <w:t>conveniens</w:t>
      </w:r>
      <w:proofErr w:type="spellEnd"/>
      <w:r w:rsidR="00E61132" w:rsidRPr="00217CB7">
        <w:t xml:space="preserve"> analysis does not require that all the fact</w:t>
      </w:r>
      <w:r w:rsidRPr="00217CB7">
        <w:t xml:space="preserve">ors point to a single forum, but </w:t>
      </w:r>
      <w:r w:rsidR="00E61132" w:rsidRPr="00217CB7">
        <w:t>it does require that one forum ultimately emerge as clearly</w:t>
      </w:r>
      <w:r w:rsidR="00E61132" w:rsidRPr="00217CB7">
        <w:rPr>
          <w:i/>
        </w:rPr>
        <w:t xml:space="preserve"> </w:t>
      </w:r>
      <w:r w:rsidRPr="00217CB7">
        <w:t>more appropriate.</w:t>
      </w:r>
      <w:r w:rsidR="0089026E" w:rsidRPr="00217CB7">
        <w:t xml:space="preserve"> </w:t>
      </w:r>
      <w:r w:rsidR="00E61132" w:rsidRPr="00217CB7">
        <w:t xml:space="preserve">The decision not to exercise jurisdiction and to stay an action based on </w:t>
      </w:r>
      <w:r w:rsidR="00E61132" w:rsidRPr="00217CB7">
        <w:rPr>
          <w:i/>
        </w:rPr>
        <w:t xml:space="preserve">forum non </w:t>
      </w:r>
      <w:proofErr w:type="spellStart"/>
      <w:r w:rsidR="00E61132" w:rsidRPr="00217CB7">
        <w:rPr>
          <w:i/>
        </w:rPr>
        <w:t>conveniens</w:t>
      </w:r>
      <w:proofErr w:type="spellEnd"/>
      <w:r w:rsidR="00E61132" w:rsidRPr="00217CB7">
        <w:t xml:space="preserve"> is a discretionary one, and the discretion exercised by a motion judge will be entitled to deference from higher courts, absent an error of legal principle or an apparent and serious error on the determination of relevant facts.</w:t>
      </w:r>
    </w:p>
    <w:p w:rsidR="00E61132" w:rsidRPr="00217CB7" w:rsidRDefault="003E1FE7" w:rsidP="00E61132">
      <w:pPr>
        <w:pStyle w:val="SCCNormalDoubleSpacing"/>
        <w:spacing w:after="480"/>
        <w:rPr>
          <w:lang w:val="en-US"/>
        </w:rPr>
      </w:pPr>
      <w:r w:rsidRPr="00217CB7">
        <w:lastRenderedPageBreak/>
        <w:tab/>
      </w:r>
      <w:r w:rsidR="00E61132" w:rsidRPr="00217CB7">
        <w:t xml:space="preserve">When the </w:t>
      </w:r>
      <w:r w:rsidR="00E61132" w:rsidRPr="00217CB7">
        <w:rPr>
          <w:i/>
        </w:rPr>
        <w:t xml:space="preserve">forum non </w:t>
      </w:r>
      <w:proofErr w:type="spellStart"/>
      <w:r w:rsidR="00E61132" w:rsidRPr="00217CB7">
        <w:rPr>
          <w:i/>
        </w:rPr>
        <w:t>conveniens</w:t>
      </w:r>
      <w:proofErr w:type="spellEnd"/>
      <w:r w:rsidR="00E61132" w:rsidRPr="00217CB7">
        <w:rPr>
          <w:i/>
        </w:rPr>
        <w:t xml:space="preserve"> </w:t>
      </w:r>
      <w:r w:rsidR="00E61132" w:rsidRPr="00217CB7">
        <w:t xml:space="preserve">analysis is applied to the circumstances of the instant appeal, it becomes apparent that both the courts of Illinois and Ontario are appropriate forums for the </w:t>
      </w:r>
      <w:r w:rsidRPr="00217CB7">
        <w:t>trial of the libel actions.</w:t>
      </w:r>
      <w:r w:rsidR="0089026E" w:rsidRPr="00217CB7">
        <w:t xml:space="preserve"> </w:t>
      </w:r>
      <w:r w:rsidRPr="00217CB7">
        <w:t>The factors of</w:t>
      </w:r>
      <w:r w:rsidR="00E61132" w:rsidRPr="00217CB7">
        <w:t xml:space="preserve"> comparative convenience and expense for </w:t>
      </w:r>
      <w:r w:rsidRPr="00217CB7">
        <w:t>the parties and witnesses, location of the parties,</w:t>
      </w:r>
      <w:r w:rsidR="00E61132" w:rsidRPr="00217CB7">
        <w:t xml:space="preserve"> avoidance of a multiplicity of procee</w:t>
      </w:r>
      <w:r w:rsidRPr="00217CB7">
        <w:t>dings and conflicting decisions</w:t>
      </w:r>
      <w:r w:rsidR="00F92896" w:rsidRPr="00217CB7">
        <w:t>,</w:t>
      </w:r>
      <w:r w:rsidRPr="00217CB7">
        <w:t xml:space="preserve"> </w:t>
      </w:r>
      <w:r w:rsidRPr="00217CB7">
        <w:rPr>
          <w:lang w:val="en-US"/>
        </w:rPr>
        <w:t xml:space="preserve">and enforcement of judgment </w:t>
      </w:r>
      <w:proofErr w:type="spellStart"/>
      <w:r w:rsidR="00E61132" w:rsidRPr="00217CB7">
        <w:rPr>
          <w:lang w:val="en-US"/>
        </w:rPr>
        <w:t>favour</w:t>
      </w:r>
      <w:proofErr w:type="spellEnd"/>
      <w:r w:rsidR="00E61132" w:rsidRPr="00217CB7">
        <w:rPr>
          <w:lang w:val="en-US"/>
        </w:rPr>
        <w:t xml:space="preserve"> the Illinois court as a more appropriate forum</w:t>
      </w:r>
      <w:r w:rsidR="00E61132" w:rsidRPr="00217CB7">
        <w:t>, whereas the factor</w:t>
      </w:r>
      <w:r w:rsidRPr="00217CB7">
        <w:t xml:space="preserve">s of applicable law and fairness to the parties </w:t>
      </w:r>
      <w:r w:rsidR="00E61132" w:rsidRPr="00217CB7">
        <w:t xml:space="preserve">favour the Ontario court. </w:t>
      </w:r>
      <w:r w:rsidRPr="00217CB7">
        <w:rPr>
          <w:lang w:val="en-US"/>
        </w:rPr>
        <w:t xml:space="preserve">In the end, however, </w:t>
      </w:r>
      <w:r w:rsidR="00E61132" w:rsidRPr="00217CB7">
        <w:rPr>
          <w:lang w:val="en-US"/>
        </w:rPr>
        <w:t>considering the combined effect of the relevant facts, and in particular the weight of the alleged harm to B</w:t>
      </w:r>
      <w:r w:rsidR="00621B7F" w:rsidRPr="00217CB7">
        <w:rPr>
          <w:lang w:val="en-US"/>
        </w:rPr>
        <w:t>’</w:t>
      </w:r>
      <w:r w:rsidR="00E61132" w:rsidRPr="00217CB7">
        <w:rPr>
          <w:lang w:val="en-US"/>
        </w:rPr>
        <w:t>s reputation in Ontario, and giving due deference to the motion judge</w:t>
      </w:r>
      <w:r w:rsidR="00621B7F" w:rsidRPr="00217CB7">
        <w:rPr>
          <w:lang w:val="en-US"/>
        </w:rPr>
        <w:t>’</w:t>
      </w:r>
      <w:r w:rsidR="00E61132" w:rsidRPr="00217CB7">
        <w:rPr>
          <w:lang w:val="en-US"/>
        </w:rPr>
        <w:t>s decision, the Illinois court does not emerge as a clearly more appropriate forum than an Ontario court for the trial of the libel actions.</w:t>
      </w:r>
    </w:p>
    <w:p w:rsidR="007E1C47" w:rsidRPr="00217CB7" w:rsidRDefault="002E6705" w:rsidP="00981DD7">
      <w:pPr>
        <w:pStyle w:val="SCCNormalDoubleSpacing"/>
        <w:keepNext/>
        <w:spacing w:after="480"/>
        <w:rPr>
          <w:b/>
        </w:rPr>
      </w:pPr>
      <w:r w:rsidRPr="00217CB7">
        <w:rPr>
          <w:b/>
        </w:rPr>
        <w:t>Cases Cited</w:t>
      </w:r>
    </w:p>
    <w:p w:rsidR="003D27D0" w:rsidRPr="00217CB7" w:rsidRDefault="002E6705" w:rsidP="006C75D5">
      <w:pPr>
        <w:pStyle w:val="SCCNormalDoubleSpacing"/>
        <w:widowControl w:val="0"/>
        <w:spacing w:after="480"/>
        <w:rPr>
          <w:lang w:val="en-US"/>
        </w:rPr>
      </w:pPr>
      <w:r w:rsidRPr="00217CB7">
        <w:tab/>
      </w:r>
      <w:r w:rsidR="00BA70C3" w:rsidRPr="00217CB7">
        <w:rPr>
          <w:b/>
        </w:rPr>
        <w:t>Applied</w:t>
      </w:r>
      <w:r w:rsidRPr="00217CB7">
        <w:rPr>
          <w:b/>
        </w:rPr>
        <w:t>:</w:t>
      </w:r>
      <w:r w:rsidR="0089026E" w:rsidRPr="00217CB7">
        <w:rPr>
          <w:b/>
        </w:rPr>
        <w:t xml:space="preserve"> </w:t>
      </w:r>
      <w:r w:rsidR="00AE3F5D" w:rsidRPr="00217CB7">
        <w:rPr>
          <w:i/>
        </w:rPr>
        <w:t>Club Resorts Ltd. v. Van Breda</w:t>
      </w:r>
      <w:r w:rsidR="00AE3F5D" w:rsidRPr="00217CB7">
        <w:t>, 201</w:t>
      </w:r>
      <w:r w:rsidR="00A41543" w:rsidRPr="00217CB7">
        <w:t>2</w:t>
      </w:r>
      <w:r w:rsidR="00AE3F5D" w:rsidRPr="00217CB7">
        <w:t xml:space="preserve"> SCC</w:t>
      </w:r>
      <w:r w:rsidR="00BA70C3" w:rsidRPr="00217CB7">
        <w:t xml:space="preserve"> 17</w:t>
      </w:r>
      <w:r w:rsidR="00F92896" w:rsidRPr="00217CB7">
        <w:t xml:space="preserve">, [2012] 1 S.C.R. </w:t>
      </w:r>
      <w:r w:rsidR="00145188">
        <w:t>572</w:t>
      </w:r>
      <w:r w:rsidR="00686F23" w:rsidRPr="00217CB7">
        <w:t xml:space="preserve">; </w:t>
      </w:r>
      <w:r w:rsidR="00BA70C3" w:rsidRPr="00217CB7">
        <w:rPr>
          <w:b/>
        </w:rPr>
        <w:t>referred to:</w:t>
      </w:r>
      <w:r w:rsidR="0089026E" w:rsidRPr="00217CB7">
        <w:rPr>
          <w:b/>
        </w:rPr>
        <w:t xml:space="preserve"> </w:t>
      </w:r>
      <w:r w:rsidR="00062ED5" w:rsidRPr="00217CB7">
        <w:rPr>
          <w:i/>
          <w:lang w:val="en-US"/>
        </w:rPr>
        <w:t>Charron Est</w:t>
      </w:r>
      <w:r w:rsidR="00062ED5" w:rsidRPr="00217CB7">
        <w:rPr>
          <w:i/>
        </w:rPr>
        <w:t xml:space="preserve">ate </w:t>
      </w:r>
      <w:r w:rsidR="00686F23" w:rsidRPr="00217CB7">
        <w:rPr>
          <w:i/>
        </w:rPr>
        <w:t>v. Village Resorts Ltd.</w:t>
      </w:r>
      <w:r w:rsidR="00686F23" w:rsidRPr="00217CB7">
        <w:t xml:space="preserve">, 2010 ONCA 84, </w:t>
      </w:r>
      <w:r w:rsidR="009D45C3" w:rsidRPr="00217CB7">
        <w:t>98 O.R. (3d) 721</w:t>
      </w:r>
      <w:r w:rsidR="00686F23" w:rsidRPr="00217CB7">
        <w:t xml:space="preserve">; </w:t>
      </w:r>
      <w:proofErr w:type="spellStart"/>
      <w:r w:rsidR="00686F23" w:rsidRPr="00217CB7">
        <w:rPr>
          <w:i/>
        </w:rPr>
        <w:t>Muscutt</w:t>
      </w:r>
      <w:proofErr w:type="spellEnd"/>
      <w:r w:rsidR="00686F23" w:rsidRPr="00217CB7">
        <w:rPr>
          <w:i/>
        </w:rPr>
        <w:t xml:space="preserve"> v. </w:t>
      </w:r>
      <w:proofErr w:type="spellStart"/>
      <w:r w:rsidR="00686F23" w:rsidRPr="00217CB7">
        <w:rPr>
          <w:i/>
        </w:rPr>
        <w:t>Courcelles</w:t>
      </w:r>
      <w:proofErr w:type="spellEnd"/>
      <w:r w:rsidR="00BA70C3" w:rsidRPr="00217CB7">
        <w:t xml:space="preserve"> (2002), </w:t>
      </w:r>
      <w:r w:rsidR="00686F23" w:rsidRPr="00217CB7">
        <w:t>60 O.R. (3d) 20</w:t>
      </w:r>
      <w:r w:rsidR="00D96199" w:rsidRPr="00217CB7">
        <w:rPr>
          <w:lang w:val="en-US"/>
        </w:rPr>
        <w:t xml:space="preserve">; </w:t>
      </w:r>
      <w:proofErr w:type="spellStart"/>
      <w:r w:rsidR="00D96199" w:rsidRPr="00217CB7">
        <w:rPr>
          <w:i/>
          <w:lang w:val="en-US"/>
        </w:rPr>
        <w:t>Teck</w:t>
      </w:r>
      <w:proofErr w:type="spellEnd"/>
      <w:r w:rsidR="00D96199" w:rsidRPr="00217CB7">
        <w:rPr>
          <w:i/>
          <w:lang w:val="en-US"/>
        </w:rPr>
        <w:t xml:space="preserve"> Cominco Metals Ltd. v. Lloyd</w:t>
      </w:r>
      <w:r w:rsidR="00621B7F" w:rsidRPr="00217CB7">
        <w:rPr>
          <w:i/>
          <w:lang w:val="en-US"/>
        </w:rPr>
        <w:t>’</w:t>
      </w:r>
      <w:r w:rsidR="00D96199" w:rsidRPr="00217CB7">
        <w:rPr>
          <w:i/>
          <w:lang w:val="en-US"/>
        </w:rPr>
        <w:t>s Underwriters</w:t>
      </w:r>
      <w:r w:rsidR="00D96199" w:rsidRPr="00217CB7">
        <w:rPr>
          <w:lang w:val="en-US"/>
        </w:rPr>
        <w:t>, 2009 SCC 11, [2009] 1 S.C.R. 321</w:t>
      </w:r>
      <w:r w:rsidR="00956D1E" w:rsidRPr="00217CB7">
        <w:rPr>
          <w:lang w:val="en-US"/>
        </w:rPr>
        <w:t xml:space="preserve">; </w:t>
      </w:r>
      <w:r w:rsidR="00BA70C3" w:rsidRPr="00217CB7">
        <w:rPr>
          <w:i/>
          <w:lang w:val="en-US"/>
        </w:rPr>
        <w:t xml:space="preserve">Oppenheim </w:t>
      </w:r>
      <w:proofErr w:type="spellStart"/>
      <w:r w:rsidR="00BA70C3" w:rsidRPr="00217CB7">
        <w:rPr>
          <w:i/>
          <w:lang w:val="en-US"/>
        </w:rPr>
        <w:t>forfait</w:t>
      </w:r>
      <w:proofErr w:type="spellEnd"/>
      <w:r w:rsidR="00BA70C3" w:rsidRPr="00217CB7">
        <w:rPr>
          <w:i/>
          <w:lang w:val="en-US"/>
        </w:rPr>
        <w:t xml:space="preserve"> GMBH v. Lexus maritime i</w:t>
      </w:r>
      <w:r w:rsidR="00956D1E" w:rsidRPr="00217CB7">
        <w:rPr>
          <w:i/>
          <w:lang w:val="en-US"/>
        </w:rPr>
        <w:t>nc.</w:t>
      </w:r>
      <w:r w:rsidR="00956D1E" w:rsidRPr="00217CB7">
        <w:rPr>
          <w:lang w:val="en-US"/>
        </w:rPr>
        <w:t xml:space="preserve">, 1998 </w:t>
      </w:r>
      <w:proofErr w:type="spellStart"/>
      <w:r w:rsidR="00956D1E" w:rsidRPr="00217CB7">
        <w:rPr>
          <w:lang w:val="en-US"/>
        </w:rPr>
        <w:t>CanLII</w:t>
      </w:r>
      <w:proofErr w:type="spellEnd"/>
      <w:r w:rsidR="00956D1E" w:rsidRPr="00217CB7">
        <w:rPr>
          <w:lang w:val="en-US"/>
        </w:rPr>
        <w:t xml:space="preserve"> 13001</w:t>
      </w:r>
      <w:r w:rsidR="00C81671" w:rsidRPr="00217CB7">
        <w:rPr>
          <w:lang w:val="en-US"/>
        </w:rPr>
        <w:t>;</w:t>
      </w:r>
      <w:r w:rsidR="00C81671" w:rsidRPr="00217CB7">
        <w:t xml:space="preserve"> </w:t>
      </w:r>
      <w:proofErr w:type="spellStart"/>
      <w:r w:rsidR="00C81671" w:rsidRPr="00217CB7">
        <w:rPr>
          <w:i/>
          <w:szCs w:val="24"/>
        </w:rPr>
        <w:t>Amchem</w:t>
      </w:r>
      <w:proofErr w:type="spellEnd"/>
      <w:r w:rsidR="00C81671" w:rsidRPr="00217CB7">
        <w:rPr>
          <w:i/>
          <w:szCs w:val="24"/>
        </w:rPr>
        <w:t xml:space="preserve"> Products Inc. v. British Columbia (Workers</w:t>
      </w:r>
      <w:r w:rsidR="00621B7F" w:rsidRPr="00217CB7">
        <w:rPr>
          <w:i/>
          <w:szCs w:val="24"/>
        </w:rPr>
        <w:t>’</w:t>
      </w:r>
      <w:r w:rsidR="00C81671" w:rsidRPr="00217CB7">
        <w:rPr>
          <w:i/>
          <w:szCs w:val="24"/>
        </w:rPr>
        <w:t xml:space="preserve"> Compensation Board)</w:t>
      </w:r>
      <w:r w:rsidR="00C81671" w:rsidRPr="00217CB7">
        <w:rPr>
          <w:szCs w:val="24"/>
        </w:rPr>
        <w:t>, [1993] 1 S.C.R. 897</w:t>
      </w:r>
      <w:r w:rsidR="003D27D0" w:rsidRPr="00217CB7">
        <w:rPr>
          <w:szCs w:val="24"/>
        </w:rPr>
        <w:t>;</w:t>
      </w:r>
      <w:r w:rsidR="003D27D0" w:rsidRPr="00217CB7">
        <w:rPr>
          <w:i/>
          <w:lang w:val="en-US"/>
        </w:rPr>
        <w:t xml:space="preserve"> </w:t>
      </w:r>
      <w:proofErr w:type="spellStart"/>
      <w:r w:rsidR="003D27D0" w:rsidRPr="00217CB7">
        <w:rPr>
          <w:i/>
          <w:lang w:val="en-US"/>
        </w:rPr>
        <w:t>Éditions</w:t>
      </w:r>
      <w:proofErr w:type="spellEnd"/>
      <w:r w:rsidR="003D27D0" w:rsidRPr="00217CB7">
        <w:rPr>
          <w:i/>
          <w:lang w:val="en-US"/>
        </w:rPr>
        <w:t xml:space="preserve"> </w:t>
      </w:r>
      <w:proofErr w:type="spellStart"/>
      <w:r w:rsidR="003D27D0" w:rsidRPr="00217CB7">
        <w:rPr>
          <w:i/>
          <w:lang w:val="en-US"/>
        </w:rPr>
        <w:t>Écosociété</w:t>
      </w:r>
      <w:proofErr w:type="spellEnd"/>
      <w:r w:rsidR="003D27D0" w:rsidRPr="00217CB7">
        <w:rPr>
          <w:i/>
          <w:lang w:val="en-US"/>
        </w:rPr>
        <w:t xml:space="preserve"> Inc. v. </w:t>
      </w:r>
      <w:proofErr w:type="spellStart"/>
      <w:r w:rsidR="003D27D0" w:rsidRPr="00217CB7">
        <w:rPr>
          <w:i/>
          <w:lang w:val="en-US"/>
        </w:rPr>
        <w:t>Banro</w:t>
      </w:r>
      <w:proofErr w:type="spellEnd"/>
      <w:r w:rsidR="003D27D0" w:rsidRPr="00217CB7">
        <w:rPr>
          <w:i/>
          <w:lang w:val="en-US"/>
        </w:rPr>
        <w:t xml:space="preserve"> Corp.</w:t>
      </w:r>
      <w:r w:rsidR="003D27D0" w:rsidRPr="00217CB7">
        <w:t xml:space="preserve">, 2012 SCC </w:t>
      </w:r>
      <w:r w:rsidR="00BA70C3" w:rsidRPr="00217CB7">
        <w:t>18</w:t>
      </w:r>
      <w:r w:rsidR="00F92896" w:rsidRPr="00217CB7">
        <w:t xml:space="preserve">, [2012] 1 S.C.R. </w:t>
      </w:r>
      <w:r w:rsidR="00145188">
        <w:t>636</w:t>
      </w:r>
      <w:r w:rsidR="003D27D0" w:rsidRPr="00217CB7">
        <w:t>;</w:t>
      </w:r>
      <w:r w:rsidR="006738B9" w:rsidRPr="00217CB7">
        <w:rPr>
          <w:szCs w:val="24"/>
          <w:lang w:val="en-US"/>
        </w:rPr>
        <w:t xml:space="preserve"> </w:t>
      </w:r>
      <w:r w:rsidR="006738B9" w:rsidRPr="00217CB7">
        <w:rPr>
          <w:i/>
          <w:lang w:val="en-US"/>
        </w:rPr>
        <w:t>Hill v. Church of Scientology of Toronto</w:t>
      </w:r>
      <w:r w:rsidR="006738B9" w:rsidRPr="00217CB7">
        <w:rPr>
          <w:lang w:val="en-US"/>
        </w:rPr>
        <w:t>, [1995] 2 S.C.R. 1130</w:t>
      </w:r>
      <w:r w:rsidR="009D45C3" w:rsidRPr="00217CB7">
        <w:rPr>
          <w:lang w:val="en-US"/>
        </w:rPr>
        <w:t>.</w:t>
      </w:r>
    </w:p>
    <w:p w:rsidR="003B215F" w:rsidRPr="00217CB7" w:rsidRDefault="002E6705" w:rsidP="006C75D5">
      <w:pPr>
        <w:pStyle w:val="SCCNormalDoubleSpacing"/>
        <w:keepNext/>
        <w:spacing w:after="480"/>
      </w:pPr>
      <w:r w:rsidRPr="00217CB7">
        <w:rPr>
          <w:b/>
        </w:rPr>
        <w:lastRenderedPageBreak/>
        <w:t>Statutes and Regulations Cite</w:t>
      </w:r>
      <w:r w:rsidR="00A41805" w:rsidRPr="00217CB7">
        <w:rPr>
          <w:b/>
        </w:rPr>
        <w:t>d</w:t>
      </w:r>
    </w:p>
    <w:p w:rsidR="00C202C9" w:rsidRPr="00981A52" w:rsidRDefault="00C202C9" w:rsidP="006C75D5">
      <w:pPr>
        <w:pStyle w:val="SCCNormalDoubleSpacing"/>
        <w:spacing w:after="240" w:line="240" w:lineRule="auto"/>
        <w:ind w:left="540" w:hanging="540"/>
      </w:pPr>
      <w:proofErr w:type="gramStart"/>
      <w:r w:rsidRPr="00981A52">
        <w:rPr>
          <w:i/>
        </w:rPr>
        <w:t>Civil Code of Québec</w:t>
      </w:r>
      <w:r w:rsidR="006C75D5" w:rsidRPr="00981A52">
        <w:t>, S.Q. 1991, c.</w:t>
      </w:r>
      <w:r w:rsidR="0089026E" w:rsidRPr="00981A52">
        <w:t xml:space="preserve"> </w:t>
      </w:r>
      <w:r w:rsidRPr="00981A52">
        <w:t xml:space="preserve">64, </w:t>
      </w:r>
      <w:r w:rsidR="004474E4" w:rsidRPr="00981A52">
        <w:t>art.</w:t>
      </w:r>
      <w:proofErr w:type="gramEnd"/>
      <w:r w:rsidR="0089026E" w:rsidRPr="00981A52">
        <w:t> </w:t>
      </w:r>
      <w:r w:rsidRPr="00981A52">
        <w:t>3135.</w:t>
      </w:r>
    </w:p>
    <w:p w:rsidR="00D90F17" w:rsidRPr="00217CB7" w:rsidRDefault="00D90F17" w:rsidP="006C75D5">
      <w:pPr>
        <w:pStyle w:val="SCCNormalDoubleSpacing"/>
        <w:spacing w:after="240" w:line="240" w:lineRule="auto"/>
        <w:ind w:left="539" w:hanging="539"/>
      </w:pPr>
      <w:r w:rsidRPr="00217CB7">
        <w:rPr>
          <w:i/>
        </w:rPr>
        <w:t>Court Jurisdiction and Proceedings Transfer Act</w:t>
      </w:r>
      <w:r w:rsidRPr="00217CB7">
        <w:t>, S.B.C. 2003, c.</w:t>
      </w:r>
      <w:r w:rsidR="0089026E" w:rsidRPr="00217CB7">
        <w:t xml:space="preserve"> </w:t>
      </w:r>
      <w:r w:rsidRPr="00217CB7">
        <w:t>28</w:t>
      </w:r>
      <w:r w:rsidR="0006659A" w:rsidRPr="00217CB7">
        <w:t>, s.</w:t>
      </w:r>
      <w:r w:rsidR="0089026E" w:rsidRPr="00217CB7">
        <w:t> </w:t>
      </w:r>
      <w:r w:rsidR="00B8139C" w:rsidRPr="00217CB7">
        <w:t>11</w:t>
      </w:r>
      <w:r w:rsidR="00AC779D" w:rsidRPr="00217CB7">
        <w:t>(2)</w:t>
      </w:r>
      <w:r w:rsidRPr="00217CB7">
        <w:t>.</w:t>
      </w:r>
    </w:p>
    <w:p w:rsidR="00D90F17" w:rsidRPr="00217CB7" w:rsidRDefault="000B6733" w:rsidP="006C75D5">
      <w:pPr>
        <w:pStyle w:val="SCCNormalDoubleSpacing"/>
        <w:spacing w:after="240" w:line="240" w:lineRule="auto"/>
        <w:ind w:left="539" w:hanging="539"/>
      </w:pPr>
      <w:proofErr w:type="gramStart"/>
      <w:r w:rsidRPr="00217CB7">
        <w:rPr>
          <w:i/>
        </w:rPr>
        <w:t>Federal Rules of Civil Procedure</w:t>
      </w:r>
      <w:r w:rsidRPr="00217CB7">
        <w:t>, 28 U.S.C.</w:t>
      </w:r>
      <w:r w:rsidR="00F00457" w:rsidRPr="00217CB7">
        <w:t xml:space="preserve"> app.</w:t>
      </w:r>
      <w:r w:rsidRPr="00217CB7">
        <w:t>, r.</w:t>
      </w:r>
      <w:r w:rsidR="0089026E" w:rsidRPr="00217CB7">
        <w:t> </w:t>
      </w:r>
      <w:r w:rsidRPr="00217CB7">
        <w:t>45.</w:t>
      </w:r>
      <w:proofErr w:type="gramEnd"/>
    </w:p>
    <w:p w:rsidR="003D1604" w:rsidRPr="00217CB7" w:rsidRDefault="003D1604" w:rsidP="006C75D5">
      <w:pPr>
        <w:pStyle w:val="SCCNormalDoubleSpacing"/>
        <w:spacing w:after="720" w:line="240" w:lineRule="auto"/>
        <w:ind w:left="539" w:hanging="539"/>
      </w:pPr>
      <w:proofErr w:type="gramStart"/>
      <w:r w:rsidRPr="00217CB7">
        <w:rPr>
          <w:i/>
        </w:rPr>
        <w:t>Rules of Civil Procedure</w:t>
      </w:r>
      <w:r w:rsidR="006C75D5" w:rsidRPr="00217CB7">
        <w:t>, R.R.O. 1990, Reg. 194, r.</w:t>
      </w:r>
      <w:r w:rsidR="0089026E" w:rsidRPr="00217CB7">
        <w:t> </w:t>
      </w:r>
      <w:r w:rsidRPr="00217CB7">
        <w:t>17.02</w:t>
      </w:r>
      <w:r w:rsidR="00AC779D" w:rsidRPr="00217CB7">
        <w:t>(g)</w:t>
      </w:r>
      <w:r w:rsidRPr="00217CB7">
        <w:t>.</w:t>
      </w:r>
      <w:proofErr w:type="gramEnd"/>
    </w:p>
    <w:p w:rsidR="002E6705" w:rsidRPr="00217CB7" w:rsidRDefault="002E6705" w:rsidP="006C75D5">
      <w:pPr>
        <w:pStyle w:val="SCCNormalDoubleSpacing"/>
        <w:keepNext/>
        <w:spacing w:after="480"/>
        <w:rPr>
          <w:b/>
        </w:rPr>
      </w:pPr>
      <w:r w:rsidRPr="00217CB7">
        <w:rPr>
          <w:b/>
        </w:rPr>
        <w:t>Authors Cited</w:t>
      </w:r>
    </w:p>
    <w:p w:rsidR="00353CCF" w:rsidRPr="00217CB7" w:rsidRDefault="006C75D5" w:rsidP="006C75D5">
      <w:pPr>
        <w:pStyle w:val="SCCNormalDoubleSpacing"/>
        <w:spacing w:after="240" w:line="240" w:lineRule="auto"/>
        <w:ind w:left="539" w:hanging="539"/>
      </w:pPr>
      <w:r w:rsidRPr="00217CB7">
        <w:t>Brown, Raymond</w:t>
      </w:r>
      <w:r w:rsidR="0089026E" w:rsidRPr="00217CB7">
        <w:t xml:space="preserve"> </w:t>
      </w:r>
      <w:r w:rsidR="00353CCF" w:rsidRPr="00217CB7">
        <w:t>E.</w:t>
      </w:r>
      <w:r w:rsidR="0089026E" w:rsidRPr="00217CB7">
        <w:t xml:space="preserve"> </w:t>
      </w:r>
      <w:proofErr w:type="gramStart"/>
      <w:r w:rsidR="00353CCF" w:rsidRPr="00217CB7">
        <w:rPr>
          <w:i/>
        </w:rPr>
        <w:t>The Law of Defamation in Canada</w:t>
      </w:r>
      <w:r w:rsidR="00286140" w:rsidRPr="00217CB7">
        <w:t xml:space="preserve">, </w:t>
      </w:r>
      <w:r w:rsidR="004474E4" w:rsidRPr="00217CB7">
        <w:t>vol.</w:t>
      </w:r>
      <w:r w:rsidR="001845A9" w:rsidRPr="00217CB7">
        <w:t> </w:t>
      </w:r>
      <w:r w:rsidR="00286140" w:rsidRPr="00217CB7">
        <w:t>1.</w:t>
      </w:r>
      <w:proofErr w:type="gramEnd"/>
      <w:r w:rsidR="0089026E" w:rsidRPr="00217CB7">
        <w:t xml:space="preserve"> </w:t>
      </w:r>
      <w:r w:rsidR="00353CCF" w:rsidRPr="00217CB7">
        <w:t>Toronto:</w:t>
      </w:r>
      <w:r w:rsidR="0089026E" w:rsidRPr="00217CB7">
        <w:t xml:space="preserve"> </w:t>
      </w:r>
      <w:proofErr w:type="spellStart"/>
      <w:r w:rsidR="00353CCF" w:rsidRPr="00217CB7">
        <w:t>Carswell</w:t>
      </w:r>
      <w:proofErr w:type="spellEnd"/>
      <w:r w:rsidR="00353CCF" w:rsidRPr="00217CB7">
        <w:t>, 1987.</w:t>
      </w:r>
    </w:p>
    <w:p w:rsidR="002708AB" w:rsidRPr="00217CB7" w:rsidRDefault="002708AB" w:rsidP="00556C9F">
      <w:pPr>
        <w:pStyle w:val="SCCNormalDoubleSpacing"/>
        <w:spacing w:after="720" w:line="240" w:lineRule="auto"/>
        <w:ind w:left="533" w:hanging="533"/>
      </w:pPr>
      <w:proofErr w:type="gramStart"/>
      <w:r w:rsidRPr="00217CB7">
        <w:t>Uniform Law Conference of Canada.</w:t>
      </w:r>
      <w:proofErr w:type="gramEnd"/>
      <w:r w:rsidR="0089026E" w:rsidRPr="00217CB7">
        <w:t xml:space="preserve"> </w:t>
      </w:r>
      <w:r w:rsidRPr="00217CB7">
        <w:rPr>
          <w:i/>
        </w:rPr>
        <w:t>Uniform Court Jurisdiction and Proceedings Transfer Act</w:t>
      </w:r>
      <w:r w:rsidRPr="00217CB7">
        <w:t xml:space="preserve"> (online:</w:t>
      </w:r>
      <w:r w:rsidR="0089026E" w:rsidRPr="00217CB7">
        <w:t xml:space="preserve"> </w:t>
      </w:r>
      <w:r w:rsidRPr="00217CB7">
        <w:t>http://www.ulcc.ca/en/us/Uniform_Court_Jurisdiction_+_Proceedings_Transfer_Act_En.pdf).</w:t>
      </w:r>
    </w:p>
    <w:p w:rsidR="00656313" w:rsidRPr="00217CB7" w:rsidRDefault="009B57B3" w:rsidP="006C75D5">
      <w:pPr>
        <w:pStyle w:val="SCCNormalDoubleSpacing"/>
        <w:widowControl w:val="0"/>
        <w:spacing w:after="480"/>
      </w:pPr>
      <w:r w:rsidRPr="00217CB7">
        <w:tab/>
        <w:t xml:space="preserve">APPEAL from a judgment of the </w:t>
      </w:r>
      <w:r w:rsidR="00C92724" w:rsidRPr="00217CB7">
        <w:t xml:space="preserve">Ontario </w:t>
      </w:r>
      <w:r w:rsidRPr="00217CB7">
        <w:t>Court of Appeal</w:t>
      </w:r>
      <w:r w:rsidR="00944223" w:rsidRPr="00217CB7">
        <w:t xml:space="preserve"> (</w:t>
      </w:r>
      <w:r w:rsidR="002A19CE" w:rsidRPr="00217CB7">
        <w:rPr>
          <w:szCs w:val="24"/>
        </w:rPr>
        <w:fldChar w:fldCharType="begin"/>
      </w:r>
      <w:r w:rsidR="000B4AB7" w:rsidRPr="00217CB7">
        <w:rPr>
          <w:szCs w:val="24"/>
        </w:rPr>
        <w:instrText xml:space="preserve"> SEQ CHAPTER \h \r 1</w:instrText>
      </w:r>
      <w:r w:rsidR="002A19CE" w:rsidRPr="00217CB7">
        <w:rPr>
          <w:szCs w:val="24"/>
        </w:rPr>
        <w:fldChar w:fldCharType="end"/>
      </w:r>
      <w:r w:rsidR="000B4AB7" w:rsidRPr="00217CB7">
        <w:rPr>
          <w:szCs w:val="24"/>
        </w:rPr>
        <w:t xml:space="preserve">Doherty, </w:t>
      </w:r>
      <w:proofErr w:type="spellStart"/>
      <w:r w:rsidR="00F64D28" w:rsidRPr="00217CB7">
        <w:rPr>
          <w:szCs w:val="24"/>
        </w:rPr>
        <w:t>Juriansz</w:t>
      </w:r>
      <w:proofErr w:type="spellEnd"/>
      <w:r w:rsidR="00F64D28" w:rsidRPr="00217CB7">
        <w:rPr>
          <w:szCs w:val="24"/>
        </w:rPr>
        <w:t xml:space="preserve"> and </w:t>
      </w:r>
      <w:proofErr w:type="spellStart"/>
      <w:r w:rsidR="00F64D28" w:rsidRPr="00217CB7">
        <w:rPr>
          <w:szCs w:val="24"/>
        </w:rPr>
        <w:t>Karakatsanis</w:t>
      </w:r>
      <w:proofErr w:type="spellEnd"/>
      <w:r w:rsidR="0089026E" w:rsidRPr="00217CB7">
        <w:rPr>
          <w:szCs w:val="24"/>
        </w:rPr>
        <w:t xml:space="preserve"> </w:t>
      </w:r>
      <w:r w:rsidR="000B4AB7" w:rsidRPr="00217CB7">
        <w:rPr>
          <w:szCs w:val="24"/>
        </w:rPr>
        <w:t xml:space="preserve">JJ.A.), </w:t>
      </w:r>
      <w:r w:rsidR="00C92724" w:rsidRPr="00217CB7">
        <w:rPr>
          <w:szCs w:val="24"/>
        </w:rPr>
        <w:t xml:space="preserve">2010 ONCA 547, 102 O.R. (3d) 748, 321 D.L.R. (4th) 659, 265 O.A.C. 177, 76 C.C.L.T. (3d) 52, 91 C.P.C. (6th) 94, [2010] O.J. </w:t>
      </w:r>
      <w:r w:rsidR="004474E4" w:rsidRPr="00217CB7">
        <w:rPr>
          <w:szCs w:val="24"/>
        </w:rPr>
        <w:t>No.</w:t>
      </w:r>
      <w:r w:rsidR="0089026E" w:rsidRPr="00217CB7">
        <w:rPr>
          <w:szCs w:val="24"/>
        </w:rPr>
        <w:t xml:space="preserve"> </w:t>
      </w:r>
      <w:r w:rsidR="00C92724" w:rsidRPr="00217CB7">
        <w:rPr>
          <w:szCs w:val="24"/>
        </w:rPr>
        <w:t xml:space="preserve">3423 (QL), 2010 </w:t>
      </w:r>
      <w:proofErr w:type="spellStart"/>
      <w:r w:rsidR="00C92724" w:rsidRPr="00217CB7">
        <w:rPr>
          <w:szCs w:val="24"/>
        </w:rPr>
        <w:t>CarswellOnt</w:t>
      </w:r>
      <w:proofErr w:type="spellEnd"/>
      <w:r w:rsidR="00C92724" w:rsidRPr="00217CB7">
        <w:rPr>
          <w:szCs w:val="24"/>
        </w:rPr>
        <w:t xml:space="preserve"> 5877, affirming a decision of </w:t>
      </w:r>
      <w:proofErr w:type="spellStart"/>
      <w:r w:rsidR="00C92724" w:rsidRPr="00217CB7">
        <w:rPr>
          <w:szCs w:val="24"/>
        </w:rPr>
        <w:t>Belobaba</w:t>
      </w:r>
      <w:proofErr w:type="spellEnd"/>
      <w:r w:rsidR="00C92724" w:rsidRPr="00217CB7">
        <w:rPr>
          <w:szCs w:val="24"/>
        </w:rPr>
        <w:t xml:space="preserve"> J.</w:t>
      </w:r>
      <w:r w:rsidR="00F00457" w:rsidRPr="00217CB7">
        <w:rPr>
          <w:szCs w:val="24"/>
        </w:rPr>
        <w:t xml:space="preserve"> (2009)</w:t>
      </w:r>
      <w:r w:rsidR="00C92724" w:rsidRPr="00217CB7">
        <w:rPr>
          <w:szCs w:val="24"/>
        </w:rPr>
        <w:t xml:space="preserve">, 309 D.L.R. (4th) 708, 73 C.P.C. (6th) 83, </w:t>
      </w:r>
      <w:r w:rsidR="00F00457" w:rsidRPr="00217CB7">
        <w:rPr>
          <w:szCs w:val="24"/>
        </w:rPr>
        <w:t xml:space="preserve">2009 </w:t>
      </w:r>
      <w:proofErr w:type="spellStart"/>
      <w:r w:rsidR="00F00457" w:rsidRPr="00217CB7">
        <w:rPr>
          <w:szCs w:val="24"/>
        </w:rPr>
        <w:t>CanLII</w:t>
      </w:r>
      <w:proofErr w:type="spellEnd"/>
      <w:r w:rsidR="00F00457" w:rsidRPr="00217CB7">
        <w:rPr>
          <w:szCs w:val="24"/>
        </w:rPr>
        <w:t xml:space="preserve"> 14041, </w:t>
      </w:r>
      <w:r w:rsidR="00C92724" w:rsidRPr="00217CB7">
        <w:rPr>
          <w:szCs w:val="24"/>
        </w:rPr>
        <w:t xml:space="preserve">[2009] O.J. </w:t>
      </w:r>
      <w:r w:rsidR="004474E4" w:rsidRPr="00217CB7">
        <w:rPr>
          <w:szCs w:val="24"/>
        </w:rPr>
        <w:t>No.</w:t>
      </w:r>
      <w:r w:rsidR="0089026E" w:rsidRPr="00217CB7">
        <w:rPr>
          <w:szCs w:val="24"/>
        </w:rPr>
        <w:t xml:space="preserve"> </w:t>
      </w:r>
      <w:r w:rsidR="00C92724" w:rsidRPr="00217CB7">
        <w:rPr>
          <w:szCs w:val="24"/>
        </w:rPr>
        <w:t xml:space="preserve">1292 (QL), 2009 </w:t>
      </w:r>
      <w:proofErr w:type="spellStart"/>
      <w:r w:rsidR="00C92724" w:rsidRPr="00217CB7">
        <w:rPr>
          <w:szCs w:val="24"/>
        </w:rPr>
        <w:t>CarswellOnt</w:t>
      </w:r>
      <w:proofErr w:type="spellEnd"/>
      <w:r w:rsidR="00C92724" w:rsidRPr="00217CB7">
        <w:rPr>
          <w:szCs w:val="24"/>
        </w:rPr>
        <w:t xml:space="preserve"> 1730.</w:t>
      </w:r>
      <w:r w:rsidR="0089026E" w:rsidRPr="00217CB7">
        <w:rPr>
          <w:szCs w:val="24"/>
        </w:rPr>
        <w:t xml:space="preserve"> </w:t>
      </w:r>
      <w:r w:rsidR="00C92724" w:rsidRPr="00217CB7">
        <w:rPr>
          <w:szCs w:val="24"/>
        </w:rPr>
        <w:t xml:space="preserve">Appeal </w:t>
      </w:r>
      <w:r w:rsidR="003F18A8" w:rsidRPr="00217CB7">
        <w:rPr>
          <w:szCs w:val="24"/>
        </w:rPr>
        <w:t>dismissed</w:t>
      </w:r>
      <w:r w:rsidR="00C92724" w:rsidRPr="00217CB7">
        <w:rPr>
          <w:szCs w:val="24"/>
        </w:rPr>
        <w:t>.</w:t>
      </w:r>
    </w:p>
    <w:p w:rsidR="00261FDF" w:rsidRPr="00217CB7" w:rsidRDefault="00E73D9F" w:rsidP="006C75D5">
      <w:pPr>
        <w:pStyle w:val="SCCNormalDoubleSpacing"/>
        <w:widowControl w:val="0"/>
        <w:spacing w:after="480"/>
      </w:pPr>
      <w:r w:rsidRPr="00217CB7">
        <w:rPr>
          <w:i/>
        </w:rPr>
        <w:tab/>
        <w:t>Paul</w:t>
      </w:r>
      <w:r w:rsidR="0089026E" w:rsidRPr="00217CB7">
        <w:rPr>
          <w:i/>
        </w:rPr>
        <w:t xml:space="preserve"> </w:t>
      </w:r>
      <w:r w:rsidR="00EA7226" w:rsidRPr="00217CB7">
        <w:rPr>
          <w:i/>
        </w:rPr>
        <w:t xml:space="preserve">B. </w:t>
      </w:r>
      <w:proofErr w:type="spellStart"/>
      <w:r w:rsidR="00EA7226" w:rsidRPr="00217CB7">
        <w:rPr>
          <w:i/>
        </w:rPr>
        <w:t>Schabas</w:t>
      </w:r>
      <w:proofErr w:type="spellEnd"/>
      <w:r w:rsidR="00EA7226" w:rsidRPr="00217CB7">
        <w:t xml:space="preserve">, </w:t>
      </w:r>
      <w:r w:rsidRPr="00217CB7">
        <w:rPr>
          <w:i/>
        </w:rPr>
        <w:t>Ryder</w:t>
      </w:r>
      <w:r w:rsidR="0089026E" w:rsidRPr="00217CB7">
        <w:rPr>
          <w:i/>
        </w:rPr>
        <w:t xml:space="preserve"> </w:t>
      </w:r>
      <w:r w:rsidR="005F2B7C" w:rsidRPr="00217CB7">
        <w:rPr>
          <w:i/>
        </w:rPr>
        <w:t xml:space="preserve">L. </w:t>
      </w:r>
      <w:r w:rsidR="00EA7226" w:rsidRPr="00217CB7">
        <w:rPr>
          <w:i/>
        </w:rPr>
        <w:t>Gilliland</w:t>
      </w:r>
      <w:r w:rsidR="00EA7226" w:rsidRPr="00217CB7">
        <w:t xml:space="preserve"> and </w:t>
      </w:r>
      <w:r w:rsidR="00EA7226" w:rsidRPr="00217CB7">
        <w:rPr>
          <w:i/>
        </w:rPr>
        <w:t xml:space="preserve">Erin </w:t>
      </w:r>
      <w:proofErr w:type="spellStart"/>
      <w:r w:rsidR="00EA7226" w:rsidRPr="00217CB7">
        <w:rPr>
          <w:i/>
        </w:rPr>
        <w:t>Hoult</w:t>
      </w:r>
      <w:proofErr w:type="spellEnd"/>
      <w:r w:rsidR="00EA7226" w:rsidRPr="00217CB7">
        <w:t>, for the appellant</w:t>
      </w:r>
      <w:r w:rsidR="005F2B7C" w:rsidRPr="00217CB7">
        <w:t xml:space="preserve">s </w:t>
      </w:r>
      <w:r w:rsidRPr="00217CB7">
        <w:t>Richard</w:t>
      </w:r>
      <w:r w:rsidR="0089026E" w:rsidRPr="00217CB7">
        <w:t xml:space="preserve"> </w:t>
      </w:r>
      <w:r w:rsidR="005F2B7C" w:rsidRPr="00217CB7">
        <w:t>C. Breeden and</w:t>
      </w:r>
      <w:r w:rsidRPr="00217CB7">
        <w:t xml:space="preserve"> Richard</w:t>
      </w:r>
      <w:r w:rsidR="0089026E" w:rsidRPr="00217CB7">
        <w:t xml:space="preserve"> </w:t>
      </w:r>
      <w:r w:rsidR="005F2B7C" w:rsidRPr="00217CB7">
        <w:t>C. Breeden &amp; Co.</w:t>
      </w:r>
    </w:p>
    <w:p w:rsidR="00261FDF" w:rsidRPr="00217CB7" w:rsidRDefault="00EA7226" w:rsidP="006C75D5">
      <w:pPr>
        <w:pStyle w:val="SCCNormalDoubleSpacing"/>
        <w:widowControl w:val="0"/>
        <w:spacing w:after="480"/>
      </w:pPr>
      <w:r w:rsidRPr="00217CB7">
        <w:rPr>
          <w:i/>
        </w:rPr>
        <w:lastRenderedPageBreak/>
        <w:tab/>
      </w:r>
      <w:r w:rsidR="005F2B7C" w:rsidRPr="00217CB7">
        <w:rPr>
          <w:i/>
        </w:rPr>
        <w:t>Robert</w:t>
      </w:r>
      <w:r w:rsidR="0089026E" w:rsidRPr="00217CB7">
        <w:rPr>
          <w:i/>
        </w:rPr>
        <w:t xml:space="preserve"> </w:t>
      </w:r>
      <w:r w:rsidR="007975F4" w:rsidRPr="00217CB7">
        <w:rPr>
          <w:i/>
        </w:rPr>
        <w:t>W.</w:t>
      </w:r>
      <w:r w:rsidR="005F2B7C" w:rsidRPr="00217CB7">
        <w:rPr>
          <w:i/>
        </w:rPr>
        <w:t xml:space="preserve"> </w:t>
      </w:r>
      <w:r w:rsidRPr="00217CB7">
        <w:rPr>
          <w:i/>
        </w:rPr>
        <w:t>Staley</w:t>
      </w:r>
      <w:r w:rsidRPr="00217CB7">
        <w:t xml:space="preserve"> and </w:t>
      </w:r>
      <w:r w:rsidR="005F2B7C" w:rsidRPr="00217CB7">
        <w:rPr>
          <w:i/>
        </w:rPr>
        <w:t xml:space="preserve">Julia </w:t>
      </w:r>
      <w:r w:rsidRPr="00217CB7">
        <w:rPr>
          <w:i/>
        </w:rPr>
        <w:t>Schatz</w:t>
      </w:r>
      <w:r w:rsidRPr="00217CB7">
        <w:t>, for the appellant</w:t>
      </w:r>
      <w:r w:rsidR="005F2B7C" w:rsidRPr="00217CB7">
        <w:t xml:space="preserve">s </w:t>
      </w:r>
      <w:r w:rsidR="00E73D9F" w:rsidRPr="00217CB7">
        <w:t>Gordon</w:t>
      </w:r>
      <w:r w:rsidR="0089026E" w:rsidRPr="00217CB7">
        <w:t xml:space="preserve"> </w:t>
      </w:r>
      <w:r w:rsidR="005F2B7C" w:rsidRPr="00217CB7">
        <w:t>A. Pa</w:t>
      </w:r>
      <w:r w:rsidR="00E73D9F" w:rsidRPr="00217CB7">
        <w:t>ris, James</w:t>
      </w:r>
      <w:r w:rsidR="0089026E" w:rsidRPr="00217CB7">
        <w:t xml:space="preserve"> </w:t>
      </w:r>
      <w:r w:rsidR="00E73D9F" w:rsidRPr="00217CB7">
        <w:t>R. Thompson, Richard</w:t>
      </w:r>
      <w:r w:rsidR="0089026E" w:rsidRPr="00217CB7">
        <w:t xml:space="preserve"> </w:t>
      </w:r>
      <w:r w:rsidR="005F2B7C" w:rsidRPr="00217CB7">
        <w:t xml:space="preserve">D. </w:t>
      </w:r>
      <w:r w:rsidR="0006659A" w:rsidRPr="00217CB7">
        <w:t>Burt, Graham</w:t>
      </w:r>
      <w:r w:rsidR="0089026E" w:rsidRPr="00217CB7">
        <w:t xml:space="preserve"> </w:t>
      </w:r>
      <w:r w:rsidR="00E73D9F" w:rsidRPr="00217CB7">
        <w:t>W. Savage, Raymond</w:t>
      </w:r>
      <w:r w:rsidR="0089026E" w:rsidRPr="00217CB7">
        <w:t xml:space="preserve"> </w:t>
      </w:r>
      <w:r w:rsidR="005F2B7C" w:rsidRPr="00217CB7">
        <w:t>G.</w:t>
      </w:r>
      <w:r w:rsidR="00F00457" w:rsidRPr="00217CB7">
        <w:t xml:space="preserve"> </w:t>
      </w:r>
      <w:r w:rsidR="005F2B7C" w:rsidRPr="00217CB7">
        <w:t xml:space="preserve">H. Seitz, </w:t>
      </w:r>
      <w:r w:rsidR="007975F4" w:rsidRPr="00217CB7">
        <w:t xml:space="preserve">Paul B. Healy, </w:t>
      </w:r>
      <w:proofErr w:type="spellStart"/>
      <w:r w:rsidR="005F2B7C" w:rsidRPr="00217CB7">
        <w:t>Shmuel</w:t>
      </w:r>
      <w:proofErr w:type="spellEnd"/>
      <w:r w:rsidR="005F2B7C" w:rsidRPr="00217CB7">
        <w:t xml:space="preserve"> </w:t>
      </w:r>
      <w:proofErr w:type="spellStart"/>
      <w:r w:rsidR="005F2B7C" w:rsidRPr="00217CB7">
        <w:t>Meitar</w:t>
      </w:r>
      <w:proofErr w:type="spellEnd"/>
      <w:r w:rsidR="005F2B7C" w:rsidRPr="00217CB7">
        <w:t xml:space="preserve"> </w:t>
      </w:r>
      <w:r w:rsidR="00E73D9F" w:rsidRPr="00217CB7">
        <w:t>and Henry</w:t>
      </w:r>
      <w:r w:rsidR="0089026E" w:rsidRPr="00217CB7">
        <w:t xml:space="preserve"> </w:t>
      </w:r>
      <w:r w:rsidR="005F2B7C" w:rsidRPr="00217CB7">
        <w:t>A. Kissinger</w:t>
      </w:r>
      <w:r w:rsidRPr="00217CB7">
        <w:t>.</w:t>
      </w:r>
    </w:p>
    <w:p w:rsidR="00261FDF" w:rsidRPr="00217CB7" w:rsidRDefault="00E73D9F" w:rsidP="006C75D5">
      <w:pPr>
        <w:pStyle w:val="SCCNormalDoubleSpacing"/>
        <w:widowControl w:val="0"/>
        <w:spacing w:after="480"/>
      </w:pPr>
      <w:r w:rsidRPr="00217CB7">
        <w:rPr>
          <w:i/>
        </w:rPr>
        <w:tab/>
      </w:r>
      <w:proofErr w:type="gramStart"/>
      <w:r w:rsidRPr="00217CB7">
        <w:rPr>
          <w:i/>
        </w:rPr>
        <w:t>Earl</w:t>
      </w:r>
      <w:r w:rsidR="0089026E" w:rsidRPr="00217CB7">
        <w:rPr>
          <w:i/>
        </w:rPr>
        <w:t xml:space="preserve"> </w:t>
      </w:r>
      <w:r w:rsidR="00EA7226" w:rsidRPr="00217CB7">
        <w:rPr>
          <w:i/>
        </w:rPr>
        <w:t xml:space="preserve">A. </w:t>
      </w:r>
      <w:proofErr w:type="spellStart"/>
      <w:r w:rsidR="00EA7226" w:rsidRPr="00217CB7">
        <w:rPr>
          <w:i/>
        </w:rPr>
        <w:t>Cherniak</w:t>
      </w:r>
      <w:proofErr w:type="spellEnd"/>
      <w:r w:rsidR="00EA7226" w:rsidRPr="00217CB7">
        <w:t xml:space="preserve">, </w:t>
      </w:r>
      <w:r w:rsidR="00EA7226" w:rsidRPr="00217CB7">
        <w:rPr>
          <w:i/>
        </w:rPr>
        <w:t>Q.C.</w:t>
      </w:r>
      <w:r w:rsidR="00EA7226" w:rsidRPr="00217CB7">
        <w:t xml:space="preserve">, </w:t>
      </w:r>
      <w:r w:rsidRPr="00217CB7">
        <w:rPr>
          <w:i/>
        </w:rPr>
        <w:t>Kirk</w:t>
      </w:r>
      <w:r w:rsidR="0089026E" w:rsidRPr="00217CB7">
        <w:rPr>
          <w:i/>
        </w:rPr>
        <w:t xml:space="preserve"> </w:t>
      </w:r>
      <w:r w:rsidR="00EA7226" w:rsidRPr="00217CB7">
        <w:rPr>
          <w:i/>
        </w:rPr>
        <w:t>F. Stevens</w:t>
      </w:r>
      <w:r w:rsidR="004C0CDB" w:rsidRPr="00217CB7">
        <w:rPr>
          <w:i/>
        </w:rPr>
        <w:t xml:space="preserve"> </w:t>
      </w:r>
      <w:r w:rsidR="004C0CDB" w:rsidRPr="00217CB7">
        <w:t xml:space="preserve">and </w:t>
      </w:r>
      <w:r w:rsidRPr="00217CB7">
        <w:rPr>
          <w:i/>
        </w:rPr>
        <w:t>Lisa</w:t>
      </w:r>
      <w:r w:rsidR="0089026E" w:rsidRPr="00217CB7">
        <w:rPr>
          <w:i/>
        </w:rPr>
        <w:t xml:space="preserve"> </w:t>
      </w:r>
      <w:r w:rsidR="004C0CDB" w:rsidRPr="00217CB7">
        <w:rPr>
          <w:i/>
        </w:rPr>
        <w:t>C. Munro</w:t>
      </w:r>
      <w:r w:rsidR="00EA7226" w:rsidRPr="00217CB7">
        <w:t>, for the respondent.</w:t>
      </w:r>
      <w:proofErr w:type="gramEnd"/>
    </w:p>
    <w:p w:rsidR="00261FDF" w:rsidRPr="00217CB7" w:rsidRDefault="00E73D9F" w:rsidP="006C75D5">
      <w:pPr>
        <w:pStyle w:val="SCCNormalDoubleSpacing"/>
        <w:widowControl w:val="0"/>
        <w:spacing w:after="480"/>
      </w:pPr>
      <w:r w:rsidRPr="00217CB7">
        <w:rPr>
          <w:i/>
        </w:rPr>
        <w:tab/>
        <w:t>Robert</w:t>
      </w:r>
      <w:r w:rsidR="0089026E" w:rsidRPr="00217CB7">
        <w:rPr>
          <w:i/>
        </w:rPr>
        <w:t xml:space="preserve"> </w:t>
      </w:r>
      <w:r w:rsidR="00EA7226" w:rsidRPr="00217CB7">
        <w:rPr>
          <w:i/>
        </w:rPr>
        <w:t>D. Holmes</w:t>
      </w:r>
      <w:r w:rsidR="00EA7226" w:rsidRPr="00217CB7">
        <w:t xml:space="preserve">, </w:t>
      </w:r>
      <w:r w:rsidR="004C0CDB" w:rsidRPr="00217CB7">
        <w:rPr>
          <w:i/>
        </w:rPr>
        <w:t>Q.C.</w:t>
      </w:r>
      <w:r w:rsidR="004C0CDB" w:rsidRPr="00217CB7">
        <w:t xml:space="preserve">, </w:t>
      </w:r>
      <w:r w:rsidR="00EA7226" w:rsidRPr="00217CB7">
        <w:t>for the intervener.</w:t>
      </w:r>
    </w:p>
    <w:p w:rsidR="000D2662" w:rsidRPr="00217CB7" w:rsidRDefault="00F00457" w:rsidP="00621B7F">
      <w:pPr>
        <w:pStyle w:val="SCCNormalDoubleSpacing"/>
        <w:widowControl w:val="0"/>
        <w:spacing w:after="480"/>
        <w:rPr>
          <w:smallCaps/>
        </w:rPr>
      </w:pPr>
      <w:r w:rsidRPr="00217CB7">
        <w:tab/>
        <w:t>The judgment of the Court was delivered by</w:t>
      </w:r>
    </w:p>
    <w:p w:rsidR="000D2662" w:rsidRPr="00217CB7" w:rsidRDefault="000D2662" w:rsidP="00621B7F">
      <w:pPr>
        <w:pStyle w:val="SCCNormalDoubleSpacing"/>
        <w:widowControl w:val="0"/>
        <w:spacing w:after="480"/>
        <w:rPr>
          <w:smallCaps/>
        </w:rPr>
      </w:pPr>
      <w:r w:rsidRPr="00217CB7">
        <w:rPr>
          <w:smallCaps/>
        </w:rPr>
        <w:tab/>
        <w:t>LeBel J</w:t>
      </w:r>
      <w:r w:rsidRPr="00217CB7">
        <w:t>. —</w:t>
      </w:r>
      <w:r w:rsidRPr="00217CB7">
        <w:rPr>
          <w:smallCaps/>
        </w:rPr>
        <w:t xml:space="preserve"> </w:t>
      </w:r>
    </w:p>
    <w:p w:rsidR="000D2662" w:rsidRPr="00217CB7" w:rsidRDefault="00F00457" w:rsidP="00621B7F">
      <w:pPr>
        <w:pStyle w:val="TitleTitre-AltT"/>
        <w:tabs>
          <w:tab w:val="clear" w:pos="360"/>
          <w:tab w:val="left" w:pos="540"/>
        </w:tabs>
        <w:ind w:left="540" w:hanging="540"/>
        <w:rPr>
          <w:smallCaps/>
        </w:rPr>
      </w:pPr>
      <w:r w:rsidRPr="00217CB7">
        <w:rPr>
          <w:smallCaps/>
        </w:rPr>
        <w:t>I.</w:t>
      </w:r>
      <w:r w:rsidRPr="00217CB7">
        <w:rPr>
          <w:smallCaps/>
        </w:rPr>
        <w:tab/>
      </w:r>
      <w:r w:rsidR="000D2662" w:rsidRPr="00217CB7">
        <w:rPr>
          <w:u w:val="single"/>
        </w:rPr>
        <w:t>Introduction</w:t>
      </w:r>
      <w:r w:rsidR="001845A9" w:rsidRPr="00217CB7">
        <w:rPr>
          <w:smallCaps/>
        </w:rPr>
        <w:t xml:space="preserve"> </w:t>
      </w:r>
    </w:p>
    <w:p w:rsidR="000D2662" w:rsidRPr="00217CB7" w:rsidRDefault="000D2662" w:rsidP="00F00457">
      <w:pPr>
        <w:pStyle w:val="TitleTitre-AltT"/>
        <w:tabs>
          <w:tab w:val="clear" w:pos="360"/>
          <w:tab w:val="left" w:pos="540"/>
        </w:tabs>
        <w:ind w:left="540" w:hanging="540"/>
      </w:pPr>
      <w:r w:rsidRPr="00217CB7">
        <w:t>A.</w:t>
      </w:r>
      <w:r w:rsidRPr="00217CB7">
        <w:tab/>
      </w:r>
      <w:r w:rsidRPr="00217CB7">
        <w:rPr>
          <w:i/>
        </w:rPr>
        <w:t>Overview</w:t>
      </w:r>
    </w:p>
    <w:p w:rsidR="000D2662" w:rsidRPr="00217CB7" w:rsidRDefault="000D2662" w:rsidP="000D2662">
      <w:pPr>
        <w:pStyle w:val="ParaNoNdepar-AltN"/>
      </w:pPr>
      <w:r w:rsidRPr="00217CB7">
        <w:t xml:space="preserve">This appeal concerns the manner in which the law of jurisdiction and the doctrine of </w:t>
      </w:r>
      <w:r w:rsidRPr="00217CB7">
        <w:rPr>
          <w:i/>
        </w:rPr>
        <w:t xml:space="preserve">forum non </w:t>
      </w:r>
      <w:proofErr w:type="spellStart"/>
      <w:r w:rsidRPr="00217CB7">
        <w:rPr>
          <w:i/>
        </w:rPr>
        <w:t>conveniens</w:t>
      </w:r>
      <w:proofErr w:type="spellEnd"/>
      <w:r w:rsidRPr="00217CB7">
        <w:t xml:space="preserve">, which this Court recently reviewed in </w:t>
      </w:r>
      <w:r w:rsidR="00217CB7">
        <w:rPr>
          <w:i/>
        </w:rPr>
        <w:t>Club Resorts Ltd. v. Van </w:t>
      </w:r>
      <w:r w:rsidRPr="00217CB7">
        <w:rPr>
          <w:i/>
        </w:rPr>
        <w:t>Breda</w:t>
      </w:r>
      <w:r w:rsidRPr="00217CB7">
        <w:t>, 2012 SCC 17</w:t>
      </w:r>
      <w:r w:rsidR="00F00457" w:rsidRPr="00217CB7">
        <w:t xml:space="preserve">, [2012] 1 S.C.R. </w:t>
      </w:r>
      <w:r w:rsidR="004D68A4">
        <w:t>572</w:t>
      </w:r>
      <w:r w:rsidRPr="00217CB7">
        <w:t xml:space="preserve"> (</w:t>
      </w:r>
      <w:r w:rsidR="0089026E" w:rsidRPr="00217CB7">
        <w:t>“</w:t>
      </w:r>
      <w:r w:rsidRPr="00217CB7">
        <w:rPr>
          <w:i/>
        </w:rPr>
        <w:t>Club Resorts</w:t>
      </w:r>
      <w:r w:rsidR="0089026E" w:rsidRPr="00217CB7">
        <w:t>”</w:t>
      </w:r>
      <w:r w:rsidRPr="00217CB7">
        <w:t>), are to be applied to a multistate defamation claim.</w:t>
      </w:r>
      <w:r w:rsidR="0089026E" w:rsidRPr="00217CB7">
        <w:t xml:space="preserve"> </w:t>
      </w:r>
      <w:r w:rsidRPr="00217CB7">
        <w:t xml:space="preserve">The respondent, Conrad Black, filed six libel actions in the Ontario Superior Court </w:t>
      </w:r>
      <w:r w:rsidR="00F00457" w:rsidRPr="00217CB7">
        <w:t xml:space="preserve">of Justice </w:t>
      </w:r>
      <w:r w:rsidRPr="00217CB7">
        <w:t xml:space="preserve">against the </w:t>
      </w:r>
      <w:r w:rsidR="004D68A4">
        <w:t>10</w:t>
      </w:r>
      <w:r w:rsidRPr="00217CB7">
        <w:t xml:space="preserve"> appellants, who are directors, advisors and a vice-president of Hollinger International, Inc. (</w:t>
      </w:r>
      <w:r w:rsidR="0089026E" w:rsidRPr="00217CB7">
        <w:t>“</w:t>
      </w:r>
      <w:r w:rsidRPr="00217CB7">
        <w:t>International</w:t>
      </w:r>
      <w:r w:rsidR="0089026E" w:rsidRPr="00217CB7">
        <w:t>”</w:t>
      </w:r>
      <w:r w:rsidRPr="00217CB7">
        <w:t>).</w:t>
      </w:r>
      <w:r w:rsidR="0089026E" w:rsidRPr="00217CB7">
        <w:t xml:space="preserve"> </w:t>
      </w:r>
      <w:r w:rsidRPr="00217CB7">
        <w:t>Lord Black alleges that certain statements issued by the appellants and posted on International</w:t>
      </w:r>
      <w:r w:rsidR="00621B7F" w:rsidRPr="00217CB7">
        <w:t>’</w:t>
      </w:r>
      <w:r w:rsidRPr="00217CB7">
        <w:t xml:space="preserve">s website are defamatory and were published in Ontario </w:t>
      </w:r>
      <w:r w:rsidRPr="00217CB7">
        <w:lastRenderedPageBreak/>
        <w:t>when they were downloaded, read and republished in the province by three newspapers.</w:t>
      </w:r>
      <w:r w:rsidR="0089026E" w:rsidRPr="00217CB7">
        <w:t xml:space="preserve"> </w:t>
      </w:r>
      <w:r w:rsidRPr="00217CB7">
        <w:t>The appellants counter that the Ontario court should not assume jurisdiction over the actions because they are essentially American in substance or, alternatively, because the Illinois court is a more appropriate forum than the Ontario court.</w:t>
      </w:r>
    </w:p>
    <w:p w:rsidR="000D2662" w:rsidRPr="00217CB7" w:rsidRDefault="000D2662" w:rsidP="000D2662">
      <w:pPr>
        <w:pStyle w:val="ParaNoNdepar-AltN"/>
      </w:pPr>
      <w:r w:rsidRPr="00217CB7">
        <w:t>I find in this case that the Ontario court is entitled to assume jurisdiction as there exists a real and substantial connection between Ontario and the libel actions.</w:t>
      </w:r>
      <w:r w:rsidR="0089026E" w:rsidRPr="00217CB7">
        <w:t xml:space="preserve"> </w:t>
      </w:r>
      <w:r w:rsidRPr="00217CB7">
        <w:t>Giving due deference to the motion judge</w:t>
      </w:r>
      <w:r w:rsidR="00621B7F" w:rsidRPr="00217CB7">
        <w:t>’</w:t>
      </w:r>
      <w:r w:rsidRPr="00217CB7">
        <w:t>s exercise of discretion, I further find that the appellants have not shown that the Illinois court is a clearly more appropriate forum for the trial of these claims.</w:t>
      </w:r>
      <w:r w:rsidR="0089026E" w:rsidRPr="00217CB7">
        <w:t xml:space="preserve"> </w:t>
      </w:r>
      <w:r w:rsidRPr="00217CB7">
        <w:t>Accordingly, I would dismiss the appeal.</w:t>
      </w:r>
      <w:r w:rsidR="0089026E" w:rsidRPr="00217CB7">
        <w:t xml:space="preserve"> </w:t>
      </w:r>
      <w:r w:rsidRPr="00217CB7">
        <w:t xml:space="preserve">Reaching this result requires some discussion of the relationship between the law of jurisdiction, the doctrine of </w:t>
      </w:r>
      <w:r w:rsidRPr="00217CB7">
        <w:rPr>
          <w:i/>
        </w:rPr>
        <w:t xml:space="preserve">forum non </w:t>
      </w:r>
      <w:proofErr w:type="spellStart"/>
      <w:r w:rsidRPr="00217CB7">
        <w:rPr>
          <w:i/>
        </w:rPr>
        <w:t>conveniens</w:t>
      </w:r>
      <w:proofErr w:type="spellEnd"/>
      <w:r w:rsidRPr="00217CB7">
        <w:t xml:space="preserve"> and the tort of defamation.</w:t>
      </w:r>
    </w:p>
    <w:p w:rsidR="000D2662" w:rsidRPr="00217CB7" w:rsidRDefault="000D2662" w:rsidP="00F00457">
      <w:pPr>
        <w:pStyle w:val="TitleTitre-AltT"/>
        <w:tabs>
          <w:tab w:val="clear" w:pos="360"/>
          <w:tab w:val="left" w:pos="540"/>
        </w:tabs>
        <w:ind w:left="540" w:hanging="540"/>
      </w:pPr>
      <w:r w:rsidRPr="00217CB7">
        <w:t>B.</w:t>
      </w:r>
      <w:r w:rsidRPr="00217CB7">
        <w:tab/>
      </w:r>
      <w:r w:rsidRPr="00217CB7">
        <w:rPr>
          <w:i/>
        </w:rPr>
        <w:t>Background Facts</w:t>
      </w:r>
    </w:p>
    <w:p w:rsidR="000D2662" w:rsidRPr="00217CB7" w:rsidRDefault="000D2662" w:rsidP="000D2662">
      <w:pPr>
        <w:pStyle w:val="ParaNoNdepar-AltN"/>
      </w:pPr>
      <w:r w:rsidRPr="00217CB7">
        <w:t>Lord Black is a well-known business figure who established a reputation as a newspaper owner and publisher first in Canada, and then internationally.</w:t>
      </w:r>
      <w:r w:rsidR="0089026E" w:rsidRPr="00217CB7">
        <w:t xml:space="preserve"> </w:t>
      </w:r>
      <w:r w:rsidRPr="00217CB7">
        <w:t>He was a Canadian citizen until 2001, when he abandoned his citizenship in order to accept an appointment to the British House of Lords.</w:t>
      </w:r>
      <w:r w:rsidR="0089026E" w:rsidRPr="00217CB7">
        <w:t xml:space="preserve"> </w:t>
      </w:r>
      <w:r w:rsidRPr="00217CB7">
        <w:t>Until January 2004, Lord Black served as the chairman of International, a publicly traded company incorporated in Delaware and headquartered at different times in New York and Chicago.</w:t>
      </w:r>
      <w:r w:rsidR="0089026E" w:rsidRPr="00217CB7">
        <w:t xml:space="preserve"> </w:t>
      </w:r>
      <w:r w:rsidRPr="00217CB7">
        <w:t xml:space="preserve">Lord Black and his Canadian associates exercised effective control over International through The </w:t>
      </w:r>
      <w:proofErr w:type="spellStart"/>
      <w:r w:rsidRPr="00217CB7">
        <w:lastRenderedPageBreak/>
        <w:t>Ravelston</w:t>
      </w:r>
      <w:proofErr w:type="spellEnd"/>
      <w:r w:rsidRPr="00217CB7">
        <w:t xml:space="preserve"> Corporation (</w:t>
      </w:r>
      <w:r w:rsidR="0089026E" w:rsidRPr="00217CB7">
        <w:t>“</w:t>
      </w:r>
      <w:proofErr w:type="spellStart"/>
      <w:r w:rsidRPr="00217CB7">
        <w:t>Ravelston</w:t>
      </w:r>
      <w:proofErr w:type="spellEnd"/>
      <w:r w:rsidR="0089026E" w:rsidRPr="00217CB7">
        <w:t>”</w:t>
      </w:r>
      <w:r w:rsidRPr="00217CB7">
        <w:t>) and Hollinger Inc., two privately held Ontario companies.</w:t>
      </w:r>
    </w:p>
    <w:p w:rsidR="000D2662" w:rsidRPr="00217CB7" w:rsidRDefault="000D2662" w:rsidP="000D2662">
      <w:pPr>
        <w:pStyle w:val="ParaNoNdepar-AltN"/>
      </w:pPr>
      <w:r w:rsidRPr="00217CB7">
        <w:t xml:space="preserve">In May 2003, a minority shareholder of International questioned the legitimacy of certain </w:t>
      </w:r>
      <w:r w:rsidR="0089026E" w:rsidRPr="00217CB7">
        <w:t>“</w:t>
      </w:r>
      <w:r w:rsidRPr="00217CB7">
        <w:t>non-compete</w:t>
      </w:r>
      <w:r w:rsidR="0089026E" w:rsidRPr="00217CB7">
        <w:t>”</w:t>
      </w:r>
      <w:r w:rsidRPr="00217CB7">
        <w:t xml:space="preserve"> and </w:t>
      </w:r>
      <w:r w:rsidR="0089026E" w:rsidRPr="00217CB7">
        <w:t>“</w:t>
      </w:r>
      <w:r w:rsidRPr="00217CB7">
        <w:t>management service</w:t>
      </w:r>
      <w:r w:rsidR="0089026E" w:rsidRPr="00217CB7">
        <w:t>”</w:t>
      </w:r>
      <w:r w:rsidRPr="00217CB7">
        <w:t xml:space="preserve"> payments that had been made to Lord Black or to companies under his ownership or control.</w:t>
      </w:r>
      <w:r w:rsidR="0089026E" w:rsidRPr="00217CB7">
        <w:t xml:space="preserve"> </w:t>
      </w:r>
      <w:r w:rsidRPr="00217CB7">
        <w:t>International</w:t>
      </w:r>
      <w:r w:rsidR="00621B7F" w:rsidRPr="00217CB7">
        <w:t>’</w:t>
      </w:r>
      <w:r w:rsidRPr="00217CB7">
        <w:t>s Board of Directors formed a Special Committee to conduct an investigation (</w:t>
      </w:r>
      <w:r w:rsidR="0089026E" w:rsidRPr="00217CB7">
        <w:t>“</w:t>
      </w:r>
      <w:r w:rsidRPr="00217CB7">
        <w:t>Committee</w:t>
      </w:r>
      <w:r w:rsidR="0089026E" w:rsidRPr="00217CB7">
        <w:t>”</w:t>
      </w:r>
      <w:r w:rsidRPr="00217CB7">
        <w:t xml:space="preserve">) and retained the appellant Richard </w:t>
      </w:r>
      <w:r w:rsidR="00F00457" w:rsidRPr="00217CB7">
        <w:t xml:space="preserve">C. </w:t>
      </w:r>
      <w:r w:rsidRPr="00217CB7">
        <w:t>Breeden and his consulting firm as outside legal counsel to advise the Committee.</w:t>
      </w:r>
      <w:r w:rsidR="0089026E" w:rsidRPr="00217CB7">
        <w:t xml:space="preserve"> </w:t>
      </w:r>
      <w:r w:rsidRPr="00217CB7">
        <w:t xml:space="preserve">In October 2003, the Committee concluded that International had made US$32.15 million in unauthorized </w:t>
      </w:r>
      <w:r w:rsidR="0089026E" w:rsidRPr="00217CB7">
        <w:t>“</w:t>
      </w:r>
      <w:r w:rsidRPr="00217CB7">
        <w:t>non-compete</w:t>
      </w:r>
      <w:r w:rsidR="0089026E" w:rsidRPr="00217CB7">
        <w:t>”</w:t>
      </w:r>
      <w:r w:rsidRPr="00217CB7">
        <w:t xml:space="preserve"> payments to Lord Black, Hollinger Inc., and certain senior managers, and that Lord Black himself had received US$7.2 million.</w:t>
      </w:r>
      <w:r w:rsidR="0089026E" w:rsidRPr="00217CB7">
        <w:t xml:space="preserve"> </w:t>
      </w:r>
      <w:r w:rsidRPr="00217CB7">
        <w:t>The Committee completed a report in August 2004.</w:t>
      </w:r>
      <w:r w:rsidR="0089026E" w:rsidRPr="00217CB7">
        <w:t xml:space="preserve"> </w:t>
      </w:r>
      <w:r w:rsidRPr="00217CB7">
        <w:t>Pursuant to a U.S</w:t>
      </w:r>
      <w:r w:rsidR="00F00457" w:rsidRPr="00217CB7">
        <w:t>. consent o</w:t>
      </w:r>
      <w:r w:rsidRPr="00217CB7">
        <w:t>rder relating to an injunctive complaint filed by the U.S. Securities and Exchange Commission (</w:t>
      </w:r>
      <w:r w:rsidR="0089026E" w:rsidRPr="00217CB7">
        <w:t>“</w:t>
      </w:r>
      <w:r w:rsidRPr="00217CB7">
        <w:t>SEC</w:t>
      </w:r>
      <w:r w:rsidR="0089026E" w:rsidRPr="00217CB7">
        <w:t>”</w:t>
      </w:r>
      <w:r w:rsidRPr="00217CB7">
        <w:t>) against International in Illinois, the SEC and the U.S. District Court for the Northern District of Illinois were provided with the report; it was also posted on International</w:t>
      </w:r>
      <w:r w:rsidR="00621B7F" w:rsidRPr="00217CB7">
        <w:t>’</w:t>
      </w:r>
      <w:r w:rsidRPr="00217CB7">
        <w:t>s website.</w:t>
      </w:r>
    </w:p>
    <w:p w:rsidR="000D2662" w:rsidRPr="00217CB7" w:rsidRDefault="000D2662" w:rsidP="000D2662">
      <w:pPr>
        <w:pStyle w:val="ParaNoNdepar-AltN"/>
      </w:pPr>
      <w:r w:rsidRPr="00217CB7">
        <w:t xml:space="preserve">Lord Black filed six actions in the Ontario Superior Court </w:t>
      </w:r>
      <w:r w:rsidR="003F2C62" w:rsidRPr="00217CB7">
        <w:t xml:space="preserve">of Justice </w:t>
      </w:r>
      <w:r w:rsidRPr="00217CB7">
        <w:t>between February 2004 and March 2005.</w:t>
      </w:r>
      <w:r w:rsidR="0089026E" w:rsidRPr="00217CB7">
        <w:t xml:space="preserve"> </w:t>
      </w:r>
      <w:r w:rsidRPr="00217CB7">
        <w:t>The first four actions relate to press releases that were posted on International</w:t>
      </w:r>
      <w:r w:rsidR="00621B7F" w:rsidRPr="00217CB7">
        <w:t>’</w:t>
      </w:r>
      <w:r w:rsidRPr="00217CB7">
        <w:t>s website in January 2004 (the first three actions) and May 2004 (the fourth action).</w:t>
      </w:r>
      <w:r w:rsidR="0089026E" w:rsidRPr="00217CB7">
        <w:t xml:space="preserve"> </w:t>
      </w:r>
      <w:r w:rsidRPr="00217CB7">
        <w:t>The fifth action relates to the Committee</w:t>
      </w:r>
      <w:r w:rsidR="00621B7F" w:rsidRPr="00217CB7">
        <w:t>’</w:t>
      </w:r>
      <w:r w:rsidRPr="00217CB7">
        <w:t>s report, and the sixth relates to statements published in International</w:t>
      </w:r>
      <w:r w:rsidR="00621B7F" w:rsidRPr="00217CB7">
        <w:t>’</w:t>
      </w:r>
      <w:r w:rsidRPr="00217CB7">
        <w:t xml:space="preserve">s annual report </w:t>
      </w:r>
      <w:r w:rsidRPr="00217CB7">
        <w:lastRenderedPageBreak/>
        <w:t>summarizing the Committee</w:t>
      </w:r>
      <w:r w:rsidR="00621B7F" w:rsidRPr="00217CB7">
        <w:t>’</w:t>
      </w:r>
      <w:r w:rsidRPr="00217CB7">
        <w:t>s findings.</w:t>
      </w:r>
      <w:r w:rsidR="0089026E" w:rsidRPr="00217CB7">
        <w:t xml:space="preserve"> </w:t>
      </w:r>
      <w:r w:rsidRPr="00217CB7">
        <w:t>The press releases contained contact information directed at Canadian media.</w:t>
      </w:r>
      <w:r w:rsidR="0089026E" w:rsidRPr="00217CB7">
        <w:t xml:space="preserve"> </w:t>
      </w:r>
      <w:r w:rsidRPr="00217CB7">
        <w:t>International</w:t>
      </w:r>
      <w:r w:rsidR="00621B7F" w:rsidRPr="00217CB7">
        <w:t>’</w:t>
      </w:r>
      <w:r w:rsidRPr="00217CB7">
        <w:t>s website was accessible worldwide.</w:t>
      </w:r>
    </w:p>
    <w:p w:rsidR="000D2662" w:rsidRPr="00217CB7" w:rsidRDefault="000D2662" w:rsidP="000D2662">
      <w:pPr>
        <w:pStyle w:val="ParaNoNdepar-AltN"/>
      </w:pPr>
      <w:r w:rsidRPr="00217CB7">
        <w:t>Lord Black alleges that the press releases and reports issued by the appellants and posted on International</w:t>
      </w:r>
      <w:r w:rsidR="00621B7F" w:rsidRPr="00217CB7">
        <w:t>’</w:t>
      </w:r>
      <w:r w:rsidRPr="00217CB7">
        <w:t xml:space="preserve">s website contained defamatory statements that were downloaded, read and republished in Ontario by </w:t>
      </w:r>
      <w:r w:rsidR="003F2C62" w:rsidRPr="00217CB7">
        <w:rPr>
          <w:i/>
        </w:rPr>
        <w:t xml:space="preserve">The </w:t>
      </w:r>
      <w:r w:rsidRPr="00217CB7">
        <w:rPr>
          <w:i/>
        </w:rPr>
        <w:t>Globe and Mail</w:t>
      </w:r>
      <w:r w:rsidRPr="00217CB7">
        <w:t xml:space="preserve">, the </w:t>
      </w:r>
      <w:r w:rsidRPr="00217CB7">
        <w:rPr>
          <w:i/>
        </w:rPr>
        <w:t>Toronto Star</w:t>
      </w:r>
      <w:r w:rsidRPr="00217CB7">
        <w:t xml:space="preserve"> and the </w:t>
      </w:r>
      <w:r w:rsidRPr="00217CB7">
        <w:rPr>
          <w:i/>
        </w:rPr>
        <w:t>National Post</w:t>
      </w:r>
      <w:r w:rsidRPr="00217CB7">
        <w:t>.</w:t>
      </w:r>
      <w:r w:rsidR="0089026E" w:rsidRPr="00217CB7">
        <w:t xml:space="preserve"> </w:t>
      </w:r>
      <w:r w:rsidRPr="00217CB7">
        <w:t>He claims damages for injury to his reputation in Ontario.</w:t>
      </w:r>
      <w:r w:rsidR="0089026E" w:rsidRPr="00217CB7">
        <w:t xml:space="preserve"> </w:t>
      </w:r>
      <w:r w:rsidRPr="00217CB7">
        <w:t>The allegations contained in the press releases posted on International</w:t>
      </w:r>
      <w:r w:rsidR="00621B7F" w:rsidRPr="00217CB7">
        <w:t>’</w:t>
      </w:r>
      <w:r w:rsidRPr="00217CB7">
        <w:t>s website were summarized as follows by the motion judge (</w:t>
      </w:r>
      <w:r w:rsidR="003F2C62" w:rsidRPr="00217CB7">
        <w:t xml:space="preserve">(2009), 309 D.L.R. (4th) 708, at </w:t>
      </w:r>
      <w:proofErr w:type="spellStart"/>
      <w:r w:rsidR="0089026E" w:rsidRPr="00217CB7">
        <w:t>para</w:t>
      </w:r>
      <w:proofErr w:type="spellEnd"/>
      <w:r w:rsidR="0089026E" w:rsidRPr="00217CB7">
        <w:t>. </w:t>
      </w:r>
      <w:r w:rsidRPr="00217CB7">
        <w:t>16):</w:t>
      </w:r>
    </w:p>
    <w:p w:rsidR="000D2662" w:rsidRPr="00217CB7" w:rsidRDefault="003F2C62" w:rsidP="00446107">
      <w:pPr>
        <w:pStyle w:val="Citation-AltC"/>
        <w:tabs>
          <w:tab w:val="left" w:pos="1170"/>
        </w:tabs>
        <w:spacing w:after="240"/>
        <w:ind w:left="1800" w:hanging="2246"/>
        <w:contextualSpacing w:val="0"/>
      </w:pPr>
      <w:r w:rsidRPr="00217CB7">
        <w:tab/>
        <w:t>●</w:t>
      </w:r>
      <w:r w:rsidRPr="00217CB7">
        <w:tab/>
      </w:r>
      <w:r w:rsidR="000D2662" w:rsidRPr="00217CB7">
        <w:t xml:space="preserve">Black took money from [International] in the form of unauthorized non-compete payments, improperly enriching </w:t>
      </w:r>
      <w:proofErr w:type="gramStart"/>
      <w:r w:rsidR="000D2662" w:rsidRPr="00217CB7">
        <w:t>himself</w:t>
      </w:r>
      <w:proofErr w:type="gramEnd"/>
      <w:r w:rsidR="000D2662" w:rsidRPr="00217CB7">
        <w:t>;</w:t>
      </w:r>
    </w:p>
    <w:p w:rsidR="000D2662" w:rsidRPr="00217CB7" w:rsidRDefault="003F2C62" w:rsidP="00446107">
      <w:pPr>
        <w:pStyle w:val="Citation-AltC"/>
        <w:tabs>
          <w:tab w:val="left" w:pos="1170"/>
        </w:tabs>
        <w:spacing w:after="240"/>
        <w:ind w:left="1800" w:hanging="2246"/>
        <w:contextualSpacing w:val="0"/>
      </w:pPr>
      <w:r w:rsidRPr="00217CB7">
        <w:tab/>
      </w:r>
      <w:r w:rsidR="00D102D9" w:rsidRPr="00217CB7">
        <w:t>●</w:t>
      </w:r>
      <w:r w:rsidRPr="00217CB7">
        <w:tab/>
      </w:r>
      <w:r w:rsidR="000D2662" w:rsidRPr="00217CB7">
        <w:t>Black misappropriated more than US $200 million from [International] by engaging in repeated and system</w:t>
      </w:r>
      <w:r w:rsidR="00D102D9" w:rsidRPr="00217CB7">
        <w:t>at</w:t>
      </w:r>
      <w:r w:rsidR="000D2662" w:rsidRPr="00217CB7">
        <w:t>ic schemes to wrongfully divert corporate assets to himself and his associates;</w:t>
      </w:r>
    </w:p>
    <w:p w:rsidR="000D2662" w:rsidRPr="00217CB7" w:rsidRDefault="003F2C62" w:rsidP="00446107">
      <w:pPr>
        <w:pStyle w:val="Citation-AltC"/>
        <w:tabs>
          <w:tab w:val="left" w:pos="1170"/>
        </w:tabs>
        <w:spacing w:after="240"/>
        <w:ind w:left="1800" w:hanging="2246"/>
        <w:contextualSpacing w:val="0"/>
      </w:pPr>
      <w:r w:rsidRPr="00217CB7">
        <w:tab/>
      </w:r>
      <w:r w:rsidR="00D102D9" w:rsidRPr="00217CB7">
        <w:t>●</w:t>
      </w:r>
      <w:r w:rsidR="00D102D9" w:rsidRPr="00217CB7">
        <w:tab/>
      </w:r>
      <w:r w:rsidR="000D2662" w:rsidRPr="00217CB7">
        <w:t xml:space="preserve">Black presided over a corporate </w:t>
      </w:r>
      <w:proofErr w:type="spellStart"/>
      <w:r w:rsidR="000D2662" w:rsidRPr="00217CB7">
        <w:t>kleptocracy</w:t>
      </w:r>
      <w:proofErr w:type="spellEnd"/>
      <w:r w:rsidR="000D2662" w:rsidRPr="00217CB7">
        <w:t xml:space="preserve"> that was engaged in a system</w:t>
      </w:r>
      <w:r w:rsidR="00D102D9" w:rsidRPr="00217CB7">
        <w:t>at</w:t>
      </w:r>
      <w:r w:rsidR="000D2662" w:rsidRPr="00217CB7">
        <w:t xml:space="preserve">ic, </w:t>
      </w:r>
      <w:proofErr w:type="spellStart"/>
      <w:r w:rsidR="000D2662" w:rsidRPr="00217CB7">
        <w:t>wi</w:t>
      </w:r>
      <w:r w:rsidR="00D102D9" w:rsidRPr="00217CB7">
        <w:t>l</w:t>
      </w:r>
      <w:r w:rsidR="000D2662" w:rsidRPr="00217CB7">
        <w:t>lful</w:t>
      </w:r>
      <w:proofErr w:type="spellEnd"/>
      <w:r w:rsidR="000D2662" w:rsidRPr="00217CB7">
        <w:t xml:space="preserve"> and deliberate looting of [International];</w:t>
      </w:r>
    </w:p>
    <w:p w:rsidR="000D2662" w:rsidRPr="00217CB7" w:rsidRDefault="003F2C62" w:rsidP="00446107">
      <w:pPr>
        <w:pStyle w:val="Citation-AltC"/>
        <w:tabs>
          <w:tab w:val="left" w:pos="1170"/>
        </w:tabs>
        <w:spacing w:after="240"/>
        <w:ind w:left="1800" w:hanging="2246"/>
        <w:contextualSpacing w:val="0"/>
      </w:pPr>
      <w:r w:rsidRPr="00217CB7">
        <w:tab/>
      </w:r>
      <w:r w:rsidR="00D102D9" w:rsidRPr="00217CB7">
        <w:t>●</w:t>
      </w:r>
      <w:r w:rsidR="00D102D9" w:rsidRPr="00217CB7">
        <w:tab/>
      </w:r>
      <w:r w:rsidR="000D2662" w:rsidRPr="00217CB7">
        <w:t>Black created an entity in which ethical corruption was a defining characteristic of the leadership team;</w:t>
      </w:r>
    </w:p>
    <w:p w:rsidR="000D2662" w:rsidRPr="00217CB7" w:rsidRDefault="003F2C62" w:rsidP="00446107">
      <w:pPr>
        <w:pStyle w:val="Citation-AltC"/>
        <w:tabs>
          <w:tab w:val="left" w:pos="1170"/>
        </w:tabs>
        <w:spacing w:after="240"/>
        <w:ind w:left="1800" w:hanging="2246"/>
        <w:contextualSpacing w:val="0"/>
      </w:pPr>
      <w:r w:rsidRPr="00217CB7">
        <w:tab/>
      </w:r>
      <w:r w:rsidR="00D102D9" w:rsidRPr="00217CB7">
        <w:t>●</w:t>
      </w:r>
      <w:r w:rsidR="00D102D9" w:rsidRPr="00217CB7">
        <w:tab/>
      </w:r>
      <w:r w:rsidR="000D2662" w:rsidRPr="00217CB7">
        <w:t>Black misled the board, breached his fiduciary duties, engaged in self-dealing, lined his pockets at the expense of [International] almost every day, engaged in tax evasion, and used company money to make millions of dollars worth of charitable donations in his own name;</w:t>
      </w:r>
    </w:p>
    <w:p w:rsidR="000D2662" w:rsidRPr="00217CB7" w:rsidRDefault="003F2C62" w:rsidP="00446107">
      <w:pPr>
        <w:pStyle w:val="Citation-AltC"/>
        <w:tabs>
          <w:tab w:val="left" w:pos="1170"/>
        </w:tabs>
        <w:spacing w:after="240"/>
        <w:ind w:left="1800" w:hanging="2246"/>
        <w:contextualSpacing w:val="0"/>
      </w:pPr>
      <w:r w:rsidRPr="00217CB7">
        <w:tab/>
      </w:r>
      <w:r w:rsidR="00D102D9" w:rsidRPr="00217CB7">
        <w:t>●</w:t>
      </w:r>
      <w:r w:rsidR="00D102D9" w:rsidRPr="00217CB7">
        <w:tab/>
      </w:r>
      <w:r w:rsidR="001845A9" w:rsidRPr="00217CB7">
        <w:t>Black took US </w:t>
      </w:r>
      <w:r w:rsidR="000D2662" w:rsidRPr="00217CB7">
        <w:t>$500 million from [International] for himself and his associates;</w:t>
      </w:r>
    </w:p>
    <w:p w:rsidR="000D2662" w:rsidRPr="00217CB7" w:rsidRDefault="003F2C62" w:rsidP="00446107">
      <w:pPr>
        <w:pStyle w:val="Citation-AltC"/>
        <w:tabs>
          <w:tab w:val="left" w:pos="1170"/>
        </w:tabs>
        <w:ind w:left="1800" w:hanging="2246"/>
        <w:contextualSpacing w:val="0"/>
      </w:pPr>
      <w:r w:rsidRPr="00217CB7">
        <w:lastRenderedPageBreak/>
        <w:tab/>
      </w:r>
      <w:r w:rsidR="00D102D9" w:rsidRPr="00217CB7">
        <w:t>●</w:t>
      </w:r>
      <w:r w:rsidR="00D102D9" w:rsidRPr="00217CB7">
        <w:tab/>
      </w:r>
      <w:r w:rsidR="000D2662" w:rsidRPr="00217CB7">
        <w:t>Black would continue to use his position as the controlling shareholder to act to the detriment of [International] and its public shareholders and in breach of US securities law.</w:t>
      </w:r>
    </w:p>
    <w:p w:rsidR="000D2662" w:rsidRPr="00217CB7" w:rsidRDefault="000D2662" w:rsidP="000D2662">
      <w:pPr>
        <w:pStyle w:val="ParaNoNdepar-AltN"/>
      </w:pPr>
      <w:r w:rsidRPr="00217CB7">
        <w:t>The appellants brought a motion to have the six libel actions stayed on the grounds that there was no real and substantial connection between the actions and Ontario or, alternatively, that a New York or Illinois court was the more appropriate forum.</w:t>
      </w:r>
      <w:r w:rsidR="0089026E" w:rsidRPr="00217CB7">
        <w:t xml:space="preserve"> </w:t>
      </w:r>
      <w:r w:rsidRPr="00217CB7">
        <w:t>At the hearing before this Court, counsel for the appellants argued that an Illinois court was the most appropriate forum.</w:t>
      </w:r>
    </w:p>
    <w:p w:rsidR="000D2662" w:rsidRPr="00217CB7" w:rsidRDefault="000D2662" w:rsidP="000D2662">
      <w:pPr>
        <w:pStyle w:val="ParaNoNdepar-AltN"/>
      </w:pPr>
      <w:r w:rsidRPr="00217CB7">
        <w:t>Five of the appellants are defendants in all six of the actions; namely, Richard C. Breeden, Richard C. Breeden &amp; Co., Gordon A. Paris, Graham W. Savage and Raymond G.</w:t>
      </w:r>
      <w:r w:rsidR="0089026E" w:rsidRPr="00217CB7">
        <w:t> </w:t>
      </w:r>
      <w:r w:rsidRPr="00217CB7">
        <w:t>H. Seitz.</w:t>
      </w:r>
      <w:r w:rsidR="0089026E" w:rsidRPr="00217CB7">
        <w:t xml:space="preserve"> </w:t>
      </w:r>
      <w:r w:rsidRPr="00217CB7">
        <w:t>James R. Thompson and Richard D. Burt are defendants in the first four actions.</w:t>
      </w:r>
      <w:r w:rsidR="0089026E" w:rsidRPr="00217CB7">
        <w:t xml:space="preserve"> </w:t>
      </w:r>
      <w:r w:rsidRPr="00217CB7">
        <w:t xml:space="preserve">Paul B. Healy is a defendant in the fifth action and James R. Thompson, Richard D. Burt, </w:t>
      </w:r>
      <w:proofErr w:type="spellStart"/>
      <w:r w:rsidRPr="00217CB7">
        <w:t>Shmuel</w:t>
      </w:r>
      <w:proofErr w:type="spellEnd"/>
      <w:r w:rsidRPr="00217CB7">
        <w:t xml:space="preserve"> </w:t>
      </w:r>
      <w:proofErr w:type="spellStart"/>
      <w:r w:rsidRPr="00217CB7">
        <w:t>Meitar</w:t>
      </w:r>
      <w:proofErr w:type="spellEnd"/>
      <w:r w:rsidRPr="00217CB7">
        <w:t xml:space="preserve"> and Henry A. Kissinger are defendants in the sixth action.</w:t>
      </w:r>
      <w:r w:rsidR="0089026E" w:rsidRPr="00217CB7">
        <w:t xml:space="preserve"> </w:t>
      </w:r>
      <w:r w:rsidRPr="00217CB7">
        <w:t>Mr.</w:t>
      </w:r>
      <w:r w:rsidR="0089026E" w:rsidRPr="00217CB7">
        <w:t xml:space="preserve"> </w:t>
      </w:r>
      <w:r w:rsidRPr="00217CB7">
        <w:t xml:space="preserve">Savage lives in Ontario and Mr. </w:t>
      </w:r>
      <w:proofErr w:type="spellStart"/>
      <w:r w:rsidRPr="00217CB7">
        <w:t>Meitar</w:t>
      </w:r>
      <w:proofErr w:type="spellEnd"/>
      <w:r w:rsidRPr="00217CB7">
        <w:t xml:space="preserve"> in Israel; the remainder of the appellants live in the U.S., including three in Connecticut (Mr. Breeden, Richard C. Breeden &amp; Co. and Mr. Kissinger), two in New York (Mr. Paris and Mr.</w:t>
      </w:r>
      <w:r w:rsidR="0089026E" w:rsidRPr="00217CB7">
        <w:t xml:space="preserve"> </w:t>
      </w:r>
      <w:r w:rsidRPr="00217CB7">
        <w:t>Healy) and one each in Illinois (Mr. Thompson), the District of Columbia (Mr.</w:t>
      </w:r>
      <w:r w:rsidR="0089026E" w:rsidRPr="00217CB7">
        <w:t xml:space="preserve"> </w:t>
      </w:r>
      <w:r w:rsidRPr="00217CB7">
        <w:t>Burt) and New Hampshire (Mr. Seitz).</w:t>
      </w:r>
      <w:r w:rsidR="0089026E" w:rsidRPr="00217CB7">
        <w:t xml:space="preserve"> </w:t>
      </w:r>
      <w:r w:rsidRPr="00217CB7">
        <w:t>The parties did not differentiate between the six actions for the purposes of the motion; nor did the courts below.</w:t>
      </w:r>
    </w:p>
    <w:p w:rsidR="000D2662" w:rsidRPr="00217CB7" w:rsidRDefault="000D2662" w:rsidP="000D2662">
      <w:pPr>
        <w:pStyle w:val="ParaNoNdepar-AltN"/>
      </w:pPr>
      <w:r w:rsidRPr="00217CB7">
        <w:t>It should be noted that in addition to this litigation, several other civil and criminal proceedings were commenced in both the U.S. and Canada following the release of the Committee</w:t>
      </w:r>
      <w:r w:rsidR="00621B7F" w:rsidRPr="00217CB7">
        <w:t>’</w:t>
      </w:r>
      <w:r w:rsidRPr="00217CB7">
        <w:t>s report.</w:t>
      </w:r>
      <w:r w:rsidR="0089026E" w:rsidRPr="00217CB7">
        <w:t xml:space="preserve"> </w:t>
      </w:r>
      <w:r w:rsidRPr="00217CB7">
        <w:t xml:space="preserve">In 2007, Lord Black was convicted of three counts </w:t>
      </w:r>
      <w:r w:rsidRPr="00217CB7">
        <w:lastRenderedPageBreak/>
        <w:t>of mail fraud and one count of obstruction of justice and sentenced to six and a half years in prison.</w:t>
      </w:r>
      <w:r w:rsidR="0089026E" w:rsidRPr="00217CB7">
        <w:t xml:space="preserve"> </w:t>
      </w:r>
      <w:r w:rsidRPr="00217CB7">
        <w:t>Two of the convictions for mail fraud were later vacated on appeal.</w:t>
      </w:r>
      <w:r w:rsidR="0089026E" w:rsidRPr="00217CB7">
        <w:t xml:space="preserve"> </w:t>
      </w:r>
      <w:r w:rsidRPr="00217CB7">
        <w:t>The argument that these convictions are relevant to the litigation since they affect Lord Black</w:t>
      </w:r>
      <w:r w:rsidR="00621B7F" w:rsidRPr="00217CB7">
        <w:t>’</w:t>
      </w:r>
      <w:r w:rsidRPr="00217CB7">
        <w:t>s admissibility into Canada was made in the courts below.</w:t>
      </w:r>
      <w:r w:rsidR="0089026E" w:rsidRPr="00217CB7">
        <w:t xml:space="preserve"> </w:t>
      </w:r>
      <w:r w:rsidRPr="00217CB7">
        <w:t>In June 2011, subsequent to the hearing before this Court, Lord Black was resentenced to 42 months in prison. He is now incarcerated in the United States.</w:t>
      </w:r>
    </w:p>
    <w:p w:rsidR="000D2662" w:rsidRPr="00217CB7" w:rsidRDefault="000D2662" w:rsidP="000D2662">
      <w:pPr>
        <w:pStyle w:val="ParaNoNdepar-AltN"/>
      </w:pPr>
      <w:r w:rsidRPr="00217CB7">
        <w:t>Two civil actions commenced against Lord Black by International in Delaware and Illinois are also relevant to this litigation.</w:t>
      </w:r>
      <w:r w:rsidR="0089026E" w:rsidRPr="00217CB7">
        <w:t xml:space="preserve"> </w:t>
      </w:r>
      <w:r w:rsidRPr="00217CB7">
        <w:t>The Delaware action included claims against Lord Black and Hollinger Inc. for breach of their contractual and fiduciary duties under Delaware law.</w:t>
      </w:r>
      <w:r w:rsidR="0089026E" w:rsidRPr="00217CB7">
        <w:t xml:space="preserve"> </w:t>
      </w:r>
      <w:r w:rsidRPr="00217CB7">
        <w:t xml:space="preserve">The Illinois action alleges that Lord Black and his associates received more than US$90 million in unauthorized or improperly authorized non-compete payments, and claims that management service fees paid to </w:t>
      </w:r>
      <w:proofErr w:type="spellStart"/>
      <w:r w:rsidRPr="00217CB7">
        <w:t>Ravelston</w:t>
      </w:r>
      <w:proofErr w:type="spellEnd"/>
      <w:r w:rsidRPr="00217CB7">
        <w:t xml:space="preserve"> and Hollinger Inc. were improperly negotiated and grossly excessive.</w:t>
      </w:r>
      <w:r w:rsidR="0089026E" w:rsidRPr="00217CB7">
        <w:t xml:space="preserve"> </w:t>
      </w:r>
      <w:r w:rsidRPr="00217CB7">
        <w:t>The Illinois action was stayed pending resolution of the criminal proceedings against Lord Black.</w:t>
      </w:r>
      <w:r w:rsidR="0089026E" w:rsidRPr="00217CB7">
        <w:t xml:space="preserve"> </w:t>
      </w:r>
      <w:r w:rsidRPr="00217CB7">
        <w:t>The existence of the actions in Delaware and Illinois was taken into account by the courts below.</w:t>
      </w:r>
    </w:p>
    <w:p w:rsidR="000D2662" w:rsidRPr="00217CB7" w:rsidRDefault="000D2662" w:rsidP="00D102D9">
      <w:pPr>
        <w:pStyle w:val="TitleTitre-AltT"/>
        <w:tabs>
          <w:tab w:val="clear" w:pos="360"/>
          <w:tab w:val="left" w:pos="540"/>
        </w:tabs>
        <w:ind w:left="540" w:hanging="540"/>
      </w:pPr>
      <w:r w:rsidRPr="00217CB7">
        <w:t>C.</w:t>
      </w:r>
      <w:r w:rsidRPr="00217CB7">
        <w:tab/>
      </w:r>
      <w:r w:rsidRPr="00217CB7">
        <w:rPr>
          <w:i/>
        </w:rPr>
        <w:t>Judicial History</w:t>
      </w:r>
    </w:p>
    <w:p w:rsidR="000D2662" w:rsidRPr="00217CB7" w:rsidRDefault="000D2662" w:rsidP="00D102D9">
      <w:pPr>
        <w:pStyle w:val="TitleTitre-AltT"/>
        <w:tabs>
          <w:tab w:val="clear" w:pos="360"/>
          <w:tab w:val="left" w:pos="1170"/>
          <w:tab w:val="left" w:pos="1800"/>
        </w:tabs>
        <w:ind w:left="1800" w:hanging="1800"/>
      </w:pPr>
      <w:r w:rsidRPr="00217CB7">
        <w:tab/>
        <w:t>(1)</w:t>
      </w:r>
      <w:r w:rsidRPr="00217CB7">
        <w:tab/>
      </w:r>
      <w:r w:rsidRPr="00217CB7">
        <w:rPr>
          <w:u w:val="single"/>
        </w:rPr>
        <w:t>Ontario Superior Court</w:t>
      </w:r>
      <w:r w:rsidR="00D102D9" w:rsidRPr="00217CB7">
        <w:rPr>
          <w:u w:val="single"/>
        </w:rPr>
        <w:t xml:space="preserve"> of Justice</w:t>
      </w:r>
      <w:r w:rsidRPr="00217CB7">
        <w:rPr>
          <w:u w:val="single"/>
        </w:rPr>
        <w:t xml:space="preserve"> </w:t>
      </w:r>
      <w:r w:rsidR="00D102D9" w:rsidRPr="00217CB7">
        <w:rPr>
          <w:u w:val="single"/>
        </w:rPr>
        <w:t>(2009)</w:t>
      </w:r>
      <w:r w:rsidR="00666E1B" w:rsidRPr="00217CB7">
        <w:rPr>
          <w:u w:val="single"/>
        </w:rPr>
        <w:t>,</w:t>
      </w:r>
      <w:r w:rsidR="00D102D9" w:rsidRPr="00217CB7">
        <w:rPr>
          <w:u w:val="single"/>
        </w:rPr>
        <w:t xml:space="preserve"> </w:t>
      </w:r>
      <w:r w:rsidR="0089026E" w:rsidRPr="00217CB7">
        <w:rPr>
          <w:u w:val="single"/>
        </w:rPr>
        <w:t>309 D.L.R. (4th) 708 (</w:t>
      </w:r>
      <w:proofErr w:type="spellStart"/>
      <w:r w:rsidR="0089026E" w:rsidRPr="00217CB7">
        <w:rPr>
          <w:u w:val="single"/>
        </w:rPr>
        <w:t>Belobaba</w:t>
      </w:r>
      <w:proofErr w:type="spellEnd"/>
      <w:r w:rsidR="0089026E" w:rsidRPr="00217CB7">
        <w:rPr>
          <w:u w:val="single"/>
        </w:rPr>
        <w:t> </w:t>
      </w:r>
      <w:r w:rsidRPr="00217CB7">
        <w:rPr>
          <w:u w:val="single"/>
        </w:rPr>
        <w:t>J.)</w:t>
      </w:r>
      <w:r w:rsidR="00621B7F" w:rsidRPr="00217CB7">
        <w:t xml:space="preserve"> </w:t>
      </w:r>
    </w:p>
    <w:p w:rsidR="000D2662" w:rsidRPr="00217CB7" w:rsidRDefault="000D2662" w:rsidP="000D2662">
      <w:pPr>
        <w:pStyle w:val="ParaNoNdepar-AltN"/>
      </w:pPr>
      <w:r w:rsidRPr="00217CB7">
        <w:t>Writing prior to the Ontario Court of Appeal</w:t>
      </w:r>
      <w:r w:rsidR="00621B7F" w:rsidRPr="00217CB7">
        <w:t>’</w:t>
      </w:r>
      <w:r w:rsidRPr="00217CB7">
        <w:t xml:space="preserve">s decision in </w:t>
      </w:r>
      <w:r w:rsidRPr="00217CB7">
        <w:rPr>
          <w:i/>
        </w:rPr>
        <w:t>Charron Estate v. Village Resorts Ltd.</w:t>
      </w:r>
      <w:r w:rsidRPr="00217CB7">
        <w:t>, 2010 ONCA 84, 98 O.R. (3d) 721 (</w:t>
      </w:r>
      <w:r w:rsidR="0089026E" w:rsidRPr="00217CB7">
        <w:t>“</w:t>
      </w:r>
      <w:r w:rsidRPr="00217CB7">
        <w:rPr>
          <w:i/>
        </w:rPr>
        <w:t>Van Breda-</w:t>
      </w:r>
      <w:proofErr w:type="spellStart"/>
      <w:r w:rsidRPr="00217CB7">
        <w:rPr>
          <w:i/>
        </w:rPr>
        <w:t>Charron</w:t>
      </w:r>
      <w:proofErr w:type="spellEnd"/>
      <w:r w:rsidR="0089026E" w:rsidRPr="00217CB7">
        <w:t>”</w:t>
      </w:r>
      <w:r w:rsidRPr="00217CB7">
        <w:t>)</w:t>
      </w:r>
      <w:r w:rsidR="00D102D9" w:rsidRPr="00217CB7">
        <w:t>,</w:t>
      </w:r>
      <w:r w:rsidRPr="00217CB7">
        <w:t xml:space="preserve"> </w:t>
      </w:r>
      <w:proofErr w:type="spellStart"/>
      <w:r w:rsidRPr="00217CB7">
        <w:lastRenderedPageBreak/>
        <w:t>Belobaba</w:t>
      </w:r>
      <w:proofErr w:type="spellEnd"/>
      <w:r w:rsidRPr="00217CB7">
        <w:t xml:space="preserve"> J. considered himself to be bound to apply </w:t>
      </w:r>
      <w:proofErr w:type="spellStart"/>
      <w:r w:rsidRPr="00217CB7">
        <w:rPr>
          <w:i/>
        </w:rPr>
        <w:t>Muscutt</w:t>
      </w:r>
      <w:proofErr w:type="spellEnd"/>
      <w:r w:rsidRPr="00217CB7">
        <w:rPr>
          <w:i/>
        </w:rPr>
        <w:t xml:space="preserve"> v. </w:t>
      </w:r>
      <w:proofErr w:type="spellStart"/>
      <w:r w:rsidRPr="00217CB7">
        <w:rPr>
          <w:i/>
        </w:rPr>
        <w:t>Courcelles</w:t>
      </w:r>
      <w:proofErr w:type="spellEnd"/>
      <w:r w:rsidRPr="00217CB7">
        <w:t xml:space="preserve"> (2002), 60 O.R. (3d) 20 (C.A.).</w:t>
      </w:r>
      <w:r w:rsidR="0089026E" w:rsidRPr="00217CB7">
        <w:t xml:space="preserve"> </w:t>
      </w:r>
      <w:r w:rsidRPr="00217CB7">
        <w:t xml:space="preserve">Applying the eight </w:t>
      </w:r>
      <w:proofErr w:type="spellStart"/>
      <w:r w:rsidRPr="00217CB7">
        <w:rPr>
          <w:i/>
        </w:rPr>
        <w:t>Muscutt</w:t>
      </w:r>
      <w:proofErr w:type="spellEnd"/>
      <w:r w:rsidRPr="00217CB7">
        <w:t xml:space="preserve"> factors for assumption of jurisdiction, </w:t>
      </w:r>
      <w:proofErr w:type="spellStart"/>
      <w:r w:rsidRPr="00217CB7">
        <w:t>Belobaba</w:t>
      </w:r>
      <w:proofErr w:type="spellEnd"/>
      <w:r w:rsidRPr="00217CB7">
        <w:t xml:space="preserve"> J. found that a real and substantial connection to Ontario had been established.</w:t>
      </w:r>
      <w:r w:rsidR="0089026E" w:rsidRPr="00217CB7">
        <w:t xml:space="preserve"> </w:t>
      </w:r>
      <w:r w:rsidRPr="00217CB7">
        <w:t>First, the actions could be connected to Ontario on the basis that Lord Black was claiming damages for a tort committed in Ontario and had long-standing ties to Ontario.</w:t>
      </w:r>
      <w:r w:rsidR="0089026E" w:rsidRPr="00217CB7">
        <w:t xml:space="preserve"> </w:t>
      </w:r>
      <w:r w:rsidRPr="00217CB7">
        <w:t>Second, the appellants could be connected to Ontario on the basis that it would have been reasonably foreseeable to them that the statements posted on International</w:t>
      </w:r>
      <w:r w:rsidR="00621B7F" w:rsidRPr="00217CB7">
        <w:t>’</w:t>
      </w:r>
      <w:r w:rsidRPr="00217CB7">
        <w:t>s website could result in injury to Lord Black</w:t>
      </w:r>
      <w:r w:rsidR="00621B7F" w:rsidRPr="00217CB7">
        <w:t>’</w:t>
      </w:r>
      <w:r w:rsidRPr="00217CB7">
        <w:t>s reputation in Ontario.</w:t>
      </w:r>
      <w:r w:rsidR="0089026E" w:rsidRPr="00217CB7">
        <w:t xml:space="preserve"> </w:t>
      </w:r>
      <w:r w:rsidRPr="00217CB7">
        <w:t xml:space="preserve">Of the six remaining </w:t>
      </w:r>
      <w:proofErr w:type="spellStart"/>
      <w:r w:rsidRPr="00217CB7">
        <w:rPr>
          <w:i/>
        </w:rPr>
        <w:t>Muscutt</w:t>
      </w:r>
      <w:proofErr w:type="spellEnd"/>
      <w:r w:rsidRPr="00217CB7">
        <w:rPr>
          <w:i/>
        </w:rPr>
        <w:t xml:space="preserve"> </w:t>
      </w:r>
      <w:r w:rsidRPr="00217CB7">
        <w:t xml:space="preserve">factors, </w:t>
      </w:r>
      <w:proofErr w:type="spellStart"/>
      <w:r w:rsidRPr="00217CB7">
        <w:t>Belobaba</w:t>
      </w:r>
      <w:proofErr w:type="spellEnd"/>
      <w:r w:rsidRPr="00217CB7">
        <w:t xml:space="preserve"> J. considered that only one — the international nature of the case — clearly favoured the appellants.</w:t>
      </w:r>
      <w:r w:rsidR="0089026E" w:rsidRPr="00217CB7">
        <w:t xml:space="preserve"> </w:t>
      </w:r>
      <w:r w:rsidRPr="00217CB7">
        <w:t xml:space="preserve">Jurisdiction </w:t>
      </w:r>
      <w:proofErr w:type="spellStart"/>
      <w:r w:rsidRPr="00217CB7">
        <w:rPr>
          <w:i/>
        </w:rPr>
        <w:t>simpliciter</w:t>
      </w:r>
      <w:proofErr w:type="spellEnd"/>
      <w:r w:rsidRPr="00217CB7">
        <w:t xml:space="preserve"> was thus established.</w:t>
      </w:r>
    </w:p>
    <w:p w:rsidR="000D2662" w:rsidRPr="00217CB7" w:rsidRDefault="000D2662" w:rsidP="000D2662">
      <w:pPr>
        <w:pStyle w:val="ParaNoNdepar-AltN"/>
      </w:pPr>
      <w:proofErr w:type="spellStart"/>
      <w:r w:rsidRPr="00217CB7">
        <w:t>Belobaba</w:t>
      </w:r>
      <w:proofErr w:type="spellEnd"/>
      <w:r w:rsidRPr="00217CB7">
        <w:t xml:space="preserve"> J. also found that Ontario was a convenient forum to hear the actions and that neither New York nor Illinois was clearly more appropriate.</w:t>
      </w:r>
      <w:r w:rsidR="0089026E" w:rsidRPr="00217CB7">
        <w:t xml:space="preserve"> </w:t>
      </w:r>
      <w:r w:rsidRPr="00217CB7">
        <w:t xml:space="preserve">In his view, only one of the six traditional </w:t>
      </w:r>
      <w:r w:rsidRPr="00217CB7">
        <w:rPr>
          <w:i/>
        </w:rPr>
        <w:t xml:space="preserve">forum non </w:t>
      </w:r>
      <w:proofErr w:type="spellStart"/>
      <w:r w:rsidRPr="00217CB7">
        <w:rPr>
          <w:i/>
        </w:rPr>
        <w:t>conveniens</w:t>
      </w:r>
      <w:proofErr w:type="spellEnd"/>
      <w:r w:rsidRPr="00217CB7">
        <w:t xml:space="preserve"> factors — the location of key witnesses and evidence — favoured the appellants, and </w:t>
      </w:r>
      <w:proofErr w:type="spellStart"/>
      <w:r w:rsidRPr="00217CB7">
        <w:t>Belobaba</w:t>
      </w:r>
      <w:proofErr w:type="spellEnd"/>
      <w:r w:rsidRPr="00217CB7">
        <w:t xml:space="preserve"> J. was unable to measure the extent to which this factor weighed in their favour.</w:t>
      </w:r>
      <w:r w:rsidR="0089026E" w:rsidRPr="00217CB7">
        <w:t xml:space="preserve"> </w:t>
      </w:r>
      <w:r w:rsidRPr="00217CB7">
        <w:t xml:space="preserve">Accordingly, </w:t>
      </w:r>
      <w:proofErr w:type="spellStart"/>
      <w:r w:rsidRPr="00217CB7">
        <w:t>Belobaba</w:t>
      </w:r>
      <w:proofErr w:type="spellEnd"/>
      <w:r w:rsidRPr="00217CB7">
        <w:t xml:space="preserve"> J. exercised his discretion to dismiss the motion to stay the actions.</w:t>
      </w:r>
    </w:p>
    <w:p w:rsidR="000D2662" w:rsidRPr="00217CB7" w:rsidRDefault="000D2662" w:rsidP="001474F0">
      <w:pPr>
        <w:pStyle w:val="TitleTitre-AltT"/>
        <w:tabs>
          <w:tab w:val="clear" w:pos="360"/>
          <w:tab w:val="left" w:pos="1170"/>
          <w:tab w:val="left" w:pos="1800"/>
        </w:tabs>
        <w:ind w:left="1800" w:hanging="1800"/>
      </w:pPr>
      <w:r w:rsidRPr="00217CB7">
        <w:tab/>
        <w:t>(2)</w:t>
      </w:r>
      <w:r w:rsidRPr="00217CB7">
        <w:tab/>
      </w:r>
      <w:r w:rsidRPr="00217CB7">
        <w:rPr>
          <w:u w:val="single"/>
        </w:rPr>
        <w:t xml:space="preserve">Ontario Court of Appeal, 2010 ONCA 547, 102 O.R. (3d) 748 (Doherty, </w:t>
      </w:r>
      <w:proofErr w:type="spellStart"/>
      <w:r w:rsidRPr="00217CB7">
        <w:rPr>
          <w:u w:val="single"/>
        </w:rPr>
        <w:t>Juriansz</w:t>
      </w:r>
      <w:proofErr w:type="spellEnd"/>
      <w:r w:rsidRPr="00217CB7">
        <w:rPr>
          <w:u w:val="single"/>
        </w:rPr>
        <w:t xml:space="preserve"> and </w:t>
      </w:r>
      <w:proofErr w:type="spellStart"/>
      <w:r w:rsidRPr="00217CB7">
        <w:rPr>
          <w:u w:val="single"/>
        </w:rPr>
        <w:t>Karakatsanis</w:t>
      </w:r>
      <w:proofErr w:type="spellEnd"/>
      <w:r w:rsidRPr="00217CB7">
        <w:rPr>
          <w:u w:val="single"/>
        </w:rPr>
        <w:t xml:space="preserve"> JJ.A.)</w:t>
      </w:r>
      <w:r w:rsidR="00621B7F" w:rsidRPr="00217CB7">
        <w:t xml:space="preserve"> </w:t>
      </w:r>
    </w:p>
    <w:p w:rsidR="000D2662" w:rsidRPr="00217CB7" w:rsidRDefault="000D2662" w:rsidP="000D2662">
      <w:pPr>
        <w:pStyle w:val="ParaNoNdepar-AltN"/>
      </w:pPr>
      <w:r w:rsidRPr="00217CB7">
        <w:t xml:space="preserve">In a judgment rendered subsequent to the release of its decision in </w:t>
      </w:r>
      <w:r w:rsidRPr="00217CB7">
        <w:rPr>
          <w:i/>
        </w:rPr>
        <w:t>Van Breda-Charron</w:t>
      </w:r>
      <w:r w:rsidRPr="00217CB7">
        <w:t>, the Ontario Court of Appeal unanimously dismissed the appeal brought by the appellants.</w:t>
      </w:r>
      <w:r w:rsidR="0089026E" w:rsidRPr="00217CB7">
        <w:t xml:space="preserve"> </w:t>
      </w:r>
      <w:r w:rsidRPr="00217CB7">
        <w:t xml:space="preserve">Applying the approach set out in </w:t>
      </w:r>
      <w:r w:rsidRPr="00217CB7">
        <w:rPr>
          <w:i/>
        </w:rPr>
        <w:t>Van Breda-Charron</w:t>
      </w:r>
      <w:r w:rsidRPr="00217CB7">
        <w:t xml:space="preserve">, the </w:t>
      </w:r>
      <w:r w:rsidRPr="00217CB7">
        <w:lastRenderedPageBreak/>
        <w:t>Court of Appeal found that a real and substantial connection was presumed to exist on the basis that a tort was committed in Ontario, pursuant to rule 17.02(g) of the Ontario</w:t>
      </w:r>
      <w:r w:rsidRPr="00217CB7">
        <w:rPr>
          <w:b/>
          <w:i/>
        </w:rPr>
        <w:t xml:space="preserve"> </w:t>
      </w:r>
      <w:r w:rsidRPr="00217CB7">
        <w:rPr>
          <w:i/>
        </w:rPr>
        <w:t>Rules of Civil Procedure</w:t>
      </w:r>
      <w:r w:rsidRPr="00217CB7">
        <w:t>, R.R.O. 1990, Reg. 194.</w:t>
      </w:r>
      <w:r w:rsidR="0089026E" w:rsidRPr="00217CB7">
        <w:t xml:space="preserve"> </w:t>
      </w:r>
      <w:r w:rsidRPr="00217CB7">
        <w:t>The appellants had failed to rebut this presumption.</w:t>
      </w:r>
      <w:r w:rsidR="0089026E" w:rsidRPr="00217CB7">
        <w:t xml:space="preserve"> </w:t>
      </w:r>
      <w:r w:rsidRPr="00217CB7">
        <w:t xml:space="preserve">The Court of Appeal found that the existence of a real and substantial connection was also supported by the principles of fairness and order and the </w:t>
      </w:r>
      <w:r w:rsidR="0089026E" w:rsidRPr="00217CB7">
        <w:t>“</w:t>
      </w:r>
      <w:r w:rsidRPr="00217CB7">
        <w:t>general principles</w:t>
      </w:r>
      <w:r w:rsidR="0089026E" w:rsidRPr="00217CB7">
        <w:t>”</w:t>
      </w:r>
      <w:r w:rsidRPr="00217CB7">
        <w:t xml:space="preserve"> identified in </w:t>
      </w:r>
      <w:r w:rsidRPr="00217CB7">
        <w:rPr>
          <w:i/>
        </w:rPr>
        <w:t>Van Breda-Charron</w:t>
      </w:r>
      <w:r w:rsidRPr="00217CB7">
        <w:t>.</w:t>
      </w:r>
      <w:r w:rsidR="0089026E" w:rsidRPr="00217CB7">
        <w:t xml:space="preserve"> </w:t>
      </w:r>
      <w:r w:rsidRPr="00217CB7">
        <w:t xml:space="preserve">While the Court of Appeal did not consider it to be necessary to determine whether a </w:t>
      </w:r>
      <w:r w:rsidR="0089026E" w:rsidRPr="00217CB7">
        <w:t>“</w:t>
      </w:r>
      <w:r w:rsidRPr="00217CB7">
        <w:t>targeting</w:t>
      </w:r>
      <w:r w:rsidR="0089026E" w:rsidRPr="00217CB7">
        <w:t>”</w:t>
      </w:r>
      <w:r w:rsidRPr="00217CB7">
        <w:t xml:space="preserve"> approach should be adopted in Canadian law, it nonetheless found that there was evidence on the record that the appellants did target and direct their statements at Ontario.</w:t>
      </w:r>
    </w:p>
    <w:p w:rsidR="000D2662" w:rsidRPr="00217CB7" w:rsidRDefault="000D2662" w:rsidP="000D2662">
      <w:pPr>
        <w:pStyle w:val="ParaNoNdepar-AltN"/>
      </w:pPr>
      <w:r w:rsidRPr="00217CB7">
        <w:t xml:space="preserve">With regard to </w:t>
      </w:r>
      <w:r w:rsidRPr="00217CB7">
        <w:rPr>
          <w:i/>
        </w:rPr>
        <w:t xml:space="preserve">forum non </w:t>
      </w:r>
      <w:proofErr w:type="spellStart"/>
      <w:r w:rsidRPr="00217CB7">
        <w:rPr>
          <w:i/>
        </w:rPr>
        <w:t>conveniens</w:t>
      </w:r>
      <w:proofErr w:type="spellEnd"/>
      <w:r w:rsidRPr="00217CB7">
        <w:t>, the Court of Appeal found that there was no basis on which to interfere with the motion judge</w:t>
      </w:r>
      <w:r w:rsidR="00621B7F" w:rsidRPr="00217CB7">
        <w:t>’</w:t>
      </w:r>
      <w:r w:rsidRPr="00217CB7">
        <w:t>s exercise of discretion.</w:t>
      </w:r>
      <w:r w:rsidR="0089026E" w:rsidRPr="00217CB7">
        <w:t xml:space="preserve"> </w:t>
      </w:r>
      <w:r w:rsidRPr="00217CB7">
        <w:t>In the Court of Appeal</w:t>
      </w:r>
      <w:r w:rsidR="00621B7F" w:rsidRPr="00217CB7">
        <w:t>’</w:t>
      </w:r>
      <w:r w:rsidRPr="00217CB7">
        <w:t xml:space="preserve">s view, </w:t>
      </w:r>
      <w:proofErr w:type="spellStart"/>
      <w:r w:rsidRPr="00217CB7">
        <w:t>Belobaba</w:t>
      </w:r>
      <w:proofErr w:type="spellEnd"/>
      <w:r w:rsidRPr="00217CB7">
        <w:t xml:space="preserve"> J. had correctly set out the relevant factors and was entitled to determine the significance he would give to each one.</w:t>
      </w:r>
      <w:r w:rsidR="0089026E" w:rsidRPr="00217CB7">
        <w:t xml:space="preserve"> </w:t>
      </w:r>
      <w:r w:rsidRPr="00217CB7">
        <w:t>Accordingly, the appeal was dismissed.</w:t>
      </w:r>
    </w:p>
    <w:p w:rsidR="000D2662" w:rsidRPr="00217CB7" w:rsidRDefault="000D2662" w:rsidP="00621B7F">
      <w:pPr>
        <w:pStyle w:val="TitleTitre-AltT"/>
        <w:tabs>
          <w:tab w:val="clear" w:pos="360"/>
          <w:tab w:val="left" w:pos="540"/>
        </w:tabs>
        <w:ind w:left="540" w:hanging="540"/>
      </w:pPr>
      <w:r w:rsidRPr="00217CB7">
        <w:t>II</w:t>
      </w:r>
      <w:r w:rsidR="001474F0" w:rsidRPr="00217CB7">
        <w:t>.</w:t>
      </w:r>
      <w:r w:rsidR="001474F0" w:rsidRPr="00217CB7">
        <w:tab/>
      </w:r>
      <w:r w:rsidRPr="00217CB7">
        <w:rPr>
          <w:u w:val="single"/>
        </w:rPr>
        <w:t>Analysis</w:t>
      </w:r>
      <w:r w:rsidR="00621B7F" w:rsidRPr="00217CB7">
        <w:t xml:space="preserve"> </w:t>
      </w:r>
    </w:p>
    <w:p w:rsidR="000D2662" w:rsidRPr="00217CB7" w:rsidRDefault="000D2662" w:rsidP="001474F0">
      <w:pPr>
        <w:pStyle w:val="TitleTitre-AltT"/>
        <w:tabs>
          <w:tab w:val="clear" w:pos="360"/>
          <w:tab w:val="left" w:pos="540"/>
        </w:tabs>
        <w:ind w:left="540" w:hanging="540"/>
      </w:pPr>
      <w:r w:rsidRPr="00217CB7">
        <w:t>A.</w:t>
      </w:r>
      <w:r w:rsidRPr="00217CB7">
        <w:tab/>
      </w:r>
      <w:r w:rsidRPr="00217CB7">
        <w:rPr>
          <w:i/>
        </w:rPr>
        <w:t>Position of the Parties</w:t>
      </w:r>
    </w:p>
    <w:p w:rsidR="000D2662" w:rsidRPr="00217CB7" w:rsidRDefault="000D2662" w:rsidP="000D2662">
      <w:pPr>
        <w:pStyle w:val="ParaNoNdepar-AltN"/>
      </w:pPr>
      <w:r w:rsidRPr="00217CB7">
        <w:t>The appellants allege that Lord Black is a libel tourist.</w:t>
      </w:r>
      <w:r w:rsidR="0089026E" w:rsidRPr="00217CB7">
        <w:t xml:space="preserve"> </w:t>
      </w:r>
      <w:r w:rsidRPr="00217CB7">
        <w:t xml:space="preserve">In their view, the </w:t>
      </w:r>
      <w:r w:rsidR="0089026E" w:rsidRPr="00217CB7">
        <w:t>“</w:t>
      </w:r>
      <w:r w:rsidRPr="00217CB7">
        <w:t>place of reading</w:t>
      </w:r>
      <w:r w:rsidR="0089026E" w:rsidRPr="00217CB7">
        <w:t>”</w:t>
      </w:r>
      <w:r w:rsidRPr="00217CB7">
        <w:t xml:space="preserve"> approach to libel should be eschewed in cases involving transnational libel claims in favour of an approach that considers whether a real and substantial connection exists between the forum and the </w:t>
      </w:r>
      <w:r w:rsidRPr="00217CB7">
        <w:rPr>
          <w:i/>
        </w:rPr>
        <w:t>substance</w:t>
      </w:r>
      <w:r w:rsidRPr="00217CB7">
        <w:t xml:space="preserve"> of the action. In the case of a libel claim, that is the subject matter and conduct giving rise to the </w:t>
      </w:r>
      <w:r w:rsidRPr="00217CB7">
        <w:lastRenderedPageBreak/>
        <w:t>words complained of and the context in which they were made.</w:t>
      </w:r>
      <w:r w:rsidR="0089026E" w:rsidRPr="00217CB7">
        <w:t xml:space="preserve"> </w:t>
      </w:r>
      <w:r w:rsidRPr="00217CB7">
        <w:t>The appellants contend that the substance of Lord Black</w:t>
      </w:r>
      <w:r w:rsidR="00621B7F" w:rsidRPr="00217CB7">
        <w:t>’</w:t>
      </w:r>
      <w:r w:rsidRPr="00217CB7">
        <w:t>s actions is American and that both New York and Illinois are clearly more appropriate forums for the trial of the actions than Ontario.</w:t>
      </w:r>
    </w:p>
    <w:p w:rsidR="000D2662" w:rsidRPr="00217CB7" w:rsidRDefault="000D2662" w:rsidP="000D2662">
      <w:pPr>
        <w:pStyle w:val="ParaNoNdepar-AltN"/>
      </w:pPr>
      <w:r w:rsidRPr="00217CB7">
        <w:t>The appellants also reject the focus of the courts below on damage sustained in the jurisdiction as misplaced and contend that the analogy to product liability cases is inappropriate.</w:t>
      </w:r>
      <w:r w:rsidR="0089026E" w:rsidRPr="00217CB7">
        <w:t xml:space="preserve"> </w:t>
      </w:r>
      <w:r w:rsidRPr="00217CB7">
        <w:t xml:space="preserve">In addition, they submit that whether or not the </w:t>
      </w:r>
      <w:r w:rsidR="0089026E" w:rsidRPr="00217CB7">
        <w:t>“</w:t>
      </w:r>
      <w:r w:rsidRPr="00217CB7">
        <w:t>targeting</w:t>
      </w:r>
      <w:r w:rsidR="0089026E" w:rsidRPr="00217CB7">
        <w:t>”</w:t>
      </w:r>
      <w:r w:rsidRPr="00217CB7">
        <w:t xml:space="preserve"> approach is adopted in Canadian law, there was an insufficient basis to make such a finding on these facts.</w:t>
      </w:r>
      <w:r w:rsidR="0089026E" w:rsidRPr="00217CB7">
        <w:t xml:space="preserve"> </w:t>
      </w:r>
      <w:r w:rsidRPr="00217CB7">
        <w:t xml:space="preserve">With regard to choice of law, the appellants reject the use by the courts below of the </w:t>
      </w:r>
      <w:proofErr w:type="spellStart"/>
      <w:r w:rsidRPr="00217CB7">
        <w:rPr>
          <w:i/>
        </w:rPr>
        <w:t>lex</w:t>
      </w:r>
      <w:proofErr w:type="spellEnd"/>
      <w:r w:rsidRPr="00217CB7">
        <w:rPr>
          <w:i/>
        </w:rPr>
        <w:t xml:space="preserve"> loci </w:t>
      </w:r>
      <w:proofErr w:type="spellStart"/>
      <w:r w:rsidRPr="00217CB7">
        <w:rPr>
          <w:i/>
        </w:rPr>
        <w:t>delicti</w:t>
      </w:r>
      <w:proofErr w:type="spellEnd"/>
      <w:r w:rsidRPr="00217CB7">
        <w:t xml:space="preserve"> test.</w:t>
      </w:r>
      <w:r w:rsidR="0089026E" w:rsidRPr="00217CB7">
        <w:t xml:space="preserve"> </w:t>
      </w:r>
      <w:r w:rsidRPr="00217CB7">
        <w:t xml:space="preserve">In their view, </w:t>
      </w:r>
      <w:proofErr w:type="spellStart"/>
      <w:r w:rsidRPr="00217CB7">
        <w:rPr>
          <w:i/>
        </w:rPr>
        <w:t>lex</w:t>
      </w:r>
      <w:proofErr w:type="spellEnd"/>
      <w:r w:rsidRPr="00217CB7">
        <w:rPr>
          <w:i/>
        </w:rPr>
        <w:t xml:space="preserve"> loci</w:t>
      </w:r>
      <w:r w:rsidRPr="00217CB7">
        <w:t xml:space="preserve"> </w:t>
      </w:r>
      <w:proofErr w:type="spellStart"/>
      <w:r w:rsidRPr="00217CB7">
        <w:rPr>
          <w:i/>
        </w:rPr>
        <w:t>delicti</w:t>
      </w:r>
      <w:proofErr w:type="spellEnd"/>
      <w:r w:rsidRPr="00217CB7">
        <w:rPr>
          <w:i/>
        </w:rPr>
        <w:t xml:space="preserve"> </w:t>
      </w:r>
      <w:r w:rsidRPr="00217CB7">
        <w:t>is ill-suited to transnational defamation claims if it is determined solely on the basis of where damage occurs, as damage may occur in multiple jurisdictions.</w:t>
      </w:r>
      <w:r w:rsidR="0089026E" w:rsidRPr="00217CB7">
        <w:t xml:space="preserve"> </w:t>
      </w:r>
      <w:r w:rsidRPr="00217CB7">
        <w:t>The appellants submit that American law should be applied to the actions, reflecting their substance.</w:t>
      </w:r>
    </w:p>
    <w:p w:rsidR="000D2662" w:rsidRPr="00217CB7" w:rsidRDefault="000D2662" w:rsidP="000D2662">
      <w:pPr>
        <w:pStyle w:val="ParaNoNdepar-AltN"/>
      </w:pPr>
      <w:r w:rsidRPr="00217CB7">
        <w:t>Lord Black rejects the allegation that he is a libel tourist.</w:t>
      </w:r>
      <w:r w:rsidR="0089026E" w:rsidRPr="00217CB7">
        <w:t xml:space="preserve"> </w:t>
      </w:r>
      <w:r w:rsidRPr="00217CB7">
        <w:t>He submits that when properly applied to transnational defamation claims, the real and substantial connection test is satisfied where (a) there is substantial publication in the jurisdiction, (b) the plaintiff has a substantial reputation to protect in the jurisdiction, and (c) the defendant is in a position to reasonably foresee substantial publication in the jurisdiction and to know of the plaintiff</w:t>
      </w:r>
      <w:r w:rsidR="00621B7F" w:rsidRPr="00217CB7">
        <w:t>’</w:t>
      </w:r>
      <w:r w:rsidRPr="00217CB7">
        <w:t>s substantial reputation there.</w:t>
      </w:r>
      <w:r w:rsidR="0089026E" w:rsidRPr="00217CB7">
        <w:t xml:space="preserve"> </w:t>
      </w:r>
      <w:r w:rsidRPr="00217CB7">
        <w:t>In Lord Black</w:t>
      </w:r>
      <w:r w:rsidR="00621B7F" w:rsidRPr="00217CB7">
        <w:t>’</w:t>
      </w:r>
      <w:r w:rsidRPr="00217CB7">
        <w:t>s view, the courts below correctly applied this test to find that all three conditions were satisfied on the facts of this case.</w:t>
      </w:r>
    </w:p>
    <w:p w:rsidR="000D2662" w:rsidRPr="00217CB7" w:rsidRDefault="000D2662" w:rsidP="000D2662">
      <w:pPr>
        <w:pStyle w:val="ParaNoNdepar-AltN"/>
      </w:pPr>
      <w:r w:rsidRPr="00217CB7">
        <w:lastRenderedPageBreak/>
        <w:t>Lord Black also contends that the approach advocated by the appellants would improperly shift the focus of Canada</w:t>
      </w:r>
      <w:r w:rsidR="00621B7F" w:rsidRPr="00217CB7">
        <w:t>’</w:t>
      </w:r>
      <w:r w:rsidRPr="00217CB7">
        <w:t>s defamation law from the reputation of the plaintiff to the conduct of the defendant.</w:t>
      </w:r>
      <w:r w:rsidR="0089026E" w:rsidRPr="00217CB7">
        <w:t xml:space="preserve"> </w:t>
      </w:r>
      <w:r w:rsidRPr="00217CB7">
        <w:t xml:space="preserve">With regard to choice of law, Lord Black submits that this Court has established that </w:t>
      </w:r>
      <w:proofErr w:type="spellStart"/>
      <w:r w:rsidRPr="00217CB7">
        <w:rPr>
          <w:i/>
        </w:rPr>
        <w:t>lex</w:t>
      </w:r>
      <w:proofErr w:type="spellEnd"/>
      <w:r w:rsidRPr="00217CB7">
        <w:rPr>
          <w:i/>
        </w:rPr>
        <w:t xml:space="preserve"> loci </w:t>
      </w:r>
      <w:proofErr w:type="spellStart"/>
      <w:r w:rsidRPr="00217CB7">
        <w:rPr>
          <w:i/>
        </w:rPr>
        <w:t>delicti</w:t>
      </w:r>
      <w:proofErr w:type="spellEnd"/>
      <w:r w:rsidRPr="00217CB7">
        <w:rPr>
          <w:i/>
        </w:rPr>
        <w:t xml:space="preserve"> </w:t>
      </w:r>
      <w:r w:rsidRPr="00217CB7">
        <w:t>is the choice of law rule for tort claims.</w:t>
      </w:r>
      <w:r w:rsidR="0089026E" w:rsidRPr="00217CB7">
        <w:t xml:space="preserve"> </w:t>
      </w:r>
      <w:r w:rsidRPr="00217CB7">
        <w:t>In libel cases, that is the place of publication, which in this case is Ontario.</w:t>
      </w:r>
    </w:p>
    <w:p w:rsidR="000D2662" w:rsidRPr="00217CB7" w:rsidRDefault="000D2662" w:rsidP="001474F0">
      <w:pPr>
        <w:pStyle w:val="TitleTitre-AltT"/>
        <w:tabs>
          <w:tab w:val="clear" w:pos="360"/>
          <w:tab w:val="left" w:pos="540"/>
        </w:tabs>
        <w:ind w:left="540" w:hanging="540"/>
        <w:rPr>
          <w:i/>
          <w:lang w:val="fr-CA"/>
        </w:rPr>
      </w:pPr>
      <w:r w:rsidRPr="00217CB7">
        <w:rPr>
          <w:lang w:val="fr-CA"/>
        </w:rPr>
        <w:t>B.</w:t>
      </w:r>
      <w:r w:rsidRPr="00217CB7">
        <w:rPr>
          <w:lang w:val="fr-CA"/>
        </w:rPr>
        <w:tab/>
      </w:r>
      <w:proofErr w:type="spellStart"/>
      <w:r w:rsidRPr="00217CB7">
        <w:rPr>
          <w:i/>
          <w:lang w:val="fr-CA"/>
        </w:rPr>
        <w:t>Jurisdiction</w:t>
      </w:r>
      <w:proofErr w:type="spellEnd"/>
      <w:r w:rsidRPr="00217CB7">
        <w:rPr>
          <w:i/>
          <w:lang w:val="fr-CA"/>
        </w:rPr>
        <w:t xml:space="preserve"> </w:t>
      </w:r>
      <w:proofErr w:type="spellStart"/>
      <w:r w:rsidRPr="00217CB7">
        <w:rPr>
          <w:i/>
          <w:lang w:val="fr-CA"/>
        </w:rPr>
        <w:t>Simpliciter</w:t>
      </w:r>
      <w:proofErr w:type="spellEnd"/>
    </w:p>
    <w:p w:rsidR="000D2662" w:rsidRPr="00217CB7" w:rsidRDefault="000D2662" w:rsidP="000D2662">
      <w:pPr>
        <w:pStyle w:val="ParaNoNdepar-AltN"/>
        <w:rPr>
          <w:lang w:val="en-US"/>
        </w:rPr>
      </w:pPr>
      <w:r w:rsidRPr="00217CB7">
        <w:rPr>
          <w:lang w:val="en-US"/>
        </w:rPr>
        <w:t>Presence and consent are the two traditional bases of court jurisdiction in private international law.</w:t>
      </w:r>
      <w:r w:rsidR="0089026E" w:rsidRPr="00217CB7">
        <w:rPr>
          <w:lang w:val="en-US"/>
        </w:rPr>
        <w:t xml:space="preserve"> </w:t>
      </w:r>
      <w:r w:rsidRPr="00217CB7">
        <w:rPr>
          <w:lang w:val="en-US"/>
        </w:rPr>
        <w:t xml:space="preserve">As discussed above, however, in this case, only one of the </w:t>
      </w:r>
      <w:r w:rsidR="0000179B">
        <w:rPr>
          <w:lang w:val="en-US"/>
        </w:rPr>
        <w:t>10</w:t>
      </w:r>
      <w:r w:rsidRPr="00217CB7">
        <w:rPr>
          <w:lang w:val="en-US"/>
        </w:rPr>
        <w:t xml:space="preserve"> defendants is resident in Ontario and none of the other nine has consented to submit to the jurisdiction of the Ontario court.</w:t>
      </w:r>
      <w:r w:rsidR="0089026E" w:rsidRPr="00217CB7">
        <w:rPr>
          <w:lang w:val="en-US"/>
        </w:rPr>
        <w:t xml:space="preserve"> </w:t>
      </w:r>
      <w:r w:rsidRPr="00217CB7">
        <w:rPr>
          <w:lang w:val="en-US"/>
        </w:rPr>
        <w:t xml:space="preserve">It is therefore necessary to engage in the real and substantial connection analysis to determine whether the Ontario court may properly assume jurisdiction over the six libel actions brought by Lord Black. The framework for the assumption of jurisdiction was recently set out by this Court in </w:t>
      </w:r>
      <w:r w:rsidRPr="00217CB7">
        <w:rPr>
          <w:i/>
          <w:lang w:val="en-US"/>
        </w:rPr>
        <w:t>Club Resorts</w:t>
      </w:r>
      <w:r w:rsidRPr="00217CB7">
        <w:rPr>
          <w:lang w:val="en-US"/>
        </w:rPr>
        <w:t xml:space="preserve">. </w:t>
      </w:r>
    </w:p>
    <w:p w:rsidR="000D2662" w:rsidRPr="00217CB7" w:rsidRDefault="000D2662" w:rsidP="000D2662">
      <w:pPr>
        <w:pStyle w:val="ParaNoNdepar-AltN"/>
        <w:rPr>
          <w:lang w:val="en-US"/>
        </w:rPr>
      </w:pPr>
      <w:r w:rsidRPr="00217CB7">
        <w:rPr>
          <w:lang w:val="en-US"/>
        </w:rPr>
        <w:t xml:space="preserve">The issue of the assumption of jurisdiction is easily resolved in this case based on a presumptive connecting factor </w:t>
      </w:r>
      <w:r w:rsidRPr="00217CB7">
        <w:rPr>
          <w:rFonts w:cs="Times New Roman"/>
          <w:lang w:val="en-US"/>
        </w:rPr>
        <w:t>—</w:t>
      </w:r>
      <w:r w:rsidRPr="00217CB7">
        <w:rPr>
          <w:lang w:val="en-US"/>
        </w:rPr>
        <w:t xml:space="preserve"> the alleged commission of the tort of defamation in Ontario.</w:t>
      </w:r>
      <w:r w:rsidR="0089026E" w:rsidRPr="00217CB7">
        <w:rPr>
          <w:lang w:val="en-US"/>
        </w:rPr>
        <w:t xml:space="preserve"> </w:t>
      </w:r>
      <w:r w:rsidRPr="00217CB7">
        <w:rPr>
          <w:lang w:val="en-US"/>
        </w:rPr>
        <w:t>It is well established in Canadian law that the tort of defamation occurs upon publication of a defamatory statement to a third party.</w:t>
      </w:r>
      <w:r w:rsidR="0089026E" w:rsidRPr="00217CB7">
        <w:rPr>
          <w:lang w:val="en-US"/>
        </w:rPr>
        <w:t xml:space="preserve"> </w:t>
      </w:r>
      <w:r w:rsidRPr="00217CB7">
        <w:rPr>
          <w:lang w:val="en-US"/>
        </w:rPr>
        <w:t>In this case, publication occurred when the impugned statements were read, downloaded and republished in Ontario by three newspapers.</w:t>
      </w:r>
      <w:r w:rsidR="0089026E" w:rsidRPr="00217CB7">
        <w:rPr>
          <w:lang w:val="en-US"/>
        </w:rPr>
        <w:t xml:space="preserve"> </w:t>
      </w:r>
      <w:r w:rsidRPr="00217CB7">
        <w:rPr>
          <w:lang w:val="en-US"/>
        </w:rPr>
        <w:t xml:space="preserve">It is also well established that every </w:t>
      </w:r>
      <w:r w:rsidRPr="00217CB7">
        <w:rPr>
          <w:lang w:val="en-US"/>
        </w:rPr>
        <w:lastRenderedPageBreak/>
        <w:t>repetition or republication of a defamatory statement constitutes a new publication.</w:t>
      </w:r>
      <w:r w:rsidR="0089026E" w:rsidRPr="00217CB7">
        <w:rPr>
          <w:lang w:val="en-US"/>
        </w:rPr>
        <w:t xml:space="preserve"> </w:t>
      </w:r>
      <w:r w:rsidRPr="00217CB7">
        <w:rPr>
          <w:lang w:val="en-US"/>
        </w:rPr>
        <w:t>The original author of the statement may be held liable for the republication where it was authorized by the author or where the republication is the natural and probable result of the origin</w:t>
      </w:r>
      <w:r w:rsidR="0089026E" w:rsidRPr="00217CB7">
        <w:rPr>
          <w:lang w:val="en-US"/>
        </w:rPr>
        <w:t>al publication (R. </w:t>
      </w:r>
      <w:r w:rsidRPr="00217CB7">
        <w:rPr>
          <w:lang w:val="en-US"/>
        </w:rPr>
        <w:t xml:space="preserve">E. Brown, </w:t>
      </w:r>
      <w:r w:rsidRPr="00217CB7">
        <w:rPr>
          <w:i/>
          <w:lang w:val="en-US"/>
        </w:rPr>
        <w:t>The Law of Defamation in Canada</w:t>
      </w:r>
      <w:r w:rsidR="0089026E" w:rsidRPr="00217CB7">
        <w:rPr>
          <w:lang w:val="en-US"/>
        </w:rPr>
        <w:t xml:space="preserve"> (1987), vol. </w:t>
      </w:r>
      <w:r w:rsidRPr="00217CB7">
        <w:rPr>
          <w:lang w:val="en-US"/>
        </w:rPr>
        <w:t>1, at pp. 253-54).</w:t>
      </w:r>
      <w:r w:rsidR="0089026E" w:rsidRPr="00217CB7">
        <w:rPr>
          <w:lang w:val="en-US"/>
        </w:rPr>
        <w:t xml:space="preserve"> </w:t>
      </w:r>
      <w:r w:rsidRPr="00217CB7">
        <w:rPr>
          <w:lang w:val="en-US"/>
        </w:rPr>
        <w:t>In my view, the republication in the three newspapers of statements contained in press releases issued by the appellants clearly falls within the scope of this rule.</w:t>
      </w:r>
      <w:r w:rsidR="0089026E" w:rsidRPr="00217CB7">
        <w:rPr>
          <w:lang w:val="en-US"/>
        </w:rPr>
        <w:t xml:space="preserve"> </w:t>
      </w:r>
      <w:r w:rsidRPr="00217CB7">
        <w:rPr>
          <w:lang w:val="en-US"/>
        </w:rPr>
        <w:t>In the circumstances, the appellants have not displaced the presumption of jurisdiction that results from this connecting factor.</w:t>
      </w:r>
    </w:p>
    <w:p w:rsidR="000D2662" w:rsidRPr="00217CB7" w:rsidRDefault="000D2662" w:rsidP="000D2662">
      <w:pPr>
        <w:pStyle w:val="ParaNoNdepar-AltN"/>
        <w:tabs>
          <w:tab w:val="clear" w:pos="1152"/>
          <w:tab w:val="left" w:pos="1166"/>
        </w:tabs>
        <w:rPr>
          <w:lang w:val="en-US"/>
        </w:rPr>
      </w:pPr>
      <w:r w:rsidRPr="00217CB7">
        <w:rPr>
          <w:lang w:val="en-US"/>
        </w:rPr>
        <w:t xml:space="preserve">Having established that there is a real and substantial connection between Ontario and the libel actions, I must now turn to the question of whether the Ontario court </w:t>
      </w:r>
      <w:r w:rsidRPr="00217CB7">
        <w:rPr>
          <w:i/>
          <w:lang w:val="en-US"/>
        </w:rPr>
        <w:t>should</w:t>
      </w:r>
      <w:r w:rsidRPr="00217CB7">
        <w:rPr>
          <w:lang w:val="en-US"/>
        </w:rPr>
        <w:t xml:space="preserve"> exercise jurisdiction over the actions </w:t>
      </w:r>
      <w:r w:rsidRPr="00217CB7">
        <w:rPr>
          <w:rFonts w:cs="Times New Roman"/>
          <w:lang w:val="en-US"/>
        </w:rPr>
        <w:t>—</w:t>
      </w:r>
      <w:r w:rsidRPr="00217CB7">
        <w:rPr>
          <w:lang w:val="en-US"/>
        </w:rPr>
        <w:t xml:space="preserve"> the issue of </w:t>
      </w:r>
      <w:r w:rsidRPr="00217CB7">
        <w:rPr>
          <w:i/>
          <w:lang w:val="en-US"/>
        </w:rPr>
        <w:t xml:space="preserve">forum non </w:t>
      </w:r>
      <w:proofErr w:type="spellStart"/>
      <w:r w:rsidRPr="00217CB7">
        <w:rPr>
          <w:i/>
          <w:lang w:val="en-US"/>
        </w:rPr>
        <w:t>conveniens</w:t>
      </w:r>
      <w:proofErr w:type="spellEnd"/>
      <w:r w:rsidRPr="00217CB7">
        <w:rPr>
          <w:lang w:val="en-US"/>
        </w:rPr>
        <w:t xml:space="preserve">. </w:t>
      </w:r>
    </w:p>
    <w:p w:rsidR="000D2662" w:rsidRPr="00217CB7" w:rsidRDefault="000D2662" w:rsidP="001474F0">
      <w:pPr>
        <w:pStyle w:val="TitleTitre-AltT"/>
        <w:tabs>
          <w:tab w:val="clear" w:pos="360"/>
          <w:tab w:val="left" w:pos="540"/>
        </w:tabs>
        <w:ind w:left="540" w:hanging="540"/>
        <w:rPr>
          <w:lang w:val="fr-CA"/>
        </w:rPr>
      </w:pPr>
      <w:r w:rsidRPr="00217CB7">
        <w:rPr>
          <w:lang w:val="fr-CA"/>
        </w:rPr>
        <w:t>C.</w:t>
      </w:r>
      <w:r w:rsidRPr="00217CB7">
        <w:rPr>
          <w:lang w:val="fr-CA"/>
        </w:rPr>
        <w:tab/>
      </w:r>
      <w:r w:rsidRPr="00217CB7">
        <w:rPr>
          <w:i/>
          <w:lang w:val="fr-CA"/>
        </w:rPr>
        <w:t xml:space="preserve">Forum Non </w:t>
      </w:r>
      <w:proofErr w:type="spellStart"/>
      <w:r w:rsidRPr="00217CB7">
        <w:rPr>
          <w:i/>
          <w:lang w:val="fr-CA"/>
        </w:rPr>
        <w:t>Conveniens</w:t>
      </w:r>
      <w:proofErr w:type="spellEnd"/>
    </w:p>
    <w:p w:rsidR="000D2662" w:rsidRPr="00217CB7" w:rsidRDefault="000D2662" w:rsidP="000D2662">
      <w:pPr>
        <w:pStyle w:val="ParaNoNdepar-AltN"/>
        <w:rPr>
          <w:lang w:val="en-US"/>
        </w:rPr>
      </w:pPr>
      <w:r w:rsidRPr="00217CB7">
        <w:rPr>
          <w:lang w:val="en-US"/>
        </w:rPr>
        <w:t>Having found that a real and substantial connection exists between the actions and Ontario, I must now determine whether the Ontario court should nonetheless decline to exercise its jurisdiction on the ground that a court of another jurisdiction is clearly a more appropriate forum for the hearing of the actions.</w:t>
      </w:r>
      <w:r w:rsidR="0089026E" w:rsidRPr="00217CB7">
        <w:rPr>
          <w:lang w:val="en-US"/>
        </w:rPr>
        <w:t xml:space="preserve"> </w:t>
      </w:r>
      <w:r w:rsidRPr="00217CB7">
        <w:rPr>
          <w:lang w:val="en-US"/>
        </w:rPr>
        <w:t>The appellants contend that Illinois is a clearly more appropriate forum than Ontario.</w:t>
      </w:r>
      <w:r w:rsidR="0089026E" w:rsidRPr="00217CB7">
        <w:rPr>
          <w:lang w:val="en-US"/>
        </w:rPr>
        <w:t xml:space="preserve"> </w:t>
      </w:r>
      <w:r w:rsidRPr="00217CB7">
        <w:rPr>
          <w:lang w:val="en-US"/>
        </w:rPr>
        <w:t>For the reasons that follow, I disagree.</w:t>
      </w:r>
    </w:p>
    <w:p w:rsidR="000D2662" w:rsidRPr="00217CB7" w:rsidRDefault="000D2662" w:rsidP="000D2662">
      <w:pPr>
        <w:pStyle w:val="ParaNoNdepar-AltN"/>
        <w:rPr>
          <w:lang w:val="en-US"/>
        </w:rPr>
      </w:pPr>
      <w:r w:rsidRPr="00217CB7">
        <w:rPr>
          <w:lang w:val="en-US"/>
        </w:rPr>
        <w:lastRenderedPageBreak/>
        <w:t xml:space="preserve">Under the </w:t>
      </w:r>
      <w:r w:rsidRPr="00217CB7">
        <w:rPr>
          <w:i/>
          <w:lang w:val="en-US"/>
        </w:rPr>
        <w:t xml:space="preserve">forum non </w:t>
      </w:r>
      <w:proofErr w:type="spellStart"/>
      <w:r w:rsidRPr="00217CB7">
        <w:rPr>
          <w:i/>
          <w:lang w:val="en-US"/>
        </w:rPr>
        <w:t>conveniens</w:t>
      </w:r>
      <w:proofErr w:type="spellEnd"/>
      <w:r w:rsidRPr="00217CB7">
        <w:rPr>
          <w:lang w:val="en-US"/>
        </w:rPr>
        <w:t xml:space="preserve"> analysis, the burden is on the party raising the issue to demonstrate that the court of the alternative jurisdiction is a clearly more appropriate forum (</w:t>
      </w:r>
      <w:r w:rsidRPr="00217CB7">
        <w:rPr>
          <w:i/>
          <w:lang w:val="en-US"/>
        </w:rPr>
        <w:t>Club Resorts</w:t>
      </w:r>
      <w:r w:rsidRPr="00217CB7">
        <w:rPr>
          <w:lang w:val="en-US"/>
        </w:rPr>
        <w:t xml:space="preserve">, at </w:t>
      </w:r>
      <w:proofErr w:type="spellStart"/>
      <w:r w:rsidRPr="00217CB7">
        <w:rPr>
          <w:lang w:val="en-US"/>
        </w:rPr>
        <w:t>para</w:t>
      </w:r>
      <w:proofErr w:type="spellEnd"/>
      <w:r w:rsidRPr="00217CB7">
        <w:rPr>
          <w:lang w:val="en-US"/>
        </w:rPr>
        <w:t>. 103).</w:t>
      </w:r>
      <w:r w:rsidR="0089026E" w:rsidRPr="00217CB7">
        <w:rPr>
          <w:lang w:val="en-US"/>
        </w:rPr>
        <w:t xml:space="preserve"> </w:t>
      </w:r>
      <w:r w:rsidRPr="00217CB7">
        <w:rPr>
          <w:lang w:val="en-US"/>
        </w:rPr>
        <w:t>The factors to be considered by a court in determining whether an alternative forum is clearly more appropriate are numerous and variable.</w:t>
      </w:r>
      <w:r w:rsidR="0089026E" w:rsidRPr="00217CB7">
        <w:rPr>
          <w:lang w:val="en-US"/>
        </w:rPr>
        <w:t xml:space="preserve"> </w:t>
      </w:r>
      <w:r w:rsidRPr="00217CB7">
        <w:rPr>
          <w:lang w:val="en-US"/>
        </w:rPr>
        <w:t xml:space="preserve">While they are a matter of common law, they have also been codified, for example, in a non-exhaustive list in s. 11(2) of the British Columbia </w:t>
      </w:r>
      <w:r w:rsidRPr="00217CB7">
        <w:rPr>
          <w:i/>
          <w:lang w:val="en-US"/>
        </w:rPr>
        <w:t>Court Jurisdiction and Proceedings Transfer Act</w:t>
      </w:r>
      <w:r w:rsidRPr="00217CB7">
        <w:rPr>
          <w:lang w:val="en-US"/>
        </w:rPr>
        <w:t xml:space="preserve">, S.B.C. 2003, </w:t>
      </w:r>
      <w:proofErr w:type="gramStart"/>
      <w:r w:rsidRPr="00217CB7">
        <w:rPr>
          <w:lang w:val="en-US"/>
        </w:rPr>
        <w:t>c</w:t>
      </w:r>
      <w:proofErr w:type="gramEnd"/>
      <w:r w:rsidRPr="00217CB7">
        <w:rPr>
          <w:lang w:val="en-US"/>
        </w:rPr>
        <w:t>. 28.</w:t>
      </w:r>
      <w:r w:rsidR="0089026E" w:rsidRPr="00217CB7">
        <w:rPr>
          <w:lang w:val="en-US"/>
        </w:rPr>
        <w:t xml:space="preserve"> </w:t>
      </w:r>
      <w:r w:rsidRPr="00217CB7">
        <w:rPr>
          <w:lang w:val="en-US"/>
        </w:rPr>
        <w:t>That Act and others are themselves based on a uniform Act proposed by the Uniform Law Conference of Canada (</w:t>
      </w:r>
      <w:proofErr w:type="spellStart"/>
      <w:r w:rsidRPr="00217CB7">
        <w:rPr>
          <w:i/>
          <w:lang w:val="en-US"/>
        </w:rPr>
        <w:t>Teck</w:t>
      </w:r>
      <w:proofErr w:type="spellEnd"/>
      <w:r w:rsidRPr="00217CB7">
        <w:rPr>
          <w:i/>
          <w:lang w:val="en-US"/>
        </w:rPr>
        <w:t xml:space="preserve"> Cominco Metals Ltd. v. Lloyd</w:t>
      </w:r>
      <w:r w:rsidR="00621B7F" w:rsidRPr="00217CB7">
        <w:rPr>
          <w:i/>
          <w:lang w:val="en-US"/>
        </w:rPr>
        <w:t>’</w:t>
      </w:r>
      <w:r w:rsidRPr="00217CB7">
        <w:rPr>
          <w:i/>
          <w:lang w:val="en-US"/>
        </w:rPr>
        <w:t>s Underwriters</w:t>
      </w:r>
      <w:r w:rsidRPr="00217CB7">
        <w:rPr>
          <w:lang w:val="en-US"/>
        </w:rPr>
        <w:t xml:space="preserve">, 2009 SCC 11, [2009] 1 S.C.R. 321, at </w:t>
      </w:r>
      <w:proofErr w:type="spellStart"/>
      <w:r w:rsidRPr="00217CB7">
        <w:rPr>
          <w:lang w:val="en-US"/>
        </w:rPr>
        <w:t>para</w:t>
      </w:r>
      <w:proofErr w:type="spellEnd"/>
      <w:r w:rsidRPr="00217CB7">
        <w:rPr>
          <w:lang w:val="en-US"/>
        </w:rPr>
        <w:t xml:space="preserve">. 22; </w:t>
      </w:r>
      <w:r w:rsidRPr="00217CB7">
        <w:rPr>
          <w:i/>
          <w:lang w:val="en-US"/>
        </w:rPr>
        <w:t>Club Resorts</w:t>
      </w:r>
      <w:r w:rsidRPr="00217CB7">
        <w:rPr>
          <w:lang w:val="en-US"/>
        </w:rPr>
        <w:t xml:space="preserve">, at </w:t>
      </w:r>
      <w:proofErr w:type="spellStart"/>
      <w:r w:rsidRPr="00217CB7">
        <w:rPr>
          <w:lang w:val="en-US"/>
        </w:rPr>
        <w:t>paras</w:t>
      </w:r>
      <w:proofErr w:type="spellEnd"/>
      <w:r w:rsidRPr="00217CB7">
        <w:rPr>
          <w:lang w:val="en-US"/>
        </w:rPr>
        <w:t>. 105-6), the</w:t>
      </w:r>
      <w:r w:rsidRPr="00217CB7">
        <w:rPr>
          <w:i/>
          <w:lang w:val="en-US"/>
        </w:rPr>
        <w:t xml:space="preserve"> Uniform Court Jurisdiction and Proceedings Transfer Act</w:t>
      </w:r>
      <w:r w:rsidRPr="00217CB7">
        <w:rPr>
          <w:lang w:val="en-US"/>
        </w:rPr>
        <w:t xml:space="preserve"> (</w:t>
      </w:r>
      <w:r w:rsidR="0089026E" w:rsidRPr="00217CB7">
        <w:rPr>
          <w:lang w:val="en-US"/>
        </w:rPr>
        <w:t>“</w:t>
      </w:r>
      <w:r w:rsidRPr="00217CB7">
        <w:rPr>
          <w:i/>
          <w:lang w:val="en-US"/>
        </w:rPr>
        <w:t>CJPTA</w:t>
      </w:r>
      <w:r w:rsidR="0089026E" w:rsidRPr="00217CB7">
        <w:rPr>
          <w:lang w:val="en-US"/>
        </w:rPr>
        <w:t>”</w:t>
      </w:r>
      <w:r w:rsidRPr="00217CB7">
        <w:rPr>
          <w:lang w:val="en-US"/>
        </w:rPr>
        <w:t>).</w:t>
      </w:r>
      <w:r w:rsidR="0089026E" w:rsidRPr="00217CB7">
        <w:rPr>
          <w:lang w:val="en-US"/>
        </w:rPr>
        <w:t xml:space="preserve"> </w:t>
      </w:r>
      <w:r w:rsidRPr="00217CB7">
        <w:rPr>
          <w:lang w:val="en-US"/>
        </w:rPr>
        <w:t xml:space="preserve">Section 11 of the </w:t>
      </w:r>
      <w:r w:rsidRPr="00217CB7">
        <w:rPr>
          <w:i/>
          <w:lang w:val="en-US"/>
        </w:rPr>
        <w:t>CJPTA</w:t>
      </w:r>
      <w:r w:rsidRPr="00217CB7">
        <w:rPr>
          <w:lang w:val="en-US"/>
        </w:rPr>
        <w:t xml:space="preserve"> states:</w:t>
      </w:r>
    </w:p>
    <w:p w:rsidR="000D2662" w:rsidRPr="00217CB7" w:rsidRDefault="001474F0" w:rsidP="001474F0">
      <w:pPr>
        <w:pStyle w:val="Citation-AltC"/>
        <w:tabs>
          <w:tab w:val="left" w:pos="1170"/>
          <w:tab w:val="left" w:pos="1800"/>
        </w:tabs>
        <w:spacing w:after="240"/>
        <w:ind w:hanging="1166"/>
        <w:contextualSpacing w:val="0"/>
        <w:rPr>
          <w:lang w:val="en-US"/>
        </w:rPr>
      </w:pPr>
      <w:r w:rsidRPr="00217CB7">
        <w:rPr>
          <w:b/>
          <w:lang w:val="en-US"/>
        </w:rPr>
        <w:tab/>
      </w:r>
      <w:r w:rsidR="000D2662" w:rsidRPr="00217CB7">
        <w:rPr>
          <w:b/>
          <w:lang w:val="en-US"/>
        </w:rPr>
        <w:t>11</w:t>
      </w:r>
      <w:r w:rsidR="000D2662" w:rsidRPr="00217CB7">
        <w:rPr>
          <w:lang w:val="en-US"/>
        </w:rPr>
        <w:t>(1)</w:t>
      </w:r>
      <w:r w:rsidR="000D2662" w:rsidRPr="00217CB7">
        <w:rPr>
          <w:lang w:val="en-US"/>
        </w:rPr>
        <w:tab/>
      </w:r>
      <w:proofErr w:type="gramStart"/>
      <w:r w:rsidR="000D2662" w:rsidRPr="00217CB7">
        <w:rPr>
          <w:lang w:val="en-US"/>
        </w:rPr>
        <w:t>After</w:t>
      </w:r>
      <w:proofErr w:type="gramEnd"/>
      <w:r w:rsidR="000D2662" w:rsidRPr="00217CB7">
        <w:rPr>
          <w:lang w:val="en-US"/>
        </w:rPr>
        <w:t xml:space="preserve"> considering the interests of the parties to a proceeding and the ends of justice, a court may decline to exercise its territorial competence in the proceeding on the ground that a court of another state is a more appropriate forum in which to hear the proceeding.</w:t>
      </w:r>
    </w:p>
    <w:p w:rsidR="000D2662" w:rsidRPr="00217CB7" w:rsidRDefault="001474F0" w:rsidP="001474F0">
      <w:pPr>
        <w:pStyle w:val="Citation-AltC"/>
        <w:tabs>
          <w:tab w:val="left" w:pos="1170"/>
          <w:tab w:val="left" w:pos="1800"/>
        </w:tabs>
        <w:spacing w:after="240"/>
        <w:ind w:hanging="1166"/>
        <w:contextualSpacing w:val="0"/>
        <w:rPr>
          <w:lang w:val="en-US"/>
        </w:rPr>
      </w:pPr>
      <w:r w:rsidRPr="00217CB7">
        <w:rPr>
          <w:lang w:val="en-US"/>
        </w:rPr>
        <w:tab/>
      </w:r>
      <w:r w:rsidR="000D2662" w:rsidRPr="00217CB7">
        <w:rPr>
          <w:lang w:val="en-US"/>
        </w:rPr>
        <w:t>(2)</w:t>
      </w:r>
      <w:r w:rsidR="000D2662" w:rsidRPr="00217CB7">
        <w:rPr>
          <w:lang w:val="en-US"/>
        </w:rPr>
        <w:tab/>
        <w:t>A court, in deciding the question of whether it or a court outside [enacting province or territory] is the more appropriate forum in which to hear a proceeding, must consider the circumstances relevant to the proceeding, including:</w:t>
      </w:r>
    </w:p>
    <w:p w:rsidR="000D2662" w:rsidRPr="00217CB7" w:rsidRDefault="001474F0" w:rsidP="001474F0">
      <w:pPr>
        <w:pStyle w:val="Citation-AltC"/>
        <w:tabs>
          <w:tab w:val="left" w:pos="1800"/>
          <w:tab w:val="left" w:pos="2340"/>
        </w:tabs>
        <w:spacing w:after="240"/>
        <w:ind w:left="1800" w:hanging="1800"/>
        <w:contextualSpacing w:val="0"/>
        <w:rPr>
          <w:lang w:val="en-US"/>
        </w:rPr>
      </w:pPr>
      <w:r w:rsidRPr="00217CB7">
        <w:rPr>
          <w:lang w:val="en-US"/>
        </w:rPr>
        <w:tab/>
      </w:r>
      <w:r w:rsidR="000D2662" w:rsidRPr="00217CB7">
        <w:rPr>
          <w:lang w:val="en-US"/>
        </w:rPr>
        <w:t>(a)</w:t>
      </w:r>
      <w:r w:rsidR="000D2662" w:rsidRPr="00217CB7">
        <w:rPr>
          <w:lang w:val="en-US"/>
        </w:rPr>
        <w:tab/>
      </w:r>
      <w:proofErr w:type="gramStart"/>
      <w:r w:rsidR="000D2662" w:rsidRPr="00217CB7">
        <w:rPr>
          <w:lang w:val="en-US"/>
        </w:rPr>
        <w:t>the</w:t>
      </w:r>
      <w:proofErr w:type="gramEnd"/>
      <w:r w:rsidR="000D2662" w:rsidRPr="00217CB7">
        <w:rPr>
          <w:lang w:val="en-US"/>
        </w:rPr>
        <w:t xml:space="preserve"> comparative convenience and expense for the parties to the proceeding and for their witnesses, in litigating in the court or in any alternative forum;</w:t>
      </w:r>
    </w:p>
    <w:p w:rsidR="000D2662" w:rsidRPr="00217CB7" w:rsidRDefault="001474F0" w:rsidP="001474F0">
      <w:pPr>
        <w:pStyle w:val="Citation-AltC"/>
        <w:tabs>
          <w:tab w:val="left" w:pos="1800"/>
          <w:tab w:val="left" w:pos="2340"/>
        </w:tabs>
        <w:spacing w:after="240"/>
        <w:ind w:left="1800" w:hanging="1800"/>
        <w:contextualSpacing w:val="0"/>
        <w:rPr>
          <w:lang w:val="en-US"/>
        </w:rPr>
      </w:pPr>
      <w:r w:rsidRPr="00217CB7">
        <w:rPr>
          <w:lang w:val="en-US"/>
        </w:rPr>
        <w:tab/>
      </w:r>
      <w:r w:rsidR="000D2662" w:rsidRPr="00217CB7">
        <w:rPr>
          <w:lang w:val="en-US"/>
        </w:rPr>
        <w:t>(b)</w:t>
      </w:r>
      <w:r w:rsidR="000D2662" w:rsidRPr="00217CB7">
        <w:rPr>
          <w:lang w:val="en-US"/>
        </w:rPr>
        <w:tab/>
      </w:r>
      <w:proofErr w:type="gramStart"/>
      <w:r w:rsidR="000D2662" w:rsidRPr="00217CB7">
        <w:rPr>
          <w:lang w:val="en-US"/>
        </w:rPr>
        <w:t>the</w:t>
      </w:r>
      <w:proofErr w:type="gramEnd"/>
      <w:r w:rsidR="000D2662" w:rsidRPr="00217CB7">
        <w:rPr>
          <w:lang w:val="en-US"/>
        </w:rPr>
        <w:t xml:space="preserve"> law to be applied to issues in the proceeding;</w:t>
      </w:r>
    </w:p>
    <w:p w:rsidR="000D2662" w:rsidRPr="00217CB7" w:rsidRDefault="001474F0" w:rsidP="001474F0">
      <w:pPr>
        <w:pStyle w:val="Citation-AltC"/>
        <w:tabs>
          <w:tab w:val="left" w:pos="1800"/>
          <w:tab w:val="left" w:pos="2340"/>
        </w:tabs>
        <w:spacing w:after="240"/>
        <w:ind w:left="1800" w:hanging="1800"/>
        <w:contextualSpacing w:val="0"/>
        <w:rPr>
          <w:lang w:val="en-US"/>
        </w:rPr>
      </w:pPr>
      <w:r w:rsidRPr="00217CB7">
        <w:rPr>
          <w:lang w:val="en-US"/>
        </w:rPr>
        <w:tab/>
      </w:r>
      <w:r w:rsidR="000D2662" w:rsidRPr="00217CB7">
        <w:rPr>
          <w:lang w:val="en-US"/>
        </w:rPr>
        <w:t>(c)</w:t>
      </w:r>
      <w:r w:rsidR="000D2662" w:rsidRPr="00217CB7">
        <w:rPr>
          <w:lang w:val="en-US"/>
        </w:rPr>
        <w:tab/>
      </w:r>
      <w:proofErr w:type="gramStart"/>
      <w:r w:rsidR="000D2662" w:rsidRPr="00217CB7">
        <w:rPr>
          <w:lang w:val="en-US"/>
        </w:rPr>
        <w:t>the</w:t>
      </w:r>
      <w:proofErr w:type="gramEnd"/>
      <w:r w:rsidR="000D2662" w:rsidRPr="00217CB7">
        <w:rPr>
          <w:lang w:val="en-US"/>
        </w:rPr>
        <w:t xml:space="preserve"> desirability of avoiding multiplicity of legal proceedings;</w:t>
      </w:r>
    </w:p>
    <w:p w:rsidR="000D2662" w:rsidRPr="00217CB7" w:rsidRDefault="001474F0" w:rsidP="001474F0">
      <w:pPr>
        <w:pStyle w:val="Citation-AltC"/>
        <w:tabs>
          <w:tab w:val="left" w:pos="1800"/>
          <w:tab w:val="left" w:pos="2340"/>
        </w:tabs>
        <w:spacing w:after="240"/>
        <w:ind w:left="1800" w:hanging="1800"/>
        <w:contextualSpacing w:val="0"/>
        <w:rPr>
          <w:lang w:val="en-US"/>
        </w:rPr>
      </w:pPr>
      <w:r w:rsidRPr="00217CB7">
        <w:rPr>
          <w:lang w:val="en-US"/>
        </w:rPr>
        <w:tab/>
      </w:r>
      <w:r w:rsidR="000D2662" w:rsidRPr="00217CB7">
        <w:rPr>
          <w:lang w:val="en-US"/>
        </w:rPr>
        <w:t>(d)</w:t>
      </w:r>
      <w:r w:rsidR="000D2662" w:rsidRPr="00217CB7">
        <w:rPr>
          <w:lang w:val="en-US"/>
        </w:rPr>
        <w:tab/>
      </w:r>
      <w:proofErr w:type="gramStart"/>
      <w:r w:rsidR="000D2662" w:rsidRPr="00217CB7">
        <w:rPr>
          <w:lang w:val="en-US"/>
        </w:rPr>
        <w:t>the</w:t>
      </w:r>
      <w:proofErr w:type="gramEnd"/>
      <w:r w:rsidR="000D2662" w:rsidRPr="00217CB7">
        <w:rPr>
          <w:lang w:val="en-US"/>
        </w:rPr>
        <w:t xml:space="preserve"> desirability of avoiding conflicting decisions in different courts;</w:t>
      </w:r>
    </w:p>
    <w:p w:rsidR="000D2662" w:rsidRPr="00217CB7" w:rsidRDefault="001474F0" w:rsidP="001474F0">
      <w:pPr>
        <w:pStyle w:val="Citation-AltC"/>
        <w:tabs>
          <w:tab w:val="left" w:pos="1800"/>
          <w:tab w:val="left" w:pos="2340"/>
        </w:tabs>
        <w:spacing w:after="240"/>
        <w:ind w:left="1800" w:hanging="1800"/>
        <w:contextualSpacing w:val="0"/>
        <w:rPr>
          <w:lang w:val="en-US"/>
        </w:rPr>
      </w:pPr>
      <w:r w:rsidRPr="00217CB7">
        <w:rPr>
          <w:lang w:val="en-US"/>
        </w:rPr>
        <w:lastRenderedPageBreak/>
        <w:tab/>
      </w:r>
      <w:r w:rsidR="000D2662" w:rsidRPr="00217CB7">
        <w:rPr>
          <w:lang w:val="en-US"/>
        </w:rPr>
        <w:t>(e)</w:t>
      </w:r>
      <w:r w:rsidR="000D2662" w:rsidRPr="00217CB7">
        <w:rPr>
          <w:lang w:val="en-US"/>
        </w:rPr>
        <w:tab/>
      </w:r>
      <w:proofErr w:type="gramStart"/>
      <w:r w:rsidR="000D2662" w:rsidRPr="00217CB7">
        <w:rPr>
          <w:lang w:val="en-US"/>
        </w:rPr>
        <w:t>the</w:t>
      </w:r>
      <w:proofErr w:type="gramEnd"/>
      <w:r w:rsidR="000D2662" w:rsidRPr="00217CB7">
        <w:rPr>
          <w:lang w:val="en-US"/>
        </w:rPr>
        <w:t xml:space="preserve"> enforcement of an eventual judgment; and</w:t>
      </w:r>
    </w:p>
    <w:p w:rsidR="000D2662" w:rsidRPr="00217CB7" w:rsidRDefault="001474F0" w:rsidP="001474F0">
      <w:pPr>
        <w:pStyle w:val="Citation-AltC"/>
        <w:tabs>
          <w:tab w:val="left" w:pos="1800"/>
          <w:tab w:val="left" w:pos="2340"/>
        </w:tabs>
        <w:ind w:left="1800" w:hanging="1800"/>
        <w:contextualSpacing w:val="0"/>
        <w:rPr>
          <w:lang w:val="en-US"/>
        </w:rPr>
      </w:pPr>
      <w:r w:rsidRPr="00217CB7">
        <w:rPr>
          <w:lang w:val="en-US"/>
        </w:rPr>
        <w:tab/>
      </w:r>
      <w:r w:rsidR="000D2662" w:rsidRPr="00217CB7">
        <w:rPr>
          <w:lang w:val="en-US"/>
        </w:rPr>
        <w:t>(f)</w:t>
      </w:r>
      <w:r w:rsidR="000D2662" w:rsidRPr="00217CB7">
        <w:rPr>
          <w:lang w:val="en-US"/>
        </w:rPr>
        <w:tab/>
      </w:r>
      <w:proofErr w:type="gramStart"/>
      <w:r w:rsidR="000D2662" w:rsidRPr="00217CB7">
        <w:rPr>
          <w:lang w:val="en-US"/>
        </w:rPr>
        <w:t>the</w:t>
      </w:r>
      <w:proofErr w:type="gramEnd"/>
      <w:r w:rsidR="000D2662" w:rsidRPr="00217CB7">
        <w:rPr>
          <w:lang w:val="en-US"/>
        </w:rPr>
        <w:t xml:space="preserve"> fair and efficient working of the Canadian legal system as a whole.</w:t>
      </w:r>
      <w:r w:rsidRPr="00217CB7">
        <w:rPr>
          <w:lang w:val="en-US"/>
        </w:rPr>
        <w:t xml:space="preserve"> </w:t>
      </w:r>
      <w:proofErr w:type="gramStart"/>
      <w:r w:rsidRPr="00217CB7">
        <w:rPr>
          <w:lang w:val="en-US"/>
        </w:rPr>
        <w:t>[Text in brackets in original.]</w:t>
      </w:r>
      <w:proofErr w:type="gramEnd"/>
    </w:p>
    <w:p w:rsidR="000D2662" w:rsidRPr="00217CB7" w:rsidRDefault="000D2662" w:rsidP="000D2662">
      <w:pPr>
        <w:pStyle w:val="ParaNoNdepar-AltN"/>
        <w:rPr>
          <w:lang w:val="en-US"/>
        </w:rPr>
      </w:pPr>
      <w:r w:rsidRPr="00217CB7">
        <w:rPr>
          <w:lang w:val="en-US"/>
        </w:rPr>
        <w:t xml:space="preserve">As the drafters of the </w:t>
      </w:r>
      <w:r w:rsidRPr="00217CB7">
        <w:rPr>
          <w:i/>
          <w:lang w:val="en-US"/>
        </w:rPr>
        <w:t>CJPTA</w:t>
      </w:r>
      <w:r w:rsidRPr="00217CB7">
        <w:rPr>
          <w:lang w:val="en-US"/>
        </w:rPr>
        <w:t xml:space="preserve"> confirm in their comments on s. 11, the factors enumerated in s. 11(2) reflect </w:t>
      </w:r>
      <w:r w:rsidR="0089026E" w:rsidRPr="00217CB7">
        <w:rPr>
          <w:lang w:val="en-US"/>
        </w:rPr>
        <w:t>“</w:t>
      </w:r>
      <w:r w:rsidRPr="00217CB7">
        <w:rPr>
          <w:lang w:val="en-US"/>
        </w:rPr>
        <w:t>factors that have been expressly or implicitly considered by courts in the past</w:t>
      </w:r>
      <w:r w:rsidR="0089026E" w:rsidRPr="00217CB7">
        <w:rPr>
          <w:lang w:val="en-US"/>
        </w:rPr>
        <w:t>”</w:t>
      </w:r>
      <w:r w:rsidRPr="00217CB7">
        <w:rPr>
          <w:lang w:val="en-US"/>
        </w:rPr>
        <w:t>.</w:t>
      </w:r>
      <w:r w:rsidR="0089026E" w:rsidRPr="00217CB7">
        <w:rPr>
          <w:lang w:val="en-US"/>
        </w:rPr>
        <w:t xml:space="preserve"> </w:t>
      </w:r>
      <w:r w:rsidRPr="00217CB7">
        <w:rPr>
          <w:lang w:val="en-US"/>
        </w:rPr>
        <w:t xml:space="preserve">Section 11 of the </w:t>
      </w:r>
      <w:r w:rsidRPr="00217CB7">
        <w:rPr>
          <w:i/>
          <w:lang w:val="en-US"/>
        </w:rPr>
        <w:t>CJPTA</w:t>
      </w:r>
      <w:r w:rsidRPr="00217CB7">
        <w:rPr>
          <w:lang w:val="en-US"/>
        </w:rPr>
        <w:t xml:space="preserve"> is also similar to the </w:t>
      </w:r>
      <w:r w:rsidRPr="00217CB7">
        <w:rPr>
          <w:i/>
          <w:lang w:val="en-US"/>
        </w:rPr>
        <w:t xml:space="preserve">forum non </w:t>
      </w:r>
      <w:proofErr w:type="spellStart"/>
      <w:r w:rsidRPr="00217CB7">
        <w:rPr>
          <w:i/>
          <w:lang w:val="en-US"/>
        </w:rPr>
        <w:t>conveniens</w:t>
      </w:r>
      <w:proofErr w:type="spellEnd"/>
      <w:r w:rsidRPr="00217CB7">
        <w:rPr>
          <w:lang w:val="en-US"/>
        </w:rPr>
        <w:t xml:space="preserve"> provision of the </w:t>
      </w:r>
      <w:r w:rsidRPr="00217CB7">
        <w:rPr>
          <w:i/>
          <w:lang w:val="en-US"/>
        </w:rPr>
        <w:t>Civil Code of Québec</w:t>
      </w:r>
      <w:r w:rsidRPr="00217CB7">
        <w:rPr>
          <w:lang w:val="en-US"/>
        </w:rPr>
        <w:t xml:space="preserve">, S.Q. 1991, c. 64, and the factors considered by Quebec courts in exercising their discretion under that provision. Article 3135 of the </w:t>
      </w:r>
      <w:r w:rsidRPr="00217CB7">
        <w:rPr>
          <w:i/>
          <w:lang w:val="en-US"/>
        </w:rPr>
        <w:t>Civil Code</w:t>
      </w:r>
      <w:r w:rsidRPr="00217CB7">
        <w:rPr>
          <w:lang w:val="en-US"/>
        </w:rPr>
        <w:t xml:space="preserve"> states:</w:t>
      </w:r>
    </w:p>
    <w:p w:rsidR="000D2662" w:rsidRPr="00217CB7" w:rsidRDefault="00581193" w:rsidP="00581193">
      <w:pPr>
        <w:pStyle w:val="Citation-AltC"/>
        <w:tabs>
          <w:tab w:val="left" w:pos="1440"/>
        </w:tabs>
        <w:ind w:hanging="1166"/>
        <w:rPr>
          <w:lang w:val="en-US"/>
        </w:rPr>
      </w:pPr>
      <w:r w:rsidRPr="00217CB7">
        <w:rPr>
          <w:lang w:val="en-US"/>
        </w:rPr>
        <w:tab/>
      </w:r>
      <w:r w:rsidRPr="00217CB7">
        <w:rPr>
          <w:lang w:val="en-US"/>
        </w:rPr>
        <w:tab/>
      </w:r>
      <w:r w:rsidR="000D2662" w:rsidRPr="00217CB7">
        <w:rPr>
          <w:lang w:val="en-US"/>
        </w:rPr>
        <w:t>Even though a Québec authority has jurisdiction to hear a dispute, it may exceptionally and on an application by a party, decline jurisdiction if it considers that the authorities of another country are in a better position to decide.</w:t>
      </w:r>
    </w:p>
    <w:p w:rsidR="000D2662" w:rsidRPr="00217CB7" w:rsidRDefault="000D2662" w:rsidP="000D2662">
      <w:pPr>
        <w:pStyle w:val="ParaNoNdepar-AltN"/>
        <w:rPr>
          <w:lang w:val="en-US"/>
        </w:rPr>
      </w:pPr>
      <w:r w:rsidRPr="00217CB7">
        <w:rPr>
          <w:lang w:val="en-US"/>
        </w:rPr>
        <w:t xml:space="preserve">As stated in </w:t>
      </w:r>
      <w:r w:rsidRPr="00217CB7">
        <w:rPr>
          <w:i/>
          <w:lang w:val="en-US"/>
        </w:rPr>
        <w:t>Club Resorts</w:t>
      </w:r>
      <w:r w:rsidRPr="00217CB7">
        <w:rPr>
          <w:lang w:val="en-US"/>
        </w:rPr>
        <w:t xml:space="preserve">, the use of the term </w:t>
      </w:r>
      <w:r w:rsidR="0089026E" w:rsidRPr="00217CB7">
        <w:rPr>
          <w:lang w:val="en-US"/>
        </w:rPr>
        <w:t>“</w:t>
      </w:r>
      <w:r w:rsidRPr="00217CB7">
        <w:rPr>
          <w:lang w:val="en-US"/>
        </w:rPr>
        <w:t>exceptionally</w:t>
      </w:r>
      <w:r w:rsidR="0089026E" w:rsidRPr="00217CB7">
        <w:rPr>
          <w:lang w:val="en-US"/>
        </w:rPr>
        <w:t>”</w:t>
      </w:r>
      <w:r w:rsidRPr="00217CB7">
        <w:rPr>
          <w:lang w:val="en-US"/>
        </w:rPr>
        <w:t xml:space="preserve"> in art.</w:t>
      </w:r>
      <w:r w:rsidR="0089026E" w:rsidRPr="00217CB7">
        <w:rPr>
          <w:lang w:val="en-US"/>
        </w:rPr>
        <w:t xml:space="preserve"> </w:t>
      </w:r>
      <w:r w:rsidRPr="00217CB7">
        <w:rPr>
          <w:lang w:val="en-US"/>
        </w:rPr>
        <w:t xml:space="preserve">3135, like </w:t>
      </w:r>
      <w:r w:rsidR="0089026E" w:rsidRPr="00217CB7">
        <w:rPr>
          <w:lang w:val="en-US"/>
        </w:rPr>
        <w:t>“</w:t>
      </w:r>
      <w:r w:rsidRPr="00217CB7">
        <w:rPr>
          <w:lang w:val="en-US"/>
        </w:rPr>
        <w:t>clearly more appropriate</w:t>
      </w:r>
      <w:r w:rsidR="0089026E" w:rsidRPr="00217CB7">
        <w:rPr>
          <w:lang w:val="en-US"/>
        </w:rPr>
        <w:t>”</w:t>
      </w:r>
      <w:r w:rsidRPr="00217CB7">
        <w:rPr>
          <w:lang w:val="en-US"/>
        </w:rPr>
        <w:t xml:space="preserve"> forum, reflects </w:t>
      </w:r>
      <w:r w:rsidR="0089026E" w:rsidRPr="00217CB7">
        <w:rPr>
          <w:lang w:val="en-US"/>
        </w:rPr>
        <w:t>“</w:t>
      </w:r>
      <w:r w:rsidRPr="00217CB7">
        <w:rPr>
          <w:lang w:val="en-US"/>
        </w:rPr>
        <w:t xml:space="preserve">an acknowledgment that </w:t>
      </w:r>
      <w:r w:rsidRPr="00217CB7">
        <w:t>the normal state of affairs is that jurisdiction should be exercised once it is properly assumed</w:t>
      </w:r>
      <w:r w:rsidR="0089026E" w:rsidRPr="00217CB7">
        <w:t>”</w:t>
      </w:r>
      <w:r w:rsidRPr="00217CB7">
        <w:t xml:space="preserve"> (</w:t>
      </w:r>
      <w:proofErr w:type="spellStart"/>
      <w:r w:rsidRPr="00217CB7">
        <w:t>para</w:t>
      </w:r>
      <w:proofErr w:type="spellEnd"/>
      <w:r w:rsidRPr="00217CB7">
        <w:t>. 109).</w:t>
      </w:r>
      <w:r w:rsidR="0089026E" w:rsidRPr="00217CB7">
        <w:t xml:space="preserve"> </w:t>
      </w:r>
      <w:r w:rsidRPr="00217CB7">
        <w:rPr>
          <w:lang w:val="en-US"/>
        </w:rPr>
        <w:t xml:space="preserve">The factors most commonly considered by Quebec courts in exercising this discretion were reviewed in </w:t>
      </w:r>
      <w:r w:rsidRPr="00217CB7">
        <w:rPr>
          <w:i/>
          <w:lang w:val="en-US"/>
        </w:rPr>
        <w:t xml:space="preserve">Oppenheim </w:t>
      </w:r>
      <w:proofErr w:type="spellStart"/>
      <w:r w:rsidRPr="00217CB7">
        <w:rPr>
          <w:i/>
          <w:lang w:val="en-US"/>
        </w:rPr>
        <w:t>forfait</w:t>
      </w:r>
      <w:proofErr w:type="spellEnd"/>
      <w:r w:rsidRPr="00217CB7">
        <w:rPr>
          <w:i/>
          <w:lang w:val="en-US"/>
        </w:rPr>
        <w:t xml:space="preserve"> GMBH v. Lexus maritime inc.</w:t>
      </w:r>
      <w:r w:rsidRPr="00217CB7">
        <w:rPr>
          <w:lang w:val="en-US"/>
        </w:rPr>
        <w:t xml:space="preserve">, 1998 </w:t>
      </w:r>
      <w:proofErr w:type="spellStart"/>
      <w:r w:rsidRPr="00217CB7">
        <w:rPr>
          <w:lang w:val="en-US"/>
        </w:rPr>
        <w:t>CanLII</w:t>
      </w:r>
      <w:proofErr w:type="spellEnd"/>
      <w:r w:rsidRPr="00217CB7">
        <w:rPr>
          <w:lang w:val="en-US"/>
        </w:rPr>
        <w:t xml:space="preserve"> 13001, where the Quebec Court of Appeal established that the relevant considerations include, among others, the following factors which are not individually determinative but mus</w:t>
      </w:r>
      <w:r w:rsidR="0089026E" w:rsidRPr="00217CB7">
        <w:rPr>
          <w:lang w:val="en-US"/>
        </w:rPr>
        <w:t>t be considered globally (</w:t>
      </w:r>
      <w:proofErr w:type="spellStart"/>
      <w:r w:rsidR="0089026E" w:rsidRPr="00217CB7">
        <w:rPr>
          <w:lang w:val="en-US"/>
        </w:rPr>
        <w:t>para</w:t>
      </w:r>
      <w:proofErr w:type="spellEnd"/>
      <w:r w:rsidR="0089026E" w:rsidRPr="00217CB7">
        <w:rPr>
          <w:lang w:val="en-US"/>
        </w:rPr>
        <w:t>. </w:t>
      </w:r>
      <w:r w:rsidRPr="00217CB7">
        <w:rPr>
          <w:lang w:val="en-US"/>
        </w:rPr>
        <w:t>18):</w:t>
      </w:r>
    </w:p>
    <w:p w:rsidR="000D2662" w:rsidRPr="00217CB7" w:rsidRDefault="000D2662" w:rsidP="00556C9F">
      <w:pPr>
        <w:spacing w:after="480" w:line="480" w:lineRule="auto"/>
        <w:ind w:left="720" w:hanging="720"/>
        <w:rPr>
          <w:lang w:val="en-US"/>
        </w:rPr>
      </w:pPr>
      <w:r w:rsidRPr="00217CB7">
        <w:rPr>
          <w:lang w:val="en-US"/>
        </w:rPr>
        <w:t>(1)</w:t>
      </w:r>
      <w:r w:rsidRPr="00217CB7">
        <w:rPr>
          <w:lang w:val="en-US"/>
        </w:rPr>
        <w:tab/>
      </w:r>
      <w:proofErr w:type="gramStart"/>
      <w:r w:rsidRPr="00217CB7">
        <w:rPr>
          <w:lang w:val="en-US"/>
        </w:rPr>
        <w:t>the</w:t>
      </w:r>
      <w:proofErr w:type="gramEnd"/>
      <w:r w:rsidRPr="00217CB7">
        <w:rPr>
          <w:lang w:val="en-US"/>
        </w:rPr>
        <w:t xml:space="preserve"> place of residence of the parties and witnesses;</w:t>
      </w:r>
    </w:p>
    <w:p w:rsidR="000D2662" w:rsidRPr="00217CB7" w:rsidRDefault="000D2662" w:rsidP="00556C9F">
      <w:pPr>
        <w:spacing w:after="480" w:line="480" w:lineRule="auto"/>
        <w:ind w:left="720" w:hanging="720"/>
        <w:rPr>
          <w:lang w:val="en-US"/>
        </w:rPr>
      </w:pPr>
      <w:r w:rsidRPr="00217CB7">
        <w:rPr>
          <w:lang w:val="en-US"/>
        </w:rPr>
        <w:lastRenderedPageBreak/>
        <w:t>(2)</w:t>
      </w:r>
      <w:r w:rsidRPr="00217CB7">
        <w:rPr>
          <w:lang w:val="en-US"/>
        </w:rPr>
        <w:tab/>
      </w:r>
      <w:proofErr w:type="gramStart"/>
      <w:r w:rsidRPr="00217CB7">
        <w:rPr>
          <w:lang w:val="en-US"/>
        </w:rPr>
        <w:t>the</w:t>
      </w:r>
      <w:proofErr w:type="gramEnd"/>
      <w:r w:rsidRPr="00217CB7">
        <w:rPr>
          <w:lang w:val="en-US"/>
        </w:rPr>
        <w:t xml:space="preserve"> location of the evidence;</w:t>
      </w:r>
    </w:p>
    <w:p w:rsidR="000D2662" w:rsidRPr="00217CB7" w:rsidRDefault="000D2662" w:rsidP="00556C9F">
      <w:pPr>
        <w:spacing w:after="480" w:line="480" w:lineRule="auto"/>
        <w:ind w:left="720" w:hanging="720"/>
        <w:rPr>
          <w:lang w:val="en-US"/>
        </w:rPr>
      </w:pPr>
      <w:r w:rsidRPr="00217CB7">
        <w:rPr>
          <w:lang w:val="en-US"/>
        </w:rPr>
        <w:t>(3)</w:t>
      </w:r>
      <w:r w:rsidRPr="00217CB7">
        <w:rPr>
          <w:lang w:val="en-US"/>
        </w:rPr>
        <w:tab/>
      </w:r>
      <w:proofErr w:type="gramStart"/>
      <w:r w:rsidRPr="00217CB7">
        <w:rPr>
          <w:lang w:val="en-US"/>
        </w:rPr>
        <w:t>the</w:t>
      </w:r>
      <w:proofErr w:type="gramEnd"/>
      <w:r w:rsidRPr="00217CB7">
        <w:rPr>
          <w:lang w:val="en-US"/>
        </w:rPr>
        <w:t xml:space="preserve"> place of formation and execution of the contract;</w:t>
      </w:r>
    </w:p>
    <w:p w:rsidR="000D2662" w:rsidRPr="00217CB7" w:rsidRDefault="000D2662" w:rsidP="00556C9F">
      <w:pPr>
        <w:spacing w:after="480" w:line="480" w:lineRule="auto"/>
        <w:ind w:left="720" w:hanging="720"/>
        <w:rPr>
          <w:lang w:val="en-US"/>
        </w:rPr>
      </w:pPr>
      <w:r w:rsidRPr="00217CB7">
        <w:rPr>
          <w:lang w:val="en-US"/>
        </w:rPr>
        <w:t>(4)</w:t>
      </w:r>
      <w:r w:rsidRPr="00217CB7">
        <w:rPr>
          <w:lang w:val="en-US"/>
        </w:rPr>
        <w:tab/>
      </w:r>
      <w:proofErr w:type="gramStart"/>
      <w:r w:rsidRPr="00217CB7">
        <w:rPr>
          <w:lang w:val="en-US"/>
        </w:rPr>
        <w:t>the</w:t>
      </w:r>
      <w:proofErr w:type="gramEnd"/>
      <w:r w:rsidRPr="00217CB7">
        <w:rPr>
          <w:lang w:val="en-US"/>
        </w:rPr>
        <w:t xml:space="preserve"> existence of proceedings pending between parties in another jurisdiction and the stage of any such proceeding;</w:t>
      </w:r>
    </w:p>
    <w:p w:rsidR="000D2662" w:rsidRPr="00217CB7" w:rsidRDefault="000D2662" w:rsidP="00556C9F">
      <w:pPr>
        <w:spacing w:after="480" w:line="480" w:lineRule="auto"/>
        <w:ind w:left="720" w:hanging="720"/>
        <w:rPr>
          <w:lang w:val="en-US"/>
        </w:rPr>
      </w:pPr>
      <w:r w:rsidRPr="00217CB7">
        <w:rPr>
          <w:lang w:val="en-US"/>
        </w:rPr>
        <w:t>(5)</w:t>
      </w:r>
      <w:r w:rsidRPr="00217CB7">
        <w:rPr>
          <w:lang w:val="en-US"/>
        </w:rPr>
        <w:tab/>
      </w:r>
      <w:proofErr w:type="gramStart"/>
      <w:r w:rsidRPr="00217CB7">
        <w:rPr>
          <w:lang w:val="en-US"/>
        </w:rPr>
        <w:t>the</w:t>
      </w:r>
      <w:proofErr w:type="gramEnd"/>
      <w:r w:rsidRPr="00217CB7">
        <w:rPr>
          <w:lang w:val="en-US"/>
        </w:rPr>
        <w:t xml:space="preserve"> location of the defendant</w:t>
      </w:r>
      <w:r w:rsidR="00621B7F" w:rsidRPr="00217CB7">
        <w:rPr>
          <w:lang w:val="en-US"/>
        </w:rPr>
        <w:t>’</w:t>
      </w:r>
      <w:r w:rsidRPr="00217CB7">
        <w:rPr>
          <w:lang w:val="en-US"/>
        </w:rPr>
        <w:t>s assets;</w:t>
      </w:r>
    </w:p>
    <w:p w:rsidR="000D2662" w:rsidRPr="00217CB7" w:rsidRDefault="000D2662" w:rsidP="00556C9F">
      <w:pPr>
        <w:spacing w:after="480" w:line="480" w:lineRule="auto"/>
        <w:ind w:left="720" w:hanging="720"/>
        <w:rPr>
          <w:lang w:val="en-US"/>
        </w:rPr>
      </w:pPr>
      <w:r w:rsidRPr="00217CB7">
        <w:rPr>
          <w:lang w:val="en-US"/>
        </w:rPr>
        <w:t>(6)</w:t>
      </w:r>
      <w:r w:rsidRPr="00217CB7">
        <w:rPr>
          <w:lang w:val="en-US"/>
        </w:rPr>
        <w:tab/>
      </w:r>
      <w:proofErr w:type="gramStart"/>
      <w:r w:rsidRPr="00217CB7">
        <w:rPr>
          <w:lang w:val="en-US"/>
        </w:rPr>
        <w:t>the</w:t>
      </w:r>
      <w:proofErr w:type="gramEnd"/>
      <w:r w:rsidRPr="00217CB7">
        <w:rPr>
          <w:lang w:val="en-US"/>
        </w:rPr>
        <w:t xml:space="preserve"> applicable law;</w:t>
      </w:r>
    </w:p>
    <w:p w:rsidR="000D2662" w:rsidRPr="00217CB7" w:rsidRDefault="000D2662" w:rsidP="00556C9F">
      <w:pPr>
        <w:spacing w:after="480" w:line="480" w:lineRule="auto"/>
        <w:ind w:left="720" w:hanging="720"/>
        <w:rPr>
          <w:lang w:val="en-US"/>
        </w:rPr>
      </w:pPr>
      <w:r w:rsidRPr="00217CB7">
        <w:rPr>
          <w:lang w:val="en-US"/>
        </w:rPr>
        <w:t>(7)</w:t>
      </w:r>
      <w:r w:rsidRPr="00217CB7">
        <w:rPr>
          <w:lang w:val="en-US"/>
        </w:rPr>
        <w:tab/>
      </w:r>
      <w:proofErr w:type="gramStart"/>
      <w:r w:rsidRPr="00217CB7">
        <w:rPr>
          <w:lang w:val="en-US"/>
        </w:rPr>
        <w:t>the</w:t>
      </w:r>
      <w:proofErr w:type="gramEnd"/>
      <w:r w:rsidRPr="00217CB7">
        <w:rPr>
          <w:lang w:val="en-US"/>
        </w:rPr>
        <w:t xml:space="preserve"> advantage conferred on the plaintiff by its choice of forum;</w:t>
      </w:r>
    </w:p>
    <w:p w:rsidR="000D2662" w:rsidRPr="00217CB7" w:rsidRDefault="000D2662" w:rsidP="00556C9F">
      <w:pPr>
        <w:spacing w:after="480" w:line="480" w:lineRule="auto"/>
        <w:rPr>
          <w:lang w:val="en-US"/>
        </w:rPr>
      </w:pPr>
      <w:r w:rsidRPr="00217CB7">
        <w:rPr>
          <w:lang w:val="en-US"/>
        </w:rPr>
        <w:t>(8)</w:t>
      </w:r>
      <w:r w:rsidRPr="00217CB7">
        <w:rPr>
          <w:lang w:val="en-US"/>
        </w:rPr>
        <w:tab/>
      </w:r>
      <w:proofErr w:type="gramStart"/>
      <w:r w:rsidRPr="00217CB7">
        <w:rPr>
          <w:lang w:val="en-US"/>
        </w:rPr>
        <w:t>the</w:t>
      </w:r>
      <w:proofErr w:type="gramEnd"/>
      <w:r w:rsidRPr="00217CB7">
        <w:rPr>
          <w:lang w:val="en-US"/>
        </w:rPr>
        <w:t xml:space="preserve"> interests of justice;</w:t>
      </w:r>
    </w:p>
    <w:p w:rsidR="000D2662" w:rsidRPr="00217CB7" w:rsidRDefault="000D2662" w:rsidP="00556C9F">
      <w:pPr>
        <w:spacing w:after="480" w:line="480" w:lineRule="auto"/>
        <w:ind w:left="720" w:hanging="720"/>
        <w:rPr>
          <w:lang w:val="en-US"/>
        </w:rPr>
      </w:pPr>
      <w:r w:rsidRPr="00217CB7">
        <w:rPr>
          <w:lang w:val="en-US"/>
        </w:rPr>
        <w:t>(9)</w:t>
      </w:r>
      <w:r w:rsidRPr="00217CB7">
        <w:rPr>
          <w:lang w:val="en-US"/>
        </w:rPr>
        <w:tab/>
      </w:r>
      <w:proofErr w:type="gramStart"/>
      <w:r w:rsidRPr="00217CB7">
        <w:rPr>
          <w:lang w:val="en-US"/>
        </w:rPr>
        <w:t>the</w:t>
      </w:r>
      <w:proofErr w:type="gramEnd"/>
      <w:r w:rsidRPr="00217CB7">
        <w:rPr>
          <w:lang w:val="en-US"/>
        </w:rPr>
        <w:t xml:space="preserve"> interests of the two parties;</w:t>
      </w:r>
    </w:p>
    <w:p w:rsidR="000D2662" w:rsidRPr="00217CB7" w:rsidRDefault="000D2662" w:rsidP="00556C9F">
      <w:pPr>
        <w:spacing w:after="480" w:line="480" w:lineRule="auto"/>
        <w:ind w:left="720" w:hanging="720"/>
        <w:rPr>
          <w:lang w:val="en-US"/>
        </w:rPr>
      </w:pPr>
      <w:r w:rsidRPr="00217CB7">
        <w:rPr>
          <w:lang w:val="en-US"/>
        </w:rPr>
        <w:t>(10)</w:t>
      </w:r>
      <w:r w:rsidRPr="00217CB7">
        <w:rPr>
          <w:lang w:val="en-US"/>
        </w:rPr>
        <w:tab/>
      </w:r>
      <w:proofErr w:type="gramStart"/>
      <w:r w:rsidRPr="00217CB7">
        <w:rPr>
          <w:lang w:val="en-US"/>
        </w:rPr>
        <w:t>the</w:t>
      </w:r>
      <w:proofErr w:type="gramEnd"/>
      <w:r w:rsidRPr="00217CB7">
        <w:rPr>
          <w:lang w:val="en-US"/>
        </w:rPr>
        <w:t xml:space="preserve"> need to have the judgment recognized in another jurisdiction.</w:t>
      </w:r>
    </w:p>
    <w:p w:rsidR="000D2662" w:rsidRPr="00217CB7" w:rsidRDefault="000D2662" w:rsidP="000D2662">
      <w:pPr>
        <w:pStyle w:val="ParaNoNdepar-AltN"/>
        <w:rPr>
          <w:lang w:val="en-US"/>
        </w:rPr>
      </w:pPr>
      <w:r w:rsidRPr="00217CB7">
        <w:rPr>
          <w:lang w:val="en-US"/>
        </w:rPr>
        <w:t xml:space="preserve">With the exception of juridical advantage, the </w:t>
      </w:r>
      <w:r w:rsidRPr="00217CB7">
        <w:rPr>
          <w:i/>
          <w:lang w:val="en-US"/>
        </w:rPr>
        <w:t xml:space="preserve">Oppenheim </w:t>
      </w:r>
      <w:r w:rsidRPr="00217CB7">
        <w:rPr>
          <w:lang w:val="en-US"/>
        </w:rPr>
        <w:t xml:space="preserve">factors appear to largely correspond to the factors enumerated in s. 11(2) of the </w:t>
      </w:r>
      <w:r w:rsidRPr="00217CB7">
        <w:rPr>
          <w:i/>
          <w:lang w:val="en-US"/>
        </w:rPr>
        <w:t>CJPTA</w:t>
      </w:r>
      <w:r w:rsidRPr="00217CB7">
        <w:rPr>
          <w:lang w:val="en-US"/>
        </w:rPr>
        <w:t>.</w:t>
      </w:r>
      <w:r w:rsidR="0089026E" w:rsidRPr="00217CB7">
        <w:rPr>
          <w:lang w:val="en-US"/>
        </w:rPr>
        <w:t xml:space="preserve"> </w:t>
      </w:r>
      <w:r w:rsidRPr="00217CB7">
        <w:rPr>
          <w:lang w:val="en-US"/>
        </w:rPr>
        <w:t xml:space="preserve">The </w:t>
      </w:r>
      <w:r w:rsidRPr="00217CB7">
        <w:rPr>
          <w:i/>
          <w:lang w:val="en-US"/>
        </w:rPr>
        <w:t>CJPTA</w:t>
      </w:r>
      <w:r w:rsidRPr="00217CB7">
        <w:rPr>
          <w:lang w:val="en-US"/>
        </w:rPr>
        <w:t xml:space="preserve"> does not provide for consideration of any factor corresponding to the advantage conferred on the plaintiff by its choice of forum, although it also does not specifically exclude consideration of this factor where it is relevant.</w:t>
      </w:r>
      <w:r w:rsidR="0089026E" w:rsidRPr="00217CB7">
        <w:rPr>
          <w:lang w:val="en-US"/>
        </w:rPr>
        <w:t xml:space="preserve"> </w:t>
      </w:r>
      <w:r w:rsidRPr="00217CB7">
        <w:rPr>
          <w:lang w:val="en-US"/>
        </w:rPr>
        <w:t xml:space="preserve">This approach is consistent </w:t>
      </w:r>
      <w:r w:rsidRPr="00217CB7">
        <w:rPr>
          <w:lang w:val="en-US"/>
        </w:rPr>
        <w:lastRenderedPageBreak/>
        <w:t>with this Court</w:t>
      </w:r>
      <w:r w:rsidR="00621B7F" w:rsidRPr="00217CB7">
        <w:rPr>
          <w:lang w:val="en-US"/>
        </w:rPr>
        <w:t>’</w:t>
      </w:r>
      <w:r w:rsidRPr="00217CB7">
        <w:rPr>
          <w:lang w:val="en-US"/>
        </w:rPr>
        <w:t xml:space="preserve">s observation in </w:t>
      </w:r>
      <w:r w:rsidRPr="00217CB7">
        <w:rPr>
          <w:i/>
          <w:lang w:val="en-US"/>
        </w:rPr>
        <w:t>Club Resorts</w:t>
      </w:r>
      <w:r w:rsidRPr="00217CB7">
        <w:rPr>
          <w:lang w:val="en-US"/>
        </w:rPr>
        <w:t xml:space="preserve"> that an emphasis on juridical advantage may be inconsistent with the principles of comity.</w:t>
      </w:r>
      <w:r w:rsidR="0089026E" w:rsidRPr="00217CB7">
        <w:rPr>
          <w:lang w:val="en-US"/>
        </w:rPr>
        <w:t xml:space="preserve"> </w:t>
      </w:r>
      <w:r w:rsidRPr="00217CB7">
        <w:rPr>
          <w:lang w:val="en-US"/>
        </w:rPr>
        <w:t xml:space="preserve">In particular, a focus on juridical advantage may put too strong an emphasis on issues that may reflect only differences in legal tradition which are deserving of respect, or courts may be drawn too instinctively to view disadvantage as a sign of inferiority and </w:t>
      </w:r>
      <w:proofErr w:type="spellStart"/>
      <w:r w:rsidRPr="00217CB7">
        <w:rPr>
          <w:lang w:val="en-US"/>
        </w:rPr>
        <w:t>favour</w:t>
      </w:r>
      <w:proofErr w:type="spellEnd"/>
      <w:r w:rsidR="0089026E" w:rsidRPr="00217CB7">
        <w:rPr>
          <w:lang w:val="en-US"/>
        </w:rPr>
        <w:t xml:space="preserve"> their home jurisdiction (</w:t>
      </w:r>
      <w:proofErr w:type="spellStart"/>
      <w:r w:rsidR="0089026E" w:rsidRPr="00217CB7">
        <w:rPr>
          <w:lang w:val="en-US"/>
        </w:rPr>
        <w:t>para</w:t>
      </w:r>
      <w:proofErr w:type="spellEnd"/>
      <w:r w:rsidR="0089026E" w:rsidRPr="00217CB7">
        <w:rPr>
          <w:lang w:val="en-US"/>
        </w:rPr>
        <w:t>. </w:t>
      </w:r>
      <w:r w:rsidRPr="00217CB7">
        <w:rPr>
          <w:lang w:val="en-US"/>
        </w:rPr>
        <w:t>112).</w:t>
      </w:r>
    </w:p>
    <w:p w:rsidR="000D2662" w:rsidRPr="00217CB7" w:rsidRDefault="000D2662" w:rsidP="000D2662">
      <w:pPr>
        <w:pStyle w:val="ParaNoNdepar-AltN"/>
        <w:rPr>
          <w:lang w:val="en-US"/>
        </w:rPr>
      </w:pPr>
      <w:r w:rsidRPr="00217CB7">
        <w:rPr>
          <w:lang w:val="en-US"/>
        </w:rPr>
        <w:t>Juridical advantage not only is problematic as a matter of comity, but also</w:t>
      </w:r>
      <w:r w:rsidR="00581193" w:rsidRPr="00217CB7">
        <w:rPr>
          <w:lang w:val="en-US"/>
        </w:rPr>
        <w:t>,</w:t>
      </w:r>
      <w:r w:rsidRPr="00217CB7">
        <w:rPr>
          <w:lang w:val="en-US"/>
        </w:rPr>
        <w:t xml:space="preserve"> as a practical matter, may not add very much to the jurisdictional analysis.</w:t>
      </w:r>
      <w:r w:rsidR="0089026E" w:rsidRPr="00217CB7">
        <w:rPr>
          <w:lang w:val="en-US"/>
        </w:rPr>
        <w:t xml:space="preserve"> </w:t>
      </w:r>
      <w:r w:rsidRPr="00217CB7">
        <w:rPr>
          <w:lang w:val="en-US"/>
        </w:rPr>
        <w:t xml:space="preserve">As this Court emphasized in </w:t>
      </w:r>
      <w:proofErr w:type="spellStart"/>
      <w:r w:rsidRPr="00217CB7">
        <w:rPr>
          <w:i/>
          <w:lang w:val="en-US"/>
        </w:rPr>
        <w:t>Amchem</w:t>
      </w:r>
      <w:proofErr w:type="spellEnd"/>
      <w:r w:rsidRPr="00217CB7">
        <w:rPr>
          <w:i/>
          <w:lang w:val="en-US"/>
        </w:rPr>
        <w:t xml:space="preserve"> Products Inc. v. British Columbia (Workers</w:t>
      </w:r>
      <w:r w:rsidR="00621B7F" w:rsidRPr="00217CB7">
        <w:rPr>
          <w:i/>
          <w:lang w:val="en-US"/>
        </w:rPr>
        <w:t>’</w:t>
      </w:r>
      <w:r w:rsidRPr="00217CB7">
        <w:rPr>
          <w:i/>
          <w:lang w:val="en-US"/>
        </w:rPr>
        <w:t xml:space="preserve"> Compensation Board)</w:t>
      </w:r>
      <w:r w:rsidRPr="00217CB7">
        <w:rPr>
          <w:lang w:val="en-US"/>
        </w:rPr>
        <w:t xml:space="preserve">, [1993] 1 S.C.R. 897, </w:t>
      </w:r>
      <w:r w:rsidR="0089026E" w:rsidRPr="00217CB7">
        <w:rPr>
          <w:lang w:val="en-US"/>
        </w:rPr>
        <w:t>“</w:t>
      </w:r>
      <w:r w:rsidRPr="00217CB7">
        <w:rPr>
          <w:lang w:val="en-US"/>
        </w:rPr>
        <w:t>[a]</w:t>
      </w:r>
      <w:proofErr w:type="spellStart"/>
      <w:r w:rsidRPr="00217CB7">
        <w:rPr>
          <w:lang w:val="en-US"/>
        </w:rPr>
        <w:t>ny</w:t>
      </w:r>
      <w:proofErr w:type="spellEnd"/>
      <w:r w:rsidRPr="00217CB7">
        <w:rPr>
          <w:lang w:val="en-US"/>
        </w:rPr>
        <w:t xml:space="preserve"> loss of advantage to the foreign plaintiff must be weighed as against the loss of advantage, if any, to the defendant in the foreign jurisdiction if the action is tried there rather than in the domestic forum</w:t>
      </w:r>
      <w:r w:rsidR="0089026E" w:rsidRPr="00217CB7">
        <w:rPr>
          <w:lang w:val="en-US"/>
        </w:rPr>
        <w:t>”</w:t>
      </w:r>
      <w:r w:rsidRPr="00217CB7">
        <w:rPr>
          <w:lang w:val="en-US"/>
        </w:rPr>
        <w:t xml:space="preserve"> (p. 933).</w:t>
      </w:r>
      <w:r w:rsidR="0089026E" w:rsidRPr="00217CB7">
        <w:rPr>
          <w:lang w:val="en-US"/>
        </w:rPr>
        <w:t xml:space="preserve"> </w:t>
      </w:r>
      <w:r w:rsidRPr="00217CB7">
        <w:rPr>
          <w:lang w:val="en-US"/>
        </w:rPr>
        <w:t xml:space="preserve">Juridical advantage therefore should not weigh too heavily in the </w:t>
      </w:r>
      <w:r w:rsidRPr="00217CB7">
        <w:rPr>
          <w:i/>
          <w:lang w:val="en-US"/>
        </w:rPr>
        <w:t xml:space="preserve">forum non </w:t>
      </w:r>
      <w:proofErr w:type="spellStart"/>
      <w:r w:rsidRPr="00217CB7">
        <w:rPr>
          <w:i/>
          <w:lang w:val="en-US"/>
        </w:rPr>
        <w:t>conveniens</w:t>
      </w:r>
      <w:proofErr w:type="spellEnd"/>
      <w:r w:rsidRPr="00217CB7">
        <w:rPr>
          <w:i/>
          <w:lang w:val="en-US"/>
        </w:rPr>
        <w:t xml:space="preserve"> </w:t>
      </w:r>
      <w:r w:rsidRPr="00217CB7">
        <w:rPr>
          <w:lang w:val="en-US"/>
        </w:rPr>
        <w:t xml:space="preserve">analysis. </w:t>
      </w:r>
    </w:p>
    <w:p w:rsidR="000D2662" w:rsidRPr="00217CB7" w:rsidRDefault="000D2662" w:rsidP="000D2662">
      <w:pPr>
        <w:pStyle w:val="ParaNoNdepar-AltN"/>
        <w:rPr>
          <w:lang w:val="en-US"/>
        </w:rPr>
      </w:pPr>
      <w:r w:rsidRPr="00217CB7">
        <w:rPr>
          <w:lang w:val="en-US"/>
        </w:rPr>
        <w:t xml:space="preserve">In addition to the list of factors that a court may consider in determining whether to decline to exercise its jurisdiction, the </w:t>
      </w:r>
      <w:r w:rsidRPr="00217CB7">
        <w:rPr>
          <w:i/>
          <w:lang w:val="en-US"/>
        </w:rPr>
        <w:t xml:space="preserve">CJPTA </w:t>
      </w:r>
      <w:r w:rsidRPr="00217CB7">
        <w:rPr>
          <w:lang w:val="en-US"/>
        </w:rPr>
        <w:t xml:space="preserve">also sets out the role that considerations of fairness to both parties play in the </w:t>
      </w:r>
      <w:r w:rsidRPr="00217CB7">
        <w:rPr>
          <w:i/>
          <w:lang w:val="en-US"/>
        </w:rPr>
        <w:t xml:space="preserve">forum non </w:t>
      </w:r>
      <w:proofErr w:type="spellStart"/>
      <w:r w:rsidRPr="00217CB7">
        <w:rPr>
          <w:i/>
          <w:lang w:val="en-US"/>
        </w:rPr>
        <w:t>conveniens</w:t>
      </w:r>
      <w:proofErr w:type="spellEnd"/>
      <w:r w:rsidRPr="00217CB7">
        <w:rPr>
          <w:i/>
          <w:lang w:val="en-US"/>
        </w:rPr>
        <w:t xml:space="preserve"> </w:t>
      </w:r>
      <w:r w:rsidRPr="00217CB7">
        <w:rPr>
          <w:lang w:val="en-US"/>
        </w:rPr>
        <w:t>analysis:</w:t>
      </w:r>
      <w:r w:rsidR="0089026E" w:rsidRPr="00217CB7">
        <w:rPr>
          <w:lang w:val="en-US"/>
        </w:rPr>
        <w:t xml:space="preserve"> </w:t>
      </w:r>
      <w:r w:rsidRPr="00217CB7">
        <w:rPr>
          <w:lang w:val="en-US"/>
        </w:rPr>
        <w:t xml:space="preserve">s. 11(1) states that </w:t>
      </w:r>
      <w:r w:rsidR="0089026E" w:rsidRPr="00217CB7">
        <w:rPr>
          <w:lang w:val="en-US"/>
        </w:rPr>
        <w:t>“</w:t>
      </w:r>
      <w:r w:rsidRPr="00217CB7">
        <w:rPr>
          <w:lang w:val="en-US"/>
        </w:rPr>
        <w:t>[a]</w:t>
      </w:r>
      <w:proofErr w:type="spellStart"/>
      <w:r w:rsidRPr="00217CB7">
        <w:rPr>
          <w:lang w:val="en-US"/>
        </w:rPr>
        <w:t>fter</w:t>
      </w:r>
      <w:proofErr w:type="spellEnd"/>
      <w:r w:rsidRPr="00217CB7">
        <w:rPr>
          <w:lang w:val="en-US"/>
        </w:rPr>
        <w:t xml:space="preserve"> considering </w:t>
      </w:r>
      <w:r w:rsidRPr="00217CB7">
        <w:rPr>
          <w:u w:val="single"/>
          <w:lang w:val="en-US"/>
        </w:rPr>
        <w:t>the interests of the parties to a proceeding and the ends of justice</w:t>
      </w:r>
      <w:r w:rsidRPr="00217CB7">
        <w:rPr>
          <w:lang w:val="en-US"/>
        </w:rPr>
        <w:t>, a court may decline to exercise its territorial competence in the proceeding on the ground that a court of another state is a more appropriate forum in which to hear the proceeding</w:t>
      </w:r>
      <w:r w:rsidR="0089026E" w:rsidRPr="00217CB7">
        <w:rPr>
          <w:lang w:val="en-US"/>
        </w:rPr>
        <w:t>”</w:t>
      </w:r>
      <w:r w:rsidRPr="00217CB7">
        <w:rPr>
          <w:lang w:val="en-US"/>
        </w:rPr>
        <w:t xml:space="preserve"> (emphasis added).</w:t>
      </w:r>
      <w:r w:rsidR="0089026E" w:rsidRPr="00217CB7">
        <w:rPr>
          <w:lang w:val="en-US"/>
        </w:rPr>
        <w:t xml:space="preserve"> </w:t>
      </w:r>
      <w:r w:rsidRPr="00217CB7">
        <w:rPr>
          <w:lang w:val="en-US"/>
        </w:rPr>
        <w:t xml:space="preserve">While the factors relevant to the </w:t>
      </w:r>
      <w:r w:rsidRPr="00217CB7">
        <w:rPr>
          <w:i/>
          <w:lang w:val="en-US"/>
        </w:rPr>
        <w:lastRenderedPageBreak/>
        <w:t xml:space="preserve">forum non </w:t>
      </w:r>
      <w:proofErr w:type="spellStart"/>
      <w:r w:rsidRPr="00217CB7">
        <w:rPr>
          <w:i/>
          <w:lang w:val="en-US"/>
        </w:rPr>
        <w:t>conveniens</w:t>
      </w:r>
      <w:proofErr w:type="spellEnd"/>
      <w:r w:rsidRPr="00217CB7">
        <w:rPr>
          <w:lang w:val="en-US"/>
        </w:rPr>
        <w:t xml:space="preserve"> analysis will vary depending on the context of each case, s. 11 of the </w:t>
      </w:r>
      <w:r w:rsidRPr="00217CB7">
        <w:rPr>
          <w:i/>
          <w:lang w:val="en-US"/>
        </w:rPr>
        <w:t>CJPTA</w:t>
      </w:r>
      <w:r w:rsidRPr="00217CB7">
        <w:rPr>
          <w:lang w:val="en-US"/>
        </w:rPr>
        <w:t xml:space="preserve"> serves as a helpful reference.</w:t>
      </w:r>
    </w:p>
    <w:p w:rsidR="000D2662" w:rsidRPr="00217CB7" w:rsidRDefault="000D2662" w:rsidP="000D2662">
      <w:pPr>
        <w:pStyle w:val="ParaNoNdepar-AltN"/>
        <w:rPr>
          <w:lang w:val="en-US"/>
        </w:rPr>
      </w:pPr>
      <w:r w:rsidRPr="00217CB7">
        <w:rPr>
          <w:lang w:val="en-US"/>
        </w:rPr>
        <w:t xml:space="preserve">When the </w:t>
      </w:r>
      <w:r w:rsidRPr="00217CB7">
        <w:rPr>
          <w:i/>
          <w:lang w:val="en-US"/>
        </w:rPr>
        <w:t xml:space="preserve">forum non </w:t>
      </w:r>
      <w:proofErr w:type="spellStart"/>
      <w:r w:rsidRPr="00217CB7">
        <w:rPr>
          <w:i/>
          <w:lang w:val="en-US"/>
        </w:rPr>
        <w:t>conveniens</w:t>
      </w:r>
      <w:proofErr w:type="spellEnd"/>
      <w:r w:rsidRPr="00217CB7">
        <w:rPr>
          <w:i/>
          <w:lang w:val="en-US"/>
        </w:rPr>
        <w:t xml:space="preserve"> </w:t>
      </w:r>
      <w:r w:rsidRPr="00217CB7">
        <w:rPr>
          <w:lang w:val="en-US"/>
        </w:rPr>
        <w:t>analysis is applied to the circumstances of the instant appeal, it becomes apparent that both the courts of Illinois and Ontario are appropriate forums for the trial of the libel actions.</w:t>
      </w:r>
      <w:r w:rsidR="0089026E" w:rsidRPr="00217CB7">
        <w:rPr>
          <w:lang w:val="en-US"/>
        </w:rPr>
        <w:t xml:space="preserve"> </w:t>
      </w:r>
      <w:r w:rsidRPr="00217CB7">
        <w:rPr>
          <w:lang w:val="en-US"/>
        </w:rPr>
        <w:t xml:space="preserve">Indeed, many of the relevant factors </w:t>
      </w:r>
      <w:proofErr w:type="spellStart"/>
      <w:r w:rsidRPr="00217CB7">
        <w:rPr>
          <w:lang w:val="en-US"/>
        </w:rPr>
        <w:t>favour</w:t>
      </w:r>
      <w:proofErr w:type="spellEnd"/>
      <w:r w:rsidRPr="00217CB7">
        <w:rPr>
          <w:lang w:val="en-US"/>
        </w:rPr>
        <w:t xml:space="preserve"> proceeding in Illinois.</w:t>
      </w:r>
      <w:r w:rsidR="0089026E" w:rsidRPr="00217CB7">
        <w:rPr>
          <w:lang w:val="en-US"/>
        </w:rPr>
        <w:t xml:space="preserve"> </w:t>
      </w:r>
      <w:r w:rsidRPr="00217CB7">
        <w:rPr>
          <w:lang w:val="en-US"/>
        </w:rPr>
        <w:t xml:space="preserve">Others </w:t>
      </w:r>
      <w:proofErr w:type="spellStart"/>
      <w:r w:rsidRPr="00217CB7">
        <w:rPr>
          <w:lang w:val="en-US"/>
        </w:rPr>
        <w:t>favour</w:t>
      </w:r>
      <w:proofErr w:type="spellEnd"/>
      <w:r w:rsidRPr="00217CB7">
        <w:rPr>
          <w:lang w:val="en-US"/>
        </w:rPr>
        <w:t xml:space="preserve"> a trial in Ontario.</w:t>
      </w:r>
      <w:r w:rsidR="0089026E" w:rsidRPr="00217CB7">
        <w:rPr>
          <w:lang w:val="en-US"/>
        </w:rPr>
        <w:t xml:space="preserve"> </w:t>
      </w:r>
      <w:r w:rsidRPr="00217CB7">
        <w:rPr>
          <w:lang w:val="en-US"/>
        </w:rPr>
        <w:t>In the end, however, giving due deference to the motion judge</w:t>
      </w:r>
      <w:r w:rsidR="00621B7F" w:rsidRPr="00217CB7">
        <w:rPr>
          <w:lang w:val="en-US"/>
        </w:rPr>
        <w:t>’</w:t>
      </w:r>
      <w:r w:rsidRPr="00217CB7">
        <w:rPr>
          <w:lang w:val="en-US"/>
        </w:rPr>
        <w:t xml:space="preserve">s exercise of discretion, I am not convinced that the appellants have established that the Illinois court emerges as a </w:t>
      </w:r>
      <w:r w:rsidRPr="00217CB7">
        <w:rPr>
          <w:i/>
          <w:lang w:val="en-US"/>
        </w:rPr>
        <w:t>clearly</w:t>
      </w:r>
      <w:r w:rsidRPr="00217CB7">
        <w:rPr>
          <w:lang w:val="en-US"/>
        </w:rPr>
        <w:t xml:space="preserve"> more appropriate forum and that the motion judge made a reviewable error.</w:t>
      </w:r>
      <w:r w:rsidR="0089026E" w:rsidRPr="00217CB7">
        <w:rPr>
          <w:lang w:val="en-US"/>
        </w:rPr>
        <w:t xml:space="preserve"> </w:t>
      </w:r>
      <w:r w:rsidRPr="00217CB7">
        <w:rPr>
          <w:lang w:val="en-US"/>
        </w:rPr>
        <w:t>I will consider each of the relevant factors in turn.</w:t>
      </w:r>
    </w:p>
    <w:p w:rsidR="000D2662" w:rsidRPr="00217CB7" w:rsidRDefault="000D2662" w:rsidP="00581193">
      <w:pPr>
        <w:pStyle w:val="TitleTitre-AltT"/>
        <w:tabs>
          <w:tab w:val="clear" w:pos="360"/>
          <w:tab w:val="left" w:pos="1170"/>
          <w:tab w:val="left" w:pos="1800"/>
        </w:tabs>
        <w:ind w:left="1800" w:hanging="1800"/>
        <w:rPr>
          <w:u w:val="single"/>
          <w:lang w:val="en-US"/>
        </w:rPr>
      </w:pPr>
      <w:r w:rsidRPr="00217CB7">
        <w:rPr>
          <w:lang w:val="en-US"/>
        </w:rPr>
        <w:tab/>
        <w:t>(1)</w:t>
      </w:r>
      <w:r w:rsidRPr="00217CB7">
        <w:rPr>
          <w:lang w:val="en-US"/>
        </w:rPr>
        <w:tab/>
      </w:r>
      <w:r w:rsidRPr="00217CB7">
        <w:rPr>
          <w:u w:val="single"/>
          <w:lang w:val="en-US"/>
        </w:rPr>
        <w:t xml:space="preserve">Comparative Convenience and Expense for </w:t>
      </w:r>
      <w:r w:rsidRPr="00217CB7">
        <w:rPr>
          <w:u w:val="single"/>
        </w:rPr>
        <w:t>Parties</w:t>
      </w:r>
      <w:r w:rsidRPr="00217CB7">
        <w:rPr>
          <w:u w:val="single"/>
          <w:lang w:val="en-US"/>
        </w:rPr>
        <w:t xml:space="preserve"> and Witnesses</w:t>
      </w:r>
      <w:r w:rsidR="00556C9F" w:rsidRPr="00217CB7">
        <w:rPr>
          <w:lang w:val="en-US"/>
        </w:rPr>
        <w:t xml:space="preserve"> </w:t>
      </w:r>
    </w:p>
    <w:p w:rsidR="000D2662" w:rsidRPr="00217CB7" w:rsidRDefault="000D2662" w:rsidP="000D2662">
      <w:pPr>
        <w:pStyle w:val="ParaNoNdepar-AltN"/>
        <w:rPr>
          <w:lang w:val="en-US"/>
        </w:rPr>
      </w:pPr>
      <w:r w:rsidRPr="00217CB7">
        <w:rPr>
          <w:lang w:val="en-US"/>
        </w:rPr>
        <w:t xml:space="preserve">In my view, the comparative convenience and expense for the parties and their witnesses </w:t>
      </w:r>
      <w:proofErr w:type="spellStart"/>
      <w:r w:rsidRPr="00217CB7">
        <w:rPr>
          <w:lang w:val="en-US"/>
        </w:rPr>
        <w:t>favours</w:t>
      </w:r>
      <w:proofErr w:type="spellEnd"/>
      <w:r w:rsidRPr="00217CB7">
        <w:rPr>
          <w:lang w:val="en-US"/>
        </w:rPr>
        <w:t xml:space="preserve"> a trial in Illinois.</w:t>
      </w:r>
      <w:r w:rsidR="0089026E" w:rsidRPr="00217CB7">
        <w:rPr>
          <w:lang w:val="en-US"/>
        </w:rPr>
        <w:t xml:space="preserve"> </w:t>
      </w:r>
      <w:r w:rsidRPr="00217CB7">
        <w:rPr>
          <w:lang w:val="en-US"/>
        </w:rPr>
        <w:t>First, as the motion judge found, most of the witnesses and the bulk of the evidence are located in the U.S.</w:t>
      </w:r>
      <w:r w:rsidR="0089026E" w:rsidRPr="00217CB7">
        <w:rPr>
          <w:lang w:val="en-US"/>
        </w:rPr>
        <w:t xml:space="preserve"> </w:t>
      </w:r>
      <w:r w:rsidRPr="00217CB7">
        <w:rPr>
          <w:lang w:val="en-US"/>
        </w:rPr>
        <w:t>It is significant in this regard that International was headquartered, at least for a time, in Illinois.</w:t>
      </w:r>
      <w:r w:rsidR="0089026E" w:rsidRPr="00217CB7">
        <w:rPr>
          <w:lang w:val="en-US"/>
        </w:rPr>
        <w:t xml:space="preserve"> </w:t>
      </w:r>
      <w:r w:rsidRPr="00217CB7">
        <w:rPr>
          <w:lang w:val="en-US"/>
        </w:rPr>
        <w:t xml:space="preserve">In addition and as the motion judge noted, rule 45 of the </w:t>
      </w:r>
      <w:r w:rsidRPr="00217CB7">
        <w:rPr>
          <w:i/>
          <w:lang w:val="en-US"/>
        </w:rPr>
        <w:t>Federal Rules of Civil Procedure</w:t>
      </w:r>
      <w:r w:rsidRPr="00217CB7">
        <w:rPr>
          <w:lang w:val="en-US"/>
        </w:rPr>
        <w:t xml:space="preserve">, </w:t>
      </w:r>
      <w:r w:rsidR="00581193" w:rsidRPr="00217CB7">
        <w:rPr>
          <w:lang w:val="en-US"/>
        </w:rPr>
        <w:t>28 U.S.C. app.</w:t>
      </w:r>
      <w:r w:rsidRPr="00217CB7">
        <w:rPr>
          <w:lang w:val="en-US"/>
        </w:rPr>
        <w:t>, facilitates the movement of witnesses and evidence between states.</w:t>
      </w:r>
      <w:r w:rsidR="0089026E" w:rsidRPr="00217CB7">
        <w:rPr>
          <w:lang w:val="en-US"/>
        </w:rPr>
        <w:t xml:space="preserve"> </w:t>
      </w:r>
      <w:r w:rsidRPr="00217CB7">
        <w:rPr>
          <w:lang w:val="en-US"/>
        </w:rPr>
        <w:t>The location of the witnesses and evidence thus makes a trial in Illinois more convenient than a trial in Ontario.</w:t>
      </w:r>
    </w:p>
    <w:p w:rsidR="000D2662" w:rsidRPr="00217CB7" w:rsidRDefault="000D2662" w:rsidP="000D2662">
      <w:pPr>
        <w:pStyle w:val="ParaNoNdepar-AltN"/>
        <w:rPr>
          <w:lang w:val="en-US"/>
        </w:rPr>
      </w:pPr>
      <w:r w:rsidRPr="00217CB7">
        <w:rPr>
          <w:lang w:val="en-US"/>
        </w:rPr>
        <w:lastRenderedPageBreak/>
        <w:t>The same can be said of the location of the parties.</w:t>
      </w:r>
      <w:r w:rsidR="0089026E" w:rsidRPr="00217CB7">
        <w:rPr>
          <w:lang w:val="en-US"/>
        </w:rPr>
        <w:t xml:space="preserve"> </w:t>
      </w:r>
      <w:r w:rsidRPr="00217CB7">
        <w:rPr>
          <w:lang w:val="en-US"/>
        </w:rPr>
        <w:t>While no single jurisdiction is home to a majority of the parties, it is significant that nine of the eleven parties, including Lord Black, reside in the U.S.</w:t>
      </w:r>
      <w:r w:rsidR="0089026E" w:rsidRPr="00217CB7">
        <w:rPr>
          <w:lang w:val="en-US"/>
        </w:rPr>
        <w:t xml:space="preserve"> </w:t>
      </w:r>
      <w:r w:rsidRPr="00217CB7">
        <w:rPr>
          <w:lang w:val="en-US"/>
        </w:rPr>
        <w:t>Indeed, Lord Black is currently incarcerated in Florida.</w:t>
      </w:r>
      <w:r w:rsidR="0089026E" w:rsidRPr="00217CB7">
        <w:rPr>
          <w:lang w:val="en-US"/>
        </w:rPr>
        <w:t xml:space="preserve"> </w:t>
      </w:r>
      <w:r w:rsidRPr="00217CB7">
        <w:rPr>
          <w:lang w:val="en-US"/>
        </w:rPr>
        <w:t>Moreover, owing to his criminal convictions and the fact that he abandoned his Canadian citizenship, Lord Black will not be able to enter Canada without the special permission of the Minister of Citizenship and Immigration even once he has finished serving his sentence.</w:t>
      </w:r>
      <w:r w:rsidR="0089026E" w:rsidRPr="00217CB7">
        <w:rPr>
          <w:lang w:val="en-US"/>
        </w:rPr>
        <w:t xml:space="preserve"> </w:t>
      </w:r>
      <w:r w:rsidRPr="00217CB7">
        <w:rPr>
          <w:lang w:val="en-US"/>
        </w:rPr>
        <w:t xml:space="preserve">It may be, however, that a writ of </w:t>
      </w:r>
      <w:r w:rsidRPr="00217CB7">
        <w:rPr>
          <w:i/>
          <w:lang w:val="en-US"/>
        </w:rPr>
        <w:t xml:space="preserve">habeas corpus ad </w:t>
      </w:r>
      <w:proofErr w:type="spellStart"/>
      <w:r w:rsidRPr="00217CB7">
        <w:rPr>
          <w:i/>
          <w:lang w:val="en-US"/>
        </w:rPr>
        <w:t>testificandum</w:t>
      </w:r>
      <w:proofErr w:type="spellEnd"/>
      <w:r w:rsidRPr="00217CB7">
        <w:rPr>
          <w:lang w:val="en-US"/>
        </w:rPr>
        <w:t xml:space="preserve"> could allow Lord Black to participate in person in a trial held in the U.S.; otherwise, Lord Black would have to participate through video conferencing.</w:t>
      </w:r>
      <w:r w:rsidR="0089026E" w:rsidRPr="00217CB7">
        <w:rPr>
          <w:lang w:val="en-US"/>
        </w:rPr>
        <w:t xml:space="preserve"> </w:t>
      </w:r>
      <w:r w:rsidRPr="00217CB7">
        <w:rPr>
          <w:lang w:val="en-US"/>
        </w:rPr>
        <w:t>As for the eight appellants who reside in the U.S., they are spread between different states, but it does not appear that financial considerations would impede the ability of any of them to participate in a trial in Illinois.</w:t>
      </w:r>
    </w:p>
    <w:p w:rsidR="000D2662" w:rsidRPr="00217CB7" w:rsidRDefault="000D2662" w:rsidP="00727711">
      <w:pPr>
        <w:pStyle w:val="TitleTitre-AltT"/>
        <w:tabs>
          <w:tab w:val="clear" w:pos="360"/>
          <w:tab w:val="left" w:pos="1170"/>
          <w:tab w:val="left" w:pos="1800"/>
        </w:tabs>
        <w:ind w:left="1800" w:hanging="1800"/>
        <w:rPr>
          <w:u w:val="single"/>
          <w:lang w:val="en-US"/>
        </w:rPr>
      </w:pPr>
      <w:r w:rsidRPr="00217CB7">
        <w:rPr>
          <w:lang w:val="en-US"/>
        </w:rPr>
        <w:tab/>
        <w:t>(2)</w:t>
      </w:r>
      <w:r w:rsidRPr="00217CB7">
        <w:rPr>
          <w:lang w:val="en-US"/>
        </w:rPr>
        <w:tab/>
      </w:r>
      <w:r w:rsidRPr="00217CB7">
        <w:rPr>
          <w:u w:val="single"/>
          <w:lang w:val="en-US"/>
        </w:rPr>
        <w:t>Applicable Law</w:t>
      </w:r>
      <w:r w:rsidR="00556C9F" w:rsidRPr="00217CB7">
        <w:rPr>
          <w:lang w:val="en-US"/>
        </w:rPr>
        <w:t xml:space="preserve"> </w:t>
      </w:r>
    </w:p>
    <w:p w:rsidR="000D2662" w:rsidRPr="00217CB7" w:rsidRDefault="000D2662" w:rsidP="00727711">
      <w:pPr>
        <w:pStyle w:val="ParaNoNdepar-AltN"/>
        <w:tabs>
          <w:tab w:val="left" w:pos="1620"/>
        </w:tabs>
        <w:rPr>
          <w:lang w:val="en-US"/>
        </w:rPr>
      </w:pPr>
      <w:r w:rsidRPr="00217CB7">
        <w:rPr>
          <w:lang w:val="en-US"/>
        </w:rPr>
        <w:t xml:space="preserve">In the companion case of </w:t>
      </w:r>
      <w:proofErr w:type="spellStart"/>
      <w:r w:rsidRPr="00217CB7">
        <w:rPr>
          <w:i/>
          <w:lang w:val="en-US"/>
        </w:rPr>
        <w:t>Éditions</w:t>
      </w:r>
      <w:proofErr w:type="spellEnd"/>
      <w:r w:rsidRPr="00217CB7">
        <w:rPr>
          <w:i/>
          <w:lang w:val="en-US"/>
        </w:rPr>
        <w:t xml:space="preserve"> </w:t>
      </w:r>
      <w:proofErr w:type="spellStart"/>
      <w:r w:rsidRPr="00217CB7">
        <w:rPr>
          <w:i/>
          <w:lang w:val="en-US"/>
        </w:rPr>
        <w:t>Écosociété</w:t>
      </w:r>
      <w:proofErr w:type="spellEnd"/>
      <w:r w:rsidRPr="00217CB7">
        <w:rPr>
          <w:i/>
          <w:lang w:val="en-US"/>
        </w:rPr>
        <w:t xml:space="preserve"> Inc. v. </w:t>
      </w:r>
      <w:proofErr w:type="spellStart"/>
      <w:r w:rsidRPr="00217CB7">
        <w:rPr>
          <w:i/>
          <w:lang w:val="en-US"/>
        </w:rPr>
        <w:t>Banro</w:t>
      </w:r>
      <w:proofErr w:type="spellEnd"/>
      <w:r w:rsidRPr="00217CB7">
        <w:rPr>
          <w:i/>
          <w:lang w:val="en-US"/>
        </w:rPr>
        <w:t xml:space="preserve"> Corp.</w:t>
      </w:r>
      <w:r w:rsidRPr="00217CB7">
        <w:rPr>
          <w:lang w:val="en-US"/>
        </w:rPr>
        <w:t xml:space="preserve">, 2012 SCC 18, </w:t>
      </w:r>
      <w:r w:rsidR="00727711" w:rsidRPr="00217CB7">
        <w:rPr>
          <w:lang w:val="en-US"/>
        </w:rPr>
        <w:t xml:space="preserve">[2012] 1 S.C.R. </w:t>
      </w:r>
      <w:r w:rsidR="00D71E18">
        <w:rPr>
          <w:lang w:val="en-US"/>
        </w:rPr>
        <w:t>636</w:t>
      </w:r>
      <w:r w:rsidR="00727711" w:rsidRPr="00217CB7">
        <w:rPr>
          <w:lang w:val="en-US"/>
        </w:rPr>
        <w:t xml:space="preserve">, </w:t>
      </w:r>
      <w:r w:rsidRPr="00217CB7">
        <w:rPr>
          <w:lang w:val="en-US"/>
        </w:rPr>
        <w:t>I discuss the implications of choice of law in the context of multistate defamation claims.</w:t>
      </w:r>
      <w:r w:rsidR="0089026E" w:rsidRPr="00217CB7">
        <w:rPr>
          <w:lang w:val="en-US"/>
        </w:rPr>
        <w:t xml:space="preserve"> </w:t>
      </w:r>
      <w:r w:rsidRPr="00217CB7">
        <w:rPr>
          <w:lang w:val="en-US"/>
        </w:rPr>
        <w:t xml:space="preserve">Without resolving the issue, I note that there is some question as to whether the </w:t>
      </w:r>
      <w:proofErr w:type="spellStart"/>
      <w:r w:rsidRPr="00217CB7">
        <w:rPr>
          <w:i/>
          <w:lang w:val="en-US"/>
        </w:rPr>
        <w:t>lex</w:t>
      </w:r>
      <w:proofErr w:type="spellEnd"/>
      <w:r w:rsidRPr="00217CB7">
        <w:rPr>
          <w:i/>
          <w:lang w:val="en-US"/>
        </w:rPr>
        <w:t xml:space="preserve"> loci </w:t>
      </w:r>
      <w:proofErr w:type="spellStart"/>
      <w:r w:rsidRPr="00217CB7">
        <w:rPr>
          <w:i/>
          <w:lang w:val="en-US"/>
        </w:rPr>
        <w:t>delicti</w:t>
      </w:r>
      <w:proofErr w:type="spellEnd"/>
      <w:r w:rsidRPr="00217CB7">
        <w:rPr>
          <w:i/>
          <w:lang w:val="en-US"/>
        </w:rPr>
        <w:t xml:space="preserve"> </w:t>
      </w:r>
      <w:r w:rsidRPr="00217CB7">
        <w:rPr>
          <w:lang w:val="en-US"/>
        </w:rPr>
        <w:t xml:space="preserve">rule, according to which the applicable law is that of the place where the tort occurred, ought to be abandoned in </w:t>
      </w:r>
      <w:proofErr w:type="spellStart"/>
      <w:r w:rsidRPr="00217CB7">
        <w:rPr>
          <w:lang w:val="en-US"/>
        </w:rPr>
        <w:t>favour</w:t>
      </w:r>
      <w:proofErr w:type="spellEnd"/>
      <w:r w:rsidRPr="00217CB7">
        <w:rPr>
          <w:lang w:val="en-US"/>
        </w:rPr>
        <w:t xml:space="preserve"> of an approach based on the location of the most harm to reputation.</w:t>
      </w:r>
      <w:r w:rsidR="0089026E" w:rsidRPr="00217CB7">
        <w:rPr>
          <w:lang w:val="en-US"/>
        </w:rPr>
        <w:t xml:space="preserve"> </w:t>
      </w:r>
      <w:r w:rsidRPr="00217CB7">
        <w:rPr>
          <w:lang w:val="en-US"/>
        </w:rPr>
        <w:t xml:space="preserve">I need not address this issue here as, even under the alternative approach examined in </w:t>
      </w:r>
      <w:proofErr w:type="spellStart"/>
      <w:r w:rsidRPr="00217CB7">
        <w:rPr>
          <w:i/>
          <w:lang w:val="en-US"/>
        </w:rPr>
        <w:t>Éditions</w:t>
      </w:r>
      <w:proofErr w:type="spellEnd"/>
      <w:r w:rsidRPr="00217CB7">
        <w:rPr>
          <w:i/>
          <w:lang w:val="en-US"/>
        </w:rPr>
        <w:t xml:space="preserve"> </w:t>
      </w:r>
      <w:proofErr w:type="spellStart"/>
      <w:r w:rsidRPr="00217CB7">
        <w:rPr>
          <w:i/>
          <w:lang w:val="en-US"/>
        </w:rPr>
        <w:t>Écosociété</w:t>
      </w:r>
      <w:proofErr w:type="spellEnd"/>
      <w:r w:rsidRPr="00217CB7">
        <w:rPr>
          <w:lang w:val="en-US"/>
        </w:rPr>
        <w:t>, the applicable law is that of Ontario.</w:t>
      </w:r>
      <w:r w:rsidR="0089026E" w:rsidRPr="00217CB7">
        <w:rPr>
          <w:lang w:val="en-US"/>
        </w:rPr>
        <w:t xml:space="preserve"> </w:t>
      </w:r>
    </w:p>
    <w:p w:rsidR="000D2662" w:rsidRPr="00217CB7" w:rsidRDefault="000D2662" w:rsidP="000D2662">
      <w:pPr>
        <w:pStyle w:val="ParaNoNdepar-AltN"/>
        <w:rPr>
          <w:lang w:val="en-US"/>
        </w:rPr>
      </w:pPr>
      <w:r w:rsidRPr="00217CB7">
        <w:rPr>
          <w:lang w:val="en-US"/>
        </w:rPr>
        <w:lastRenderedPageBreak/>
        <w:t>Indeed, this case is somewhat unique in that Lord Black has undertaken not to bring any libel action in any other jurisdiction, and has limited his claim to damages to his reputation in Ontario.</w:t>
      </w:r>
      <w:r w:rsidR="0089026E" w:rsidRPr="00217CB7">
        <w:rPr>
          <w:lang w:val="en-US"/>
        </w:rPr>
        <w:t xml:space="preserve"> </w:t>
      </w:r>
      <w:r w:rsidRPr="00217CB7">
        <w:rPr>
          <w:lang w:val="en-US"/>
        </w:rPr>
        <w:t>As a result, only harm resulting from publication in Ontario need be considered.</w:t>
      </w:r>
      <w:r w:rsidR="0089026E" w:rsidRPr="00217CB7">
        <w:rPr>
          <w:lang w:val="en-US"/>
        </w:rPr>
        <w:t xml:space="preserve"> </w:t>
      </w:r>
      <w:r w:rsidRPr="00217CB7">
        <w:rPr>
          <w:lang w:val="en-US"/>
        </w:rPr>
        <w:t>The evidence establishing Lord Black</w:t>
      </w:r>
      <w:r w:rsidR="00621B7F" w:rsidRPr="00217CB7">
        <w:rPr>
          <w:lang w:val="en-US"/>
        </w:rPr>
        <w:t>’</w:t>
      </w:r>
      <w:r w:rsidRPr="00217CB7">
        <w:rPr>
          <w:lang w:val="en-US"/>
        </w:rPr>
        <w:t>s reputation in Ontario is significant.</w:t>
      </w:r>
      <w:r w:rsidR="0089026E" w:rsidRPr="00217CB7">
        <w:rPr>
          <w:lang w:val="en-US"/>
        </w:rPr>
        <w:t xml:space="preserve"> </w:t>
      </w:r>
      <w:r w:rsidRPr="00217CB7">
        <w:rPr>
          <w:lang w:val="en-US"/>
        </w:rPr>
        <w:t>As the motion judge found, while Lord Black is no longer ordinarily resident in Ontario, he spent most of his adult life in Ontario, first established his reputation as a businessman in Ontario, is a member of the Order of Canada, the Canadian Business Hall of Fame and the Canadian Press Hall of Fame, and is the subject of five books written by Toronto-area authors.</w:t>
      </w:r>
      <w:r w:rsidR="0089026E" w:rsidRPr="00217CB7">
        <w:rPr>
          <w:lang w:val="en-US"/>
        </w:rPr>
        <w:t xml:space="preserve"> </w:t>
      </w:r>
      <w:r w:rsidRPr="00217CB7">
        <w:rPr>
          <w:lang w:val="en-US"/>
        </w:rPr>
        <w:t>Lord Black</w:t>
      </w:r>
      <w:r w:rsidR="00621B7F" w:rsidRPr="00217CB7">
        <w:rPr>
          <w:lang w:val="en-US"/>
        </w:rPr>
        <w:t>’</w:t>
      </w:r>
      <w:r w:rsidRPr="00217CB7">
        <w:rPr>
          <w:lang w:val="en-US"/>
        </w:rPr>
        <w:t>s close family also lives in Ontario.</w:t>
      </w:r>
      <w:r w:rsidR="0089026E" w:rsidRPr="00217CB7">
        <w:rPr>
          <w:lang w:val="en-US"/>
        </w:rPr>
        <w:t xml:space="preserve"> </w:t>
      </w:r>
      <w:r w:rsidRPr="00217CB7">
        <w:rPr>
          <w:lang w:val="en-US"/>
        </w:rPr>
        <w:t>Lord Black</w:t>
      </w:r>
      <w:r w:rsidR="00621B7F" w:rsidRPr="00217CB7">
        <w:rPr>
          <w:lang w:val="en-US"/>
        </w:rPr>
        <w:t>’</w:t>
      </w:r>
      <w:r w:rsidRPr="00217CB7">
        <w:rPr>
          <w:lang w:val="en-US"/>
        </w:rPr>
        <w:t xml:space="preserve">s undertaking and the evidence of his reputation in Ontario therefore suggest that, under the </w:t>
      </w:r>
      <w:r w:rsidR="0089026E" w:rsidRPr="00217CB7">
        <w:rPr>
          <w:lang w:val="en-US"/>
        </w:rPr>
        <w:t>“</w:t>
      </w:r>
      <w:r w:rsidRPr="00217CB7">
        <w:rPr>
          <w:lang w:val="en-US"/>
        </w:rPr>
        <w:t>most substantial harm to reputation</w:t>
      </w:r>
      <w:r w:rsidR="0089026E" w:rsidRPr="00217CB7">
        <w:rPr>
          <w:lang w:val="en-US"/>
        </w:rPr>
        <w:t>”</w:t>
      </w:r>
      <w:r w:rsidRPr="00217CB7">
        <w:rPr>
          <w:lang w:val="en-US"/>
        </w:rPr>
        <w:t xml:space="preserve"> approach discussed in </w:t>
      </w:r>
      <w:proofErr w:type="spellStart"/>
      <w:r w:rsidRPr="00217CB7">
        <w:rPr>
          <w:rFonts w:cs="Times New Roman"/>
          <w:i/>
          <w:lang w:val="en-US"/>
        </w:rPr>
        <w:t>É</w:t>
      </w:r>
      <w:r w:rsidRPr="00217CB7">
        <w:rPr>
          <w:i/>
          <w:lang w:val="en-US"/>
        </w:rPr>
        <w:t>ditions</w:t>
      </w:r>
      <w:proofErr w:type="spellEnd"/>
      <w:r w:rsidRPr="00217CB7">
        <w:rPr>
          <w:i/>
          <w:lang w:val="en-US"/>
        </w:rPr>
        <w:t xml:space="preserve"> </w:t>
      </w:r>
      <w:proofErr w:type="spellStart"/>
      <w:r w:rsidRPr="00217CB7">
        <w:rPr>
          <w:rFonts w:cs="Times New Roman"/>
          <w:i/>
          <w:lang w:val="en-US"/>
        </w:rPr>
        <w:t>Écosociété</w:t>
      </w:r>
      <w:proofErr w:type="spellEnd"/>
      <w:r w:rsidRPr="00217CB7">
        <w:rPr>
          <w:lang w:val="en-US"/>
        </w:rPr>
        <w:t>, Ontario law should be applied to the libel actions.</w:t>
      </w:r>
      <w:r w:rsidR="0089026E" w:rsidRPr="00217CB7">
        <w:rPr>
          <w:lang w:val="en-US"/>
        </w:rPr>
        <w:t xml:space="preserve"> </w:t>
      </w:r>
      <w:r w:rsidRPr="00217CB7">
        <w:rPr>
          <w:lang w:val="en-US"/>
        </w:rPr>
        <w:t xml:space="preserve">Alternatively, as the alleged tort of defamation was committed in Ontario, under </w:t>
      </w:r>
      <w:proofErr w:type="spellStart"/>
      <w:r w:rsidRPr="00217CB7">
        <w:rPr>
          <w:i/>
          <w:lang w:val="en-US"/>
        </w:rPr>
        <w:t>lex</w:t>
      </w:r>
      <w:proofErr w:type="spellEnd"/>
      <w:r w:rsidRPr="00217CB7">
        <w:rPr>
          <w:i/>
          <w:lang w:val="en-US"/>
        </w:rPr>
        <w:t xml:space="preserve"> loci </w:t>
      </w:r>
      <w:proofErr w:type="spellStart"/>
      <w:r w:rsidRPr="00217CB7">
        <w:rPr>
          <w:i/>
          <w:lang w:val="en-US"/>
        </w:rPr>
        <w:t>delicti</w:t>
      </w:r>
      <w:proofErr w:type="spellEnd"/>
      <w:r w:rsidRPr="00217CB7">
        <w:rPr>
          <w:lang w:val="en-US"/>
        </w:rPr>
        <w:t>, Ontario law would also apply.</w:t>
      </w:r>
      <w:r w:rsidR="0089026E" w:rsidRPr="00217CB7">
        <w:rPr>
          <w:lang w:val="en-US"/>
        </w:rPr>
        <w:t xml:space="preserve"> </w:t>
      </w:r>
      <w:r w:rsidRPr="00217CB7">
        <w:rPr>
          <w:lang w:val="en-US"/>
        </w:rPr>
        <w:t>In the circumstances, the applicable law factor supports proceedings in Ontario.</w:t>
      </w:r>
    </w:p>
    <w:p w:rsidR="000D2662" w:rsidRPr="00217CB7" w:rsidRDefault="000D2662" w:rsidP="00727711">
      <w:pPr>
        <w:pStyle w:val="TitleTitre-AltT"/>
        <w:tabs>
          <w:tab w:val="clear" w:pos="360"/>
          <w:tab w:val="left" w:pos="1170"/>
          <w:tab w:val="left" w:pos="1800"/>
        </w:tabs>
        <w:ind w:left="1800" w:hanging="1800"/>
        <w:rPr>
          <w:u w:val="single"/>
          <w:lang w:val="en-US"/>
        </w:rPr>
      </w:pPr>
      <w:r w:rsidRPr="00217CB7">
        <w:rPr>
          <w:lang w:val="en-US"/>
        </w:rPr>
        <w:tab/>
        <w:t>(3)</w:t>
      </w:r>
      <w:r w:rsidRPr="00217CB7">
        <w:rPr>
          <w:lang w:val="en-US"/>
        </w:rPr>
        <w:tab/>
      </w:r>
      <w:r w:rsidRPr="00217CB7">
        <w:rPr>
          <w:u w:val="single"/>
          <w:lang w:val="en-US"/>
        </w:rPr>
        <w:t>Avoidance of a Multiplicity of Proceedings and Conflicting Decisions</w:t>
      </w:r>
      <w:r w:rsidR="00556C9F" w:rsidRPr="00217CB7">
        <w:rPr>
          <w:u w:val="single"/>
          <w:lang w:val="en-US"/>
        </w:rPr>
        <w:t xml:space="preserve"> </w:t>
      </w:r>
    </w:p>
    <w:p w:rsidR="000D2662" w:rsidRPr="00217CB7" w:rsidRDefault="000D2662" w:rsidP="000D2662">
      <w:pPr>
        <w:pStyle w:val="ParaNoNdepar-AltN"/>
        <w:rPr>
          <w:lang w:val="en-US"/>
        </w:rPr>
      </w:pPr>
      <w:r w:rsidRPr="00217CB7">
        <w:rPr>
          <w:lang w:val="en-US"/>
        </w:rPr>
        <w:t>The Delaware</w:t>
      </w:r>
      <w:r w:rsidR="00727711" w:rsidRPr="00217CB7">
        <w:rPr>
          <w:lang w:val="en-US"/>
        </w:rPr>
        <w:t xml:space="preserve"> and Illinois</w:t>
      </w:r>
      <w:r w:rsidRPr="00217CB7">
        <w:rPr>
          <w:lang w:val="en-US"/>
        </w:rPr>
        <w:t xml:space="preserve"> civil actions raise concerns about a multiplicity of legal proceedings.</w:t>
      </w:r>
      <w:r w:rsidR="0089026E" w:rsidRPr="00217CB7">
        <w:rPr>
          <w:lang w:val="en-US"/>
        </w:rPr>
        <w:t xml:space="preserve"> </w:t>
      </w:r>
      <w:r w:rsidRPr="00217CB7">
        <w:rPr>
          <w:lang w:val="en-US"/>
        </w:rPr>
        <w:t>The motion judge accepted that neither of those actions involves a libel claim.</w:t>
      </w:r>
      <w:r w:rsidR="0089026E" w:rsidRPr="00217CB7">
        <w:rPr>
          <w:lang w:val="en-US"/>
        </w:rPr>
        <w:t xml:space="preserve"> </w:t>
      </w:r>
      <w:r w:rsidRPr="00217CB7">
        <w:rPr>
          <w:lang w:val="en-US"/>
        </w:rPr>
        <w:t>He also accepted, however, that the focus of the trial of the libel actions will be the truth of what was said in the allegedly defamatory statements, which would also appear to be the very substance of the Delaware and Illinois civil actions.</w:t>
      </w:r>
      <w:r w:rsidR="0089026E" w:rsidRPr="00217CB7">
        <w:rPr>
          <w:lang w:val="en-US"/>
        </w:rPr>
        <w:t xml:space="preserve"> </w:t>
      </w:r>
      <w:r w:rsidRPr="00217CB7">
        <w:rPr>
          <w:lang w:val="en-US"/>
        </w:rPr>
        <w:lastRenderedPageBreak/>
        <w:t>Many of the same transactions that will need to be proven through intensive litigation in the course of the Delaware and Illinois civil actions will likely also need to be proven in the libel actions.</w:t>
      </w:r>
      <w:r w:rsidR="0089026E" w:rsidRPr="00217CB7">
        <w:rPr>
          <w:lang w:val="en-US"/>
        </w:rPr>
        <w:t xml:space="preserve"> </w:t>
      </w:r>
      <w:r w:rsidRPr="00217CB7">
        <w:rPr>
          <w:lang w:val="en-US"/>
        </w:rPr>
        <w:t>The differing form of these actions should not be emphasized at the expense of their substance.</w:t>
      </w:r>
      <w:r w:rsidR="0089026E" w:rsidRPr="00217CB7">
        <w:rPr>
          <w:lang w:val="en-US"/>
        </w:rPr>
        <w:t xml:space="preserve"> </w:t>
      </w:r>
      <w:r w:rsidRPr="00217CB7">
        <w:rPr>
          <w:lang w:val="en-US"/>
        </w:rPr>
        <w:t xml:space="preserve">This suggests that there may be a risk of conflicting judgments, a consideration that </w:t>
      </w:r>
      <w:proofErr w:type="spellStart"/>
      <w:r w:rsidRPr="00217CB7">
        <w:rPr>
          <w:lang w:val="en-US"/>
        </w:rPr>
        <w:t>favours</w:t>
      </w:r>
      <w:proofErr w:type="spellEnd"/>
      <w:r w:rsidRPr="00217CB7">
        <w:rPr>
          <w:lang w:val="en-US"/>
        </w:rPr>
        <w:t xml:space="preserve"> the Illinois court as a more appropriate forum.</w:t>
      </w:r>
    </w:p>
    <w:p w:rsidR="000D2662" w:rsidRPr="00217CB7" w:rsidRDefault="00727711" w:rsidP="00727711">
      <w:pPr>
        <w:pStyle w:val="TitleTitre-AltT"/>
        <w:tabs>
          <w:tab w:val="clear" w:pos="360"/>
          <w:tab w:val="left" w:pos="1170"/>
          <w:tab w:val="left" w:pos="1800"/>
        </w:tabs>
        <w:ind w:left="1800" w:hanging="1800"/>
        <w:rPr>
          <w:lang w:val="en-US"/>
        </w:rPr>
      </w:pPr>
      <w:r w:rsidRPr="00217CB7">
        <w:rPr>
          <w:lang w:val="en-US"/>
        </w:rPr>
        <w:tab/>
      </w:r>
      <w:r w:rsidR="000D2662" w:rsidRPr="00217CB7">
        <w:rPr>
          <w:lang w:val="en-US"/>
        </w:rPr>
        <w:t>(4)</w:t>
      </w:r>
      <w:r w:rsidR="000D2662" w:rsidRPr="00217CB7">
        <w:rPr>
          <w:lang w:val="en-US"/>
        </w:rPr>
        <w:tab/>
      </w:r>
      <w:r w:rsidR="000D2662" w:rsidRPr="00217CB7">
        <w:rPr>
          <w:u w:val="single"/>
          <w:lang w:val="en-US"/>
        </w:rPr>
        <w:t>Enforcement of Judgment</w:t>
      </w:r>
      <w:r w:rsidR="00556C9F" w:rsidRPr="00217CB7">
        <w:rPr>
          <w:lang w:val="en-US"/>
        </w:rPr>
        <w:t xml:space="preserve"> </w:t>
      </w:r>
    </w:p>
    <w:p w:rsidR="000D2662" w:rsidRPr="00217CB7" w:rsidRDefault="000D2662" w:rsidP="000D2662">
      <w:pPr>
        <w:pStyle w:val="ParaNoNdepar-AltN"/>
        <w:rPr>
          <w:u w:val="single"/>
          <w:lang w:val="en-US"/>
        </w:rPr>
      </w:pPr>
      <w:r w:rsidRPr="00217CB7">
        <w:rPr>
          <w:lang w:val="en-US"/>
        </w:rPr>
        <w:t>Lord Black appears to concede that an Ontario judgment would be unenforceable in the U.S.</w:t>
      </w:r>
      <w:r w:rsidR="0089026E" w:rsidRPr="00217CB7">
        <w:rPr>
          <w:lang w:val="en-US"/>
        </w:rPr>
        <w:t xml:space="preserve"> </w:t>
      </w:r>
      <w:r w:rsidRPr="00217CB7">
        <w:rPr>
          <w:lang w:val="en-US"/>
        </w:rPr>
        <w:t xml:space="preserve">He contends, however, that this factor should have no bearing on the </w:t>
      </w:r>
      <w:r w:rsidRPr="00217CB7">
        <w:rPr>
          <w:i/>
          <w:lang w:val="en-US"/>
        </w:rPr>
        <w:t xml:space="preserve">forum non </w:t>
      </w:r>
      <w:proofErr w:type="spellStart"/>
      <w:r w:rsidRPr="00217CB7">
        <w:rPr>
          <w:i/>
          <w:lang w:val="en-US"/>
        </w:rPr>
        <w:t>conveniens</w:t>
      </w:r>
      <w:proofErr w:type="spellEnd"/>
      <w:r w:rsidRPr="00217CB7">
        <w:rPr>
          <w:lang w:val="en-US"/>
        </w:rPr>
        <w:t xml:space="preserve"> analysis because the lack of an actual malice requirement in Canadian defamation law affords him a legitimate juridical advantage.</w:t>
      </w:r>
      <w:r w:rsidR="0089026E" w:rsidRPr="00217CB7">
        <w:rPr>
          <w:lang w:val="en-US"/>
        </w:rPr>
        <w:t xml:space="preserve"> </w:t>
      </w:r>
      <w:r w:rsidRPr="00217CB7">
        <w:rPr>
          <w:lang w:val="en-US"/>
        </w:rPr>
        <w:t xml:space="preserve">As discussed above, juridical advantage should not weigh too heavily in the </w:t>
      </w:r>
      <w:r w:rsidRPr="00217CB7">
        <w:rPr>
          <w:i/>
          <w:lang w:val="en-US"/>
        </w:rPr>
        <w:t xml:space="preserve">forum non </w:t>
      </w:r>
      <w:proofErr w:type="spellStart"/>
      <w:r w:rsidRPr="00217CB7">
        <w:rPr>
          <w:i/>
          <w:lang w:val="en-US"/>
        </w:rPr>
        <w:t>conveniens</w:t>
      </w:r>
      <w:proofErr w:type="spellEnd"/>
      <w:r w:rsidRPr="00217CB7">
        <w:rPr>
          <w:lang w:val="en-US"/>
        </w:rPr>
        <w:t xml:space="preserve"> analysis.</w:t>
      </w:r>
      <w:r w:rsidR="0089026E" w:rsidRPr="00217CB7">
        <w:rPr>
          <w:lang w:val="en-US"/>
        </w:rPr>
        <w:t xml:space="preserve"> </w:t>
      </w:r>
      <w:r w:rsidRPr="00217CB7">
        <w:rPr>
          <w:lang w:val="en-US"/>
        </w:rPr>
        <w:t>This caution is especially significant in a case such as this, where the American actual malice requirement reflects a deeply rooted and distinctive legal tradition that this Court has declined to adopt (</w:t>
      </w:r>
      <w:r w:rsidRPr="00217CB7">
        <w:rPr>
          <w:i/>
          <w:lang w:val="en-US"/>
        </w:rPr>
        <w:t>Hill v. Church of Scientology of Toronto</w:t>
      </w:r>
      <w:r w:rsidRPr="00217CB7">
        <w:rPr>
          <w:lang w:val="en-US"/>
        </w:rPr>
        <w:t xml:space="preserve">, [1995] 2 S.C.R. 1130, at </w:t>
      </w:r>
      <w:proofErr w:type="spellStart"/>
      <w:r w:rsidRPr="00217CB7">
        <w:rPr>
          <w:lang w:val="en-US"/>
        </w:rPr>
        <w:t>para</w:t>
      </w:r>
      <w:proofErr w:type="spellEnd"/>
      <w:r w:rsidRPr="00217CB7">
        <w:rPr>
          <w:lang w:val="en-US"/>
        </w:rPr>
        <w:t>. 137), but which comity requires we respect in foreign jurisdictions.</w:t>
      </w:r>
      <w:r w:rsidR="0089026E" w:rsidRPr="00217CB7">
        <w:rPr>
          <w:lang w:val="en-US"/>
        </w:rPr>
        <w:t xml:space="preserve"> </w:t>
      </w:r>
      <w:r w:rsidRPr="00217CB7">
        <w:rPr>
          <w:lang w:val="en-US"/>
        </w:rPr>
        <w:t>Moreover, even if this advantage to Lord Black were taken into account, it would have to be balanced against the corresponding and very significant juridical disadvantage that the appellants would face if the trial were to proceed in Ontario.</w:t>
      </w:r>
      <w:r w:rsidR="0089026E" w:rsidRPr="00217CB7">
        <w:rPr>
          <w:lang w:val="en-US"/>
        </w:rPr>
        <w:t xml:space="preserve"> </w:t>
      </w:r>
      <w:r w:rsidRPr="00217CB7">
        <w:rPr>
          <w:lang w:val="en-US"/>
        </w:rPr>
        <w:t xml:space="preserve">As a result, the fact remains that an Ontario judgment would be enforceable against only one of the </w:t>
      </w:r>
      <w:r w:rsidR="00230427">
        <w:rPr>
          <w:lang w:val="en-US"/>
        </w:rPr>
        <w:t>10</w:t>
      </w:r>
      <w:r w:rsidRPr="00217CB7">
        <w:rPr>
          <w:lang w:val="en-US"/>
        </w:rPr>
        <w:t xml:space="preserve"> appellants.</w:t>
      </w:r>
      <w:r w:rsidR="0089026E" w:rsidRPr="00217CB7">
        <w:rPr>
          <w:lang w:val="en-US"/>
        </w:rPr>
        <w:t xml:space="preserve"> </w:t>
      </w:r>
      <w:r w:rsidRPr="00217CB7">
        <w:rPr>
          <w:lang w:val="en-US"/>
        </w:rPr>
        <w:t xml:space="preserve">On balance, this is an indication that an Illinois </w:t>
      </w:r>
      <w:r w:rsidRPr="00217CB7">
        <w:rPr>
          <w:lang w:val="en-US"/>
        </w:rPr>
        <w:lastRenderedPageBreak/>
        <w:t>court may be a more appropriate forum for the actions to be heard in than an Ontario court.</w:t>
      </w:r>
      <w:r w:rsidR="0089026E" w:rsidRPr="00217CB7">
        <w:rPr>
          <w:lang w:val="en-US"/>
        </w:rPr>
        <w:t xml:space="preserve"> </w:t>
      </w:r>
    </w:p>
    <w:p w:rsidR="000D2662" w:rsidRPr="00217CB7" w:rsidRDefault="000D2662" w:rsidP="00727711">
      <w:pPr>
        <w:pStyle w:val="TitleTitre-AltT"/>
        <w:tabs>
          <w:tab w:val="clear" w:pos="360"/>
          <w:tab w:val="left" w:pos="1170"/>
          <w:tab w:val="left" w:pos="1800"/>
        </w:tabs>
        <w:ind w:left="1800" w:hanging="1800"/>
        <w:rPr>
          <w:u w:val="single"/>
          <w:lang w:val="en-US"/>
        </w:rPr>
      </w:pPr>
      <w:r w:rsidRPr="00217CB7">
        <w:rPr>
          <w:lang w:val="en-US"/>
        </w:rPr>
        <w:tab/>
        <w:t>(5)</w:t>
      </w:r>
      <w:r w:rsidRPr="00217CB7">
        <w:rPr>
          <w:lang w:val="en-US"/>
        </w:rPr>
        <w:tab/>
      </w:r>
      <w:r w:rsidRPr="00217CB7">
        <w:rPr>
          <w:u w:val="single"/>
          <w:lang w:val="en-US"/>
        </w:rPr>
        <w:t>Fairness to the Parties</w:t>
      </w:r>
      <w:r w:rsidR="00556C9F" w:rsidRPr="00217CB7">
        <w:rPr>
          <w:lang w:val="en-US"/>
        </w:rPr>
        <w:t xml:space="preserve"> </w:t>
      </w:r>
    </w:p>
    <w:p w:rsidR="000D2662" w:rsidRPr="00217CB7" w:rsidRDefault="000D2662" w:rsidP="000D2662">
      <w:pPr>
        <w:pStyle w:val="ParaNoNdepar-AltN"/>
        <w:rPr>
          <w:lang w:val="en-US"/>
        </w:rPr>
      </w:pPr>
      <w:r w:rsidRPr="00217CB7">
        <w:rPr>
          <w:lang w:val="en-US"/>
        </w:rPr>
        <w:t xml:space="preserve">This Court observed in </w:t>
      </w:r>
      <w:r w:rsidRPr="00217CB7">
        <w:rPr>
          <w:i/>
          <w:lang w:val="en-US"/>
        </w:rPr>
        <w:t>Club Resorts</w:t>
      </w:r>
      <w:r w:rsidRPr="00217CB7">
        <w:rPr>
          <w:lang w:val="en-US"/>
        </w:rPr>
        <w:t xml:space="preserve"> that in addition to seeking to assure the efficacy of the litigation process, the doctrine of </w:t>
      </w:r>
      <w:r w:rsidRPr="00217CB7">
        <w:rPr>
          <w:i/>
          <w:lang w:val="en-US"/>
        </w:rPr>
        <w:t xml:space="preserve">forum non </w:t>
      </w:r>
      <w:proofErr w:type="spellStart"/>
      <w:r w:rsidRPr="00217CB7">
        <w:rPr>
          <w:i/>
          <w:lang w:val="en-US"/>
        </w:rPr>
        <w:t>conveniens</w:t>
      </w:r>
      <w:proofErr w:type="spellEnd"/>
      <w:r w:rsidRPr="00217CB7">
        <w:rPr>
          <w:lang w:val="en-US"/>
        </w:rPr>
        <w:t xml:space="preserve"> also seeks to assure fairness to both parties.</w:t>
      </w:r>
      <w:r w:rsidR="0089026E" w:rsidRPr="00217CB7">
        <w:rPr>
          <w:lang w:val="en-US"/>
        </w:rPr>
        <w:t xml:space="preserve"> </w:t>
      </w:r>
      <w:r w:rsidRPr="00217CB7">
        <w:rPr>
          <w:lang w:val="en-US"/>
        </w:rPr>
        <w:t xml:space="preserve">The courts below agreed that the balance of fairness </w:t>
      </w:r>
      <w:proofErr w:type="spellStart"/>
      <w:r w:rsidRPr="00217CB7">
        <w:rPr>
          <w:lang w:val="en-US"/>
        </w:rPr>
        <w:t>favours</w:t>
      </w:r>
      <w:proofErr w:type="spellEnd"/>
      <w:r w:rsidRPr="00217CB7">
        <w:rPr>
          <w:lang w:val="en-US"/>
        </w:rPr>
        <w:t xml:space="preserve"> litigation in Ontario because it would be unfair to prevent Lord Black from suing in the community in which his reputation was established, whereas there would be no unfairness to the appellants if the actions were to proceed in Ontario because it would have been reasonably foreseeable to them that posting the impugned statements on the internet and targeting the Canadian media would cause damage to Lord Black</w:t>
      </w:r>
      <w:r w:rsidR="00621B7F" w:rsidRPr="00217CB7">
        <w:rPr>
          <w:lang w:val="en-US"/>
        </w:rPr>
        <w:t>’</w:t>
      </w:r>
      <w:r w:rsidRPr="00217CB7">
        <w:rPr>
          <w:lang w:val="en-US"/>
        </w:rPr>
        <w:t>s reputation in Ontario.</w:t>
      </w:r>
      <w:r w:rsidR="0089026E" w:rsidRPr="00217CB7">
        <w:rPr>
          <w:lang w:val="en-US"/>
        </w:rPr>
        <w:t xml:space="preserve"> </w:t>
      </w:r>
      <w:r w:rsidRPr="00217CB7">
        <w:rPr>
          <w:lang w:val="en-US"/>
        </w:rPr>
        <w:t>I would agree, although I would also emphasize that the question of whether a targeting approach should be adopted in Canadian law does not arise on this appeal.</w:t>
      </w:r>
      <w:r w:rsidR="0089026E" w:rsidRPr="00217CB7">
        <w:rPr>
          <w:lang w:val="en-US"/>
        </w:rPr>
        <w:t xml:space="preserve"> </w:t>
      </w:r>
      <w:r w:rsidRPr="00217CB7">
        <w:rPr>
          <w:lang w:val="en-US"/>
        </w:rPr>
        <w:t>As discussed above, the importance of permitting a plaintiff to sue for defamation in the locality where he enjoys his reputation has long been recognized in Canadian defamation law.</w:t>
      </w:r>
      <w:r w:rsidR="0089026E" w:rsidRPr="00217CB7">
        <w:rPr>
          <w:lang w:val="en-US"/>
        </w:rPr>
        <w:t xml:space="preserve"> </w:t>
      </w:r>
      <w:r w:rsidRPr="00217CB7">
        <w:rPr>
          <w:lang w:val="en-US"/>
        </w:rPr>
        <w:t xml:space="preserve">Given the importance of his reputation in Ontario, this factor weighs heavily in </w:t>
      </w:r>
      <w:proofErr w:type="spellStart"/>
      <w:r w:rsidRPr="00217CB7">
        <w:rPr>
          <w:lang w:val="en-US"/>
        </w:rPr>
        <w:t>favour</w:t>
      </w:r>
      <w:proofErr w:type="spellEnd"/>
      <w:r w:rsidRPr="00217CB7">
        <w:rPr>
          <w:lang w:val="en-US"/>
        </w:rPr>
        <w:t xml:space="preserve"> of Lord Black.</w:t>
      </w:r>
    </w:p>
    <w:p w:rsidR="000D2662" w:rsidRPr="00217CB7" w:rsidRDefault="000D2662" w:rsidP="00727711">
      <w:pPr>
        <w:pStyle w:val="TitleTitre-AltT"/>
        <w:tabs>
          <w:tab w:val="clear" w:pos="360"/>
          <w:tab w:val="left" w:pos="540"/>
        </w:tabs>
        <w:ind w:left="540" w:hanging="540"/>
        <w:rPr>
          <w:lang w:val="en-US"/>
        </w:rPr>
      </w:pPr>
      <w:r w:rsidRPr="00217CB7">
        <w:rPr>
          <w:lang w:val="en-US"/>
        </w:rPr>
        <w:t>III.</w:t>
      </w:r>
      <w:r w:rsidRPr="00217CB7">
        <w:rPr>
          <w:lang w:val="en-US"/>
        </w:rPr>
        <w:tab/>
      </w:r>
      <w:r w:rsidRPr="00217CB7">
        <w:rPr>
          <w:u w:val="single"/>
          <w:lang w:val="en-US"/>
        </w:rPr>
        <w:t>Conclusion</w:t>
      </w:r>
      <w:r w:rsidR="001845A9" w:rsidRPr="00217CB7">
        <w:rPr>
          <w:lang w:val="en-US"/>
        </w:rPr>
        <w:t xml:space="preserve"> </w:t>
      </w:r>
    </w:p>
    <w:p w:rsidR="000D2662" w:rsidRPr="00217CB7" w:rsidRDefault="000D2662" w:rsidP="000D2662">
      <w:pPr>
        <w:pStyle w:val="ParaNoNdepar-AltN"/>
        <w:rPr>
          <w:lang w:val="en-US"/>
        </w:rPr>
      </w:pPr>
      <w:r w:rsidRPr="00217CB7">
        <w:rPr>
          <w:lang w:val="en-US"/>
        </w:rPr>
        <w:t xml:space="preserve">In the end, some of the factors relevant to the </w:t>
      </w:r>
      <w:r w:rsidRPr="00217CB7">
        <w:rPr>
          <w:i/>
          <w:lang w:val="en-US"/>
        </w:rPr>
        <w:t xml:space="preserve">forum non </w:t>
      </w:r>
      <w:proofErr w:type="spellStart"/>
      <w:r w:rsidRPr="00217CB7">
        <w:rPr>
          <w:i/>
          <w:lang w:val="en-US"/>
        </w:rPr>
        <w:t>conveniens</w:t>
      </w:r>
      <w:proofErr w:type="spellEnd"/>
      <w:r w:rsidRPr="00217CB7">
        <w:rPr>
          <w:i/>
          <w:lang w:val="en-US"/>
        </w:rPr>
        <w:t xml:space="preserve"> </w:t>
      </w:r>
      <w:r w:rsidRPr="00217CB7">
        <w:rPr>
          <w:lang w:val="en-US"/>
        </w:rPr>
        <w:t xml:space="preserve">analysis </w:t>
      </w:r>
      <w:proofErr w:type="spellStart"/>
      <w:r w:rsidRPr="00217CB7">
        <w:rPr>
          <w:lang w:val="en-US"/>
        </w:rPr>
        <w:t>favour</w:t>
      </w:r>
      <w:proofErr w:type="spellEnd"/>
      <w:r w:rsidRPr="00217CB7">
        <w:rPr>
          <w:lang w:val="en-US"/>
        </w:rPr>
        <w:t xml:space="preserve"> the Illinois court, while others </w:t>
      </w:r>
      <w:proofErr w:type="spellStart"/>
      <w:r w:rsidRPr="00217CB7">
        <w:rPr>
          <w:lang w:val="en-US"/>
        </w:rPr>
        <w:t>favour</w:t>
      </w:r>
      <w:proofErr w:type="spellEnd"/>
      <w:r w:rsidRPr="00217CB7">
        <w:rPr>
          <w:lang w:val="en-US"/>
        </w:rPr>
        <w:t xml:space="preserve"> the Ontario court.</w:t>
      </w:r>
      <w:r w:rsidR="0089026E" w:rsidRPr="00217CB7">
        <w:rPr>
          <w:lang w:val="en-US"/>
        </w:rPr>
        <w:t xml:space="preserve"> </w:t>
      </w:r>
      <w:r w:rsidRPr="00217CB7">
        <w:rPr>
          <w:lang w:val="en-US"/>
        </w:rPr>
        <w:t xml:space="preserve">The </w:t>
      </w:r>
      <w:r w:rsidRPr="00217CB7">
        <w:rPr>
          <w:i/>
          <w:lang w:val="en-US"/>
        </w:rPr>
        <w:t xml:space="preserve">forum non </w:t>
      </w:r>
      <w:proofErr w:type="spellStart"/>
      <w:r w:rsidRPr="00217CB7">
        <w:rPr>
          <w:i/>
          <w:lang w:val="en-US"/>
        </w:rPr>
        <w:t>conveniens</w:t>
      </w:r>
      <w:proofErr w:type="spellEnd"/>
      <w:r w:rsidRPr="00217CB7">
        <w:rPr>
          <w:i/>
          <w:lang w:val="en-US"/>
        </w:rPr>
        <w:t xml:space="preserve"> </w:t>
      </w:r>
      <w:r w:rsidRPr="00217CB7">
        <w:rPr>
          <w:lang w:val="en-US"/>
        </w:rPr>
        <w:t xml:space="preserve">analysis does not require that all the factors point to a single forum or </w:t>
      </w:r>
      <w:r w:rsidRPr="00217CB7">
        <w:rPr>
          <w:lang w:val="en-US"/>
        </w:rPr>
        <w:lastRenderedPageBreak/>
        <w:t>involve a simple numerical tallying up of the relevant factors.</w:t>
      </w:r>
      <w:r w:rsidR="0089026E" w:rsidRPr="00217CB7">
        <w:rPr>
          <w:lang w:val="en-US"/>
        </w:rPr>
        <w:t xml:space="preserve"> </w:t>
      </w:r>
      <w:r w:rsidRPr="00217CB7">
        <w:rPr>
          <w:lang w:val="en-US"/>
        </w:rPr>
        <w:t xml:space="preserve">However, it does require that one forum ultimately emerge as </w:t>
      </w:r>
      <w:r w:rsidRPr="00217CB7">
        <w:rPr>
          <w:i/>
          <w:lang w:val="en-US"/>
        </w:rPr>
        <w:t>clearly</w:t>
      </w:r>
      <w:r w:rsidRPr="00217CB7">
        <w:rPr>
          <w:lang w:val="en-US"/>
        </w:rPr>
        <w:t xml:space="preserve"> more appropriate.</w:t>
      </w:r>
      <w:r w:rsidR="0089026E" w:rsidRPr="00217CB7">
        <w:rPr>
          <w:lang w:val="en-US"/>
        </w:rPr>
        <w:t xml:space="preserve"> </w:t>
      </w:r>
      <w:r w:rsidRPr="00217CB7">
        <w:rPr>
          <w:lang w:val="en-US"/>
        </w:rPr>
        <w:t xml:space="preserve">The party raising </w:t>
      </w:r>
      <w:r w:rsidRPr="00217CB7">
        <w:rPr>
          <w:i/>
          <w:lang w:val="en-US"/>
        </w:rPr>
        <w:t xml:space="preserve">forum non </w:t>
      </w:r>
      <w:proofErr w:type="spellStart"/>
      <w:r w:rsidRPr="00217CB7">
        <w:rPr>
          <w:i/>
          <w:lang w:val="en-US"/>
        </w:rPr>
        <w:t>conveniens</w:t>
      </w:r>
      <w:proofErr w:type="spellEnd"/>
      <w:r w:rsidRPr="00217CB7">
        <w:rPr>
          <w:lang w:val="en-US"/>
        </w:rPr>
        <w:t xml:space="preserve"> has the burden of showing that his or her forum is </w:t>
      </w:r>
      <w:r w:rsidRPr="00217CB7">
        <w:rPr>
          <w:i/>
          <w:lang w:val="en-US"/>
        </w:rPr>
        <w:t>clearly</w:t>
      </w:r>
      <w:r w:rsidRPr="00217CB7">
        <w:rPr>
          <w:lang w:val="en-US"/>
        </w:rPr>
        <w:t xml:space="preserve"> more appropriate. Also, the decision not to exercise jurisdiction and to stay an action based on </w:t>
      </w:r>
      <w:r w:rsidRPr="00217CB7">
        <w:rPr>
          <w:i/>
          <w:lang w:val="en-US"/>
        </w:rPr>
        <w:t xml:space="preserve">forum non </w:t>
      </w:r>
      <w:proofErr w:type="spellStart"/>
      <w:r w:rsidRPr="00217CB7">
        <w:rPr>
          <w:i/>
          <w:lang w:val="en-US"/>
        </w:rPr>
        <w:t>conveniens</w:t>
      </w:r>
      <w:proofErr w:type="spellEnd"/>
      <w:r w:rsidRPr="00217CB7">
        <w:rPr>
          <w:i/>
          <w:lang w:val="en-US"/>
        </w:rPr>
        <w:t xml:space="preserve"> </w:t>
      </w:r>
      <w:r w:rsidRPr="00217CB7">
        <w:rPr>
          <w:lang w:val="en-US"/>
        </w:rPr>
        <w:t>is a discretionary one.</w:t>
      </w:r>
      <w:r w:rsidR="0089026E" w:rsidRPr="00217CB7">
        <w:rPr>
          <w:lang w:val="en-US"/>
        </w:rPr>
        <w:t xml:space="preserve"> </w:t>
      </w:r>
      <w:r w:rsidRPr="00217CB7">
        <w:rPr>
          <w:lang w:val="en-US"/>
        </w:rPr>
        <w:t xml:space="preserve">As stated in </w:t>
      </w:r>
      <w:r w:rsidRPr="00217CB7">
        <w:rPr>
          <w:i/>
          <w:lang w:val="en-US"/>
        </w:rPr>
        <w:t>Club Resorts</w:t>
      </w:r>
      <w:r w:rsidRPr="00217CB7">
        <w:rPr>
          <w:lang w:val="en-US"/>
        </w:rPr>
        <w:t xml:space="preserve">, the discretion exercised by a motion judge in the </w:t>
      </w:r>
      <w:r w:rsidRPr="00217CB7">
        <w:rPr>
          <w:i/>
          <w:lang w:val="en-US"/>
        </w:rPr>
        <w:t xml:space="preserve">forum non </w:t>
      </w:r>
      <w:proofErr w:type="spellStart"/>
      <w:r w:rsidRPr="00217CB7">
        <w:rPr>
          <w:i/>
          <w:lang w:val="en-US"/>
        </w:rPr>
        <w:t>conveniens</w:t>
      </w:r>
      <w:proofErr w:type="spellEnd"/>
      <w:r w:rsidRPr="00217CB7">
        <w:rPr>
          <w:lang w:val="en-US"/>
        </w:rPr>
        <w:t xml:space="preserve"> analysis </w:t>
      </w:r>
      <w:r w:rsidR="0089026E" w:rsidRPr="00217CB7">
        <w:rPr>
          <w:lang w:val="en-US"/>
        </w:rPr>
        <w:t>“</w:t>
      </w:r>
      <w:r w:rsidRPr="00217CB7">
        <w:t>will be entitled to deference from higher courts, absent an error of law or a clear and serious error in the determination of relevant facts</w:t>
      </w:r>
      <w:r w:rsidR="0089026E" w:rsidRPr="00217CB7">
        <w:t>”</w:t>
      </w:r>
      <w:r w:rsidRPr="00217CB7">
        <w:t xml:space="preserve"> (</w:t>
      </w:r>
      <w:proofErr w:type="spellStart"/>
      <w:r w:rsidRPr="00217CB7">
        <w:t>para</w:t>
      </w:r>
      <w:proofErr w:type="spellEnd"/>
      <w:r w:rsidRPr="00217CB7">
        <w:t>. 112).</w:t>
      </w:r>
      <w:r w:rsidR="0089026E" w:rsidRPr="00217CB7">
        <w:t xml:space="preserve"> </w:t>
      </w:r>
      <w:r w:rsidRPr="00217CB7">
        <w:t>In the absence of such an error, it is not the role of this Court to interfere with the motion judge</w:t>
      </w:r>
      <w:r w:rsidR="00621B7F" w:rsidRPr="00217CB7">
        <w:t>’</w:t>
      </w:r>
      <w:r w:rsidRPr="00217CB7">
        <w:t xml:space="preserve">s exercise of his discretion. </w:t>
      </w:r>
    </w:p>
    <w:p w:rsidR="000D2662" w:rsidRPr="00217CB7" w:rsidRDefault="000D2662" w:rsidP="000D2662">
      <w:pPr>
        <w:pStyle w:val="ParaNoNdepar-AltN"/>
        <w:rPr>
          <w:lang w:val="en-US"/>
        </w:rPr>
      </w:pPr>
      <w:r w:rsidRPr="00217CB7">
        <w:t>Considering the combined effect of the relevant facts, and in particular the weight of the alleged harm to Lord Black</w:t>
      </w:r>
      <w:r w:rsidR="00621B7F" w:rsidRPr="00217CB7">
        <w:t>’</w:t>
      </w:r>
      <w:r w:rsidRPr="00217CB7">
        <w:t>s reputation in Ontario, and giving due deference to the motion judge</w:t>
      </w:r>
      <w:r w:rsidR="00621B7F" w:rsidRPr="00217CB7">
        <w:t>’</w:t>
      </w:r>
      <w:r w:rsidRPr="00217CB7">
        <w:t>s decision, as I must, I conclude that an Illinois court does not emerge as a clearly more appropriate forum than an Ontario court for the trial of the libel actions brought against the appellants by Lord Black.</w:t>
      </w:r>
      <w:r w:rsidR="0089026E" w:rsidRPr="00217CB7">
        <w:t xml:space="preserve"> </w:t>
      </w:r>
      <w:r w:rsidRPr="00217CB7">
        <w:t xml:space="preserve">Accordingly, I would dismiss the appeal with costs. </w:t>
      </w:r>
    </w:p>
    <w:p w:rsidR="009B57B3" w:rsidRPr="00217CB7" w:rsidRDefault="00074FF7" w:rsidP="006C75D5">
      <w:pPr>
        <w:pStyle w:val="SCCNormalDoubleSpacing"/>
        <w:widowControl w:val="0"/>
        <w:spacing w:after="480"/>
        <w:rPr>
          <w:i/>
        </w:rPr>
      </w:pPr>
      <w:r w:rsidRPr="00217CB7">
        <w:tab/>
      </w:r>
      <w:r w:rsidR="00656313" w:rsidRPr="00217CB7">
        <w:rPr>
          <w:i/>
        </w:rPr>
        <w:t>Appeal</w:t>
      </w:r>
      <w:r w:rsidRPr="00217CB7">
        <w:rPr>
          <w:i/>
        </w:rPr>
        <w:t xml:space="preserve"> </w:t>
      </w:r>
      <w:r w:rsidR="003F18A8" w:rsidRPr="00217CB7">
        <w:rPr>
          <w:i/>
        </w:rPr>
        <w:t xml:space="preserve">dismissed </w:t>
      </w:r>
      <w:r w:rsidRPr="00217CB7">
        <w:rPr>
          <w:i/>
        </w:rPr>
        <w:t>with costs.</w:t>
      </w:r>
    </w:p>
    <w:p w:rsidR="00074FF7" w:rsidRPr="00217CB7" w:rsidRDefault="00074FF7" w:rsidP="00556C9F">
      <w:pPr>
        <w:pStyle w:val="SCCLawFirm"/>
        <w:widowControl w:val="0"/>
        <w:spacing w:after="480"/>
        <w:rPr>
          <w:i w:val="0"/>
        </w:rPr>
      </w:pPr>
      <w:r w:rsidRPr="00217CB7">
        <w:tab/>
        <w:t>Solicitors for the appellants</w:t>
      </w:r>
      <w:r w:rsidR="00E73D9F" w:rsidRPr="00217CB7">
        <w:t xml:space="preserve"> Richard</w:t>
      </w:r>
      <w:r w:rsidR="0089026E" w:rsidRPr="00217CB7">
        <w:rPr>
          <w:i w:val="0"/>
        </w:rPr>
        <w:t xml:space="preserve"> </w:t>
      </w:r>
      <w:r w:rsidR="00E73D9F" w:rsidRPr="00217CB7">
        <w:t>C. Breeden and Richard</w:t>
      </w:r>
      <w:r w:rsidR="0089026E" w:rsidRPr="00217CB7">
        <w:rPr>
          <w:i w:val="0"/>
        </w:rPr>
        <w:t xml:space="preserve"> </w:t>
      </w:r>
      <w:r w:rsidRPr="00217CB7">
        <w:t>C. Breeden &amp; Co.</w:t>
      </w:r>
      <w:r w:rsidR="00E73D9F" w:rsidRPr="00217CB7">
        <w:t>:</w:t>
      </w:r>
      <w:r w:rsidR="0089026E" w:rsidRPr="00217CB7">
        <w:rPr>
          <w:i w:val="0"/>
        </w:rPr>
        <w:t xml:space="preserve"> </w:t>
      </w:r>
      <w:r w:rsidRPr="00217CB7">
        <w:t xml:space="preserve">Blake, </w:t>
      </w:r>
      <w:proofErr w:type="spellStart"/>
      <w:r w:rsidRPr="00217CB7">
        <w:t>Cassels</w:t>
      </w:r>
      <w:proofErr w:type="spellEnd"/>
      <w:r w:rsidRPr="00217CB7">
        <w:t xml:space="preserve"> &amp; </w:t>
      </w:r>
      <w:proofErr w:type="spellStart"/>
      <w:r w:rsidRPr="00217CB7">
        <w:t>Graydon</w:t>
      </w:r>
      <w:proofErr w:type="spellEnd"/>
      <w:r w:rsidRPr="00217CB7">
        <w:t>, Toronto.</w:t>
      </w:r>
    </w:p>
    <w:p w:rsidR="00074FF7" w:rsidRPr="00217CB7" w:rsidRDefault="00074FF7" w:rsidP="006C75D5">
      <w:pPr>
        <w:pStyle w:val="SCCLawFirm"/>
        <w:widowControl w:val="0"/>
        <w:spacing w:after="480"/>
      </w:pPr>
      <w:r w:rsidRPr="00217CB7">
        <w:tab/>
        <w:t>Solicitors for the appellant</w:t>
      </w:r>
      <w:r w:rsidR="00E73D9F" w:rsidRPr="00217CB7">
        <w:t>s Gordon</w:t>
      </w:r>
      <w:r w:rsidR="0089026E" w:rsidRPr="00217CB7">
        <w:t xml:space="preserve"> </w:t>
      </w:r>
      <w:r w:rsidR="00E73D9F" w:rsidRPr="00217CB7">
        <w:t>A. Paris, James</w:t>
      </w:r>
      <w:r w:rsidR="0089026E" w:rsidRPr="00217CB7">
        <w:t xml:space="preserve"> </w:t>
      </w:r>
      <w:r w:rsidR="00E73D9F" w:rsidRPr="00217CB7">
        <w:t xml:space="preserve">R. Thompson, </w:t>
      </w:r>
      <w:r w:rsidR="00E73D9F" w:rsidRPr="00217CB7">
        <w:lastRenderedPageBreak/>
        <w:t>Richard</w:t>
      </w:r>
      <w:r w:rsidR="0089026E" w:rsidRPr="00217CB7">
        <w:t xml:space="preserve"> </w:t>
      </w:r>
      <w:r w:rsidRPr="00217CB7">
        <w:t xml:space="preserve">D. Burt, </w:t>
      </w:r>
      <w:r w:rsidR="00E73D9F" w:rsidRPr="00217CB7">
        <w:t>Graham</w:t>
      </w:r>
      <w:r w:rsidR="0089026E" w:rsidRPr="00217CB7">
        <w:t xml:space="preserve"> </w:t>
      </w:r>
      <w:r w:rsidR="00E73D9F" w:rsidRPr="00217CB7">
        <w:t>W. Savage, Raymond</w:t>
      </w:r>
      <w:r w:rsidR="0089026E" w:rsidRPr="00217CB7">
        <w:t xml:space="preserve"> </w:t>
      </w:r>
      <w:r w:rsidRPr="00217CB7">
        <w:t>G.</w:t>
      </w:r>
      <w:r w:rsidR="00217CB7">
        <w:t> </w:t>
      </w:r>
      <w:r w:rsidRPr="00217CB7">
        <w:t>H.</w:t>
      </w:r>
      <w:r w:rsidR="00E73D9F" w:rsidRPr="00217CB7">
        <w:t xml:space="preserve"> Seitz, </w:t>
      </w:r>
      <w:r w:rsidR="00981DD7" w:rsidRPr="00217CB7">
        <w:t>Paul</w:t>
      </w:r>
      <w:r w:rsidR="0089026E" w:rsidRPr="00217CB7">
        <w:t xml:space="preserve"> </w:t>
      </w:r>
      <w:r w:rsidR="007975F4" w:rsidRPr="00217CB7">
        <w:t xml:space="preserve">B. Healy, </w:t>
      </w:r>
      <w:proofErr w:type="spellStart"/>
      <w:r w:rsidR="00E73D9F" w:rsidRPr="00217CB7">
        <w:t>Shmuel</w:t>
      </w:r>
      <w:proofErr w:type="spellEnd"/>
      <w:r w:rsidR="00E73D9F" w:rsidRPr="00217CB7">
        <w:t xml:space="preserve"> </w:t>
      </w:r>
      <w:proofErr w:type="spellStart"/>
      <w:r w:rsidR="00E73D9F" w:rsidRPr="00217CB7">
        <w:t>Meitar</w:t>
      </w:r>
      <w:proofErr w:type="spellEnd"/>
      <w:r w:rsidR="00E73D9F" w:rsidRPr="00217CB7">
        <w:t xml:space="preserve"> and Henry</w:t>
      </w:r>
      <w:r w:rsidR="0089026E" w:rsidRPr="00217CB7">
        <w:t xml:space="preserve"> </w:t>
      </w:r>
      <w:r w:rsidRPr="00217CB7">
        <w:t>A. Kissinger</w:t>
      </w:r>
      <w:r w:rsidR="00E73D9F" w:rsidRPr="00217CB7">
        <w:t>:</w:t>
      </w:r>
      <w:r w:rsidR="0089026E" w:rsidRPr="00217CB7">
        <w:t xml:space="preserve"> </w:t>
      </w:r>
      <w:r w:rsidRPr="00217CB7">
        <w:t>Bennett Jones, Toronto.</w:t>
      </w:r>
    </w:p>
    <w:p w:rsidR="00074FF7" w:rsidRPr="00217CB7" w:rsidRDefault="00074FF7" w:rsidP="006C75D5">
      <w:pPr>
        <w:pStyle w:val="SCCLawFirm"/>
        <w:widowControl w:val="0"/>
        <w:spacing w:after="480"/>
      </w:pPr>
      <w:r w:rsidRPr="00217CB7">
        <w:tab/>
      </w:r>
      <w:r w:rsidR="00E73D9F" w:rsidRPr="00217CB7">
        <w:t>Solicitors for the respondent:</w:t>
      </w:r>
      <w:r w:rsidR="0089026E" w:rsidRPr="00217CB7">
        <w:t xml:space="preserve"> </w:t>
      </w:r>
      <w:proofErr w:type="spellStart"/>
      <w:r w:rsidRPr="00217CB7">
        <w:t>Lerners</w:t>
      </w:r>
      <w:proofErr w:type="spellEnd"/>
      <w:r w:rsidRPr="00217CB7">
        <w:t>, Toronto.</w:t>
      </w:r>
    </w:p>
    <w:p w:rsidR="000D2662" w:rsidRPr="00217CB7" w:rsidRDefault="00074FF7" w:rsidP="00556C9F">
      <w:pPr>
        <w:pStyle w:val="SCCLawFirm"/>
        <w:rPr>
          <w:b/>
          <w:i w:val="0"/>
        </w:rPr>
      </w:pPr>
      <w:r w:rsidRPr="00217CB7">
        <w:tab/>
      </w:r>
      <w:r w:rsidR="00E73D9F" w:rsidRPr="00217CB7">
        <w:t>Solicitors for the intervener:</w:t>
      </w:r>
      <w:r w:rsidR="0089026E" w:rsidRPr="00217CB7">
        <w:t xml:space="preserve"> </w:t>
      </w:r>
      <w:r w:rsidRPr="00217CB7">
        <w:t>Holmes &amp; King, Vancouver.</w:t>
      </w:r>
    </w:p>
    <w:sectPr w:rsidR="000D2662" w:rsidRPr="00217CB7" w:rsidSect="006A3B03">
      <w:headerReference w:type="default" r:id="rId10"/>
      <w:footnotePr>
        <w:numFmt w:val="chicago"/>
      </w:footnotePr>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FC4" w:rsidRDefault="006A3FC4">
      <w:r>
        <w:separator/>
      </w:r>
    </w:p>
  </w:endnote>
  <w:endnote w:type="continuationSeparator" w:id="0">
    <w:p w:rsidR="006A3FC4" w:rsidRDefault="006A3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FC4" w:rsidRDefault="006A3FC4">
      <w:r>
        <w:separator/>
      </w:r>
    </w:p>
  </w:footnote>
  <w:footnote w:type="continuationSeparator" w:id="0">
    <w:p w:rsidR="006A3FC4" w:rsidRDefault="006A3FC4">
      <w:r>
        <w:continuationSeparator/>
      </w:r>
    </w:p>
  </w:footnote>
  <w:footnote w:id="1">
    <w:p w:rsidR="006A3FC4" w:rsidRDefault="006A3FC4">
      <w:pPr>
        <w:pStyle w:val="FootnoteText"/>
      </w:pPr>
      <w:r>
        <w:rPr>
          <w:rStyle w:val="FootnoteReference"/>
        </w:rPr>
        <w:footnoteRef/>
      </w:r>
      <w:r>
        <w:t xml:space="preserve"> </w:t>
      </w:r>
      <w:proofErr w:type="gramStart"/>
      <w:r>
        <w:t>Binnie and Charron JJ.</w:t>
      </w:r>
      <w:proofErr w:type="gramEnd"/>
      <w:r>
        <w:t xml:space="preserve"> </w:t>
      </w:r>
      <w:proofErr w:type="gramStart"/>
      <w:r>
        <w:t>took</w:t>
      </w:r>
      <w:proofErr w:type="gramEnd"/>
      <w:r>
        <w:t xml:space="preserve"> no part in the judgment.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8039"/>
      <w:docPartObj>
        <w:docPartGallery w:val="Page Numbers (Top of Page)"/>
        <w:docPartUnique/>
      </w:docPartObj>
    </w:sdtPr>
    <w:sdtContent>
      <w:p w:rsidR="006A3FC4" w:rsidRDefault="006A3FC4">
        <w:pPr>
          <w:pStyle w:val="Header"/>
          <w:jc w:val="center"/>
        </w:pPr>
        <w:r>
          <w:t xml:space="preserve">- </w:t>
        </w:r>
        <w:fldSimple w:instr=" PAGE   \* MERGEFORMAT ">
          <w:r w:rsidR="002D5C97">
            <w:rPr>
              <w:noProof/>
            </w:rPr>
            <w:t>6</w:t>
          </w:r>
        </w:fldSimple>
        <w:r>
          <w:t xml:space="preserve"> -</w:t>
        </w:r>
      </w:p>
    </w:sdtContent>
  </w:sdt>
  <w:p w:rsidR="006A3FC4" w:rsidRPr="00450352" w:rsidRDefault="006A3FC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6AF39AB"/>
    <w:multiLevelType w:val="hybridMultilevel"/>
    <w:tmpl w:val="74F6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C3BAB"/>
    <w:multiLevelType w:val="hybridMultilevel"/>
    <w:tmpl w:val="A256571A"/>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4">
    <w:nsid w:val="2FE36026"/>
    <w:multiLevelType w:val="hybridMultilevel"/>
    <w:tmpl w:val="3ADEA364"/>
    <w:lvl w:ilvl="0" w:tplc="F48C4A7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84676"/>
    <w:multiLevelType w:val="hybridMultilevel"/>
    <w:tmpl w:val="C684559C"/>
    <w:lvl w:ilvl="0" w:tplc="43AA35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573E1"/>
    <w:multiLevelType w:val="hybridMultilevel"/>
    <w:tmpl w:val="E3D27388"/>
    <w:lvl w:ilvl="0" w:tplc="B79A3F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283EE8"/>
    <w:multiLevelType w:val="multilevel"/>
    <w:tmpl w:val="6DF4C120"/>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D8467F5"/>
    <w:multiLevelType w:val="hybridMultilevel"/>
    <w:tmpl w:val="848EE546"/>
    <w:lvl w:ilvl="0" w:tplc="B72C9C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7050AB5"/>
    <w:multiLevelType w:val="hybridMultilevel"/>
    <w:tmpl w:val="F85C84DE"/>
    <w:lvl w:ilvl="0" w:tplc="44D650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0"/>
  </w:num>
  <w:num w:numId="5">
    <w:abstractNumId w:val="4"/>
  </w:num>
  <w:num w:numId="6">
    <w:abstractNumId w:val="11"/>
  </w:num>
  <w:num w:numId="7">
    <w:abstractNumId w:val="1"/>
  </w:num>
  <w:num w:numId="8">
    <w:abstractNumId w:val="0"/>
  </w:num>
  <w:num w:numId="9">
    <w:abstractNumId w:val="7"/>
  </w:num>
  <w:num w:numId="10">
    <w:abstractNumId w:val="8"/>
  </w:num>
  <w:num w:numId="11">
    <w:abstractNumId w:val="9"/>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3905"/>
  </w:hdrShapeDefaults>
  <w:footnotePr>
    <w:numFmt w:val="chicago"/>
    <w:footnote w:id="-1"/>
    <w:footnote w:id="0"/>
  </w:footnotePr>
  <w:endnotePr>
    <w:endnote w:id="-1"/>
    <w:endnote w:id="0"/>
  </w:endnotePr>
  <w:compat/>
  <w:rsids>
    <w:rsidRoot w:val="0031414C"/>
    <w:rsid w:val="00000ED4"/>
    <w:rsid w:val="0000179B"/>
    <w:rsid w:val="00016CB9"/>
    <w:rsid w:val="00025198"/>
    <w:rsid w:val="0003673B"/>
    <w:rsid w:val="000578A3"/>
    <w:rsid w:val="00062ED5"/>
    <w:rsid w:val="000648CC"/>
    <w:rsid w:val="0006659A"/>
    <w:rsid w:val="00072334"/>
    <w:rsid w:val="00074FF7"/>
    <w:rsid w:val="000A7829"/>
    <w:rsid w:val="000B4AB7"/>
    <w:rsid w:val="000B6733"/>
    <w:rsid w:val="000C59B8"/>
    <w:rsid w:val="000D2662"/>
    <w:rsid w:val="00104F33"/>
    <w:rsid w:val="0011089B"/>
    <w:rsid w:val="00111DE2"/>
    <w:rsid w:val="00116B38"/>
    <w:rsid w:val="00135406"/>
    <w:rsid w:val="00135972"/>
    <w:rsid w:val="001426A9"/>
    <w:rsid w:val="00145188"/>
    <w:rsid w:val="001474F0"/>
    <w:rsid w:val="00153EF5"/>
    <w:rsid w:val="00154D7C"/>
    <w:rsid w:val="001570B0"/>
    <w:rsid w:val="0015752C"/>
    <w:rsid w:val="00157737"/>
    <w:rsid w:val="00165277"/>
    <w:rsid w:val="00170592"/>
    <w:rsid w:val="001845A9"/>
    <w:rsid w:val="00185AA0"/>
    <w:rsid w:val="00186310"/>
    <w:rsid w:val="001B33E0"/>
    <w:rsid w:val="001B4573"/>
    <w:rsid w:val="001C099A"/>
    <w:rsid w:val="001C4075"/>
    <w:rsid w:val="001C779F"/>
    <w:rsid w:val="001D2AC1"/>
    <w:rsid w:val="001D4E88"/>
    <w:rsid w:val="001F2DC6"/>
    <w:rsid w:val="001F7F50"/>
    <w:rsid w:val="00217CB7"/>
    <w:rsid w:val="0022008B"/>
    <w:rsid w:val="00220FC2"/>
    <w:rsid w:val="002241EF"/>
    <w:rsid w:val="00224FC0"/>
    <w:rsid w:val="00225EA4"/>
    <w:rsid w:val="00226EAF"/>
    <w:rsid w:val="00230427"/>
    <w:rsid w:val="00231F3A"/>
    <w:rsid w:val="002406EE"/>
    <w:rsid w:val="00243EC8"/>
    <w:rsid w:val="0024575F"/>
    <w:rsid w:val="00261FDF"/>
    <w:rsid w:val="002708AB"/>
    <w:rsid w:val="002745CC"/>
    <w:rsid w:val="00276080"/>
    <w:rsid w:val="0028165E"/>
    <w:rsid w:val="00286140"/>
    <w:rsid w:val="00286AC9"/>
    <w:rsid w:val="00292C11"/>
    <w:rsid w:val="00293584"/>
    <w:rsid w:val="002A19CE"/>
    <w:rsid w:val="002B7924"/>
    <w:rsid w:val="002D39A4"/>
    <w:rsid w:val="002D5C97"/>
    <w:rsid w:val="002E475D"/>
    <w:rsid w:val="002E6705"/>
    <w:rsid w:val="002E7539"/>
    <w:rsid w:val="002F1F50"/>
    <w:rsid w:val="0030329A"/>
    <w:rsid w:val="0031086F"/>
    <w:rsid w:val="0031414C"/>
    <w:rsid w:val="00314E01"/>
    <w:rsid w:val="0032089D"/>
    <w:rsid w:val="00324ED9"/>
    <w:rsid w:val="003261D0"/>
    <w:rsid w:val="003310DE"/>
    <w:rsid w:val="00332BDE"/>
    <w:rsid w:val="00342D97"/>
    <w:rsid w:val="0035169A"/>
    <w:rsid w:val="0035259D"/>
    <w:rsid w:val="00353CCF"/>
    <w:rsid w:val="00364B18"/>
    <w:rsid w:val="003A4C70"/>
    <w:rsid w:val="003B215F"/>
    <w:rsid w:val="003C7141"/>
    <w:rsid w:val="003C799C"/>
    <w:rsid w:val="003D0399"/>
    <w:rsid w:val="003D1604"/>
    <w:rsid w:val="003D27D0"/>
    <w:rsid w:val="003E1C71"/>
    <w:rsid w:val="003E1FE7"/>
    <w:rsid w:val="003F18A8"/>
    <w:rsid w:val="003F2C62"/>
    <w:rsid w:val="003F327B"/>
    <w:rsid w:val="00406166"/>
    <w:rsid w:val="0040704B"/>
    <w:rsid w:val="00410A55"/>
    <w:rsid w:val="00411300"/>
    <w:rsid w:val="00415417"/>
    <w:rsid w:val="00426659"/>
    <w:rsid w:val="00446107"/>
    <w:rsid w:val="004474E4"/>
    <w:rsid w:val="00450352"/>
    <w:rsid w:val="00454BDB"/>
    <w:rsid w:val="00465132"/>
    <w:rsid w:val="004748A4"/>
    <w:rsid w:val="00480C90"/>
    <w:rsid w:val="0048396F"/>
    <w:rsid w:val="00493C18"/>
    <w:rsid w:val="004A600C"/>
    <w:rsid w:val="004A6118"/>
    <w:rsid w:val="004B6DB5"/>
    <w:rsid w:val="004C0CDB"/>
    <w:rsid w:val="004C478D"/>
    <w:rsid w:val="004D68A4"/>
    <w:rsid w:val="004E2C26"/>
    <w:rsid w:val="004E549D"/>
    <w:rsid w:val="005125A8"/>
    <w:rsid w:val="00521AE8"/>
    <w:rsid w:val="00527180"/>
    <w:rsid w:val="005304C6"/>
    <w:rsid w:val="0054514D"/>
    <w:rsid w:val="00547554"/>
    <w:rsid w:val="00555291"/>
    <w:rsid w:val="0055680B"/>
    <w:rsid w:val="00556C9F"/>
    <w:rsid w:val="00566AD1"/>
    <w:rsid w:val="00575DAF"/>
    <w:rsid w:val="00581193"/>
    <w:rsid w:val="00583EDE"/>
    <w:rsid w:val="00585123"/>
    <w:rsid w:val="00597375"/>
    <w:rsid w:val="005B119D"/>
    <w:rsid w:val="005B2B86"/>
    <w:rsid w:val="005C3326"/>
    <w:rsid w:val="005E4698"/>
    <w:rsid w:val="005F2B7C"/>
    <w:rsid w:val="005F70A6"/>
    <w:rsid w:val="00610539"/>
    <w:rsid w:val="00613969"/>
    <w:rsid w:val="00621B7F"/>
    <w:rsid w:val="00625C35"/>
    <w:rsid w:val="0063768D"/>
    <w:rsid w:val="00656313"/>
    <w:rsid w:val="006565F4"/>
    <w:rsid w:val="00666299"/>
    <w:rsid w:val="00666E1B"/>
    <w:rsid w:val="006729DE"/>
    <w:rsid w:val="006738B9"/>
    <w:rsid w:val="0067465A"/>
    <w:rsid w:val="00684EEA"/>
    <w:rsid w:val="00686F23"/>
    <w:rsid w:val="006879A4"/>
    <w:rsid w:val="0069689B"/>
    <w:rsid w:val="006A3B03"/>
    <w:rsid w:val="006A3FC4"/>
    <w:rsid w:val="006B5FF5"/>
    <w:rsid w:val="006C75D5"/>
    <w:rsid w:val="00701759"/>
    <w:rsid w:val="00705C15"/>
    <w:rsid w:val="00727711"/>
    <w:rsid w:val="00743674"/>
    <w:rsid w:val="00747288"/>
    <w:rsid w:val="00747DD3"/>
    <w:rsid w:val="007549C8"/>
    <w:rsid w:val="00766D14"/>
    <w:rsid w:val="00767A0F"/>
    <w:rsid w:val="0079444C"/>
    <w:rsid w:val="00794F3C"/>
    <w:rsid w:val="007975F4"/>
    <w:rsid w:val="007A05F6"/>
    <w:rsid w:val="007B6F4A"/>
    <w:rsid w:val="007D323C"/>
    <w:rsid w:val="007E1C47"/>
    <w:rsid w:val="007E337A"/>
    <w:rsid w:val="007E3C51"/>
    <w:rsid w:val="007E5C70"/>
    <w:rsid w:val="007F2FF5"/>
    <w:rsid w:val="007F3F08"/>
    <w:rsid w:val="00804CC6"/>
    <w:rsid w:val="0080672B"/>
    <w:rsid w:val="00817190"/>
    <w:rsid w:val="008260E2"/>
    <w:rsid w:val="008322BD"/>
    <w:rsid w:val="00834F73"/>
    <w:rsid w:val="00864CF8"/>
    <w:rsid w:val="00874914"/>
    <w:rsid w:val="008816A2"/>
    <w:rsid w:val="0089005D"/>
    <w:rsid w:val="0089026E"/>
    <w:rsid w:val="00891422"/>
    <w:rsid w:val="00892772"/>
    <w:rsid w:val="00892E1A"/>
    <w:rsid w:val="0089385B"/>
    <w:rsid w:val="008C01DA"/>
    <w:rsid w:val="008C6F0D"/>
    <w:rsid w:val="008F78E9"/>
    <w:rsid w:val="0090182B"/>
    <w:rsid w:val="009179F9"/>
    <w:rsid w:val="00920406"/>
    <w:rsid w:val="00921236"/>
    <w:rsid w:val="00933E5E"/>
    <w:rsid w:val="00935218"/>
    <w:rsid w:val="009403F3"/>
    <w:rsid w:val="00944223"/>
    <w:rsid w:val="009555B7"/>
    <w:rsid w:val="009567AA"/>
    <w:rsid w:val="00956D1E"/>
    <w:rsid w:val="00967374"/>
    <w:rsid w:val="00981A52"/>
    <w:rsid w:val="00981DD7"/>
    <w:rsid w:val="00991AE8"/>
    <w:rsid w:val="00997BB2"/>
    <w:rsid w:val="009B2F23"/>
    <w:rsid w:val="009B57B3"/>
    <w:rsid w:val="009C54A7"/>
    <w:rsid w:val="009C682E"/>
    <w:rsid w:val="009D2920"/>
    <w:rsid w:val="009D45C3"/>
    <w:rsid w:val="009D5AEB"/>
    <w:rsid w:val="009D6461"/>
    <w:rsid w:val="009F058B"/>
    <w:rsid w:val="009F0E33"/>
    <w:rsid w:val="00A012B5"/>
    <w:rsid w:val="00A06D77"/>
    <w:rsid w:val="00A149DF"/>
    <w:rsid w:val="00A21B90"/>
    <w:rsid w:val="00A26783"/>
    <w:rsid w:val="00A3074E"/>
    <w:rsid w:val="00A333A7"/>
    <w:rsid w:val="00A41543"/>
    <w:rsid w:val="00A41805"/>
    <w:rsid w:val="00A520E2"/>
    <w:rsid w:val="00A5294D"/>
    <w:rsid w:val="00A548CB"/>
    <w:rsid w:val="00A5521C"/>
    <w:rsid w:val="00A643E7"/>
    <w:rsid w:val="00A73C38"/>
    <w:rsid w:val="00A956F4"/>
    <w:rsid w:val="00A95C8F"/>
    <w:rsid w:val="00AA7BAD"/>
    <w:rsid w:val="00AB02C4"/>
    <w:rsid w:val="00AB670D"/>
    <w:rsid w:val="00AC779D"/>
    <w:rsid w:val="00AD1A80"/>
    <w:rsid w:val="00AE3F5D"/>
    <w:rsid w:val="00AF03C5"/>
    <w:rsid w:val="00AF119A"/>
    <w:rsid w:val="00B000D8"/>
    <w:rsid w:val="00B00F75"/>
    <w:rsid w:val="00B145B6"/>
    <w:rsid w:val="00B50C81"/>
    <w:rsid w:val="00B557F8"/>
    <w:rsid w:val="00B8139C"/>
    <w:rsid w:val="00B815FC"/>
    <w:rsid w:val="00B93FBC"/>
    <w:rsid w:val="00BA70C3"/>
    <w:rsid w:val="00BB2EE4"/>
    <w:rsid w:val="00BC2108"/>
    <w:rsid w:val="00BD0E9E"/>
    <w:rsid w:val="00BD1BEC"/>
    <w:rsid w:val="00BD32FF"/>
    <w:rsid w:val="00BF06C9"/>
    <w:rsid w:val="00C02092"/>
    <w:rsid w:val="00C202C9"/>
    <w:rsid w:val="00C24D91"/>
    <w:rsid w:val="00C300DF"/>
    <w:rsid w:val="00C53F14"/>
    <w:rsid w:val="00C558B6"/>
    <w:rsid w:val="00C600CF"/>
    <w:rsid w:val="00C60661"/>
    <w:rsid w:val="00C6084F"/>
    <w:rsid w:val="00C62A66"/>
    <w:rsid w:val="00C650D8"/>
    <w:rsid w:val="00C71458"/>
    <w:rsid w:val="00C77613"/>
    <w:rsid w:val="00C812B2"/>
    <w:rsid w:val="00C81671"/>
    <w:rsid w:val="00C828E7"/>
    <w:rsid w:val="00C86719"/>
    <w:rsid w:val="00C921DD"/>
    <w:rsid w:val="00C92724"/>
    <w:rsid w:val="00CA6391"/>
    <w:rsid w:val="00CC34AB"/>
    <w:rsid w:val="00CE3171"/>
    <w:rsid w:val="00CF1601"/>
    <w:rsid w:val="00D0172F"/>
    <w:rsid w:val="00D068A7"/>
    <w:rsid w:val="00D102D9"/>
    <w:rsid w:val="00D2366D"/>
    <w:rsid w:val="00D32086"/>
    <w:rsid w:val="00D37A3F"/>
    <w:rsid w:val="00D422C2"/>
    <w:rsid w:val="00D4431D"/>
    <w:rsid w:val="00D4667A"/>
    <w:rsid w:val="00D638B5"/>
    <w:rsid w:val="00D71E18"/>
    <w:rsid w:val="00D7516F"/>
    <w:rsid w:val="00D8201F"/>
    <w:rsid w:val="00D84332"/>
    <w:rsid w:val="00D90F17"/>
    <w:rsid w:val="00D95F8E"/>
    <w:rsid w:val="00D96199"/>
    <w:rsid w:val="00DA0590"/>
    <w:rsid w:val="00DC1788"/>
    <w:rsid w:val="00DE2B5F"/>
    <w:rsid w:val="00DE319C"/>
    <w:rsid w:val="00DE79CD"/>
    <w:rsid w:val="00DF0105"/>
    <w:rsid w:val="00DF0CA8"/>
    <w:rsid w:val="00DF2B48"/>
    <w:rsid w:val="00DF49A7"/>
    <w:rsid w:val="00E07EE2"/>
    <w:rsid w:val="00E07FD1"/>
    <w:rsid w:val="00E24573"/>
    <w:rsid w:val="00E25E1E"/>
    <w:rsid w:val="00E27EE7"/>
    <w:rsid w:val="00E35404"/>
    <w:rsid w:val="00E45109"/>
    <w:rsid w:val="00E47B7A"/>
    <w:rsid w:val="00E60269"/>
    <w:rsid w:val="00E61132"/>
    <w:rsid w:val="00E73D9F"/>
    <w:rsid w:val="00E75029"/>
    <w:rsid w:val="00E977A2"/>
    <w:rsid w:val="00E97830"/>
    <w:rsid w:val="00EA7226"/>
    <w:rsid w:val="00EB14EF"/>
    <w:rsid w:val="00EC6BF0"/>
    <w:rsid w:val="00EF0683"/>
    <w:rsid w:val="00EF7946"/>
    <w:rsid w:val="00F00457"/>
    <w:rsid w:val="00F0070C"/>
    <w:rsid w:val="00F00EB7"/>
    <w:rsid w:val="00F028ED"/>
    <w:rsid w:val="00F1711C"/>
    <w:rsid w:val="00F36AB6"/>
    <w:rsid w:val="00F37A09"/>
    <w:rsid w:val="00F409CE"/>
    <w:rsid w:val="00F4379D"/>
    <w:rsid w:val="00F64D28"/>
    <w:rsid w:val="00F84DF4"/>
    <w:rsid w:val="00F85C97"/>
    <w:rsid w:val="00F92896"/>
    <w:rsid w:val="00FB37D2"/>
    <w:rsid w:val="00FB5D14"/>
    <w:rsid w:val="00FC23E3"/>
    <w:rsid w:val="00FC4EFB"/>
    <w:rsid w:val="00FD068D"/>
    <w:rsid w:val="00FD4F28"/>
    <w:rsid w:val="00FD722B"/>
    <w:rsid w:val="00FE038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6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styleId="ListParagraph">
    <w:name w:val="List Paragraph"/>
    <w:basedOn w:val="Normal"/>
    <w:uiPriority w:val="34"/>
    <w:qFormat/>
    <w:rsid w:val="0089005D"/>
    <w:pPr>
      <w:ind w:left="720"/>
      <w:contextualSpacing/>
    </w:pPr>
  </w:style>
  <w:style w:type="paragraph" w:styleId="FootnoteText">
    <w:name w:val="footnote text"/>
    <w:basedOn w:val="Normal"/>
    <w:link w:val="FootnoteTextChar"/>
    <w:uiPriority w:val="99"/>
    <w:semiHidden/>
    <w:unhideWhenUsed/>
    <w:rsid w:val="00E75029"/>
    <w:rPr>
      <w:sz w:val="20"/>
    </w:rPr>
  </w:style>
  <w:style w:type="character" w:customStyle="1" w:styleId="FootnoteTextChar">
    <w:name w:val="Footnote Text Char"/>
    <w:basedOn w:val="DefaultParagraphFont"/>
    <w:link w:val="FootnoteText"/>
    <w:uiPriority w:val="99"/>
    <w:semiHidden/>
    <w:rsid w:val="00E75029"/>
  </w:style>
  <w:style w:type="character" w:styleId="FootnoteReference">
    <w:name w:val="footnote reference"/>
    <w:basedOn w:val="DefaultParagraphFont"/>
    <w:uiPriority w:val="99"/>
    <w:semiHidden/>
    <w:unhideWhenUsed/>
    <w:rsid w:val="00E75029"/>
    <w:rPr>
      <w:vertAlign w:val="superscript"/>
    </w:rPr>
  </w:style>
  <w:style w:type="paragraph" w:customStyle="1" w:styleId="SCCLsocOtherPartyRoleSeparator">
    <w:name w:val="SCC.Lsoc.OtherPartyRoleSeparator"/>
    <w:basedOn w:val="Normal"/>
    <w:next w:val="Normal"/>
    <w:link w:val="SCCLsocOtherPartyRoleSeparatorChar"/>
    <w:rsid w:val="000D2662"/>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D2662"/>
    <w:rPr>
      <w:rFonts w:eastAsiaTheme="minorHAnsi" w:cstheme="minorBidi"/>
      <w:sz w:val="24"/>
      <w:szCs w:val="22"/>
      <w:lang w:eastAsia="en-US"/>
    </w:rPr>
  </w:style>
  <w:style w:type="character" w:customStyle="1" w:styleId="SCCBanSummaryChar">
    <w:name w:val="SCC.BanSummary Char"/>
    <w:basedOn w:val="DefaultParagraphFont"/>
    <w:link w:val="SCCBanSummary"/>
    <w:rsid w:val="000D2662"/>
    <w:rPr>
      <w:b/>
      <w:sz w:val="24"/>
    </w:rPr>
  </w:style>
  <w:style w:type="table" w:styleId="TableGrid">
    <w:name w:val="Table Grid"/>
    <w:basedOn w:val="TableNormal"/>
    <w:uiPriority w:val="59"/>
    <w:rsid w:val="000D26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D266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D266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D2662"/>
    <w:pPr>
      <w:tabs>
        <w:tab w:val="left" w:pos="1166"/>
      </w:tabs>
      <w:spacing w:after="480" w:line="480" w:lineRule="auto"/>
    </w:pPr>
    <w:rPr>
      <w:smallCaps/>
      <w:sz w:val="24"/>
    </w:rPr>
  </w:style>
  <w:style w:type="paragraph" w:customStyle="1" w:styleId="ParaNoNdepar-AltN">
    <w:name w:val="Para. No. / Nº de par. - Alt N"/>
    <w:qFormat/>
    <w:rsid w:val="000D2662"/>
    <w:pPr>
      <w:numPr>
        <w:numId w:val="1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0D2662"/>
    <w:pPr>
      <w:tabs>
        <w:tab w:val="left" w:pos="360"/>
      </w:tabs>
      <w:spacing w:before="480" w:after="480"/>
      <w:ind w:left="360" w:hanging="360"/>
      <w:jc w:val="both"/>
    </w:pPr>
    <w:rPr>
      <w:rFonts w:eastAsiaTheme="minorHAnsi" w:cstheme="minorBidi"/>
      <w:sz w:val="24"/>
      <w:szCs w:val="22"/>
      <w:lang w:eastAsia="en-US"/>
    </w:rPr>
  </w:style>
  <w:style w:type="paragraph" w:styleId="EndnoteText">
    <w:name w:val="endnote text"/>
    <w:basedOn w:val="Normal"/>
    <w:link w:val="EndnoteTextChar"/>
    <w:uiPriority w:val="99"/>
    <w:semiHidden/>
    <w:unhideWhenUsed/>
    <w:rsid w:val="000D2662"/>
    <w:rPr>
      <w:sz w:val="20"/>
    </w:rPr>
  </w:style>
  <w:style w:type="character" w:customStyle="1" w:styleId="EndnoteTextChar">
    <w:name w:val="Endnote Text Char"/>
    <w:basedOn w:val="DefaultParagraphFont"/>
    <w:link w:val="EndnoteText"/>
    <w:uiPriority w:val="99"/>
    <w:semiHidden/>
    <w:rsid w:val="000D2662"/>
  </w:style>
  <w:style w:type="character" w:styleId="EndnoteReference">
    <w:name w:val="endnote reference"/>
    <w:basedOn w:val="DefaultParagraphFont"/>
    <w:uiPriority w:val="99"/>
    <w:semiHidden/>
    <w:unhideWhenUsed/>
    <w:rsid w:val="000D2662"/>
    <w:rPr>
      <w:vertAlign w:val="superscript"/>
    </w:rPr>
  </w:style>
</w:styles>
</file>

<file path=word/webSettings.xml><?xml version="1.0" encoding="utf-8"?>
<w:webSettings xmlns:r="http://schemas.openxmlformats.org/officeDocument/2006/relationships" xmlns:w="http://schemas.openxmlformats.org/wordprocessingml/2006/main">
  <w:divs>
    <w:div w:id="221916401">
      <w:bodyDiv w:val="1"/>
      <w:marLeft w:val="131"/>
      <w:marRight w:val="131"/>
      <w:marTop w:val="131"/>
      <w:marBottom w:val="131"/>
      <w:divBdr>
        <w:top w:val="none" w:sz="0" w:space="0" w:color="auto"/>
        <w:left w:val="none" w:sz="0" w:space="0" w:color="auto"/>
        <w:bottom w:val="none" w:sz="0" w:space="0" w:color="auto"/>
        <w:right w:val="none" w:sz="0" w:space="0" w:color="auto"/>
      </w:divBdr>
      <w:divsChild>
        <w:div w:id="1971476790">
          <w:marLeft w:val="0"/>
          <w:marRight w:val="0"/>
          <w:marTop w:val="0"/>
          <w:marBottom w:val="0"/>
          <w:divBdr>
            <w:top w:val="none" w:sz="0" w:space="0" w:color="auto"/>
            <w:left w:val="none" w:sz="0" w:space="0" w:color="auto"/>
            <w:bottom w:val="none" w:sz="0" w:space="0" w:color="auto"/>
            <w:right w:val="none" w:sz="0" w:space="0" w:color="auto"/>
          </w:divBdr>
          <w:divsChild>
            <w:div w:id="281231811">
              <w:marLeft w:val="0"/>
              <w:marRight w:val="0"/>
              <w:marTop w:val="0"/>
              <w:marBottom w:val="0"/>
              <w:divBdr>
                <w:top w:val="none" w:sz="0" w:space="0" w:color="auto"/>
                <w:left w:val="none" w:sz="0" w:space="0" w:color="auto"/>
                <w:bottom w:val="none" w:sz="0" w:space="0" w:color="auto"/>
                <w:right w:val="none" w:sz="0" w:space="0" w:color="auto"/>
              </w:divBdr>
              <w:divsChild>
                <w:div w:id="1232156513">
                  <w:marLeft w:val="0"/>
                  <w:marRight w:val="0"/>
                  <w:marTop w:val="0"/>
                  <w:marBottom w:val="0"/>
                  <w:divBdr>
                    <w:top w:val="none" w:sz="0" w:space="0" w:color="auto"/>
                    <w:left w:val="none" w:sz="0" w:space="0" w:color="auto"/>
                    <w:bottom w:val="none" w:sz="0" w:space="0" w:color="auto"/>
                    <w:right w:val="none" w:sz="0" w:space="0" w:color="auto"/>
                  </w:divBdr>
                  <w:divsChild>
                    <w:div w:id="417480173">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88E8-E5C2-4E4E-94F6-13D103C6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7006</Words>
  <Characters>36254</Characters>
  <Application>Microsoft Office Word</Application>
  <DocSecurity>0</DocSecurity>
  <Lines>302</Lines>
  <Paragraphs>86</Paragraphs>
  <ScaleCrop>false</ScaleCrop>
  <Company/>
  <LinksUpToDate>false</LinksUpToDate>
  <CharactersWithSpaces>43174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2012-05-30T14:21:00Z</dcterms:created>
  <dcterms:modified xsi:type="dcterms:W3CDTF">2012-11-09T15:09:00Z</dcterms:modified>
</cp:coreProperties>
</file>