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0" w:rsidRPr="000E5D80" w:rsidRDefault="00571E80" w:rsidP="00571E80">
      <w:pPr>
        <w:tabs>
          <w:tab w:val="center" w:pos="4680"/>
          <w:tab w:val="right" w:pos="9360"/>
        </w:tabs>
        <w:jc w:val="center"/>
        <w:rPr>
          <w:rFonts w:eastAsiaTheme="minorHAnsi" w:cstheme="minorBidi"/>
          <w:szCs w:val="24"/>
          <w:lang w:eastAsia="en-US"/>
        </w:rPr>
      </w:pPr>
      <w:r w:rsidRPr="000E5D8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4586" r:id="rId8"/>
        </w:object>
      </w:r>
    </w:p>
    <w:p w:rsidR="00571E80" w:rsidRPr="000E5D80" w:rsidRDefault="00571E80" w:rsidP="00571E80">
      <w:pPr>
        <w:tabs>
          <w:tab w:val="center" w:pos="4680"/>
          <w:tab w:val="right" w:pos="9360"/>
        </w:tabs>
        <w:rPr>
          <w:rFonts w:eastAsiaTheme="minorHAnsi" w:cstheme="minorBidi"/>
          <w:szCs w:val="24"/>
          <w:lang w:eastAsia="en-US"/>
        </w:rPr>
      </w:pPr>
    </w:p>
    <w:p w:rsidR="00571E80" w:rsidRPr="000E5D80" w:rsidRDefault="00571E80" w:rsidP="00571E80">
      <w:pPr>
        <w:jc w:val="center"/>
        <w:rPr>
          <w:rFonts w:eastAsiaTheme="minorHAnsi" w:cstheme="minorBidi"/>
          <w:b/>
          <w:szCs w:val="24"/>
          <w:lang w:eastAsia="en-US"/>
        </w:rPr>
      </w:pPr>
      <w:r w:rsidRPr="000E5D80">
        <w:rPr>
          <w:rFonts w:eastAsiaTheme="minorHAnsi" w:cstheme="minorBidi"/>
          <w:b/>
          <w:szCs w:val="24"/>
          <w:lang w:eastAsia="en-US"/>
        </w:rPr>
        <w:t>SUPREME COURT OF CANADA</w:t>
      </w:r>
    </w:p>
    <w:p w:rsidR="00571E80" w:rsidRPr="000E5D80" w:rsidRDefault="00571E80" w:rsidP="00571E8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71E80" w:rsidRPr="000E5D80" w:rsidTr="00237C06">
        <w:trPr>
          <w:cantSplit/>
        </w:trPr>
        <w:tc>
          <w:tcPr>
            <w:tcW w:w="6768" w:type="dxa"/>
          </w:tcPr>
          <w:p w:rsidR="00571E80" w:rsidRPr="000E5D80" w:rsidRDefault="00571E80" w:rsidP="00237C06">
            <w:r w:rsidRPr="000E5D80">
              <w:rPr>
                <w:b/>
                <w:smallCaps/>
              </w:rPr>
              <w:t>Citation:</w:t>
            </w:r>
            <w:r w:rsidRPr="000E5D80">
              <w:t xml:space="preserve"> R. </w:t>
            </w:r>
            <w:r w:rsidRPr="000E5D80">
              <w:rPr>
                <w:i/>
              </w:rPr>
              <w:t>v.</w:t>
            </w:r>
            <w:r w:rsidRPr="000E5D80">
              <w:t xml:space="preserve"> </w:t>
            </w:r>
            <w:proofErr w:type="spellStart"/>
            <w:r w:rsidRPr="000E5D80">
              <w:t>Mayuran</w:t>
            </w:r>
            <w:proofErr w:type="spellEnd"/>
            <w:r w:rsidRPr="000E5D80">
              <w:t xml:space="preserve">, </w:t>
            </w:r>
            <w:r>
              <w:rPr>
                <w:szCs w:val="24"/>
              </w:rPr>
              <w:t>2012 SCC 31, [2012] 2 S.C.R. 162</w:t>
            </w:r>
          </w:p>
        </w:tc>
        <w:tc>
          <w:tcPr>
            <w:tcW w:w="2808" w:type="dxa"/>
          </w:tcPr>
          <w:p w:rsidR="00571E80" w:rsidRPr="000E5D80" w:rsidRDefault="00571E80" w:rsidP="00237C06">
            <w:r w:rsidRPr="000E5D80">
              <w:rPr>
                <w:b/>
                <w:smallCaps/>
              </w:rPr>
              <w:t>Date:</w:t>
            </w:r>
            <w:r w:rsidRPr="000E5D80">
              <w:t xml:space="preserve"> 20120628</w:t>
            </w:r>
          </w:p>
          <w:p w:rsidR="00571E80" w:rsidRPr="000E5D80" w:rsidRDefault="00571E80" w:rsidP="00237C06">
            <w:r w:rsidRPr="000E5D80">
              <w:rPr>
                <w:b/>
                <w:smallCaps/>
              </w:rPr>
              <w:t>Docket:</w:t>
            </w:r>
            <w:r w:rsidRPr="000E5D80">
              <w:t xml:space="preserve"> 34526</w:t>
            </w:r>
          </w:p>
        </w:tc>
      </w:tr>
    </w:tbl>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b/>
          <w:smallCaps/>
          <w:szCs w:val="24"/>
          <w:lang w:eastAsia="en-US"/>
        </w:rPr>
      </w:pPr>
      <w:r w:rsidRPr="000E5D80">
        <w:rPr>
          <w:rFonts w:eastAsiaTheme="minorHAnsi" w:cstheme="minorBidi"/>
          <w:b/>
          <w:smallCaps/>
          <w:szCs w:val="24"/>
          <w:lang w:eastAsia="en-US"/>
        </w:rPr>
        <w:t>Between:</w:t>
      </w:r>
    </w:p>
    <w:p w:rsidR="00571E80" w:rsidRPr="000E5D80" w:rsidRDefault="00571E80" w:rsidP="00571E80">
      <w:pPr>
        <w:jc w:val="center"/>
        <w:rPr>
          <w:rFonts w:eastAsiaTheme="minorHAnsi" w:cstheme="minorBidi"/>
          <w:b/>
          <w:szCs w:val="24"/>
          <w:lang w:eastAsia="en-US"/>
        </w:rPr>
      </w:pPr>
      <w:r w:rsidRPr="000E5D80">
        <w:rPr>
          <w:rFonts w:eastAsiaTheme="minorHAnsi" w:cstheme="minorBidi"/>
          <w:b/>
          <w:szCs w:val="24"/>
          <w:lang w:eastAsia="en-US"/>
        </w:rPr>
        <w:t xml:space="preserve">Her Majesty </w:t>
      </w:r>
      <w:proofErr w:type="gramStart"/>
      <w:r w:rsidRPr="000E5D80">
        <w:rPr>
          <w:rFonts w:eastAsiaTheme="minorHAnsi" w:cstheme="minorBidi"/>
          <w:b/>
          <w:szCs w:val="24"/>
          <w:lang w:eastAsia="en-US"/>
        </w:rPr>
        <w:t>The</w:t>
      </w:r>
      <w:proofErr w:type="gramEnd"/>
      <w:r w:rsidRPr="000E5D80">
        <w:rPr>
          <w:rFonts w:eastAsiaTheme="minorHAnsi" w:cstheme="minorBidi"/>
          <w:b/>
          <w:szCs w:val="24"/>
          <w:lang w:eastAsia="en-US"/>
        </w:rPr>
        <w:t xml:space="preserve"> Queen</w:t>
      </w:r>
    </w:p>
    <w:p w:rsidR="00571E80" w:rsidRPr="000E5D80" w:rsidRDefault="00571E80" w:rsidP="00571E80">
      <w:pPr>
        <w:jc w:val="center"/>
        <w:rPr>
          <w:rFonts w:eastAsiaTheme="minorHAnsi" w:cstheme="minorBidi"/>
          <w:szCs w:val="24"/>
          <w:lang w:eastAsia="en-US"/>
        </w:rPr>
      </w:pPr>
      <w:r w:rsidRPr="000E5D80">
        <w:rPr>
          <w:rFonts w:eastAsiaTheme="minorHAnsi" w:cstheme="minorBidi"/>
          <w:szCs w:val="24"/>
          <w:lang w:eastAsia="en-US"/>
        </w:rPr>
        <w:t>Appellant</w:t>
      </w:r>
    </w:p>
    <w:p w:rsidR="00571E80" w:rsidRPr="000E5D80" w:rsidRDefault="00571E80" w:rsidP="00571E80">
      <w:pPr>
        <w:jc w:val="center"/>
        <w:rPr>
          <w:rFonts w:eastAsiaTheme="minorHAnsi" w:cstheme="minorBidi"/>
          <w:szCs w:val="24"/>
          <w:lang w:eastAsia="en-US"/>
        </w:rPr>
      </w:pPr>
      <w:proofErr w:type="gramStart"/>
      <w:r w:rsidRPr="000E5D80">
        <w:rPr>
          <w:rFonts w:eastAsiaTheme="minorHAnsi" w:cstheme="minorBidi"/>
          <w:szCs w:val="24"/>
          <w:lang w:eastAsia="en-US"/>
        </w:rPr>
        <w:t>and</w:t>
      </w:r>
      <w:proofErr w:type="gramEnd"/>
    </w:p>
    <w:p w:rsidR="00571E80" w:rsidRPr="000E5D80" w:rsidRDefault="00571E80" w:rsidP="00571E80">
      <w:pPr>
        <w:jc w:val="center"/>
        <w:rPr>
          <w:rFonts w:eastAsiaTheme="minorHAnsi" w:cstheme="minorBidi"/>
          <w:b/>
          <w:szCs w:val="24"/>
          <w:lang w:eastAsia="en-US"/>
        </w:rPr>
      </w:pPr>
      <w:proofErr w:type="spellStart"/>
      <w:r w:rsidRPr="000E5D80">
        <w:rPr>
          <w:rFonts w:eastAsiaTheme="minorHAnsi" w:cstheme="minorBidi"/>
          <w:b/>
          <w:szCs w:val="24"/>
          <w:lang w:eastAsia="en-US"/>
        </w:rPr>
        <w:t>Suganthini</w:t>
      </w:r>
      <w:proofErr w:type="spellEnd"/>
      <w:r w:rsidRPr="000E5D80">
        <w:rPr>
          <w:rFonts w:eastAsiaTheme="minorHAnsi" w:cstheme="minorBidi"/>
          <w:b/>
          <w:szCs w:val="24"/>
          <w:lang w:eastAsia="en-US"/>
        </w:rPr>
        <w:t xml:space="preserve"> </w:t>
      </w:r>
      <w:proofErr w:type="spellStart"/>
      <w:r w:rsidRPr="000E5D80">
        <w:rPr>
          <w:rFonts w:eastAsiaTheme="minorHAnsi" w:cstheme="minorBidi"/>
          <w:b/>
          <w:szCs w:val="24"/>
          <w:lang w:eastAsia="en-US"/>
        </w:rPr>
        <w:t>Mayuran</w:t>
      </w:r>
      <w:proofErr w:type="spellEnd"/>
    </w:p>
    <w:p w:rsidR="00571E80" w:rsidRPr="000E5D80" w:rsidRDefault="00571E80" w:rsidP="00571E80">
      <w:pPr>
        <w:jc w:val="center"/>
        <w:rPr>
          <w:rFonts w:eastAsiaTheme="minorHAnsi" w:cstheme="minorBidi"/>
          <w:szCs w:val="24"/>
          <w:lang w:eastAsia="en-US"/>
        </w:rPr>
      </w:pPr>
      <w:r w:rsidRPr="000E5D80">
        <w:rPr>
          <w:rFonts w:eastAsiaTheme="minorHAnsi" w:cstheme="minorBidi"/>
          <w:szCs w:val="24"/>
          <w:lang w:eastAsia="en-US"/>
        </w:rPr>
        <w:t>Respondent</w:t>
      </w:r>
    </w:p>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szCs w:val="24"/>
          <w:lang w:eastAsia="en-US"/>
        </w:rPr>
      </w:pPr>
      <w:r w:rsidRPr="000E5D80">
        <w:rPr>
          <w:rFonts w:eastAsiaTheme="minorHAnsi" w:cstheme="minorBidi"/>
          <w:b/>
          <w:smallCaps/>
          <w:szCs w:val="24"/>
          <w:lang w:eastAsia="en-US"/>
        </w:rPr>
        <w:t>Coram:</w:t>
      </w:r>
      <w:r w:rsidRPr="000E5D80">
        <w:rPr>
          <w:rFonts w:eastAsiaTheme="minorHAnsi" w:cstheme="minorBidi"/>
          <w:szCs w:val="24"/>
          <w:lang w:eastAsia="en-US"/>
        </w:rPr>
        <w:t xml:space="preserve"> </w:t>
      </w:r>
      <w:proofErr w:type="spellStart"/>
      <w:r w:rsidRPr="000E5D80">
        <w:rPr>
          <w:rFonts w:eastAsiaTheme="minorHAnsi" w:cstheme="minorBidi"/>
          <w:szCs w:val="24"/>
          <w:lang w:eastAsia="en-US"/>
        </w:rPr>
        <w:t>LeBel</w:t>
      </w:r>
      <w:proofErr w:type="spellEnd"/>
      <w:r w:rsidRPr="000E5D80">
        <w:rPr>
          <w:rFonts w:eastAsiaTheme="minorHAnsi" w:cstheme="minorBidi"/>
          <w:szCs w:val="24"/>
          <w:lang w:eastAsia="en-US"/>
        </w:rPr>
        <w:t xml:space="preserve">, </w:t>
      </w:r>
      <w:proofErr w:type="spellStart"/>
      <w:r w:rsidRPr="000E5D80">
        <w:rPr>
          <w:rFonts w:eastAsiaTheme="minorHAnsi" w:cstheme="minorBidi"/>
          <w:szCs w:val="24"/>
          <w:lang w:eastAsia="en-US"/>
        </w:rPr>
        <w:t>Deschamps</w:t>
      </w:r>
      <w:proofErr w:type="spellEnd"/>
      <w:r w:rsidRPr="000E5D80">
        <w:rPr>
          <w:rFonts w:eastAsiaTheme="minorHAnsi" w:cstheme="minorBidi"/>
          <w:szCs w:val="24"/>
          <w:lang w:eastAsia="en-US"/>
        </w:rPr>
        <w:t xml:space="preserve">, Fish, </w:t>
      </w:r>
      <w:proofErr w:type="spellStart"/>
      <w:r w:rsidRPr="000E5D80">
        <w:rPr>
          <w:rFonts w:eastAsiaTheme="minorHAnsi" w:cstheme="minorBidi"/>
          <w:szCs w:val="24"/>
          <w:lang w:eastAsia="en-US"/>
        </w:rPr>
        <w:t>Abella</w:t>
      </w:r>
      <w:proofErr w:type="spellEnd"/>
      <w:r w:rsidRPr="000E5D80">
        <w:rPr>
          <w:rFonts w:eastAsiaTheme="minorHAnsi" w:cstheme="minorBidi"/>
          <w:szCs w:val="24"/>
          <w:lang w:eastAsia="en-US"/>
        </w:rPr>
        <w:t xml:space="preserve">, Cromwell, </w:t>
      </w:r>
      <w:proofErr w:type="spellStart"/>
      <w:r w:rsidRPr="000E5D80">
        <w:rPr>
          <w:rFonts w:eastAsiaTheme="minorHAnsi" w:cstheme="minorBidi"/>
          <w:szCs w:val="24"/>
          <w:lang w:eastAsia="en-US"/>
        </w:rPr>
        <w:t>Moldaver</w:t>
      </w:r>
      <w:proofErr w:type="spellEnd"/>
      <w:r w:rsidRPr="000E5D80">
        <w:rPr>
          <w:rFonts w:eastAsiaTheme="minorHAnsi" w:cstheme="minorBidi"/>
          <w:szCs w:val="24"/>
          <w:lang w:eastAsia="en-US"/>
        </w:rPr>
        <w:t xml:space="preserve"> and </w:t>
      </w:r>
      <w:proofErr w:type="spellStart"/>
      <w:r w:rsidRPr="000E5D80">
        <w:rPr>
          <w:rFonts w:eastAsiaTheme="minorHAnsi" w:cstheme="minorBidi"/>
          <w:szCs w:val="24"/>
          <w:lang w:eastAsia="en-US"/>
        </w:rPr>
        <w:t>Karakatsanis</w:t>
      </w:r>
      <w:proofErr w:type="spellEnd"/>
      <w:r w:rsidRPr="000E5D80">
        <w:rPr>
          <w:rFonts w:eastAsiaTheme="minorHAnsi" w:cstheme="minorBidi"/>
          <w:szCs w:val="24"/>
          <w:lang w:eastAsia="en-US"/>
        </w:rPr>
        <w:t> JJ.</w:t>
      </w:r>
    </w:p>
    <w:p w:rsidR="00571E80" w:rsidRPr="000E5D80" w:rsidRDefault="00571E80" w:rsidP="00571E8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71E80" w:rsidRPr="000E5D80" w:rsidTr="00237C06">
        <w:trPr>
          <w:cantSplit/>
        </w:trPr>
        <w:tc>
          <w:tcPr>
            <w:tcW w:w="3618" w:type="dxa"/>
          </w:tcPr>
          <w:p w:rsidR="00571E80" w:rsidRPr="000E5D80" w:rsidRDefault="00571E80" w:rsidP="00237C06">
            <w:pPr>
              <w:rPr>
                <w:b/>
                <w:smallCaps/>
              </w:rPr>
            </w:pPr>
            <w:r w:rsidRPr="000E5D80">
              <w:rPr>
                <w:b/>
                <w:smallCaps/>
              </w:rPr>
              <w:t>Reasons for Judgment:</w:t>
            </w:r>
          </w:p>
          <w:p w:rsidR="00571E80" w:rsidRPr="000E5D80" w:rsidRDefault="00571E80" w:rsidP="00237C06">
            <w:r w:rsidRPr="000E5D80">
              <w:t>(</w:t>
            </w:r>
            <w:proofErr w:type="spellStart"/>
            <w:r w:rsidRPr="000E5D80">
              <w:t>paras</w:t>
            </w:r>
            <w:proofErr w:type="spellEnd"/>
            <w:r w:rsidRPr="000E5D80">
              <w:t>. 1 to 51)</w:t>
            </w:r>
          </w:p>
        </w:tc>
        <w:tc>
          <w:tcPr>
            <w:tcW w:w="5958" w:type="dxa"/>
          </w:tcPr>
          <w:p w:rsidR="00571E80" w:rsidRPr="000E5D80" w:rsidRDefault="00571E80" w:rsidP="00237C06">
            <w:proofErr w:type="spellStart"/>
            <w:r w:rsidRPr="000E5D80">
              <w:t>Abella</w:t>
            </w:r>
            <w:proofErr w:type="spellEnd"/>
            <w:r w:rsidRPr="000E5D80">
              <w:t xml:space="preserve"> J. (</w:t>
            </w:r>
            <w:proofErr w:type="spellStart"/>
            <w:r w:rsidRPr="000E5D80">
              <w:t>LeBel</w:t>
            </w:r>
            <w:proofErr w:type="spellEnd"/>
            <w:r w:rsidRPr="000E5D80">
              <w:t xml:space="preserve">, </w:t>
            </w:r>
            <w:proofErr w:type="spellStart"/>
            <w:r w:rsidRPr="000E5D80">
              <w:t>Deschamps</w:t>
            </w:r>
            <w:proofErr w:type="spellEnd"/>
            <w:r w:rsidRPr="000E5D80">
              <w:t xml:space="preserve">, Fish, Cromwell, </w:t>
            </w:r>
            <w:proofErr w:type="spellStart"/>
            <w:r w:rsidRPr="000E5D80">
              <w:t>Moldaver</w:t>
            </w:r>
            <w:proofErr w:type="spellEnd"/>
            <w:r w:rsidRPr="000E5D80">
              <w:t xml:space="preserve"> and </w:t>
            </w:r>
            <w:proofErr w:type="spellStart"/>
            <w:r w:rsidRPr="000E5D80">
              <w:t>Karakatsanis</w:t>
            </w:r>
            <w:proofErr w:type="spellEnd"/>
            <w:r w:rsidRPr="000E5D80">
              <w:t xml:space="preserve"> JJ. concurring)</w:t>
            </w:r>
          </w:p>
        </w:tc>
      </w:tr>
    </w:tbl>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szCs w:val="24"/>
          <w:lang w:eastAsia="en-US"/>
        </w:rPr>
      </w:pPr>
    </w:p>
    <w:p w:rsidR="00571E80" w:rsidRPr="000E5D80" w:rsidRDefault="00571E80" w:rsidP="00571E80">
      <w:pPr>
        <w:rPr>
          <w:rFonts w:eastAsiaTheme="minorHAnsi" w:cstheme="minorBidi"/>
          <w:szCs w:val="24"/>
          <w:lang w:eastAsia="en-US"/>
        </w:rPr>
      </w:pPr>
      <w:r w:rsidRPr="006C000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71E80" w:rsidRPr="00D71A1D" w:rsidRDefault="00571E80" w:rsidP="00571E80">
      <w:pPr>
        <w:rPr>
          <w:smallCaps/>
          <w:szCs w:val="24"/>
        </w:rPr>
      </w:pPr>
      <w:r w:rsidRPr="00D71A1D">
        <w:rPr>
          <w:smallCaps/>
          <w:szCs w:val="24"/>
        </w:rPr>
        <w:br w:type="page"/>
      </w:r>
    </w:p>
    <w:p w:rsidR="008322BD" w:rsidRPr="001B44C2" w:rsidRDefault="001B44C2" w:rsidP="004C0D70">
      <w:pPr>
        <w:spacing w:after="720"/>
        <w:jc w:val="both"/>
        <w:rPr>
          <w:szCs w:val="24"/>
        </w:rPr>
      </w:pPr>
      <w:r w:rsidRPr="001B44C2">
        <w:rPr>
          <w:szCs w:val="24"/>
        </w:rPr>
        <w:lastRenderedPageBreak/>
        <w:t xml:space="preserve">R. </w:t>
      </w:r>
      <w:r w:rsidRPr="001B44C2">
        <w:rPr>
          <w:i/>
          <w:szCs w:val="24"/>
        </w:rPr>
        <w:t>v.</w:t>
      </w:r>
      <w:r w:rsidRPr="001B44C2">
        <w:rPr>
          <w:szCs w:val="24"/>
        </w:rPr>
        <w:t xml:space="preserve"> </w:t>
      </w:r>
      <w:proofErr w:type="spellStart"/>
      <w:r w:rsidRPr="001B44C2">
        <w:rPr>
          <w:szCs w:val="24"/>
        </w:rPr>
        <w:t>Mayuran</w:t>
      </w:r>
      <w:proofErr w:type="spellEnd"/>
      <w:r>
        <w:rPr>
          <w:szCs w:val="24"/>
        </w:rPr>
        <w:t>, 2012 SCC 31, [2012] 2 S.C.R. 162</w:t>
      </w:r>
    </w:p>
    <w:p w:rsidR="00AE4A11" w:rsidRPr="00E9690A" w:rsidRDefault="009E45BE" w:rsidP="004C0D70">
      <w:pPr>
        <w:pStyle w:val="SCCLsocParty"/>
        <w:tabs>
          <w:tab w:val="right" w:pos="8280"/>
        </w:tabs>
        <w:spacing w:after="720"/>
        <w:rPr>
          <w:szCs w:val="24"/>
        </w:rPr>
      </w:pPr>
      <w:r w:rsidRPr="00E9690A">
        <w:rPr>
          <w:szCs w:val="24"/>
        </w:rPr>
        <w:t xml:space="preserve">Her Majesty </w:t>
      </w:r>
      <w:proofErr w:type="gramStart"/>
      <w:r w:rsidRPr="00E9690A">
        <w:rPr>
          <w:szCs w:val="24"/>
        </w:rPr>
        <w:t>T</w:t>
      </w:r>
      <w:r w:rsidR="00C86A97" w:rsidRPr="00E9690A">
        <w:rPr>
          <w:szCs w:val="24"/>
        </w:rPr>
        <w:t>he</w:t>
      </w:r>
      <w:proofErr w:type="gramEnd"/>
      <w:r w:rsidR="00C86A97" w:rsidRPr="00E9690A">
        <w:rPr>
          <w:szCs w:val="24"/>
        </w:rPr>
        <w:t xml:space="preserve"> Queen</w:t>
      </w:r>
      <w:r w:rsidR="004C0D70" w:rsidRPr="00E9690A">
        <w:rPr>
          <w:szCs w:val="24"/>
        </w:rPr>
        <w:tab/>
      </w:r>
      <w:r w:rsidR="00C86A97" w:rsidRPr="00E9690A">
        <w:rPr>
          <w:b w:val="0"/>
          <w:i/>
          <w:szCs w:val="24"/>
        </w:rPr>
        <w:t>Appellant</w:t>
      </w:r>
    </w:p>
    <w:p w:rsidR="00AE4A11" w:rsidRPr="00E9690A" w:rsidRDefault="00C86A97" w:rsidP="004C0D70">
      <w:pPr>
        <w:pStyle w:val="SCCLsocVersus"/>
        <w:spacing w:after="720"/>
        <w:rPr>
          <w:szCs w:val="24"/>
        </w:rPr>
      </w:pPr>
      <w:proofErr w:type="gramStart"/>
      <w:r w:rsidRPr="00E9690A">
        <w:rPr>
          <w:szCs w:val="24"/>
        </w:rPr>
        <w:t>v</w:t>
      </w:r>
      <w:proofErr w:type="gramEnd"/>
      <w:r w:rsidRPr="00E9690A">
        <w:rPr>
          <w:szCs w:val="24"/>
        </w:rPr>
        <w:t>.</w:t>
      </w:r>
    </w:p>
    <w:p w:rsidR="00AE4A11" w:rsidRPr="00E9690A" w:rsidRDefault="00C86A97" w:rsidP="004C0D70">
      <w:pPr>
        <w:pStyle w:val="SCCLsocParty"/>
        <w:tabs>
          <w:tab w:val="right" w:pos="8280"/>
        </w:tabs>
        <w:spacing w:after="720"/>
        <w:rPr>
          <w:szCs w:val="24"/>
        </w:rPr>
      </w:pPr>
      <w:proofErr w:type="spellStart"/>
      <w:r w:rsidRPr="00E9690A">
        <w:rPr>
          <w:szCs w:val="24"/>
        </w:rPr>
        <w:t>Suganthini</w:t>
      </w:r>
      <w:proofErr w:type="spellEnd"/>
      <w:r w:rsidRPr="00E9690A">
        <w:rPr>
          <w:szCs w:val="24"/>
        </w:rPr>
        <w:t xml:space="preserve"> </w:t>
      </w:r>
      <w:proofErr w:type="spellStart"/>
      <w:r w:rsidRPr="00E9690A">
        <w:rPr>
          <w:szCs w:val="24"/>
        </w:rPr>
        <w:t>Mayuran</w:t>
      </w:r>
      <w:proofErr w:type="spellEnd"/>
      <w:r w:rsidR="004C0D70" w:rsidRPr="00E9690A">
        <w:rPr>
          <w:szCs w:val="24"/>
        </w:rPr>
        <w:tab/>
      </w:r>
      <w:r w:rsidRPr="00E9690A">
        <w:rPr>
          <w:b w:val="0"/>
          <w:i/>
          <w:szCs w:val="24"/>
        </w:rPr>
        <w:t>Respondent</w:t>
      </w:r>
    </w:p>
    <w:p w:rsidR="00426659" w:rsidRPr="00E9690A" w:rsidRDefault="00426659" w:rsidP="004C0D70">
      <w:pPr>
        <w:spacing w:after="720"/>
        <w:jc w:val="both"/>
        <w:rPr>
          <w:b/>
          <w:szCs w:val="24"/>
        </w:rPr>
      </w:pPr>
      <w:r w:rsidRPr="00E9690A">
        <w:rPr>
          <w:b/>
          <w:szCs w:val="24"/>
        </w:rPr>
        <w:t xml:space="preserve">Indexed as:  R. </w:t>
      </w:r>
      <w:r w:rsidRPr="00E9690A">
        <w:rPr>
          <w:b/>
          <w:i/>
          <w:szCs w:val="24"/>
        </w:rPr>
        <w:t>v.</w:t>
      </w:r>
      <w:r w:rsidRPr="00E9690A">
        <w:rPr>
          <w:b/>
          <w:szCs w:val="24"/>
        </w:rPr>
        <w:t xml:space="preserve"> </w:t>
      </w:r>
      <w:proofErr w:type="spellStart"/>
      <w:r w:rsidRPr="00E9690A">
        <w:rPr>
          <w:b/>
          <w:szCs w:val="24"/>
        </w:rPr>
        <w:t>Mayuran</w:t>
      </w:r>
      <w:proofErr w:type="spellEnd"/>
    </w:p>
    <w:p w:rsidR="00426659" w:rsidRPr="00E9690A" w:rsidRDefault="00566AD1" w:rsidP="004C0D70">
      <w:pPr>
        <w:pStyle w:val="SCCSystemYear"/>
        <w:spacing w:after="720"/>
        <w:jc w:val="both"/>
        <w:rPr>
          <w:szCs w:val="24"/>
        </w:rPr>
      </w:pPr>
      <w:r w:rsidRPr="00E9690A">
        <w:rPr>
          <w:szCs w:val="24"/>
        </w:rPr>
        <w:t>2012</w:t>
      </w:r>
      <w:r w:rsidR="003D0399" w:rsidRPr="00E9690A">
        <w:rPr>
          <w:szCs w:val="24"/>
        </w:rPr>
        <w:t xml:space="preserve"> </w:t>
      </w:r>
      <w:r w:rsidR="00B03CB6" w:rsidRPr="00E9690A">
        <w:rPr>
          <w:szCs w:val="24"/>
        </w:rPr>
        <w:t>SCC 31</w:t>
      </w:r>
    </w:p>
    <w:p w:rsidR="008322BD" w:rsidRPr="00E9690A" w:rsidRDefault="009B57B3" w:rsidP="004C0D70">
      <w:pPr>
        <w:spacing w:after="720"/>
        <w:jc w:val="both"/>
        <w:rPr>
          <w:szCs w:val="24"/>
        </w:rPr>
      </w:pPr>
      <w:r w:rsidRPr="00E9690A">
        <w:rPr>
          <w:szCs w:val="24"/>
        </w:rPr>
        <w:t>File No.:  34526.</w:t>
      </w:r>
    </w:p>
    <w:p w:rsidR="008322BD" w:rsidRPr="00E9690A" w:rsidRDefault="004C0D70" w:rsidP="004C0D70">
      <w:pPr>
        <w:spacing w:after="720"/>
        <w:jc w:val="both"/>
        <w:rPr>
          <w:szCs w:val="24"/>
        </w:rPr>
      </w:pPr>
      <w:r w:rsidRPr="00E9690A">
        <w:rPr>
          <w:szCs w:val="24"/>
        </w:rPr>
        <w:t>2012:  April </w:t>
      </w:r>
      <w:r w:rsidR="00566AD1" w:rsidRPr="00E9690A">
        <w:rPr>
          <w:szCs w:val="24"/>
        </w:rPr>
        <w:t>19</w:t>
      </w:r>
      <w:r w:rsidR="009B57B3" w:rsidRPr="00E9690A">
        <w:rPr>
          <w:szCs w:val="24"/>
        </w:rPr>
        <w:t>;</w:t>
      </w:r>
      <w:r w:rsidR="0008247C" w:rsidRPr="00E9690A">
        <w:rPr>
          <w:szCs w:val="24"/>
        </w:rPr>
        <w:t xml:space="preserve"> 2012:</w:t>
      </w:r>
      <w:r w:rsidRPr="00E9690A">
        <w:rPr>
          <w:szCs w:val="24"/>
        </w:rPr>
        <w:t>  June </w:t>
      </w:r>
      <w:r w:rsidR="0008247C" w:rsidRPr="00E9690A">
        <w:rPr>
          <w:szCs w:val="24"/>
        </w:rPr>
        <w:t>28</w:t>
      </w:r>
      <w:r w:rsidR="009B57B3" w:rsidRPr="00E9690A">
        <w:rPr>
          <w:szCs w:val="24"/>
        </w:rPr>
        <w:t>.</w:t>
      </w:r>
    </w:p>
    <w:p w:rsidR="008322BD" w:rsidRPr="00E9690A" w:rsidRDefault="009B57B3" w:rsidP="004C0D70">
      <w:pPr>
        <w:spacing w:after="720"/>
        <w:jc w:val="both"/>
        <w:rPr>
          <w:szCs w:val="24"/>
        </w:rPr>
      </w:pPr>
      <w:r w:rsidRPr="00E9690A">
        <w:rPr>
          <w:szCs w:val="24"/>
        </w:rPr>
        <w:t xml:space="preserve">Present:  LeBel, Deschamps, Fish, </w:t>
      </w:r>
      <w:proofErr w:type="spellStart"/>
      <w:r w:rsidRPr="00E9690A">
        <w:rPr>
          <w:szCs w:val="24"/>
        </w:rPr>
        <w:t>Abella</w:t>
      </w:r>
      <w:proofErr w:type="spellEnd"/>
      <w:r w:rsidRPr="00E9690A">
        <w:rPr>
          <w:szCs w:val="24"/>
        </w:rPr>
        <w:t xml:space="preserve">, Cromwell, </w:t>
      </w:r>
      <w:proofErr w:type="spellStart"/>
      <w:r w:rsidRPr="00E9690A">
        <w:rPr>
          <w:szCs w:val="24"/>
        </w:rPr>
        <w:t>Moldaver</w:t>
      </w:r>
      <w:proofErr w:type="spellEnd"/>
      <w:r w:rsidRPr="00E9690A">
        <w:rPr>
          <w:szCs w:val="24"/>
        </w:rPr>
        <w:t xml:space="preserve"> and </w:t>
      </w:r>
      <w:proofErr w:type="spellStart"/>
      <w:r w:rsidRPr="00E9690A">
        <w:rPr>
          <w:szCs w:val="24"/>
        </w:rPr>
        <w:t>Karakatsanis</w:t>
      </w:r>
      <w:proofErr w:type="spellEnd"/>
      <w:r w:rsidRPr="00E9690A">
        <w:rPr>
          <w:szCs w:val="24"/>
        </w:rPr>
        <w:t> JJ.</w:t>
      </w:r>
    </w:p>
    <w:p w:rsidR="008322BD" w:rsidRPr="00E9690A" w:rsidRDefault="00656313" w:rsidP="004C0D70">
      <w:pPr>
        <w:pStyle w:val="SCCLowerCourtNameLowercase"/>
        <w:spacing w:after="720" w:line="240" w:lineRule="auto"/>
        <w:rPr>
          <w:szCs w:val="24"/>
        </w:rPr>
      </w:pPr>
      <w:r w:rsidRPr="00E9690A">
        <w:rPr>
          <w:szCs w:val="24"/>
        </w:rPr>
        <w:t>o</w:t>
      </w:r>
      <w:r w:rsidR="00170592" w:rsidRPr="00E9690A">
        <w:rPr>
          <w:szCs w:val="24"/>
        </w:rPr>
        <w:t>n</w:t>
      </w:r>
      <w:r w:rsidR="00224FC0" w:rsidRPr="00E9690A">
        <w:rPr>
          <w:szCs w:val="24"/>
        </w:rPr>
        <w:t xml:space="preserve"> </w:t>
      </w:r>
      <w:r w:rsidRPr="00E9690A">
        <w:rPr>
          <w:szCs w:val="24"/>
        </w:rPr>
        <w:t>a</w:t>
      </w:r>
      <w:r w:rsidR="00170592" w:rsidRPr="00E9690A">
        <w:rPr>
          <w:szCs w:val="24"/>
        </w:rPr>
        <w:t>ppeal</w:t>
      </w:r>
      <w:r w:rsidR="00224FC0" w:rsidRPr="00E9690A">
        <w:rPr>
          <w:szCs w:val="24"/>
        </w:rPr>
        <w:t xml:space="preserve"> </w:t>
      </w:r>
      <w:r w:rsidR="00170592" w:rsidRPr="00E9690A">
        <w:rPr>
          <w:szCs w:val="24"/>
        </w:rPr>
        <w:t>from</w:t>
      </w:r>
      <w:r w:rsidR="009567AA" w:rsidRPr="00E9690A">
        <w:rPr>
          <w:szCs w:val="24"/>
        </w:rPr>
        <w:t xml:space="preserve"> the</w:t>
      </w:r>
      <w:r w:rsidR="00224FC0" w:rsidRPr="00E9690A">
        <w:rPr>
          <w:szCs w:val="24"/>
        </w:rPr>
        <w:t xml:space="preserve"> </w:t>
      </w:r>
      <w:r w:rsidR="009B57B3" w:rsidRPr="00E9690A">
        <w:rPr>
          <w:szCs w:val="24"/>
        </w:rPr>
        <w:t xml:space="preserve">court of appeal </w:t>
      </w:r>
      <w:r w:rsidR="009E45BE" w:rsidRPr="00E9690A">
        <w:rPr>
          <w:szCs w:val="24"/>
        </w:rPr>
        <w:t>for</w:t>
      </w:r>
      <w:r w:rsidR="009B57B3" w:rsidRPr="00E9690A">
        <w:rPr>
          <w:szCs w:val="24"/>
        </w:rPr>
        <w:t xml:space="preserve"> </w:t>
      </w:r>
      <w:proofErr w:type="spellStart"/>
      <w:r w:rsidR="009B57B3" w:rsidRPr="00E9690A">
        <w:rPr>
          <w:szCs w:val="24"/>
        </w:rPr>
        <w:t>quebec</w:t>
      </w:r>
      <w:proofErr w:type="spellEnd"/>
    </w:p>
    <w:p w:rsidR="00F2713F" w:rsidRPr="00E9690A" w:rsidRDefault="00596FCA" w:rsidP="005C2B38">
      <w:pPr>
        <w:pStyle w:val="SCCNormalDoubleSpacing"/>
        <w:spacing w:after="480"/>
        <w:rPr>
          <w:i/>
          <w:szCs w:val="24"/>
        </w:rPr>
      </w:pPr>
      <w:r w:rsidRPr="00E9690A">
        <w:rPr>
          <w:i/>
          <w:szCs w:val="24"/>
        </w:rPr>
        <w:tab/>
      </w:r>
      <w:r w:rsidR="00F2713F" w:rsidRPr="00E9690A">
        <w:rPr>
          <w:i/>
          <w:szCs w:val="24"/>
        </w:rPr>
        <w:t xml:space="preserve">Criminal law </w:t>
      </w:r>
      <w:r w:rsidRPr="00E9690A">
        <w:rPr>
          <w:i/>
          <w:szCs w:val="24"/>
        </w:rPr>
        <w:t>—</w:t>
      </w:r>
      <w:r w:rsidR="00F2713F" w:rsidRPr="00E9690A">
        <w:rPr>
          <w:i/>
          <w:szCs w:val="24"/>
        </w:rPr>
        <w:t xml:space="preserve"> Defences </w:t>
      </w:r>
      <w:r w:rsidRPr="00E9690A">
        <w:rPr>
          <w:i/>
          <w:szCs w:val="24"/>
        </w:rPr>
        <w:t xml:space="preserve">— </w:t>
      </w:r>
      <w:r w:rsidR="00F2713F" w:rsidRPr="00E9690A">
        <w:rPr>
          <w:i/>
          <w:szCs w:val="24"/>
        </w:rPr>
        <w:t xml:space="preserve">Provocation </w:t>
      </w:r>
      <w:r w:rsidRPr="00E9690A">
        <w:rPr>
          <w:i/>
          <w:szCs w:val="24"/>
        </w:rPr>
        <w:t xml:space="preserve">— </w:t>
      </w:r>
      <w:r w:rsidR="00F2713F" w:rsidRPr="00E9690A">
        <w:rPr>
          <w:i/>
          <w:szCs w:val="24"/>
        </w:rPr>
        <w:t xml:space="preserve">Accused convicted of second degree murder </w:t>
      </w:r>
      <w:r w:rsidRPr="00E9690A">
        <w:rPr>
          <w:i/>
          <w:szCs w:val="24"/>
        </w:rPr>
        <w:t xml:space="preserve">— </w:t>
      </w:r>
      <w:r w:rsidR="00F2713F" w:rsidRPr="00E9690A">
        <w:rPr>
          <w:i/>
          <w:szCs w:val="24"/>
        </w:rPr>
        <w:t xml:space="preserve">Whether defence of provocation should have been put to jury </w:t>
      </w:r>
      <w:r w:rsidRPr="00E9690A">
        <w:rPr>
          <w:i/>
          <w:szCs w:val="24"/>
        </w:rPr>
        <w:t xml:space="preserve">— </w:t>
      </w:r>
      <w:r w:rsidR="00F2713F" w:rsidRPr="00E9690A">
        <w:rPr>
          <w:i/>
          <w:szCs w:val="24"/>
        </w:rPr>
        <w:t xml:space="preserve">Whether objective element of provocation had an air of reality </w:t>
      </w:r>
      <w:r w:rsidRPr="00E9690A">
        <w:rPr>
          <w:i/>
          <w:szCs w:val="24"/>
        </w:rPr>
        <w:t xml:space="preserve">— </w:t>
      </w:r>
      <w:r w:rsidR="00F2713F" w:rsidRPr="00E9690A">
        <w:rPr>
          <w:i/>
          <w:szCs w:val="24"/>
        </w:rPr>
        <w:t xml:space="preserve">Whether trial judge committing errors in instructions to jury </w:t>
      </w:r>
      <w:r w:rsidRPr="00E9690A">
        <w:rPr>
          <w:i/>
          <w:szCs w:val="24"/>
        </w:rPr>
        <w:t xml:space="preserve">— </w:t>
      </w:r>
      <w:r w:rsidR="00904710" w:rsidRPr="00E9690A">
        <w:rPr>
          <w:i/>
          <w:szCs w:val="24"/>
        </w:rPr>
        <w:t>I</w:t>
      </w:r>
      <w:r w:rsidR="00F2713F" w:rsidRPr="00E9690A">
        <w:rPr>
          <w:i/>
          <w:szCs w:val="24"/>
        </w:rPr>
        <w:t>f so, whether curative proviso applicable.</w:t>
      </w:r>
    </w:p>
    <w:p w:rsidR="00F2713F" w:rsidRPr="00E9690A" w:rsidRDefault="00F2713F" w:rsidP="005C2B38">
      <w:pPr>
        <w:pStyle w:val="SCCNormalDoubleSpacing"/>
        <w:spacing w:after="480"/>
        <w:rPr>
          <w:szCs w:val="24"/>
        </w:rPr>
      </w:pPr>
      <w:r w:rsidRPr="00E9690A">
        <w:rPr>
          <w:szCs w:val="24"/>
        </w:rPr>
        <w:lastRenderedPageBreak/>
        <w:tab/>
        <w:t>The accused was convicted of second degree murder in the death of her sister</w:t>
      </w:r>
      <w:r w:rsidR="004C0D70" w:rsidRPr="00E9690A">
        <w:rPr>
          <w:szCs w:val="24"/>
        </w:rPr>
        <w:noBreakHyphen/>
      </w:r>
      <w:r w:rsidRPr="00E9690A">
        <w:rPr>
          <w:szCs w:val="24"/>
        </w:rPr>
        <w:t>in</w:t>
      </w:r>
      <w:r w:rsidR="004C0D70" w:rsidRPr="00E9690A">
        <w:rPr>
          <w:szCs w:val="24"/>
        </w:rPr>
        <w:noBreakHyphen/>
      </w:r>
      <w:r w:rsidRPr="00E9690A">
        <w:rPr>
          <w:szCs w:val="24"/>
        </w:rPr>
        <w:t xml:space="preserve">law who had been stabbed 45 times.  Two members of the </w:t>
      </w:r>
      <w:proofErr w:type="spellStart"/>
      <w:r w:rsidRPr="00E9690A">
        <w:rPr>
          <w:szCs w:val="24"/>
        </w:rPr>
        <w:t>accused</w:t>
      </w:r>
      <w:r w:rsidR="003B48E8" w:rsidRPr="00E9690A">
        <w:rPr>
          <w:szCs w:val="24"/>
        </w:rPr>
        <w:t>’</w:t>
      </w:r>
      <w:r w:rsidRPr="00E9690A">
        <w:rPr>
          <w:szCs w:val="24"/>
        </w:rPr>
        <w:t>s</w:t>
      </w:r>
      <w:proofErr w:type="spellEnd"/>
      <w:r w:rsidRPr="00E9690A">
        <w:rPr>
          <w:szCs w:val="24"/>
        </w:rPr>
        <w:t xml:space="preserve"> family testified that the accused confessed to killing the victim because the victim had ridiculed her about her learning ability and her level of education.  The accused denied having committed or having confessed to the murder, and offered an account of the day</w:t>
      </w:r>
      <w:r w:rsidR="003B48E8" w:rsidRPr="00E9690A">
        <w:rPr>
          <w:szCs w:val="24"/>
        </w:rPr>
        <w:t>’</w:t>
      </w:r>
      <w:r w:rsidRPr="00E9690A">
        <w:rPr>
          <w:szCs w:val="24"/>
        </w:rPr>
        <w:t>s events that conflicted with the rest of the family</w:t>
      </w:r>
      <w:r w:rsidR="003B48E8" w:rsidRPr="00E9690A">
        <w:rPr>
          <w:szCs w:val="24"/>
        </w:rPr>
        <w:t>’</w:t>
      </w:r>
      <w:r w:rsidRPr="00E9690A">
        <w:rPr>
          <w:szCs w:val="24"/>
        </w:rPr>
        <w:t>s testimony.  The family</w:t>
      </w:r>
      <w:r w:rsidR="003B48E8" w:rsidRPr="00E9690A">
        <w:rPr>
          <w:szCs w:val="24"/>
        </w:rPr>
        <w:t>’</w:t>
      </w:r>
      <w:r w:rsidRPr="00E9690A">
        <w:rPr>
          <w:szCs w:val="24"/>
        </w:rPr>
        <w:t xml:space="preserve">s story was corroborated by an independent witness, by receipts and by cellular phone records.  The </w:t>
      </w:r>
      <w:proofErr w:type="spellStart"/>
      <w:r w:rsidRPr="00E9690A">
        <w:rPr>
          <w:szCs w:val="24"/>
        </w:rPr>
        <w:t>accused</w:t>
      </w:r>
      <w:r w:rsidR="003B48E8" w:rsidRPr="00E9690A">
        <w:rPr>
          <w:szCs w:val="24"/>
        </w:rPr>
        <w:t>’</w:t>
      </w:r>
      <w:r w:rsidRPr="00E9690A">
        <w:rPr>
          <w:szCs w:val="24"/>
        </w:rPr>
        <w:t>s</w:t>
      </w:r>
      <w:proofErr w:type="spellEnd"/>
      <w:r w:rsidRPr="00E9690A">
        <w:rPr>
          <w:szCs w:val="24"/>
        </w:rPr>
        <w:t xml:space="preserve"> clothing was found in a bucket of bloody water in the bathroom, her blood was mixed with the blood of the victim on the blade of a knife said to be the murder weapon, her DNA was on the knife</w:t>
      </w:r>
      <w:r w:rsidR="003B48E8" w:rsidRPr="00E9690A">
        <w:rPr>
          <w:szCs w:val="24"/>
        </w:rPr>
        <w:t>’</w:t>
      </w:r>
      <w:r w:rsidRPr="00E9690A">
        <w:rPr>
          <w:szCs w:val="24"/>
        </w:rPr>
        <w:t>s handle, and cuts she suffered were said to be consistent with an injury caused while stabbing someone.</w:t>
      </w:r>
      <w:r w:rsidR="004C0D70" w:rsidRPr="00E9690A">
        <w:rPr>
          <w:szCs w:val="24"/>
        </w:rPr>
        <w:tab/>
      </w:r>
      <w:r w:rsidRPr="00E9690A">
        <w:rPr>
          <w:szCs w:val="24"/>
        </w:rPr>
        <w:t>On appeal, a majority of the Quebec Court of Appeal set aside the conviction and ordered a new tri</w:t>
      </w:r>
      <w:r w:rsidR="004C0D70" w:rsidRPr="00E9690A">
        <w:rPr>
          <w:szCs w:val="24"/>
        </w:rPr>
        <w:t>al.</w:t>
      </w:r>
      <w:r w:rsidR="00356C1D" w:rsidRPr="00E9690A">
        <w:rPr>
          <w:szCs w:val="24"/>
        </w:rPr>
        <w:t xml:space="preserve"> </w:t>
      </w:r>
      <w:r w:rsidRPr="00E9690A">
        <w:rPr>
          <w:szCs w:val="24"/>
        </w:rPr>
        <w:t xml:space="preserve"> In its view, the trial judge ought to have put the defence of provocation to the jury based on the </w:t>
      </w:r>
      <w:proofErr w:type="spellStart"/>
      <w:r w:rsidRPr="00E9690A">
        <w:rPr>
          <w:szCs w:val="24"/>
        </w:rPr>
        <w:t>accused</w:t>
      </w:r>
      <w:r w:rsidR="003B48E8" w:rsidRPr="00E9690A">
        <w:rPr>
          <w:szCs w:val="24"/>
        </w:rPr>
        <w:t>’</w:t>
      </w:r>
      <w:r w:rsidRPr="00E9690A">
        <w:rPr>
          <w:szCs w:val="24"/>
        </w:rPr>
        <w:t>s</w:t>
      </w:r>
      <w:proofErr w:type="spellEnd"/>
      <w:r w:rsidRPr="00E9690A">
        <w:rPr>
          <w:szCs w:val="24"/>
        </w:rPr>
        <w:t xml:space="preserve"> alleged confession to killing the victim because she had been ridiculed by her.</w:t>
      </w:r>
      <w:r w:rsidR="002F7B6A" w:rsidRPr="00E9690A">
        <w:rPr>
          <w:szCs w:val="24"/>
        </w:rPr>
        <w:t xml:space="preserve"> </w:t>
      </w:r>
      <w:r w:rsidRPr="00E9690A">
        <w:rPr>
          <w:szCs w:val="24"/>
        </w:rPr>
        <w:t xml:space="preserve"> The dissenting judge found that there was no air of reality to the defence of provocation on the facts</w:t>
      </w:r>
      <w:r w:rsidR="00027748" w:rsidRPr="00E9690A">
        <w:rPr>
          <w:szCs w:val="24"/>
        </w:rPr>
        <w:t xml:space="preserve"> of</w:t>
      </w:r>
      <w:r w:rsidRPr="00E9690A">
        <w:rPr>
          <w:szCs w:val="24"/>
        </w:rPr>
        <w:t xml:space="preserve"> the case.</w:t>
      </w:r>
    </w:p>
    <w:p w:rsidR="00F2713F" w:rsidRPr="00E9690A" w:rsidRDefault="00F2713F" w:rsidP="005C2B38">
      <w:pPr>
        <w:pStyle w:val="SCCNormalDoubleSpacing"/>
        <w:spacing w:after="480"/>
        <w:rPr>
          <w:szCs w:val="24"/>
        </w:rPr>
      </w:pPr>
      <w:r w:rsidRPr="00E9690A">
        <w:rPr>
          <w:szCs w:val="24"/>
        </w:rPr>
        <w:tab/>
      </w:r>
      <w:r w:rsidRPr="00E9690A">
        <w:rPr>
          <w:i/>
          <w:szCs w:val="24"/>
        </w:rPr>
        <w:t>Held</w:t>
      </w:r>
      <w:r w:rsidRPr="00E9690A">
        <w:rPr>
          <w:szCs w:val="24"/>
        </w:rPr>
        <w:t>:  The appeal should be allowed.  The conviction is restored.</w:t>
      </w:r>
    </w:p>
    <w:p w:rsidR="00F2713F" w:rsidRPr="00E9690A" w:rsidRDefault="004C0D70" w:rsidP="005C2B38">
      <w:pPr>
        <w:pStyle w:val="SCCNormalDoubleSpacing"/>
        <w:spacing w:after="480"/>
        <w:rPr>
          <w:szCs w:val="24"/>
        </w:rPr>
      </w:pPr>
      <w:r w:rsidRPr="00E9690A">
        <w:rPr>
          <w:szCs w:val="24"/>
        </w:rPr>
        <w:tab/>
      </w:r>
      <w:r w:rsidR="00F2713F" w:rsidRPr="00E9690A">
        <w:rPr>
          <w:szCs w:val="24"/>
        </w:rPr>
        <w:t>The defence of provocation requires that there be a wrongful act or insult of such a nature that it is sufficient to deprive an ordinary person of the power of self</w:t>
      </w:r>
      <w:r w:rsidRPr="00E9690A">
        <w:rPr>
          <w:szCs w:val="24"/>
        </w:rPr>
        <w:noBreakHyphen/>
      </w:r>
      <w:r w:rsidR="00F2713F" w:rsidRPr="00E9690A">
        <w:rPr>
          <w:szCs w:val="24"/>
        </w:rPr>
        <w:t xml:space="preserve">control and that the accused act on that insult before there was time for her passion to cool.  In order to satisfy the objective element of the defence, the evidence </w:t>
      </w:r>
      <w:r w:rsidR="00F2713F" w:rsidRPr="00E9690A">
        <w:rPr>
          <w:szCs w:val="24"/>
        </w:rPr>
        <w:lastRenderedPageBreak/>
        <w:t xml:space="preserve">must be capable of giving rise to a reasonable doubt that an ordinary person in the </w:t>
      </w:r>
      <w:proofErr w:type="spellStart"/>
      <w:r w:rsidR="00F2713F" w:rsidRPr="00E9690A">
        <w:rPr>
          <w:szCs w:val="24"/>
        </w:rPr>
        <w:t>accused</w:t>
      </w:r>
      <w:r w:rsidR="003B48E8" w:rsidRPr="00E9690A">
        <w:rPr>
          <w:szCs w:val="24"/>
        </w:rPr>
        <w:t>’</w:t>
      </w:r>
      <w:r w:rsidR="00F2713F" w:rsidRPr="00E9690A">
        <w:rPr>
          <w:szCs w:val="24"/>
        </w:rPr>
        <w:t>s</w:t>
      </w:r>
      <w:proofErr w:type="spellEnd"/>
      <w:r w:rsidR="00F2713F" w:rsidRPr="00E9690A">
        <w:rPr>
          <w:szCs w:val="24"/>
        </w:rPr>
        <w:t xml:space="preserve"> circumstances would be deprived of the power of self</w:t>
      </w:r>
      <w:r w:rsidRPr="00E9690A">
        <w:rPr>
          <w:szCs w:val="24"/>
        </w:rPr>
        <w:noBreakHyphen/>
      </w:r>
      <w:r w:rsidR="00F2713F" w:rsidRPr="00E9690A">
        <w:rPr>
          <w:szCs w:val="24"/>
        </w:rPr>
        <w:t xml:space="preserve">control when hearing insults about his or her level of education.  Based on the record, a properly instructed jury could not conclude that an ordinary person in the </w:t>
      </w:r>
      <w:proofErr w:type="spellStart"/>
      <w:r w:rsidR="00F2713F" w:rsidRPr="00E9690A">
        <w:rPr>
          <w:szCs w:val="24"/>
        </w:rPr>
        <w:t>accused</w:t>
      </w:r>
      <w:r w:rsidR="003B48E8" w:rsidRPr="00E9690A">
        <w:rPr>
          <w:szCs w:val="24"/>
        </w:rPr>
        <w:t>’</w:t>
      </w:r>
      <w:r w:rsidR="00F2713F" w:rsidRPr="00E9690A">
        <w:rPr>
          <w:szCs w:val="24"/>
        </w:rPr>
        <w:t>s</w:t>
      </w:r>
      <w:proofErr w:type="spellEnd"/>
      <w:r w:rsidR="00F2713F" w:rsidRPr="00E9690A">
        <w:rPr>
          <w:szCs w:val="24"/>
        </w:rPr>
        <w:t xml:space="preserve"> circumstances would be deprived of self</w:t>
      </w:r>
      <w:r w:rsidRPr="00E9690A">
        <w:rPr>
          <w:szCs w:val="24"/>
        </w:rPr>
        <w:noBreakHyphen/>
      </w:r>
      <w:r w:rsidR="00F2713F" w:rsidRPr="00E9690A">
        <w:rPr>
          <w:szCs w:val="24"/>
        </w:rPr>
        <w:t>control when “scolded” about her level of education to such a degree that she would stab the person 45 times in a responsive rage.  It has no air of reality.  As a result, there was no duty on the trial judge to instruct the jury on the defence of provocation.</w:t>
      </w:r>
    </w:p>
    <w:p w:rsidR="00F2713F" w:rsidRPr="00E9690A" w:rsidRDefault="00F2713F" w:rsidP="005C2B38">
      <w:pPr>
        <w:pStyle w:val="SCCNormalDoubleSpacing"/>
        <w:spacing w:after="480"/>
        <w:rPr>
          <w:szCs w:val="24"/>
        </w:rPr>
      </w:pPr>
      <w:r w:rsidRPr="00E9690A">
        <w:rPr>
          <w:szCs w:val="24"/>
        </w:rPr>
        <w:tab/>
        <w:t>The curative proviso can be applied in two situations: where the error is harmless or so minor that it could not have had any impact on the verdict; and where, even if the error is not minor, the evidence against the accused is so overwhelming that any other verdict would have been impossible to obtain.  The trial judge</w:t>
      </w:r>
      <w:r w:rsidR="003B48E8" w:rsidRPr="00E9690A">
        <w:rPr>
          <w:szCs w:val="24"/>
        </w:rPr>
        <w:t>’</w:t>
      </w:r>
      <w:r w:rsidRPr="00E9690A">
        <w:rPr>
          <w:szCs w:val="24"/>
        </w:rPr>
        <w:t xml:space="preserve">s </w:t>
      </w:r>
      <w:proofErr w:type="gramStart"/>
      <w:r w:rsidRPr="00E9690A">
        <w:rPr>
          <w:szCs w:val="24"/>
        </w:rPr>
        <w:t>instruction to the jury in this case contained several errors, but most were</w:t>
      </w:r>
      <w:proofErr w:type="gramEnd"/>
      <w:r w:rsidRPr="00E9690A">
        <w:rPr>
          <w:szCs w:val="24"/>
        </w:rPr>
        <w:t xml:space="preserve"> minor and could not possibly have affected the verdict.  And while the trial judge</w:t>
      </w:r>
      <w:r w:rsidR="003B48E8" w:rsidRPr="00E9690A">
        <w:rPr>
          <w:szCs w:val="24"/>
        </w:rPr>
        <w:t>’</w:t>
      </w:r>
      <w:r w:rsidRPr="00E9690A">
        <w:rPr>
          <w:szCs w:val="24"/>
        </w:rPr>
        <w:t xml:space="preserve">s error on the use of the </w:t>
      </w:r>
      <w:proofErr w:type="spellStart"/>
      <w:r w:rsidRPr="00E9690A">
        <w:rPr>
          <w:szCs w:val="24"/>
        </w:rPr>
        <w:t>accused</w:t>
      </w:r>
      <w:r w:rsidR="003B48E8" w:rsidRPr="00E9690A">
        <w:rPr>
          <w:szCs w:val="24"/>
        </w:rPr>
        <w:t>’</w:t>
      </w:r>
      <w:r w:rsidRPr="00E9690A">
        <w:rPr>
          <w:szCs w:val="24"/>
        </w:rPr>
        <w:t>s</w:t>
      </w:r>
      <w:proofErr w:type="spellEnd"/>
      <w:r w:rsidRPr="00E9690A">
        <w:rPr>
          <w:szCs w:val="24"/>
        </w:rPr>
        <w:t xml:space="preserve"> confession was not harmless, the case against her was overwhelming.  As a result, the curative proviso applies.</w:t>
      </w:r>
    </w:p>
    <w:p w:rsidR="007E1C47" w:rsidRPr="00E9690A" w:rsidRDefault="002E6705" w:rsidP="004C0D70">
      <w:pPr>
        <w:pStyle w:val="SCCNormalDoubleSpacing"/>
        <w:keepNext/>
        <w:spacing w:after="720" w:line="240" w:lineRule="auto"/>
        <w:rPr>
          <w:b/>
          <w:szCs w:val="24"/>
        </w:rPr>
      </w:pPr>
      <w:r w:rsidRPr="00E9690A">
        <w:rPr>
          <w:b/>
          <w:szCs w:val="24"/>
        </w:rPr>
        <w:t>Cases Cited</w:t>
      </w:r>
    </w:p>
    <w:p w:rsidR="004E2C26" w:rsidRPr="00E9690A" w:rsidRDefault="002E6705" w:rsidP="004C0D70">
      <w:pPr>
        <w:pStyle w:val="SCCNormalDoubleSpacing"/>
        <w:spacing w:after="480"/>
        <w:rPr>
          <w:szCs w:val="24"/>
        </w:rPr>
      </w:pPr>
      <w:r w:rsidRPr="00E9690A">
        <w:rPr>
          <w:szCs w:val="24"/>
        </w:rPr>
        <w:tab/>
      </w:r>
      <w:r w:rsidRPr="00E9690A">
        <w:rPr>
          <w:b/>
          <w:szCs w:val="24"/>
        </w:rPr>
        <w:t>Referred to:</w:t>
      </w:r>
      <w:r w:rsidR="00BD0E9E" w:rsidRPr="00E9690A">
        <w:rPr>
          <w:szCs w:val="24"/>
        </w:rPr>
        <w:t xml:space="preserve"> </w:t>
      </w:r>
      <w:r w:rsidR="00535520" w:rsidRPr="00E9690A">
        <w:rPr>
          <w:szCs w:val="24"/>
        </w:rPr>
        <w:t xml:space="preserve"> </w:t>
      </w:r>
      <w:r w:rsidR="00535520" w:rsidRPr="00E9690A">
        <w:rPr>
          <w:i/>
          <w:szCs w:val="24"/>
        </w:rPr>
        <w:t xml:space="preserve">R. v. </w:t>
      </w:r>
      <w:proofErr w:type="spellStart"/>
      <w:r w:rsidR="00535520" w:rsidRPr="00E9690A">
        <w:rPr>
          <w:i/>
          <w:szCs w:val="24"/>
        </w:rPr>
        <w:t>Cinous</w:t>
      </w:r>
      <w:proofErr w:type="spellEnd"/>
      <w:r w:rsidR="00535520" w:rsidRPr="00E9690A">
        <w:rPr>
          <w:szCs w:val="24"/>
        </w:rPr>
        <w:t xml:space="preserve">, 2002 SCC </w:t>
      </w:r>
      <w:r w:rsidR="0064358D" w:rsidRPr="00E9690A">
        <w:rPr>
          <w:szCs w:val="24"/>
        </w:rPr>
        <w:t>29</w:t>
      </w:r>
      <w:r w:rsidR="00535520" w:rsidRPr="00E9690A">
        <w:rPr>
          <w:szCs w:val="24"/>
        </w:rPr>
        <w:t xml:space="preserve">, [2002] </w:t>
      </w:r>
      <w:proofErr w:type="gramStart"/>
      <w:r w:rsidR="00535520" w:rsidRPr="00E9690A">
        <w:rPr>
          <w:szCs w:val="24"/>
        </w:rPr>
        <w:t>2 S.C.R. 3</w:t>
      </w:r>
      <w:proofErr w:type="gramEnd"/>
      <w:r w:rsidR="00535520" w:rsidRPr="00E9690A">
        <w:rPr>
          <w:szCs w:val="24"/>
        </w:rPr>
        <w:t xml:space="preserve">; </w:t>
      </w:r>
      <w:r w:rsidR="00535520" w:rsidRPr="00E9690A">
        <w:rPr>
          <w:i/>
          <w:szCs w:val="24"/>
        </w:rPr>
        <w:t xml:space="preserve">R. v. </w:t>
      </w:r>
      <w:proofErr w:type="spellStart"/>
      <w:r w:rsidR="00535520" w:rsidRPr="00E9690A">
        <w:rPr>
          <w:i/>
          <w:szCs w:val="24"/>
        </w:rPr>
        <w:t>Osolin</w:t>
      </w:r>
      <w:proofErr w:type="spellEnd"/>
      <w:r w:rsidR="00535520" w:rsidRPr="00E9690A">
        <w:rPr>
          <w:szCs w:val="24"/>
        </w:rPr>
        <w:t xml:space="preserve">, [1993] 4 S.C.R. 595; </w:t>
      </w:r>
      <w:r w:rsidR="00535520" w:rsidRPr="00E9690A">
        <w:rPr>
          <w:i/>
          <w:szCs w:val="24"/>
        </w:rPr>
        <w:t>R. v. Tran</w:t>
      </w:r>
      <w:r w:rsidR="00535520" w:rsidRPr="00E9690A">
        <w:rPr>
          <w:szCs w:val="24"/>
        </w:rPr>
        <w:t xml:space="preserve">, 2010 SCC </w:t>
      </w:r>
      <w:r w:rsidR="0064358D" w:rsidRPr="00E9690A">
        <w:rPr>
          <w:szCs w:val="24"/>
        </w:rPr>
        <w:t>58</w:t>
      </w:r>
      <w:r w:rsidR="00535520" w:rsidRPr="00E9690A">
        <w:rPr>
          <w:szCs w:val="24"/>
        </w:rPr>
        <w:t xml:space="preserve">, [2010] 3 S.C.R. 350; </w:t>
      </w:r>
      <w:r w:rsidR="00535520" w:rsidRPr="00E9690A">
        <w:rPr>
          <w:i/>
          <w:szCs w:val="24"/>
        </w:rPr>
        <w:t xml:space="preserve">R. v. </w:t>
      </w:r>
      <w:proofErr w:type="spellStart"/>
      <w:r w:rsidR="00535520" w:rsidRPr="00E9690A">
        <w:rPr>
          <w:i/>
          <w:szCs w:val="24"/>
        </w:rPr>
        <w:t>Thibert</w:t>
      </w:r>
      <w:proofErr w:type="spellEnd"/>
      <w:r w:rsidR="00535520" w:rsidRPr="00E9690A">
        <w:rPr>
          <w:szCs w:val="24"/>
        </w:rPr>
        <w:t xml:space="preserve">, [1996] 1 S.C.R. 37; </w:t>
      </w:r>
      <w:r w:rsidR="00535520" w:rsidRPr="00E9690A">
        <w:rPr>
          <w:i/>
          <w:szCs w:val="24"/>
        </w:rPr>
        <w:t>R. v. Hill</w:t>
      </w:r>
      <w:r w:rsidR="00535520" w:rsidRPr="00E9690A">
        <w:rPr>
          <w:szCs w:val="24"/>
        </w:rPr>
        <w:t xml:space="preserve">, [1986] 1 S.C.R. 313; </w:t>
      </w:r>
      <w:r w:rsidR="00535520" w:rsidRPr="00E9690A">
        <w:rPr>
          <w:i/>
          <w:szCs w:val="24"/>
        </w:rPr>
        <w:t xml:space="preserve">Lewis v. </w:t>
      </w:r>
      <w:proofErr w:type="gramStart"/>
      <w:r w:rsidR="00535520" w:rsidRPr="00E9690A">
        <w:rPr>
          <w:i/>
          <w:szCs w:val="24"/>
        </w:rPr>
        <w:t>The Queen</w:t>
      </w:r>
      <w:r w:rsidR="00535520" w:rsidRPr="00E9690A">
        <w:rPr>
          <w:szCs w:val="24"/>
        </w:rPr>
        <w:t xml:space="preserve">, [1979] 2 S.C.R. 821; </w:t>
      </w:r>
      <w:proofErr w:type="spellStart"/>
      <w:r w:rsidR="00535520" w:rsidRPr="00E9690A">
        <w:rPr>
          <w:i/>
          <w:szCs w:val="24"/>
        </w:rPr>
        <w:t>Colpitts</w:t>
      </w:r>
      <w:proofErr w:type="spellEnd"/>
      <w:r w:rsidR="00535520" w:rsidRPr="00E9690A">
        <w:rPr>
          <w:i/>
          <w:szCs w:val="24"/>
        </w:rPr>
        <w:t xml:space="preserve"> v.</w:t>
      </w:r>
      <w:proofErr w:type="gramEnd"/>
      <w:r w:rsidR="00535520" w:rsidRPr="00E9690A">
        <w:rPr>
          <w:i/>
          <w:szCs w:val="24"/>
        </w:rPr>
        <w:t xml:space="preserve"> The Queen</w:t>
      </w:r>
      <w:r w:rsidR="00535520" w:rsidRPr="00E9690A">
        <w:rPr>
          <w:szCs w:val="24"/>
        </w:rPr>
        <w:t xml:space="preserve">, [1965] S.C.R. 739; </w:t>
      </w:r>
      <w:r w:rsidR="00535520" w:rsidRPr="00E9690A">
        <w:rPr>
          <w:i/>
          <w:szCs w:val="24"/>
        </w:rPr>
        <w:t>R. v. White</w:t>
      </w:r>
      <w:r w:rsidR="00535520" w:rsidRPr="00E9690A">
        <w:rPr>
          <w:szCs w:val="24"/>
        </w:rPr>
        <w:t xml:space="preserve"> (1996), 29 O.R. </w:t>
      </w:r>
      <w:r w:rsidR="00535520" w:rsidRPr="00E9690A">
        <w:rPr>
          <w:szCs w:val="24"/>
        </w:rPr>
        <w:lastRenderedPageBreak/>
        <w:t xml:space="preserve">(3d) 577, </w:t>
      </w:r>
      <w:proofErr w:type="spellStart"/>
      <w:r w:rsidR="00535520" w:rsidRPr="00E9690A">
        <w:rPr>
          <w:szCs w:val="24"/>
        </w:rPr>
        <w:t>aff</w:t>
      </w:r>
      <w:r w:rsidR="003B48E8" w:rsidRPr="00E9690A">
        <w:rPr>
          <w:szCs w:val="24"/>
        </w:rPr>
        <w:t>’</w:t>
      </w:r>
      <w:r w:rsidR="00535520" w:rsidRPr="00E9690A">
        <w:rPr>
          <w:szCs w:val="24"/>
        </w:rPr>
        <w:t>d</w:t>
      </w:r>
      <w:proofErr w:type="spellEnd"/>
      <w:r w:rsidR="00535520" w:rsidRPr="00E9690A">
        <w:rPr>
          <w:szCs w:val="24"/>
        </w:rPr>
        <w:t xml:space="preserve"> [1998] 2 S.C.R. 72; </w:t>
      </w:r>
      <w:r w:rsidR="00535520" w:rsidRPr="00E9690A">
        <w:rPr>
          <w:i/>
          <w:szCs w:val="24"/>
        </w:rPr>
        <w:t>R. v. Gunning</w:t>
      </w:r>
      <w:r w:rsidR="00535520" w:rsidRPr="00E9690A">
        <w:rPr>
          <w:szCs w:val="24"/>
        </w:rPr>
        <w:t xml:space="preserve">, 2005 SCC </w:t>
      </w:r>
      <w:r w:rsidR="0064358D" w:rsidRPr="00E9690A">
        <w:rPr>
          <w:szCs w:val="24"/>
        </w:rPr>
        <w:t>27</w:t>
      </w:r>
      <w:r w:rsidR="00535520" w:rsidRPr="00E9690A">
        <w:rPr>
          <w:szCs w:val="24"/>
        </w:rPr>
        <w:t xml:space="preserve">, [2005] 1 S.C.R. 627; </w:t>
      </w:r>
      <w:r w:rsidR="00535520" w:rsidRPr="00E9690A">
        <w:rPr>
          <w:i/>
          <w:szCs w:val="24"/>
        </w:rPr>
        <w:t>R. v. Griffin</w:t>
      </w:r>
      <w:r w:rsidR="00535520" w:rsidRPr="00E9690A">
        <w:rPr>
          <w:szCs w:val="24"/>
        </w:rPr>
        <w:t xml:space="preserve">, </w:t>
      </w:r>
      <w:r w:rsidR="0064358D" w:rsidRPr="00E9690A">
        <w:rPr>
          <w:szCs w:val="24"/>
        </w:rPr>
        <w:t>2009 SCC 28</w:t>
      </w:r>
      <w:r w:rsidR="00535520" w:rsidRPr="00E9690A">
        <w:rPr>
          <w:szCs w:val="24"/>
        </w:rPr>
        <w:t xml:space="preserve">, [2009] 2 S.C.R. 42; </w:t>
      </w:r>
      <w:r w:rsidR="00535520" w:rsidRPr="00E9690A">
        <w:rPr>
          <w:i/>
          <w:szCs w:val="24"/>
        </w:rPr>
        <w:t>R. v. Fleet</w:t>
      </w:r>
      <w:r w:rsidR="00535520" w:rsidRPr="00E9690A">
        <w:rPr>
          <w:szCs w:val="24"/>
        </w:rPr>
        <w:t xml:space="preserve"> (1997), 120 C.C.C. (3d) 457; </w:t>
      </w:r>
      <w:r w:rsidR="00535520" w:rsidRPr="00E9690A">
        <w:rPr>
          <w:i/>
          <w:szCs w:val="24"/>
        </w:rPr>
        <w:t xml:space="preserve">R. v. </w:t>
      </w:r>
      <w:proofErr w:type="spellStart"/>
      <w:r w:rsidR="00535520" w:rsidRPr="00E9690A">
        <w:rPr>
          <w:i/>
          <w:szCs w:val="24"/>
        </w:rPr>
        <w:t>Mac</w:t>
      </w:r>
      <w:r w:rsidR="001A2076" w:rsidRPr="00E9690A">
        <w:rPr>
          <w:i/>
          <w:szCs w:val="24"/>
        </w:rPr>
        <w:t>K</w:t>
      </w:r>
      <w:r w:rsidR="00535520" w:rsidRPr="00E9690A">
        <w:rPr>
          <w:i/>
          <w:szCs w:val="24"/>
        </w:rPr>
        <w:t>enzie</w:t>
      </w:r>
      <w:proofErr w:type="spellEnd"/>
      <w:r w:rsidR="00535520" w:rsidRPr="00E9690A">
        <w:rPr>
          <w:szCs w:val="24"/>
        </w:rPr>
        <w:t xml:space="preserve">, [1993] 1 S.C.R. 212; </w:t>
      </w:r>
      <w:r w:rsidR="00535520" w:rsidRPr="00E9690A">
        <w:rPr>
          <w:i/>
          <w:szCs w:val="24"/>
        </w:rPr>
        <w:t>R. v. Morin</w:t>
      </w:r>
      <w:r w:rsidR="00535520" w:rsidRPr="00E9690A">
        <w:rPr>
          <w:szCs w:val="24"/>
        </w:rPr>
        <w:t xml:space="preserve">, [1988] 2 S.C.R. 345; </w:t>
      </w:r>
      <w:r w:rsidR="00535520" w:rsidRPr="00E9690A">
        <w:rPr>
          <w:i/>
          <w:szCs w:val="24"/>
        </w:rPr>
        <w:t>R. v. Rojas</w:t>
      </w:r>
      <w:r w:rsidR="00535520" w:rsidRPr="00E9690A">
        <w:rPr>
          <w:szCs w:val="24"/>
        </w:rPr>
        <w:t xml:space="preserve">, 2008 SCC 56, [2008] </w:t>
      </w:r>
      <w:r w:rsidR="0064358D" w:rsidRPr="00E9690A">
        <w:rPr>
          <w:szCs w:val="24"/>
        </w:rPr>
        <w:t>3</w:t>
      </w:r>
      <w:r w:rsidR="00535520" w:rsidRPr="00E9690A">
        <w:rPr>
          <w:szCs w:val="24"/>
        </w:rPr>
        <w:t xml:space="preserve"> S.C.R. </w:t>
      </w:r>
      <w:r w:rsidR="0064358D" w:rsidRPr="00E9690A">
        <w:rPr>
          <w:szCs w:val="24"/>
        </w:rPr>
        <w:t>111</w:t>
      </w:r>
      <w:r w:rsidR="00535520" w:rsidRPr="00E9690A">
        <w:rPr>
          <w:szCs w:val="24"/>
        </w:rPr>
        <w:t xml:space="preserve">; </w:t>
      </w:r>
      <w:r w:rsidR="00535520" w:rsidRPr="00E9690A">
        <w:rPr>
          <w:i/>
          <w:szCs w:val="24"/>
        </w:rPr>
        <w:t>R. v. Van</w:t>
      </w:r>
      <w:r w:rsidR="00535520" w:rsidRPr="00E9690A">
        <w:rPr>
          <w:szCs w:val="24"/>
        </w:rPr>
        <w:t xml:space="preserve">, 2009 SCC </w:t>
      </w:r>
      <w:r w:rsidR="0064358D" w:rsidRPr="00E9690A">
        <w:rPr>
          <w:szCs w:val="24"/>
        </w:rPr>
        <w:t>22</w:t>
      </w:r>
      <w:r w:rsidR="00535520" w:rsidRPr="00E9690A">
        <w:rPr>
          <w:szCs w:val="24"/>
        </w:rPr>
        <w:t xml:space="preserve">, [2009] 1 S.C.R. 716; </w:t>
      </w:r>
      <w:r w:rsidR="00535520" w:rsidRPr="00E9690A">
        <w:rPr>
          <w:i/>
          <w:szCs w:val="24"/>
        </w:rPr>
        <w:t xml:space="preserve">R. v. </w:t>
      </w:r>
      <w:proofErr w:type="spellStart"/>
      <w:r w:rsidR="00535520" w:rsidRPr="00E9690A">
        <w:rPr>
          <w:i/>
          <w:szCs w:val="24"/>
        </w:rPr>
        <w:t>Trochym</w:t>
      </w:r>
      <w:proofErr w:type="spellEnd"/>
      <w:r w:rsidR="00535520" w:rsidRPr="00E9690A">
        <w:rPr>
          <w:szCs w:val="24"/>
        </w:rPr>
        <w:t xml:space="preserve">, 2007 SCC </w:t>
      </w:r>
      <w:r w:rsidR="0064358D" w:rsidRPr="00E9690A">
        <w:rPr>
          <w:szCs w:val="24"/>
        </w:rPr>
        <w:t>6</w:t>
      </w:r>
      <w:r w:rsidR="00535520" w:rsidRPr="00E9690A">
        <w:rPr>
          <w:szCs w:val="24"/>
        </w:rPr>
        <w:t xml:space="preserve">, [2007] 1 S.C.R. 239; </w:t>
      </w:r>
      <w:r w:rsidR="00535520" w:rsidRPr="00E9690A">
        <w:rPr>
          <w:i/>
          <w:szCs w:val="24"/>
        </w:rPr>
        <w:t>R. v. Khan</w:t>
      </w:r>
      <w:r w:rsidR="00535520" w:rsidRPr="00E9690A">
        <w:rPr>
          <w:szCs w:val="24"/>
        </w:rPr>
        <w:t xml:space="preserve">, 2001 SCC </w:t>
      </w:r>
      <w:r w:rsidR="0064358D" w:rsidRPr="00E9690A">
        <w:rPr>
          <w:szCs w:val="24"/>
        </w:rPr>
        <w:t>86</w:t>
      </w:r>
      <w:r w:rsidR="00535520" w:rsidRPr="00E9690A">
        <w:rPr>
          <w:szCs w:val="24"/>
        </w:rPr>
        <w:t xml:space="preserve">, [2001] 3 S.C.R. 823; </w:t>
      </w:r>
      <w:r w:rsidR="00535520" w:rsidRPr="00E9690A">
        <w:rPr>
          <w:i/>
          <w:szCs w:val="24"/>
        </w:rPr>
        <w:t>R. v. Jaw</w:t>
      </w:r>
      <w:r w:rsidR="00535520" w:rsidRPr="00E9690A">
        <w:rPr>
          <w:szCs w:val="24"/>
        </w:rPr>
        <w:t xml:space="preserve">, 2009 SCC </w:t>
      </w:r>
      <w:r w:rsidR="0064358D" w:rsidRPr="00E9690A">
        <w:rPr>
          <w:szCs w:val="24"/>
        </w:rPr>
        <w:t>42</w:t>
      </w:r>
      <w:r w:rsidR="00535520" w:rsidRPr="00E9690A">
        <w:rPr>
          <w:szCs w:val="24"/>
        </w:rPr>
        <w:t xml:space="preserve">, [2009] 3 S.C.R. 26; </w:t>
      </w:r>
      <w:r w:rsidR="00994541" w:rsidRPr="00E9690A">
        <w:rPr>
          <w:i/>
          <w:szCs w:val="24"/>
        </w:rPr>
        <w:t>R. v. Jacquard</w:t>
      </w:r>
      <w:r w:rsidR="00994541" w:rsidRPr="00E9690A">
        <w:rPr>
          <w:szCs w:val="24"/>
        </w:rPr>
        <w:t>, [1997] 1 S.C.R. 314.</w:t>
      </w:r>
    </w:p>
    <w:p w:rsidR="003B215F" w:rsidRPr="00E9690A" w:rsidRDefault="002E6705" w:rsidP="004C0D70">
      <w:pPr>
        <w:pStyle w:val="SCCNormalDoubleSpacing"/>
        <w:spacing w:after="720" w:line="240" w:lineRule="auto"/>
        <w:rPr>
          <w:szCs w:val="24"/>
        </w:rPr>
      </w:pPr>
      <w:r w:rsidRPr="00E9690A">
        <w:rPr>
          <w:b/>
          <w:szCs w:val="24"/>
        </w:rPr>
        <w:t>Statutes and Regulations Cite</w:t>
      </w:r>
      <w:r w:rsidR="00A41805" w:rsidRPr="00E9690A">
        <w:rPr>
          <w:b/>
          <w:szCs w:val="24"/>
        </w:rPr>
        <w:t>d</w:t>
      </w:r>
    </w:p>
    <w:p w:rsidR="00A149DF" w:rsidRPr="00E9690A" w:rsidRDefault="00994541" w:rsidP="004C0D70">
      <w:pPr>
        <w:pStyle w:val="SCCNormalDoubleSpacing"/>
        <w:spacing w:after="720" w:line="240" w:lineRule="auto"/>
        <w:ind w:left="547" w:hanging="547"/>
        <w:rPr>
          <w:szCs w:val="24"/>
          <w:lang w:val="en-US"/>
        </w:rPr>
      </w:pPr>
      <w:r w:rsidRPr="00E9690A">
        <w:rPr>
          <w:i/>
          <w:szCs w:val="24"/>
          <w:lang w:val="en-US"/>
        </w:rPr>
        <w:t>Criminal Code</w:t>
      </w:r>
      <w:r w:rsidR="004C0D70" w:rsidRPr="00E9690A">
        <w:rPr>
          <w:szCs w:val="24"/>
          <w:lang w:val="en-US"/>
        </w:rPr>
        <w:t>, R.S.C. 1985, c. </w:t>
      </w:r>
      <w:r w:rsidRPr="00E9690A">
        <w:rPr>
          <w:szCs w:val="24"/>
          <w:lang w:val="en-US"/>
        </w:rPr>
        <w:t>C</w:t>
      </w:r>
      <w:r w:rsidR="004C0D70" w:rsidRPr="00E9690A">
        <w:rPr>
          <w:szCs w:val="24"/>
          <w:lang w:val="en-US"/>
        </w:rPr>
        <w:noBreakHyphen/>
      </w:r>
      <w:r w:rsidRPr="00E9690A">
        <w:rPr>
          <w:szCs w:val="24"/>
          <w:lang w:val="en-US"/>
        </w:rPr>
        <w:t xml:space="preserve">46, </w:t>
      </w:r>
      <w:r w:rsidR="008C4D40" w:rsidRPr="00E9690A">
        <w:rPr>
          <w:szCs w:val="24"/>
          <w:lang w:val="en-US"/>
        </w:rPr>
        <w:t>s</w:t>
      </w:r>
      <w:r w:rsidR="004C0D70" w:rsidRPr="00E9690A">
        <w:rPr>
          <w:szCs w:val="24"/>
          <w:lang w:val="en-US"/>
        </w:rPr>
        <w:t>. </w:t>
      </w:r>
      <w:r w:rsidRPr="00E9690A">
        <w:rPr>
          <w:szCs w:val="24"/>
          <w:lang w:val="en-US"/>
        </w:rPr>
        <w:t>232.</w:t>
      </w:r>
    </w:p>
    <w:p w:rsidR="00656313" w:rsidRPr="00E9690A" w:rsidRDefault="009E45BE" w:rsidP="004C0D70">
      <w:pPr>
        <w:pStyle w:val="SCCNormalDoubleSpacing"/>
        <w:spacing w:after="480"/>
        <w:rPr>
          <w:szCs w:val="24"/>
        </w:rPr>
      </w:pPr>
      <w:r w:rsidRPr="00E9690A">
        <w:rPr>
          <w:szCs w:val="24"/>
          <w:lang w:val="en-US"/>
        </w:rPr>
        <w:tab/>
      </w:r>
      <w:r w:rsidR="009B57B3" w:rsidRPr="00E9690A">
        <w:rPr>
          <w:szCs w:val="24"/>
        </w:rPr>
        <w:t xml:space="preserve">APPEAL from a judgment of the </w:t>
      </w:r>
      <w:r w:rsidRPr="00E9690A">
        <w:rPr>
          <w:szCs w:val="24"/>
        </w:rPr>
        <w:t xml:space="preserve">Quebec </w:t>
      </w:r>
      <w:r w:rsidR="009B57B3" w:rsidRPr="00E9690A">
        <w:rPr>
          <w:szCs w:val="24"/>
        </w:rPr>
        <w:t>Court of Appeal</w:t>
      </w:r>
      <w:r w:rsidR="00C86A97" w:rsidRPr="00E9690A">
        <w:rPr>
          <w:szCs w:val="24"/>
        </w:rPr>
        <w:t xml:space="preserve"> (Beau</w:t>
      </w:r>
      <w:r w:rsidR="004C0D70" w:rsidRPr="00E9690A">
        <w:rPr>
          <w:szCs w:val="24"/>
        </w:rPr>
        <w:t xml:space="preserve">regard, </w:t>
      </w:r>
      <w:proofErr w:type="spellStart"/>
      <w:r w:rsidR="004C0D70" w:rsidRPr="00E9690A">
        <w:rPr>
          <w:szCs w:val="24"/>
        </w:rPr>
        <w:t>Rochon</w:t>
      </w:r>
      <w:proofErr w:type="spellEnd"/>
      <w:r w:rsidR="004C0D70" w:rsidRPr="00E9690A">
        <w:rPr>
          <w:szCs w:val="24"/>
        </w:rPr>
        <w:t xml:space="preserve"> and Duval </w:t>
      </w:r>
      <w:proofErr w:type="spellStart"/>
      <w:r w:rsidR="004C0D70" w:rsidRPr="00E9690A">
        <w:rPr>
          <w:szCs w:val="24"/>
        </w:rPr>
        <w:t>Hesler</w:t>
      </w:r>
      <w:proofErr w:type="spellEnd"/>
      <w:r w:rsidR="004C0D70" w:rsidRPr="00E9690A">
        <w:rPr>
          <w:szCs w:val="24"/>
        </w:rPr>
        <w:t> </w:t>
      </w:r>
      <w:r w:rsidR="00C86A97" w:rsidRPr="00E9690A">
        <w:rPr>
          <w:szCs w:val="24"/>
        </w:rPr>
        <w:t>JJ.A.), 2011 QCCA 1823, [2011] J.Q. n</w:t>
      </w:r>
      <w:r w:rsidR="00C86A97" w:rsidRPr="00E9690A">
        <w:rPr>
          <w:szCs w:val="24"/>
          <w:vertAlign w:val="superscript"/>
        </w:rPr>
        <w:t>o</w:t>
      </w:r>
      <w:r w:rsidR="004C0D70" w:rsidRPr="00E9690A">
        <w:rPr>
          <w:szCs w:val="24"/>
        </w:rPr>
        <w:t> </w:t>
      </w:r>
      <w:r w:rsidR="00C86A97" w:rsidRPr="00E9690A">
        <w:rPr>
          <w:szCs w:val="24"/>
        </w:rPr>
        <w:t>13938</w:t>
      </w:r>
      <w:r w:rsidR="00535520" w:rsidRPr="00E9690A">
        <w:rPr>
          <w:szCs w:val="24"/>
        </w:rPr>
        <w:t xml:space="preserve"> (QL), 2011 </w:t>
      </w:r>
      <w:proofErr w:type="spellStart"/>
      <w:r w:rsidR="00535520" w:rsidRPr="00E9690A">
        <w:rPr>
          <w:szCs w:val="24"/>
        </w:rPr>
        <w:t>CarswellQue</w:t>
      </w:r>
      <w:proofErr w:type="spellEnd"/>
      <w:r w:rsidR="00535520" w:rsidRPr="00E9690A">
        <w:rPr>
          <w:szCs w:val="24"/>
        </w:rPr>
        <w:t xml:space="preserve"> 10626, setting aside the </w:t>
      </w:r>
      <w:proofErr w:type="spellStart"/>
      <w:r w:rsidR="00535520" w:rsidRPr="00E9690A">
        <w:rPr>
          <w:szCs w:val="24"/>
        </w:rPr>
        <w:t>accused</w:t>
      </w:r>
      <w:r w:rsidR="003B48E8" w:rsidRPr="00E9690A">
        <w:rPr>
          <w:szCs w:val="24"/>
        </w:rPr>
        <w:t>’</w:t>
      </w:r>
      <w:r w:rsidR="00535520" w:rsidRPr="00E9690A">
        <w:rPr>
          <w:szCs w:val="24"/>
        </w:rPr>
        <w:t>s</w:t>
      </w:r>
      <w:proofErr w:type="spellEnd"/>
      <w:r w:rsidR="00535520" w:rsidRPr="00E9690A">
        <w:rPr>
          <w:szCs w:val="24"/>
        </w:rPr>
        <w:t xml:space="preserve"> conviction for second degree murder and ordering a new tri</w:t>
      </w:r>
      <w:r w:rsidR="004C0D70" w:rsidRPr="00E9690A">
        <w:rPr>
          <w:szCs w:val="24"/>
        </w:rPr>
        <w:t xml:space="preserve">al. </w:t>
      </w:r>
      <w:r w:rsidR="00535520" w:rsidRPr="00E9690A">
        <w:rPr>
          <w:szCs w:val="24"/>
        </w:rPr>
        <w:t xml:space="preserve"> Appeal </w:t>
      </w:r>
      <w:r w:rsidR="0008247C" w:rsidRPr="00E9690A">
        <w:rPr>
          <w:szCs w:val="24"/>
        </w:rPr>
        <w:t>allowed</w:t>
      </w:r>
      <w:r w:rsidR="00535520" w:rsidRPr="00E9690A">
        <w:rPr>
          <w:szCs w:val="24"/>
        </w:rPr>
        <w:t>.</w:t>
      </w:r>
      <w:r w:rsidR="00C86A97" w:rsidRPr="00E9690A">
        <w:rPr>
          <w:szCs w:val="24"/>
        </w:rPr>
        <w:t xml:space="preserve"> </w:t>
      </w:r>
    </w:p>
    <w:p w:rsidR="00AE4A11" w:rsidRPr="00E9690A" w:rsidRDefault="00C86A97" w:rsidP="004C0D70">
      <w:pPr>
        <w:pStyle w:val="SCCNormalDoubleSpacing"/>
        <w:spacing w:after="480"/>
        <w:rPr>
          <w:szCs w:val="24"/>
        </w:rPr>
      </w:pPr>
      <w:r w:rsidRPr="00E9690A">
        <w:rPr>
          <w:i/>
          <w:szCs w:val="24"/>
        </w:rPr>
        <w:tab/>
      </w:r>
      <w:proofErr w:type="gramStart"/>
      <w:r w:rsidRPr="00E9690A">
        <w:rPr>
          <w:i/>
          <w:szCs w:val="24"/>
        </w:rPr>
        <w:t xml:space="preserve">Louis </w:t>
      </w:r>
      <w:proofErr w:type="spellStart"/>
      <w:r w:rsidRPr="00E9690A">
        <w:rPr>
          <w:i/>
          <w:szCs w:val="24"/>
        </w:rPr>
        <w:t>Bouthillier</w:t>
      </w:r>
      <w:proofErr w:type="spellEnd"/>
      <w:r w:rsidRPr="00E9690A">
        <w:rPr>
          <w:szCs w:val="24"/>
        </w:rPr>
        <w:t xml:space="preserve"> and </w:t>
      </w:r>
      <w:proofErr w:type="spellStart"/>
      <w:r w:rsidRPr="00E9690A">
        <w:rPr>
          <w:i/>
          <w:szCs w:val="24"/>
        </w:rPr>
        <w:t>Alexandre</w:t>
      </w:r>
      <w:proofErr w:type="spellEnd"/>
      <w:r w:rsidRPr="00E9690A">
        <w:rPr>
          <w:i/>
          <w:szCs w:val="24"/>
        </w:rPr>
        <w:t xml:space="preserve"> Boucher</w:t>
      </w:r>
      <w:r w:rsidRPr="00E9690A">
        <w:rPr>
          <w:szCs w:val="24"/>
        </w:rPr>
        <w:t>, for the appellant.</w:t>
      </w:r>
      <w:proofErr w:type="gramEnd"/>
    </w:p>
    <w:p w:rsidR="00AE4A11" w:rsidRPr="00E9690A" w:rsidRDefault="00C86A97" w:rsidP="004C0D70">
      <w:pPr>
        <w:pStyle w:val="SCCNormalDoubleSpacing"/>
        <w:spacing w:after="480"/>
        <w:rPr>
          <w:szCs w:val="24"/>
        </w:rPr>
      </w:pPr>
      <w:r w:rsidRPr="00E9690A">
        <w:rPr>
          <w:i/>
          <w:szCs w:val="24"/>
        </w:rPr>
        <w:tab/>
      </w:r>
      <w:proofErr w:type="gramStart"/>
      <w:r w:rsidRPr="00E9690A">
        <w:rPr>
          <w:i/>
          <w:szCs w:val="24"/>
        </w:rPr>
        <w:t xml:space="preserve">Martin </w:t>
      </w:r>
      <w:proofErr w:type="spellStart"/>
      <w:r w:rsidRPr="00E9690A">
        <w:rPr>
          <w:i/>
          <w:szCs w:val="24"/>
        </w:rPr>
        <w:t>Latour</w:t>
      </w:r>
      <w:proofErr w:type="spellEnd"/>
      <w:r w:rsidRPr="00E9690A">
        <w:rPr>
          <w:szCs w:val="24"/>
        </w:rPr>
        <w:t xml:space="preserve"> and </w:t>
      </w:r>
      <w:r w:rsidRPr="00E9690A">
        <w:rPr>
          <w:i/>
          <w:szCs w:val="24"/>
        </w:rPr>
        <w:t xml:space="preserve">Maude </w:t>
      </w:r>
      <w:proofErr w:type="spellStart"/>
      <w:r w:rsidRPr="00E9690A">
        <w:rPr>
          <w:i/>
          <w:szCs w:val="24"/>
        </w:rPr>
        <w:t>Pagé</w:t>
      </w:r>
      <w:r w:rsidR="004C0D70" w:rsidRPr="00E9690A">
        <w:rPr>
          <w:i/>
          <w:szCs w:val="24"/>
        </w:rPr>
        <w:noBreakHyphen/>
      </w:r>
      <w:r w:rsidRPr="00E9690A">
        <w:rPr>
          <w:i/>
          <w:szCs w:val="24"/>
        </w:rPr>
        <w:t>Arpin</w:t>
      </w:r>
      <w:proofErr w:type="spellEnd"/>
      <w:r w:rsidRPr="00E9690A">
        <w:rPr>
          <w:szCs w:val="24"/>
        </w:rPr>
        <w:t>, for the respondent.</w:t>
      </w:r>
      <w:proofErr w:type="gramEnd"/>
    </w:p>
    <w:p w:rsidR="00A14024" w:rsidRPr="00E9690A" w:rsidRDefault="00E93FA3" w:rsidP="00082702">
      <w:pPr>
        <w:pStyle w:val="JudgeJuge"/>
        <w:tabs>
          <w:tab w:val="clear" w:pos="1166"/>
          <w:tab w:val="left" w:pos="1170"/>
        </w:tabs>
        <w:rPr>
          <w:smallCaps w:val="0"/>
          <w:szCs w:val="20"/>
        </w:rPr>
      </w:pPr>
      <w:r w:rsidRPr="00E9690A">
        <w:rPr>
          <w:smallCaps w:val="0"/>
          <w:szCs w:val="20"/>
        </w:rPr>
        <w:tab/>
      </w:r>
      <w:r w:rsidR="006660F1" w:rsidRPr="00E9690A">
        <w:rPr>
          <w:smallCaps w:val="0"/>
          <w:szCs w:val="20"/>
        </w:rPr>
        <w:t>The judgment of the Court was delivered by</w:t>
      </w:r>
    </w:p>
    <w:p w:rsidR="00A14024" w:rsidRPr="00E9690A" w:rsidRDefault="00027748" w:rsidP="00A14024">
      <w:pPr>
        <w:pStyle w:val="ParaNoNdepar-AltN"/>
        <w:tabs>
          <w:tab w:val="clear" w:pos="1152"/>
          <w:tab w:val="left" w:pos="1166"/>
        </w:tabs>
      </w:pPr>
      <w:r w:rsidRPr="00E9690A">
        <w:rPr>
          <w:smallCaps/>
        </w:rPr>
        <w:lastRenderedPageBreak/>
        <w:t>Abella J.</w:t>
      </w:r>
      <w:r w:rsidRPr="00E9690A">
        <w:t xml:space="preserve"> — </w:t>
      </w:r>
      <w:proofErr w:type="spellStart"/>
      <w:r w:rsidR="00A14024" w:rsidRPr="00E9690A">
        <w:t>Suganthini</w:t>
      </w:r>
      <w:proofErr w:type="spellEnd"/>
      <w:r w:rsidR="00A14024" w:rsidRPr="00E9690A">
        <w:t xml:space="preserve"> </w:t>
      </w:r>
      <w:proofErr w:type="spellStart"/>
      <w:r w:rsidR="00A14024" w:rsidRPr="00E9690A">
        <w:t>Mayuran</w:t>
      </w:r>
      <w:proofErr w:type="spellEnd"/>
      <w:r w:rsidR="00A14024" w:rsidRPr="00E9690A">
        <w:t xml:space="preserve"> (</w:t>
      </w:r>
      <w:proofErr w:type="spellStart"/>
      <w:r w:rsidR="00A14024" w:rsidRPr="00E9690A">
        <w:t>Suganthini</w:t>
      </w:r>
      <w:proofErr w:type="spellEnd"/>
      <w:r w:rsidR="00A14024" w:rsidRPr="00E9690A">
        <w:t xml:space="preserve">) immigrated to Canada from Sri Lanka in 2004. She had married </w:t>
      </w:r>
      <w:proofErr w:type="spellStart"/>
      <w:r w:rsidR="00A14024" w:rsidRPr="00E9690A">
        <w:t>Mayuran</w:t>
      </w:r>
      <w:proofErr w:type="spellEnd"/>
      <w:r w:rsidR="00A14024" w:rsidRPr="00E9690A">
        <w:t xml:space="preserve"> </w:t>
      </w:r>
      <w:proofErr w:type="spellStart"/>
      <w:r w:rsidR="00A14024" w:rsidRPr="00E9690A">
        <w:t>Thangarajah</w:t>
      </w:r>
      <w:proofErr w:type="spellEnd"/>
      <w:r w:rsidR="00A14024" w:rsidRPr="00E9690A">
        <w:t xml:space="preserve"> (</w:t>
      </w:r>
      <w:proofErr w:type="spellStart"/>
      <w:r w:rsidR="00A14024" w:rsidRPr="00E9690A">
        <w:t>Mayuran</w:t>
      </w:r>
      <w:proofErr w:type="spellEnd"/>
      <w:r w:rsidR="00A14024" w:rsidRPr="00E9690A">
        <w:t xml:space="preserve">) in an arranged marriage earlier that year.  When she arrived in Canada, she moved into an apartment in Montréal with her husband, his father, his mother, his younger sister, his brother </w:t>
      </w:r>
      <w:proofErr w:type="spellStart"/>
      <w:r w:rsidR="00A14024" w:rsidRPr="00E9690A">
        <w:t>Manchutan</w:t>
      </w:r>
      <w:proofErr w:type="spellEnd"/>
      <w:r w:rsidR="00A14024" w:rsidRPr="00E9690A">
        <w:t xml:space="preserve"> and </w:t>
      </w:r>
      <w:proofErr w:type="spellStart"/>
      <w:r w:rsidR="00A14024" w:rsidRPr="00E9690A">
        <w:t>Manchutan’s</w:t>
      </w:r>
      <w:proofErr w:type="spellEnd"/>
      <w:r w:rsidR="00A14024" w:rsidRPr="00E9690A">
        <w:t xml:space="preserve"> wife </w:t>
      </w:r>
      <w:proofErr w:type="spellStart"/>
      <w:r w:rsidR="00A14024" w:rsidRPr="00E9690A">
        <w:t>Dayani</w:t>
      </w:r>
      <w:proofErr w:type="spellEnd"/>
      <w:r w:rsidR="00A14024" w:rsidRPr="00E9690A">
        <w:t>.</w:t>
      </w:r>
    </w:p>
    <w:p w:rsidR="00A14024" w:rsidRPr="00E9690A" w:rsidRDefault="00A14024" w:rsidP="00A14024">
      <w:pPr>
        <w:pStyle w:val="ParaNoNdepar-AltN"/>
        <w:tabs>
          <w:tab w:val="clear" w:pos="1152"/>
          <w:tab w:val="left" w:pos="1166"/>
        </w:tabs>
      </w:pPr>
      <w:r w:rsidRPr="00E9690A">
        <w:t xml:space="preserve">On December 3, 2004, </w:t>
      </w:r>
      <w:proofErr w:type="spellStart"/>
      <w:r w:rsidRPr="00E9690A">
        <w:t>Suganthini</w:t>
      </w:r>
      <w:proofErr w:type="spellEnd"/>
      <w:r w:rsidRPr="00E9690A">
        <w:t xml:space="preserve"> was arrested for the murder of her sister-in-law </w:t>
      </w:r>
      <w:proofErr w:type="spellStart"/>
      <w:r w:rsidRPr="00E9690A">
        <w:t>Dayani</w:t>
      </w:r>
      <w:proofErr w:type="spellEnd"/>
      <w:r w:rsidRPr="00E9690A">
        <w:t xml:space="preserve">.  </w:t>
      </w:r>
      <w:proofErr w:type="spellStart"/>
      <w:r w:rsidRPr="00E9690A">
        <w:t>Dayani</w:t>
      </w:r>
      <w:proofErr w:type="spellEnd"/>
      <w:r w:rsidRPr="00E9690A">
        <w:t xml:space="preserve"> had been stabbed 45 times.</w:t>
      </w:r>
    </w:p>
    <w:p w:rsidR="00A14024" w:rsidRPr="00E9690A" w:rsidRDefault="00A14024" w:rsidP="00A14024">
      <w:pPr>
        <w:pStyle w:val="ParaNoNdepar-AltN"/>
        <w:tabs>
          <w:tab w:val="clear" w:pos="1152"/>
          <w:tab w:val="left" w:pos="1166"/>
        </w:tabs>
      </w:pPr>
      <w:r w:rsidRPr="00E9690A">
        <w:t xml:space="preserve">The Crown’s case at the jury trial was that </w:t>
      </w:r>
      <w:proofErr w:type="spellStart"/>
      <w:r w:rsidRPr="00E9690A">
        <w:t>Suganthini</w:t>
      </w:r>
      <w:proofErr w:type="spellEnd"/>
      <w:r w:rsidRPr="00E9690A">
        <w:t xml:space="preserve"> was alone in the apartment with </w:t>
      </w:r>
      <w:proofErr w:type="spellStart"/>
      <w:r w:rsidRPr="00E9690A">
        <w:t>Dayani</w:t>
      </w:r>
      <w:proofErr w:type="spellEnd"/>
      <w:r w:rsidRPr="00E9690A">
        <w:t xml:space="preserve"> at the time of death and therefore had the exclusive opportunity to commit the offence.  The Crown relied on the testimony of the </w:t>
      </w:r>
      <w:proofErr w:type="spellStart"/>
      <w:r w:rsidRPr="00E9690A">
        <w:t>Thangarajah</w:t>
      </w:r>
      <w:proofErr w:type="spellEnd"/>
      <w:r w:rsidRPr="00E9690A">
        <w:t xml:space="preserve"> family to establish its case, supported by independent evidence corroborating their story and linking </w:t>
      </w:r>
      <w:proofErr w:type="spellStart"/>
      <w:r w:rsidRPr="00E9690A">
        <w:t>Suganthini</w:t>
      </w:r>
      <w:proofErr w:type="spellEnd"/>
      <w:r w:rsidRPr="00E9690A">
        <w:t xml:space="preserve"> to the murder.</w:t>
      </w:r>
    </w:p>
    <w:p w:rsidR="00A14024" w:rsidRPr="00E9690A" w:rsidRDefault="00A14024" w:rsidP="00A14024">
      <w:pPr>
        <w:pStyle w:val="ParaNoNdepar-AltN"/>
        <w:tabs>
          <w:tab w:val="clear" w:pos="1152"/>
          <w:tab w:val="left" w:pos="1166"/>
        </w:tabs>
      </w:pPr>
      <w:r w:rsidRPr="00E9690A">
        <w:t xml:space="preserve">Various members of the family testified.  Their collective evidence can be summarized as follows.  </w:t>
      </w:r>
      <w:proofErr w:type="spellStart"/>
      <w:r w:rsidRPr="00E9690A">
        <w:t>Mayuran’s</w:t>
      </w:r>
      <w:proofErr w:type="spellEnd"/>
      <w:r w:rsidRPr="00E9690A">
        <w:t xml:space="preserve"> father left to go to temple at 7:30 that morning, while </w:t>
      </w:r>
      <w:proofErr w:type="spellStart"/>
      <w:r w:rsidRPr="00E9690A">
        <w:t>Mayuran</w:t>
      </w:r>
      <w:proofErr w:type="spellEnd"/>
      <w:r w:rsidRPr="00E9690A">
        <w:t xml:space="preserve">, his mother, and his brother went to the family-owned and operated convenience store in Laval.  </w:t>
      </w:r>
      <w:proofErr w:type="spellStart"/>
      <w:r w:rsidRPr="00E9690A">
        <w:t>Mayuran’s</w:t>
      </w:r>
      <w:proofErr w:type="spellEnd"/>
      <w:r w:rsidRPr="00E9690A">
        <w:t xml:space="preserve"> brother and mother shopped for supplies, leaving </w:t>
      </w:r>
      <w:proofErr w:type="spellStart"/>
      <w:r w:rsidRPr="00E9690A">
        <w:t>Mayuran</w:t>
      </w:r>
      <w:proofErr w:type="spellEnd"/>
      <w:r w:rsidRPr="00E9690A">
        <w:t xml:space="preserve"> in charge of the store.  When they finished shopping, the brother was left at the store, while </w:t>
      </w:r>
      <w:proofErr w:type="spellStart"/>
      <w:r w:rsidRPr="00E9690A">
        <w:t>Mayuran</w:t>
      </w:r>
      <w:proofErr w:type="spellEnd"/>
      <w:r w:rsidRPr="00E9690A">
        <w:t xml:space="preserve"> and his mother returned to Montréal.  The younger sister said that she left the apartment at 10 or 10:30 a.m. to attend a private class with a tutor, leaving only </w:t>
      </w:r>
      <w:proofErr w:type="spellStart"/>
      <w:r w:rsidRPr="00E9690A">
        <w:t>Suganthini</w:t>
      </w:r>
      <w:proofErr w:type="spellEnd"/>
      <w:r w:rsidRPr="00E9690A">
        <w:t xml:space="preserve"> and her sister-in-law </w:t>
      </w:r>
      <w:proofErr w:type="spellStart"/>
      <w:r w:rsidRPr="00E9690A">
        <w:t>Dayani</w:t>
      </w:r>
      <w:proofErr w:type="spellEnd"/>
      <w:r w:rsidRPr="00E9690A">
        <w:t xml:space="preserve"> in the apartment.</w:t>
      </w:r>
    </w:p>
    <w:p w:rsidR="00A14024" w:rsidRPr="00E9690A" w:rsidRDefault="00A14024" w:rsidP="00A14024">
      <w:pPr>
        <w:pStyle w:val="ParaNoNdepar-AltN"/>
        <w:tabs>
          <w:tab w:val="clear" w:pos="1152"/>
          <w:tab w:val="left" w:pos="1166"/>
        </w:tabs>
      </w:pPr>
      <w:r w:rsidRPr="00E9690A">
        <w:lastRenderedPageBreak/>
        <w:t xml:space="preserve">Several pieces of evidence corroborated the family’s story: a delivery person saw </w:t>
      </w:r>
      <w:proofErr w:type="spellStart"/>
      <w:r w:rsidRPr="00E9690A">
        <w:t>Mayuran’s</w:t>
      </w:r>
      <w:proofErr w:type="spellEnd"/>
      <w:r w:rsidRPr="00E9690A">
        <w:t xml:space="preserve"> brother </w:t>
      </w:r>
      <w:proofErr w:type="spellStart"/>
      <w:r w:rsidRPr="00E9690A">
        <w:t>Manchutan</w:t>
      </w:r>
      <w:proofErr w:type="spellEnd"/>
      <w:r w:rsidRPr="00E9690A">
        <w:t xml:space="preserve"> in the family store at 10:30 a.m. and again at 11:30 a.m.; there were receipts confirming the shopping trip the mother and </w:t>
      </w:r>
      <w:proofErr w:type="spellStart"/>
      <w:r w:rsidRPr="00E9690A">
        <w:t>Mayuran’s</w:t>
      </w:r>
      <w:proofErr w:type="spellEnd"/>
      <w:r w:rsidRPr="00E9690A">
        <w:t xml:space="preserve"> brother had taken, including a receipt from </w:t>
      </w:r>
      <w:proofErr w:type="spellStart"/>
      <w:r w:rsidRPr="00E9690A">
        <w:t>Loblaws</w:t>
      </w:r>
      <w:proofErr w:type="spellEnd"/>
      <w:r w:rsidRPr="00E9690A">
        <w:t xml:space="preserve"> in Laval shortly after 10 a.m.; and cellular phone records confirmed that the brother received a phone call in Laval at 10:52 a.m.  All of these supported their account, which left </w:t>
      </w:r>
      <w:proofErr w:type="spellStart"/>
      <w:r w:rsidRPr="00E9690A">
        <w:t>Suganthini</w:t>
      </w:r>
      <w:proofErr w:type="spellEnd"/>
      <w:r w:rsidRPr="00E9690A">
        <w:t xml:space="preserve"> alone with her sister-in-law </w:t>
      </w:r>
      <w:proofErr w:type="spellStart"/>
      <w:r w:rsidRPr="00E9690A">
        <w:t>Dayani</w:t>
      </w:r>
      <w:proofErr w:type="spellEnd"/>
      <w:r w:rsidRPr="00E9690A">
        <w:t xml:space="preserve"> in the apartment until </w:t>
      </w:r>
      <w:proofErr w:type="spellStart"/>
      <w:r w:rsidRPr="00E9690A">
        <w:t>some time</w:t>
      </w:r>
      <w:proofErr w:type="spellEnd"/>
      <w:r w:rsidRPr="00E9690A">
        <w:t xml:space="preserve"> after 11:30 a.m.</w:t>
      </w:r>
    </w:p>
    <w:p w:rsidR="00A14024" w:rsidRPr="00E9690A" w:rsidRDefault="00A14024" w:rsidP="00A14024">
      <w:pPr>
        <w:pStyle w:val="ParaNoNdepar-AltN"/>
        <w:tabs>
          <w:tab w:val="clear" w:pos="1152"/>
          <w:tab w:val="left" w:pos="1166"/>
        </w:tabs>
      </w:pPr>
      <w:r w:rsidRPr="00E9690A">
        <w:t xml:space="preserve">At around 11 or 11:30 a.m. on December 3, 2004, </w:t>
      </w:r>
      <w:proofErr w:type="spellStart"/>
      <w:r w:rsidRPr="00E9690A">
        <w:t>Suganthini</w:t>
      </w:r>
      <w:proofErr w:type="spellEnd"/>
      <w:r w:rsidRPr="00E9690A">
        <w:t xml:space="preserve"> called her father-in-law at the temple saying that a thief had entered the apartment and hurt </w:t>
      </w:r>
      <w:proofErr w:type="spellStart"/>
      <w:r w:rsidRPr="00E9690A">
        <w:t>Dayani</w:t>
      </w:r>
      <w:proofErr w:type="spellEnd"/>
      <w:r w:rsidRPr="00E9690A">
        <w:t xml:space="preserve">.  The father-in-law then called </w:t>
      </w:r>
      <w:proofErr w:type="spellStart"/>
      <w:r w:rsidRPr="00E9690A">
        <w:t>Dayani’s</w:t>
      </w:r>
      <w:proofErr w:type="spellEnd"/>
      <w:r w:rsidRPr="00E9690A">
        <w:t xml:space="preserve"> husband, who was at the store.  He also asked a member of the temple to contact the police, </w:t>
      </w:r>
      <w:proofErr w:type="gramStart"/>
      <w:r w:rsidRPr="00E9690A">
        <w:t>then</w:t>
      </w:r>
      <w:proofErr w:type="gramEnd"/>
      <w:r w:rsidRPr="00E9690A">
        <w:t xml:space="preserve"> returned home.  When the father-in-law arrived at the apartment, he buzzed the intercom but received no answer.  He then tried calling the house from a nearby store, but again got no answer.  When a neighbour finally let him into the building, he entered the apartment and heard </w:t>
      </w:r>
      <w:proofErr w:type="spellStart"/>
      <w:r w:rsidRPr="00E9690A">
        <w:t>Suganthini</w:t>
      </w:r>
      <w:proofErr w:type="spellEnd"/>
      <w:r w:rsidRPr="00E9690A">
        <w:t xml:space="preserve"> crying in the locked master bedroom.  She directed him to another bedroom where </w:t>
      </w:r>
      <w:proofErr w:type="spellStart"/>
      <w:r w:rsidRPr="00E9690A">
        <w:t>Dayani</w:t>
      </w:r>
      <w:proofErr w:type="spellEnd"/>
      <w:r w:rsidRPr="00E9690A">
        <w:t xml:space="preserve"> was </w:t>
      </w:r>
      <w:r w:rsidR="00515D75" w:rsidRPr="00E9690A">
        <w:t>lying on the floor.  The father-in-</w:t>
      </w:r>
      <w:r w:rsidRPr="00E9690A">
        <w:t>law called 911.  The police arrived before he finished his call.</w:t>
      </w:r>
    </w:p>
    <w:p w:rsidR="00A14024" w:rsidRPr="00E9690A" w:rsidRDefault="00A14024" w:rsidP="00A14024">
      <w:pPr>
        <w:pStyle w:val="ParaNoNdepar-AltN"/>
        <w:tabs>
          <w:tab w:val="clear" w:pos="1152"/>
          <w:tab w:val="left" w:pos="1166"/>
        </w:tabs>
      </w:pPr>
      <w:r w:rsidRPr="00E9690A">
        <w:t xml:space="preserve">Of particular relevance to this appeal, </w:t>
      </w:r>
      <w:proofErr w:type="spellStart"/>
      <w:r w:rsidRPr="00E9690A">
        <w:t>Suganthini’s</w:t>
      </w:r>
      <w:proofErr w:type="spellEnd"/>
      <w:r w:rsidRPr="00E9690A">
        <w:t xml:space="preserve"> husband </w:t>
      </w:r>
      <w:proofErr w:type="spellStart"/>
      <w:r w:rsidRPr="00E9690A">
        <w:t>Mayuran</w:t>
      </w:r>
      <w:proofErr w:type="spellEnd"/>
      <w:r w:rsidRPr="00E9690A">
        <w:t xml:space="preserve"> and her mother-in-law testified that while </w:t>
      </w:r>
      <w:proofErr w:type="spellStart"/>
      <w:r w:rsidRPr="00E9690A">
        <w:t>Suganthini</w:t>
      </w:r>
      <w:proofErr w:type="spellEnd"/>
      <w:r w:rsidRPr="00E9690A">
        <w:t xml:space="preserve"> was in prison, she confessed to the murder in several telephone conversations with them.  She told them she killed </w:t>
      </w:r>
      <w:proofErr w:type="spellStart"/>
      <w:r w:rsidRPr="00E9690A">
        <w:t>Dayani</w:t>
      </w:r>
      <w:proofErr w:type="spellEnd"/>
      <w:r w:rsidRPr="00E9690A">
        <w:t xml:space="preserve"> because </w:t>
      </w:r>
      <w:proofErr w:type="spellStart"/>
      <w:r w:rsidRPr="00E9690A">
        <w:t>Dayani</w:t>
      </w:r>
      <w:proofErr w:type="spellEnd"/>
      <w:r w:rsidRPr="00E9690A">
        <w:t xml:space="preserve"> had ridiculed her about her learning ability and her level of </w:t>
      </w:r>
      <w:r w:rsidRPr="00E9690A">
        <w:lastRenderedPageBreak/>
        <w:t xml:space="preserve">education.  They said that a few phone calls later, however, </w:t>
      </w:r>
      <w:proofErr w:type="spellStart"/>
      <w:r w:rsidRPr="00E9690A">
        <w:t>Suganthini</w:t>
      </w:r>
      <w:proofErr w:type="spellEnd"/>
      <w:r w:rsidRPr="00E9690A">
        <w:t xml:space="preserve"> denied having killed </w:t>
      </w:r>
      <w:proofErr w:type="spellStart"/>
      <w:r w:rsidRPr="00E9690A">
        <w:t>Dayani</w:t>
      </w:r>
      <w:proofErr w:type="spellEnd"/>
      <w:r w:rsidRPr="00E9690A">
        <w:t>.  Her newer version was that she had been threatened by the real murderer, whose name she would not reveal.</w:t>
      </w:r>
    </w:p>
    <w:p w:rsidR="00A14024" w:rsidRPr="00E9690A" w:rsidRDefault="00A14024" w:rsidP="00A14024">
      <w:pPr>
        <w:pStyle w:val="ParaNoNdepar-AltN"/>
        <w:tabs>
          <w:tab w:val="clear" w:pos="1152"/>
          <w:tab w:val="left" w:pos="1166"/>
        </w:tabs>
      </w:pPr>
      <w:r w:rsidRPr="00E9690A">
        <w:t xml:space="preserve">The police arrived at around noon.  They found </w:t>
      </w:r>
      <w:proofErr w:type="spellStart"/>
      <w:r w:rsidRPr="00E9690A">
        <w:t>Suganthini</w:t>
      </w:r>
      <w:proofErr w:type="spellEnd"/>
      <w:r w:rsidRPr="00E9690A">
        <w:t xml:space="preserve"> crying and with a cut on her hand.  She told them that the murder had been committed by a thief who had entered the ground floor apartment through the kitchen.  Though the kitchen door was open, there were no tracks in the fresh snow leading to it.  Some of </w:t>
      </w:r>
      <w:proofErr w:type="spellStart"/>
      <w:r w:rsidRPr="00E9690A">
        <w:t>Suganthini’s</w:t>
      </w:r>
      <w:proofErr w:type="spellEnd"/>
      <w:r w:rsidRPr="00E9690A">
        <w:t xml:space="preserve"> clothing </w:t>
      </w:r>
      <w:r w:rsidR="006B57E4" w:rsidRPr="00E9690A">
        <w:t>—</w:t>
      </w:r>
      <w:r w:rsidRPr="00E9690A">
        <w:t xml:space="preserve"> a skirt and T-shirt </w:t>
      </w:r>
      <w:r w:rsidR="006B57E4" w:rsidRPr="00E9690A">
        <w:t>—</w:t>
      </w:r>
      <w:r w:rsidRPr="00E9690A">
        <w:t xml:space="preserve"> was found in a bucket of bloody water in the bathroom.</w:t>
      </w:r>
    </w:p>
    <w:p w:rsidR="00A14024" w:rsidRPr="00E9690A" w:rsidRDefault="00A14024" w:rsidP="00A14024">
      <w:pPr>
        <w:pStyle w:val="ParaNoNdepar-AltN"/>
        <w:tabs>
          <w:tab w:val="clear" w:pos="1152"/>
          <w:tab w:val="left" w:pos="1166"/>
        </w:tabs>
      </w:pPr>
      <w:r w:rsidRPr="00E9690A">
        <w:t xml:space="preserve">Luc </w:t>
      </w:r>
      <w:proofErr w:type="spellStart"/>
      <w:r w:rsidRPr="00E9690A">
        <w:t>Simoncelli</w:t>
      </w:r>
      <w:proofErr w:type="spellEnd"/>
      <w:r w:rsidRPr="00E9690A">
        <w:t xml:space="preserve">, a doctor who arrived on the scene slightly after noon, testified that the time of death was shortly before his arrival, though he acknowledged that the wounds could have been inflicted as much as two hours earlier.    </w:t>
      </w:r>
    </w:p>
    <w:p w:rsidR="00A14024" w:rsidRPr="00E9690A" w:rsidRDefault="00A14024" w:rsidP="00A14024">
      <w:pPr>
        <w:pStyle w:val="ParaNoNdepar-AltN"/>
        <w:tabs>
          <w:tab w:val="clear" w:pos="1152"/>
          <w:tab w:val="left" w:pos="1166"/>
        </w:tabs>
      </w:pPr>
      <w:r w:rsidRPr="00E9690A">
        <w:t xml:space="preserve">An autopsy found 45 stab wounds in </w:t>
      </w:r>
      <w:proofErr w:type="spellStart"/>
      <w:r w:rsidRPr="00E9690A">
        <w:t>Dayani’s</w:t>
      </w:r>
      <w:proofErr w:type="spellEnd"/>
      <w:r w:rsidRPr="00E9690A">
        <w:t xml:space="preserve"> body.  The pathologist, Dr. André Lauzon, testified that given their lack of depth, the wounds had likely been inflicted by a knife with a broken tip.  A knife with a broken tip was in fact found at the scene, and François </w:t>
      </w:r>
      <w:proofErr w:type="spellStart"/>
      <w:r w:rsidRPr="00E9690A">
        <w:t>Julien</w:t>
      </w:r>
      <w:proofErr w:type="spellEnd"/>
      <w:r w:rsidRPr="00E9690A">
        <w:t xml:space="preserve">, the DNA expert called by the Crown, testified that he found both </w:t>
      </w:r>
      <w:proofErr w:type="spellStart"/>
      <w:r w:rsidRPr="00E9690A">
        <w:t>Dayani’s</w:t>
      </w:r>
      <w:proofErr w:type="spellEnd"/>
      <w:r w:rsidRPr="00E9690A">
        <w:t xml:space="preserve"> and </w:t>
      </w:r>
      <w:proofErr w:type="spellStart"/>
      <w:r w:rsidRPr="00E9690A">
        <w:t>Suganthini’s</w:t>
      </w:r>
      <w:proofErr w:type="spellEnd"/>
      <w:r w:rsidRPr="00E9690A">
        <w:t xml:space="preserve"> blood on the blade of the knife. Only </w:t>
      </w:r>
      <w:proofErr w:type="spellStart"/>
      <w:r w:rsidRPr="00E9690A">
        <w:t>Suganthini’s</w:t>
      </w:r>
      <w:proofErr w:type="spellEnd"/>
      <w:r w:rsidRPr="00E9690A">
        <w:t xml:space="preserve"> DNA was found on the handle.  Dr. Lauzon also said that the cuts </w:t>
      </w:r>
      <w:proofErr w:type="spellStart"/>
      <w:r w:rsidRPr="00E9690A">
        <w:t>Suganthini</w:t>
      </w:r>
      <w:proofErr w:type="spellEnd"/>
      <w:r w:rsidRPr="00E9690A">
        <w:t xml:space="preserve"> received on her hand were consistent with an injury that could have been caused by stabbing someone.</w:t>
      </w:r>
    </w:p>
    <w:p w:rsidR="00A14024" w:rsidRPr="00E9690A" w:rsidRDefault="00A14024" w:rsidP="00A14024">
      <w:pPr>
        <w:pStyle w:val="ParaNoNdepar-AltN"/>
        <w:tabs>
          <w:tab w:val="clear" w:pos="1152"/>
          <w:tab w:val="left" w:pos="1166"/>
        </w:tabs>
      </w:pPr>
      <w:proofErr w:type="spellStart"/>
      <w:r w:rsidRPr="00E9690A">
        <w:lastRenderedPageBreak/>
        <w:t>Suganthini’s</w:t>
      </w:r>
      <w:proofErr w:type="spellEnd"/>
      <w:r w:rsidRPr="00E9690A">
        <w:t xml:space="preserve"> defence at trial was that she was not the person who killed </w:t>
      </w:r>
      <w:proofErr w:type="spellStart"/>
      <w:r w:rsidRPr="00E9690A">
        <w:t>Dayani</w:t>
      </w:r>
      <w:proofErr w:type="spellEnd"/>
      <w:r w:rsidRPr="00E9690A">
        <w:t xml:space="preserve">.  She testified that she woke up at 9 a.m. and saw the younger sister leaving the apartment before 9:30 a.m.  At about 9:45 a.m., she said she heard her brother-in-law </w:t>
      </w:r>
      <w:proofErr w:type="spellStart"/>
      <w:r w:rsidRPr="00E9690A">
        <w:t>Manchutan</w:t>
      </w:r>
      <w:proofErr w:type="spellEnd"/>
      <w:r w:rsidRPr="00E9690A">
        <w:t xml:space="preserve"> and his wife </w:t>
      </w:r>
      <w:proofErr w:type="spellStart"/>
      <w:r w:rsidRPr="00E9690A">
        <w:t>Dayani</w:t>
      </w:r>
      <w:proofErr w:type="spellEnd"/>
      <w:r w:rsidRPr="00E9690A">
        <w:t xml:space="preserve"> arguing intensely.  She went to their bedroom, where she said she saw </w:t>
      </w:r>
      <w:proofErr w:type="spellStart"/>
      <w:r w:rsidRPr="00E9690A">
        <w:t>Manchutan</w:t>
      </w:r>
      <w:proofErr w:type="spellEnd"/>
      <w:r w:rsidRPr="00E9690A">
        <w:t xml:space="preserve"> with a knife pointed towards </w:t>
      </w:r>
      <w:proofErr w:type="spellStart"/>
      <w:r w:rsidRPr="00E9690A">
        <w:t>Dayani</w:t>
      </w:r>
      <w:proofErr w:type="spellEnd"/>
      <w:r w:rsidRPr="00E9690A">
        <w:t xml:space="preserve">.  When she entered the bedroom, </w:t>
      </w:r>
      <w:proofErr w:type="spellStart"/>
      <w:r w:rsidRPr="00E9690A">
        <w:t>Manchutan</w:t>
      </w:r>
      <w:proofErr w:type="spellEnd"/>
      <w:r w:rsidRPr="00E9690A">
        <w:t xml:space="preserve"> looked at her and said: “Did you know that she has cheated on me? Did you know that the baby in her womb is - - the father of the child is </w:t>
      </w:r>
      <w:proofErr w:type="spellStart"/>
      <w:r w:rsidRPr="00E9690A">
        <w:t>Mayuran</w:t>
      </w:r>
      <w:proofErr w:type="spellEnd"/>
      <w:r w:rsidRPr="00E9690A">
        <w:t xml:space="preserve"> [</w:t>
      </w:r>
      <w:proofErr w:type="spellStart"/>
      <w:r w:rsidRPr="00E9690A">
        <w:t>Suganthini’s</w:t>
      </w:r>
      <w:proofErr w:type="spellEnd"/>
      <w:r w:rsidRPr="00E9690A">
        <w:t xml:space="preserve"> husband]</w:t>
      </w:r>
      <w:proofErr w:type="gramStart"/>
      <w:r w:rsidRPr="00E9690A">
        <w:t>.</w:t>
      </w:r>
      <w:proofErr w:type="gramEnd"/>
      <w:r w:rsidRPr="00E9690A">
        <w:t>”</w:t>
      </w:r>
    </w:p>
    <w:p w:rsidR="00A14024" w:rsidRPr="00E9690A" w:rsidRDefault="00A14024" w:rsidP="00A14024">
      <w:pPr>
        <w:pStyle w:val="ParaNoNdepar-AltN"/>
        <w:tabs>
          <w:tab w:val="clear" w:pos="1152"/>
          <w:tab w:val="left" w:pos="1166"/>
        </w:tabs>
      </w:pPr>
      <w:proofErr w:type="spellStart"/>
      <w:r w:rsidRPr="00E9690A">
        <w:t>Suganthini</w:t>
      </w:r>
      <w:proofErr w:type="spellEnd"/>
      <w:r w:rsidRPr="00E9690A">
        <w:t xml:space="preserve"> said that she tried to “snatch” the knife from him, which resulted in a cut to her hand.  </w:t>
      </w:r>
      <w:proofErr w:type="spellStart"/>
      <w:r w:rsidRPr="00E9690A">
        <w:t>Manchutan</w:t>
      </w:r>
      <w:proofErr w:type="spellEnd"/>
      <w:r w:rsidRPr="00E9690A">
        <w:t xml:space="preserve"> pushed her out of the room, at which point she locked herself inside her mother-in-law’s bedroom.  She said that </w:t>
      </w:r>
      <w:proofErr w:type="spellStart"/>
      <w:r w:rsidRPr="00E9690A">
        <w:t>Manchutan</w:t>
      </w:r>
      <w:proofErr w:type="spellEnd"/>
      <w:r w:rsidRPr="00E9690A">
        <w:t xml:space="preserve"> later yelled at her through the door, telling her never to disclose the day’s events, and to tell anyone who asked that a robber had broken into the house.  After an indeterminate period, </w:t>
      </w:r>
      <w:proofErr w:type="spellStart"/>
      <w:r w:rsidRPr="00E9690A">
        <w:t>Suganthini</w:t>
      </w:r>
      <w:proofErr w:type="spellEnd"/>
      <w:r w:rsidRPr="00E9690A">
        <w:t xml:space="preserve"> left the bedroom, saw </w:t>
      </w:r>
      <w:proofErr w:type="spellStart"/>
      <w:r w:rsidRPr="00E9690A">
        <w:t>Dayani</w:t>
      </w:r>
      <w:proofErr w:type="spellEnd"/>
      <w:r w:rsidRPr="00E9690A">
        <w:t xml:space="preserve"> bleeding on the floor of her own bedroom and called her father-in-law.</w:t>
      </w:r>
    </w:p>
    <w:p w:rsidR="00A14024" w:rsidRPr="00E9690A" w:rsidRDefault="00A14024" w:rsidP="00A14024">
      <w:pPr>
        <w:pStyle w:val="ParaNoNdepar-AltN"/>
        <w:tabs>
          <w:tab w:val="clear" w:pos="1152"/>
          <w:tab w:val="left" w:pos="1166"/>
        </w:tabs>
      </w:pPr>
      <w:proofErr w:type="spellStart"/>
      <w:r w:rsidRPr="00E9690A">
        <w:t>Suganthini</w:t>
      </w:r>
      <w:proofErr w:type="spellEnd"/>
      <w:r w:rsidRPr="00E9690A">
        <w:t xml:space="preserve"> denied having confessed to the murder in the prison telephone calls.  She said that she had tried to tell her mother-in-law the truth about the argument she saw between </w:t>
      </w:r>
      <w:proofErr w:type="spellStart"/>
      <w:r w:rsidRPr="00E9690A">
        <w:t>Dayani</w:t>
      </w:r>
      <w:proofErr w:type="spellEnd"/>
      <w:r w:rsidRPr="00E9690A">
        <w:t xml:space="preserve"> and her husband, but her mother-in-law had hung up the phone.  Her evidence about the bloody clothing was that she put it into the bucket because it had been soiled during menstruation overnight.</w:t>
      </w:r>
    </w:p>
    <w:p w:rsidR="00A14024" w:rsidRPr="00E9690A" w:rsidRDefault="00A14024" w:rsidP="00A14024">
      <w:pPr>
        <w:pStyle w:val="ParaNoNdepar-AltN"/>
        <w:tabs>
          <w:tab w:val="clear" w:pos="1152"/>
          <w:tab w:val="left" w:pos="1166"/>
        </w:tabs>
      </w:pPr>
      <w:proofErr w:type="spellStart"/>
      <w:r w:rsidRPr="00E9690A">
        <w:t>Suganthini</w:t>
      </w:r>
      <w:proofErr w:type="spellEnd"/>
      <w:r w:rsidRPr="00E9690A">
        <w:t xml:space="preserve"> was convicted of second degree murder.</w:t>
      </w:r>
    </w:p>
    <w:p w:rsidR="00A14024" w:rsidRPr="00E9690A" w:rsidRDefault="00A14024" w:rsidP="00A14024">
      <w:pPr>
        <w:pStyle w:val="ParaNoNdepar-AltN"/>
        <w:tabs>
          <w:tab w:val="clear" w:pos="1152"/>
          <w:tab w:val="left" w:pos="1166"/>
        </w:tabs>
      </w:pPr>
      <w:r w:rsidRPr="00E9690A">
        <w:lastRenderedPageBreak/>
        <w:t xml:space="preserve">On appeal, a majority in the Quebec Court of Appeal set aside the conviction and ordered a new trial.  In its view, the trial judge ought to have put the defence of provocation to the jury based on the alleged telephone conversations from prison whereby </w:t>
      </w:r>
      <w:proofErr w:type="spellStart"/>
      <w:r w:rsidRPr="00E9690A">
        <w:t>Suganthini</w:t>
      </w:r>
      <w:proofErr w:type="spellEnd"/>
      <w:r w:rsidRPr="00E9690A">
        <w:t xml:space="preserve"> confessed to killing </w:t>
      </w:r>
      <w:proofErr w:type="spellStart"/>
      <w:r w:rsidRPr="00E9690A">
        <w:t>Dayani</w:t>
      </w:r>
      <w:proofErr w:type="spellEnd"/>
      <w:r w:rsidRPr="00E9690A">
        <w:t xml:space="preserve"> because she had been ridiculed by her.  </w:t>
      </w:r>
    </w:p>
    <w:p w:rsidR="00A14024" w:rsidRPr="00E9690A" w:rsidRDefault="00A14024" w:rsidP="00A14024">
      <w:pPr>
        <w:pStyle w:val="ParaNoNdepar-AltN"/>
        <w:tabs>
          <w:tab w:val="clear" w:pos="1152"/>
          <w:tab w:val="left" w:pos="1166"/>
        </w:tabs>
      </w:pPr>
      <w:r w:rsidRPr="00E9690A">
        <w:t>The Court of Appeal also identified four other errors in the jury instruction, but applied the curative proviso because these errors “could have had [no] impact on the verdict in light of the evidence”.</w:t>
      </w:r>
    </w:p>
    <w:p w:rsidR="00A14024" w:rsidRPr="00E9690A" w:rsidRDefault="00A14024" w:rsidP="00A14024">
      <w:pPr>
        <w:pStyle w:val="ParaNoNdepar-AltN"/>
        <w:tabs>
          <w:tab w:val="clear" w:pos="1152"/>
          <w:tab w:val="left" w:pos="1166"/>
        </w:tabs>
      </w:pPr>
      <w:r w:rsidRPr="00E9690A">
        <w:t xml:space="preserve">In the dissent that gives rise to this “as of right” appeal, </w:t>
      </w:r>
      <w:proofErr w:type="spellStart"/>
      <w:r w:rsidRPr="00E9690A">
        <w:t>Rochon</w:t>
      </w:r>
      <w:proofErr w:type="spellEnd"/>
      <w:r w:rsidRPr="00E9690A">
        <w:t xml:space="preserve"> J.A. agreed with the application of the proviso, but found that there was no air of reality to the defence of provocation on the facts of this case.  I agree with his conclusion.  </w:t>
      </w:r>
    </w:p>
    <w:p w:rsidR="00A14024" w:rsidRPr="00E9690A" w:rsidRDefault="00A14024" w:rsidP="00A14024">
      <w:pPr>
        <w:pStyle w:val="TitleTitre-AltT"/>
        <w:rPr>
          <w:u w:val="single"/>
        </w:rPr>
      </w:pPr>
      <w:r w:rsidRPr="00E9690A">
        <w:rPr>
          <w:u w:val="single"/>
        </w:rPr>
        <w:t>Analysis</w:t>
      </w:r>
    </w:p>
    <w:p w:rsidR="00A14024" w:rsidRPr="00E9690A" w:rsidRDefault="00A14024" w:rsidP="00A14024">
      <w:pPr>
        <w:pStyle w:val="ParaNoNdepar-AltN"/>
        <w:tabs>
          <w:tab w:val="clear" w:pos="1152"/>
          <w:tab w:val="left" w:pos="1166"/>
        </w:tabs>
      </w:pPr>
      <w:r w:rsidRPr="00E9690A">
        <w:t>The primary issue in this appeal is whether the Court of Appeal erred in concluding that there was a sufficient evidentiary foundation for the defence of provocation to have been put to the jury notwithstanding that it was not raised by the defence at trial.</w:t>
      </w:r>
    </w:p>
    <w:p w:rsidR="00A14024" w:rsidRPr="00E9690A" w:rsidRDefault="00A14024" w:rsidP="00A14024">
      <w:pPr>
        <w:pStyle w:val="ParaNoNdepar-AltN"/>
        <w:tabs>
          <w:tab w:val="clear" w:pos="1152"/>
          <w:tab w:val="left" w:pos="1166"/>
        </w:tabs>
      </w:pPr>
      <w:r w:rsidRPr="00E9690A">
        <w:t xml:space="preserve">The defence of provocation is set out in s. 232 of the </w:t>
      </w:r>
      <w:r w:rsidRPr="00E9690A">
        <w:rPr>
          <w:i/>
        </w:rPr>
        <w:t>Criminal</w:t>
      </w:r>
      <w:r w:rsidRPr="00E9690A">
        <w:t xml:space="preserve"> </w:t>
      </w:r>
      <w:r w:rsidRPr="00E9690A">
        <w:rPr>
          <w:i/>
        </w:rPr>
        <w:t>Code</w:t>
      </w:r>
      <w:r w:rsidRPr="00E9690A">
        <w:t xml:space="preserve">:  </w:t>
      </w:r>
    </w:p>
    <w:p w:rsidR="00A14024" w:rsidRPr="00E9690A" w:rsidRDefault="00A14024" w:rsidP="00E93FA3">
      <w:pPr>
        <w:pStyle w:val="Citation-AltC"/>
        <w:tabs>
          <w:tab w:val="left" w:pos="1710"/>
        </w:tabs>
        <w:spacing w:after="240"/>
        <w:ind w:hanging="1166"/>
        <w:contextualSpacing w:val="0"/>
      </w:pPr>
      <w:r w:rsidRPr="00E9690A">
        <w:rPr>
          <w:b/>
          <w:bCs/>
        </w:rPr>
        <w:lastRenderedPageBreak/>
        <w:tab/>
      </w:r>
      <w:r w:rsidR="00E93FA3" w:rsidRPr="00E9690A">
        <w:rPr>
          <w:b/>
          <w:bCs/>
        </w:rPr>
        <w:tab/>
      </w:r>
      <w:r w:rsidRPr="00E9690A">
        <w:rPr>
          <w:b/>
          <w:bCs/>
        </w:rPr>
        <w:t>232.</w:t>
      </w:r>
      <w:r w:rsidRPr="00E9690A">
        <w:t> (1) Culpable homicide that otherwise would be murder may be reduced to manslaughter if the person who committed it did so in the heat of passion caused by sudden provocation.</w:t>
      </w:r>
    </w:p>
    <w:p w:rsidR="00A14024" w:rsidRPr="00E9690A" w:rsidRDefault="00A14024" w:rsidP="00E93FA3">
      <w:pPr>
        <w:pStyle w:val="Citation-AltC"/>
        <w:tabs>
          <w:tab w:val="left" w:pos="1710"/>
          <w:tab w:val="left" w:pos="1980"/>
        </w:tabs>
        <w:spacing w:after="240"/>
        <w:ind w:hanging="1166"/>
        <w:contextualSpacing w:val="0"/>
      </w:pPr>
      <w:r w:rsidRPr="00E9690A">
        <w:tab/>
      </w:r>
      <w:r w:rsidR="00E93FA3" w:rsidRPr="00E9690A">
        <w:tab/>
        <w:t>(2)</w:t>
      </w:r>
      <w:r w:rsidR="00E93FA3" w:rsidRPr="00E9690A">
        <w:tab/>
      </w:r>
      <w:r w:rsidRPr="00E9690A">
        <w:t>A wrongful act or an insult that is of such a nature as to be sufficient to deprive an ordinary person of the power of self-control is provocation for the purposes of this section if the accused acted on it on the sudden and before there was time for his passion to cool.</w:t>
      </w:r>
    </w:p>
    <w:p w:rsidR="00A14024" w:rsidRPr="00E9690A" w:rsidRDefault="00A14024" w:rsidP="00E93FA3">
      <w:pPr>
        <w:pStyle w:val="Citation-AltC"/>
        <w:tabs>
          <w:tab w:val="left" w:pos="1710"/>
          <w:tab w:val="left" w:pos="1980"/>
        </w:tabs>
        <w:spacing w:after="240"/>
        <w:ind w:hanging="1166"/>
        <w:contextualSpacing w:val="0"/>
      </w:pPr>
      <w:r w:rsidRPr="00E9690A">
        <w:tab/>
      </w:r>
      <w:r w:rsidR="00E93FA3" w:rsidRPr="00E9690A">
        <w:tab/>
        <w:t>(3)</w:t>
      </w:r>
      <w:r w:rsidR="00E93FA3" w:rsidRPr="00E9690A">
        <w:tab/>
      </w:r>
      <w:r w:rsidRPr="00E9690A">
        <w:t>For the purposes of this section, the questions</w:t>
      </w:r>
    </w:p>
    <w:p w:rsidR="00A14024" w:rsidRPr="00E9690A" w:rsidRDefault="00E93FA3" w:rsidP="00E93FA3">
      <w:pPr>
        <w:pStyle w:val="Citation-AltC"/>
        <w:tabs>
          <w:tab w:val="left" w:pos="1710"/>
          <w:tab w:val="left" w:pos="2160"/>
        </w:tabs>
        <w:spacing w:after="240"/>
        <w:ind w:left="1710" w:hanging="1710"/>
        <w:contextualSpacing w:val="0"/>
      </w:pPr>
      <w:r w:rsidRPr="00E9690A">
        <w:tab/>
      </w:r>
      <w:r w:rsidR="00A14024" w:rsidRPr="00E9690A">
        <w:t>(</w:t>
      </w:r>
      <w:r w:rsidR="00A14024" w:rsidRPr="00E9690A">
        <w:rPr>
          <w:i/>
        </w:rPr>
        <w:t>a</w:t>
      </w:r>
      <w:r w:rsidRPr="00E9690A">
        <w:t>)</w:t>
      </w:r>
      <w:r w:rsidRPr="00E9690A">
        <w:tab/>
      </w:r>
      <w:proofErr w:type="gramStart"/>
      <w:r w:rsidR="00A14024" w:rsidRPr="00E9690A">
        <w:t>whether</w:t>
      </w:r>
      <w:proofErr w:type="gramEnd"/>
      <w:r w:rsidR="00A14024" w:rsidRPr="00E9690A">
        <w:t xml:space="preserve"> a particular wrongful act or insult amounted to provocation, and</w:t>
      </w:r>
    </w:p>
    <w:p w:rsidR="00A14024" w:rsidRPr="00E9690A" w:rsidRDefault="00E93FA3" w:rsidP="00E93FA3">
      <w:pPr>
        <w:pStyle w:val="Citation-AltC"/>
        <w:tabs>
          <w:tab w:val="left" w:pos="1710"/>
          <w:tab w:val="left" w:pos="2160"/>
        </w:tabs>
        <w:spacing w:after="240"/>
        <w:ind w:left="1710" w:hanging="1710"/>
        <w:contextualSpacing w:val="0"/>
      </w:pPr>
      <w:r w:rsidRPr="00E9690A">
        <w:tab/>
      </w:r>
      <w:r w:rsidR="00A14024" w:rsidRPr="00E9690A">
        <w:t>(</w:t>
      </w:r>
      <w:r w:rsidR="00A14024" w:rsidRPr="00E9690A">
        <w:rPr>
          <w:i/>
        </w:rPr>
        <w:t>b</w:t>
      </w:r>
      <w:r w:rsidRPr="00E9690A">
        <w:t>)</w:t>
      </w:r>
      <w:r w:rsidRPr="00E9690A">
        <w:tab/>
      </w:r>
      <w:proofErr w:type="gramStart"/>
      <w:r w:rsidR="00A14024" w:rsidRPr="00E9690A">
        <w:t>whether</w:t>
      </w:r>
      <w:proofErr w:type="gramEnd"/>
      <w:r w:rsidR="00A14024" w:rsidRPr="00E9690A">
        <w:t xml:space="preserve"> the accused was deprived of the power of self-control by the provocation that he alleges he received,</w:t>
      </w:r>
    </w:p>
    <w:p w:rsidR="00A14024" w:rsidRPr="00E9690A" w:rsidRDefault="00E93FA3" w:rsidP="00E93FA3">
      <w:pPr>
        <w:pStyle w:val="Citation-AltC"/>
        <w:tabs>
          <w:tab w:val="left" w:pos="1170"/>
        </w:tabs>
        <w:ind w:hanging="1166"/>
        <w:contextualSpacing w:val="0"/>
      </w:pPr>
      <w:r w:rsidRPr="00E9690A">
        <w:tab/>
      </w:r>
      <w:r w:rsidR="00A14024" w:rsidRPr="00E9690A">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rsidR="00A14024" w:rsidRPr="00E9690A" w:rsidRDefault="00A14024" w:rsidP="00A14024">
      <w:pPr>
        <w:pStyle w:val="ParaNoNdepar-AltN"/>
        <w:tabs>
          <w:tab w:val="clear" w:pos="1152"/>
          <w:tab w:val="left" w:pos="1166"/>
        </w:tabs>
      </w:pPr>
      <w:r w:rsidRPr="00E9690A">
        <w:t>This Court has held that a defence should only be put to the jury if it has an “air of reality” (</w:t>
      </w:r>
      <w:r w:rsidRPr="00E9690A">
        <w:rPr>
          <w:i/>
        </w:rPr>
        <w:t xml:space="preserve">R. v. </w:t>
      </w:r>
      <w:proofErr w:type="spellStart"/>
      <w:r w:rsidRPr="00E9690A">
        <w:rPr>
          <w:i/>
        </w:rPr>
        <w:t>Cinous</w:t>
      </w:r>
      <w:proofErr w:type="spellEnd"/>
      <w:r w:rsidRPr="00E9690A">
        <w:t xml:space="preserve">, [2002] 2 S.C.R. 3, at </w:t>
      </w:r>
      <w:proofErr w:type="spellStart"/>
      <w:r w:rsidRPr="00E9690A">
        <w:t>para</w:t>
      </w:r>
      <w:proofErr w:type="spellEnd"/>
      <w:r w:rsidRPr="00E9690A">
        <w:t>. 50).  The air of reality test imposes two duties on the trial judge: to “put to the jury all defences that arise on the facts, whether or not they have been specifically raised by an accused”; and “to keep from the jury defences lacking an evidential foundation” (</w:t>
      </w:r>
      <w:proofErr w:type="spellStart"/>
      <w:r w:rsidRPr="00E9690A">
        <w:rPr>
          <w:i/>
        </w:rPr>
        <w:t>Cinous</w:t>
      </w:r>
      <w:proofErr w:type="spellEnd"/>
      <w:r w:rsidRPr="00E9690A">
        <w:t xml:space="preserve">, at </w:t>
      </w:r>
      <w:proofErr w:type="spellStart"/>
      <w:r w:rsidRPr="00E9690A">
        <w:t>para</w:t>
      </w:r>
      <w:proofErr w:type="spellEnd"/>
      <w:r w:rsidRPr="00E9690A">
        <w:t>. 51).  Whether a defence arises on the evidence of the accused or of the Crown, the trial judge must put the defence to the jury if it has an air of reality (</w:t>
      </w:r>
      <w:proofErr w:type="spellStart"/>
      <w:r w:rsidRPr="00E9690A">
        <w:rPr>
          <w:i/>
        </w:rPr>
        <w:t>Cinous</w:t>
      </w:r>
      <w:proofErr w:type="spellEnd"/>
      <w:r w:rsidRPr="00E9690A">
        <w:t xml:space="preserve">, at </w:t>
      </w:r>
      <w:proofErr w:type="spellStart"/>
      <w:r w:rsidRPr="00E9690A">
        <w:t>para</w:t>
      </w:r>
      <w:proofErr w:type="spellEnd"/>
      <w:r w:rsidRPr="00E9690A">
        <w:t xml:space="preserve">. 53; </w:t>
      </w:r>
      <w:r w:rsidRPr="00E9690A">
        <w:rPr>
          <w:i/>
        </w:rPr>
        <w:t xml:space="preserve">R. v. </w:t>
      </w:r>
      <w:proofErr w:type="spellStart"/>
      <w:r w:rsidRPr="00E9690A">
        <w:rPr>
          <w:i/>
        </w:rPr>
        <w:t>Osolin</w:t>
      </w:r>
      <w:proofErr w:type="spellEnd"/>
      <w:r w:rsidRPr="00E9690A">
        <w:t>, [1993] 4 S.C.R. 595).</w:t>
      </w:r>
    </w:p>
    <w:p w:rsidR="00A14024" w:rsidRPr="00E9690A" w:rsidRDefault="00A14024" w:rsidP="00A14024">
      <w:pPr>
        <w:pStyle w:val="ParaNoNdepar-AltN"/>
        <w:tabs>
          <w:tab w:val="clear" w:pos="1152"/>
          <w:tab w:val="left" w:pos="1166"/>
        </w:tabs>
      </w:pPr>
      <w:r w:rsidRPr="00E9690A">
        <w:t xml:space="preserve">In determining whether a defence has an air of reality, there must be an examination into the sufficiency of the evidence.  It is not enough for there to be </w:t>
      </w:r>
      <w:r w:rsidRPr="00E9690A">
        <w:lastRenderedPageBreak/>
        <w:t>“some evidence” supporting the defence (</w:t>
      </w:r>
      <w:proofErr w:type="spellStart"/>
      <w:r w:rsidRPr="00E9690A">
        <w:rPr>
          <w:i/>
        </w:rPr>
        <w:t>Cinous</w:t>
      </w:r>
      <w:proofErr w:type="spellEnd"/>
      <w:r w:rsidRPr="00E9690A">
        <w:t xml:space="preserve">, at </w:t>
      </w:r>
      <w:proofErr w:type="spellStart"/>
      <w:r w:rsidRPr="00E9690A">
        <w:t>para</w:t>
      </w:r>
      <w:proofErr w:type="spellEnd"/>
      <w:r w:rsidRPr="00E9690A">
        <w:t>. 83).  The test is “whether there is (1) evidence (2) upon which a properly instructed jury acting reasonably could acquit if it believed the evidence to be true” (</w:t>
      </w:r>
      <w:proofErr w:type="spellStart"/>
      <w:r w:rsidRPr="00E9690A">
        <w:rPr>
          <w:i/>
        </w:rPr>
        <w:t>Cinous</w:t>
      </w:r>
      <w:proofErr w:type="spellEnd"/>
      <w:r w:rsidRPr="00E9690A">
        <w:t xml:space="preserve">, at </w:t>
      </w:r>
      <w:proofErr w:type="spellStart"/>
      <w:r w:rsidRPr="00E9690A">
        <w:t>para</w:t>
      </w:r>
      <w:proofErr w:type="spellEnd"/>
      <w:r w:rsidRPr="00E9690A">
        <w:t>. 65).  For defences that rely on indirect evidence or defences like provocation that include an objective reasonableness component, the trial judge must examine the “field of factual inferences” that can reasonably be drawn from the evidence (</w:t>
      </w:r>
      <w:proofErr w:type="spellStart"/>
      <w:r w:rsidRPr="00E9690A">
        <w:rPr>
          <w:i/>
        </w:rPr>
        <w:t>Cinous</w:t>
      </w:r>
      <w:proofErr w:type="spellEnd"/>
      <w:r w:rsidRPr="00E9690A">
        <w:t>,</w:t>
      </w:r>
      <w:r w:rsidRPr="00E9690A">
        <w:rPr>
          <w:i/>
        </w:rPr>
        <w:t xml:space="preserve"> </w:t>
      </w:r>
      <w:r w:rsidRPr="00E9690A">
        <w:t xml:space="preserve">at </w:t>
      </w:r>
      <w:proofErr w:type="spellStart"/>
      <w:r w:rsidRPr="00E9690A">
        <w:t>para</w:t>
      </w:r>
      <w:proofErr w:type="spellEnd"/>
      <w:r w:rsidRPr="00E9690A">
        <w:t xml:space="preserve">. 91). </w:t>
      </w:r>
    </w:p>
    <w:p w:rsidR="00A14024" w:rsidRPr="00E9690A" w:rsidRDefault="00A14024" w:rsidP="00A14024">
      <w:pPr>
        <w:pStyle w:val="ParaNoNdepar-AltN"/>
        <w:tabs>
          <w:tab w:val="clear" w:pos="1152"/>
          <w:tab w:val="left" w:pos="1166"/>
        </w:tabs>
      </w:pPr>
      <w:r w:rsidRPr="00E9690A">
        <w:t xml:space="preserve">The relationship between the air of reality and the defence of provocation was recently considered by this Court in </w:t>
      </w:r>
      <w:r w:rsidRPr="00E9690A">
        <w:rPr>
          <w:i/>
        </w:rPr>
        <w:t>R</w:t>
      </w:r>
      <w:r w:rsidR="00EE175F" w:rsidRPr="00E9690A">
        <w:rPr>
          <w:i/>
        </w:rPr>
        <w:t>.</w:t>
      </w:r>
      <w:r w:rsidRPr="00E9690A">
        <w:rPr>
          <w:i/>
        </w:rPr>
        <w:t xml:space="preserve"> v.</w:t>
      </w:r>
      <w:r w:rsidRPr="00E9690A">
        <w:t xml:space="preserve"> </w:t>
      </w:r>
      <w:r w:rsidRPr="00E9690A">
        <w:rPr>
          <w:i/>
        </w:rPr>
        <w:t>Tran</w:t>
      </w:r>
      <w:r w:rsidRPr="00E9690A">
        <w:t xml:space="preserve">, [2010] 3 S.C.R. 350, where Charron J. explained that </w:t>
      </w:r>
    </w:p>
    <w:p w:rsidR="00A14024" w:rsidRPr="00E9690A" w:rsidRDefault="00E93FA3" w:rsidP="00E93FA3">
      <w:pPr>
        <w:pStyle w:val="Citation-AltC"/>
        <w:tabs>
          <w:tab w:val="left" w:pos="1170"/>
        </w:tabs>
        <w:ind w:hanging="1166"/>
      </w:pPr>
      <w:r w:rsidRPr="00E9690A">
        <w:tab/>
      </w:r>
      <w:r w:rsidR="00A14024" w:rsidRPr="00E9690A">
        <w:t>[f]or the defence to succeed, the jury must have a reasonable doubt about whether each of the elements of provocation was present. This necessarily requires that there be a sufficient evidential basis in respect of each component of the defence before it is left to the jury: the evidence must be reasonably capable of supporting the inferences necessary to make out the defence before there is an air of reality to the defence . . . . [</w:t>
      </w:r>
      <w:proofErr w:type="spellStart"/>
      <w:r w:rsidR="00A14024" w:rsidRPr="00E9690A">
        <w:t>para</w:t>
      </w:r>
      <w:proofErr w:type="spellEnd"/>
      <w:r w:rsidR="00A14024" w:rsidRPr="00E9690A">
        <w:t>. 41]</w:t>
      </w:r>
    </w:p>
    <w:p w:rsidR="00A14024" w:rsidRPr="00E9690A" w:rsidRDefault="00A14024" w:rsidP="00A14024">
      <w:pPr>
        <w:pStyle w:val="ParaNoNdepar-AltN"/>
        <w:tabs>
          <w:tab w:val="clear" w:pos="1152"/>
          <w:tab w:val="left" w:pos="1166"/>
        </w:tabs>
      </w:pPr>
      <w:r w:rsidRPr="00E9690A">
        <w:t xml:space="preserve">There are two elements to the defence of provocation: an objective and a subjective one.  The two components were described in </w:t>
      </w:r>
      <w:r w:rsidRPr="00E9690A">
        <w:rPr>
          <w:i/>
        </w:rPr>
        <w:t xml:space="preserve">R. v. </w:t>
      </w:r>
      <w:proofErr w:type="spellStart"/>
      <w:r w:rsidRPr="00E9690A">
        <w:rPr>
          <w:i/>
        </w:rPr>
        <w:t>Thibert</w:t>
      </w:r>
      <w:proofErr w:type="spellEnd"/>
      <w:r w:rsidRPr="00E9690A">
        <w:t>, [1996] 1 S.C.R. 37:</w:t>
      </w:r>
    </w:p>
    <w:p w:rsidR="00E93FA3" w:rsidRPr="00E9690A" w:rsidRDefault="00E93FA3" w:rsidP="00E93FA3">
      <w:pPr>
        <w:pStyle w:val="Citation-AltC"/>
        <w:tabs>
          <w:tab w:val="left" w:pos="1170"/>
        </w:tabs>
        <w:spacing w:after="480"/>
        <w:ind w:hanging="1166"/>
        <w:contextualSpacing w:val="0"/>
      </w:pPr>
      <w:r w:rsidRPr="00E9690A">
        <w:tab/>
      </w:r>
      <w:r w:rsidR="00A14024" w:rsidRPr="00E9690A">
        <w:t xml:space="preserve">First, there must be a wrongful act or insult of such a nature that it is sufficient to deprive an ordinary person of the power of self-control as the objective element. Second, the subjective element requires that the accused act upon that insult on the sudden and before there was time for his passion to cool. [Emphasis deleted; </w:t>
      </w:r>
      <w:proofErr w:type="spellStart"/>
      <w:r w:rsidR="00A14024" w:rsidRPr="00E9690A">
        <w:t>para</w:t>
      </w:r>
      <w:proofErr w:type="spellEnd"/>
      <w:r w:rsidR="00A14024" w:rsidRPr="00E9690A">
        <w:t>. 4</w:t>
      </w:r>
      <w:r w:rsidR="001432F4" w:rsidRPr="00E9690A">
        <w:t>.</w:t>
      </w:r>
      <w:r w:rsidR="00A14024" w:rsidRPr="00E9690A">
        <w:t>]</w:t>
      </w:r>
    </w:p>
    <w:p w:rsidR="00A14024" w:rsidRPr="00E9690A" w:rsidRDefault="00A14024" w:rsidP="00A14024">
      <w:pPr>
        <w:pStyle w:val="Citation-AltC"/>
        <w:contextualSpacing w:val="0"/>
      </w:pPr>
      <w:r w:rsidRPr="00E9690A">
        <w:lastRenderedPageBreak/>
        <w:t xml:space="preserve">(See also </w:t>
      </w:r>
      <w:r w:rsidRPr="00E9690A">
        <w:rPr>
          <w:i/>
        </w:rPr>
        <w:t>Tran</w:t>
      </w:r>
      <w:r w:rsidRPr="00E9690A">
        <w:t xml:space="preserve">, at </w:t>
      </w:r>
      <w:proofErr w:type="spellStart"/>
      <w:r w:rsidRPr="00E9690A">
        <w:t>para</w:t>
      </w:r>
      <w:proofErr w:type="spellEnd"/>
      <w:r w:rsidRPr="00E9690A">
        <w:t>. 23.)</w:t>
      </w:r>
    </w:p>
    <w:p w:rsidR="00A14024" w:rsidRPr="00E9690A" w:rsidRDefault="00A14024" w:rsidP="00A14024">
      <w:pPr>
        <w:pStyle w:val="ContinueParaSuitedupar-AltP"/>
      </w:pPr>
      <w:r w:rsidRPr="00E9690A">
        <w:t>The objective element of the defence requires that “(1) there must be a wrongful act or insult; and (2) the wrongful act or insult must be sufficient to deprive an ordinary person of the power of self-control” (</w:t>
      </w:r>
      <w:r w:rsidRPr="00E9690A">
        <w:rPr>
          <w:i/>
        </w:rPr>
        <w:t>Tran</w:t>
      </w:r>
      <w:r w:rsidRPr="00E9690A">
        <w:t xml:space="preserve">, at </w:t>
      </w:r>
      <w:proofErr w:type="spellStart"/>
      <w:r w:rsidRPr="00E9690A">
        <w:t>para</w:t>
      </w:r>
      <w:proofErr w:type="spellEnd"/>
      <w:r w:rsidRPr="00E9690A">
        <w:t>. 25).</w:t>
      </w:r>
    </w:p>
    <w:p w:rsidR="00A14024" w:rsidRPr="00E9690A" w:rsidRDefault="00A14024" w:rsidP="00A14024">
      <w:pPr>
        <w:pStyle w:val="ParaNoNdepar-AltN"/>
        <w:tabs>
          <w:tab w:val="clear" w:pos="1152"/>
          <w:tab w:val="left" w:pos="1166"/>
        </w:tabs>
      </w:pPr>
      <w:r w:rsidRPr="00E9690A">
        <w:t xml:space="preserve">In order for the defence of provocation to have an air of reality in this case, the evidence must be capable of giving rise to a reasonable doubt that an ordinary person in </w:t>
      </w:r>
      <w:proofErr w:type="spellStart"/>
      <w:r w:rsidRPr="00E9690A">
        <w:t>Suganthini’s</w:t>
      </w:r>
      <w:proofErr w:type="spellEnd"/>
      <w:r w:rsidRPr="00E9690A">
        <w:t xml:space="preserve"> circumstances would be deprived of the power of self-control when hearing insults about his or her level of education.  In my respectful opinion, that conclusion is simply untenable.</w:t>
      </w:r>
    </w:p>
    <w:p w:rsidR="00A14024" w:rsidRPr="00E9690A" w:rsidRDefault="00A14024" w:rsidP="00A14024">
      <w:pPr>
        <w:pStyle w:val="ParaNoNdepar-AltN"/>
        <w:tabs>
          <w:tab w:val="clear" w:pos="1152"/>
          <w:tab w:val="left" w:pos="1166"/>
        </w:tabs>
      </w:pPr>
      <w:r w:rsidRPr="00E9690A">
        <w:t xml:space="preserve">The majority in the Court of Appeal found that the defence of provocation had an air of reality based on the alleged prison conversation in which </w:t>
      </w:r>
      <w:proofErr w:type="spellStart"/>
      <w:r w:rsidRPr="00E9690A">
        <w:t>Suganthini</w:t>
      </w:r>
      <w:proofErr w:type="spellEnd"/>
      <w:r w:rsidRPr="00E9690A">
        <w:t xml:space="preserve"> confessed that she killed </w:t>
      </w:r>
      <w:proofErr w:type="spellStart"/>
      <w:r w:rsidRPr="00E9690A">
        <w:t>Dayani</w:t>
      </w:r>
      <w:proofErr w:type="spellEnd"/>
      <w:r w:rsidRPr="00E9690A">
        <w:t xml:space="preserve"> because she had made fun of her.  The fact that there were 45 stab wounds, the court concluded, supported the inference that the murder had “occurred in the heat of passion caused by sudden provocation”.  But, the majority did not in any way address whether the objective element of the defence was met.    </w:t>
      </w:r>
    </w:p>
    <w:p w:rsidR="00A14024" w:rsidRPr="00E9690A" w:rsidRDefault="00A14024" w:rsidP="00A14024">
      <w:pPr>
        <w:pStyle w:val="ParaNoNdepar-AltN"/>
        <w:tabs>
          <w:tab w:val="clear" w:pos="1152"/>
          <w:tab w:val="left" w:pos="1166"/>
        </w:tabs>
      </w:pPr>
      <w:r w:rsidRPr="00E9690A">
        <w:t xml:space="preserve">This Court has repeatedly reinforced the importance of the objective element.  As Dickson C.J. said in </w:t>
      </w:r>
      <w:r w:rsidRPr="00E9690A">
        <w:rPr>
          <w:i/>
        </w:rPr>
        <w:t>R. v. Hill</w:t>
      </w:r>
      <w:r w:rsidRPr="00E9690A">
        <w:t xml:space="preserve">, [1986] 1 S.C.R. 313, “We seek to encourage conduct that complies with certain societal standards of reasonableness and responsibility. In doing this, the law quite logically employs the objective standard of </w:t>
      </w:r>
      <w:r w:rsidRPr="00E9690A">
        <w:lastRenderedPageBreak/>
        <w:t>the reasonable person” (pp. 324-25), whom he defined as someone having “a normal temperament and level of self-control”, and as not being “exceptionally excitable, pugnacious or in a state of drunkenness” (p. 331).</w:t>
      </w:r>
    </w:p>
    <w:p w:rsidR="00A14024" w:rsidRPr="00E9690A" w:rsidRDefault="00A14024" w:rsidP="00A14024">
      <w:pPr>
        <w:pStyle w:val="ParaNoNdepar-AltN"/>
        <w:tabs>
          <w:tab w:val="clear" w:pos="1152"/>
          <w:tab w:val="left" w:pos="1166"/>
        </w:tabs>
      </w:pPr>
      <w:r w:rsidRPr="00E9690A">
        <w:t>Dickson C.J. acknowledged that “particular characteristics that are not peculiar or idiosyncratic can be ascribed to an ordinary person without subverting the logic of the objective test of provocation”, including features “such as sex, age, or race” (</w:t>
      </w:r>
      <w:r w:rsidRPr="00E9690A">
        <w:rPr>
          <w:i/>
        </w:rPr>
        <w:t>Hill</w:t>
      </w:r>
      <w:r w:rsidRPr="00E9690A">
        <w:t xml:space="preserve">, at p. 331; see also </w:t>
      </w:r>
      <w:proofErr w:type="spellStart"/>
      <w:r w:rsidRPr="00E9690A">
        <w:rPr>
          <w:i/>
        </w:rPr>
        <w:t>Thibert</w:t>
      </w:r>
      <w:proofErr w:type="spellEnd"/>
      <w:r w:rsidRPr="00E9690A">
        <w:t xml:space="preserve">, at </w:t>
      </w:r>
      <w:proofErr w:type="spellStart"/>
      <w:r w:rsidRPr="00E9690A">
        <w:t>para</w:t>
      </w:r>
      <w:proofErr w:type="spellEnd"/>
      <w:r w:rsidRPr="00E9690A">
        <w:t xml:space="preserve">. 14).  But he emphasized that these characteristics are only relevant to the extent that they help determine how an </w:t>
      </w:r>
      <w:r w:rsidRPr="00E9690A">
        <w:rPr>
          <w:i/>
        </w:rPr>
        <w:t>ordinary</w:t>
      </w:r>
      <w:r w:rsidRPr="00E9690A">
        <w:t xml:space="preserve"> person would react in the circumstances.  As Charron J. warned in </w:t>
      </w:r>
      <w:r w:rsidRPr="00E9690A">
        <w:rPr>
          <w:i/>
        </w:rPr>
        <w:t>Tran</w:t>
      </w:r>
      <w:r w:rsidRPr="00E9690A">
        <w:t>:</w:t>
      </w:r>
    </w:p>
    <w:p w:rsidR="00A14024" w:rsidRPr="00E9690A" w:rsidRDefault="00E93FA3" w:rsidP="00E93FA3">
      <w:pPr>
        <w:pStyle w:val="Citation-AltC"/>
        <w:tabs>
          <w:tab w:val="left" w:pos="1170"/>
        </w:tabs>
        <w:ind w:hanging="1166"/>
      </w:pPr>
      <w:r w:rsidRPr="00E9690A">
        <w:tab/>
      </w:r>
      <w:r w:rsidR="00A14024" w:rsidRPr="00E9690A">
        <w:t xml:space="preserve">Personal circumstances may be relevant to determining whether the accused was in fact provoked </w:t>
      </w:r>
      <w:r w:rsidR="00CE1260" w:rsidRPr="00E9690A">
        <w:t>—</w:t>
      </w:r>
      <w:r w:rsidR="00A14024" w:rsidRPr="00E9690A">
        <w:t xml:space="preserve"> the subjective element of the defence </w:t>
      </w:r>
      <w:r w:rsidR="00CE1260" w:rsidRPr="00E9690A">
        <w:t>—</w:t>
      </w:r>
      <w:r w:rsidR="00A14024" w:rsidRPr="00E9690A">
        <w:t xml:space="preserve"> but they do not shift the ordinary person standard to suit the individual accused. In other words, </w:t>
      </w:r>
      <w:r w:rsidR="00A14024" w:rsidRPr="00E9690A">
        <w:rPr>
          <w:i/>
        </w:rPr>
        <w:t>there is an important distinction between contextualizing the objective standard, which is necessary and proper, and individualizing it, which only serves to defeat its purpose</w:t>
      </w:r>
      <w:r w:rsidR="00A14024" w:rsidRPr="00E9690A">
        <w:t>.</w:t>
      </w:r>
      <w:r w:rsidR="00A14024" w:rsidRPr="00E9690A">
        <w:rPr>
          <w:i/>
        </w:rPr>
        <w:t xml:space="preserve"> </w:t>
      </w:r>
      <w:r w:rsidR="00A14024" w:rsidRPr="00E9690A">
        <w:t xml:space="preserve">[Emphasis added; </w:t>
      </w:r>
      <w:proofErr w:type="spellStart"/>
      <w:r w:rsidR="00A14024" w:rsidRPr="00E9690A">
        <w:t>para</w:t>
      </w:r>
      <w:proofErr w:type="spellEnd"/>
      <w:r w:rsidR="00A14024" w:rsidRPr="00E9690A">
        <w:t>. 35.]</w:t>
      </w:r>
    </w:p>
    <w:p w:rsidR="00A14024" w:rsidRPr="00E9690A" w:rsidRDefault="00A14024" w:rsidP="00A14024">
      <w:pPr>
        <w:pStyle w:val="ParaNoNdepar-AltN"/>
        <w:tabs>
          <w:tab w:val="clear" w:pos="1152"/>
          <w:tab w:val="left" w:pos="1166"/>
        </w:tabs>
      </w:pPr>
      <w:r w:rsidRPr="00E9690A">
        <w:t xml:space="preserve">In arguing that provocation should have been put to the jury, the defence relied on evidence from </w:t>
      </w:r>
      <w:proofErr w:type="spellStart"/>
      <w:r w:rsidRPr="00E9690A">
        <w:t>Suganthini’s</w:t>
      </w:r>
      <w:proofErr w:type="spellEnd"/>
      <w:r w:rsidRPr="00E9690A">
        <w:t xml:space="preserve"> husband </w:t>
      </w:r>
      <w:proofErr w:type="spellStart"/>
      <w:r w:rsidRPr="00E9690A">
        <w:t>Mayuran</w:t>
      </w:r>
      <w:proofErr w:type="spellEnd"/>
      <w:r w:rsidRPr="00E9690A">
        <w:t xml:space="preserve"> about the prison conversation between him and </w:t>
      </w:r>
      <w:proofErr w:type="spellStart"/>
      <w:r w:rsidRPr="00E9690A">
        <w:t>Suganthini</w:t>
      </w:r>
      <w:proofErr w:type="spellEnd"/>
      <w:r w:rsidRPr="00E9690A">
        <w:t xml:space="preserve"> to support the air of reality to the defence:</w:t>
      </w:r>
    </w:p>
    <w:p w:rsidR="00A14024" w:rsidRPr="00E9690A" w:rsidRDefault="00E93FA3" w:rsidP="00807CBC">
      <w:pPr>
        <w:pStyle w:val="Citation-AltC"/>
        <w:tabs>
          <w:tab w:val="left" w:pos="1170"/>
        </w:tabs>
        <w:spacing w:after="240"/>
        <w:ind w:left="1710" w:hanging="1710"/>
        <w:contextualSpacing w:val="0"/>
      </w:pPr>
      <w:r w:rsidRPr="00E9690A">
        <w:tab/>
      </w:r>
      <w:proofErr w:type="gramStart"/>
      <w:r w:rsidR="00A14024" w:rsidRPr="00E9690A">
        <w:t>A.</w:t>
      </w:r>
      <w:r w:rsidR="00A14024" w:rsidRPr="00E9690A">
        <w:tab/>
        <w:t>. . .</w:t>
      </w:r>
      <w:proofErr w:type="gramEnd"/>
      <w:r w:rsidR="00A14024" w:rsidRPr="00E9690A">
        <w:t xml:space="preserve"> At that moment, we asked her what happened and she said that out of her anger, she did like that and then, far from myself, </w:t>
      </w:r>
      <w:r w:rsidR="00A14024" w:rsidRPr="00E9690A">
        <w:rPr>
          <w:i/>
        </w:rPr>
        <w:t>I asked her why she did like that and she answered that she was learning more than me and I was very angry</w:t>
      </w:r>
      <w:r w:rsidR="00A14024" w:rsidRPr="00E9690A">
        <w:t xml:space="preserve">. It was because of that, I did like that and after a while, the phone </w:t>
      </w:r>
      <w:proofErr w:type="gramStart"/>
      <w:r w:rsidR="00A14024" w:rsidRPr="00E9690A">
        <w:t>call,</w:t>
      </w:r>
      <w:proofErr w:type="gramEnd"/>
      <w:r w:rsidR="00A14024" w:rsidRPr="00E9690A">
        <w:t xml:space="preserve"> it was automatically there was a cut.</w:t>
      </w:r>
    </w:p>
    <w:p w:rsidR="00A14024" w:rsidRPr="00E9690A" w:rsidRDefault="00A14024" w:rsidP="00E93FA3">
      <w:pPr>
        <w:pStyle w:val="Citation-AltC"/>
        <w:spacing w:after="240"/>
        <w:ind w:left="1530"/>
        <w:contextualSpacing w:val="0"/>
        <w:jc w:val="center"/>
      </w:pPr>
      <w:r w:rsidRPr="00E9690A">
        <w:lastRenderedPageBreak/>
        <w:t xml:space="preserve">. . . </w:t>
      </w:r>
    </w:p>
    <w:p w:rsidR="00A14024" w:rsidRPr="00E9690A" w:rsidRDefault="00E93FA3" w:rsidP="00807CBC">
      <w:pPr>
        <w:pStyle w:val="Citation-AltC"/>
        <w:tabs>
          <w:tab w:val="left" w:pos="1170"/>
        </w:tabs>
        <w:spacing w:after="240"/>
        <w:ind w:left="1710" w:hanging="1710"/>
        <w:contextualSpacing w:val="0"/>
      </w:pPr>
      <w:r w:rsidRPr="00E9690A">
        <w:tab/>
      </w:r>
      <w:r w:rsidR="00807CBC" w:rsidRPr="00E9690A">
        <w:t>A.</w:t>
      </w:r>
      <w:r w:rsidR="00807CBC" w:rsidRPr="00E9690A">
        <w:tab/>
      </w:r>
      <w:r w:rsidR="00A14024" w:rsidRPr="00E9690A">
        <w:t xml:space="preserve">[My mother] was the one who asked her what happened.  I was there at that moment and she said what happened and at that moment, when we asked her, she said like that and she said that </w:t>
      </w:r>
      <w:r w:rsidR="00A14024" w:rsidRPr="00E9690A">
        <w:rPr>
          <w:i/>
        </w:rPr>
        <w:t>she did like that because she was angry</w:t>
      </w:r>
      <w:r w:rsidR="00A14024" w:rsidRPr="00E9690A">
        <w:t xml:space="preserve"> and after she spoke, my mother, with her and I, myself, I asked her for my side, why she did like that and she answered the same way that she did like that.</w:t>
      </w:r>
    </w:p>
    <w:p w:rsidR="00A14024" w:rsidRPr="00E9690A" w:rsidRDefault="00A14024" w:rsidP="00E93FA3">
      <w:pPr>
        <w:pStyle w:val="Citation-AltC"/>
        <w:spacing w:after="240"/>
        <w:ind w:left="1530"/>
        <w:contextualSpacing w:val="0"/>
        <w:jc w:val="center"/>
      </w:pPr>
      <w:r w:rsidRPr="00E9690A">
        <w:t xml:space="preserve">. . . </w:t>
      </w:r>
    </w:p>
    <w:p w:rsidR="00A14024" w:rsidRPr="00E9690A" w:rsidRDefault="00807CBC" w:rsidP="00807CBC">
      <w:pPr>
        <w:pStyle w:val="Citation-AltC"/>
        <w:tabs>
          <w:tab w:val="left" w:pos="1170"/>
        </w:tabs>
        <w:spacing w:after="240"/>
        <w:ind w:left="1710" w:hanging="1710"/>
        <w:contextualSpacing w:val="0"/>
      </w:pPr>
      <w:r w:rsidRPr="00E9690A">
        <w:tab/>
      </w:r>
      <w:proofErr w:type="gramStart"/>
      <w:r w:rsidR="00A14024" w:rsidRPr="00E9690A">
        <w:t>A.</w:t>
      </w:r>
      <w:r w:rsidR="00A14024" w:rsidRPr="00E9690A">
        <w:tab/>
        <w:t>. . .</w:t>
      </w:r>
      <w:proofErr w:type="gramEnd"/>
      <w:r w:rsidR="00A14024" w:rsidRPr="00E9690A">
        <w:t xml:space="preserve"> I asked her . . . what happened, she told me in truth actually, I did it. Then, when I asked her why she did it, </w:t>
      </w:r>
      <w:r w:rsidR="00A14024" w:rsidRPr="00E9690A">
        <w:rPr>
          <w:i/>
        </w:rPr>
        <w:t>she gave me a reason that she was telling her that she was more educated than me</w:t>
      </w:r>
      <w:r w:rsidR="00A14024" w:rsidRPr="00E9690A">
        <w:t>.</w:t>
      </w:r>
    </w:p>
    <w:p w:rsidR="00A14024" w:rsidRPr="00E9690A" w:rsidRDefault="00807CBC" w:rsidP="00807CBC">
      <w:pPr>
        <w:pStyle w:val="Citation-AltC"/>
        <w:tabs>
          <w:tab w:val="left" w:pos="1170"/>
        </w:tabs>
        <w:spacing w:after="240"/>
        <w:ind w:left="1710" w:hanging="1710"/>
        <w:contextualSpacing w:val="0"/>
      </w:pPr>
      <w:r w:rsidRPr="00E9690A">
        <w:tab/>
      </w:r>
      <w:r w:rsidR="00A14024" w:rsidRPr="00E9690A">
        <w:t>Q.</w:t>
      </w:r>
      <w:r w:rsidR="00A14024" w:rsidRPr="00E9690A">
        <w:tab/>
        <w:t>Who was telling that?</w:t>
      </w:r>
    </w:p>
    <w:p w:rsidR="00A14024" w:rsidRPr="00E9690A" w:rsidRDefault="00807CBC" w:rsidP="00807CBC">
      <w:pPr>
        <w:pStyle w:val="Citation-AltC"/>
        <w:tabs>
          <w:tab w:val="left" w:pos="1170"/>
        </w:tabs>
        <w:spacing w:after="240"/>
        <w:ind w:left="1710" w:hanging="1710"/>
        <w:contextualSpacing w:val="0"/>
      </w:pPr>
      <w:r w:rsidRPr="00E9690A">
        <w:tab/>
        <w:t>A.</w:t>
      </w:r>
      <w:r w:rsidRPr="00E9690A">
        <w:tab/>
      </w:r>
      <w:proofErr w:type="spellStart"/>
      <w:r w:rsidR="00A14024" w:rsidRPr="00E9690A">
        <w:t>Suganthini</w:t>
      </w:r>
      <w:proofErr w:type="spellEnd"/>
      <w:r w:rsidR="00A14024" w:rsidRPr="00E9690A">
        <w:t xml:space="preserve"> told me that </w:t>
      </w:r>
      <w:r w:rsidR="00A14024" w:rsidRPr="00E9690A">
        <w:rPr>
          <w:i/>
        </w:rPr>
        <w:t>she was sort of ridiculing her about her level of education</w:t>
      </w:r>
      <w:r w:rsidR="00A14024" w:rsidRPr="00E9690A">
        <w:t>.</w:t>
      </w:r>
    </w:p>
    <w:p w:rsidR="00A14024" w:rsidRPr="00E9690A" w:rsidRDefault="00807CBC" w:rsidP="00807CBC">
      <w:pPr>
        <w:pStyle w:val="Citation-AltC"/>
        <w:tabs>
          <w:tab w:val="left" w:pos="1170"/>
        </w:tabs>
        <w:spacing w:after="240"/>
        <w:ind w:left="1710" w:hanging="1710"/>
        <w:contextualSpacing w:val="0"/>
      </w:pPr>
      <w:r w:rsidRPr="00E9690A">
        <w:tab/>
        <w:t>Q.</w:t>
      </w:r>
      <w:r w:rsidRPr="00E9690A">
        <w:tab/>
      </w:r>
      <w:r w:rsidR="00A14024" w:rsidRPr="00E9690A">
        <w:t>Who was ridiculing her?</w:t>
      </w:r>
    </w:p>
    <w:p w:rsidR="00A14024" w:rsidRPr="00E9690A" w:rsidRDefault="00A14024" w:rsidP="00E93FA3">
      <w:pPr>
        <w:pStyle w:val="Citation-AltC"/>
        <w:spacing w:after="240"/>
        <w:ind w:left="1530"/>
        <w:contextualSpacing w:val="0"/>
        <w:jc w:val="center"/>
      </w:pPr>
      <w:r w:rsidRPr="00E9690A">
        <w:t>. . .</w:t>
      </w:r>
    </w:p>
    <w:p w:rsidR="00A14024" w:rsidRPr="00E9690A" w:rsidRDefault="00807CBC" w:rsidP="00807CBC">
      <w:pPr>
        <w:pStyle w:val="Citation-AltC"/>
        <w:tabs>
          <w:tab w:val="left" w:pos="1170"/>
        </w:tabs>
        <w:spacing w:after="240"/>
        <w:ind w:left="1710" w:hanging="1710"/>
        <w:contextualSpacing w:val="0"/>
        <w:rPr>
          <w:b/>
        </w:rPr>
      </w:pPr>
      <w:r w:rsidRPr="00E9690A">
        <w:tab/>
        <w:t>A.</w:t>
      </w:r>
      <w:r w:rsidRPr="00E9690A">
        <w:tab/>
      </w:r>
      <w:proofErr w:type="spellStart"/>
      <w:r w:rsidR="00A14024" w:rsidRPr="00E9690A">
        <w:t>Dayani</w:t>
      </w:r>
      <w:proofErr w:type="spellEnd"/>
      <w:r w:rsidR="00A14024" w:rsidRPr="00E9690A">
        <w:t>.</w:t>
      </w:r>
    </w:p>
    <w:p w:rsidR="00A14024" w:rsidRPr="00E9690A" w:rsidRDefault="00A14024" w:rsidP="00E93FA3">
      <w:pPr>
        <w:pStyle w:val="Citation-AltC"/>
        <w:spacing w:after="240"/>
        <w:ind w:left="1530"/>
        <w:contextualSpacing w:val="0"/>
        <w:jc w:val="center"/>
      </w:pPr>
      <w:r w:rsidRPr="00E9690A">
        <w:t>. . .</w:t>
      </w:r>
    </w:p>
    <w:p w:rsidR="00A14024" w:rsidRPr="00E9690A" w:rsidRDefault="00807CBC" w:rsidP="00807CBC">
      <w:pPr>
        <w:pStyle w:val="Citation-AltC"/>
        <w:tabs>
          <w:tab w:val="left" w:pos="1170"/>
        </w:tabs>
        <w:ind w:left="1714" w:hanging="1714"/>
        <w:contextualSpacing w:val="0"/>
      </w:pPr>
      <w:r w:rsidRPr="00E9690A">
        <w:tab/>
        <w:t>A.</w:t>
      </w:r>
      <w:r w:rsidRPr="00E9690A">
        <w:tab/>
      </w:r>
      <w:r w:rsidR="00A14024" w:rsidRPr="00E9690A">
        <w:t xml:space="preserve">The moment when I spoke to her, I asked her why she did like that and </w:t>
      </w:r>
      <w:r w:rsidR="00A14024" w:rsidRPr="00E9690A">
        <w:tab/>
        <w:t xml:space="preserve">she said that she was the one who did that and then </w:t>
      </w:r>
      <w:r w:rsidRPr="00E9690A">
        <w:rPr>
          <w:i/>
        </w:rPr>
        <w:t xml:space="preserve">I asked her why </w:t>
      </w:r>
      <w:r w:rsidR="00A14024" w:rsidRPr="00E9690A">
        <w:rPr>
          <w:i/>
        </w:rPr>
        <w:t>and she said about the studies and it</w:t>
      </w:r>
      <w:r w:rsidR="0007453E" w:rsidRPr="00E9690A">
        <w:rPr>
          <w:i/>
        </w:rPr>
        <w:t xml:space="preserve"> was because of that argument, </w:t>
      </w:r>
      <w:r w:rsidR="00A14024" w:rsidRPr="00E9690A">
        <w:rPr>
          <w:i/>
        </w:rPr>
        <w:t>she was angry and she said she did with a anger</w:t>
      </w:r>
      <w:r w:rsidR="00A14024" w:rsidRPr="00E9690A">
        <w:t>. [Emphasis added.]</w:t>
      </w:r>
    </w:p>
    <w:p w:rsidR="00A14024" w:rsidRPr="00E9690A" w:rsidRDefault="00A14024" w:rsidP="00A14024">
      <w:pPr>
        <w:pStyle w:val="ParaNoNdepar-AltN"/>
        <w:tabs>
          <w:tab w:val="clear" w:pos="1152"/>
          <w:tab w:val="left" w:pos="1166"/>
        </w:tabs>
      </w:pPr>
      <w:r w:rsidRPr="00E9690A">
        <w:t xml:space="preserve">The defence also pointed to the evidence from </w:t>
      </w:r>
      <w:proofErr w:type="spellStart"/>
      <w:r w:rsidRPr="00E9690A">
        <w:t>Suganthini’s</w:t>
      </w:r>
      <w:proofErr w:type="spellEnd"/>
      <w:r w:rsidRPr="00E9690A">
        <w:t xml:space="preserve"> mother-in-law: </w:t>
      </w:r>
    </w:p>
    <w:p w:rsidR="00A14024" w:rsidRPr="00E9690A" w:rsidRDefault="00807CBC" w:rsidP="00807CBC">
      <w:pPr>
        <w:pStyle w:val="Citation-AltC"/>
        <w:tabs>
          <w:tab w:val="left" w:pos="1170"/>
        </w:tabs>
        <w:spacing w:after="240"/>
        <w:ind w:left="1710" w:hanging="1710"/>
        <w:contextualSpacing w:val="0"/>
      </w:pPr>
      <w:r w:rsidRPr="00E9690A">
        <w:tab/>
      </w:r>
      <w:r w:rsidR="00A14024" w:rsidRPr="00E9690A">
        <w:t>A.</w:t>
      </w:r>
      <w:r w:rsidR="00A14024" w:rsidRPr="00E9690A">
        <w:tab/>
        <w:t>I asked her what happened, why did she do it.</w:t>
      </w:r>
    </w:p>
    <w:p w:rsidR="00A14024" w:rsidRPr="00E9690A" w:rsidRDefault="00807CBC" w:rsidP="00807CBC">
      <w:pPr>
        <w:pStyle w:val="Citation-AltC"/>
        <w:tabs>
          <w:tab w:val="left" w:pos="1170"/>
        </w:tabs>
        <w:spacing w:after="240"/>
        <w:ind w:left="1710" w:hanging="1710"/>
        <w:contextualSpacing w:val="0"/>
      </w:pPr>
      <w:r w:rsidRPr="00E9690A">
        <w:tab/>
      </w:r>
      <w:r w:rsidR="00790C26" w:rsidRPr="00E9690A">
        <w:t>Q.</w:t>
      </w:r>
      <w:r w:rsidR="00790C26" w:rsidRPr="00E9690A">
        <w:tab/>
      </w:r>
      <w:r w:rsidR="00A14024" w:rsidRPr="00E9690A">
        <w:t xml:space="preserve">What did </w:t>
      </w:r>
      <w:proofErr w:type="spellStart"/>
      <w:r w:rsidR="00A14024" w:rsidRPr="00E9690A">
        <w:t>Suganthini</w:t>
      </w:r>
      <w:proofErr w:type="spellEnd"/>
      <w:r w:rsidR="00A14024" w:rsidRPr="00E9690A">
        <w:t xml:space="preserve"> answer?</w:t>
      </w:r>
    </w:p>
    <w:p w:rsidR="00A14024" w:rsidRPr="00E9690A" w:rsidRDefault="00807CBC" w:rsidP="00807CBC">
      <w:pPr>
        <w:pStyle w:val="Citation-AltC"/>
        <w:tabs>
          <w:tab w:val="left" w:pos="1170"/>
        </w:tabs>
        <w:spacing w:after="240"/>
        <w:ind w:left="1710" w:hanging="1710"/>
        <w:contextualSpacing w:val="0"/>
      </w:pPr>
      <w:r w:rsidRPr="00E9690A">
        <w:lastRenderedPageBreak/>
        <w:tab/>
      </w:r>
      <w:r w:rsidR="00A14024" w:rsidRPr="00E9690A">
        <w:t>A.</w:t>
      </w:r>
      <w:r w:rsidR="00A14024" w:rsidRPr="00E9690A">
        <w:tab/>
      </w:r>
      <w:proofErr w:type="spellStart"/>
      <w:r w:rsidR="00A14024" w:rsidRPr="00E9690A">
        <w:t>Suganthini</w:t>
      </w:r>
      <w:proofErr w:type="spellEnd"/>
      <w:r w:rsidR="00A14024" w:rsidRPr="00E9690A">
        <w:t xml:space="preserve"> said: I have done it. And when I asked her why </w:t>
      </w:r>
      <w:proofErr w:type="gramStart"/>
      <w:r w:rsidR="00A14024" w:rsidRPr="00E9690A">
        <w:t>did you do</w:t>
      </w:r>
      <w:proofErr w:type="gramEnd"/>
      <w:r w:rsidR="00A14024" w:rsidRPr="00E9690A">
        <w:t xml:space="preserve"> it, </w:t>
      </w:r>
      <w:r w:rsidR="00A14024" w:rsidRPr="00E9690A">
        <w:rPr>
          <w:i/>
        </w:rPr>
        <w:t>she said she scolded at, she reproached me and that’s why I did it</w:t>
      </w:r>
      <w:r w:rsidR="00A14024" w:rsidRPr="00E9690A">
        <w:t>.</w:t>
      </w:r>
    </w:p>
    <w:p w:rsidR="00A14024" w:rsidRPr="00E9690A" w:rsidRDefault="00807CBC" w:rsidP="00807CBC">
      <w:pPr>
        <w:pStyle w:val="Citation-AltC"/>
        <w:tabs>
          <w:tab w:val="left" w:pos="1170"/>
        </w:tabs>
        <w:spacing w:after="240"/>
        <w:ind w:left="1710" w:hanging="1710"/>
        <w:contextualSpacing w:val="0"/>
      </w:pPr>
      <w:r w:rsidRPr="00E9690A">
        <w:tab/>
      </w:r>
      <w:r w:rsidR="00A14024" w:rsidRPr="00E9690A">
        <w:t>Q.</w:t>
      </w:r>
      <w:r w:rsidR="00A14024" w:rsidRPr="00E9690A">
        <w:tab/>
        <w:t>Did she say anything else?</w:t>
      </w:r>
    </w:p>
    <w:p w:rsidR="00A14024" w:rsidRPr="00E9690A" w:rsidRDefault="00807CBC" w:rsidP="00807CBC">
      <w:pPr>
        <w:pStyle w:val="Citation-AltC"/>
        <w:tabs>
          <w:tab w:val="left" w:pos="1170"/>
        </w:tabs>
        <w:spacing w:after="240"/>
        <w:ind w:left="1710" w:hanging="1710"/>
        <w:contextualSpacing w:val="0"/>
      </w:pPr>
      <w:r w:rsidRPr="00E9690A">
        <w:tab/>
      </w:r>
      <w:r w:rsidR="00A14024" w:rsidRPr="00E9690A">
        <w:t>A.</w:t>
      </w:r>
      <w:r w:rsidRPr="00E9690A">
        <w:tab/>
      </w:r>
      <w:r w:rsidR="00A14024" w:rsidRPr="00E9690A">
        <w:t>I told her: Okay, she scolded at you but</w:t>
      </w:r>
      <w:r w:rsidRPr="00E9690A">
        <w:t xml:space="preserve"> why didn’t you just leave the </w:t>
      </w:r>
      <w:r w:rsidR="00A14024" w:rsidRPr="00E9690A">
        <w:t>place, go out of the apartment if she had provoked you?</w:t>
      </w:r>
    </w:p>
    <w:p w:rsidR="00A14024" w:rsidRPr="00E9690A" w:rsidRDefault="00807CBC" w:rsidP="00807CBC">
      <w:pPr>
        <w:pStyle w:val="Citation-AltC"/>
        <w:tabs>
          <w:tab w:val="left" w:pos="1170"/>
        </w:tabs>
        <w:spacing w:after="240"/>
        <w:ind w:left="1710" w:hanging="1710"/>
        <w:contextualSpacing w:val="0"/>
      </w:pPr>
      <w:r w:rsidRPr="00E9690A">
        <w:tab/>
      </w:r>
      <w:r w:rsidR="00A14024" w:rsidRPr="00E9690A">
        <w:t>Q.</w:t>
      </w:r>
      <w:r w:rsidRPr="00E9690A">
        <w:tab/>
      </w:r>
      <w:r w:rsidR="00A14024" w:rsidRPr="00E9690A">
        <w:t>What did she answer?</w:t>
      </w:r>
    </w:p>
    <w:p w:rsidR="00A14024" w:rsidRPr="00E9690A" w:rsidRDefault="00807CBC" w:rsidP="00807CBC">
      <w:pPr>
        <w:pStyle w:val="Citation-AltC"/>
        <w:tabs>
          <w:tab w:val="left" w:pos="1170"/>
        </w:tabs>
        <w:spacing w:after="240"/>
        <w:ind w:left="1710" w:hanging="1710"/>
        <w:contextualSpacing w:val="0"/>
      </w:pPr>
      <w:r w:rsidRPr="00E9690A">
        <w:tab/>
        <w:t>A.</w:t>
      </w:r>
      <w:r w:rsidRPr="00E9690A">
        <w:tab/>
      </w:r>
      <w:r w:rsidR="00A14024" w:rsidRPr="00E9690A">
        <w:t xml:space="preserve">She said: </w:t>
      </w:r>
      <w:r w:rsidR="00A14024" w:rsidRPr="00E9690A">
        <w:rPr>
          <w:i/>
        </w:rPr>
        <w:t>She scolded at me and that’s why I did it</w:t>
      </w:r>
      <w:r w:rsidR="00A14024" w:rsidRPr="00E9690A">
        <w:t>.</w:t>
      </w:r>
    </w:p>
    <w:p w:rsidR="00A14024" w:rsidRPr="00E9690A" w:rsidRDefault="00A14024" w:rsidP="006273DF">
      <w:pPr>
        <w:pStyle w:val="Citation-AltC"/>
        <w:spacing w:after="240"/>
        <w:contextualSpacing w:val="0"/>
        <w:jc w:val="center"/>
      </w:pPr>
      <w:r w:rsidRPr="00E9690A">
        <w:t>. . .</w:t>
      </w:r>
    </w:p>
    <w:p w:rsidR="00A14024" w:rsidRPr="00E9690A" w:rsidRDefault="00807CBC" w:rsidP="00807CBC">
      <w:pPr>
        <w:pStyle w:val="Citation-AltC"/>
        <w:tabs>
          <w:tab w:val="left" w:pos="1170"/>
        </w:tabs>
        <w:ind w:left="1714" w:hanging="1714"/>
        <w:contextualSpacing w:val="0"/>
      </w:pPr>
      <w:r w:rsidRPr="00E9690A">
        <w:tab/>
        <w:t>A.</w:t>
      </w:r>
      <w:r w:rsidRPr="00E9690A">
        <w:tab/>
      </w:r>
      <w:r w:rsidR="00A14024" w:rsidRPr="00E9690A">
        <w:rPr>
          <w:i/>
        </w:rPr>
        <w:t>She said she reproached me and that’s why she did it</w:t>
      </w:r>
      <w:r w:rsidR="00A14024" w:rsidRPr="00E9690A">
        <w:t>.  [Emphasis added.]</w:t>
      </w:r>
    </w:p>
    <w:p w:rsidR="00A14024" w:rsidRPr="00E9690A" w:rsidRDefault="00A14024" w:rsidP="00A14024">
      <w:pPr>
        <w:pStyle w:val="ParaNoNdepar-AltN"/>
        <w:tabs>
          <w:tab w:val="clear" w:pos="1152"/>
          <w:tab w:val="left" w:pos="1166"/>
        </w:tabs>
      </w:pPr>
      <w:r w:rsidRPr="00E9690A">
        <w:t xml:space="preserve">In addition, </w:t>
      </w:r>
      <w:proofErr w:type="spellStart"/>
      <w:r w:rsidRPr="00E9690A">
        <w:t>Suganthini</w:t>
      </w:r>
      <w:proofErr w:type="spellEnd"/>
      <w:r w:rsidRPr="00E9690A">
        <w:t xml:space="preserve"> argued that her particular circumstances were relevant in assessing her reaction, including the fact that she was a new immigrant who was attempting to integrate into the community as quickly as possible, which heightened her sensitivity to insults relating to her level of education and ability to learn.  These considerations, however, while relevant, do not transform her conduct into an act that an ordinary person would have committed.  As Charron J. noted in </w:t>
      </w:r>
      <w:r w:rsidRPr="00E9690A">
        <w:rPr>
          <w:i/>
        </w:rPr>
        <w:t>Tran</w:t>
      </w:r>
      <w:r w:rsidRPr="00E9690A">
        <w:t>, this would “individualize” the objective element of the test and defeat its purpose.</w:t>
      </w:r>
    </w:p>
    <w:p w:rsidR="00A14024" w:rsidRPr="00E9690A" w:rsidRDefault="00A14024" w:rsidP="00A14024">
      <w:pPr>
        <w:pStyle w:val="ParaNoNdepar-AltN"/>
        <w:tabs>
          <w:tab w:val="clear" w:pos="1152"/>
          <w:tab w:val="left" w:pos="1166"/>
        </w:tabs>
      </w:pPr>
      <w:r w:rsidRPr="00E9690A">
        <w:t xml:space="preserve">Based on this record, a properly instructed jury could not conclude that an ordinary person in </w:t>
      </w:r>
      <w:proofErr w:type="spellStart"/>
      <w:r w:rsidRPr="00E9690A">
        <w:t>Suganthini’s</w:t>
      </w:r>
      <w:proofErr w:type="spellEnd"/>
      <w:r w:rsidRPr="00E9690A">
        <w:t xml:space="preserve"> circumstances would be deprived of self-control when “scolded” about her level of education to such a degree that she would stab the person 45 times in a responsive rage.  This, it seems to me, has absolutely no air of </w:t>
      </w:r>
      <w:r w:rsidRPr="00E9690A">
        <w:lastRenderedPageBreak/>
        <w:t>reality.  There was, as a result, no duty on the trial judge to instruct the jury on the defence of provocation.</w:t>
      </w:r>
    </w:p>
    <w:p w:rsidR="00A14024" w:rsidRPr="00E9690A" w:rsidRDefault="00A14024" w:rsidP="00A14024">
      <w:pPr>
        <w:pStyle w:val="ParaNoNdepar-AltN"/>
        <w:tabs>
          <w:tab w:val="clear" w:pos="1152"/>
          <w:tab w:val="left" w:pos="1166"/>
        </w:tabs>
      </w:pPr>
      <w:r w:rsidRPr="00E9690A">
        <w:t xml:space="preserve">The four remaining errors identified by the Court of Appeal relate to the charge to the jury.  Like the Court of Appeal, I would apply the curative proviso.  </w:t>
      </w:r>
    </w:p>
    <w:p w:rsidR="00A14024" w:rsidRPr="00E9690A" w:rsidRDefault="00A14024" w:rsidP="00A14024">
      <w:pPr>
        <w:pStyle w:val="ParaNoNdepar-AltN"/>
        <w:tabs>
          <w:tab w:val="clear" w:pos="1152"/>
          <w:tab w:val="left" w:pos="1166"/>
        </w:tabs>
      </w:pPr>
      <w:r w:rsidRPr="00E9690A">
        <w:t xml:space="preserve">The Court of Appeal found that the trial judge erred in the instruction on motive.  The jury was told that they could take into account </w:t>
      </w:r>
      <w:proofErr w:type="spellStart"/>
      <w:r w:rsidRPr="00E9690A">
        <w:t>Suganthini’s</w:t>
      </w:r>
      <w:proofErr w:type="spellEnd"/>
      <w:r w:rsidRPr="00E9690A">
        <w:t xml:space="preserve"> potential motive for murder, namely “that [</w:t>
      </w:r>
      <w:proofErr w:type="spellStart"/>
      <w:r w:rsidRPr="00E9690A">
        <w:t>Dayani</w:t>
      </w:r>
      <w:proofErr w:type="spellEnd"/>
      <w:r w:rsidRPr="00E9690A">
        <w:t xml:space="preserve">] was growling, reproaching her, humiliating her and ridiculing her”, in coming to their conclusion.  The Court of Appeal found that the trial judge should also have told the jury to consider </w:t>
      </w:r>
      <w:proofErr w:type="spellStart"/>
      <w:r w:rsidRPr="00E9690A">
        <w:t>Manchutan’s</w:t>
      </w:r>
      <w:proofErr w:type="spellEnd"/>
      <w:r w:rsidRPr="00E9690A">
        <w:t xml:space="preserve"> motive, as alleged by </w:t>
      </w:r>
      <w:proofErr w:type="spellStart"/>
      <w:r w:rsidRPr="00E9690A">
        <w:t>Suganthini</w:t>
      </w:r>
      <w:proofErr w:type="spellEnd"/>
      <w:r w:rsidRPr="00E9690A">
        <w:t xml:space="preserve">, that his wife was pregnant with </w:t>
      </w:r>
      <w:proofErr w:type="spellStart"/>
      <w:r w:rsidRPr="00E9690A">
        <w:t>Suganthini’s</w:t>
      </w:r>
      <w:proofErr w:type="spellEnd"/>
      <w:r w:rsidRPr="00E9690A">
        <w:t xml:space="preserve"> husband’s child.</w:t>
      </w:r>
    </w:p>
    <w:p w:rsidR="00A14024" w:rsidRPr="00E9690A" w:rsidRDefault="00A14024" w:rsidP="00A14024">
      <w:pPr>
        <w:pStyle w:val="ParaNoNdepar-AltN"/>
        <w:tabs>
          <w:tab w:val="clear" w:pos="1152"/>
          <w:tab w:val="left" w:pos="1166"/>
        </w:tabs>
      </w:pPr>
      <w:r w:rsidRPr="00E9690A">
        <w:t xml:space="preserve">Dickson J. commented in </w:t>
      </w:r>
      <w:r w:rsidRPr="00E9690A">
        <w:rPr>
          <w:i/>
        </w:rPr>
        <w:t>Lewis v. The Queen</w:t>
      </w:r>
      <w:r w:rsidRPr="00E9690A">
        <w:t xml:space="preserve">, [1979] 2 S.C.R. 821, that trial judges are to provide a balanced jury instruction on the issue of motive in order “to give the jury matters of evidence </w:t>
      </w:r>
      <w:r w:rsidRPr="00E9690A">
        <w:rPr>
          <w:i/>
        </w:rPr>
        <w:t>essential</w:t>
      </w:r>
      <w:r w:rsidRPr="00E9690A">
        <w:t xml:space="preserve"> in arriving at a just conclusion” (p. 837 (emphasis added), citing </w:t>
      </w:r>
      <w:proofErr w:type="spellStart"/>
      <w:r w:rsidRPr="00E9690A">
        <w:rPr>
          <w:i/>
        </w:rPr>
        <w:t>Colpitts</w:t>
      </w:r>
      <w:proofErr w:type="spellEnd"/>
      <w:r w:rsidRPr="00E9690A">
        <w:rPr>
          <w:i/>
        </w:rPr>
        <w:t xml:space="preserve"> v. The Queen</w:t>
      </w:r>
      <w:r w:rsidRPr="00E9690A">
        <w:t xml:space="preserve">, [1965] S.C.R. 739, at p. 752; see also </w:t>
      </w:r>
      <w:r w:rsidRPr="00E9690A">
        <w:rPr>
          <w:i/>
        </w:rPr>
        <w:t>R. v. White</w:t>
      </w:r>
      <w:r w:rsidRPr="00E9690A">
        <w:t xml:space="preserve"> (1996), 29 O.R. (3d) 577 (C.A.), at pp. 607-8, </w:t>
      </w:r>
      <w:proofErr w:type="spellStart"/>
      <w:r w:rsidRPr="00E9690A">
        <w:t>aff’d</w:t>
      </w:r>
      <w:proofErr w:type="spellEnd"/>
      <w:r w:rsidRPr="00E9690A">
        <w:t xml:space="preserve"> [1998] 2 S.C.R. 72).  The Crown’s case, however, was grounded in </w:t>
      </w:r>
      <w:proofErr w:type="spellStart"/>
      <w:r w:rsidRPr="00E9690A">
        <w:t>Suganthini’s</w:t>
      </w:r>
      <w:proofErr w:type="spellEnd"/>
      <w:r w:rsidRPr="00E9690A">
        <w:t xml:space="preserve"> exclusive opportunity to commit the offence, not motive.  While it would have been preferable if the trial judge had reminded the jury about </w:t>
      </w:r>
      <w:proofErr w:type="spellStart"/>
      <w:r w:rsidRPr="00E9690A">
        <w:t>Suganthini’s</w:t>
      </w:r>
      <w:proofErr w:type="spellEnd"/>
      <w:r w:rsidRPr="00E9690A">
        <w:t xml:space="preserve"> evidence, the failure to do so in this case was relatively minor given the marginal role of motive in the Crown’s case.</w:t>
      </w:r>
    </w:p>
    <w:p w:rsidR="00A14024" w:rsidRPr="00E9690A" w:rsidRDefault="00A14024" w:rsidP="00A14024">
      <w:pPr>
        <w:pStyle w:val="ParaNoNdepar-AltN"/>
        <w:tabs>
          <w:tab w:val="clear" w:pos="1152"/>
          <w:tab w:val="left" w:pos="1166"/>
        </w:tabs>
      </w:pPr>
      <w:r w:rsidRPr="00E9690A">
        <w:lastRenderedPageBreak/>
        <w:t xml:space="preserve">The Court of Appeal also found the following comment by the trial judge about </w:t>
      </w:r>
      <w:proofErr w:type="spellStart"/>
      <w:r w:rsidRPr="00E9690A">
        <w:t>Suganthini’s</w:t>
      </w:r>
      <w:proofErr w:type="spellEnd"/>
      <w:r w:rsidRPr="00E9690A">
        <w:t xml:space="preserve"> fatigue to have been an error:</w:t>
      </w:r>
    </w:p>
    <w:p w:rsidR="00A14024" w:rsidRPr="00E9690A" w:rsidRDefault="00807CBC" w:rsidP="00807CBC">
      <w:pPr>
        <w:pStyle w:val="Citation-AltC"/>
        <w:tabs>
          <w:tab w:val="left" w:pos="1170"/>
        </w:tabs>
        <w:ind w:hanging="1166"/>
      </w:pPr>
      <w:r w:rsidRPr="00E9690A">
        <w:rPr>
          <w:smallCaps/>
        </w:rPr>
        <w:tab/>
      </w:r>
      <w:r w:rsidR="001E6C72" w:rsidRPr="00E9690A">
        <w:rPr>
          <w:smallCaps/>
        </w:rPr>
        <w:t xml:space="preserve">[translation] </w:t>
      </w:r>
      <w:r w:rsidR="00A14024" w:rsidRPr="00E9690A">
        <w:t xml:space="preserve">You can also take into consideration the testimony of the accused when she said that she measures 5 feet and weighs 90 pounds, about the same weight as the victim.  She said several times, after the incidents in the house, at the hospital and at the police station, that she was very tired.  </w:t>
      </w:r>
      <w:r w:rsidR="00A14024" w:rsidRPr="00E9690A">
        <w:rPr>
          <w:i/>
        </w:rPr>
        <w:t>We could think that a person weighing 90 pounds, who has just stabbed another person 45 times and killed them, would be very tired</w:t>
      </w:r>
      <w:r w:rsidR="00A14024" w:rsidRPr="00E9690A">
        <w:t>. [Emphasis added.]</w:t>
      </w:r>
    </w:p>
    <w:p w:rsidR="00A14024" w:rsidRPr="00E9690A" w:rsidRDefault="00A14024" w:rsidP="00A14024">
      <w:pPr>
        <w:pStyle w:val="ParaNoNdepar-AltN"/>
        <w:tabs>
          <w:tab w:val="clear" w:pos="1152"/>
          <w:tab w:val="left" w:pos="1166"/>
        </w:tabs>
      </w:pPr>
      <w:r w:rsidRPr="00E9690A">
        <w:t xml:space="preserve">The issue of a judge’s right to express an opinion on the evidence was discussed by Charron J. in </w:t>
      </w:r>
      <w:r w:rsidRPr="00E9690A">
        <w:rPr>
          <w:i/>
        </w:rPr>
        <w:t>R. v. Gunning</w:t>
      </w:r>
      <w:r w:rsidRPr="00E9690A">
        <w:t>, [2005] 1 S.C.R. 627, where she stated:</w:t>
      </w:r>
    </w:p>
    <w:p w:rsidR="00A14024" w:rsidRPr="00E9690A" w:rsidRDefault="00A14024" w:rsidP="00807CBC">
      <w:pPr>
        <w:pStyle w:val="Citation-AltC"/>
        <w:tabs>
          <w:tab w:val="left" w:pos="1710"/>
        </w:tabs>
        <w:ind w:hanging="1166"/>
        <w:rPr>
          <w:shd w:val="clear" w:color="auto" w:fill="FFFFFF"/>
        </w:rPr>
      </w:pPr>
      <w:r w:rsidRPr="00E9690A">
        <w:rPr>
          <w:shd w:val="clear" w:color="auto" w:fill="FFFFFF"/>
        </w:rPr>
        <w:tab/>
      </w:r>
      <w:r w:rsidR="00807CBC" w:rsidRPr="00E9690A">
        <w:rPr>
          <w:shd w:val="clear" w:color="auto" w:fill="FFFFFF"/>
        </w:rPr>
        <w:tab/>
      </w:r>
      <w:r w:rsidRPr="00E9690A">
        <w:rPr>
          <w:shd w:val="clear" w:color="auto" w:fill="FFFFFF"/>
        </w:rPr>
        <w:t xml:space="preserve">It is perhaps trite but nonetheless fundamental law that on a jury trial, it is for the judge to decide all questions of law and to direct the jury accordingly; but the jury, who must take its direction on the law from the judge, is the sole arbiter on the facts. The judge also has the duty, insofar as it is necessary, to assist the jury by reviewing the evidence as it relates to the issues in the case. </w:t>
      </w:r>
      <w:r w:rsidRPr="00E9690A">
        <w:rPr>
          <w:i/>
          <w:shd w:val="clear" w:color="auto" w:fill="FFFFFF"/>
        </w:rPr>
        <w:t>The judge is also entitled to give an opinion on a question of fact and express it as strongly as the circumstances permit, so long as it is made clear to the jury that the opinion is given as advice and not direction</w:t>
      </w:r>
      <w:r w:rsidRPr="00E9690A">
        <w:rPr>
          <w:shd w:val="clear" w:color="auto" w:fill="FFFFFF"/>
        </w:rPr>
        <w:t>.</w:t>
      </w:r>
    </w:p>
    <w:p w:rsidR="00A14024" w:rsidRPr="00E9690A" w:rsidRDefault="00807CBC" w:rsidP="00807CBC">
      <w:pPr>
        <w:pStyle w:val="Citation-AltC"/>
        <w:spacing w:after="240"/>
        <w:contextualSpacing w:val="0"/>
        <w:jc w:val="center"/>
        <w:rPr>
          <w:shd w:val="clear" w:color="auto" w:fill="FFFFFF"/>
        </w:rPr>
      </w:pPr>
      <w:r w:rsidRPr="00E9690A">
        <w:rPr>
          <w:shd w:val="clear" w:color="auto" w:fill="FFFFFF"/>
        </w:rPr>
        <w:t>. . .</w:t>
      </w:r>
    </w:p>
    <w:p w:rsidR="00A14024" w:rsidRPr="00E9690A" w:rsidRDefault="00807CBC" w:rsidP="00807CBC">
      <w:pPr>
        <w:pStyle w:val="Citation-AltC"/>
        <w:tabs>
          <w:tab w:val="left" w:pos="1170"/>
        </w:tabs>
        <w:ind w:hanging="1166"/>
        <w:rPr>
          <w:shd w:val="clear" w:color="auto" w:fill="FFFFFF"/>
        </w:rPr>
      </w:pPr>
      <w:r w:rsidRPr="00E9690A">
        <w:rPr>
          <w:shd w:val="clear" w:color="auto" w:fill="FFFFFF"/>
        </w:rPr>
        <w:tab/>
      </w:r>
      <w:r w:rsidR="00A14024" w:rsidRPr="00E9690A">
        <w:rPr>
          <w:shd w:val="clear" w:color="auto" w:fill="FFFFFF"/>
        </w:rPr>
        <w:t xml:space="preserve">. . . </w:t>
      </w:r>
      <w:proofErr w:type="gramStart"/>
      <w:r w:rsidR="00A14024" w:rsidRPr="00E9690A">
        <w:rPr>
          <w:shd w:val="clear" w:color="auto" w:fill="FFFFFF"/>
        </w:rPr>
        <w:t>it</w:t>
      </w:r>
      <w:proofErr w:type="gramEnd"/>
      <w:r w:rsidR="00A14024" w:rsidRPr="00E9690A">
        <w:rPr>
          <w:shd w:val="clear" w:color="auto" w:fill="FFFFFF"/>
        </w:rPr>
        <w:t xml:space="preserve"> is never the </w:t>
      </w:r>
      <w:r w:rsidR="00A14024" w:rsidRPr="00E9690A">
        <w:t>function</w:t>
      </w:r>
      <w:r w:rsidR="00A14024" w:rsidRPr="00E9690A">
        <w:rPr>
          <w:shd w:val="clear" w:color="auto" w:fill="FFFFFF"/>
        </w:rPr>
        <w:t xml:space="preserve"> of the judge in a jury trial to assess the evidence and make a determination that the Crown has proven one or more of the essential elements of the offence and to direct the jury accordingly. It does not matter how obvious the judge may believe the answer to be. Nor does it matter that the judge may be of the view that any other conclusion would be perverse. </w:t>
      </w:r>
      <w:r w:rsidR="00A14024" w:rsidRPr="00E9690A">
        <w:rPr>
          <w:i/>
          <w:shd w:val="clear" w:color="auto" w:fill="FFFFFF"/>
        </w:rPr>
        <w:t>The trial judge may give an opinion on the matter when it is warranted, but never a direction</w:t>
      </w:r>
      <w:r w:rsidR="00A14024" w:rsidRPr="00E9690A">
        <w:rPr>
          <w:shd w:val="clear" w:color="auto" w:fill="FFFFFF"/>
        </w:rPr>
        <w:t xml:space="preserve">. [Emphasis added; </w:t>
      </w:r>
      <w:proofErr w:type="spellStart"/>
      <w:r w:rsidR="00A14024" w:rsidRPr="00E9690A">
        <w:rPr>
          <w:shd w:val="clear" w:color="auto" w:fill="FFFFFF"/>
        </w:rPr>
        <w:t>paras</w:t>
      </w:r>
      <w:proofErr w:type="spellEnd"/>
      <w:r w:rsidR="00A14024" w:rsidRPr="00E9690A">
        <w:rPr>
          <w:shd w:val="clear" w:color="auto" w:fill="FFFFFF"/>
        </w:rPr>
        <w:t>. 27 and 31.]</w:t>
      </w:r>
    </w:p>
    <w:p w:rsidR="00A14024" w:rsidRPr="00E9690A" w:rsidRDefault="00A14024" w:rsidP="00A14024">
      <w:pPr>
        <w:pStyle w:val="ParaNoNdepar-AltN"/>
        <w:tabs>
          <w:tab w:val="clear" w:pos="1152"/>
          <w:tab w:val="left" w:pos="1166"/>
        </w:tabs>
      </w:pPr>
      <w:r w:rsidRPr="00E9690A">
        <w:t xml:space="preserve">In </w:t>
      </w:r>
      <w:r w:rsidRPr="00E9690A">
        <w:rPr>
          <w:i/>
        </w:rPr>
        <w:t>Gunning</w:t>
      </w:r>
      <w:r w:rsidRPr="00E9690A">
        <w:t xml:space="preserve">, the trial judge had told the jury how to decide an essential element of the offence.  This case is very different.  The trial judge used qualified </w:t>
      </w:r>
      <w:r w:rsidRPr="00E9690A">
        <w:lastRenderedPageBreak/>
        <w:t xml:space="preserve">language which did no more than suggest an inference that could potentially be drawn from the evidence.  Ideally, the trial judge should not have speculated to the jury about what may have caused </w:t>
      </w:r>
      <w:proofErr w:type="spellStart"/>
      <w:r w:rsidRPr="00E9690A">
        <w:t>Suganthini’s</w:t>
      </w:r>
      <w:proofErr w:type="spellEnd"/>
      <w:r w:rsidRPr="00E9690A">
        <w:t xml:space="preserve"> fatigue.  But the statement does not rise to the level of a “direction” to the jury on how it should decide any element of the offence, and it was accompanied by several instructions to the jury to the effect that they were the ultimate arbiters of the facts.  Any error, as a result, was minor.</w:t>
      </w:r>
    </w:p>
    <w:p w:rsidR="00A14024" w:rsidRPr="00E9690A" w:rsidRDefault="00A14024" w:rsidP="00A14024">
      <w:pPr>
        <w:pStyle w:val="ParaNoNdepar-AltN"/>
        <w:tabs>
          <w:tab w:val="clear" w:pos="1152"/>
          <w:tab w:val="left" w:pos="1166"/>
        </w:tabs>
        <w:rPr>
          <w:u w:val="single"/>
        </w:rPr>
      </w:pPr>
      <w:r w:rsidRPr="00E9690A">
        <w:t xml:space="preserve">The Court of Appeal also said that the trial judge erred because since this case was essentially based on circumstantial evidence, a specific instruction was required, telling the jury that it could only convict if it was satisfied that the </w:t>
      </w:r>
      <w:r w:rsidRPr="00E9690A">
        <w:rPr>
          <w:i/>
        </w:rPr>
        <w:t>only</w:t>
      </w:r>
      <w:r w:rsidRPr="00E9690A">
        <w:t xml:space="preserve">  “reasonable inference” to be drawn from that evidence was that </w:t>
      </w:r>
      <w:proofErr w:type="spellStart"/>
      <w:r w:rsidRPr="00E9690A">
        <w:t>Suganthini</w:t>
      </w:r>
      <w:proofErr w:type="spellEnd"/>
      <w:r w:rsidRPr="00E9690A">
        <w:t xml:space="preserve"> was guilty.  However this Court explained in </w:t>
      </w:r>
      <w:r w:rsidRPr="00E9690A">
        <w:rPr>
          <w:i/>
        </w:rPr>
        <w:t>R. v. Griffin</w:t>
      </w:r>
      <w:r w:rsidRPr="00E9690A">
        <w:t xml:space="preserve">, [2009] 2 S.C.R. 42, that “[w]e have long departed from any legal requirement for a ‘special instruction’ on circumstantial evidence”.  What is important is that in cases that rely entirely on circumstantial evidence, the jury is made aware of how they can use that evidence to establish guilt beyond a reasonable doubt.  The trial judge in this case explained to the jury the nature of circumstantial evidence, the inferences that can properly be drawn from that evidence, and the burden of proof beyond reasonable doubt.  In my view, the instruction satisfied the test in </w:t>
      </w:r>
      <w:r w:rsidRPr="00E9690A">
        <w:rPr>
          <w:i/>
        </w:rPr>
        <w:t xml:space="preserve">Griffin </w:t>
      </w:r>
      <w:r w:rsidRPr="00E9690A">
        <w:t xml:space="preserve">(see also </w:t>
      </w:r>
      <w:r w:rsidRPr="00E9690A">
        <w:rPr>
          <w:i/>
        </w:rPr>
        <w:t>R. v. Fleet</w:t>
      </w:r>
      <w:r w:rsidRPr="00E9690A">
        <w:t xml:space="preserve"> (1997), 120 C.C.C. (3d) 457 (Ont. C.A.), at </w:t>
      </w:r>
      <w:proofErr w:type="spellStart"/>
      <w:r w:rsidRPr="00E9690A">
        <w:t>para</w:t>
      </w:r>
      <w:proofErr w:type="spellEnd"/>
      <w:r w:rsidRPr="00E9690A">
        <w:t xml:space="preserve">. 20, cited in </w:t>
      </w:r>
      <w:r w:rsidRPr="00E9690A">
        <w:rPr>
          <w:i/>
        </w:rPr>
        <w:t>Griffin</w:t>
      </w:r>
      <w:r w:rsidRPr="00E9690A">
        <w:t xml:space="preserve">, at </w:t>
      </w:r>
      <w:proofErr w:type="spellStart"/>
      <w:r w:rsidRPr="00E9690A">
        <w:t>para</w:t>
      </w:r>
      <w:proofErr w:type="spellEnd"/>
      <w:r w:rsidRPr="00E9690A">
        <w:t>. 33).</w:t>
      </w:r>
    </w:p>
    <w:p w:rsidR="00A14024" w:rsidRPr="00E9690A" w:rsidRDefault="00A14024" w:rsidP="00A14024">
      <w:pPr>
        <w:pStyle w:val="ParaNoNdepar-AltN"/>
        <w:tabs>
          <w:tab w:val="clear" w:pos="1152"/>
          <w:tab w:val="left" w:pos="1166"/>
        </w:tabs>
      </w:pPr>
      <w:r w:rsidRPr="00E9690A">
        <w:t xml:space="preserve">The final error was the trial judge’s instruction to the jury dealing with the alleged prison confession.  The Court of Appeal found that since </w:t>
      </w:r>
      <w:proofErr w:type="spellStart"/>
      <w:r w:rsidRPr="00E9690A">
        <w:t>Suganthini</w:t>
      </w:r>
      <w:proofErr w:type="spellEnd"/>
      <w:r w:rsidRPr="00E9690A">
        <w:t xml:space="preserve"> had </w:t>
      </w:r>
      <w:r w:rsidRPr="00E9690A">
        <w:lastRenderedPageBreak/>
        <w:t xml:space="preserve">contested the truth of these statements, the trial judge should have given an instruction to the jury telling them that they had to be convinced beyond a reasonable doubt that </w:t>
      </w:r>
      <w:proofErr w:type="spellStart"/>
      <w:r w:rsidRPr="00E9690A">
        <w:t>Suganthini</w:t>
      </w:r>
      <w:proofErr w:type="spellEnd"/>
      <w:r w:rsidRPr="00E9690A">
        <w:t xml:space="preserve"> had in fact made the statements confessing to the murder before considering them along with the rest of the evidence to determine if she was guilty.  </w:t>
      </w:r>
    </w:p>
    <w:p w:rsidR="00A14024" w:rsidRPr="00E9690A" w:rsidRDefault="00A14024" w:rsidP="00A14024">
      <w:pPr>
        <w:pStyle w:val="ParaNoNdepar-AltN"/>
        <w:tabs>
          <w:tab w:val="clear" w:pos="1152"/>
          <w:tab w:val="left" w:pos="1166"/>
        </w:tabs>
      </w:pPr>
      <w:r w:rsidRPr="00E9690A">
        <w:t xml:space="preserve">After reviewing the confession evidence, the trial judge told the jury to “use [their] common sense” in deciding whether </w:t>
      </w:r>
      <w:proofErr w:type="spellStart"/>
      <w:r w:rsidRPr="00E9690A">
        <w:t>Suganthini</w:t>
      </w:r>
      <w:proofErr w:type="spellEnd"/>
      <w:r w:rsidRPr="00E9690A">
        <w:t xml:space="preserve"> had made the statements:</w:t>
      </w:r>
    </w:p>
    <w:p w:rsidR="00A14024" w:rsidRPr="00E9690A" w:rsidRDefault="00807CBC" w:rsidP="00807CBC">
      <w:pPr>
        <w:pStyle w:val="Citation-AltC"/>
        <w:tabs>
          <w:tab w:val="left" w:pos="1170"/>
        </w:tabs>
        <w:spacing w:after="240"/>
        <w:ind w:hanging="1166"/>
        <w:contextualSpacing w:val="0"/>
      </w:pPr>
      <w:r w:rsidRPr="00E9690A">
        <w:tab/>
      </w:r>
      <w:r w:rsidR="00A14024" w:rsidRPr="00E9690A">
        <w:t xml:space="preserve">If you decide that the accused made a statement that may help her in her defence or if you cannot decide whether she made it, </w:t>
      </w:r>
      <w:r w:rsidR="00A14024" w:rsidRPr="00E9690A">
        <w:rPr>
          <w:i/>
        </w:rPr>
        <w:t xml:space="preserve">you will consider that statement along with the rest of the evidence in deciding whether you have a reasonable doubt about the </w:t>
      </w:r>
      <w:proofErr w:type="spellStart"/>
      <w:r w:rsidR="00A14024" w:rsidRPr="00E9690A">
        <w:rPr>
          <w:i/>
        </w:rPr>
        <w:t>accused’s</w:t>
      </w:r>
      <w:proofErr w:type="spellEnd"/>
      <w:r w:rsidR="00A14024" w:rsidRPr="00E9690A">
        <w:rPr>
          <w:i/>
        </w:rPr>
        <w:t xml:space="preserve"> guilt</w:t>
      </w:r>
      <w:r w:rsidR="00A14024" w:rsidRPr="00E9690A">
        <w:t>.</w:t>
      </w:r>
    </w:p>
    <w:p w:rsidR="00A14024" w:rsidRPr="00E9690A" w:rsidRDefault="00807CBC" w:rsidP="00807CBC">
      <w:pPr>
        <w:pStyle w:val="Citation-AltC"/>
        <w:tabs>
          <w:tab w:val="left" w:pos="1170"/>
        </w:tabs>
        <w:ind w:hanging="1166"/>
        <w:contextualSpacing w:val="0"/>
      </w:pPr>
      <w:r w:rsidRPr="00E9690A">
        <w:tab/>
      </w:r>
      <w:r w:rsidR="00A14024" w:rsidRPr="00E9690A">
        <w:t xml:space="preserve">You may give anything you find the accused said as much or as little importance as you think it deserves in deciding this case. It is for you to say. </w:t>
      </w:r>
      <w:r w:rsidR="00A14024" w:rsidRPr="00E9690A">
        <w:rPr>
          <w:i/>
        </w:rPr>
        <w:t>Anything you find the accused said, however, is only part of the evidence of this case. You should consider it along with and in the same way as well all the other evidence</w:t>
      </w:r>
      <w:r w:rsidR="00A14024" w:rsidRPr="00E9690A">
        <w:t>. [Emphasis added</w:t>
      </w:r>
      <w:r w:rsidR="00BA0D40" w:rsidRPr="00E9690A">
        <w:t>.</w:t>
      </w:r>
      <w:r w:rsidR="00A14024" w:rsidRPr="00E9690A">
        <w:t>]</w:t>
      </w:r>
    </w:p>
    <w:p w:rsidR="00A14024" w:rsidRPr="00E9690A" w:rsidRDefault="00A14024" w:rsidP="00A14024">
      <w:pPr>
        <w:pStyle w:val="ParaNoNdepar-AltN"/>
        <w:tabs>
          <w:tab w:val="clear" w:pos="1152"/>
          <w:tab w:val="left" w:pos="1166"/>
        </w:tabs>
      </w:pPr>
      <w:r w:rsidRPr="00E9690A">
        <w:t xml:space="preserve">At the Court of Appeal and before this Court, the Crown conceded that this instruction was an error.  The error stems from this Court’s decision in </w:t>
      </w:r>
      <w:r w:rsidRPr="00E9690A">
        <w:rPr>
          <w:i/>
        </w:rPr>
        <w:t xml:space="preserve">R. v. </w:t>
      </w:r>
      <w:proofErr w:type="spellStart"/>
      <w:r w:rsidRPr="00E9690A">
        <w:rPr>
          <w:i/>
        </w:rPr>
        <w:t>MacKenzie</w:t>
      </w:r>
      <w:proofErr w:type="spellEnd"/>
      <w:r w:rsidRPr="00E9690A">
        <w:t>, [1993] 1 S.C.R. 212.  As a general rule, the evidence in a case should be considered as a whole in determining whether there is a reasonable doubt as to guilt (</w:t>
      </w:r>
      <w:r w:rsidRPr="00E9690A">
        <w:rPr>
          <w:i/>
        </w:rPr>
        <w:t>R. v. Morin</w:t>
      </w:r>
      <w:r w:rsidRPr="00E9690A">
        <w:t xml:space="preserve">, [1988] 2 S.C.R. 345; </w:t>
      </w:r>
      <w:r w:rsidRPr="00E9690A">
        <w:rPr>
          <w:i/>
        </w:rPr>
        <w:t>R. v. Rojas</w:t>
      </w:r>
      <w:r w:rsidRPr="00E9690A">
        <w:t xml:space="preserve">, [2008] 3 S.C.R. 111, at </w:t>
      </w:r>
      <w:proofErr w:type="spellStart"/>
      <w:r w:rsidRPr="00E9690A">
        <w:t>para</w:t>
      </w:r>
      <w:proofErr w:type="spellEnd"/>
      <w:r w:rsidRPr="00E9690A">
        <w:t xml:space="preserve">. 43).  But </w:t>
      </w:r>
      <w:proofErr w:type="spellStart"/>
      <w:r w:rsidRPr="00E9690A">
        <w:rPr>
          <w:i/>
        </w:rPr>
        <w:t>MacKenzie</w:t>
      </w:r>
      <w:proofErr w:type="spellEnd"/>
      <w:r w:rsidRPr="00E9690A">
        <w:rPr>
          <w:i/>
        </w:rPr>
        <w:t xml:space="preserve"> </w:t>
      </w:r>
      <w:r w:rsidRPr="00E9690A">
        <w:t>held that, “</w:t>
      </w:r>
      <w:r w:rsidRPr="00E9690A">
        <w:rPr>
          <w:lang w:bidi="en-US"/>
        </w:rPr>
        <w:t xml:space="preserve">on important items of evidence the jury may require guidance on how to approach its task”.  As a result, </w:t>
      </w:r>
    </w:p>
    <w:p w:rsidR="00A14024" w:rsidRPr="00E9690A" w:rsidRDefault="00807CBC" w:rsidP="00807CBC">
      <w:pPr>
        <w:pStyle w:val="Citation-AltC"/>
        <w:tabs>
          <w:tab w:val="left" w:pos="1170"/>
        </w:tabs>
        <w:ind w:hanging="1166"/>
        <w:contextualSpacing w:val="0"/>
        <w:rPr>
          <w:lang w:bidi="en-US"/>
        </w:rPr>
      </w:pPr>
      <w:r w:rsidRPr="00E9690A">
        <w:rPr>
          <w:lang w:bidi="en-US"/>
        </w:rPr>
        <w:tab/>
      </w:r>
      <w:r w:rsidR="00BA0D40" w:rsidRPr="00E9690A">
        <w:rPr>
          <w:lang w:bidi="en-US"/>
        </w:rPr>
        <w:t xml:space="preserve">. . . </w:t>
      </w:r>
      <w:proofErr w:type="gramStart"/>
      <w:r w:rsidR="00A14024" w:rsidRPr="00E9690A">
        <w:rPr>
          <w:lang w:bidi="en-US"/>
        </w:rPr>
        <w:t>where</w:t>
      </w:r>
      <w:proofErr w:type="gramEnd"/>
      <w:r w:rsidR="00A14024" w:rsidRPr="00E9690A">
        <w:rPr>
          <w:lang w:bidi="en-US"/>
        </w:rPr>
        <w:t xml:space="preserve"> a statement by </w:t>
      </w:r>
      <w:r w:rsidR="00A14024" w:rsidRPr="00E9690A">
        <w:t>an</w:t>
      </w:r>
      <w:r w:rsidR="00A14024" w:rsidRPr="00E9690A">
        <w:rPr>
          <w:lang w:bidi="en-US"/>
        </w:rPr>
        <w:t xml:space="preserve"> accused at trial is entirely at odds with a previous out-of-court statement by the accused, and the jury believes the </w:t>
      </w:r>
      <w:r w:rsidR="00A14024" w:rsidRPr="00E9690A">
        <w:rPr>
          <w:lang w:bidi="en-US"/>
        </w:rPr>
        <w:lastRenderedPageBreak/>
        <w:t>statement at trial, or is left in reasonable doubt that it is true, then the jury must reject the out-of-court statement; the accused must be given the benefit of the doubt.  In arriving at that conclusion, the jury should, of course, give consideration to the evidence as a whole. [p. 239]</w:t>
      </w:r>
    </w:p>
    <w:p w:rsidR="00A14024" w:rsidRPr="00E9690A" w:rsidRDefault="00A14024" w:rsidP="00A14024">
      <w:pPr>
        <w:pStyle w:val="ParaNoNdepar-AltN"/>
        <w:tabs>
          <w:tab w:val="clear" w:pos="1152"/>
          <w:tab w:val="left" w:pos="1166"/>
        </w:tabs>
      </w:pPr>
      <w:r w:rsidRPr="00E9690A">
        <w:t xml:space="preserve">A specific instruction of this kind is not required in every case where there is conflicting evidence about the </w:t>
      </w:r>
      <w:proofErr w:type="spellStart"/>
      <w:r w:rsidRPr="00E9690A">
        <w:t>accused’s</w:t>
      </w:r>
      <w:proofErr w:type="spellEnd"/>
      <w:r w:rsidRPr="00E9690A">
        <w:t xml:space="preserve"> out-of-court statements.  A </w:t>
      </w:r>
      <w:proofErr w:type="spellStart"/>
      <w:r w:rsidRPr="00E9690A">
        <w:rPr>
          <w:i/>
        </w:rPr>
        <w:t>MacKenzie</w:t>
      </w:r>
      <w:proofErr w:type="spellEnd"/>
      <w:r w:rsidRPr="00E9690A">
        <w:rPr>
          <w:i/>
        </w:rPr>
        <w:t xml:space="preserve"> </w:t>
      </w:r>
      <w:r w:rsidRPr="00E9690A">
        <w:t xml:space="preserve">instruction is only required where “the credibility of [the] conflicting statements </w:t>
      </w:r>
      <w:proofErr w:type="gramStart"/>
      <w:r w:rsidRPr="00E9690A">
        <w:t>go[</w:t>
      </w:r>
      <w:proofErr w:type="spellStart"/>
      <w:proofErr w:type="gramEnd"/>
      <w:r w:rsidRPr="00E9690A">
        <w:t>es</w:t>
      </w:r>
      <w:proofErr w:type="spellEnd"/>
      <w:r w:rsidRPr="00E9690A">
        <w:t>] directly to the ultimate issue in dispute” and the jury’s decision to accept one statement “amount[s] to choosing between the two competing theories of the case” (</w:t>
      </w:r>
      <w:r w:rsidRPr="00E9690A">
        <w:rPr>
          <w:i/>
        </w:rPr>
        <w:t>White</w:t>
      </w:r>
      <w:r w:rsidRPr="00E9690A">
        <w:t xml:space="preserve"> (S.C.C.), at </w:t>
      </w:r>
      <w:proofErr w:type="spellStart"/>
      <w:r w:rsidRPr="00E9690A">
        <w:t>para</w:t>
      </w:r>
      <w:proofErr w:type="spellEnd"/>
      <w:r w:rsidRPr="00E9690A">
        <w:t>. 52).  There is no reason to give a specific instruction where the conflicting statements “are not individually crucial to the determination of the ultimate issue” (</w:t>
      </w:r>
      <w:proofErr w:type="spellStart"/>
      <w:r w:rsidRPr="00E9690A">
        <w:t>para</w:t>
      </w:r>
      <w:proofErr w:type="spellEnd"/>
      <w:r w:rsidRPr="00E9690A">
        <w:t>. 53).</w:t>
      </w:r>
    </w:p>
    <w:p w:rsidR="00A14024" w:rsidRPr="00E9690A" w:rsidRDefault="00A14024" w:rsidP="00A14024">
      <w:pPr>
        <w:pStyle w:val="ParaNoNdepar-AltN"/>
        <w:tabs>
          <w:tab w:val="clear" w:pos="1152"/>
          <w:tab w:val="left" w:pos="1166"/>
        </w:tabs>
      </w:pPr>
      <w:r w:rsidRPr="00E9690A">
        <w:t xml:space="preserve">If the jury believed the evidence about </w:t>
      </w:r>
      <w:proofErr w:type="spellStart"/>
      <w:r w:rsidRPr="00E9690A">
        <w:t>Suganthini’s</w:t>
      </w:r>
      <w:proofErr w:type="spellEnd"/>
      <w:r w:rsidRPr="00E9690A">
        <w:t xml:space="preserve"> prison confession beyond a reasonable doubt, then it would necessarily have found her guilty of murder.  As a result, in accordance with </w:t>
      </w:r>
      <w:proofErr w:type="spellStart"/>
      <w:r w:rsidRPr="00E9690A">
        <w:rPr>
          <w:i/>
        </w:rPr>
        <w:t>MacKenzie</w:t>
      </w:r>
      <w:proofErr w:type="spellEnd"/>
      <w:r w:rsidRPr="00E9690A">
        <w:t>,</w:t>
      </w:r>
      <w:r w:rsidRPr="00E9690A">
        <w:rPr>
          <w:i/>
        </w:rPr>
        <w:t xml:space="preserve"> </w:t>
      </w:r>
      <w:r w:rsidRPr="00E9690A">
        <w:t xml:space="preserve">the trial judge should have instructed the jury that </w:t>
      </w:r>
      <w:r w:rsidRPr="00E9690A">
        <w:rPr>
          <w:lang w:bidi="en-US"/>
        </w:rPr>
        <w:t xml:space="preserve">considering the evidence as a whole, </w:t>
      </w:r>
      <w:r w:rsidRPr="00E9690A">
        <w:t xml:space="preserve">if they </w:t>
      </w:r>
      <w:r w:rsidRPr="00E9690A">
        <w:rPr>
          <w:lang w:bidi="en-US"/>
        </w:rPr>
        <w:t xml:space="preserve">believed </w:t>
      </w:r>
      <w:proofErr w:type="spellStart"/>
      <w:r w:rsidRPr="00E9690A">
        <w:rPr>
          <w:lang w:bidi="en-US"/>
        </w:rPr>
        <w:t>Suganthini’s</w:t>
      </w:r>
      <w:proofErr w:type="spellEnd"/>
      <w:r w:rsidRPr="00E9690A">
        <w:rPr>
          <w:lang w:bidi="en-US"/>
        </w:rPr>
        <w:t xml:space="preserve"> testimony at trial, or if they were left with reasonable doubt that she had confessed, they must reject the out-of-court statement.  The failure to do so was an error.</w:t>
      </w:r>
    </w:p>
    <w:p w:rsidR="00A14024" w:rsidRPr="00E9690A" w:rsidRDefault="00A14024" w:rsidP="00A14024">
      <w:pPr>
        <w:pStyle w:val="ParaNoNdepar-AltN"/>
        <w:tabs>
          <w:tab w:val="clear" w:pos="1152"/>
          <w:tab w:val="left" w:pos="1166"/>
        </w:tabs>
      </w:pPr>
      <w:r w:rsidRPr="00E9690A">
        <w:t>This brings us to considering whether the curative proviso applies.</w:t>
      </w:r>
    </w:p>
    <w:p w:rsidR="00A14024" w:rsidRPr="00E9690A" w:rsidRDefault="00A14024" w:rsidP="00A14024">
      <w:pPr>
        <w:pStyle w:val="ParaNoNdepar-AltN"/>
        <w:tabs>
          <w:tab w:val="clear" w:pos="1152"/>
          <w:tab w:val="left" w:pos="1166"/>
        </w:tabs>
      </w:pPr>
      <w:r w:rsidRPr="00E9690A">
        <w:t xml:space="preserve">The curative proviso can be applied in two situations: where the error is so harmless or minor that it could not have had any impact on the verdict; and where, </w:t>
      </w:r>
      <w:r w:rsidRPr="00E9690A">
        <w:lastRenderedPageBreak/>
        <w:t>even if the error is not minor, the evidence against the accused is so overwhelming that any other verdict would have been impossible to obtain (</w:t>
      </w:r>
      <w:r w:rsidRPr="00E9690A">
        <w:rPr>
          <w:i/>
        </w:rPr>
        <w:t>R. v. Van</w:t>
      </w:r>
      <w:r w:rsidRPr="00E9690A">
        <w:t xml:space="preserve">, [2009] 1 S.C.R. 716, at </w:t>
      </w:r>
      <w:proofErr w:type="spellStart"/>
      <w:r w:rsidRPr="00E9690A">
        <w:t>para</w:t>
      </w:r>
      <w:proofErr w:type="spellEnd"/>
      <w:r w:rsidRPr="00E9690A">
        <w:t xml:space="preserve">. 34; </w:t>
      </w:r>
      <w:r w:rsidRPr="00E9690A">
        <w:rPr>
          <w:i/>
        </w:rPr>
        <w:t xml:space="preserve">R. v. </w:t>
      </w:r>
      <w:proofErr w:type="spellStart"/>
      <w:r w:rsidRPr="00E9690A">
        <w:rPr>
          <w:i/>
        </w:rPr>
        <w:t>Trochym</w:t>
      </w:r>
      <w:proofErr w:type="spellEnd"/>
      <w:r w:rsidRPr="00E9690A">
        <w:t xml:space="preserve">, [2007] 1 S.C.R. 239, at </w:t>
      </w:r>
      <w:proofErr w:type="spellStart"/>
      <w:r w:rsidRPr="00E9690A">
        <w:t>para</w:t>
      </w:r>
      <w:proofErr w:type="spellEnd"/>
      <w:r w:rsidRPr="00E9690A">
        <w:t xml:space="preserve">. 81; </w:t>
      </w:r>
      <w:r w:rsidRPr="00E9690A">
        <w:rPr>
          <w:i/>
        </w:rPr>
        <w:t>R. v. Khan</w:t>
      </w:r>
      <w:r w:rsidRPr="00E9690A">
        <w:t xml:space="preserve">, [2001] 3 S.C.R. 823, at </w:t>
      </w:r>
      <w:proofErr w:type="spellStart"/>
      <w:r w:rsidRPr="00E9690A">
        <w:t>para</w:t>
      </w:r>
      <w:proofErr w:type="spellEnd"/>
      <w:r w:rsidRPr="00E9690A">
        <w:t xml:space="preserve">. 26). </w:t>
      </w:r>
    </w:p>
    <w:p w:rsidR="00A14024" w:rsidRPr="00E9690A" w:rsidRDefault="00A14024" w:rsidP="00A14024">
      <w:pPr>
        <w:pStyle w:val="ParaNoNdepar-AltN"/>
        <w:tabs>
          <w:tab w:val="clear" w:pos="1152"/>
          <w:tab w:val="left" w:pos="1166"/>
        </w:tabs>
      </w:pPr>
      <w:r w:rsidRPr="00E9690A">
        <w:t>The defence had not objected at trial to any of the errors it raised on appeal, a fact that, while not determinative, “merit[s] consideration by the reviewing court” as an indication that the error was “neither serious nor significant” (</w:t>
      </w:r>
      <w:r w:rsidRPr="00E9690A">
        <w:rPr>
          <w:i/>
        </w:rPr>
        <w:t>R. v. Jaw</w:t>
      </w:r>
      <w:r w:rsidRPr="00E9690A">
        <w:t xml:space="preserve">, [2009] 3 S.C.R. 26, at </w:t>
      </w:r>
      <w:proofErr w:type="spellStart"/>
      <w:r w:rsidRPr="00E9690A">
        <w:t>para</w:t>
      </w:r>
      <w:proofErr w:type="spellEnd"/>
      <w:r w:rsidRPr="00E9690A">
        <w:t xml:space="preserve">. 44; </w:t>
      </w:r>
      <w:r w:rsidRPr="00E9690A">
        <w:rPr>
          <w:i/>
        </w:rPr>
        <w:t>Van</w:t>
      </w:r>
      <w:r w:rsidRPr="00E9690A">
        <w:t xml:space="preserve">, at </w:t>
      </w:r>
      <w:proofErr w:type="spellStart"/>
      <w:r w:rsidRPr="00E9690A">
        <w:t>para</w:t>
      </w:r>
      <w:proofErr w:type="spellEnd"/>
      <w:r w:rsidRPr="00E9690A">
        <w:t xml:space="preserve">. 43; </w:t>
      </w:r>
      <w:r w:rsidRPr="00E9690A">
        <w:rPr>
          <w:i/>
          <w:lang w:val="en-US"/>
        </w:rPr>
        <w:t>R. v. Jacquard</w:t>
      </w:r>
      <w:r w:rsidRPr="00E9690A">
        <w:rPr>
          <w:lang w:val="en-US"/>
        </w:rPr>
        <w:t xml:space="preserve">, [1997] 1 S.C.R. 314, at </w:t>
      </w:r>
      <w:proofErr w:type="spellStart"/>
      <w:r w:rsidRPr="00E9690A">
        <w:rPr>
          <w:lang w:val="en-US"/>
        </w:rPr>
        <w:t>para</w:t>
      </w:r>
      <w:proofErr w:type="spellEnd"/>
      <w:r w:rsidRPr="00E9690A">
        <w:rPr>
          <w:lang w:val="en-US"/>
        </w:rPr>
        <w:t xml:space="preserve">. </w:t>
      </w:r>
      <w:r w:rsidRPr="00E9690A">
        <w:t>38).</w:t>
      </w:r>
    </w:p>
    <w:p w:rsidR="00A14024" w:rsidRPr="00E9690A" w:rsidRDefault="00A14024" w:rsidP="00A14024">
      <w:pPr>
        <w:pStyle w:val="ParaNoNdepar-AltN"/>
        <w:tabs>
          <w:tab w:val="clear" w:pos="1152"/>
          <w:tab w:val="left" w:pos="1166"/>
        </w:tabs>
      </w:pPr>
      <w:r w:rsidRPr="00E9690A">
        <w:t xml:space="preserve">Most of the errors were minor and could not possibly have affected the verdict.  The </w:t>
      </w:r>
      <w:proofErr w:type="spellStart"/>
      <w:r w:rsidRPr="00E9690A">
        <w:rPr>
          <w:i/>
        </w:rPr>
        <w:t>MacKenzie</w:t>
      </w:r>
      <w:proofErr w:type="spellEnd"/>
      <w:r w:rsidRPr="00E9690A">
        <w:t xml:space="preserve"> error was more serious, but I am satisfied that it was not fatal because the Crown’s case against </w:t>
      </w:r>
      <w:proofErr w:type="spellStart"/>
      <w:r w:rsidRPr="00E9690A">
        <w:t>Suganthini</w:t>
      </w:r>
      <w:proofErr w:type="spellEnd"/>
      <w:r w:rsidRPr="00E9690A">
        <w:t xml:space="preserve"> was overwhelming.   The Crown advanced a narrative that was largely based on the testimony of the </w:t>
      </w:r>
      <w:proofErr w:type="spellStart"/>
      <w:r w:rsidRPr="00E9690A">
        <w:t>Thangarajah</w:t>
      </w:r>
      <w:proofErr w:type="spellEnd"/>
      <w:r w:rsidRPr="00E9690A">
        <w:t xml:space="preserve"> family, which placed </w:t>
      </w:r>
      <w:proofErr w:type="spellStart"/>
      <w:r w:rsidRPr="00E9690A">
        <w:t>Suganthini</w:t>
      </w:r>
      <w:proofErr w:type="spellEnd"/>
      <w:r w:rsidRPr="00E9690A">
        <w:t xml:space="preserve"> alone in the apartment with </w:t>
      </w:r>
      <w:proofErr w:type="spellStart"/>
      <w:r w:rsidRPr="00E9690A">
        <w:t>Dayani</w:t>
      </w:r>
      <w:proofErr w:type="spellEnd"/>
      <w:r w:rsidRPr="00E9690A">
        <w:t xml:space="preserve"> at the critical moment, a version that was corroborated by testimony and physical evidence.  </w:t>
      </w:r>
      <w:proofErr w:type="spellStart"/>
      <w:r w:rsidRPr="00E9690A">
        <w:t>Suganthini</w:t>
      </w:r>
      <w:proofErr w:type="spellEnd"/>
      <w:r w:rsidRPr="00E9690A">
        <w:t xml:space="preserve"> admitted to being in the apartment, but advanced a wholly contradictory version of the day’s events, which positioned her as the only witness to </w:t>
      </w:r>
      <w:proofErr w:type="spellStart"/>
      <w:r w:rsidRPr="00E9690A">
        <w:t>Dayani’s</w:t>
      </w:r>
      <w:proofErr w:type="spellEnd"/>
      <w:r w:rsidRPr="00E9690A">
        <w:t xml:space="preserve"> murder </w:t>
      </w:r>
      <w:proofErr w:type="gramStart"/>
      <w:r w:rsidRPr="00E9690A">
        <w:t xml:space="preserve">by  </w:t>
      </w:r>
      <w:proofErr w:type="spellStart"/>
      <w:r w:rsidRPr="00E9690A">
        <w:t>Dayani’s</w:t>
      </w:r>
      <w:proofErr w:type="spellEnd"/>
      <w:proofErr w:type="gramEnd"/>
      <w:r w:rsidRPr="00E9690A">
        <w:t xml:space="preserve"> husband </w:t>
      </w:r>
      <w:proofErr w:type="spellStart"/>
      <w:r w:rsidRPr="00E9690A">
        <w:t>Manchutan</w:t>
      </w:r>
      <w:proofErr w:type="spellEnd"/>
      <w:r w:rsidRPr="00E9690A">
        <w:t>.</w:t>
      </w:r>
    </w:p>
    <w:p w:rsidR="00A14024" w:rsidRPr="00E9690A" w:rsidRDefault="00A14024" w:rsidP="00A14024">
      <w:pPr>
        <w:pStyle w:val="ParaNoNdepar-AltN"/>
        <w:tabs>
          <w:tab w:val="clear" w:pos="1152"/>
          <w:tab w:val="left" w:pos="1166"/>
        </w:tabs>
      </w:pPr>
      <w:r w:rsidRPr="00E9690A">
        <w:t xml:space="preserve">According to </w:t>
      </w:r>
      <w:proofErr w:type="spellStart"/>
      <w:r w:rsidRPr="00E9690A">
        <w:t>Suganthini</w:t>
      </w:r>
      <w:proofErr w:type="spellEnd"/>
      <w:r w:rsidRPr="00E9690A">
        <w:t xml:space="preserve">, </w:t>
      </w:r>
      <w:proofErr w:type="spellStart"/>
      <w:r w:rsidRPr="00E9690A">
        <w:t>Dayani</w:t>
      </w:r>
      <w:proofErr w:type="spellEnd"/>
      <w:r w:rsidRPr="00E9690A">
        <w:t xml:space="preserve"> and her husband were fighting at 9:45 a.m. and the murder happened at roughly 10 a.m.  On the </w:t>
      </w:r>
      <w:proofErr w:type="spellStart"/>
      <w:r w:rsidRPr="00E9690A">
        <w:t>Thangarajah</w:t>
      </w:r>
      <w:proofErr w:type="spellEnd"/>
      <w:r w:rsidRPr="00E9690A">
        <w:t xml:space="preserve"> family’s evidence, </w:t>
      </w:r>
      <w:proofErr w:type="spellStart"/>
      <w:r w:rsidRPr="00E9690A">
        <w:t>Dayani’s</w:t>
      </w:r>
      <w:proofErr w:type="spellEnd"/>
      <w:r w:rsidRPr="00E9690A">
        <w:t xml:space="preserve"> husband left in the morning with </w:t>
      </w:r>
      <w:proofErr w:type="spellStart"/>
      <w:r w:rsidRPr="00E9690A">
        <w:t>Mayuran</w:t>
      </w:r>
      <w:proofErr w:type="spellEnd"/>
      <w:r w:rsidRPr="00E9690A">
        <w:t xml:space="preserve"> and his mother to go to </w:t>
      </w:r>
      <w:r w:rsidRPr="00E9690A">
        <w:lastRenderedPageBreak/>
        <w:t>Laval and only returned to the apartment later in the day, well after his father had returned.  The family’s story, which made it impossible for the brother to be at the apartment during the murder, was corroborated by a witness who saw him at the store, by receipts and by cellular phone records.</w:t>
      </w:r>
    </w:p>
    <w:p w:rsidR="00A14024" w:rsidRPr="00E9690A" w:rsidRDefault="00A14024" w:rsidP="00A14024">
      <w:pPr>
        <w:pStyle w:val="ParaNoNdepar-AltN"/>
        <w:tabs>
          <w:tab w:val="clear" w:pos="1152"/>
          <w:tab w:val="left" w:pos="1166"/>
        </w:tabs>
      </w:pPr>
      <w:r w:rsidRPr="00E9690A">
        <w:t xml:space="preserve">More critically, the evidence as a whole entirely undermined </w:t>
      </w:r>
      <w:proofErr w:type="spellStart"/>
      <w:r w:rsidRPr="00E9690A">
        <w:t>Suganthini’s</w:t>
      </w:r>
      <w:proofErr w:type="spellEnd"/>
      <w:r w:rsidRPr="00E9690A">
        <w:t xml:space="preserve"> version of the events.  Her initial story was that a thief had come into the apartment through the kitchen door — despite the absence of tracks in the snow — and that she had cut her hand by having it caught in a door.  At trial, she changed her story, and attributed the original fabrication to the brother-in-law’s threats.  Yet her clothing was found in a bucket of bloody water in the bathroom, her blood was mixed with the blood of the victim on the blade of the knife, her DNA was on the handle, and her cuts were said to be consistent with an injury caused while stabbing someone.  There was, on the other hand, no physical evidence linking </w:t>
      </w:r>
      <w:proofErr w:type="spellStart"/>
      <w:r w:rsidRPr="00E9690A">
        <w:t>Dayani’s</w:t>
      </w:r>
      <w:proofErr w:type="spellEnd"/>
      <w:r w:rsidRPr="00E9690A">
        <w:t xml:space="preserve"> husband to the offence.</w:t>
      </w:r>
    </w:p>
    <w:p w:rsidR="00A14024" w:rsidRPr="00E9690A" w:rsidRDefault="00A14024" w:rsidP="00A14024">
      <w:pPr>
        <w:pStyle w:val="ParaNoNdepar-AltN"/>
        <w:tabs>
          <w:tab w:val="clear" w:pos="1152"/>
          <w:tab w:val="left" w:pos="1166"/>
        </w:tabs>
      </w:pPr>
      <w:r w:rsidRPr="00E9690A">
        <w:t xml:space="preserve">The trial judge gave a proper </w:t>
      </w:r>
      <w:r w:rsidRPr="00E9690A">
        <w:rPr>
          <w:i/>
        </w:rPr>
        <w:t>W.</w:t>
      </w:r>
      <w:r w:rsidR="00DB1114">
        <w:rPr>
          <w:i/>
        </w:rPr>
        <w:t> </w:t>
      </w:r>
      <w:r w:rsidRPr="00E9690A">
        <w:rPr>
          <w:i/>
        </w:rPr>
        <w:t>(D.)</w:t>
      </w:r>
      <w:r w:rsidRPr="00E9690A">
        <w:t xml:space="preserve"> instruction, telling the jury that if </w:t>
      </w:r>
      <w:proofErr w:type="spellStart"/>
      <w:r w:rsidRPr="00E9690A">
        <w:t>Suganthini’s</w:t>
      </w:r>
      <w:proofErr w:type="spellEnd"/>
      <w:r w:rsidRPr="00E9690A">
        <w:t xml:space="preserve"> testimony or the evidence as a whole left them with reasonable doubt as to her guilt, they must acquit.  By convicting </w:t>
      </w:r>
      <w:proofErr w:type="spellStart"/>
      <w:r w:rsidRPr="00E9690A">
        <w:t>Suganthini</w:t>
      </w:r>
      <w:proofErr w:type="spellEnd"/>
      <w:r w:rsidRPr="00E9690A">
        <w:t xml:space="preserve"> of second degree murder, the jury clearly rejected her evidence and accepted the version put forward by the Crown beyond a reasonable doubt.  Even if we were to entirely ignore the confession evidence, the rest of the evidence in this case so severely undermined </w:t>
      </w:r>
      <w:proofErr w:type="spellStart"/>
      <w:r w:rsidRPr="00E9690A">
        <w:t>Suganthini’s</w:t>
      </w:r>
      <w:proofErr w:type="spellEnd"/>
      <w:r w:rsidRPr="00E9690A">
        <w:t xml:space="preserve"> story and bolstered that of the </w:t>
      </w:r>
      <w:proofErr w:type="spellStart"/>
      <w:r w:rsidRPr="00E9690A">
        <w:t>Thangarajah</w:t>
      </w:r>
      <w:proofErr w:type="spellEnd"/>
      <w:r w:rsidRPr="00E9690A">
        <w:t xml:space="preserve"> family, that there is no realistic possibility that the verdict would have been different if the jury were differently instructed.</w:t>
      </w:r>
    </w:p>
    <w:p w:rsidR="00A14024" w:rsidRPr="00E9690A" w:rsidRDefault="00A14024" w:rsidP="00A14024">
      <w:pPr>
        <w:pStyle w:val="ParaNoNdepar-AltN"/>
        <w:tabs>
          <w:tab w:val="clear" w:pos="1152"/>
          <w:tab w:val="left" w:pos="1166"/>
        </w:tabs>
      </w:pPr>
      <w:r w:rsidRPr="00E9690A">
        <w:lastRenderedPageBreak/>
        <w:t>I would allow the appeal and restore the conviction.</w:t>
      </w:r>
    </w:p>
    <w:p w:rsidR="009B57B3" w:rsidRPr="00E9690A" w:rsidRDefault="009E45BE" w:rsidP="004C0D70">
      <w:pPr>
        <w:pStyle w:val="SCCNormalDoubleSpacing"/>
        <w:spacing w:after="480"/>
        <w:rPr>
          <w:szCs w:val="24"/>
          <w:lang w:val="fr-CA"/>
        </w:rPr>
      </w:pPr>
      <w:r w:rsidRPr="00E9690A">
        <w:rPr>
          <w:szCs w:val="24"/>
          <w:lang w:val="en-US"/>
        </w:rPr>
        <w:tab/>
      </w:r>
      <w:proofErr w:type="spellStart"/>
      <w:r w:rsidR="00656313" w:rsidRPr="00E9690A">
        <w:rPr>
          <w:i/>
          <w:szCs w:val="24"/>
          <w:lang w:val="fr-CA"/>
        </w:rPr>
        <w:t>Appeal</w:t>
      </w:r>
      <w:proofErr w:type="spellEnd"/>
      <w:r w:rsidR="0008247C" w:rsidRPr="00E9690A">
        <w:rPr>
          <w:i/>
          <w:szCs w:val="24"/>
          <w:lang w:val="fr-CA"/>
        </w:rPr>
        <w:t xml:space="preserve"> </w:t>
      </w:r>
      <w:proofErr w:type="spellStart"/>
      <w:r w:rsidR="0008247C" w:rsidRPr="00E9690A">
        <w:rPr>
          <w:i/>
          <w:szCs w:val="24"/>
          <w:lang w:val="fr-CA"/>
        </w:rPr>
        <w:t>allowed</w:t>
      </w:r>
      <w:proofErr w:type="spellEnd"/>
      <w:r w:rsidRPr="00E9690A">
        <w:rPr>
          <w:i/>
          <w:szCs w:val="24"/>
          <w:lang w:val="fr-CA"/>
        </w:rPr>
        <w:t>.</w:t>
      </w:r>
    </w:p>
    <w:p w:rsidR="00C86A97" w:rsidRPr="00E9690A" w:rsidRDefault="005C2B38" w:rsidP="004C0D70">
      <w:pPr>
        <w:pStyle w:val="SCCLawFirm"/>
        <w:spacing w:after="480"/>
        <w:rPr>
          <w:szCs w:val="24"/>
          <w:lang w:val="fr-CA"/>
        </w:rPr>
      </w:pPr>
      <w:r w:rsidRPr="00E9690A">
        <w:rPr>
          <w:szCs w:val="24"/>
          <w:lang w:val="fr-CA"/>
        </w:rPr>
        <w:tab/>
        <w:t xml:space="preserve">Solicitor for the </w:t>
      </w:r>
      <w:proofErr w:type="spellStart"/>
      <w:r w:rsidRPr="00E9690A">
        <w:rPr>
          <w:szCs w:val="24"/>
          <w:lang w:val="fr-CA"/>
        </w:rPr>
        <w:t>appellant</w:t>
      </w:r>
      <w:proofErr w:type="spellEnd"/>
      <w:r w:rsidRPr="00E9690A">
        <w:rPr>
          <w:szCs w:val="24"/>
          <w:lang w:val="fr-CA"/>
        </w:rPr>
        <w:t>:</w:t>
      </w:r>
      <w:proofErr w:type="gramStart"/>
      <w:r w:rsidRPr="00E9690A">
        <w:rPr>
          <w:szCs w:val="24"/>
          <w:lang w:val="fr-CA"/>
        </w:rPr>
        <w:t>  </w:t>
      </w:r>
      <w:r w:rsidR="00C86A97" w:rsidRPr="00E9690A">
        <w:rPr>
          <w:szCs w:val="24"/>
          <w:lang w:val="fr-CA"/>
        </w:rPr>
        <w:t>Poursuites</w:t>
      </w:r>
      <w:proofErr w:type="gramEnd"/>
      <w:r w:rsidR="00C86A97" w:rsidRPr="00E9690A">
        <w:rPr>
          <w:szCs w:val="24"/>
          <w:lang w:val="fr-CA"/>
        </w:rPr>
        <w:t xml:space="preserve"> criminelles et pénales du Québec, Montréal.</w:t>
      </w:r>
    </w:p>
    <w:p w:rsidR="009B57B3" w:rsidRPr="00E9690A" w:rsidRDefault="00C86A97" w:rsidP="00E33311">
      <w:pPr>
        <w:pStyle w:val="SCCLawFirm"/>
        <w:rPr>
          <w:szCs w:val="24"/>
          <w:lang w:val="fr-CA"/>
        </w:rPr>
      </w:pPr>
      <w:r w:rsidRPr="00E9690A">
        <w:rPr>
          <w:szCs w:val="24"/>
          <w:lang w:val="fr-CA"/>
        </w:rPr>
        <w:tab/>
      </w:r>
      <w:r w:rsidR="005C2B38" w:rsidRPr="00E9690A">
        <w:rPr>
          <w:szCs w:val="24"/>
          <w:lang w:val="fr-CA"/>
        </w:rPr>
        <w:t xml:space="preserve">Solicitors for the </w:t>
      </w:r>
      <w:proofErr w:type="spellStart"/>
      <w:r w:rsidR="005C2B38" w:rsidRPr="00E9690A">
        <w:rPr>
          <w:szCs w:val="24"/>
          <w:lang w:val="fr-CA"/>
        </w:rPr>
        <w:t>respondent</w:t>
      </w:r>
      <w:proofErr w:type="spellEnd"/>
      <w:r w:rsidR="005C2B38" w:rsidRPr="00E9690A">
        <w:rPr>
          <w:szCs w:val="24"/>
          <w:lang w:val="fr-CA"/>
        </w:rPr>
        <w:t>:</w:t>
      </w:r>
      <w:proofErr w:type="gramStart"/>
      <w:r w:rsidR="005C2B38" w:rsidRPr="00E9690A">
        <w:rPr>
          <w:szCs w:val="24"/>
          <w:lang w:val="fr-CA"/>
        </w:rPr>
        <w:t>  </w:t>
      </w:r>
      <w:r w:rsidR="000E326C" w:rsidRPr="00E9690A">
        <w:rPr>
          <w:szCs w:val="24"/>
          <w:lang w:val="fr-CA"/>
        </w:rPr>
        <w:t>Labelle</w:t>
      </w:r>
      <w:proofErr w:type="gramEnd"/>
      <w:r w:rsidR="000E326C" w:rsidRPr="00E9690A">
        <w:rPr>
          <w:szCs w:val="24"/>
          <w:lang w:val="fr-CA"/>
        </w:rPr>
        <w:t xml:space="preserve">, </w:t>
      </w:r>
      <w:proofErr w:type="spellStart"/>
      <w:r w:rsidR="000E326C" w:rsidRPr="00E9690A">
        <w:rPr>
          <w:szCs w:val="24"/>
          <w:lang w:val="fr-CA"/>
        </w:rPr>
        <w:t>Boudrault</w:t>
      </w:r>
      <w:proofErr w:type="spellEnd"/>
      <w:r w:rsidR="000E326C" w:rsidRPr="00E9690A">
        <w:rPr>
          <w:szCs w:val="24"/>
          <w:lang w:val="fr-CA"/>
        </w:rPr>
        <w:t>, Côté et Associés</w:t>
      </w:r>
      <w:r w:rsidRPr="00E9690A">
        <w:rPr>
          <w:szCs w:val="24"/>
          <w:lang w:val="fr-CA"/>
        </w:rPr>
        <w:t>, Montréal.</w:t>
      </w:r>
    </w:p>
    <w:p w:rsidR="00E33311" w:rsidRPr="00E9690A" w:rsidRDefault="00E33311" w:rsidP="00E33311">
      <w:pPr>
        <w:pStyle w:val="SCCNormalDoubleSpacing"/>
        <w:rPr>
          <w:lang w:val="fr-CA"/>
        </w:rPr>
      </w:pPr>
    </w:p>
    <w:p w:rsidR="00E33311" w:rsidRPr="00E9690A" w:rsidRDefault="00E33311" w:rsidP="00E33311">
      <w:pPr>
        <w:pStyle w:val="SCCNormalDoubleSpacing"/>
        <w:rPr>
          <w:lang w:val="fr-CA"/>
        </w:rPr>
      </w:pPr>
    </w:p>
    <w:sectPr w:rsidR="00E33311" w:rsidRPr="00E9690A" w:rsidSect="00E93FA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A3" w:rsidRDefault="00E93FA3">
      <w:r>
        <w:separator/>
      </w:r>
    </w:p>
  </w:endnote>
  <w:endnote w:type="continuationSeparator" w:id="0">
    <w:p w:rsidR="00E93FA3" w:rsidRDefault="00E9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A3" w:rsidRDefault="00E93FA3">
      <w:r>
        <w:separator/>
      </w:r>
    </w:p>
  </w:footnote>
  <w:footnote w:type="continuationSeparator" w:id="0">
    <w:p w:rsidR="00E93FA3" w:rsidRDefault="00E9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8048"/>
      <w:docPartObj>
        <w:docPartGallery w:val="Page Numbers (Top of Page)"/>
        <w:docPartUnique/>
      </w:docPartObj>
    </w:sdtPr>
    <w:sdtContent>
      <w:p w:rsidR="00E93FA3" w:rsidRDefault="00E93FA3">
        <w:pPr>
          <w:pStyle w:val="Header"/>
          <w:jc w:val="center"/>
        </w:pPr>
        <w:r>
          <w:t xml:space="preserve">- </w:t>
        </w:r>
        <w:fldSimple w:instr=" PAGE   \* MERGEFORMAT ">
          <w:r w:rsidR="00571E80">
            <w:rPr>
              <w:noProof/>
            </w:rPr>
            <w:t>2</w:t>
          </w:r>
        </w:fldSimple>
        <w:r>
          <w:t xml:space="preserve"> -</w:t>
        </w:r>
      </w:p>
    </w:sdtContent>
  </w:sdt>
  <w:p w:rsidR="00E93FA3" w:rsidRPr="00450352" w:rsidRDefault="00E93FA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08F"/>
    <w:multiLevelType w:val="hybridMultilevel"/>
    <w:tmpl w:val="2FD2E342"/>
    <w:lvl w:ilvl="0" w:tplc="8188D662">
      <w:start w:val="1"/>
      <w:numFmt w:val="upp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18109B"/>
    <w:multiLevelType w:val="hybridMultilevel"/>
    <w:tmpl w:val="325076EC"/>
    <w:lvl w:ilvl="0" w:tplc="022CA4F8">
      <w:start w:val="1"/>
      <w:numFmt w:val="upp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4">
    <w:nsid w:val="391E7BF1"/>
    <w:multiLevelType w:val="hybridMultilevel"/>
    <w:tmpl w:val="4494449E"/>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cs="Wingdings" w:hint="default"/>
      </w:rPr>
    </w:lvl>
    <w:lvl w:ilvl="3" w:tplc="10090001" w:tentative="1">
      <w:start w:val="1"/>
      <w:numFmt w:val="bullet"/>
      <w:lvlText w:val=""/>
      <w:lvlJc w:val="left"/>
      <w:pPr>
        <w:ind w:left="5028" w:hanging="360"/>
      </w:pPr>
      <w:rPr>
        <w:rFonts w:ascii="Symbol" w:hAnsi="Symbol" w:cs="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cs="Wingdings" w:hint="default"/>
      </w:rPr>
    </w:lvl>
    <w:lvl w:ilvl="6" w:tplc="10090001" w:tentative="1">
      <w:start w:val="1"/>
      <w:numFmt w:val="bullet"/>
      <w:lvlText w:val=""/>
      <w:lvlJc w:val="left"/>
      <w:pPr>
        <w:ind w:left="7188" w:hanging="360"/>
      </w:pPr>
      <w:rPr>
        <w:rFonts w:ascii="Symbol" w:hAnsi="Symbol" w:cs="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cs="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97E5E7E"/>
    <w:multiLevelType w:val="hybridMultilevel"/>
    <w:tmpl w:val="68A600B4"/>
    <w:lvl w:ilvl="0" w:tplc="BBD676F0">
      <w:start w:val="1"/>
      <w:numFmt w:val="upp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00ED4"/>
    <w:rsid w:val="0002208D"/>
    <w:rsid w:val="00025198"/>
    <w:rsid w:val="00027748"/>
    <w:rsid w:val="000555A8"/>
    <w:rsid w:val="00055F98"/>
    <w:rsid w:val="000578A3"/>
    <w:rsid w:val="000648CC"/>
    <w:rsid w:val="0007453E"/>
    <w:rsid w:val="0008247C"/>
    <w:rsid w:val="00082702"/>
    <w:rsid w:val="000C59B8"/>
    <w:rsid w:val="000E326C"/>
    <w:rsid w:val="00104F33"/>
    <w:rsid w:val="00111DE2"/>
    <w:rsid w:val="00116B38"/>
    <w:rsid w:val="00135406"/>
    <w:rsid w:val="00135972"/>
    <w:rsid w:val="001426A9"/>
    <w:rsid w:val="001432F4"/>
    <w:rsid w:val="00154D7C"/>
    <w:rsid w:val="001570B0"/>
    <w:rsid w:val="0015752C"/>
    <w:rsid w:val="00157737"/>
    <w:rsid w:val="00165277"/>
    <w:rsid w:val="00170592"/>
    <w:rsid w:val="001A2076"/>
    <w:rsid w:val="001A28CA"/>
    <w:rsid w:val="001B33E0"/>
    <w:rsid w:val="001B44C2"/>
    <w:rsid w:val="001B4573"/>
    <w:rsid w:val="001C779F"/>
    <w:rsid w:val="001D2AC1"/>
    <w:rsid w:val="001D4E88"/>
    <w:rsid w:val="001E1C01"/>
    <w:rsid w:val="001E1C40"/>
    <w:rsid w:val="001E6C72"/>
    <w:rsid w:val="00220FC2"/>
    <w:rsid w:val="00224FC0"/>
    <w:rsid w:val="00225EA4"/>
    <w:rsid w:val="00226EAF"/>
    <w:rsid w:val="00231F3A"/>
    <w:rsid w:val="002406EE"/>
    <w:rsid w:val="00243EC8"/>
    <w:rsid w:val="002639D7"/>
    <w:rsid w:val="002745CC"/>
    <w:rsid w:val="002B7924"/>
    <w:rsid w:val="002D39A4"/>
    <w:rsid w:val="002E6705"/>
    <w:rsid w:val="002F7B6A"/>
    <w:rsid w:val="0030329A"/>
    <w:rsid w:val="0031086F"/>
    <w:rsid w:val="0031414C"/>
    <w:rsid w:val="00314E01"/>
    <w:rsid w:val="0032089D"/>
    <w:rsid w:val="003310DE"/>
    <w:rsid w:val="00332C0F"/>
    <w:rsid w:val="00335782"/>
    <w:rsid w:val="0035169A"/>
    <w:rsid w:val="0035259D"/>
    <w:rsid w:val="00356C1D"/>
    <w:rsid w:val="00364B18"/>
    <w:rsid w:val="003A4C70"/>
    <w:rsid w:val="003B215F"/>
    <w:rsid w:val="003B48E8"/>
    <w:rsid w:val="003C799C"/>
    <w:rsid w:val="003D0399"/>
    <w:rsid w:val="003E1C71"/>
    <w:rsid w:val="003F327B"/>
    <w:rsid w:val="00406166"/>
    <w:rsid w:val="0040704B"/>
    <w:rsid w:val="00410A55"/>
    <w:rsid w:val="00411300"/>
    <w:rsid w:val="00415417"/>
    <w:rsid w:val="004202A9"/>
    <w:rsid w:val="00420B76"/>
    <w:rsid w:val="00426659"/>
    <w:rsid w:val="00450352"/>
    <w:rsid w:val="00454BDB"/>
    <w:rsid w:val="00465132"/>
    <w:rsid w:val="00467798"/>
    <w:rsid w:val="00480C90"/>
    <w:rsid w:val="0048396F"/>
    <w:rsid w:val="00493C18"/>
    <w:rsid w:val="004A2A56"/>
    <w:rsid w:val="004A600C"/>
    <w:rsid w:val="004A6118"/>
    <w:rsid w:val="004C0D70"/>
    <w:rsid w:val="004C478D"/>
    <w:rsid w:val="004E2C26"/>
    <w:rsid w:val="00501A44"/>
    <w:rsid w:val="005125A8"/>
    <w:rsid w:val="00515D75"/>
    <w:rsid w:val="00521AE8"/>
    <w:rsid w:val="005259BB"/>
    <w:rsid w:val="00527180"/>
    <w:rsid w:val="00535520"/>
    <w:rsid w:val="00547239"/>
    <w:rsid w:val="00555291"/>
    <w:rsid w:val="00562386"/>
    <w:rsid w:val="00566AD1"/>
    <w:rsid w:val="00571E80"/>
    <w:rsid w:val="00583EDE"/>
    <w:rsid w:val="00596FCA"/>
    <w:rsid w:val="005C2B38"/>
    <w:rsid w:val="005D29D7"/>
    <w:rsid w:val="005E4698"/>
    <w:rsid w:val="00610539"/>
    <w:rsid w:val="00613969"/>
    <w:rsid w:val="00625C35"/>
    <w:rsid w:val="006273DF"/>
    <w:rsid w:val="0064358D"/>
    <w:rsid w:val="00650FAB"/>
    <w:rsid w:val="00656313"/>
    <w:rsid w:val="006565F4"/>
    <w:rsid w:val="006660F1"/>
    <w:rsid w:val="00684EEA"/>
    <w:rsid w:val="0069689B"/>
    <w:rsid w:val="006B0206"/>
    <w:rsid w:val="006B57E4"/>
    <w:rsid w:val="006B5FF5"/>
    <w:rsid w:val="00701759"/>
    <w:rsid w:val="00705C15"/>
    <w:rsid w:val="00714FF9"/>
    <w:rsid w:val="00747288"/>
    <w:rsid w:val="00747DD3"/>
    <w:rsid w:val="007549C8"/>
    <w:rsid w:val="007643C1"/>
    <w:rsid w:val="00766D14"/>
    <w:rsid w:val="00767A0F"/>
    <w:rsid w:val="00790C26"/>
    <w:rsid w:val="007A05F6"/>
    <w:rsid w:val="007A5409"/>
    <w:rsid w:val="007B152C"/>
    <w:rsid w:val="007B6F4A"/>
    <w:rsid w:val="007D1C81"/>
    <w:rsid w:val="007E1C47"/>
    <w:rsid w:val="007E337A"/>
    <w:rsid w:val="007E5C70"/>
    <w:rsid w:val="007F2FF5"/>
    <w:rsid w:val="007F3F08"/>
    <w:rsid w:val="007F42FE"/>
    <w:rsid w:val="00804CC6"/>
    <w:rsid w:val="00807CBC"/>
    <w:rsid w:val="00817190"/>
    <w:rsid w:val="008260E2"/>
    <w:rsid w:val="008322BD"/>
    <w:rsid w:val="00834F73"/>
    <w:rsid w:val="00864CF8"/>
    <w:rsid w:val="00874914"/>
    <w:rsid w:val="00891422"/>
    <w:rsid w:val="00891BAC"/>
    <w:rsid w:val="00892E1A"/>
    <w:rsid w:val="008C01DA"/>
    <w:rsid w:val="008C4D40"/>
    <w:rsid w:val="008F0FB3"/>
    <w:rsid w:val="008F78E9"/>
    <w:rsid w:val="00904710"/>
    <w:rsid w:val="009179F9"/>
    <w:rsid w:val="00933E5E"/>
    <w:rsid w:val="00935218"/>
    <w:rsid w:val="00935BD6"/>
    <w:rsid w:val="00937471"/>
    <w:rsid w:val="009403F3"/>
    <w:rsid w:val="009555B7"/>
    <w:rsid w:val="009567AA"/>
    <w:rsid w:val="00967374"/>
    <w:rsid w:val="00983036"/>
    <w:rsid w:val="00994541"/>
    <w:rsid w:val="009B2F23"/>
    <w:rsid w:val="009B57B3"/>
    <w:rsid w:val="009D2920"/>
    <w:rsid w:val="009D5AEB"/>
    <w:rsid w:val="009E45BE"/>
    <w:rsid w:val="009F0E33"/>
    <w:rsid w:val="00A14024"/>
    <w:rsid w:val="00A149DF"/>
    <w:rsid w:val="00A21B90"/>
    <w:rsid w:val="00A24DD9"/>
    <w:rsid w:val="00A41805"/>
    <w:rsid w:val="00A548CB"/>
    <w:rsid w:val="00A5521C"/>
    <w:rsid w:val="00A643E7"/>
    <w:rsid w:val="00A73C38"/>
    <w:rsid w:val="00AB670D"/>
    <w:rsid w:val="00AE4A11"/>
    <w:rsid w:val="00AF03C5"/>
    <w:rsid w:val="00B000D8"/>
    <w:rsid w:val="00B00F75"/>
    <w:rsid w:val="00B03CB6"/>
    <w:rsid w:val="00B145B6"/>
    <w:rsid w:val="00B20EF5"/>
    <w:rsid w:val="00B27B1E"/>
    <w:rsid w:val="00B50C81"/>
    <w:rsid w:val="00B557F8"/>
    <w:rsid w:val="00B815FC"/>
    <w:rsid w:val="00B93FBC"/>
    <w:rsid w:val="00BA0D40"/>
    <w:rsid w:val="00BB2EE4"/>
    <w:rsid w:val="00BC2108"/>
    <w:rsid w:val="00BC5FCA"/>
    <w:rsid w:val="00BD0E9E"/>
    <w:rsid w:val="00BD1BEC"/>
    <w:rsid w:val="00BD32FF"/>
    <w:rsid w:val="00BD7DD4"/>
    <w:rsid w:val="00C02092"/>
    <w:rsid w:val="00C061D4"/>
    <w:rsid w:val="00C24D91"/>
    <w:rsid w:val="00C53F14"/>
    <w:rsid w:val="00C600CF"/>
    <w:rsid w:val="00C6084F"/>
    <w:rsid w:val="00C62A66"/>
    <w:rsid w:val="00C71458"/>
    <w:rsid w:val="00C77613"/>
    <w:rsid w:val="00C828E7"/>
    <w:rsid w:val="00C86719"/>
    <w:rsid w:val="00C86A97"/>
    <w:rsid w:val="00C921DD"/>
    <w:rsid w:val="00CA6391"/>
    <w:rsid w:val="00CE1260"/>
    <w:rsid w:val="00CE3171"/>
    <w:rsid w:val="00CF1601"/>
    <w:rsid w:val="00D0172F"/>
    <w:rsid w:val="00D050C3"/>
    <w:rsid w:val="00D068A7"/>
    <w:rsid w:val="00D32086"/>
    <w:rsid w:val="00D37A3F"/>
    <w:rsid w:val="00D4431D"/>
    <w:rsid w:val="00D4667A"/>
    <w:rsid w:val="00D7516F"/>
    <w:rsid w:val="00D93DB5"/>
    <w:rsid w:val="00D95F8E"/>
    <w:rsid w:val="00DA0590"/>
    <w:rsid w:val="00DB1114"/>
    <w:rsid w:val="00DC0557"/>
    <w:rsid w:val="00DC1788"/>
    <w:rsid w:val="00DE319C"/>
    <w:rsid w:val="00DF0CA8"/>
    <w:rsid w:val="00DF2B48"/>
    <w:rsid w:val="00DF49A7"/>
    <w:rsid w:val="00E07EE2"/>
    <w:rsid w:val="00E07FD1"/>
    <w:rsid w:val="00E24573"/>
    <w:rsid w:val="00E25E1E"/>
    <w:rsid w:val="00E27EE7"/>
    <w:rsid w:val="00E33311"/>
    <w:rsid w:val="00E35404"/>
    <w:rsid w:val="00E45109"/>
    <w:rsid w:val="00E47B7A"/>
    <w:rsid w:val="00E60269"/>
    <w:rsid w:val="00E93FA3"/>
    <w:rsid w:val="00E9690A"/>
    <w:rsid w:val="00E97830"/>
    <w:rsid w:val="00EE175F"/>
    <w:rsid w:val="00EF0683"/>
    <w:rsid w:val="00F0070C"/>
    <w:rsid w:val="00F00EB7"/>
    <w:rsid w:val="00F2713F"/>
    <w:rsid w:val="00F36AB6"/>
    <w:rsid w:val="00F37A09"/>
    <w:rsid w:val="00F409CE"/>
    <w:rsid w:val="00F4379D"/>
    <w:rsid w:val="00F55AF4"/>
    <w:rsid w:val="00F84DF4"/>
    <w:rsid w:val="00F85C97"/>
    <w:rsid w:val="00FB37D2"/>
    <w:rsid w:val="00FC4EFB"/>
    <w:rsid w:val="00FD068D"/>
    <w:rsid w:val="00FD4F28"/>
    <w:rsid w:val="00FE6784"/>
    <w:rsid w:val="00FE6F23"/>
    <w:rsid w:val="00FF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uiPriority w:val="99"/>
    <w:rsid w:val="00E33311"/>
    <w:pPr>
      <w:spacing w:after="480"/>
    </w:pPr>
    <w:rPr>
      <w:szCs w:val="24"/>
      <w:lang w:eastAsia="en-US"/>
    </w:rPr>
  </w:style>
  <w:style w:type="character" w:customStyle="1" w:styleId="SCCLsocOtherPartyRoleSeparatorChar">
    <w:name w:val="SCC.Lsoc.OtherPartyRoleSeparator Char"/>
    <w:basedOn w:val="DefaultParagraphFont"/>
    <w:link w:val="SCCLsocOtherPartyRoleSeparator"/>
    <w:uiPriority w:val="99"/>
    <w:rsid w:val="00E33311"/>
    <w:rPr>
      <w:sz w:val="24"/>
      <w:szCs w:val="24"/>
      <w:lang w:eastAsia="en-US"/>
    </w:rPr>
  </w:style>
  <w:style w:type="character" w:customStyle="1" w:styleId="SCCBanSummaryChar">
    <w:name w:val="SCC.BanSummary Char"/>
    <w:basedOn w:val="DefaultParagraphFont"/>
    <w:link w:val="SCCBanSummary"/>
    <w:uiPriority w:val="99"/>
    <w:rsid w:val="00E33311"/>
    <w:rPr>
      <w:b/>
      <w:sz w:val="24"/>
    </w:rPr>
  </w:style>
  <w:style w:type="table" w:styleId="TableGrid">
    <w:name w:val="Table Grid"/>
    <w:basedOn w:val="TableNormal"/>
    <w:uiPriority w:val="59"/>
    <w:rsid w:val="00E33311"/>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E3331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3311"/>
    <w:pPr>
      <w:spacing w:before="480" w:after="480" w:line="480" w:lineRule="auto"/>
      <w:jc w:val="both"/>
    </w:pPr>
    <w:rPr>
      <w:sz w:val="24"/>
      <w:szCs w:val="24"/>
      <w:lang w:eastAsia="en-US"/>
    </w:rPr>
  </w:style>
  <w:style w:type="paragraph" w:customStyle="1" w:styleId="JudgeJuge">
    <w:name w:val="Judge / Juge"/>
    <w:uiPriority w:val="3"/>
    <w:rsid w:val="00E33311"/>
    <w:pPr>
      <w:tabs>
        <w:tab w:val="left" w:pos="1166"/>
      </w:tabs>
      <w:spacing w:after="480" w:line="480" w:lineRule="auto"/>
    </w:pPr>
    <w:rPr>
      <w:smallCaps/>
      <w:sz w:val="24"/>
      <w:szCs w:val="24"/>
    </w:rPr>
  </w:style>
  <w:style w:type="paragraph" w:customStyle="1" w:styleId="ParaNoNdepar-AltN">
    <w:name w:val="Para. No. / Nº de par. - Alt N"/>
    <w:qFormat/>
    <w:rsid w:val="00E33311"/>
    <w:pPr>
      <w:numPr>
        <w:numId w:val="6"/>
      </w:numPr>
      <w:spacing w:before="480" w:after="480" w:line="480" w:lineRule="auto"/>
      <w:jc w:val="both"/>
    </w:pPr>
    <w:rPr>
      <w:sz w:val="24"/>
      <w:szCs w:val="24"/>
      <w:lang w:eastAsia="en-US"/>
    </w:rPr>
  </w:style>
  <w:style w:type="paragraph" w:customStyle="1" w:styleId="TitleTitre-AltT">
    <w:name w:val="Title / Titre - Alt T"/>
    <w:next w:val="ParaNoNdepar-AltN"/>
    <w:uiPriority w:val="3"/>
    <w:qFormat/>
    <w:rsid w:val="00E33311"/>
    <w:pPr>
      <w:keepNext/>
      <w:tabs>
        <w:tab w:val="left" w:pos="360"/>
      </w:tabs>
      <w:spacing w:after="720"/>
      <w:ind w:left="357" w:hanging="357"/>
      <w:jc w:val="both"/>
    </w:pPr>
    <w:rPr>
      <w:sz w:val="24"/>
      <w:szCs w:val="24"/>
      <w:lang w:eastAsia="en-US"/>
    </w:rPr>
  </w:style>
  <w:style w:type="paragraph" w:styleId="DocumentMap">
    <w:name w:val="Document Map"/>
    <w:basedOn w:val="Normal"/>
    <w:link w:val="DocumentMapChar"/>
    <w:uiPriority w:val="99"/>
    <w:semiHidden/>
    <w:rsid w:val="00E33311"/>
    <w:rPr>
      <w:rFonts w:ascii="Tahoma" w:hAnsi="Tahoma" w:cs="Tahoma"/>
      <w:sz w:val="16"/>
      <w:szCs w:val="16"/>
    </w:rPr>
  </w:style>
  <w:style w:type="character" w:customStyle="1" w:styleId="DocumentMapChar">
    <w:name w:val="Document Map Char"/>
    <w:basedOn w:val="DefaultParagraphFont"/>
    <w:link w:val="DocumentMap"/>
    <w:uiPriority w:val="99"/>
    <w:semiHidden/>
    <w:rsid w:val="00E33311"/>
    <w:rPr>
      <w:rFonts w:ascii="Tahoma" w:hAnsi="Tahoma" w:cs="Tahoma"/>
      <w:sz w:val="16"/>
      <w:szCs w:val="16"/>
    </w:rPr>
  </w:style>
  <w:style w:type="character" w:styleId="SubtleEmphasis">
    <w:name w:val="Subtle Emphasis"/>
    <w:basedOn w:val="DefaultParagraphFont"/>
    <w:uiPriority w:val="99"/>
    <w:qFormat/>
    <w:rsid w:val="00E33311"/>
    <w:rPr>
      <w:i/>
      <w:iCs/>
    </w:rPr>
  </w:style>
  <w:style w:type="paragraph" w:customStyle="1" w:styleId="zsoquijlblnodossier">
    <w:name w:val="zsoquijlblnodossier"/>
    <w:basedOn w:val="Normal"/>
    <w:uiPriority w:val="99"/>
    <w:rsid w:val="00E33311"/>
    <w:pPr>
      <w:spacing w:before="100" w:beforeAutospacing="1" w:after="100" w:afterAutospacing="1"/>
    </w:pPr>
    <w:rPr>
      <w:szCs w:val="24"/>
    </w:rPr>
  </w:style>
  <w:style w:type="paragraph" w:customStyle="1" w:styleId="zsoquijlbldatejugement">
    <w:name w:val="zsoquijlbldatejugement"/>
    <w:basedOn w:val="Normal"/>
    <w:uiPriority w:val="99"/>
    <w:rsid w:val="00E33311"/>
    <w:pPr>
      <w:spacing w:before="100" w:beforeAutospacing="1" w:after="100" w:afterAutospacing="1"/>
    </w:pPr>
    <w:rPr>
      <w:szCs w:val="24"/>
    </w:rPr>
  </w:style>
  <w:style w:type="character" w:styleId="Hyperlink">
    <w:name w:val="Hyperlink"/>
    <w:basedOn w:val="DefaultParagraphFont"/>
    <w:uiPriority w:val="99"/>
    <w:rsid w:val="00E33311"/>
    <w:rPr>
      <w:color w:val="0000FF"/>
      <w:u w:val="single"/>
    </w:rPr>
  </w:style>
  <w:style w:type="paragraph" w:customStyle="1" w:styleId="listparagraph1">
    <w:name w:val="listparagraph1"/>
    <w:basedOn w:val="Normal"/>
    <w:uiPriority w:val="99"/>
    <w:rsid w:val="00E33311"/>
    <w:pPr>
      <w:ind w:left="720"/>
    </w:pPr>
    <w:rPr>
      <w:szCs w:val="24"/>
      <w:lang w:val="fr-CA" w:eastAsia="fr-CA"/>
    </w:rPr>
  </w:style>
  <w:style w:type="paragraph" w:customStyle="1" w:styleId="SCCCoram">
    <w:name w:val="SCC.Coram"/>
    <w:basedOn w:val="Normal"/>
    <w:next w:val="Normal"/>
    <w:link w:val="SCCCoramChar"/>
    <w:rsid w:val="00A1402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14024"/>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5962</Words>
  <Characters>28219</Characters>
  <Application>Microsoft Office Word</Application>
  <DocSecurity>0</DocSecurity>
  <Lines>235</Lines>
  <Paragraphs>68</Paragraphs>
  <ScaleCrop>false</ScaleCrop>
  <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2012-07-30T19:28:00Z</dcterms:created>
  <dcterms:modified xsi:type="dcterms:W3CDTF">2013-02-22T21:09:00Z</dcterms:modified>
</cp:coreProperties>
</file>