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BB" w:rsidRPr="005877A0" w:rsidRDefault="003A74BB" w:rsidP="003A74BB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5877A0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2pt" o:ole="">
            <v:imagedata r:id="rId8" o:title=""/>
          </v:shape>
          <o:OLEObject Type="Embed" ProgID="Presentations.Drawing.13" ShapeID="_x0000_i1025" DrawAspect="Content" ObjectID="_1451388086" r:id="rId9"/>
        </w:object>
      </w:r>
    </w:p>
    <w:p w:rsidR="003A74BB" w:rsidRPr="005877A0" w:rsidRDefault="003A74BB" w:rsidP="003A74BB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3A74BB" w:rsidP="003A74B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5877A0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3A74BB" w:rsidRPr="005877A0" w:rsidTr="00380C2B">
        <w:trPr>
          <w:cantSplit/>
        </w:trPr>
        <w:tc>
          <w:tcPr>
            <w:tcW w:w="6768" w:type="dxa"/>
          </w:tcPr>
          <w:p w:rsidR="003A74BB" w:rsidRPr="005877A0" w:rsidRDefault="003A74BB" w:rsidP="00380C2B">
            <w:pPr>
              <w:rPr>
                <w:lang w:val="fr-CA"/>
              </w:rPr>
            </w:pPr>
            <w:r w:rsidRPr="005877A0">
              <w:rPr>
                <w:b/>
                <w:smallCaps/>
                <w:lang w:val="fr-CA"/>
              </w:rPr>
              <w:t>Référence :</w:t>
            </w:r>
            <w:r w:rsidRPr="005877A0">
              <w:rPr>
                <w:lang w:val="fr-CA"/>
              </w:rPr>
              <w:t xml:space="preserve"> R. </w:t>
            </w:r>
            <w:r w:rsidRPr="005877A0">
              <w:rPr>
                <w:i/>
                <w:lang w:val="fr-CA"/>
              </w:rPr>
              <w:t>c.</w:t>
            </w:r>
            <w:r w:rsidRPr="005877A0">
              <w:rPr>
                <w:lang w:val="fr-CA"/>
              </w:rPr>
              <w:t xml:space="preserve"> Manning, </w:t>
            </w:r>
            <w:r w:rsidRPr="003A74BB">
              <w:rPr>
                <w:szCs w:val="24"/>
                <w:lang w:val="en-US"/>
              </w:rPr>
              <w:t>2013 CSC 1, [2013] 1 R.C.S. 3</w:t>
            </w:r>
          </w:p>
        </w:tc>
        <w:tc>
          <w:tcPr>
            <w:tcW w:w="2808" w:type="dxa"/>
          </w:tcPr>
          <w:p w:rsidR="003A74BB" w:rsidRPr="005877A0" w:rsidRDefault="003A74BB" w:rsidP="00380C2B">
            <w:pPr>
              <w:rPr>
                <w:lang w:val="fr-CA"/>
              </w:rPr>
            </w:pPr>
            <w:r w:rsidRPr="005877A0">
              <w:rPr>
                <w:b/>
                <w:smallCaps/>
                <w:lang w:val="fr-CA"/>
              </w:rPr>
              <w:t>Date :</w:t>
            </w:r>
            <w:r w:rsidRPr="005877A0">
              <w:rPr>
                <w:lang w:val="fr-CA"/>
              </w:rPr>
              <w:t xml:space="preserve"> 20130117</w:t>
            </w:r>
          </w:p>
          <w:p w:rsidR="003A74BB" w:rsidRPr="005877A0" w:rsidRDefault="003A74BB" w:rsidP="00380C2B">
            <w:pPr>
              <w:rPr>
                <w:lang w:val="fr-CA"/>
              </w:rPr>
            </w:pPr>
            <w:r w:rsidRPr="005877A0">
              <w:rPr>
                <w:b/>
                <w:smallCaps/>
                <w:lang w:val="fr-CA"/>
              </w:rPr>
              <w:t>Dossier :</w:t>
            </w:r>
            <w:r w:rsidRPr="005877A0">
              <w:rPr>
                <w:lang w:val="fr-CA"/>
              </w:rPr>
              <w:t xml:space="preserve"> 34358</w:t>
            </w:r>
          </w:p>
        </w:tc>
      </w:tr>
    </w:tbl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3A74BB" w:rsidP="003A74BB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5877A0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3A74BB" w:rsidRPr="005877A0" w:rsidRDefault="003A74BB" w:rsidP="003A74B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5877A0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3A74BB" w:rsidRPr="005877A0" w:rsidRDefault="003A74BB" w:rsidP="003A74BB">
      <w:pPr>
        <w:jc w:val="center"/>
        <w:rPr>
          <w:rFonts w:eastAsiaTheme="minorHAnsi" w:cstheme="minorBidi"/>
          <w:szCs w:val="24"/>
          <w:lang w:val="fr-CA" w:eastAsia="en-US"/>
        </w:rPr>
      </w:pPr>
      <w:r w:rsidRPr="005877A0">
        <w:rPr>
          <w:rFonts w:eastAsiaTheme="minorHAnsi" w:cstheme="minorBidi"/>
          <w:szCs w:val="24"/>
          <w:lang w:val="fr-CA" w:eastAsia="en-US"/>
        </w:rPr>
        <w:t>Appelante</w:t>
      </w:r>
    </w:p>
    <w:p w:rsidR="003A74BB" w:rsidRPr="005877A0" w:rsidRDefault="003A74BB" w:rsidP="003A74BB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5877A0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3A74BB" w:rsidRPr="005877A0" w:rsidRDefault="003A74BB" w:rsidP="003A74B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proofErr w:type="spellStart"/>
      <w:r w:rsidRPr="005877A0">
        <w:rPr>
          <w:rFonts w:eastAsiaTheme="minorHAnsi" w:cstheme="minorBidi"/>
          <w:b/>
          <w:szCs w:val="24"/>
          <w:lang w:val="fr-CA" w:eastAsia="en-US"/>
        </w:rPr>
        <w:t>Alphide</w:t>
      </w:r>
      <w:proofErr w:type="spellEnd"/>
      <w:r w:rsidRPr="005877A0">
        <w:rPr>
          <w:rFonts w:eastAsiaTheme="minorHAnsi" w:cstheme="minorBidi"/>
          <w:b/>
          <w:szCs w:val="24"/>
          <w:lang w:val="fr-CA" w:eastAsia="en-US"/>
        </w:rPr>
        <w:t xml:space="preserve"> Manning</w:t>
      </w:r>
    </w:p>
    <w:p w:rsidR="003A74BB" w:rsidRPr="005877A0" w:rsidRDefault="003A74BB" w:rsidP="003A74BB">
      <w:pPr>
        <w:jc w:val="center"/>
        <w:rPr>
          <w:rFonts w:eastAsiaTheme="minorHAnsi" w:cstheme="minorBidi"/>
          <w:szCs w:val="24"/>
          <w:lang w:val="fr-CA" w:eastAsia="en-US"/>
        </w:rPr>
      </w:pPr>
      <w:r w:rsidRPr="005877A0">
        <w:rPr>
          <w:rFonts w:eastAsiaTheme="minorHAnsi" w:cstheme="minorBidi"/>
          <w:szCs w:val="24"/>
          <w:lang w:val="fr-CA" w:eastAsia="en-US"/>
        </w:rPr>
        <w:t>Intimé</w:t>
      </w:r>
    </w:p>
    <w:p w:rsidR="003A74BB" w:rsidRPr="005877A0" w:rsidRDefault="003A74BB" w:rsidP="003A74BB">
      <w:pPr>
        <w:jc w:val="center"/>
        <w:rPr>
          <w:rFonts w:eastAsiaTheme="minorHAnsi" w:cstheme="minorBidi"/>
          <w:szCs w:val="24"/>
          <w:lang w:val="fr-CA" w:eastAsia="en-US"/>
        </w:rPr>
      </w:pPr>
      <w:r w:rsidRPr="005877A0">
        <w:rPr>
          <w:rFonts w:eastAsiaTheme="minorHAnsi" w:cstheme="minorBidi"/>
          <w:szCs w:val="24"/>
          <w:lang w:val="fr-CA" w:eastAsia="en-US"/>
        </w:rPr>
        <w:t>- et -</w:t>
      </w:r>
    </w:p>
    <w:p w:rsidR="003A74BB" w:rsidRPr="005877A0" w:rsidRDefault="003A74BB" w:rsidP="003A74B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5877A0">
        <w:rPr>
          <w:rFonts w:eastAsiaTheme="minorHAnsi" w:cstheme="minorBidi"/>
          <w:b/>
          <w:szCs w:val="24"/>
          <w:lang w:val="fr-CA" w:eastAsia="en-US"/>
        </w:rPr>
        <w:t>Directeur des poursuites pénales du Canada, Procureur général de l’Ontario, Association canadienne des libertés civiles et Association des libertés civiles de la Colombie-Britannique</w:t>
      </w:r>
    </w:p>
    <w:p w:rsidR="003A74BB" w:rsidRPr="005877A0" w:rsidRDefault="003A74BB" w:rsidP="003A74BB">
      <w:pPr>
        <w:jc w:val="center"/>
        <w:rPr>
          <w:rFonts w:eastAsiaTheme="minorHAnsi" w:cstheme="minorBidi"/>
          <w:szCs w:val="24"/>
          <w:lang w:val="fr-CA" w:eastAsia="en-US"/>
        </w:rPr>
      </w:pPr>
      <w:r w:rsidRPr="005877A0">
        <w:rPr>
          <w:rFonts w:eastAsiaTheme="minorHAnsi" w:cstheme="minorBidi"/>
          <w:szCs w:val="24"/>
          <w:lang w:val="fr-CA" w:eastAsia="en-US"/>
        </w:rPr>
        <w:t>Intervenants</w:t>
      </w: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3A74BB" w:rsidP="003A74BB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5877A0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  <w:r w:rsidRPr="005877A0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5877A0">
        <w:rPr>
          <w:rFonts w:eastAsiaTheme="minorHAnsi" w:cstheme="minorBidi"/>
          <w:szCs w:val="24"/>
          <w:lang w:val="fr-CA" w:eastAsia="en-US"/>
        </w:rPr>
        <w:t xml:space="preserve"> La juge en chef McLachlin et les juges </w:t>
      </w:r>
      <w:proofErr w:type="spellStart"/>
      <w:r w:rsidRPr="005877A0">
        <w:rPr>
          <w:rFonts w:eastAsiaTheme="minorHAnsi" w:cstheme="minorBidi"/>
          <w:szCs w:val="24"/>
          <w:lang w:val="fr-CA" w:eastAsia="en-US"/>
        </w:rPr>
        <w:t>LeBel</w:t>
      </w:r>
      <w:proofErr w:type="spellEnd"/>
      <w:r w:rsidRPr="005877A0">
        <w:rPr>
          <w:rFonts w:eastAsiaTheme="minorHAnsi" w:cstheme="minorBidi"/>
          <w:szCs w:val="24"/>
          <w:lang w:val="fr-CA" w:eastAsia="en-US"/>
        </w:rPr>
        <w:t xml:space="preserve">, Fish, Abella, Cromwell, </w:t>
      </w:r>
      <w:proofErr w:type="spellStart"/>
      <w:r w:rsidRPr="005877A0">
        <w:rPr>
          <w:rFonts w:eastAsiaTheme="minorHAnsi" w:cstheme="minorBidi"/>
          <w:szCs w:val="24"/>
          <w:lang w:val="fr-CA" w:eastAsia="en-US"/>
        </w:rPr>
        <w:t>Karakatsanis</w:t>
      </w:r>
      <w:proofErr w:type="spellEnd"/>
      <w:r w:rsidRPr="005877A0">
        <w:rPr>
          <w:rFonts w:eastAsiaTheme="minorHAnsi" w:cstheme="minorBidi"/>
          <w:szCs w:val="24"/>
          <w:lang w:val="fr-CA" w:eastAsia="en-US"/>
        </w:rPr>
        <w:t xml:space="preserve"> et Wagner</w:t>
      </w: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3A74BB" w:rsidRPr="003A74BB" w:rsidTr="00380C2B">
        <w:trPr>
          <w:cantSplit/>
        </w:trPr>
        <w:tc>
          <w:tcPr>
            <w:tcW w:w="3618" w:type="dxa"/>
          </w:tcPr>
          <w:p w:rsidR="003A74BB" w:rsidRPr="005877A0" w:rsidRDefault="003A74BB" w:rsidP="00380C2B">
            <w:pPr>
              <w:rPr>
                <w:b/>
                <w:smallCaps/>
                <w:lang w:val="fr-CA"/>
              </w:rPr>
            </w:pPr>
            <w:r w:rsidRPr="005877A0">
              <w:rPr>
                <w:b/>
                <w:smallCaps/>
                <w:lang w:val="fr-CA"/>
              </w:rPr>
              <w:t>Motifs de jugement :</w:t>
            </w:r>
          </w:p>
          <w:p w:rsidR="003A74BB" w:rsidRPr="005877A0" w:rsidRDefault="003A74BB" w:rsidP="00380C2B">
            <w:pPr>
              <w:rPr>
                <w:lang w:val="fr-CA"/>
              </w:rPr>
            </w:pPr>
            <w:r w:rsidRPr="005877A0">
              <w:rPr>
                <w:lang w:val="fr-CA"/>
              </w:rPr>
              <w:t>(par. 1 à 8)</w:t>
            </w:r>
          </w:p>
        </w:tc>
        <w:tc>
          <w:tcPr>
            <w:tcW w:w="5958" w:type="dxa"/>
          </w:tcPr>
          <w:p w:rsidR="003A74BB" w:rsidRPr="005877A0" w:rsidRDefault="003A74BB" w:rsidP="00380C2B">
            <w:pPr>
              <w:rPr>
                <w:lang w:val="fr-CA"/>
              </w:rPr>
            </w:pPr>
            <w:r w:rsidRPr="005877A0">
              <w:rPr>
                <w:lang w:val="fr-CA"/>
              </w:rPr>
              <w:t xml:space="preserve">Le juge Fish (avec l’accord de la juge en chef McLachlin et des juges </w:t>
            </w:r>
            <w:proofErr w:type="spellStart"/>
            <w:r w:rsidRPr="005877A0">
              <w:rPr>
                <w:lang w:val="fr-CA"/>
              </w:rPr>
              <w:t>LeBel</w:t>
            </w:r>
            <w:proofErr w:type="spellEnd"/>
            <w:r w:rsidRPr="005877A0">
              <w:rPr>
                <w:lang w:val="fr-CA"/>
              </w:rPr>
              <w:t xml:space="preserve">, Abella, Cromwell, </w:t>
            </w:r>
            <w:proofErr w:type="spellStart"/>
            <w:r w:rsidRPr="005877A0">
              <w:rPr>
                <w:lang w:val="fr-CA"/>
              </w:rPr>
              <w:t>Karakatsanis</w:t>
            </w:r>
            <w:proofErr w:type="spellEnd"/>
            <w:r w:rsidRPr="005877A0">
              <w:rPr>
                <w:lang w:val="fr-CA"/>
              </w:rPr>
              <w:t xml:space="preserve"> et Wagner)</w:t>
            </w:r>
          </w:p>
        </w:tc>
      </w:tr>
    </w:tbl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3A74BB" w:rsidP="003A74BB">
      <w:pPr>
        <w:rPr>
          <w:rFonts w:eastAsiaTheme="minorHAnsi" w:cstheme="minorBidi"/>
          <w:szCs w:val="24"/>
          <w:lang w:val="fr-CA" w:eastAsia="en-US"/>
        </w:rPr>
      </w:pPr>
    </w:p>
    <w:p w:rsidR="003A74BB" w:rsidRPr="005877A0" w:rsidRDefault="00907EEC" w:rsidP="003A74BB">
      <w:pPr>
        <w:rPr>
          <w:rFonts w:eastAsiaTheme="minorHAnsi" w:cstheme="minorBidi"/>
          <w:szCs w:val="24"/>
          <w:lang w:val="fr-CA" w:eastAsia="en-US"/>
        </w:rPr>
      </w:pPr>
      <w:r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3A74BB" w:rsidRPr="005E1501" w:rsidRDefault="003A74BB" w:rsidP="003A74BB">
      <w:pPr>
        <w:rPr>
          <w:smallCaps/>
          <w:szCs w:val="24"/>
          <w:lang w:val="fr-CA"/>
        </w:rPr>
      </w:pPr>
      <w:r w:rsidRPr="005E1501">
        <w:rPr>
          <w:smallCaps/>
          <w:szCs w:val="24"/>
          <w:lang w:val="fr-CA"/>
        </w:rPr>
        <w:br w:type="page"/>
      </w:r>
    </w:p>
    <w:p w:rsidR="004D7D95" w:rsidRPr="003A74BB" w:rsidRDefault="001075B5" w:rsidP="00887D1A">
      <w:pPr>
        <w:spacing w:after="720"/>
        <w:jc w:val="both"/>
        <w:rPr>
          <w:szCs w:val="24"/>
          <w:lang w:val="en-US"/>
        </w:rPr>
      </w:pPr>
      <w:r w:rsidRPr="003A74BB">
        <w:rPr>
          <w:szCs w:val="24"/>
          <w:lang w:val="en-US"/>
        </w:rPr>
        <w:lastRenderedPageBreak/>
        <w:t xml:space="preserve">R. </w:t>
      </w:r>
      <w:r w:rsidRPr="003A74BB">
        <w:rPr>
          <w:i/>
          <w:szCs w:val="24"/>
          <w:lang w:val="en-US"/>
        </w:rPr>
        <w:t>c.</w:t>
      </w:r>
      <w:r w:rsidRPr="003A74BB">
        <w:rPr>
          <w:szCs w:val="24"/>
          <w:lang w:val="en-US"/>
        </w:rPr>
        <w:t xml:space="preserve"> Manning, 2013 CSC 1, [2013] 1 R.C.S. 3</w:t>
      </w:r>
    </w:p>
    <w:p w:rsidR="00B87E8F" w:rsidRPr="00573D8A" w:rsidRDefault="002A2F73" w:rsidP="00887D1A">
      <w:pPr>
        <w:pStyle w:val="SCCLsocLastPartyInRole"/>
        <w:rPr>
          <w:szCs w:val="24"/>
          <w:lang w:val="fr-CA"/>
        </w:rPr>
      </w:pPr>
      <w:r w:rsidRPr="00573D8A">
        <w:rPr>
          <w:szCs w:val="24"/>
          <w:lang w:val="fr-CA"/>
        </w:rPr>
        <w:t>Sa Majesté la Reine</w:t>
      </w:r>
      <w:r w:rsidRPr="00573D8A">
        <w:rPr>
          <w:rStyle w:val="SCCLsocPartyRole"/>
          <w:szCs w:val="24"/>
          <w:lang w:val="fr-CA"/>
        </w:rPr>
        <w:tab/>
        <w:t>Appelante</w:t>
      </w:r>
    </w:p>
    <w:p w:rsidR="00B87E8F" w:rsidRPr="00573D8A" w:rsidRDefault="002A2F73" w:rsidP="00887D1A">
      <w:pPr>
        <w:pStyle w:val="SCCLsocVersus"/>
        <w:rPr>
          <w:szCs w:val="24"/>
          <w:lang w:val="fr-CA"/>
        </w:rPr>
      </w:pPr>
      <w:proofErr w:type="gramStart"/>
      <w:r w:rsidRPr="00573D8A">
        <w:rPr>
          <w:szCs w:val="24"/>
          <w:lang w:val="fr-CA"/>
        </w:rPr>
        <w:t>c</w:t>
      </w:r>
      <w:proofErr w:type="gramEnd"/>
      <w:r w:rsidRPr="00573D8A">
        <w:rPr>
          <w:szCs w:val="24"/>
          <w:lang w:val="fr-CA"/>
        </w:rPr>
        <w:t>.</w:t>
      </w:r>
    </w:p>
    <w:p w:rsidR="00B87E8F" w:rsidRPr="00573D8A" w:rsidRDefault="002A2F73" w:rsidP="00887D1A">
      <w:pPr>
        <w:pStyle w:val="SCCLsocLastPartyInRole"/>
        <w:rPr>
          <w:szCs w:val="24"/>
          <w:lang w:val="fr-CA"/>
        </w:rPr>
      </w:pPr>
      <w:proofErr w:type="spellStart"/>
      <w:r w:rsidRPr="00573D8A">
        <w:rPr>
          <w:szCs w:val="24"/>
          <w:lang w:val="fr-CA"/>
        </w:rPr>
        <w:t>Alphide</w:t>
      </w:r>
      <w:proofErr w:type="spellEnd"/>
      <w:r w:rsidRPr="00573D8A">
        <w:rPr>
          <w:szCs w:val="24"/>
          <w:lang w:val="fr-CA"/>
        </w:rPr>
        <w:t xml:space="preserve"> Manning</w:t>
      </w:r>
      <w:r w:rsidRPr="00573D8A">
        <w:rPr>
          <w:rStyle w:val="SCCLsocPartyRole"/>
          <w:szCs w:val="24"/>
          <w:lang w:val="fr-CA"/>
        </w:rPr>
        <w:tab/>
        <w:t>Intimé</w:t>
      </w:r>
    </w:p>
    <w:p w:rsidR="00B87E8F" w:rsidRPr="00573D8A" w:rsidRDefault="002A2F73" w:rsidP="00887D1A">
      <w:pPr>
        <w:pStyle w:val="SCCLsocOtherPartySeparator"/>
        <w:rPr>
          <w:szCs w:val="24"/>
          <w:lang w:val="fr-CA"/>
        </w:rPr>
      </w:pPr>
      <w:proofErr w:type="gramStart"/>
      <w:r w:rsidRPr="00573D8A">
        <w:rPr>
          <w:szCs w:val="24"/>
          <w:lang w:val="fr-CA"/>
        </w:rPr>
        <w:t>et</w:t>
      </w:r>
      <w:proofErr w:type="gramEnd"/>
    </w:p>
    <w:p w:rsidR="00B87E8F" w:rsidRPr="00573D8A" w:rsidRDefault="002A2F73">
      <w:pPr>
        <w:pStyle w:val="SCCLsocParty"/>
        <w:rPr>
          <w:szCs w:val="24"/>
          <w:lang w:val="fr-CA"/>
        </w:rPr>
      </w:pPr>
      <w:r w:rsidRPr="00573D8A">
        <w:rPr>
          <w:szCs w:val="24"/>
          <w:lang w:val="fr-CA"/>
        </w:rPr>
        <w:t>Directeur des poursuites pénales du Canada,</w:t>
      </w:r>
    </w:p>
    <w:p w:rsidR="00B87E8F" w:rsidRPr="00573D8A" w:rsidRDefault="00A1727A">
      <w:pPr>
        <w:pStyle w:val="SCCLsocParty"/>
        <w:rPr>
          <w:szCs w:val="24"/>
          <w:lang w:val="fr-CA"/>
        </w:rPr>
      </w:pPr>
      <w:proofErr w:type="gramStart"/>
      <w:r>
        <w:rPr>
          <w:szCs w:val="24"/>
          <w:lang w:val="fr-CA"/>
        </w:rPr>
        <w:t>p</w:t>
      </w:r>
      <w:r w:rsidR="00352C55" w:rsidRPr="00573D8A">
        <w:rPr>
          <w:szCs w:val="24"/>
          <w:lang w:val="fr-CA"/>
        </w:rPr>
        <w:t>rocureur</w:t>
      </w:r>
      <w:proofErr w:type="gramEnd"/>
      <w:r w:rsidR="00352C55" w:rsidRPr="00573D8A">
        <w:rPr>
          <w:szCs w:val="24"/>
          <w:lang w:val="fr-CA"/>
        </w:rPr>
        <w:t xml:space="preserve"> général de l’</w:t>
      </w:r>
      <w:r w:rsidR="002A2F73" w:rsidRPr="00573D8A">
        <w:rPr>
          <w:szCs w:val="24"/>
          <w:lang w:val="fr-CA"/>
        </w:rPr>
        <w:t>Ontario,</w:t>
      </w:r>
    </w:p>
    <w:p w:rsidR="00B87E8F" w:rsidRPr="00573D8A" w:rsidRDefault="002A2F73">
      <w:pPr>
        <w:pStyle w:val="SCCLsocParty"/>
        <w:rPr>
          <w:szCs w:val="24"/>
          <w:lang w:val="fr-CA"/>
        </w:rPr>
      </w:pPr>
      <w:r w:rsidRPr="00573D8A">
        <w:rPr>
          <w:szCs w:val="24"/>
          <w:lang w:val="fr-CA"/>
        </w:rPr>
        <w:t>Association canadienne des libertés civiles</w:t>
      </w:r>
      <w:r w:rsidR="00796070" w:rsidRPr="00573D8A">
        <w:rPr>
          <w:szCs w:val="24"/>
          <w:lang w:val="fr-CA"/>
        </w:rPr>
        <w:t xml:space="preserve"> et</w:t>
      </w:r>
    </w:p>
    <w:p w:rsidR="00B87E8F" w:rsidRPr="00573D8A" w:rsidRDefault="002A2F73">
      <w:pPr>
        <w:pStyle w:val="SCCLsocLastPartyInRole"/>
        <w:rPr>
          <w:szCs w:val="24"/>
          <w:lang w:val="fr-CA"/>
        </w:rPr>
      </w:pPr>
      <w:r w:rsidRPr="00573D8A">
        <w:rPr>
          <w:szCs w:val="24"/>
          <w:lang w:val="fr-CA"/>
        </w:rPr>
        <w:t xml:space="preserve">Association des libertés civiles de la </w:t>
      </w:r>
      <w:proofErr w:type="spellStart"/>
      <w:r w:rsidRPr="00573D8A">
        <w:rPr>
          <w:szCs w:val="24"/>
          <w:lang w:val="fr-CA"/>
        </w:rPr>
        <w:t>Colombie</w:t>
      </w:r>
      <w:r w:rsidR="00887D1A" w:rsidRPr="00573D8A">
        <w:rPr>
          <w:szCs w:val="24"/>
          <w:lang w:val="fr-CA"/>
        </w:rPr>
        <w:noBreakHyphen/>
      </w:r>
      <w:r w:rsidRPr="00573D8A">
        <w:rPr>
          <w:szCs w:val="24"/>
          <w:lang w:val="fr-CA"/>
        </w:rPr>
        <w:t>Britannique</w:t>
      </w:r>
      <w:proofErr w:type="spellEnd"/>
      <w:r w:rsidR="00352C55" w:rsidRPr="00573D8A">
        <w:rPr>
          <w:rStyle w:val="SCCLsocPartyRole"/>
          <w:szCs w:val="24"/>
          <w:lang w:val="fr-CA"/>
        </w:rPr>
        <w:tab/>
        <w:t>Intervenant</w:t>
      </w:r>
      <w:r w:rsidRPr="00573D8A">
        <w:rPr>
          <w:rStyle w:val="SCCLsocPartyRole"/>
          <w:szCs w:val="24"/>
          <w:lang w:val="fr-CA"/>
        </w:rPr>
        <w:t>s</w:t>
      </w:r>
    </w:p>
    <w:p w:rsidR="004D7D95" w:rsidRPr="00573D8A" w:rsidRDefault="004D7D95" w:rsidP="00887D1A">
      <w:pPr>
        <w:spacing w:after="720"/>
        <w:jc w:val="both"/>
        <w:rPr>
          <w:b/>
          <w:szCs w:val="24"/>
          <w:lang w:val="en-US"/>
        </w:rPr>
      </w:pPr>
      <w:proofErr w:type="spellStart"/>
      <w:proofErr w:type="gramStart"/>
      <w:r w:rsidRPr="00573D8A">
        <w:rPr>
          <w:b/>
          <w:szCs w:val="24"/>
          <w:lang w:val="en-US"/>
        </w:rPr>
        <w:t>Répertorié</w:t>
      </w:r>
      <w:proofErr w:type="spellEnd"/>
      <w:r w:rsidR="00887D1A" w:rsidRPr="00573D8A">
        <w:rPr>
          <w:b/>
          <w:szCs w:val="24"/>
          <w:lang w:val="en-US"/>
        </w:rPr>
        <w:t> :</w:t>
      </w:r>
      <w:proofErr w:type="gramEnd"/>
      <w:r w:rsidRPr="00573D8A">
        <w:rPr>
          <w:b/>
          <w:szCs w:val="24"/>
          <w:lang w:val="en-US"/>
        </w:rPr>
        <w:t> </w:t>
      </w:r>
      <w:r w:rsidRPr="00573D8A">
        <w:rPr>
          <w:b/>
          <w:szCs w:val="24"/>
        </w:rPr>
        <w:t>R.</w:t>
      </w:r>
      <w:r w:rsidRPr="00573D8A">
        <w:rPr>
          <w:b/>
          <w:szCs w:val="24"/>
          <w:lang w:val="en-US"/>
        </w:rPr>
        <w:t xml:space="preserve"> </w:t>
      </w:r>
      <w:r w:rsidRPr="00573D8A">
        <w:rPr>
          <w:b/>
          <w:i/>
          <w:szCs w:val="24"/>
          <w:lang w:val="en-US"/>
        </w:rPr>
        <w:t>c.</w:t>
      </w:r>
      <w:r w:rsidRPr="00573D8A">
        <w:rPr>
          <w:b/>
          <w:szCs w:val="24"/>
          <w:lang w:val="en-US"/>
        </w:rPr>
        <w:t xml:space="preserve"> </w:t>
      </w:r>
      <w:r w:rsidRPr="00573D8A">
        <w:rPr>
          <w:b/>
          <w:szCs w:val="24"/>
        </w:rPr>
        <w:t>Manning</w:t>
      </w:r>
    </w:p>
    <w:p w:rsidR="004D7D95" w:rsidRPr="00573D8A" w:rsidRDefault="00F62639" w:rsidP="00887D1A">
      <w:pPr>
        <w:pStyle w:val="SCCSystemYear"/>
        <w:spacing w:after="720"/>
        <w:jc w:val="both"/>
        <w:rPr>
          <w:szCs w:val="24"/>
          <w:lang w:val="en-US"/>
        </w:rPr>
      </w:pPr>
      <w:r w:rsidRPr="00573D8A">
        <w:rPr>
          <w:szCs w:val="24"/>
        </w:rPr>
        <w:t>2013</w:t>
      </w:r>
      <w:r w:rsidR="00F16D56" w:rsidRPr="00573D8A">
        <w:rPr>
          <w:szCs w:val="24"/>
          <w:lang w:val="en-US"/>
        </w:rPr>
        <w:t xml:space="preserve"> CSC 1</w:t>
      </w:r>
    </w:p>
    <w:p w:rsidR="004D7D95" w:rsidRPr="00573D8A" w:rsidRDefault="004D7D95" w:rsidP="00887D1A">
      <w:pPr>
        <w:spacing w:after="720"/>
        <w:jc w:val="both"/>
        <w:rPr>
          <w:szCs w:val="24"/>
          <w:lang w:val="fr-CA"/>
        </w:rPr>
      </w:pPr>
      <w:r w:rsidRPr="00573D8A">
        <w:rPr>
          <w:szCs w:val="24"/>
          <w:lang w:val="fr-CA"/>
        </w:rPr>
        <w:t>N</w:t>
      </w:r>
      <w:r w:rsidRPr="00573D8A">
        <w:rPr>
          <w:szCs w:val="24"/>
          <w:vertAlign w:val="superscript"/>
          <w:lang w:val="fr-CA"/>
        </w:rPr>
        <w:t>o</w:t>
      </w:r>
      <w:r w:rsidRPr="00573D8A">
        <w:rPr>
          <w:szCs w:val="24"/>
          <w:lang w:val="fr-CA"/>
        </w:rPr>
        <w:t xml:space="preserve"> du greffe</w:t>
      </w:r>
      <w:r w:rsidR="00887D1A" w:rsidRPr="00573D8A">
        <w:rPr>
          <w:szCs w:val="24"/>
          <w:lang w:val="fr-CA"/>
        </w:rPr>
        <w:t> :</w:t>
      </w:r>
      <w:r w:rsidRPr="00573D8A">
        <w:rPr>
          <w:szCs w:val="24"/>
          <w:lang w:val="fr-CA"/>
        </w:rPr>
        <w:t> 34358.</w:t>
      </w:r>
    </w:p>
    <w:p w:rsidR="004D7D95" w:rsidRPr="00573D8A" w:rsidRDefault="00F62639" w:rsidP="00887D1A">
      <w:pPr>
        <w:spacing w:after="720"/>
        <w:jc w:val="both"/>
        <w:rPr>
          <w:szCs w:val="24"/>
          <w:lang w:val="fr-CA"/>
        </w:rPr>
      </w:pPr>
      <w:r w:rsidRPr="00573D8A">
        <w:rPr>
          <w:szCs w:val="24"/>
          <w:lang w:val="fr-CA"/>
        </w:rPr>
        <w:t>2012</w:t>
      </w:r>
      <w:r w:rsidR="00887D1A" w:rsidRPr="00573D8A">
        <w:rPr>
          <w:szCs w:val="24"/>
          <w:lang w:val="fr-CA"/>
        </w:rPr>
        <w:t> :</w:t>
      </w:r>
      <w:r w:rsidR="00352C55" w:rsidRPr="00573D8A">
        <w:rPr>
          <w:szCs w:val="24"/>
          <w:lang w:val="fr-CA"/>
        </w:rPr>
        <w:t> </w:t>
      </w:r>
      <w:r w:rsidR="00887D1A" w:rsidRPr="00573D8A">
        <w:rPr>
          <w:szCs w:val="24"/>
          <w:lang w:val="fr-CA"/>
        </w:rPr>
        <w:t>5 </w:t>
      </w:r>
      <w:r w:rsidRPr="00573D8A">
        <w:rPr>
          <w:szCs w:val="24"/>
          <w:lang w:val="fr-CA"/>
        </w:rPr>
        <w:t>décembre</w:t>
      </w:r>
      <w:r w:rsidR="004D7D95" w:rsidRPr="00573D8A">
        <w:rPr>
          <w:szCs w:val="24"/>
          <w:lang w:val="fr-CA"/>
        </w:rPr>
        <w:t xml:space="preserve">; </w:t>
      </w:r>
      <w:r w:rsidR="00352C55" w:rsidRPr="00573D8A">
        <w:rPr>
          <w:szCs w:val="24"/>
          <w:lang w:val="fr-CA"/>
        </w:rPr>
        <w:t>2013</w:t>
      </w:r>
      <w:r w:rsidR="00887D1A" w:rsidRPr="00573D8A">
        <w:rPr>
          <w:szCs w:val="24"/>
          <w:lang w:val="fr-CA"/>
        </w:rPr>
        <w:t> :</w:t>
      </w:r>
      <w:r w:rsidR="00352C55" w:rsidRPr="00573D8A">
        <w:rPr>
          <w:szCs w:val="24"/>
          <w:lang w:val="fr-CA"/>
        </w:rPr>
        <w:t> </w:t>
      </w:r>
      <w:r w:rsidR="00F16D56" w:rsidRPr="00573D8A">
        <w:rPr>
          <w:szCs w:val="24"/>
          <w:lang w:val="fr-CA"/>
        </w:rPr>
        <w:t>17 janvier</w:t>
      </w:r>
      <w:r w:rsidR="004D7D95" w:rsidRPr="00573D8A">
        <w:rPr>
          <w:szCs w:val="24"/>
          <w:lang w:val="fr-CA"/>
        </w:rPr>
        <w:t>.</w:t>
      </w:r>
    </w:p>
    <w:p w:rsidR="004D7D95" w:rsidRPr="00573D8A" w:rsidRDefault="004D7D95" w:rsidP="00887D1A">
      <w:pPr>
        <w:spacing w:after="720"/>
        <w:jc w:val="both"/>
        <w:rPr>
          <w:szCs w:val="24"/>
          <w:lang w:val="fr-CA"/>
        </w:rPr>
      </w:pPr>
      <w:r w:rsidRPr="00573D8A">
        <w:rPr>
          <w:szCs w:val="24"/>
          <w:lang w:val="fr-CA"/>
        </w:rPr>
        <w:t>Présents</w:t>
      </w:r>
      <w:r w:rsidR="00887D1A" w:rsidRPr="00573D8A">
        <w:rPr>
          <w:szCs w:val="24"/>
          <w:lang w:val="fr-CA"/>
        </w:rPr>
        <w:t> :</w:t>
      </w:r>
      <w:r w:rsidRPr="00573D8A">
        <w:rPr>
          <w:szCs w:val="24"/>
          <w:lang w:val="fr-CA"/>
        </w:rPr>
        <w:t xml:space="preserve"> La juge en chef McLachlin et les juges </w:t>
      </w:r>
      <w:proofErr w:type="spellStart"/>
      <w:r w:rsidRPr="00573D8A">
        <w:rPr>
          <w:szCs w:val="24"/>
          <w:lang w:val="fr-CA"/>
        </w:rPr>
        <w:t>LeBel</w:t>
      </w:r>
      <w:proofErr w:type="spellEnd"/>
      <w:r w:rsidRPr="00573D8A">
        <w:rPr>
          <w:szCs w:val="24"/>
          <w:lang w:val="fr-CA"/>
        </w:rPr>
        <w:t xml:space="preserve">, Fish, Abella, Cromwell, </w:t>
      </w:r>
      <w:proofErr w:type="spellStart"/>
      <w:r w:rsidRPr="00573D8A">
        <w:rPr>
          <w:szCs w:val="24"/>
          <w:lang w:val="fr-CA"/>
        </w:rPr>
        <w:t>Karakatsanis</w:t>
      </w:r>
      <w:proofErr w:type="spellEnd"/>
      <w:r w:rsidRPr="00573D8A">
        <w:rPr>
          <w:szCs w:val="24"/>
          <w:lang w:val="fr-CA"/>
        </w:rPr>
        <w:t xml:space="preserve"> et Wagner.</w:t>
      </w:r>
    </w:p>
    <w:p w:rsidR="004D7D95" w:rsidRPr="00573D8A" w:rsidRDefault="004D7D95" w:rsidP="00887D1A">
      <w:pPr>
        <w:spacing w:after="720"/>
        <w:jc w:val="both"/>
        <w:rPr>
          <w:smallCaps/>
          <w:szCs w:val="24"/>
          <w:lang w:val="fr-CA"/>
        </w:rPr>
      </w:pPr>
      <w:r w:rsidRPr="00573D8A">
        <w:rPr>
          <w:smallCaps/>
          <w:szCs w:val="24"/>
          <w:lang w:val="fr-CA"/>
        </w:rPr>
        <w:t xml:space="preserve">en appel de la cour d’appel du </w:t>
      </w:r>
      <w:proofErr w:type="spellStart"/>
      <w:r w:rsidRPr="00573D8A">
        <w:rPr>
          <w:smallCaps/>
          <w:szCs w:val="24"/>
          <w:lang w:val="fr-CA"/>
        </w:rPr>
        <w:t>québec</w:t>
      </w:r>
      <w:proofErr w:type="spellEnd"/>
    </w:p>
    <w:p w:rsidR="00474BD0" w:rsidRPr="00573D8A" w:rsidRDefault="00474BD0" w:rsidP="00887D1A">
      <w:pPr>
        <w:pStyle w:val="SCCNormalDoubleSpacing"/>
        <w:spacing w:after="480"/>
        <w:rPr>
          <w:i/>
          <w:szCs w:val="24"/>
          <w:lang w:val="fr-CA"/>
        </w:rPr>
      </w:pPr>
      <w:r w:rsidRPr="00573D8A">
        <w:rPr>
          <w:szCs w:val="24"/>
          <w:lang w:val="fr-CA"/>
        </w:rPr>
        <w:lastRenderedPageBreak/>
        <w:tab/>
      </w:r>
      <w:r w:rsidRPr="00573D8A">
        <w:rPr>
          <w:i/>
          <w:szCs w:val="24"/>
          <w:lang w:val="fr-CA"/>
        </w:rPr>
        <w:t xml:space="preserve">Droit criminel </w:t>
      </w:r>
      <w:r w:rsidR="007016C2" w:rsidRPr="00573D8A">
        <w:rPr>
          <w:i/>
          <w:szCs w:val="24"/>
          <w:lang w:val="fr-CA"/>
        </w:rPr>
        <w:t>—</w:t>
      </w:r>
      <w:r w:rsidR="00CB3903" w:rsidRPr="00573D8A">
        <w:rPr>
          <w:i/>
          <w:szCs w:val="24"/>
          <w:lang w:val="fr-CA"/>
        </w:rPr>
        <w:t xml:space="preserve"> Ordonnances de confiscation </w:t>
      </w:r>
      <w:r w:rsidR="007016C2" w:rsidRPr="00573D8A">
        <w:rPr>
          <w:i/>
          <w:szCs w:val="24"/>
          <w:lang w:val="fr-CA"/>
        </w:rPr>
        <w:t xml:space="preserve">— </w:t>
      </w:r>
      <w:r w:rsidR="00CB3903" w:rsidRPr="00573D8A">
        <w:rPr>
          <w:i/>
          <w:szCs w:val="24"/>
          <w:lang w:val="fr-CA"/>
        </w:rPr>
        <w:t xml:space="preserve">Plaidoyer de culpabilité présenté à l’égard d’une accusation de conduite avec les facultés affaiblies par l’alcool ou une drogue par un accusé ayant déjà été déclaré coupable </w:t>
      </w:r>
      <w:r w:rsidR="00B34D44" w:rsidRPr="00573D8A">
        <w:rPr>
          <w:i/>
          <w:szCs w:val="24"/>
          <w:lang w:val="fr-CA"/>
        </w:rPr>
        <w:t xml:space="preserve">de multiples </w:t>
      </w:r>
      <w:r w:rsidR="00CB3903" w:rsidRPr="00573D8A">
        <w:rPr>
          <w:i/>
          <w:szCs w:val="24"/>
          <w:lang w:val="fr-CA"/>
        </w:rPr>
        <w:t>infractions relatives à la conduite sous l’effet de l’alcool</w:t>
      </w:r>
      <w:r w:rsidR="00B34D44" w:rsidRPr="00573D8A">
        <w:rPr>
          <w:i/>
          <w:szCs w:val="24"/>
          <w:lang w:val="fr-CA"/>
        </w:rPr>
        <w:t xml:space="preserve"> et manquements à des ordonnances de probation et </w:t>
      </w:r>
      <w:r w:rsidR="000B5FDE" w:rsidRPr="00573D8A">
        <w:rPr>
          <w:i/>
          <w:szCs w:val="24"/>
          <w:lang w:val="fr-CA"/>
        </w:rPr>
        <w:t xml:space="preserve">à </w:t>
      </w:r>
      <w:r w:rsidR="00B34D44" w:rsidRPr="00573D8A">
        <w:rPr>
          <w:i/>
          <w:szCs w:val="24"/>
          <w:lang w:val="fr-CA"/>
        </w:rPr>
        <w:t>des engagements</w:t>
      </w:r>
      <w:r w:rsidR="00F7258C" w:rsidRPr="00573D8A">
        <w:rPr>
          <w:i/>
          <w:szCs w:val="24"/>
          <w:lang w:val="fr-CA"/>
        </w:rPr>
        <w:t xml:space="preserve"> </w:t>
      </w:r>
      <w:r w:rsidR="007016C2" w:rsidRPr="00573D8A">
        <w:rPr>
          <w:i/>
          <w:szCs w:val="24"/>
          <w:lang w:val="fr-CA"/>
        </w:rPr>
        <w:t xml:space="preserve">— </w:t>
      </w:r>
      <w:r w:rsidR="00F7258C" w:rsidRPr="00573D8A">
        <w:rPr>
          <w:i/>
          <w:szCs w:val="24"/>
          <w:lang w:val="fr-CA"/>
        </w:rPr>
        <w:t xml:space="preserve">Demande </w:t>
      </w:r>
      <w:r w:rsidR="00526543" w:rsidRPr="00573D8A">
        <w:rPr>
          <w:i/>
          <w:szCs w:val="24"/>
          <w:lang w:val="fr-CA"/>
        </w:rPr>
        <w:t xml:space="preserve">de confiscation d’un véhicule automobile </w:t>
      </w:r>
      <w:r w:rsidR="00F7258C" w:rsidRPr="00573D8A">
        <w:rPr>
          <w:i/>
          <w:szCs w:val="24"/>
          <w:lang w:val="fr-CA"/>
        </w:rPr>
        <w:t xml:space="preserve">présentée par le ministère public </w:t>
      </w:r>
      <w:r w:rsidR="007016C2" w:rsidRPr="00573D8A">
        <w:rPr>
          <w:i/>
          <w:szCs w:val="24"/>
          <w:lang w:val="fr-CA"/>
        </w:rPr>
        <w:t xml:space="preserve">— </w:t>
      </w:r>
      <w:r w:rsidR="00AC0B98" w:rsidRPr="00573D8A">
        <w:rPr>
          <w:i/>
          <w:szCs w:val="24"/>
          <w:lang w:val="fr-CA"/>
        </w:rPr>
        <w:t xml:space="preserve">Le juge du procès </w:t>
      </w:r>
      <w:proofErr w:type="spellStart"/>
      <w:r w:rsidR="00AC0B98" w:rsidRPr="00573D8A">
        <w:rPr>
          <w:i/>
          <w:szCs w:val="24"/>
          <w:lang w:val="fr-CA"/>
        </w:rPr>
        <w:t>a</w:t>
      </w:r>
      <w:r w:rsidR="00887D1A" w:rsidRPr="00573D8A">
        <w:rPr>
          <w:i/>
          <w:szCs w:val="24"/>
          <w:lang w:val="fr-CA"/>
        </w:rPr>
        <w:noBreakHyphen/>
      </w:r>
      <w:r w:rsidR="00AC0B98" w:rsidRPr="00573D8A">
        <w:rPr>
          <w:i/>
          <w:szCs w:val="24"/>
          <w:lang w:val="fr-CA"/>
        </w:rPr>
        <w:t>t</w:t>
      </w:r>
      <w:r w:rsidR="00887D1A" w:rsidRPr="00573D8A">
        <w:rPr>
          <w:i/>
          <w:szCs w:val="24"/>
          <w:lang w:val="fr-CA"/>
        </w:rPr>
        <w:noBreakHyphen/>
      </w:r>
      <w:r w:rsidR="00AC0B98" w:rsidRPr="00573D8A">
        <w:rPr>
          <w:i/>
          <w:szCs w:val="24"/>
          <w:lang w:val="fr-CA"/>
        </w:rPr>
        <w:t>il</w:t>
      </w:r>
      <w:proofErr w:type="spellEnd"/>
      <w:r w:rsidR="00AC0B98" w:rsidRPr="00573D8A">
        <w:rPr>
          <w:i/>
          <w:szCs w:val="24"/>
          <w:lang w:val="fr-CA"/>
        </w:rPr>
        <w:t xml:space="preserve"> fait erreur en refusant de rend</w:t>
      </w:r>
      <w:r w:rsidR="00F7258C" w:rsidRPr="00573D8A">
        <w:rPr>
          <w:i/>
          <w:szCs w:val="24"/>
          <w:lang w:val="fr-CA"/>
        </w:rPr>
        <w:t>re</w:t>
      </w:r>
      <w:r w:rsidR="00AC0B98" w:rsidRPr="00573D8A">
        <w:rPr>
          <w:i/>
          <w:szCs w:val="24"/>
          <w:lang w:val="fr-CA"/>
        </w:rPr>
        <w:t xml:space="preserve"> l’ordonnance d</w:t>
      </w:r>
      <w:r w:rsidR="00F7258C" w:rsidRPr="00573D8A">
        <w:rPr>
          <w:i/>
          <w:szCs w:val="24"/>
          <w:lang w:val="fr-CA"/>
        </w:rPr>
        <w:t>e</w:t>
      </w:r>
      <w:r w:rsidR="00AC0B98" w:rsidRPr="00573D8A">
        <w:rPr>
          <w:i/>
          <w:szCs w:val="24"/>
          <w:lang w:val="fr-CA"/>
        </w:rPr>
        <w:t>mandée?</w:t>
      </w:r>
    </w:p>
    <w:p w:rsidR="00474BD0" w:rsidRPr="00573D8A" w:rsidRDefault="00887D1A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i/>
          <w:szCs w:val="24"/>
          <w:lang w:val="fr-CA"/>
        </w:rPr>
        <w:tab/>
      </w:r>
      <w:r w:rsidR="00BD2DB9" w:rsidRPr="00573D8A">
        <w:rPr>
          <w:i/>
          <w:szCs w:val="24"/>
          <w:lang w:val="fr-CA"/>
        </w:rPr>
        <w:t>Arrêt</w:t>
      </w:r>
      <w:r w:rsidRPr="00573D8A">
        <w:rPr>
          <w:i/>
          <w:szCs w:val="24"/>
          <w:lang w:val="fr-CA"/>
        </w:rPr>
        <w:t> </w:t>
      </w:r>
      <w:r w:rsidRPr="00573D8A">
        <w:rPr>
          <w:szCs w:val="24"/>
          <w:lang w:val="fr-CA"/>
        </w:rPr>
        <w:t>:</w:t>
      </w:r>
      <w:r w:rsidR="00474BD0" w:rsidRPr="00573D8A">
        <w:rPr>
          <w:szCs w:val="24"/>
          <w:lang w:val="fr-CA"/>
        </w:rPr>
        <w:t xml:space="preserve"> </w:t>
      </w:r>
      <w:r w:rsidR="00BD2DB9" w:rsidRPr="00573D8A">
        <w:rPr>
          <w:szCs w:val="24"/>
          <w:lang w:val="fr-CA"/>
        </w:rPr>
        <w:t xml:space="preserve">Le pourvoi est accueilli et l’ordonnance de confiscation est </w:t>
      </w:r>
      <w:r w:rsidR="00F355E9">
        <w:rPr>
          <w:szCs w:val="24"/>
          <w:lang w:val="fr-CA"/>
        </w:rPr>
        <w:t>rendu</w:t>
      </w:r>
      <w:r w:rsidR="00BD2DB9" w:rsidRPr="00573D8A">
        <w:rPr>
          <w:szCs w:val="24"/>
          <w:lang w:val="fr-CA"/>
        </w:rPr>
        <w:t>e</w:t>
      </w:r>
      <w:r w:rsidR="00474BD0" w:rsidRPr="00573D8A">
        <w:rPr>
          <w:szCs w:val="24"/>
          <w:lang w:val="fr-CA"/>
        </w:rPr>
        <w:t>.</w:t>
      </w:r>
    </w:p>
    <w:p w:rsidR="004D7D95" w:rsidRPr="00573D8A" w:rsidRDefault="007016C2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</w:r>
      <w:r w:rsidR="0025251E" w:rsidRPr="00573D8A">
        <w:rPr>
          <w:szCs w:val="24"/>
          <w:lang w:val="fr-CA"/>
        </w:rPr>
        <w:t xml:space="preserve">Dans son application du par. 490.41(3) du </w:t>
      </w:r>
      <w:r w:rsidR="0025251E" w:rsidRPr="00573D8A">
        <w:rPr>
          <w:i/>
          <w:szCs w:val="24"/>
          <w:lang w:val="fr-CA"/>
        </w:rPr>
        <w:t>Code criminel</w:t>
      </w:r>
      <w:r w:rsidR="0025251E" w:rsidRPr="00573D8A">
        <w:rPr>
          <w:szCs w:val="24"/>
          <w:lang w:val="fr-CA"/>
        </w:rPr>
        <w:t xml:space="preserve">, le juge du procès a conclu qu’il était contraint de tenir compte des objectifs et des principes de détermination de la peine énoncés </w:t>
      </w:r>
      <w:proofErr w:type="gramStart"/>
      <w:r w:rsidR="0025251E" w:rsidRPr="00573D8A">
        <w:rPr>
          <w:szCs w:val="24"/>
          <w:lang w:val="fr-CA"/>
        </w:rPr>
        <w:t>aux art</w:t>
      </w:r>
      <w:proofErr w:type="gramEnd"/>
      <w:r w:rsidR="0025251E" w:rsidRPr="00573D8A">
        <w:rPr>
          <w:szCs w:val="24"/>
          <w:lang w:val="fr-CA"/>
        </w:rPr>
        <w:t xml:space="preserve">. 718 et suivants du </w:t>
      </w:r>
      <w:r w:rsidR="0025251E" w:rsidRPr="00573D8A">
        <w:rPr>
          <w:i/>
          <w:szCs w:val="24"/>
          <w:lang w:val="fr-CA"/>
        </w:rPr>
        <w:t>Code</w:t>
      </w:r>
      <w:r w:rsidR="0025251E" w:rsidRPr="00573D8A">
        <w:rPr>
          <w:szCs w:val="24"/>
          <w:lang w:val="fr-CA"/>
        </w:rPr>
        <w:t>.</w:t>
      </w:r>
      <w:r w:rsidR="00E25EA3" w:rsidRPr="00573D8A">
        <w:rPr>
          <w:szCs w:val="24"/>
          <w:lang w:val="fr-CA"/>
        </w:rPr>
        <w:t xml:space="preserve"> </w:t>
      </w:r>
      <w:r w:rsidR="00FC7F1A">
        <w:rPr>
          <w:szCs w:val="24"/>
          <w:lang w:val="fr-CA"/>
        </w:rPr>
        <w:t xml:space="preserve"> </w:t>
      </w:r>
      <w:r w:rsidR="00E25EA3" w:rsidRPr="00573D8A">
        <w:rPr>
          <w:szCs w:val="24"/>
          <w:lang w:val="fr-CA"/>
        </w:rPr>
        <w:t xml:space="preserve">Cette erreur est fatale à sa conclusion. </w:t>
      </w:r>
      <w:r w:rsidR="00FC7F1A">
        <w:rPr>
          <w:szCs w:val="24"/>
          <w:lang w:val="fr-CA"/>
        </w:rPr>
        <w:t xml:space="preserve"> </w:t>
      </w:r>
      <w:r w:rsidR="00E25EA3" w:rsidRPr="00573D8A">
        <w:rPr>
          <w:szCs w:val="24"/>
          <w:lang w:val="fr-CA"/>
        </w:rPr>
        <w:t>L’intimé n’a pas été en mesure de convaincre la Cour que l</w:t>
      </w:r>
      <w:r w:rsidR="00BD2DB9" w:rsidRPr="00573D8A">
        <w:rPr>
          <w:szCs w:val="24"/>
          <w:lang w:val="fr-CA"/>
        </w:rPr>
        <w:t>’effet de l</w:t>
      </w:r>
      <w:r w:rsidR="00E25EA3" w:rsidRPr="00573D8A">
        <w:rPr>
          <w:szCs w:val="24"/>
          <w:lang w:val="fr-CA"/>
        </w:rPr>
        <w:t xml:space="preserve">a confiscation serait </w:t>
      </w:r>
      <w:r w:rsidR="00BD2DB9" w:rsidRPr="00573D8A">
        <w:rPr>
          <w:szCs w:val="24"/>
          <w:lang w:val="fr-CA"/>
        </w:rPr>
        <w:t xml:space="preserve">« démesuré » au sens </w:t>
      </w:r>
      <w:r w:rsidR="00E25EA3" w:rsidRPr="00573D8A">
        <w:rPr>
          <w:szCs w:val="24"/>
          <w:lang w:val="fr-CA"/>
        </w:rPr>
        <w:t>du par. 490.41(3)</w:t>
      </w:r>
      <w:r w:rsidR="00BD2DB9" w:rsidRPr="00573D8A">
        <w:rPr>
          <w:szCs w:val="24"/>
          <w:lang w:val="fr-CA"/>
        </w:rPr>
        <w:t>.  L</w:t>
      </w:r>
      <w:r w:rsidR="00E25EA3" w:rsidRPr="00573D8A">
        <w:rPr>
          <w:szCs w:val="24"/>
          <w:lang w:val="fr-CA"/>
        </w:rPr>
        <w:t xml:space="preserve">’ordonnance de confiscation demandée par le ministère public doit donc être </w:t>
      </w:r>
      <w:r w:rsidR="00F355E9">
        <w:rPr>
          <w:szCs w:val="24"/>
          <w:lang w:val="fr-CA"/>
        </w:rPr>
        <w:t>rendu</w:t>
      </w:r>
      <w:r w:rsidR="00F355E9" w:rsidRPr="00573D8A">
        <w:rPr>
          <w:szCs w:val="24"/>
          <w:lang w:val="fr-CA"/>
        </w:rPr>
        <w:t>e</w:t>
      </w:r>
      <w:r w:rsidR="00E25EA3" w:rsidRPr="00573D8A">
        <w:rPr>
          <w:szCs w:val="24"/>
          <w:lang w:val="fr-CA"/>
        </w:rPr>
        <w:t>.</w:t>
      </w:r>
    </w:p>
    <w:p w:rsidR="004D7D95" w:rsidRPr="00573D8A" w:rsidRDefault="004D7D95" w:rsidP="00887D1A">
      <w:pPr>
        <w:pStyle w:val="SCCNormalDoubleSpacing"/>
        <w:keepNext/>
        <w:spacing w:after="720" w:line="240" w:lineRule="auto"/>
        <w:rPr>
          <w:b/>
          <w:szCs w:val="24"/>
          <w:lang w:val="fr-CA"/>
        </w:rPr>
      </w:pPr>
      <w:r w:rsidRPr="00573D8A">
        <w:rPr>
          <w:b/>
          <w:szCs w:val="24"/>
          <w:lang w:val="fr-CA"/>
        </w:rPr>
        <w:t>Jurisprudence</w:t>
      </w:r>
    </w:p>
    <w:p w:rsidR="004D7D95" w:rsidRPr="00573D8A" w:rsidRDefault="004D7D95" w:rsidP="00887D1A">
      <w:pPr>
        <w:pStyle w:val="SCCNormalDoubleSpacing"/>
        <w:spacing w:after="480"/>
        <w:rPr>
          <w:b/>
          <w:szCs w:val="24"/>
          <w:lang w:val="fr-CA"/>
        </w:rPr>
      </w:pPr>
      <w:r w:rsidRPr="00573D8A">
        <w:rPr>
          <w:szCs w:val="24"/>
          <w:lang w:val="fr-CA"/>
        </w:rPr>
        <w:tab/>
      </w:r>
      <w:r w:rsidRPr="00573D8A">
        <w:rPr>
          <w:b/>
          <w:szCs w:val="24"/>
          <w:lang w:val="fr-CA"/>
        </w:rPr>
        <w:t>Arrêt mentionné</w:t>
      </w:r>
      <w:r w:rsidR="00887D1A" w:rsidRPr="00573D8A">
        <w:rPr>
          <w:b/>
          <w:szCs w:val="24"/>
          <w:lang w:val="fr-CA"/>
        </w:rPr>
        <w:t> :</w:t>
      </w:r>
      <w:r w:rsidRPr="00573D8A">
        <w:rPr>
          <w:szCs w:val="24"/>
          <w:lang w:val="fr-CA"/>
        </w:rPr>
        <w:t xml:space="preserve"> </w:t>
      </w:r>
      <w:r w:rsidR="00B63939" w:rsidRPr="00573D8A">
        <w:rPr>
          <w:i/>
          <w:szCs w:val="24"/>
          <w:lang w:val="fr-CA"/>
        </w:rPr>
        <w:t>R. c. Craig</w:t>
      </w:r>
      <w:r w:rsidR="00B63939" w:rsidRPr="00573D8A">
        <w:rPr>
          <w:szCs w:val="24"/>
          <w:lang w:val="fr-CA"/>
        </w:rPr>
        <w:t>, 2009 CSC 23, [2009] 1 R.C.S. 762</w:t>
      </w:r>
      <w:r w:rsidR="008248EF" w:rsidRPr="00573D8A">
        <w:rPr>
          <w:szCs w:val="24"/>
          <w:lang w:val="fr-CA"/>
        </w:rPr>
        <w:t>.</w:t>
      </w:r>
    </w:p>
    <w:p w:rsidR="004D7D95" w:rsidRPr="00573D8A" w:rsidRDefault="004D7D95" w:rsidP="00887D1A">
      <w:pPr>
        <w:pStyle w:val="SCCNormalDoubleSpacing"/>
        <w:keepNext/>
        <w:spacing w:after="720" w:line="240" w:lineRule="auto"/>
        <w:rPr>
          <w:b/>
          <w:szCs w:val="24"/>
          <w:lang w:val="fr-CA"/>
        </w:rPr>
      </w:pPr>
      <w:r w:rsidRPr="00573D8A">
        <w:rPr>
          <w:b/>
          <w:szCs w:val="24"/>
          <w:lang w:val="fr-CA"/>
        </w:rPr>
        <w:lastRenderedPageBreak/>
        <w:t>Lois et règlements cités</w:t>
      </w:r>
    </w:p>
    <w:p w:rsidR="004D7D95" w:rsidRPr="00573D8A" w:rsidRDefault="00B63939" w:rsidP="00887D1A">
      <w:pPr>
        <w:pStyle w:val="SCCNormalDoubleSpacing"/>
        <w:spacing w:after="720" w:line="240" w:lineRule="auto"/>
        <w:ind w:left="547" w:hanging="547"/>
        <w:rPr>
          <w:szCs w:val="24"/>
          <w:lang w:val="fr-CA"/>
        </w:rPr>
      </w:pPr>
      <w:r w:rsidRPr="00573D8A">
        <w:rPr>
          <w:i/>
          <w:szCs w:val="24"/>
          <w:lang w:val="fr-CA"/>
        </w:rPr>
        <w:t>Code criminel</w:t>
      </w:r>
      <w:r w:rsidRPr="00573D8A">
        <w:rPr>
          <w:szCs w:val="24"/>
          <w:lang w:val="fr-CA"/>
        </w:rPr>
        <w:t xml:space="preserve">, L.R.C. 1985, </w:t>
      </w:r>
      <w:r w:rsidR="00887D1A" w:rsidRPr="00573D8A">
        <w:rPr>
          <w:szCs w:val="24"/>
          <w:lang w:val="fr-CA"/>
        </w:rPr>
        <w:t>ch. </w:t>
      </w:r>
      <w:r w:rsidRPr="00573D8A">
        <w:rPr>
          <w:szCs w:val="24"/>
          <w:lang w:val="fr-CA"/>
        </w:rPr>
        <w:t>C</w:t>
      </w:r>
      <w:r w:rsidR="00887D1A" w:rsidRPr="00573D8A">
        <w:rPr>
          <w:szCs w:val="24"/>
          <w:lang w:val="fr-CA"/>
        </w:rPr>
        <w:noBreakHyphen/>
      </w:r>
      <w:r w:rsidRPr="00573D8A">
        <w:rPr>
          <w:szCs w:val="24"/>
          <w:lang w:val="fr-CA"/>
        </w:rPr>
        <w:t xml:space="preserve">46, </w:t>
      </w:r>
      <w:r w:rsidR="00887D1A" w:rsidRPr="00573D8A">
        <w:rPr>
          <w:szCs w:val="24"/>
          <w:lang w:val="fr-CA"/>
        </w:rPr>
        <w:t>art. </w:t>
      </w:r>
      <w:r w:rsidRPr="00573D8A">
        <w:rPr>
          <w:szCs w:val="24"/>
          <w:lang w:val="fr-CA"/>
        </w:rPr>
        <w:t>490.41(3).</w:t>
      </w:r>
    </w:p>
    <w:p w:rsidR="004D7D95" w:rsidRPr="00573D8A" w:rsidRDefault="00352C55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</w:r>
      <w:r w:rsidR="004D7D95" w:rsidRPr="00573D8A">
        <w:rPr>
          <w:szCs w:val="24"/>
          <w:lang w:val="fr-CA"/>
        </w:rPr>
        <w:t>POURVOI contre un arrêt de la Cour d’appel du Québec</w:t>
      </w:r>
      <w:r w:rsidR="00EA2134" w:rsidRPr="00573D8A">
        <w:rPr>
          <w:szCs w:val="24"/>
          <w:lang w:val="fr-CA"/>
        </w:rPr>
        <w:t xml:space="preserve"> (les juges Thibault, Pelletier et D</w:t>
      </w:r>
      <w:r w:rsidR="00594B0A">
        <w:rPr>
          <w:szCs w:val="24"/>
          <w:lang w:val="fr-CA"/>
        </w:rPr>
        <w:t>ufresne), 2011 QCCA 900</w:t>
      </w:r>
      <w:r w:rsidR="00EA2134" w:rsidRPr="00573D8A">
        <w:rPr>
          <w:szCs w:val="24"/>
          <w:lang w:val="fr-CA"/>
        </w:rPr>
        <w:t xml:space="preserve">, </w:t>
      </w:r>
      <w:r w:rsidR="005456D3" w:rsidRPr="00573D8A">
        <w:rPr>
          <w:szCs w:val="24"/>
          <w:lang w:val="fr-CA"/>
        </w:rPr>
        <w:t>SOQUIJ AZ</w:t>
      </w:r>
      <w:r w:rsidR="005456D3" w:rsidRPr="00573D8A">
        <w:rPr>
          <w:szCs w:val="24"/>
          <w:lang w:val="fr-CA"/>
        </w:rPr>
        <w:noBreakHyphen/>
        <w:t xml:space="preserve">50753167, </w:t>
      </w:r>
      <w:r w:rsidR="00EA2134" w:rsidRPr="00573D8A">
        <w:rPr>
          <w:szCs w:val="24"/>
          <w:lang w:val="fr-CA"/>
        </w:rPr>
        <w:t>[2011] J.Q. n</w:t>
      </w:r>
      <w:r w:rsidR="00EA2134" w:rsidRPr="00573D8A">
        <w:rPr>
          <w:szCs w:val="24"/>
          <w:vertAlign w:val="superscript"/>
          <w:lang w:val="fr-CA"/>
        </w:rPr>
        <w:t>o</w:t>
      </w:r>
      <w:r w:rsidR="00D729A4" w:rsidRPr="00573D8A">
        <w:rPr>
          <w:szCs w:val="24"/>
          <w:lang w:val="fr-CA"/>
        </w:rPr>
        <w:t> </w:t>
      </w:r>
      <w:r w:rsidR="00EA2134" w:rsidRPr="00573D8A">
        <w:rPr>
          <w:szCs w:val="24"/>
          <w:lang w:val="fr-CA"/>
        </w:rPr>
        <w:t xml:space="preserve">5287 (QL), 2011 </w:t>
      </w:r>
      <w:proofErr w:type="spellStart"/>
      <w:r w:rsidR="00EA2134" w:rsidRPr="00573D8A">
        <w:rPr>
          <w:szCs w:val="24"/>
          <w:lang w:val="fr-CA"/>
        </w:rPr>
        <w:t>CarswellQue</w:t>
      </w:r>
      <w:proofErr w:type="spellEnd"/>
      <w:r w:rsidR="00EA2134" w:rsidRPr="00573D8A">
        <w:rPr>
          <w:szCs w:val="24"/>
          <w:lang w:val="fr-CA"/>
        </w:rPr>
        <w:t xml:space="preserve"> 5023, qui a confirmé l</w:t>
      </w:r>
      <w:r w:rsidR="00E37923" w:rsidRPr="00573D8A">
        <w:rPr>
          <w:szCs w:val="24"/>
          <w:lang w:val="fr-CA"/>
        </w:rPr>
        <w:t>a dé</w:t>
      </w:r>
      <w:r w:rsidR="00E25EA3" w:rsidRPr="00573D8A">
        <w:rPr>
          <w:szCs w:val="24"/>
          <w:lang w:val="fr-CA"/>
        </w:rPr>
        <w:t>c</w:t>
      </w:r>
      <w:r w:rsidR="00E37923" w:rsidRPr="00573D8A">
        <w:rPr>
          <w:szCs w:val="24"/>
          <w:lang w:val="fr-CA"/>
        </w:rPr>
        <w:t xml:space="preserve">ision du </w:t>
      </w:r>
      <w:r w:rsidR="00EA2134" w:rsidRPr="00573D8A">
        <w:rPr>
          <w:szCs w:val="24"/>
          <w:lang w:val="fr-CA"/>
        </w:rPr>
        <w:t xml:space="preserve">juge </w:t>
      </w:r>
      <w:proofErr w:type="spellStart"/>
      <w:r w:rsidR="00EA2134" w:rsidRPr="00573D8A">
        <w:rPr>
          <w:szCs w:val="24"/>
          <w:lang w:val="fr-CA"/>
        </w:rPr>
        <w:t>Boisjoli</w:t>
      </w:r>
      <w:proofErr w:type="spellEnd"/>
      <w:r w:rsidR="00EA2134" w:rsidRPr="00573D8A">
        <w:rPr>
          <w:szCs w:val="24"/>
          <w:lang w:val="fr-CA"/>
        </w:rPr>
        <w:t xml:space="preserve"> refus</w:t>
      </w:r>
      <w:r w:rsidR="00E37923" w:rsidRPr="00573D8A">
        <w:rPr>
          <w:szCs w:val="24"/>
          <w:lang w:val="fr-CA"/>
        </w:rPr>
        <w:t xml:space="preserve">ant </w:t>
      </w:r>
      <w:r w:rsidR="00EA2134" w:rsidRPr="00573D8A">
        <w:rPr>
          <w:szCs w:val="24"/>
          <w:lang w:val="fr-CA"/>
        </w:rPr>
        <w:t>d’ordonner la confiscation d’un bien infractionnel</w:t>
      </w:r>
      <w:r w:rsidRPr="00573D8A">
        <w:rPr>
          <w:szCs w:val="24"/>
          <w:lang w:val="fr-CA"/>
        </w:rPr>
        <w:t xml:space="preserve">.  Pourvoi </w:t>
      </w:r>
      <w:r w:rsidR="005B6E98" w:rsidRPr="00573D8A">
        <w:rPr>
          <w:szCs w:val="24"/>
          <w:lang w:val="fr-CA"/>
        </w:rPr>
        <w:t>accueilli</w:t>
      </w:r>
      <w:r w:rsidRPr="00573D8A">
        <w:rPr>
          <w:szCs w:val="24"/>
          <w:lang w:val="fr-CA"/>
        </w:rPr>
        <w:t>.</w:t>
      </w:r>
    </w:p>
    <w:p w:rsidR="00B87E8F" w:rsidRPr="00573D8A" w:rsidRDefault="002A2F73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i/>
          <w:szCs w:val="24"/>
          <w:lang w:val="fr-CA"/>
        </w:rPr>
        <w:tab/>
        <w:t>Robin Tremblay</w:t>
      </w:r>
      <w:r w:rsidRPr="00573D8A">
        <w:rPr>
          <w:szCs w:val="24"/>
          <w:lang w:val="fr-CA"/>
        </w:rPr>
        <w:t xml:space="preserve"> et </w:t>
      </w:r>
      <w:proofErr w:type="spellStart"/>
      <w:r w:rsidRPr="00573D8A">
        <w:rPr>
          <w:i/>
          <w:szCs w:val="24"/>
          <w:lang w:val="fr-CA"/>
        </w:rPr>
        <w:t>Jean</w:t>
      </w:r>
      <w:r w:rsidR="00887D1A" w:rsidRPr="00573D8A">
        <w:rPr>
          <w:i/>
          <w:szCs w:val="24"/>
          <w:lang w:val="fr-CA"/>
        </w:rPr>
        <w:noBreakHyphen/>
      </w:r>
      <w:r w:rsidRPr="00573D8A">
        <w:rPr>
          <w:i/>
          <w:szCs w:val="24"/>
          <w:lang w:val="fr-CA"/>
        </w:rPr>
        <w:t>François</w:t>
      </w:r>
      <w:proofErr w:type="spellEnd"/>
      <w:r w:rsidRPr="00573D8A">
        <w:rPr>
          <w:i/>
          <w:szCs w:val="24"/>
          <w:lang w:val="fr-CA"/>
        </w:rPr>
        <w:t xml:space="preserve"> Bouvette</w:t>
      </w:r>
      <w:r w:rsidR="00352C55" w:rsidRPr="00573D8A">
        <w:rPr>
          <w:szCs w:val="24"/>
          <w:lang w:val="fr-CA"/>
        </w:rPr>
        <w:t>, pour l’</w:t>
      </w:r>
      <w:r w:rsidRPr="00573D8A">
        <w:rPr>
          <w:szCs w:val="24"/>
          <w:lang w:val="fr-CA"/>
        </w:rPr>
        <w:t>appelante.</w:t>
      </w:r>
    </w:p>
    <w:p w:rsidR="00B87E8F" w:rsidRPr="00573D8A" w:rsidRDefault="002A2F73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i/>
          <w:szCs w:val="24"/>
          <w:lang w:val="fr-CA"/>
        </w:rPr>
        <w:tab/>
        <w:t>Patrick Jacques</w:t>
      </w:r>
      <w:r w:rsidRPr="00573D8A">
        <w:rPr>
          <w:szCs w:val="24"/>
          <w:lang w:val="fr-CA"/>
        </w:rPr>
        <w:t>, pour l</w:t>
      </w:r>
      <w:r w:rsidR="00352C55" w:rsidRPr="00573D8A">
        <w:rPr>
          <w:szCs w:val="24"/>
          <w:lang w:val="fr-CA"/>
        </w:rPr>
        <w:t>’</w:t>
      </w:r>
      <w:r w:rsidRPr="00573D8A">
        <w:rPr>
          <w:szCs w:val="24"/>
          <w:lang w:val="fr-CA"/>
        </w:rPr>
        <w:t>intimé.</w:t>
      </w:r>
    </w:p>
    <w:p w:rsidR="00352C55" w:rsidRPr="00573D8A" w:rsidRDefault="00352C55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</w:r>
      <w:r w:rsidR="002A2F73" w:rsidRPr="00573D8A">
        <w:rPr>
          <w:szCs w:val="24"/>
          <w:lang w:val="fr-CA"/>
        </w:rPr>
        <w:t>Argumentation écrite seulement par</w:t>
      </w:r>
      <w:r w:rsidR="002A2F73" w:rsidRPr="00573D8A">
        <w:rPr>
          <w:i/>
          <w:szCs w:val="24"/>
          <w:lang w:val="fr-CA"/>
        </w:rPr>
        <w:t xml:space="preserve"> </w:t>
      </w:r>
      <w:r w:rsidRPr="00573D8A">
        <w:rPr>
          <w:i/>
          <w:szCs w:val="24"/>
          <w:lang w:val="fr-CA"/>
        </w:rPr>
        <w:t>Simon William</w:t>
      </w:r>
      <w:r w:rsidRPr="00573D8A">
        <w:rPr>
          <w:szCs w:val="24"/>
          <w:lang w:val="fr-CA"/>
        </w:rPr>
        <w:t xml:space="preserve"> et </w:t>
      </w:r>
      <w:r w:rsidR="001B6198" w:rsidRPr="00573D8A">
        <w:rPr>
          <w:i/>
          <w:szCs w:val="24"/>
          <w:lang w:val="fr-CA"/>
        </w:rPr>
        <w:t xml:space="preserve">François </w:t>
      </w:r>
      <w:proofErr w:type="spellStart"/>
      <w:r w:rsidR="001B6198" w:rsidRPr="00573D8A">
        <w:rPr>
          <w:i/>
          <w:szCs w:val="24"/>
          <w:lang w:val="fr-CA"/>
        </w:rPr>
        <w:t>Lacasse</w:t>
      </w:r>
      <w:proofErr w:type="spellEnd"/>
      <w:r w:rsidR="001B6198" w:rsidRPr="00573D8A">
        <w:rPr>
          <w:szCs w:val="24"/>
          <w:lang w:val="fr-CA"/>
        </w:rPr>
        <w:t>, pour l’intervenant le D</w:t>
      </w:r>
      <w:r w:rsidRPr="00573D8A">
        <w:rPr>
          <w:szCs w:val="24"/>
          <w:lang w:val="fr-CA"/>
        </w:rPr>
        <w:t>irecteur des poursuites pénales du Canada.</w:t>
      </w:r>
    </w:p>
    <w:p w:rsidR="00B87E8F" w:rsidRPr="00573D8A" w:rsidRDefault="002A2F73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i/>
          <w:szCs w:val="24"/>
          <w:lang w:val="fr-CA"/>
        </w:rPr>
        <w:tab/>
        <w:t xml:space="preserve">Susan </w:t>
      </w:r>
      <w:proofErr w:type="spellStart"/>
      <w:r w:rsidRPr="00573D8A">
        <w:rPr>
          <w:i/>
          <w:szCs w:val="24"/>
          <w:lang w:val="fr-CA"/>
        </w:rPr>
        <w:t>Ficek</w:t>
      </w:r>
      <w:proofErr w:type="spellEnd"/>
      <w:r w:rsidR="001B6198" w:rsidRPr="00573D8A">
        <w:rPr>
          <w:szCs w:val="24"/>
          <w:lang w:val="fr-CA"/>
        </w:rPr>
        <w:t xml:space="preserve"> et </w:t>
      </w:r>
      <w:r w:rsidR="001B6198" w:rsidRPr="00573D8A">
        <w:rPr>
          <w:i/>
          <w:szCs w:val="24"/>
          <w:lang w:val="fr-CA"/>
        </w:rPr>
        <w:t>Melissa Adams</w:t>
      </w:r>
      <w:r w:rsidRPr="00573D8A">
        <w:rPr>
          <w:szCs w:val="24"/>
          <w:lang w:val="fr-CA"/>
        </w:rPr>
        <w:t>, pour l</w:t>
      </w:r>
      <w:r w:rsidR="00352C55" w:rsidRPr="00573D8A">
        <w:rPr>
          <w:szCs w:val="24"/>
          <w:lang w:val="fr-CA"/>
        </w:rPr>
        <w:t>’</w:t>
      </w:r>
      <w:r w:rsidRPr="00573D8A">
        <w:rPr>
          <w:szCs w:val="24"/>
          <w:lang w:val="fr-CA"/>
        </w:rPr>
        <w:t>intervenant</w:t>
      </w:r>
      <w:r w:rsidR="00352C55" w:rsidRPr="00573D8A">
        <w:rPr>
          <w:szCs w:val="24"/>
          <w:lang w:val="fr-CA"/>
        </w:rPr>
        <w:t xml:space="preserve"> le p</w:t>
      </w:r>
      <w:r w:rsidRPr="00573D8A">
        <w:rPr>
          <w:szCs w:val="24"/>
          <w:lang w:val="fr-CA"/>
        </w:rPr>
        <w:t>rocureur général de l</w:t>
      </w:r>
      <w:r w:rsidR="00352C55" w:rsidRPr="00573D8A">
        <w:rPr>
          <w:szCs w:val="24"/>
          <w:lang w:val="fr-CA"/>
        </w:rPr>
        <w:t>’</w:t>
      </w:r>
      <w:r w:rsidRPr="00573D8A">
        <w:rPr>
          <w:szCs w:val="24"/>
          <w:lang w:val="fr-CA"/>
        </w:rPr>
        <w:t>Ontario.</w:t>
      </w:r>
    </w:p>
    <w:p w:rsidR="00B87E8F" w:rsidRPr="00573D8A" w:rsidRDefault="002A2F73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i/>
          <w:szCs w:val="24"/>
          <w:lang w:val="fr-CA"/>
        </w:rPr>
        <w:tab/>
        <w:t xml:space="preserve">Catherine </w:t>
      </w:r>
      <w:proofErr w:type="spellStart"/>
      <w:r w:rsidRPr="00573D8A">
        <w:rPr>
          <w:i/>
          <w:szCs w:val="24"/>
          <w:lang w:val="fr-CA"/>
        </w:rPr>
        <w:t>Beagan</w:t>
      </w:r>
      <w:proofErr w:type="spellEnd"/>
      <w:r w:rsidRPr="00573D8A">
        <w:rPr>
          <w:i/>
          <w:szCs w:val="24"/>
          <w:lang w:val="fr-CA"/>
        </w:rPr>
        <w:t xml:space="preserve"> Flood</w:t>
      </w:r>
      <w:r w:rsidRPr="00573D8A">
        <w:rPr>
          <w:szCs w:val="24"/>
          <w:lang w:val="fr-CA"/>
        </w:rPr>
        <w:t xml:space="preserve"> et </w:t>
      </w:r>
      <w:r w:rsidRPr="00573D8A">
        <w:rPr>
          <w:i/>
          <w:szCs w:val="24"/>
          <w:lang w:val="fr-CA"/>
        </w:rPr>
        <w:t xml:space="preserve">Joshua A. </w:t>
      </w:r>
      <w:proofErr w:type="spellStart"/>
      <w:r w:rsidRPr="00573D8A">
        <w:rPr>
          <w:i/>
          <w:szCs w:val="24"/>
          <w:lang w:val="fr-CA"/>
        </w:rPr>
        <w:t>Krane</w:t>
      </w:r>
      <w:proofErr w:type="spellEnd"/>
      <w:r w:rsidRPr="00573D8A">
        <w:rPr>
          <w:szCs w:val="24"/>
          <w:lang w:val="fr-CA"/>
        </w:rPr>
        <w:t>, pour l</w:t>
      </w:r>
      <w:r w:rsidR="00352C55" w:rsidRPr="00573D8A">
        <w:rPr>
          <w:szCs w:val="24"/>
          <w:lang w:val="fr-CA"/>
        </w:rPr>
        <w:t>’</w:t>
      </w:r>
      <w:r w:rsidRPr="00573D8A">
        <w:rPr>
          <w:szCs w:val="24"/>
          <w:lang w:val="fr-CA"/>
        </w:rPr>
        <w:t xml:space="preserve">intervenante </w:t>
      </w:r>
      <w:r w:rsidR="00352C55" w:rsidRPr="00573D8A">
        <w:rPr>
          <w:szCs w:val="24"/>
          <w:lang w:val="fr-CA"/>
        </w:rPr>
        <w:t>l’</w:t>
      </w:r>
      <w:r w:rsidRPr="00573D8A">
        <w:rPr>
          <w:szCs w:val="24"/>
          <w:lang w:val="fr-CA"/>
        </w:rPr>
        <w:t>Association canadienne des libertés civiles.</w:t>
      </w:r>
    </w:p>
    <w:p w:rsidR="00B87E8F" w:rsidRPr="00573D8A" w:rsidRDefault="002A2F73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i/>
          <w:szCs w:val="24"/>
          <w:lang w:val="fr-CA"/>
        </w:rPr>
        <w:lastRenderedPageBreak/>
        <w:tab/>
        <w:t xml:space="preserve">Audrey </w:t>
      </w:r>
      <w:proofErr w:type="spellStart"/>
      <w:r w:rsidRPr="00573D8A">
        <w:rPr>
          <w:i/>
          <w:szCs w:val="24"/>
          <w:lang w:val="fr-CA"/>
        </w:rPr>
        <w:t>Boctor</w:t>
      </w:r>
      <w:proofErr w:type="spellEnd"/>
      <w:r w:rsidR="001B6198" w:rsidRPr="00195435">
        <w:rPr>
          <w:szCs w:val="24"/>
          <w:lang w:val="fr-CA"/>
        </w:rPr>
        <w:t xml:space="preserve"> et</w:t>
      </w:r>
      <w:r w:rsidR="001B6198" w:rsidRPr="00573D8A">
        <w:rPr>
          <w:i/>
          <w:szCs w:val="24"/>
          <w:lang w:val="fr-CA"/>
        </w:rPr>
        <w:t xml:space="preserve"> Douglas C. Mitchell</w:t>
      </w:r>
      <w:r w:rsidRPr="00573D8A">
        <w:rPr>
          <w:szCs w:val="24"/>
          <w:lang w:val="fr-CA"/>
        </w:rPr>
        <w:t>, pour l</w:t>
      </w:r>
      <w:r w:rsidR="00352C55" w:rsidRPr="00573D8A">
        <w:rPr>
          <w:szCs w:val="24"/>
          <w:lang w:val="fr-CA"/>
        </w:rPr>
        <w:t>’</w:t>
      </w:r>
      <w:r w:rsidRPr="00573D8A">
        <w:rPr>
          <w:szCs w:val="24"/>
          <w:lang w:val="fr-CA"/>
        </w:rPr>
        <w:t xml:space="preserve">intervenante </w:t>
      </w:r>
      <w:r w:rsidR="00352C55" w:rsidRPr="00573D8A">
        <w:rPr>
          <w:szCs w:val="24"/>
          <w:lang w:val="fr-CA"/>
        </w:rPr>
        <w:t>l’</w:t>
      </w:r>
      <w:r w:rsidRPr="00573D8A">
        <w:rPr>
          <w:szCs w:val="24"/>
          <w:lang w:val="fr-CA"/>
        </w:rPr>
        <w:t xml:space="preserve">Association des libertés civiles de la </w:t>
      </w:r>
      <w:proofErr w:type="spellStart"/>
      <w:r w:rsidRPr="00573D8A">
        <w:rPr>
          <w:szCs w:val="24"/>
          <w:lang w:val="fr-CA"/>
        </w:rPr>
        <w:t>Colombie</w:t>
      </w:r>
      <w:r w:rsidR="00887D1A" w:rsidRPr="00573D8A">
        <w:rPr>
          <w:szCs w:val="24"/>
          <w:lang w:val="fr-CA"/>
        </w:rPr>
        <w:noBreakHyphen/>
      </w:r>
      <w:r w:rsidRPr="00573D8A">
        <w:rPr>
          <w:szCs w:val="24"/>
          <w:lang w:val="fr-CA"/>
        </w:rPr>
        <w:t>Britannique</w:t>
      </w:r>
      <w:proofErr w:type="spellEnd"/>
      <w:r w:rsidRPr="00573D8A">
        <w:rPr>
          <w:szCs w:val="24"/>
          <w:lang w:val="fr-CA"/>
        </w:rPr>
        <w:t>.</w:t>
      </w:r>
    </w:p>
    <w:p w:rsidR="00EC54F3" w:rsidRPr="00195435" w:rsidRDefault="00195435" w:rsidP="00EC54F3">
      <w:pPr>
        <w:pStyle w:val="JudgeJuge"/>
        <w:spacing w:before="240"/>
        <w:rPr>
          <w:smallCaps w:val="0"/>
          <w:szCs w:val="24"/>
          <w:lang w:val="fr-CA"/>
        </w:rPr>
      </w:pPr>
      <w:r w:rsidRPr="00195435">
        <w:rPr>
          <w:smallCaps w:val="0"/>
          <w:szCs w:val="24"/>
          <w:lang w:val="fr-CA"/>
        </w:rPr>
        <w:tab/>
        <w:t xml:space="preserve">Version </w:t>
      </w:r>
      <w:r>
        <w:rPr>
          <w:smallCaps w:val="0"/>
          <w:szCs w:val="24"/>
          <w:lang w:val="fr-CA"/>
        </w:rPr>
        <w:t>française du jugement de la Cour rendu par</w:t>
      </w:r>
    </w:p>
    <w:p w:rsidR="00EC54F3" w:rsidRPr="00742DA4" w:rsidRDefault="003F4DB6" w:rsidP="00EC54F3">
      <w:pPr>
        <w:pStyle w:val="ParaNoNdepar-AltN"/>
        <w:rPr>
          <w:rFonts w:cs="Times New Roman"/>
          <w:szCs w:val="24"/>
          <w:lang w:val="fr-CA"/>
        </w:rPr>
      </w:pPr>
      <w:r>
        <w:rPr>
          <w:smallCaps/>
          <w:szCs w:val="24"/>
          <w:lang w:val="fr-CA"/>
        </w:rPr>
        <w:t>L</w:t>
      </w:r>
      <w:r w:rsidR="00195435" w:rsidRPr="00195435">
        <w:rPr>
          <w:smallCaps/>
          <w:szCs w:val="24"/>
          <w:lang w:val="fr-CA"/>
        </w:rPr>
        <w:t>e juge Fish</w:t>
      </w:r>
      <w:r w:rsidR="00195435" w:rsidRPr="00742DA4">
        <w:rPr>
          <w:szCs w:val="24"/>
          <w:lang w:val="fr-CA"/>
        </w:rPr>
        <w:t xml:space="preserve"> — </w:t>
      </w:r>
      <w:r w:rsidR="00EC54F3" w:rsidRPr="00742DA4">
        <w:rPr>
          <w:rFonts w:cs="Times New Roman"/>
          <w:szCs w:val="24"/>
          <w:lang w:val="fr-CA"/>
        </w:rPr>
        <w:t>Lors de son procès, M</w:t>
      </w:r>
      <w:r w:rsidR="00195435">
        <w:rPr>
          <w:rFonts w:cs="Times New Roman"/>
          <w:szCs w:val="24"/>
          <w:lang w:val="fr-CA"/>
        </w:rPr>
        <w:t>.</w:t>
      </w:r>
      <w:r w:rsidR="00EC54F3" w:rsidRPr="00742DA4">
        <w:rPr>
          <w:rFonts w:cs="Times New Roman"/>
          <w:szCs w:val="24"/>
          <w:lang w:val="fr-CA"/>
        </w:rPr>
        <w:t xml:space="preserve"> </w:t>
      </w:r>
      <w:proofErr w:type="spellStart"/>
      <w:r w:rsidR="00EC54F3" w:rsidRPr="00742DA4">
        <w:rPr>
          <w:rFonts w:cs="Times New Roman"/>
          <w:szCs w:val="24"/>
          <w:lang w:val="fr-CA"/>
        </w:rPr>
        <w:t>Alphide</w:t>
      </w:r>
      <w:proofErr w:type="spellEnd"/>
      <w:r w:rsidR="00EC54F3" w:rsidRPr="00742DA4">
        <w:rPr>
          <w:rFonts w:cs="Times New Roman"/>
          <w:szCs w:val="24"/>
          <w:lang w:val="fr-CA"/>
        </w:rPr>
        <w:t xml:space="preserve"> Manning, l’intimé au présent pourvoi, a plaidé coupable à une accusation de conduite avec les facultés affaiblies. À la suite du prononcé de la déclaration de culpabilité, le ministère public a sollicité la confiscation du camion que conduisait M. Manning au moment de son arrestation.  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t>Le juge du procès a refusé de rendre l’ordonnance de confiscation demandée par le ministère public.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t xml:space="preserve">La seule question qui </w:t>
      </w:r>
      <w:r>
        <w:rPr>
          <w:rFonts w:cs="Times New Roman"/>
          <w:szCs w:val="24"/>
          <w:lang w:val="fr-CA"/>
        </w:rPr>
        <w:t xml:space="preserve">nous </w:t>
      </w:r>
      <w:r w:rsidRPr="00742DA4">
        <w:rPr>
          <w:rFonts w:cs="Times New Roman"/>
          <w:szCs w:val="24"/>
          <w:lang w:val="fr-CA"/>
        </w:rPr>
        <w:t xml:space="preserve">occupe en l’espèce concerne l’application du par. 490.41(3) du </w:t>
      </w:r>
      <w:r w:rsidRPr="00742DA4">
        <w:rPr>
          <w:rFonts w:cs="Times New Roman"/>
          <w:i/>
          <w:szCs w:val="24"/>
          <w:lang w:val="fr-CA"/>
        </w:rPr>
        <w:t>Code criminel</w:t>
      </w:r>
      <w:r w:rsidRPr="00742DA4">
        <w:rPr>
          <w:rFonts w:cs="Times New Roman"/>
          <w:szCs w:val="24"/>
          <w:lang w:val="fr-CA"/>
        </w:rPr>
        <w:t>, L.R.C. 1985, ch. C</w:t>
      </w:r>
      <w:r w:rsidRPr="00742DA4">
        <w:rPr>
          <w:rFonts w:cs="Times New Roman"/>
          <w:szCs w:val="24"/>
          <w:lang w:val="fr-CA"/>
        </w:rPr>
        <w:noBreakHyphen/>
        <w:t xml:space="preserve">46, dont le passage pertinent est libellé ainsi :  </w:t>
      </w:r>
    </w:p>
    <w:p w:rsidR="00EC54F3" w:rsidRPr="00742DA4" w:rsidRDefault="00EC54F3" w:rsidP="00066F00">
      <w:pPr>
        <w:pStyle w:val="Citation-AltC"/>
        <w:tabs>
          <w:tab w:val="left" w:pos="1170"/>
        </w:tabs>
        <w:ind w:hanging="1166"/>
        <w:rPr>
          <w:szCs w:val="24"/>
          <w:lang w:val="fr-CA"/>
        </w:rPr>
      </w:pPr>
      <w:r w:rsidRPr="00742DA4">
        <w:rPr>
          <w:szCs w:val="24"/>
          <w:lang w:val="fr-CA"/>
        </w:rPr>
        <w:tab/>
      </w:r>
      <w:r w:rsidR="00594B0A">
        <w:rPr>
          <w:szCs w:val="24"/>
          <w:lang w:val="fr-CA"/>
        </w:rPr>
        <w:tab/>
      </w:r>
      <w:r w:rsidR="00594B0A">
        <w:rPr>
          <w:szCs w:val="24"/>
          <w:lang w:val="fr-CA"/>
        </w:rPr>
        <w:tab/>
      </w:r>
      <w:r w:rsidRPr="00742DA4">
        <w:rPr>
          <w:szCs w:val="24"/>
          <w:lang w:val="fr-CA"/>
        </w:rPr>
        <w:t>. . . le tribunal peut ne pas ordonner la confiscation de tout ou partie de biens infractionnels confiscables en vertu des paragraphes 490.1(1) ou 490.2(2) et annuler toute ordonnance de blocage à l’égard de tout ou partie des biens, s’il est convaincu que la confiscation serait démesurée par rapport à la nature et à la gravité de l’infraction, aux circonstances de sa perpétration et, s’il y a lieu, au casier judiciaire de la personne accusée ou reconnue coupable de l’infraction, selon le cas.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lastRenderedPageBreak/>
        <w:t xml:space="preserve">Dans son application de cette disposition en l’espèce, le juge du procès a conclu qu’il était contraint de tenir compte des objectifs et des principes de détermination de la peine énoncés </w:t>
      </w:r>
      <w:proofErr w:type="gramStart"/>
      <w:r w:rsidRPr="00742DA4">
        <w:rPr>
          <w:rFonts w:cs="Times New Roman"/>
          <w:szCs w:val="24"/>
          <w:lang w:val="fr-CA"/>
        </w:rPr>
        <w:t>aux art</w:t>
      </w:r>
      <w:proofErr w:type="gramEnd"/>
      <w:r w:rsidRPr="00742DA4">
        <w:rPr>
          <w:rFonts w:cs="Times New Roman"/>
          <w:szCs w:val="24"/>
          <w:lang w:val="fr-CA"/>
        </w:rPr>
        <w:t xml:space="preserve">. 718 et suivants du </w:t>
      </w:r>
      <w:r w:rsidRPr="00742DA4">
        <w:rPr>
          <w:rFonts w:cs="Times New Roman"/>
          <w:i/>
          <w:szCs w:val="24"/>
          <w:lang w:val="fr-CA"/>
        </w:rPr>
        <w:t>Code criminel</w:t>
      </w:r>
      <w:r w:rsidRPr="00742DA4">
        <w:rPr>
          <w:rFonts w:cs="Times New Roman"/>
          <w:szCs w:val="24"/>
          <w:lang w:val="fr-CA"/>
        </w:rPr>
        <w:t xml:space="preserve">.  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t>À l’instar de la Cour d’appel du Québec</w:t>
      </w:r>
      <w:r>
        <w:rPr>
          <w:rFonts w:cs="Times New Roman"/>
          <w:szCs w:val="24"/>
          <w:lang w:val="fr-CA"/>
        </w:rPr>
        <w:t xml:space="preserve"> (2011 QCCA 900 (</w:t>
      </w:r>
      <w:proofErr w:type="spellStart"/>
      <w:r>
        <w:rPr>
          <w:rFonts w:cs="Times New Roman"/>
          <w:szCs w:val="24"/>
          <w:lang w:val="fr-CA"/>
        </w:rPr>
        <w:t>Can</w:t>
      </w:r>
      <w:r w:rsidRPr="00742DA4">
        <w:rPr>
          <w:rFonts w:cs="Times New Roman"/>
          <w:szCs w:val="24"/>
          <w:lang w:val="fr-CA"/>
        </w:rPr>
        <w:t>LII</w:t>
      </w:r>
      <w:proofErr w:type="spellEnd"/>
      <w:r w:rsidRPr="00742DA4">
        <w:rPr>
          <w:rFonts w:cs="Times New Roman"/>
          <w:szCs w:val="24"/>
          <w:lang w:val="fr-CA"/>
        </w:rPr>
        <w:t xml:space="preserve">)), nous sommes d’avis que le juge de première instance a commis une erreur à cet égard : voir </w:t>
      </w:r>
      <w:r w:rsidRPr="00742DA4">
        <w:rPr>
          <w:rFonts w:cs="Times New Roman"/>
          <w:i/>
          <w:szCs w:val="24"/>
          <w:lang w:val="fr-CA"/>
        </w:rPr>
        <w:t>R. c. Craig</w:t>
      </w:r>
      <w:r w:rsidRPr="00742DA4">
        <w:rPr>
          <w:rFonts w:cs="Times New Roman"/>
          <w:szCs w:val="24"/>
          <w:lang w:val="fr-CA"/>
        </w:rPr>
        <w:t xml:space="preserve">, 2009 CSC 23, [2009] 1 R.C.S. 762, par. 13. 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t xml:space="preserve">Toutefois, contrairement à la Cour d’appel, et avec égards, nous estimons que l’erreur commise par le juge du procès est fatale à sa conclusion.  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t xml:space="preserve">En outre, au vu du dossier dont nous disposons, nous ne sommes pas convaincus que la confiscation sollicitée par le ministère public était « démesurée », au sens où il faut entendre ce mot pour l’application du par. 490.41(3) du </w:t>
      </w:r>
      <w:r w:rsidRPr="00742DA4">
        <w:rPr>
          <w:rFonts w:cs="Times New Roman"/>
          <w:i/>
          <w:szCs w:val="24"/>
          <w:lang w:val="fr-CA"/>
        </w:rPr>
        <w:t>Code criminel</w:t>
      </w:r>
      <w:r w:rsidRPr="00742DA4">
        <w:rPr>
          <w:rFonts w:cs="Times New Roman"/>
          <w:szCs w:val="24"/>
          <w:lang w:val="fr-CA"/>
        </w:rPr>
        <w:t xml:space="preserve">.  En tirant une conclusion différente, le juge du procès a erronément mis l’accent sur la situation personnelle de M. Manning et n’a pas accordé, comme l’exige le par. 490.41(3), le poids voulu au casier judiciaire de ce dernier, notamment </w:t>
      </w:r>
      <w:r w:rsidRPr="00742DA4">
        <w:rPr>
          <w:rFonts w:cs="Times New Roman"/>
          <w:i/>
          <w:szCs w:val="24"/>
          <w:lang w:val="fr-CA"/>
        </w:rPr>
        <w:t>cinq</w:t>
      </w:r>
      <w:r w:rsidRPr="00742DA4">
        <w:rPr>
          <w:rFonts w:cs="Times New Roman"/>
          <w:szCs w:val="24"/>
          <w:lang w:val="fr-CA"/>
        </w:rPr>
        <w:t xml:space="preserve"> déclarations de culpabilité à l’égard d’infractions relatives à la conduite sous l’effet de l’alcool et </w:t>
      </w:r>
      <w:r w:rsidRPr="00742DA4">
        <w:rPr>
          <w:rFonts w:cs="Times New Roman"/>
          <w:i/>
          <w:szCs w:val="24"/>
          <w:lang w:val="fr-CA"/>
        </w:rPr>
        <w:t>trois</w:t>
      </w:r>
      <w:r w:rsidRPr="00742DA4">
        <w:rPr>
          <w:rFonts w:cs="Times New Roman"/>
          <w:szCs w:val="24"/>
          <w:lang w:val="fr-CA"/>
        </w:rPr>
        <w:t xml:space="preserve"> à l’égard de manquements à des ordonnances de probation ou à des engagements. </w:t>
      </w:r>
    </w:p>
    <w:p w:rsidR="00EC54F3" w:rsidRPr="00742DA4" w:rsidRDefault="00EC54F3" w:rsidP="00EC54F3">
      <w:pPr>
        <w:pStyle w:val="ParaNoNdepar-AltN"/>
        <w:rPr>
          <w:rFonts w:cs="Times New Roman"/>
          <w:szCs w:val="24"/>
          <w:lang w:val="fr-CA"/>
        </w:rPr>
      </w:pPr>
      <w:r w:rsidRPr="00742DA4">
        <w:rPr>
          <w:rFonts w:cs="Times New Roman"/>
          <w:szCs w:val="24"/>
          <w:lang w:val="fr-CA"/>
        </w:rPr>
        <w:t>Par conséquent, nous sommes d’avis d’accueillir l’appel et de rendre l’ordonnance de confiscation demandée par le ministère public.</w:t>
      </w:r>
    </w:p>
    <w:p w:rsidR="004D7D95" w:rsidRPr="00573D8A" w:rsidRDefault="004D7D95" w:rsidP="00887D1A">
      <w:pPr>
        <w:pStyle w:val="SCCNormalDoubleSpacing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lastRenderedPageBreak/>
        <w:tab/>
      </w:r>
      <w:r w:rsidR="00352C55" w:rsidRPr="00573D8A">
        <w:rPr>
          <w:i/>
          <w:szCs w:val="24"/>
          <w:lang w:val="fr-CA"/>
        </w:rPr>
        <w:t xml:space="preserve">Pourvoi </w:t>
      </w:r>
      <w:r w:rsidR="005B6E98" w:rsidRPr="00573D8A">
        <w:rPr>
          <w:i/>
          <w:szCs w:val="24"/>
          <w:lang w:val="fr-CA"/>
        </w:rPr>
        <w:t>accueilli</w:t>
      </w:r>
      <w:r w:rsidR="00352C55" w:rsidRPr="00573D8A">
        <w:rPr>
          <w:i/>
          <w:szCs w:val="24"/>
          <w:lang w:val="fr-CA"/>
        </w:rPr>
        <w:t>.</w:t>
      </w:r>
    </w:p>
    <w:p w:rsidR="001B6198" w:rsidRPr="00573D8A" w:rsidRDefault="001B6198" w:rsidP="00887D1A">
      <w:pPr>
        <w:pStyle w:val="SCCLawFirm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  <w:t>Procureur de l’appelante</w:t>
      </w:r>
      <w:r w:rsidR="00887D1A" w:rsidRPr="00573D8A">
        <w:rPr>
          <w:szCs w:val="24"/>
          <w:lang w:val="fr-CA"/>
        </w:rPr>
        <w:t> : </w:t>
      </w:r>
      <w:r w:rsidRPr="00573D8A">
        <w:rPr>
          <w:szCs w:val="24"/>
          <w:lang w:val="fr-CA"/>
        </w:rPr>
        <w:t xml:space="preserve">Poursuites criminelles et pénales du Québec, </w:t>
      </w:r>
      <w:proofErr w:type="spellStart"/>
      <w:r w:rsidRPr="00573D8A">
        <w:rPr>
          <w:szCs w:val="24"/>
          <w:lang w:val="fr-CA"/>
        </w:rPr>
        <w:t>Baie</w:t>
      </w:r>
      <w:r w:rsidR="00887D1A" w:rsidRPr="00573D8A">
        <w:rPr>
          <w:szCs w:val="24"/>
          <w:lang w:val="fr-CA"/>
        </w:rPr>
        <w:noBreakHyphen/>
      </w:r>
      <w:r w:rsidRPr="00573D8A">
        <w:rPr>
          <w:szCs w:val="24"/>
          <w:lang w:val="fr-CA"/>
        </w:rPr>
        <w:t>Comeau</w:t>
      </w:r>
      <w:proofErr w:type="spellEnd"/>
      <w:r w:rsidRPr="00573D8A">
        <w:rPr>
          <w:szCs w:val="24"/>
          <w:lang w:val="fr-CA"/>
        </w:rPr>
        <w:t>, Québec.</w:t>
      </w:r>
    </w:p>
    <w:p w:rsidR="001B6198" w:rsidRPr="00573D8A" w:rsidRDefault="001B6198" w:rsidP="00887D1A">
      <w:pPr>
        <w:pStyle w:val="SCCLawFirm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  <w:t>Procureur de l’intimé</w:t>
      </w:r>
      <w:r w:rsidR="00887D1A" w:rsidRPr="00573D8A">
        <w:rPr>
          <w:szCs w:val="24"/>
          <w:lang w:val="fr-CA"/>
        </w:rPr>
        <w:t> : </w:t>
      </w:r>
      <w:r w:rsidRPr="00573D8A">
        <w:rPr>
          <w:szCs w:val="24"/>
          <w:lang w:val="fr-CA"/>
        </w:rPr>
        <w:t>Patrick Jacques, Beaupré, Québec.</w:t>
      </w:r>
    </w:p>
    <w:p w:rsidR="001B6198" w:rsidRPr="00573D8A" w:rsidRDefault="001B6198" w:rsidP="00887D1A">
      <w:pPr>
        <w:pStyle w:val="SCCLawFirm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  <w:t>Procureur de l’intervenant le Directeur des poursuites pénales du Canada</w:t>
      </w:r>
      <w:r w:rsidR="00887D1A" w:rsidRPr="00573D8A">
        <w:rPr>
          <w:szCs w:val="24"/>
          <w:lang w:val="fr-CA"/>
        </w:rPr>
        <w:t> : </w:t>
      </w:r>
      <w:r w:rsidRPr="00573D8A">
        <w:rPr>
          <w:szCs w:val="24"/>
          <w:lang w:val="fr-CA"/>
        </w:rPr>
        <w:t>Service des poursuites pénales du Canada, Ottawa.</w:t>
      </w:r>
    </w:p>
    <w:p w:rsidR="001B6198" w:rsidRPr="00573D8A" w:rsidRDefault="001B6198" w:rsidP="00887D1A">
      <w:pPr>
        <w:pStyle w:val="SCCLawFirm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  <w:t>Procureur de l’intervenant le procureur général de l’Ontario</w:t>
      </w:r>
      <w:r w:rsidR="00887D1A" w:rsidRPr="00573D8A">
        <w:rPr>
          <w:szCs w:val="24"/>
          <w:lang w:val="fr-CA"/>
        </w:rPr>
        <w:t> : </w:t>
      </w:r>
      <w:r w:rsidRPr="00573D8A">
        <w:rPr>
          <w:szCs w:val="24"/>
          <w:lang w:val="fr-CA"/>
        </w:rPr>
        <w:t>Procureur général de l’Ontario, Toronto.</w:t>
      </w:r>
    </w:p>
    <w:p w:rsidR="001B6198" w:rsidRPr="00573D8A" w:rsidRDefault="001B6198" w:rsidP="00887D1A">
      <w:pPr>
        <w:pStyle w:val="SCCLawFirm"/>
        <w:spacing w:after="480"/>
        <w:rPr>
          <w:szCs w:val="24"/>
          <w:lang w:val="fr-CA"/>
        </w:rPr>
      </w:pPr>
      <w:r w:rsidRPr="00573D8A">
        <w:rPr>
          <w:szCs w:val="24"/>
          <w:lang w:val="fr-CA"/>
        </w:rPr>
        <w:tab/>
        <w:t>Procureurs de l’intervenante l’Association canadienne des libertés civiles</w:t>
      </w:r>
      <w:r w:rsidR="00887D1A" w:rsidRPr="00573D8A">
        <w:rPr>
          <w:szCs w:val="24"/>
          <w:lang w:val="fr-CA"/>
        </w:rPr>
        <w:t> : </w:t>
      </w:r>
      <w:r w:rsidRPr="00573D8A">
        <w:rPr>
          <w:szCs w:val="24"/>
          <w:lang w:val="fr-CA"/>
        </w:rPr>
        <w:t xml:space="preserve">Blake, </w:t>
      </w:r>
      <w:proofErr w:type="spellStart"/>
      <w:r w:rsidRPr="00573D8A">
        <w:rPr>
          <w:szCs w:val="24"/>
          <w:lang w:val="fr-CA"/>
        </w:rPr>
        <w:t>Cassels</w:t>
      </w:r>
      <w:proofErr w:type="spellEnd"/>
      <w:r w:rsidRPr="00573D8A">
        <w:rPr>
          <w:szCs w:val="24"/>
          <w:lang w:val="fr-CA"/>
        </w:rPr>
        <w:t xml:space="preserve"> &amp; </w:t>
      </w:r>
      <w:proofErr w:type="spellStart"/>
      <w:r w:rsidRPr="00573D8A">
        <w:rPr>
          <w:szCs w:val="24"/>
          <w:lang w:val="fr-CA"/>
        </w:rPr>
        <w:t>Graydon</w:t>
      </w:r>
      <w:proofErr w:type="spellEnd"/>
      <w:r w:rsidRPr="00573D8A">
        <w:rPr>
          <w:szCs w:val="24"/>
          <w:lang w:val="fr-CA"/>
        </w:rPr>
        <w:t>, Toronto.</w:t>
      </w:r>
    </w:p>
    <w:p w:rsidR="004D7D95" w:rsidRPr="00573D8A" w:rsidRDefault="001B6198" w:rsidP="001B6198">
      <w:pPr>
        <w:pStyle w:val="SCCItalic"/>
        <w:rPr>
          <w:szCs w:val="24"/>
          <w:lang w:val="fr-CA"/>
        </w:rPr>
      </w:pPr>
      <w:r w:rsidRPr="00573D8A">
        <w:rPr>
          <w:szCs w:val="24"/>
          <w:lang w:val="fr-CA"/>
        </w:rPr>
        <w:tab/>
        <w:t xml:space="preserve">Procureurs de l’intervenante l’Association des libertés civiles de la </w:t>
      </w:r>
      <w:proofErr w:type="spellStart"/>
      <w:r w:rsidRPr="00573D8A">
        <w:rPr>
          <w:szCs w:val="24"/>
          <w:lang w:val="fr-CA"/>
        </w:rPr>
        <w:t>Colombie</w:t>
      </w:r>
      <w:r w:rsidR="00887D1A" w:rsidRPr="00573D8A">
        <w:rPr>
          <w:szCs w:val="24"/>
          <w:lang w:val="fr-CA"/>
        </w:rPr>
        <w:noBreakHyphen/>
      </w:r>
      <w:r w:rsidRPr="00573D8A">
        <w:rPr>
          <w:szCs w:val="24"/>
          <w:lang w:val="fr-CA"/>
        </w:rPr>
        <w:t>Britannique</w:t>
      </w:r>
      <w:proofErr w:type="spellEnd"/>
      <w:r w:rsidR="00887D1A" w:rsidRPr="00573D8A">
        <w:rPr>
          <w:szCs w:val="24"/>
          <w:lang w:val="fr-CA"/>
        </w:rPr>
        <w:t> : </w:t>
      </w:r>
      <w:r w:rsidRPr="00573D8A">
        <w:rPr>
          <w:szCs w:val="24"/>
          <w:lang w:val="fr-CA"/>
        </w:rPr>
        <w:t xml:space="preserve">Irving Mitchell </w:t>
      </w:r>
      <w:proofErr w:type="spellStart"/>
      <w:r w:rsidRPr="00573D8A">
        <w:rPr>
          <w:szCs w:val="24"/>
          <w:lang w:val="fr-CA"/>
        </w:rPr>
        <w:t>Kalichman</w:t>
      </w:r>
      <w:proofErr w:type="spellEnd"/>
      <w:r w:rsidRPr="00573D8A">
        <w:rPr>
          <w:szCs w:val="24"/>
          <w:lang w:val="fr-CA"/>
        </w:rPr>
        <w:t>, Montréal.</w:t>
      </w:r>
    </w:p>
    <w:p w:rsidR="009B57B3" w:rsidRDefault="009B57B3" w:rsidP="004D7D95">
      <w:pPr>
        <w:rPr>
          <w:b/>
          <w:szCs w:val="24"/>
          <w:lang w:val="fr-CA"/>
        </w:rPr>
      </w:pPr>
    </w:p>
    <w:p w:rsidR="00EC54F3" w:rsidRPr="00687010" w:rsidRDefault="00EC54F3" w:rsidP="004D7D95">
      <w:pPr>
        <w:rPr>
          <w:szCs w:val="24"/>
          <w:lang w:val="fr-CA"/>
        </w:rPr>
      </w:pPr>
    </w:p>
    <w:sectPr w:rsidR="00EC54F3" w:rsidRPr="00687010" w:rsidSect="005456D3">
      <w:headerReference w:type="default" r:id="rId10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B6" w:rsidRDefault="003F4DB6">
      <w:r>
        <w:separator/>
      </w:r>
    </w:p>
  </w:endnote>
  <w:endnote w:type="continuationSeparator" w:id="0">
    <w:p w:rsidR="003F4DB6" w:rsidRDefault="003F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B6" w:rsidRDefault="003F4DB6">
      <w:r>
        <w:separator/>
      </w:r>
    </w:p>
  </w:footnote>
  <w:footnote w:type="continuationSeparator" w:id="0">
    <w:p w:rsidR="003F4DB6" w:rsidRDefault="003F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630"/>
      <w:docPartObj>
        <w:docPartGallery w:val="Page Numbers (Top of Page)"/>
        <w:docPartUnique/>
      </w:docPartObj>
    </w:sdtPr>
    <w:sdtContent>
      <w:p w:rsidR="003F4DB6" w:rsidRDefault="003F4DB6">
        <w:pPr>
          <w:pStyle w:val="Header"/>
          <w:jc w:val="center"/>
        </w:pPr>
        <w:r>
          <w:t xml:space="preserve">- </w:t>
        </w:r>
        <w:fldSimple w:instr=" PAGE   \* MERGEFORMAT ">
          <w:r w:rsidR="0045151B">
            <w:rPr>
              <w:noProof/>
            </w:rPr>
            <w:t>7</w:t>
          </w:r>
        </w:fldSimple>
        <w:r>
          <w:t xml:space="preserve"> -</w:t>
        </w:r>
      </w:p>
    </w:sdtContent>
  </w:sdt>
  <w:p w:rsidR="003F4DB6" w:rsidRDefault="003F4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FFCFB4A"/>
    <w:lvl w:ilvl="0">
      <w:start w:val="1"/>
      <w:numFmt w:val="decimal"/>
      <w:pStyle w:val="ParaNoNdepar-AltN"/>
      <w:lvlText w:val="[%1]"/>
      <w:lvlJc w:val="left"/>
      <w:pPr>
        <w:tabs>
          <w:tab w:val="num" w:pos="1422"/>
        </w:tabs>
        <w:ind w:left="27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578A3"/>
    <w:rsid w:val="000648CC"/>
    <w:rsid w:val="00066F00"/>
    <w:rsid w:val="000A7A1F"/>
    <w:rsid w:val="000B5FDE"/>
    <w:rsid w:val="000C59B8"/>
    <w:rsid w:val="000C6AF0"/>
    <w:rsid w:val="000D0A77"/>
    <w:rsid w:val="000F7993"/>
    <w:rsid w:val="00104F33"/>
    <w:rsid w:val="001075B5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435"/>
    <w:rsid w:val="00195D83"/>
    <w:rsid w:val="001A00C1"/>
    <w:rsid w:val="001B33E0"/>
    <w:rsid w:val="001B4573"/>
    <w:rsid w:val="001B6198"/>
    <w:rsid w:val="001B653F"/>
    <w:rsid w:val="001C779F"/>
    <w:rsid w:val="001D2AC1"/>
    <w:rsid w:val="001D4E88"/>
    <w:rsid w:val="0021088F"/>
    <w:rsid w:val="00220FC2"/>
    <w:rsid w:val="002222F4"/>
    <w:rsid w:val="00224FC0"/>
    <w:rsid w:val="00225EA4"/>
    <w:rsid w:val="00226EAF"/>
    <w:rsid w:val="00231F3A"/>
    <w:rsid w:val="002406EE"/>
    <w:rsid w:val="00243EC8"/>
    <w:rsid w:val="0025251E"/>
    <w:rsid w:val="00263D5E"/>
    <w:rsid w:val="00270D93"/>
    <w:rsid w:val="002745CC"/>
    <w:rsid w:val="002A2F73"/>
    <w:rsid w:val="002B6FBE"/>
    <w:rsid w:val="002B7924"/>
    <w:rsid w:val="002C10A6"/>
    <w:rsid w:val="002D28C3"/>
    <w:rsid w:val="002D39A4"/>
    <w:rsid w:val="002D7C0B"/>
    <w:rsid w:val="002E6705"/>
    <w:rsid w:val="0030329A"/>
    <w:rsid w:val="0031086F"/>
    <w:rsid w:val="0031414C"/>
    <w:rsid w:val="00314E01"/>
    <w:rsid w:val="0032089D"/>
    <w:rsid w:val="003257F6"/>
    <w:rsid w:val="003310DE"/>
    <w:rsid w:val="003323B0"/>
    <w:rsid w:val="00340A49"/>
    <w:rsid w:val="0035169A"/>
    <w:rsid w:val="0035259D"/>
    <w:rsid w:val="00352C55"/>
    <w:rsid w:val="003561DA"/>
    <w:rsid w:val="00364B18"/>
    <w:rsid w:val="003A125D"/>
    <w:rsid w:val="003A4C70"/>
    <w:rsid w:val="003A74BB"/>
    <w:rsid w:val="003B0012"/>
    <w:rsid w:val="003B215F"/>
    <w:rsid w:val="003C799C"/>
    <w:rsid w:val="003D0399"/>
    <w:rsid w:val="003E1C71"/>
    <w:rsid w:val="003F327B"/>
    <w:rsid w:val="003F4DB6"/>
    <w:rsid w:val="00406166"/>
    <w:rsid w:val="0040704B"/>
    <w:rsid w:val="00410A55"/>
    <w:rsid w:val="00411300"/>
    <w:rsid w:val="00413F17"/>
    <w:rsid w:val="00415417"/>
    <w:rsid w:val="00426659"/>
    <w:rsid w:val="0043196F"/>
    <w:rsid w:val="00450352"/>
    <w:rsid w:val="0045151B"/>
    <w:rsid w:val="00454BDB"/>
    <w:rsid w:val="00465132"/>
    <w:rsid w:val="00474BD0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6543"/>
    <w:rsid w:val="00527180"/>
    <w:rsid w:val="005456D3"/>
    <w:rsid w:val="00555291"/>
    <w:rsid w:val="00566AD1"/>
    <w:rsid w:val="00573D8A"/>
    <w:rsid w:val="00583EDE"/>
    <w:rsid w:val="00594B0A"/>
    <w:rsid w:val="005A6079"/>
    <w:rsid w:val="005B6E98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87010"/>
    <w:rsid w:val="00693254"/>
    <w:rsid w:val="0069689B"/>
    <w:rsid w:val="006A6579"/>
    <w:rsid w:val="006B5FF5"/>
    <w:rsid w:val="006F30AF"/>
    <w:rsid w:val="007016C2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96070"/>
    <w:rsid w:val="007A05F6"/>
    <w:rsid w:val="007B222C"/>
    <w:rsid w:val="007B6F4A"/>
    <w:rsid w:val="007E1C47"/>
    <w:rsid w:val="007E337A"/>
    <w:rsid w:val="007E5C70"/>
    <w:rsid w:val="007F2FF5"/>
    <w:rsid w:val="007F3F08"/>
    <w:rsid w:val="00804CC6"/>
    <w:rsid w:val="00817190"/>
    <w:rsid w:val="008248EF"/>
    <w:rsid w:val="00825585"/>
    <w:rsid w:val="008260E2"/>
    <w:rsid w:val="008322BD"/>
    <w:rsid w:val="00834F73"/>
    <w:rsid w:val="00864C8A"/>
    <w:rsid w:val="00864CF8"/>
    <w:rsid w:val="00874914"/>
    <w:rsid w:val="00887D1A"/>
    <w:rsid w:val="00891422"/>
    <w:rsid w:val="00892E1A"/>
    <w:rsid w:val="008B660A"/>
    <w:rsid w:val="008C01DA"/>
    <w:rsid w:val="008F2674"/>
    <w:rsid w:val="008F448A"/>
    <w:rsid w:val="008F78E9"/>
    <w:rsid w:val="00907EEC"/>
    <w:rsid w:val="009179F9"/>
    <w:rsid w:val="00917C7A"/>
    <w:rsid w:val="00927703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E10A7"/>
    <w:rsid w:val="009E620F"/>
    <w:rsid w:val="009F055D"/>
    <w:rsid w:val="009F0E33"/>
    <w:rsid w:val="00A149DF"/>
    <w:rsid w:val="00A1727A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A6374"/>
    <w:rsid w:val="00AB670D"/>
    <w:rsid w:val="00AC0B98"/>
    <w:rsid w:val="00AF03C5"/>
    <w:rsid w:val="00B000D8"/>
    <w:rsid w:val="00B00F75"/>
    <w:rsid w:val="00B145B6"/>
    <w:rsid w:val="00B279EB"/>
    <w:rsid w:val="00B34D44"/>
    <w:rsid w:val="00B50C81"/>
    <w:rsid w:val="00B557F8"/>
    <w:rsid w:val="00B63939"/>
    <w:rsid w:val="00B815FC"/>
    <w:rsid w:val="00B87E8F"/>
    <w:rsid w:val="00B93FBC"/>
    <w:rsid w:val="00BA7DA0"/>
    <w:rsid w:val="00BB2EE4"/>
    <w:rsid w:val="00BB4C92"/>
    <w:rsid w:val="00BC2108"/>
    <w:rsid w:val="00BD0E9E"/>
    <w:rsid w:val="00BD1BEC"/>
    <w:rsid w:val="00BD2DB9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3A99"/>
    <w:rsid w:val="00C77613"/>
    <w:rsid w:val="00C828E7"/>
    <w:rsid w:val="00C86719"/>
    <w:rsid w:val="00C921DD"/>
    <w:rsid w:val="00CA6391"/>
    <w:rsid w:val="00CB3903"/>
    <w:rsid w:val="00CE036E"/>
    <w:rsid w:val="00CE3171"/>
    <w:rsid w:val="00CF1601"/>
    <w:rsid w:val="00CF6856"/>
    <w:rsid w:val="00D0172F"/>
    <w:rsid w:val="00D01E33"/>
    <w:rsid w:val="00D068A7"/>
    <w:rsid w:val="00D17476"/>
    <w:rsid w:val="00D32086"/>
    <w:rsid w:val="00D37A3F"/>
    <w:rsid w:val="00D4431D"/>
    <w:rsid w:val="00D4667A"/>
    <w:rsid w:val="00D63A1C"/>
    <w:rsid w:val="00D729A4"/>
    <w:rsid w:val="00D7516F"/>
    <w:rsid w:val="00D95F8E"/>
    <w:rsid w:val="00DA0590"/>
    <w:rsid w:val="00DA32E0"/>
    <w:rsid w:val="00DB5C54"/>
    <w:rsid w:val="00DC1739"/>
    <w:rsid w:val="00DC1788"/>
    <w:rsid w:val="00DE319C"/>
    <w:rsid w:val="00DE7944"/>
    <w:rsid w:val="00DF0CA8"/>
    <w:rsid w:val="00DF2B48"/>
    <w:rsid w:val="00DF49A7"/>
    <w:rsid w:val="00E07EE2"/>
    <w:rsid w:val="00E07FD1"/>
    <w:rsid w:val="00E24573"/>
    <w:rsid w:val="00E25E1E"/>
    <w:rsid w:val="00E25EA3"/>
    <w:rsid w:val="00E27EE7"/>
    <w:rsid w:val="00E35404"/>
    <w:rsid w:val="00E37923"/>
    <w:rsid w:val="00E45109"/>
    <w:rsid w:val="00E47B7A"/>
    <w:rsid w:val="00E52F4D"/>
    <w:rsid w:val="00E56A44"/>
    <w:rsid w:val="00E60269"/>
    <w:rsid w:val="00E97830"/>
    <w:rsid w:val="00EA2134"/>
    <w:rsid w:val="00EA4365"/>
    <w:rsid w:val="00EC54F3"/>
    <w:rsid w:val="00EE0830"/>
    <w:rsid w:val="00EE6CB8"/>
    <w:rsid w:val="00EF0683"/>
    <w:rsid w:val="00F0070C"/>
    <w:rsid w:val="00F00EB7"/>
    <w:rsid w:val="00F16D56"/>
    <w:rsid w:val="00F355E9"/>
    <w:rsid w:val="00F36AB6"/>
    <w:rsid w:val="00F37A09"/>
    <w:rsid w:val="00F409CE"/>
    <w:rsid w:val="00F4379D"/>
    <w:rsid w:val="00F50D2D"/>
    <w:rsid w:val="00F5506B"/>
    <w:rsid w:val="00F56C8B"/>
    <w:rsid w:val="00F62639"/>
    <w:rsid w:val="00F66810"/>
    <w:rsid w:val="00F7258C"/>
    <w:rsid w:val="00F84DF4"/>
    <w:rsid w:val="00F85C97"/>
    <w:rsid w:val="00FB37D2"/>
    <w:rsid w:val="00FC142B"/>
    <w:rsid w:val="00FC4EFB"/>
    <w:rsid w:val="00FC7F1A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EC5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-AltC">
    <w:name w:val="Citation - Alt C"/>
    <w:uiPriority w:val="2"/>
    <w:qFormat/>
    <w:rsid w:val="00EC54F3"/>
    <w:pPr>
      <w:spacing w:after="720"/>
      <w:ind w:left="1166"/>
      <w:contextualSpacing/>
      <w:jc w:val="both"/>
    </w:pPr>
    <w:rPr>
      <w:sz w:val="24"/>
    </w:rPr>
  </w:style>
  <w:style w:type="paragraph" w:customStyle="1" w:styleId="JudgeJuge">
    <w:name w:val="Judge / Juge"/>
    <w:uiPriority w:val="3"/>
    <w:rsid w:val="00EC54F3"/>
    <w:pPr>
      <w:tabs>
        <w:tab w:val="left" w:pos="1166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qFormat/>
    <w:rsid w:val="00EC54F3"/>
    <w:pPr>
      <w:numPr>
        <w:numId w:val="1"/>
      </w:numPr>
      <w:tabs>
        <w:tab w:val="clear" w:pos="1422"/>
        <w:tab w:val="left" w:pos="1166"/>
      </w:tabs>
      <w:spacing w:before="480" w:after="480" w:line="480" w:lineRule="auto"/>
      <w:ind w:left="0"/>
      <w:jc w:val="both"/>
    </w:pPr>
    <w:rPr>
      <w:rFonts w:eastAsiaTheme="minorEastAsia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11E2-F8D6-49DD-9D2D-108F6F80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2014-01-16T19:33:00Z</dcterms:created>
  <dcterms:modified xsi:type="dcterms:W3CDTF">2014-01-16T19:33:00Z</dcterms:modified>
</cp:coreProperties>
</file>